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6AD" w:rsidRDefault="007F2D5C">
      <w:pPr>
        <w:spacing w:before="50" w:after="50" w:line="360" w:lineRule="auto"/>
        <w:jc w:val="center"/>
        <w:outlineLvl w:val="0"/>
        <w:rPr>
          <w:rFonts w:cs="宋体"/>
          <w:b/>
          <w:bCs/>
          <w:sz w:val="28"/>
          <w:szCs w:val="28"/>
        </w:rPr>
      </w:pPr>
      <w:r>
        <w:rPr>
          <w:rFonts w:cs="宋体" w:hint="eastAsia"/>
          <w:b/>
          <w:bCs/>
          <w:sz w:val="28"/>
          <w:szCs w:val="28"/>
        </w:rPr>
        <w:t>交银施罗德基金管理有限公司关于增加交银施罗德远见成长混合型证券投资基金销售机构的公告</w:t>
      </w:r>
    </w:p>
    <w:p w:rsidR="008976AD" w:rsidRDefault="008976AD">
      <w:pPr>
        <w:spacing w:before="50" w:after="50" w:line="360" w:lineRule="auto"/>
        <w:ind w:firstLineChars="200" w:firstLine="562"/>
        <w:jc w:val="center"/>
        <w:rPr>
          <w:b/>
          <w:bCs/>
          <w:sz w:val="28"/>
          <w:szCs w:val="28"/>
        </w:rPr>
      </w:pPr>
    </w:p>
    <w:p w:rsidR="008976AD" w:rsidRDefault="007F2D5C">
      <w:pPr>
        <w:adjustRightInd w:val="0"/>
        <w:snapToGrid w:val="0"/>
        <w:spacing w:line="360" w:lineRule="auto"/>
        <w:ind w:firstLineChars="200" w:firstLine="480"/>
        <w:rPr>
          <w:bCs/>
          <w:sz w:val="24"/>
          <w:szCs w:val="24"/>
        </w:rPr>
      </w:pPr>
      <w:r>
        <w:rPr>
          <w:bCs/>
          <w:sz w:val="24"/>
          <w:szCs w:val="24"/>
        </w:rPr>
        <w:t>根据交银施罗德基金管理有限公司（以下简称</w:t>
      </w:r>
      <w:r>
        <w:rPr>
          <w:bCs/>
          <w:sz w:val="24"/>
          <w:szCs w:val="24"/>
        </w:rPr>
        <w:t>“</w:t>
      </w:r>
      <w:r>
        <w:rPr>
          <w:bCs/>
          <w:sz w:val="24"/>
          <w:szCs w:val="24"/>
        </w:rPr>
        <w:t>本</w:t>
      </w:r>
      <w:r>
        <w:rPr>
          <w:rFonts w:hint="eastAsia"/>
          <w:bCs/>
          <w:sz w:val="24"/>
          <w:szCs w:val="24"/>
        </w:rPr>
        <w:t>公司</w:t>
      </w:r>
      <w:r>
        <w:rPr>
          <w:bCs/>
          <w:sz w:val="24"/>
          <w:szCs w:val="24"/>
        </w:rPr>
        <w:t>”</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w:t>
      </w:r>
      <w:r>
        <w:rPr>
          <w:rFonts w:hint="eastAsia"/>
          <w:bCs/>
          <w:sz w:val="24"/>
          <w:szCs w:val="24"/>
        </w:rPr>
        <w:t>2025</w:t>
      </w:r>
      <w:r>
        <w:rPr>
          <w:rFonts w:hint="eastAsia"/>
          <w:bCs/>
          <w:sz w:val="24"/>
          <w:szCs w:val="24"/>
        </w:rPr>
        <w:t>年</w:t>
      </w:r>
      <w:r>
        <w:rPr>
          <w:bCs/>
          <w:sz w:val="24"/>
          <w:szCs w:val="24"/>
        </w:rPr>
        <w:t>11</w:t>
      </w:r>
      <w:r>
        <w:rPr>
          <w:rFonts w:hint="eastAsia"/>
          <w:bCs/>
          <w:sz w:val="24"/>
          <w:szCs w:val="24"/>
        </w:rPr>
        <w:t>月</w:t>
      </w:r>
      <w:r>
        <w:rPr>
          <w:bCs/>
          <w:sz w:val="24"/>
          <w:szCs w:val="24"/>
        </w:rPr>
        <w:t>7</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Pr>
          <w:rFonts w:hint="eastAsia"/>
          <w:bCs/>
          <w:sz w:val="24"/>
          <w:szCs w:val="24"/>
        </w:rPr>
        <w:t>交银施罗德远见成长混合型证券投资基金（</w:t>
      </w:r>
      <w:r>
        <w:rPr>
          <w:rFonts w:hint="eastAsia"/>
          <w:bCs/>
          <w:sz w:val="24"/>
          <w:szCs w:val="24"/>
        </w:rPr>
        <w:t>A</w:t>
      </w:r>
      <w:r>
        <w:rPr>
          <w:rFonts w:hint="eastAsia"/>
          <w:bCs/>
          <w:sz w:val="24"/>
          <w:szCs w:val="24"/>
        </w:rPr>
        <w:t>类基金份额基金代码：</w:t>
      </w:r>
      <w:r>
        <w:rPr>
          <w:rFonts w:hint="eastAsia"/>
          <w:bCs/>
          <w:sz w:val="24"/>
          <w:szCs w:val="24"/>
        </w:rPr>
        <w:t>025948</w:t>
      </w:r>
      <w:r>
        <w:rPr>
          <w:rFonts w:hint="eastAsia"/>
          <w:bCs/>
          <w:sz w:val="24"/>
          <w:szCs w:val="24"/>
        </w:rPr>
        <w:t>；基金简称：交银远见成长混合</w:t>
      </w:r>
      <w:r>
        <w:rPr>
          <w:rFonts w:hint="eastAsia"/>
          <w:bCs/>
          <w:sz w:val="24"/>
          <w:szCs w:val="24"/>
        </w:rPr>
        <w:t>A ;</w:t>
      </w:r>
      <w:r>
        <w:rPr>
          <w:rFonts w:hint="eastAsia"/>
        </w:rPr>
        <w:t xml:space="preserve"> </w:t>
      </w:r>
      <w:r>
        <w:rPr>
          <w:rFonts w:hint="eastAsia"/>
          <w:sz w:val="24"/>
        </w:rPr>
        <w:t>C</w:t>
      </w:r>
      <w:r>
        <w:rPr>
          <w:rFonts w:hint="eastAsia"/>
          <w:sz w:val="24"/>
        </w:rPr>
        <w:t>类基金份额基金代码：</w:t>
      </w:r>
      <w:r>
        <w:rPr>
          <w:rFonts w:hint="eastAsia"/>
          <w:sz w:val="24"/>
        </w:rPr>
        <w:t>025953</w:t>
      </w:r>
      <w:r>
        <w:rPr>
          <w:rFonts w:hint="eastAsia"/>
          <w:sz w:val="24"/>
        </w:rPr>
        <w:t>；基金简称：交银远见成长混合</w:t>
      </w:r>
      <w:r>
        <w:rPr>
          <w:rFonts w:hint="eastAsia"/>
          <w:sz w:val="24"/>
        </w:rPr>
        <w:t>C</w:t>
      </w:r>
      <w:r>
        <w:rPr>
          <w:rFonts w:hint="eastAsia"/>
          <w:bCs/>
          <w:sz w:val="24"/>
          <w:szCs w:val="24"/>
        </w:rPr>
        <w:t>）</w:t>
      </w:r>
      <w:r>
        <w:rPr>
          <w:bCs/>
          <w:sz w:val="24"/>
          <w:szCs w:val="24"/>
        </w:rPr>
        <w:t>的销售机构</w:t>
      </w:r>
      <w:r>
        <w:rPr>
          <w:rFonts w:hint="eastAsia"/>
          <w:bCs/>
          <w:sz w:val="24"/>
          <w:szCs w:val="24"/>
        </w:rPr>
        <w:t>。</w:t>
      </w:r>
    </w:p>
    <w:p w:rsidR="008976AD" w:rsidRDefault="008976AD">
      <w:pPr>
        <w:adjustRightInd w:val="0"/>
        <w:snapToGrid w:val="0"/>
        <w:spacing w:line="360" w:lineRule="auto"/>
        <w:ind w:firstLineChars="200" w:firstLine="480"/>
        <w:rPr>
          <w:bCs/>
          <w:sz w:val="24"/>
          <w:szCs w:val="24"/>
        </w:rPr>
      </w:pPr>
    </w:p>
    <w:p w:rsidR="008976AD" w:rsidRDefault="007F2D5C">
      <w:pPr>
        <w:spacing w:line="360" w:lineRule="auto"/>
        <w:ind w:firstLineChars="200" w:firstLine="480"/>
        <w:outlineLvl w:val="0"/>
        <w:rPr>
          <w:kern w:val="0"/>
          <w:sz w:val="24"/>
          <w:szCs w:val="24"/>
        </w:rPr>
      </w:pPr>
      <w:r>
        <w:rPr>
          <w:rFonts w:hint="eastAsia"/>
          <w:kern w:val="0"/>
          <w:sz w:val="24"/>
          <w:szCs w:val="24"/>
        </w:rPr>
        <w:t>一、业务范围</w:t>
      </w:r>
    </w:p>
    <w:p w:rsidR="008976AD" w:rsidRDefault="007F2D5C">
      <w:pPr>
        <w:spacing w:line="360" w:lineRule="auto"/>
        <w:ind w:firstLineChars="200" w:firstLine="480"/>
        <w:rPr>
          <w:kern w:val="0"/>
          <w:sz w:val="24"/>
          <w:szCs w:val="24"/>
        </w:rPr>
      </w:pPr>
      <w:r>
        <w:rPr>
          <w:sz w:val="24"/>
          <w:szCs w:val="24"/>
        </w:rPr>
        <w:t>自</w:t>
      </w:r>
      <w:r>
        <w:rPr>
          <w:rFonts w:hint="eastAsia"/>
          <w:bCs/>
          <w:sz w:val="24"/>
          <w:szCs w:val="24"/>
        </w:rPr>
        <w:t>2025</w:t>
      </w:r>
      <w:r>
        <w:rPr>
          <w:rFonts w:hint="eastAsia"/>
          <w:bCs/>
          <w:sz w:val="24"/>
          <w:szCs w:val="24"/>
        </w:rPr>
        <w:t>年</w:t>
      </w:r>
      <w:r>
        <w:rPr>
          <w:bCs/>
          <w:sz w:val="24"/>
          <w:szCs w:val="24"/>
        </w:rPr>
        <w:t>11</w:t>
      </w:r>
      <w:r>
        <w:rPr>
          <w:rFonts w:hint="eastAsia"/>
          <w:bCs/>
          <w:sz w:val="24"/>
          <w:szCs w:val="24"/>
        </w:rPr>
        <w:t>月</w:t>
      </w:r>
      <w:r>
        <w:rPr>
          <w:bCs/>
          <w:sz w:val="24"/>
          <w:szCs w:val="24"/>
        </w:rPr>
        <w:t>7</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Pr>
          <w:rFonts w:hint="eastAsia"/>
          <w:bCs/>
          <w:sz w:val="24"/>
          <w:szCs w:val="24"/>
        </w:rPr>
        <w:t>交银施罗德远见成长混合型证券投资基金</w:t>
      </w:r>
      <w:r>
        <w:rPr>
          <w:rFonts w:hint="eastAsia"/>
          <w:kern w:val="0"/>
          <w:sz w:val="24"/>
          <w:szCs w:val="24"/>
        </w:rPr>
        <w:t>的认购等业务。</w:t>
      </w:r>
    </w:p>
    <w:p w:rsidR="008976AD" w:rsidRDefault="007F2D5C">
      <w:pPr>
        <w:spacing w:line="360" w:lineRule="auto"/>
        <w:ind w:firstLineChars="200" w:firstLine="480"/>
        <w:rPr>
          <w:sz w:val="24"/>
          <w:szCs w:val="24"/>
        </w:rPr>
      </w:pPr>
      <w:r>
        <w:rPr>
          <w:rFonts w:hint="eastAsia"/>
          <w:bCs/>
          <w:sz w:val="24"/>
          <w:szCs w:val="24"/>
        </w:rPr>
        <w:t>交银施罗德远见成长混合型证券投资基金</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rsidR="008976AD" w:rsidRDefault="008976AD">
      <w:pPr>
        <w:adjustRightInd w:val="0"/>
        <w:snapToGrid w:val="0"/>
        <w:spacing w:line="360" w:lineRule="auto"/>
        <w:ind w:firstLineChars="200" w:firstLine="480"/>
        <w:rPr>
          <w:bCs/>
          <w:sz w:val="24"/>
          <w:szCs w:val="24"/>
        </w:rPr>
      </w:pPr>
    </w:p>
    <w:p w:rsidR="008976AD" w:rsidRDefault="007F2D5C">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w:t>
      </w:r>
      <w:r>
        <w:rPr>
          <w:b/>
          <w:bCs/>
          <w:sz w:val="24"/>
          <w:szCs w:val="24"/>
        </w:rPr>
        <w:t>重要提示：</w:t>
      </w:r>
    </w:p>
    <w:p w:rsidR="008976AD" w:rsidRDefault="007F2D5C">
      <w:pPr>
        <w:adjustRightInd w:val="0"/>
        <w:snapToGrid w:val="0"/>
        <w:spacing w:line="360" w:lineRule="auto"/>
        <w:ind w:firstLineChars="200" w:firstLine="480"/>
        <w:rPr>
          <w:bCs/>
          <w:sz w:val="24"/>
          <w:szCs w:val="24"/>
        </w:rPr>
      </w:pPr>
      <w:r>
        <w:rPr>
          <w:bCs/>
          <w:sz w:val="24"/>
          <w:szCs w:val="24"/>
        </w:rPr>
        <w:t>1</w:t>
      </w:r>
      <w:r>
        <w:rPr>
          <w:bCs/>
          <w:sz w:val="24"/>
          <w:szCs w:val="24"/>
        </w:rPr>
        <w:t>、本</w:t>
      </w:r>
      <w:r>
        <w:rPr>
          <w:rFonts w:hint="eastAsia"/>
          <w:bCs/>
          <w:sz w:val="24"/>
          <w:szCs w:val="24"/>
        </w:rPr>
        <w:t>公司</w:t>
      </w:r>
      <w:r>
        <w:rPr>
          <w:bCs/>
          <w:sz w:val="24"/>
          <w:szCs w:val="24"/>
        </w:rPr>
        <w:t>于</w:t>
      </w:r>
      <w:r>
        <w:rPr>
          <w:rFonts w:hint="eastAsia"/>
          <w:bCs/>
          <w:sz w:val="24"/>
          <w:szCs w:val="24"/>
        </w:rPr>
        <w:t>2025</w:t>
      </w:r>
      <w:r>
        <w:rPr>
          <w:rFonts w:hint="eastAsia"/>
          <w:bCs/>
          <w:sz w:val="24"/>
          <w:szCs w:val="24"/>
        </w:rPr>
        <w:t>年</w:t>
      </w:r>
      <w:r>
        <w:rPr>
          <w:rFonts w:hint="eastAsia"/>
          <w:bCs/>
          <w:sz w:val="24"/>
          <w:szCs w:val="24"/>
        </w:rPr>
        <w:t>10</w:t>
      </w:r>
      <w:r>
        <w:rPr>
          <w:rFonts w:hint="eastAsia"/>
          <w:bCs/>
          <w:sz w:val="24"/>
          <w:szCs w:val="24"/>
        </w:rPr>
        <w:t>月</w:t>
      </w:r>
      <w:r>
        <w:rPr>
          <w:rFonts w:hint="eastAsia"/>
          <w:bCs/>
          <w:sz w:val="24"/>
          <w:szCs w:val="24"/>
        </w:rPr>
        <w:t>31</w:t>
      </w:r>
      <w:r>
        <w:rPr>
          <w:rFonts w:hint="eastAsia"/>
          <w:bCs/>
          <w:sz w:val="24"/>
          <w:szCs w:val="24"/>
        </w:rPr>
        <w:t>日</w:t>
      </w:r>
      <w:r>
        <w:rPr>
          <w:bCs/>
          <w:sz w:val="24"/>
          <w:szCs w:val="24"/>
        </w:rPr>
        <w:t>发布公告，</w:t>
      </w:r>
      <w:r>
        <w:rPr>
          <w:rFonts w:hint="eastAsia"/>
          <w:bCs/>
          <w:sz w:val="24"/>
          <w:szCs w:val="24"/>
        </w:rPr>
        <w:t>交银施罗德远见成长混合型证券投资基金</w:t>
      </w:r>
      <w:r>
        <w:rPr>
          <w:bCs/>
          <w:sz w:val="24"/>
          <w:szCs w:val="24"/>
        </w:rPr>
        <w:t>自</w:t>
      </w:r>
      <w:r>
        <w:rPr>
          <w:rFonts w:hint="eastAsia"/>
          <w:bCs/>
          <w:sz w:val="24"/>
          <w:szCs w:val="24"/>
        </w:rPr>
        <w:t>2025</w:t>
      </w:r>
      <w:r>
        <w:rPr>
          <w:rFonts w:hint="eastAsia"/>
          <w:bCs/>
          <w:sz w:val="24"/>
          <w:szCs w:val="24"/>
        </w:rPr>
        <w:t>年</w:t>
      </w:r>
      <w:r>
        <w:rPr>
          <w:rFonts w:hint="eastAsia"/>
          <w:bCs/>
          <w:sz w:val="24"/>
          <w:szCs w:val="24"/>
        </w:rPr>
        <w:t>11</w:t>
      </w:r>
      <w:r>
        <w:rPr>
          <w:rFonts w:hint="eastAsia"/>
          <w:bCs/>
          <w:sz w:val="24"/>
          <w:szCs w:val="24"/>
        </w:rPr>
        <w:t>月</w:t>
      </w:r>
      <w:r>
        <w:rPr>
          <w:rFonts w:hint="eastAsia"/>
          <w:bCs/>
          <w:sz w:val="24"/>
          <w:szCs w:val="24"/>
        </w:rPr>
        <w:t>3</w:t>
      </w:r>
      <w:r>
        <w:rPr>
          <w:rFonts w:hint="eastAsia"/>
          <w:bCs/>
          <w:sz w:val="24"/>
          <w:szCs w:val="24"/>
        </w:rPr>
        <w:t>日起至</w:t>
      </w:r>
      <w:r>
        <w:rPr>
          <w:rFonts w:hint="eastAsia"/>
          <w:bCs/>
          <w:sz w:val="24"/>
          <w:szCs w:val="24"/>
        </w:rPr>
        <w:t>2025</w:t>
      </w:r>
      <w:r>
        <w:rPr>
          <w:rFonts w:hint="eastAsia"/>
          <w:bCs/>
          <w:sz w:val="24"/>
          <w:szCs w:val="24"/>
        </w:rPr>
        <w:t>年</w:t>
      </w:r>
      <w:r>
        <w:rPr>
          <w:rFonts w:hint="eastAsia"/>
          <w:bCs/>
          <w:sz w:val="24"/>
          <w:szCs w:val="24"/>
        </w:rPr>
        <w:t>11</w:t>
      </w:r>
      <w:r>
        <w:rPr>
          <w:rFonts w:hint="eastAsia"/>
          <w:bCs/>
          <w:sz w:val="24"/>
          <w:szCs w:val="24"/>
        </w:rPr>
        <w:t>月</w:t>
      </w:r>
      <w:r>
        <w:rPr>
          <w:rFonts w:hint="eastAsia"/>
          <w:bCs/>
          <w:sz w:val="24"/>
          <w:szCs w:val="24"/>
        </w:rPr>
        <w:t>13</w:t>
      </w:r>
      <w:r>
        <w:rPr>
          <w:rFonts w:hint="eastAsia"/>
          <w:bCs/>
          <w:sz w:val="24"/>
          <w:szCs w:val="24"/>
        </w:rPr>
        <w:t>日</w:t>
      </w:r>
      <w:r>
        <w:rPr>
          <w:bCs/>
          <w:sz w:val="24"/>
          <w:szCs w:val="24"/>
        </w:rPr>
        <w:t>止通过销售机构公开发售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r>
        <w:rPr>
          <w:bCs/>
          <w:sz w:val="24"/>
          <w:szCs w:val="24"/>
        </w:rPr>
        <w:t>基金基金份额发售的详细情况，请</w:t>
      </w:r>
      <w:r>
        <w:rPr>
          <w:rFonts w:hint="eastAsia"/>
          <w:bCs/>
          <w:sz w:val="24"/>
          <w:szCs w:val="24"/>
        </w:rPr>
        <w:t>仔细阅读</w:t>
      </w:r>
      <w:r>
        <w:rPr>
          <w:rFonts w:hint="eastAsia"/>
          <w:bCs/>
          <w:sz w:val="24"/>
          <w:szCs w:val="24"/>
        </w:rPr>
        <w:t>2025</w:t>
      </w:r>
      <w:r>
        <w:rPr>
          <w:rFonts w:hint="eastAsia"/>
          <w:bCs/>
          <w:sz w:val="24"/>
          <w:szCs w:val="24"/>
        </w:rPr>
        <w:t>年</w:t>
      </w:r>
      <w:r>
        <w:rPr>
          <w:rFonts w:hint="eastAsia"/>
          <w:bCs/>
          <w:sz w:val="24"/>
          <w:szCs w:val="24"/>
        </w:rPr>
        <w:t>10</w:t>
      </w:r>
      <w:r>
        <w:rPr>
          <w:rFonts w:hint="eastAsia"/>
          <w:bCs/>
          <w:sz w:val="24"/>
          <w:szCs w:val="24"/>
        </w:rPr>
        <w:t>月</w:t>
      </w:r>
      <w:r>
        <w:rPr>
          <w:rFonts w:hint="eastAsia"/>
          <w:bCs/>
          <w:sz w:val="24"/>
          <w:szCs w:val="24"/>
        </w:rPr>
        <w:t>31</w:t>
      </w:r>
      <w:r>
        <w:rPr>
          <w:rFonts w:hint="eastAsia"/>
          <w:bCs/>
          <w:sz w:val="24"/>
          <w:szCs w:val="24"/>
        </w:rPr>
        <w:t>日</w:t>
      </w:r>
      <w:r>
        <w:rPr>
          <w:rFonts w:hint="eastAsia"/>
          <w:sz w:val="24"/>
        </w:rPr>
        <w:t>在本公司网站（</w:t>
      </w:r>
      <w:r>
        <w:rPr>
          <w:rFonts w:hint="eastAsia"/>
          <w:sz w:val="24"/>
        </w:rPr>
        <w:t>www.fund001.com</w:t>
      </w:r>
      <w:r>
        <w:rPr>
          <w:rFonts w:hint="eastAsia"/>
          <w:sz w:val="24"/>
        </w:rPr>
        <w:t>）和中国证监会基金电子披露网站（</w:t>
      </w:r>
      <w:r>
        <w:rPr>
          <w:rFonts w:hint="eastAsia"/>
          <w:sz w:val="24"/>
        </w:rPr>
        <w:t>http://eid.csrc.gov.cn/fund</w:t>
      </w:r>
      <w:r>
        <w:rPr>
          <w:rFonts w:hint="eastAsia"/>
          <w:sz w:val="24"/>
        </w:rPr>
        <w:t>）披露</w:t>
      </w:r>
      <w:r>
        <w:rPr>
          <w:sz w:val="24"/>
        </w:rPr>
        <w:t>的</w:t>
      </w:r>
      <w:r>
        <w:rPr>
          <w:rFonts w:hint="eastAsia"/>
          <w:bCs/>
          <w:sz w:val="24"/>
          <w:szCs w:val="24"/>
        </w:rPr>
        <w:t>交银施罗德远见成长混合型证券投资基金</w:t>
      </w:r>
      <w:r>
        <w:rPr>
          <w:rFonts w:hint="eastAsia"/>
          <w:sz w:val="24"/>
        </w:rPr>
        <w:t>的</w:t>
      </w:r>
      <w:r>
        <w:rPr>
          <w:sz w:val="24"/>
        </w:rPr>
        <w:t>基金份额发售公告、</w:t>
      </w:r>
      <w:r>
        <w:rPr>
          <w:rFonts w:hint="eastAsia"/>
          <w:sz w:val="24"/>
        </w:rPr>
        <w:t>基金合同</w:t>
      </w:r>
      <w:r>
        <w:rPr>
          <w:sz w:val="24"/>
        </w:rPr>
        <w:t>和招募说明书</w:t>
      </w:r>
      <w:r>
        <w:rPr>
          <w:rFonts w:hint="eastAsia"/>
          <w:sz w:val="24"/>
        </w:rPr>
        <w:t>等</w:t>
      </w:r>
      <w:r>
        <w:rPr>
          <w:bCs/>
          <w:sz w:val="24"/>
          <w:szCs w:val="24"/>
        </w:rPr>
        <w:t>。</w:t>
      </w:r>
    </w:p>
    <w:p w:rsidR="008976AD" w:rsidRDefault="007F2D5C">
      <w:pPr>
        <w:adjustRightInd w:val="0"/>
        <w:snapToGrid w:val="0"/>
        <w:spacing w:line="360" w:lineRule="auto"/>
        <w:ind w:firstLineChars="200" w:firstLine="480"/>
        <w:rPr>
          <w:bCs/>
          <w:sz w:val="24"/>
          <w:szCs w:val="24"/>
        </w:rPr>
      </w:pPr>
      <w:r>
        <w:rPr>
          <w:bCs/>
          <w:sz w:val="24"/>
          <w:szCs w:val="24"/>
        </w:rPr>
        <w:t>2</w:t>
      </w:r>
      <w:r>
        <w:rPr>
          <w:bCs/>
          <w:sz w:val="24"/>
          <w:szCs w:val="24"/>
        </w:rPr>
        <w:t>、</w:t>
      </w:r>
      <w:r>
        <w:rPr>
          <w:rFonts w:hint="eastAsia"/>
          <w:bCs/>
          <w:sz w:val="24"/>
          <w:szCs w:val="24"/>
        </w:rPr>
        <w:t>上述</w:t>
      </w:r>
      <w:r>
        <w:rPr>
          <w:bCs/>
          <w:sz w:val="24"/>
          <w:szCs w:val="24"/>
        </w:rPr>
        <w:t>基金的招募说明书、基金份额发售公告、</w:t>
      </w:r>
      <w:r>
        <w:rPr>
          <w:rFonts w:hint="eastAsia"/>
          <w:bCs/>
          <w:sz w:val="24"/>
          <w:szCs w:val="24"/>
        </w:rPr>
        <w:t>基金产品资料概</w:t>
      </w:r>
      <w:r>
        <w:rPr>
          <w:rFonts w:hint="eastAsia"/>
          <w:bCs/>
          <w:sz w:val="24"/>
          <w:szCs w:val="24"/>
        </w:rPr>
        <w:t>要</w:t>
      </w:r>
      <w:r>
        <w:rPr>
          <w:bCs/>
          <w:sz w:val="24"/>
          <w:szCs w:val="24"/>
        </w:rPr>
        <w:t>、基金</w:t>
      </w:r>
      <w:r>
        <w:rPr>
          <w:bCs/>
          <w:sz w:val="24"/>
          <w:szCs w:val="24"/>
        </w:rPr>
        <w:lastRenderedPageBreak/>
        <w:t>合同及其摘要、托管协议同时发布在本公司网站（</w:t>
      </w:r>
      <w:r>
        <w:rPr>
          <w:bCs/>
          <w:sz w:val="24"/>
          <w:szCs w:val="24"/>
        </w:rPr>
        <w:t>www.fund001.com</w:t>
      </w:r>
      <w:r>
        <w:rPr>
          <w:bCs/>
          <w:sz w:val="24"/>
          <w:szCs w:val="24"/>
        </w:rPr>
        <w:t>）。投资人亦可通过本公司网站下载基金申请表格和了解基金募集相关事宜。</w:t>
      </w:r>
    </w:p>
    <w:p w:rsidR="008976AD" w:rsidRDefault="007F2D5C">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rsidR="008976AD" w:rsidRDefault="007F2D5C">
      <w:pPr>
        <w:adjustRightInd w:val="0"/>
        <w:snapToGrid w:val="0"/>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rsidR="008976AD" w:rsidRDefault="007F2D5C">
      <w:pPr>
        <w:adjustRightInd w:val="0"/>
        <w:snapToGrid w:val="0"/>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rsidR="008976AD" w:rsidRDefault="008976AD">
      <w:pPr>
        <w:adjustRightInd w:val="0"/>
        <w:snapToGrid w:val="0"/>
        <w:spacing w:line="360" w:lineRule="auto"/>
        <w:ind w:firstLineChars="200" w:firstLine="480"/>
        <w:rPr>
          <w:bCs/>
          <w:sz w:val="24"/>
          <w:szCs w:val="24"/>
        </w:rPr>
      </w:pPr>
    </w:p>
    <w:p w:rsidR="008976AD" w:rsidRDefault="007F2D5C">
      <w:pPr>
        <w:adjustRightInd w:val="0"/>
        <w:snapToGrid w:val="0"/>
        <w:spacing w:line="360" w:lineRule="auto"/>
        <w:ind w:firstLineChars="200" w:firstLine="480"/>
        <w:outlineLvl w:val="0"/>
        <w:rPr>
          <w:bCs/>
          <w:sz w:val="24"/>
          <w:szCs w:val="24"/>
        </w:rPr>
      </w:pPr>
      <w:r>
        <w:rPr>
          <w:rFonts w:hint="eastAsia"/>
          <w:bCs/>
          <w:sz w:val="24"/>
          <w:szCs w:val="24"/>
        </w:rPr>
        <w:t>二</w:t>
      </w:r>
      <w:r>
        <w:rPr>
          <w:bCs/>
          <w:sz w:val="24"/>
          <w:szCs w:val="24"/>
        </w:rPr>
        <w:t>、投资人可通过以下途径咨询有关详情：</w:t>
      </w:r>
    </w:p>
    <w:p w:rsidR="008976AD" w:rsidRDefault="007F2D5C">
      <w:pPr>
        <w:adjustRightInd w:val="0"/>
        <w:snapToGrid w:val="0"/>
        <w:spacing w:line="360" w:lineRule="auto"/>
        <w:ind w:firstLineChars="200" w:firstLine="480"/>
        <w:rPr>
          <w:rFonts w:hAnsi="宋体"/>
          <w:sz w:val="24"/>
        </w:rPr>
      </w:pPr>
      <w:r>
        <w:rPr>
          <w:rFonts w:hAnsi="宋体" w:hint="eastAsia"/>
          <w:sz w:val="24"/>
        </w:rPr>
        <w:t>交通银行股份有限公司</w:t>
      </w:r>
    </w:p>
    <w:p w:rsidR="008976AD" w:rsidRDefault="007F2D5C">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95559</w:t>
      </w:r>
    </w:p>
    <w:p w:rsidR="008976AD" w:rsidRDefault="007F2D5C">
      <w:pPr>
        <w:adjustRightInd w:val="0"/>
        <w:snapToGrid w:val="0"/>
        <w:spacing w:line="360" w:lineRule="auto"/>
        <w:ind w:firstLineChars="200" w:firstLine="480"/>
        <w:rPr>
          <w:rFonts w:hAnsi="宋体"/>
          <w:sz w:val="24"/>
        </w:rPr>
      </w:pPr>
      <w:r>
        <w:rPr>
          <w:rFonts w:hAnsi="宋体" w:hint="eastAsia"/>
          <w:sz w:val="24"/>
        </w:rPr>
        <w:t>网址：</w:t>
      </w:r>
      <w:r w:rsidRPr="00301AA3">
        <w:rPr>
          <w:rStyle w:val="aff2"/>
          <w:rFonts w:hAnsi="宋体"/>
          <w:color w:val="auto"/>
          <w:sz w:val="24"/>
          <w:u w:val="none"/>
        </w:rPr>
        <w:t>www.bankcomm.com</w:t>
      </w:r>
    </w:p>
    <w:p w:rsidR="008976AD" w:rsidRDefault="008976AD">
      <w:pPr>
        <w:adjustRightInd w:val="0"/>
        <w:snapToGrid w:val="0"/>
        <w:spacing w:line="360" w:lineRule="auto"/>
        <w:ind w:firstLineChars="200" w:firstLine="480"/>
        <w:rPr>
          <w:rFonts w:asciiTheme="minorEastAsia" w:hAnsiTheme="minorEastAsia"/>
          <w:sz w:val="24"/>
          <w:szCs w:val="24"/>
        </w:rPr>
      </w:pPr>
    </w:p>
    <w:p w:rsidR="008976AD" w:rsidRDefault="007F2D5C">
      <w:pPr>
        <w:adjustRightInd w:val="0"/>
        <w:snapToGrid w:val="0"/>
        <w:spacing w:line="360" w:lineRule="auto"/>
        <w:ind w:firstLineChars="200" w:firstLine="480"/>
        <w:rPr>
          <w:bCs/>
          <w:sz w:val="24"/>
          <w:szCs w:val="24"/>
        </w:rPr>
      </w:pPr>
      <w:r>
        <w:rPr>
          <w:bCs/>
          <w:sz w:val="24"/>
          <w:szCs w:val="24"/>
        </w:rPr>
        <w:t>风险提示：</w:t>
      </w:r>
    </w:p>
    <w:p w:rsidR="008976AD" w:rsidRDefault="007F2D5C">
      <w:pPr>
        <w:adjustRightInd w:val="0"/>
        <w:snapToGrid w:val="0"/>
        <w:spacing w:line="360" w:lineRule="auto"/>
        <w:ind w:firstLineChars="200" w:firstLine="48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r>
    </w:p>
    <w:p w:rsidR="008976AD" w:rsidRDefault="007F2D5C">
      <w:pPr>
        <w:adjustRightInd w:val="0"/>
        <w:snapToGrid w:val="0"/>
        <w:spacing w:line="360" w:lineRule="auto"/>
        <w:ind w:firstLineChars="200" w:firstLine="480"/>
        <w:rPr>
          <w:bCs/>
          <w:sz w:val="24"/>
          <w:szCs w:val="24"/>
        </w:rPr>
      </w:pPr>
      <w:r>
        <w:rPr>
          <w:bCs/>
          <w:sz w:val="24"/>
          <w:szCs w:val="24"/>
        </w:rPr>
        <w:t>特此公告。</w:t>
      </w:r>
    </w:p>
    <w:p w:rsidR="008976AD" w:rsidRDefault="008976AD">
      <w:pPr>
        <w:adjustRightInd w:val="0"/>
        <w:snapToGrid w:val="0"/>
        <w:spacing w:line="360" w:lineRule="auto"/>
        <w:rPr>
          <w:bCs/>
          <w:sz w:val="24"/>
          <w:szCs w:val="24"/>
        </w:rPr>
      </w:pPr>
    </w:p>
    <w:p w:rsidR="008976AD" w:rsidRDefault="007F2D5C">
      <w:pPr>
        <w:adjustRightInd w:val="0"/>
        <w:snapToGrid w:val="0"/>
        <w:spacing w:line="360" w:lineRule="auto"/>
        <w:ind w:firstLineChars="200" w:firstLine="480"/>
        <w:jc w:val="right"/>
        <w:rPr>
          <w:bCs/>
          <w:sz w:val="24"/>
          <w:szCs w:val="24"/>
        </w:rPr>
      </w:pPr>
      <w:bookmarkStart w:id="0" w:name="_GoBack"/>
      <w:bookmarkEnd w:id="0"/>
      <w:r>
        <w:rPr>
          <w:bCs/>
          <w:sz w:val="24"/>
          <w:szCs w:val="24"/>
        </w:rPr>
        <w:t>交银施罗德基金管理有限公司</w:t>
      </w:r>
    </w:p>
    <w:p w:rsidR="008976AD" w:rsidRDefault="007F2D5C">
      <w:pPr>
        <w:adjustRightInd w:val="0"/>
        <w:snapToGrid w:val="0"/>
        <w:spacing w:line="360" w:lineRule="auto"/>
        <w:ind w:firstLineChars="200" w:firstLine="480"/>
        <w:jc w:val="right"/>
        <w:rPr>
          <w:sz w:val="24"/>
        </w:rPr>
      </w:pPr>
      <w:r>
        <w:rPr>
          <w:bCs/>
          <w:sz w:val="24"/>
          <w:szCs w:val="24"/>
        </w:rPr>
        <w:t>二〇二</w:t>
      </w:r>
      <w:r>
        <w:rPr>
          <w:rFonts w:hint="eastAsia"/>
          <w:bCs/>
          <w:sz w:val="24"/>
          <w:szCs w:val="24"/>
        </w:rPr>
        <w:t>五</w:t>
      </w:r>
      <w:r>
        <w:rPr>
          <w:bCs/>
          <w:sz w:val="24"/>
          <w:szCs w:val="24"/>
        </w:rPr>
        <w:t>年</w:t>
      </w:r>
      <w:r>
        <w:rPr>
          <w:rFonts w:hint="eastAsia"/>
          <w:bCs/>
          <w:sz w:val="24"/>
          <w:szCs w:val="24"/>
        </w:rPr>
        <w:t>十一</w:t>
      </w:r>
      <w:r>
        <w:rPr>
          <w:bCs/>
          <w:sz w:val="24"/>
          <w:szCs w:val="24"/>
        </w:rPr>
        <w:t>月</w:t>
      </w:r>
      <w:r>
        <w:rPr>
          <w:rFonts w:hint="eastAsia"/>
          <w:bCs/>
          <w:sz w:val="24"/>
          <w:szCs w:val="24"/>
        </w:rPr>
        <w:t>七</w:t>
      </w:r>
      <w:r>
        <w:rPr>
          <w:bCs/>
          <w:sz w:val="24"/>
          <w:szCs w:val="24"/>
        </w:rPr>
        <w:t>日</w:t>
      </w:r>
    </w:p>
    <w:sectPr w:rsidR="008976AD">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D5C" w:rsidRDefault="007F2D5C">
      <w:r>
        <w:separator/>
      </w:r>
    </w:p>
  </w:endnote>
  <w:endnote w:type="continuationSeparator" w:id="0">
    <w:p w:rsidR="007F2D5C" w:rsidRDefault="007F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AD" w:rsidRDefault="007F2D5C">
    <w:pPr>
      <w:pStyle w:val="af3"/>
      <w:jc w:val="center"/>
    </w:pPr>
    <w:r>
      <w:fldChar w:fldCharType="begin"/>
    </w:r>
    <w:r>
      <w:instrText xml:space="preserve"> PAGE   \* MERGEFORMAT </w:instrText>
    </w:r>
    <w:r>
      <w:fldChar w:fldCharType="separate"/>
    </w:r>
    <w:r w:rsidR="00301AA3" w:rsidRPr="00301AA3">
      <w:rPr>
        <w:noProof/>
        <w:lang w:val="zh-CN"/>
      </w:rPr>
      <w:t>1</w:t>
    </w:r>
    <w:r>
      <w:fldChar w:fldCharType="end"/>
    </w:r>
  </w:p>
  <w:p w:rsidR="008976AD" w:rsidRDefault="008976A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D5C" w:rsidRDefault="007F2D5C">
      <w:r>
        <w:separator/>
      </w:r>
    </w:p>
  </w:footnote>
  <w:footnote w:type="continuationSeparator" w:id="0">
    <w:p w:rsidR="007F2D5C" w:rsidRDefault="007F2D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AD" w:rsidRDefault="007F2D5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8976AD" w:rsidRDefault="007F2D5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E6226D5"/>
    <w:rsid w:val="154500F5"/>
    <w:rsid w:val="18C34F8A"/>
    <w:rsid w:val="20F118B7"/>
    <w:rsid w:val="271E1753"/>
    <w:rsid w:val="3E20566B"/>
    <w:rsid w:val="4DCF53C1"/>
    <w:rsid w:val="566249E3"/>
    <w:rsid w:val="5BEA08B3"/>
    <w:rsid w:val="5DB62D7A"/>
    <w:rsid w:val="6B2549B1"/>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49C08F-89DB-44EC-BE42-4DF6D622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qFormat/>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qFormat/>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customStyle="1" w:styleId="24">
    <w:name w:val="修订2"/>
    <w:hidden/>
    <w:uiPriority w:val="99"/>
    <w:semiHidden/>
    <w:qFormat/>
    <w:rPr>
      <w:kern w:val="2"/>
      <w:sz w:val="21"/>
      <w:szCs w:val="21"/>
    </w:rPr>
  </w:style>
  <w:style w:type="paragraph" w:customStyle="1" w:styleId="34">
    <w:name w:val="修订3"/>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C3E6A-CA0E-485C-A7A9-BCDB5D68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Words>
  <Characters>987</Characters>
  <Application>Microsoft Office Word</Application>
  <DocSecurity>0</DocSecurity>
  <Lines>8</Lines>
  <Paragraphs>2</Paragraphs>
  <ScaleCrop>false</ScaleCrop>
  <Company>jysld</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张婧</cp:lastModifiedBy>
  <cp:revision>2</cp:revision>
  <cp:lastPrinted>2015-04-27T09:59:00Z</cp:lastPrinted>
  <dcterms:created xsi:type="dcterms:W3CDTF">2025-11-06T01:53:00Z</dcterms:created>
  <dcterms:modified xsi:type="dcterms:W3CDTF">2025-11-06T01:53:00Z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ADECC0968D47472DB4C594A6048D847F</vt:lpwstr>
  </property>
</Properties>
</file>