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Theme="minorEastAsia" w:hAnsiTheme="minorEastAsia"/>
          <w:sz w:val="28"/>
        </w:rPr>
      </w:pPr>
      <w:r>
        <w:rPr>
          <w:rFonts w:hint="eastAsia" w:asciiTheme="minorEastAsia" w:hAnsiTheme="minorEastAsia"/>
          <w:sz w:val="28"/>
        </w:rPr>
        <w:t>交银施罗德基金管理有限公司关于旗下被动型指数基金</w:t>
      </w:r>
    </w:p>
    <w:p>
      <w:pPr>
        <w:spacing w:before="156" w:beforeLines="50" w:after="156" w:afterLines="50" w:line="360" w:lineRule="auto"/>
        <w:jc w:val="center"/>
        <w:rPr>
          <w:rFonts w:asciiTheme="minorEastAsia" w:hAnsiTheme="minorEastAsia"/>
          <w:sz w:val="28"/>
        </w:rPr>
      </w:pPr>
      <w:r>
        <w:rPr>
          <w:rFonts w:hint="eastAsia" w:asciiTheme="minorEastAsia" w:hAnsiTheme="minorEastAsia"/>
          <w:sz w:val="28"/>
        </w:rPr>
        <w:t>投资关联方证券的公告</w:t>
      </w:r>
    </w:p>
    <w:p>
      <w:pPr>
        <w:spacing w:before="156" w:beforeLines="50" w:after="156" w:afterLines="50" w:line="360" w:lineRule="auto"/>
        <w:ind w:firstLine="420"/>
        <w:rPr>
          <w:rFonts w:asciiTheme="minorEastAsia" w:hAnsiTheme="minorEastAsia"/>
        </w:rPr>
      </w:pPr>
      <w:r>
        <w:rPr>
          <w:rFonts w:hint="eastAsia" w:asciiTheme="minorEastAsia" w:hAnsiTheme="minorEastAsia"/>
        </w:rPr>
        <w:t>根据《中华人民共和国证券投资基金法》、《公开募集证券投资基金运作管理办法》、《关于同意完全按照指数构成比例投资的基金品种按照〈基金法〉规定从事关联交易的复函》等有关规定，在履行相关程序后，允许完全按照有关指数构成比例进行证券投资的基金买卖基金管理人、基金托管人及其控股股东、实际控制人或者与其有重大利害关系的公司发行的证券或承销期内承销销售的证券（以下简称“关联方证券”）。</w:t>
      </w:r>
    </w:p>
    <w:p>
      <w:pPr>
        <w:spacing w:before="156" w:beforeLines="50" w:after="156" w:afterLines="50" w:line="360" w:lineRule="auto"/>
        <w:ind w:firstLine="420"/>
        <w:rPr>
          <w:rFonts w:asciiTheme="minorEastAsia" w:hAnsiTheme="minorEastAsia"/>
        </w:rPr>
      </w:pPr>
      <w:r>
        <w:rPr>
          <w:rFonts w:hint="eastAsia" w:asciiTheme="minorEastAsia" w:hAnsiTheme="minorEastAsia"/>
        </w:rPr>
        <w:t>交银施罗德基金管理有限公司</w:t>
      </w:r>
      <w:r>
        <w:rPr>
          <w:rFonts w:asciiTheme="minorEastAsia" w:hAnsiTheme="minorEastAsia"/>
        </w:rPr>
        <w:t>(以下简称“本公司”)旗下被动型指数基金现阶段主要采用完全复</w:t>
      </w:r>
      <w:r>
        <w:rPr>
          <w:rFonts w:hint="eastAsia" w:asciiTheme="minorEastAsia" w:hAnsiTheme="minorEastAsia"/>
        </w:rPr>
        <w:t>制法进行投资，即按照成份股在标的指数中的组成及其基准权重来构建指数化投资组合。其中公告后即将参与或未来因指数成份股调整可能参与投资的关联方证券情况如下：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552"/>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pPr>
              <w:spacing w:before="156" w:beforeLines="50" w:after="156" w:afterLines="50" w:line="360" w:lineRule="auto"/>
              <w:jc w:val="center"/>
              <w:rPr>
                <w:rFonts w:asciiTheme="minorEastAsia" w:hAnsiTheme="minorEastAsia"/>
                <w:b/>
              </w:rPr>
            </w:pPr>
            <w:r>
              <w:rPr>
                <w:rFonts w:hint="eastAsia" w:asciiTheme="minorEastAsia" w:hAnsiTheme="minorEastAsia"/>
                <w:b/>
              </w:rPr>
              <w:t>基金名称</w:t>
            </w:r>
          </w:p>
        </w:tc>
        <w:tc>
          <w:tcPr>
            <w:tcW w:w="2552" w:type="dxa"/>
          </w:tcPr>
          <w:p>
            <w:pPr>
              <w:spacing w:before="156" w:beforeLines="50" w:after="156" w:afterLines="50" w:line="360" w:lineRule="auto"/>
              <w:jc w:val="center"/>
              <w:rPr>
                <w:rFonts w:asciiTheme="minorEastAsia" w:hAnsiTheme="minorEastAsia"/>
                <w:b/>
              </w:rPr>
            </w:pPr>
            <w:r>
              <w:rPr>
                <w:rFonts w:hint="eastAsia" w:asciiTheme="minorEastAsia" w:hAnsiTheme="minorEastAsia"/>
                <w:b/>
              </w:rPr>
              <w:t>证券名称</w:t>
            </w:r>
          </w:p>
        </w:tc>
        <w:tc>
          <w:tcPr>
            <w:tcW w:w="2205" w:type="dxa"/>
          </w:tcPr>
          <w:p>
            <w:pPr>
              <w:spacing w:before="156" w:beforeLines="50" w:after="156" w:afterLines="50" w:line="360" w:lineRule="auto"/>
              <w:jc w:val="center"/>
              <w:rPr>
                <w:rFonts w:asciiTheme="minorEastAsia" w:hAnsiTheme="minorEastAsia"/>
                <w:b/>
              </w:rPr>
            </w:pPr>
            <w:r>
              <w:rPr>
                <w:rFonts w:hint="eastAsia" w:asciiTheme="minorEastAsia" w:hAnsiTheme="minorEastAsia"/>
                <w:b/>
              </w:rPr>
              <w:t>与本基金的关系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Merge w:val="restart"/>
            <w:vAlign w:val="center"/>
          </w:tcPr>
          <w:p>
            <w:pPr>
              <w:spacing w:before="156" w:beforeLines="50" w:after="156" w:afterLines="50" w:line="360" w:lineRule="auto"/>
              <w:rPr>
                <w:rFonts w:asciiTheme="minorEastAsia" w:hAnsiTheme="minorEastAsia"/>
              </w:rPr>
            </w:pPr>
            <w:r>
              <w:rPr>
                <w:rFonts w:hint="eastAsia" w:asciiTheme="minorEastAsia" w:hAnsiTheme="minorEastAsia"/>
              </w:rPr>
              <w:t>交银施罗德中证港股通央企红利</w:t>
            </w:r>
            <w:r>
              <w:rPr>
                <w:rFonts w:asciiTheme="minorEastAsia" w:hAnsiTheme="minorEastAsia"/>
              </w:rPr>
              <w:t>指数型证券投资基金</w:t>
            </w:r>
            <w:r>
              <w:rPr>
                <w:rFonts w:hint="eastAsia" w:asciiTheme="minorEastAsia" w:hAnsiTheme="minorEastAsia"/>
              </w:rPr>
              <w:t>（基金主代码：</w:t>
            </w:r>
            <w:r>
              <w:rPr>
                <w:rFonts w:asciiTheme="minorEastAsia" w:hAnsiTheme="minorEastAsia"/>
              </w:rPr>
              <w:t>025189</w:t>
            </w:r>
            <w:r>
              <w:rPr>
                <w:rFonts w:hint="eastAsia" w:asciiTheme="minorEastAsia" w:hAnsiTheme="minorEastAsia"/>
              </w:rPr>
              <w:t>）</w:t>
            </w:r>
          </w:p>
          <w:p>
            <w:pPr>
              <w:spacing w:before="156" w:beforeLines="50" w:after="156" w:afterLines="50" w:line="360" w:lineRule="auto"/>
              <w:rPr>
                <w:rFonts w:asciiTheme="minorEastAsia" w:hAnsiTheme="minorEastAsia"/>
              </w:rPr>
            </w:pPr>
          </w:p>
        </w:tc>
        <w:tc>
          <w:tcPr>
            <w:tcW w:w="2552" w:type="dxa"/>
          </w:tcPr>
          <w:p>
            <w:pPr>
              <w:spacing w:before="156" w:beforeLines="50" w:after="156" w:afterLines="50" w:line="360" w:lineRule="auto"/>
              <w:rPr>
                <w:rFonts w:asciiTheme="minorEastAsia" w:hAnsiTheme="minorEastAsia"/>
              </w:rPr>
            </w:pPr>
            <w:r>
              <w:rPr>
                <w:rFonts w:hint="eastAsia" w:asciiTheme="minorEastAsia" w:hAnsiTheme="minorEastAsia"/>
              </w:rPr>
              <w:t>交通银行（</w:t>
            </w:r>
            <w:r>
              <w:rPr>
                <w:rFonts w:asciiTheme="minorEastAsia" w:hAnsiTheme="minorEastAsia"/>
              </w:rPr>
              <w:t>3328.HK）</w:t>
            </w:r>
          </w:p>
        </w:tc>
        <w:tc>
          <w:tcPr>
            <w:tcW w:w="2205" w:type="dxa"/>
          </w:tcPr>
          <w:p>
            <w:pPr>
              <w:spacing w:before="156" w:beforeLines="50" w:after="156" w:afterLines="50" w:line="360" w:lineRule="auto"/>
              <w:rPr>
                <w:rFonts w:asciiTheme="minorEastAsia" w:hAnsiTheme="minorEastAsia"/>
              </w:rPr>
            </w:pPr>
            <w:r>
              <w:rPr>
                <w:rFonts w:hint="eastAsia" w:asciiTheme="minorEastAsia" w:hAnsiTheme="minorEastAsia"/>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Merge w:val="continue"/>
          </w:tcPr>
          <w:p>
            <w:pPr>
              <w:spacing w:before="156" w:beforeLines="50" w:after="156" w:afterLines="50" w:line="360" w:lineRule="auto"/>
              <w:rPr>
                <w:rFonts w:asciiTheme="minorEastAsia" w:hAnsiTheme="minorEastAsia"/>
              </w:rPr>
            </w:pPr>
          </w:p>
        </w:tc>
        <w:tc>
          <w:tcPr>
            <w:tcW w:w="2552" w:type="dxa"/>
          </w:tcPr>
          <w:p>
            <w:pPr>
              <w:spacing w:before="156" w:beforeLines="50" w:after="156" w:afterLines="50" w:line="360" w:lineRule="auto"/>
              <w:rPr>
                <w:rFonts w:asciiTheme="minorEastAsia" w:hAnsiTheme="minorEastAsia"/>
              </w:rPr>
            </w:pPr>
            <w:r>
              <w:rPr>
                <w:rFonts w:hint="eastAsia" w:asciiTheme="minorEastAsia" w:hAnsiTheme="minorEastAsia"/>
              </w:rPr>
              <w:t>中集集团（</w:t>
            </w:r>
            <w:r>
              <w:rPr>
                <w:rFonts w:asciiTheme="minorEastAsia" w:hAnsiTheme="minorEastAsia"/>
              </w:rPr>
              <w:t>2039.HK）</w:t>
            </w:r>
          </w:p>
        </w:tc>
        <w:tc>
          <w:tcPr>
            <w:tcW w:w="2205" w:type="dxa"/>
          </w:tcPr>
          <w:p>
            <w:pPr>
              <w:spacing w:before="156" w:beforeLines="50" w:after="156" w:afterLines="50" w:line="360" w:lineRule="auto"/>
              <w:rPr>
                <w:rFonts w:asciiTheme="minorEastAsia" w:hAnsiTheme="minorEastAsia"/>
              </w:rPr>
            </w:pPr>
            <w:r>
              <w:rPr>
                <w:rFonts w:hint="eastAsia" w:asciiTheme="minorEastAsia" w:hAnsiTheme="minorEastAsia"/>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Merge w:val="continue"/>
          </w:tcPr>
          <w:p>
            <w:pPr>
              <w:spacing w:before="156" w:beforeLines="50" w:after="156" w:afterLines="50" w:line="360" w:lineRule="auto"/>
              <w:rPr>
                <w:rFonts w:asciiTheme="minorEastAsia" w:hAnsiTheme="minorEastAsia"/>
              </w:rPr>
            </w:pPr>
          </w:p>
        </w:tc>
        <w:tc>
          <w:tcPr>
            <w:tcW w:w="2552" w:type="dxa"/>
          </w:tcPr>
          <w:p>
            <w:pPr>
              <w:spacing w:before="156" w:beforeLines="50" w:after="156" w:afterLines="50" w:line="360" w:lineRule="auto"/>
              <w:rPr>
                <w:rFonts w:asciiTheme="minorEastAsia" w:hAnsiTheme="minorEastAsia"/>
              </w:rPr>
            </w:pPr>
            <w:r>
              <w:rPr>
                <w:rFonts w:hint="eastAsia" w:asciiTheme="minorEastAsia" w:hAnsiTheme="minorEastAsia"/>
              </w:rPr>
              <w:t>中信建投证券（</w:t>
            </w:r>
            <w:r>
              <w:rPr>
                <w:rFonts w:asciiTheme="minorEastAsia" w:hAnsiTheme="minorEastAsia"/>
              </w:rPr>
              <w:t>6066.HK）</w:t>
            </w:r>
          </w:p>
        </w:tc>
        <w:tc>
          <w:tcPr>
            <w:tcW w:w="2205" w:type="dxa"/>
          </w:tcPr>
          <w:p>
            <w:pPr>
              <w:spacing w:before="156" w:beforeLines="50" w:after="156" w:afterLines="50" w:line="360" w:lineRule="auto"/>
              <w:rPr>
                <w:rFonts w:asciiTheme="minorEastAsia" w:hAnsiTheme="minorEastAsia"/>
              </w:rPr>
            </w:pPr>
            <w:r>
              <w:rPr>
                <w:rFonts w:hint="eastAsia" w:asciiTheme="minorEastAsia" w:hAnsiTheme="minorEastAsia"/>
              </w:rPr>
              <w:t>基金托管人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Merge w:val="continue"/>
          </w:tcPr>
          <w:p>
            <w:pPr>
              <w:spacing w:before="156" w:beforeLines="50" w:after="156" w:afterLines="50" w:line="360" w:lineRule="auto"/>
              <w:rPr>
                <w:rFonts w:asciiTheme="minorEastAsia" w:hAnsiTheme="minorEastAsia"/>
              </w:rPr>
            </w:pPr>
          </w:p>
        </w:tc>
        <w:tc>
          <w:tcPr>
            <w:tcW w:w="2552" w:type="dxa"/>
          </w:tcPr>
          <w:p>
            <w:pPr>
              <w:spacing w:before="156" w:beforeLines="50" w:after="156" w:afterLines="50" w:line="360" w:lineRule="auto"/>
              <w:rPr>
                <w:rFonts w:asciiTheme="minorEastAsia" w:hAnsiTheme="minorEastAsia"/>
              </w:rPr>
            </w:pPr>
            <w:r>
              <w:rPr>
                <w:rFonts w:hint="eastAsia" w:asciiTheme="minorEastAsia" w:hAnsiTheme="minorEastAsia"/>
              </w:rPr>
              <w:t>中信证券（</w:t>
            </w:r>
            <w:r>
              <w:rPr>
                <w:rFonts w:asciiTheme="minorEastAsia" w:hAnsiTheme="minorEastAsia"/>
              </w:rPr>
              <w:t>6030.HK</w:t>
            </w:r>
            <w:r>
              <w:rPr>
                <w:rFonts w:hint="eastAsia" w:asciiTheme="minorEastAsia" w:hAnsiTheme="minorEastAsia"/>
              </w:rPr>
              <w:t>）</w:t>
            </w:r>
          </w:p>
        </w:tc>
        <w:tc>
          <w:tcPr>
            <w:tcW w:w="2205" w:type="dxa"/>
          </w:tcPr>
          <w:p>
            <w:pPr>
              <w:spacing w:before="156" w:beforeLines="50" w:after="156" w:afterLines="50" w:line="360" w:lineRule="auto"/>
              <w:rPr>
                <w:rFonts w:asciiTheme="minorEastAsia" w:hAnsiTheme="minorEastAsia"/>
              </w:rPr>
            </w:pPr>
            <w:r>
              <w:rPr>
                <w:rFonts w:hint="eastAsia" w:asciiTheme="minorEastAsia" w:hAnsiTheme="minorEastAsia"/>
              </w:rPr>
              <w:t>基金托管人的股东</w:t>
            </w:r>
          </w:p>
        </w:tc>
      </w:tr>
    </w:tbl>
    <w:p>
      <w:pPr>
        <w:spacing w:before="156" w:beforeLines="50" w:after="156" w:afterLines="50" w:line="360" w:lineRule="auto"/>
        <w:ind w:firstLine="420"/>
        <w:rPr>
          <w:rFonts w:asciiTheme="minorEastAsia" w:hAnsiTheme="minorEastAsia"/>
        </w:rPr>
      </w:pPr>
      <w:r>
        <w:rPr>
          <w:rFonts w:hint="eastAsia" w:asciiTheme="minorEastAsia" w:hAnsiTheme="minorEastAsia"/>
        </w:rPr>
        <w:t>为最大限度地降低上述基金投资的跟踪误差，保护基金份额持有人的合法权益，经与基金托管人协商一致，按规定履行相关程序后，本公司将上述证券纳入基金的投资标的，并将严格按法律、法规和上述基金基金合同的规定，按其标的指数成份股构成比例进行日常投资管理。相关投资情况将按规定在基金的定期报告中进行披露。</w:t>
      </w:r>
    </w:p>
    <w:p>
      <w:pPr>
        <w:spacing w:before="156" w:beforeLines="50" w:after="156" w:afterLines="50" w:line="360" w:lineRule="auto"/>
        <w:ind w:firstLine="420"/>
        <w:rPr>
          <w:rFonts w:asciiTheme="minorEastAsia" w:hAnsiTheme="minorEastAsia"/>
        </w:rPr>
      </w:pPr>
      <w:r>
        <w:rPr>
          <w:rFonts w:hint="eastAsia" w:asciiTheme="minorEastAsia" w:hAnsiTheme="minorEastAsia"/>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spacing w:before="156" w:beforeLines="50" w:after="156" w:afterLines="50" w:line="360" w:lineRule="auto"/>
        <w:ind w:firstLine="420"/>
        <w:rPr>
          <w:rFonts w:asciiTheme="minorEastAsia" w:hAnsiTheme="minorEastAsia"/>
        </w:rPr>
      </w:pPr>
      <w:r>
        <w:rPr>
          <w:rFonts w:hint="eastAsia" w:asciiTheme="minorEastAsia" w:hAnsiTheme="minorEastAsia"/>
        </w:rPr>
        <w:t>特此公告。</w:t>
      </w:r>
    </w:p>
    <w:p>
      <w:pPr>
        <w:spacing w:line="360" w:lineRule="auto"/>
        <w:ind w:firstLine="420"/>
        <w:rPr>
          <w:rFonts w:asciiTheme="minorEastAsia" w:hAnsiTheme="minorEastAsia"/>
        </w:rPr>
      </w:pPr>
    </w:p>
    <w:p>
      <w:pPr>
        <w:spacing w:line="360" w:lineRule="auto"/>
        <w:ind w:firstLine="420"/>
        <w:rPr>
          <w:rFonts w:asciiTheme="minorEastAsia" w:hAnsiTheme="minorEastAsia"/>
        </w:rPr>
      </w:pPr>
    </w:p>
    <w:p>
      <w:pPr>
        <w:spacing w:line="360" w:lineRule="auto"/>
        <w:ind w:firstLine="420"/>
        <w:jc w:val="right"/>
        <w:rPr>
          <w:rFonts w:asciiTheme="minorEastAsia" w:hAnsiTheme="minorEastAsia"/>
        </w:rPr>
      </w:pPr>
      <w:r>
        <w:rPr>
          <w:rFonts w:hint="eastAsia" w:asciiTheme="minorEastAsia" w:hAnsiTheme="minorEastAsia"/>
        </w:rPr>
        <w:t>交银施罗德基金管理有限公司</w:t>
      </w:r>
    </w:p>
    <w:p>
      <w:pPr>
        <w:spacing w:line="360" w:lineRule="auto"/>
        <w:ind w:firstLine="420"/>
        <w:jc w:val="right"/>
        <w:rPr>
          <w:rFonts w:asciiTheme="minorEastAsia" w:hAnsiTheme="minorEastAsia"/>
        </w:rPr>
      </w:pPr>
      <w:r>
        <w:rPr>
          <w:rFonts w:hint="eastAsia" w:asciiTheme="minorEastAsia" w:hAnsiTheme="minorEastAsia"/>
        </w:rPr>
        <w:t>二〇二五年十月二十</w:t>
      </w:r>
      <w:r>
        <w:rPr>
          <w:rFonts w:hint="eastAsia" w:asciiTheme="minorEastAsia" w:hAnsiTheme="minorEastAsia"/>
          <w:lang w:val="en-US" w:eastAsia="zh-CN"/>
        </w:rPr>
        <w:t>九</w:t>
      </w:r>
      <w:bookmarkStart w:id="0" w:name="_GoBack"/>
      <w:bookmarkEnd w:id="0"/>
      <w:r>
        <w:rPr>
          <w:rFonts w:hint="eastAsia" w:asciiTheme="minorEastAsia" w:hAnsiTheme="minor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78"/>
    <w:rsid w:val="000A1E76"/>
    <w:rsid w:val="000A26A2"/>
    <w:rsid w:val="000C41F7"/>
    <w:rsid w:val="00110674"/>
    <w:rsid w:val="0022050F"/>
    <w:rsid w:val="0023355D"/>
    <w:rsid w:val="002410AB"/>
    <w:rsid w:val="002453F1"/>
    <w:rsid w:val="002664F8"/>
    <w:rsid w:val="002B338C"/>
    <w:rsid w:val="002B7641"/>
    <w:rsid w:val="002C6489"/>
    <w:rsid w:val="002D5CBD"/>
    <w:rsid w:val="002F6778"/>
    <w:rsid w:val="00313CFB"/>
    <w:rsid w:val="00386AE1"/>
    <w:rsid w:val="003B5C42"/>
    <w:rsid w:val="003E67B3"/>
    <w:rsid w:val="004639EC"/>
    <w:rsid w:val="004F3D7E"/>
    <w:rsid w:val="00503968"/>
    <w:rsid w:val="00552191"/>
    <w:rsid w:val="006B4867"/>
    <w:rsid w:val="006E275B"/>
    <w:rsid w:val="00745ECA"/>
    <w:rsid w:val="00827F4D"/>
    <w:rsid w:val="008967A4"/>
    <w:rsid w:val="008A1B0D"/>
    <w:rsid w:val="009D40CB"/>
    <w:rsid w:val="00A57F5E"/>
    <w:rsid w:val="00A876F9"/>
    <w:rsid w:val="00AD1B80"/>
    <w:rsid w:val="00B262C2"/>
    <w:rsid w:val="00B76D86"/>
    <w:rsid w:val="00BA3A08"/>
    <w:rsid w:val="00C00DCE"/>
    <w:rsid w:val="00C37020"/>
    <w:rsid w:val="00C67398"/>
    <w:rsid w:val="00D02642"/>
    <w:rsid w:val="00D1558E"/>
    <w:rsid w:val="00D437C0"/>
    <w:rsid w:val="00D45FD2"/>
    <w:rsid w:val="00D852BC"/>
    <w:rsid w:val="00F146A5"/>
    <w:rsid w:val="00FC3F60"/>
    <w:rsid w:val="5CE0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uiPriority w:val="99"/>
  </w:style>
  <w:style w:type="character" w:customStyle="1" w:styleId="15">
    <w:name w:val="批注主题 字符"/>
    <w:basedOn w:val="14"/>
    <w:link w:val="6"/>
    <w:semiHidden/>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Words>
  <Characters>684</Characters>
  <Lines>5</Lines>
  <Paragraphs>1</Paragraphs>
  <TotalTime>151</TotalTime>
  <ScaleCrop>false</ScaleCrop>
  <LinksUpToDate>false</LinksUpToDate>
  <CharactersWithSpaces>802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史云霞</dc:creator>
  <cp:lastModifiedBy>haotingting</cp:lastModifiedBy>
  <dcterms:modified xsi:type="dcterms:W3CDTF">2025-10-28T03:07:16Z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664494E9B1C24FAC8455099100A326CA</vt:lpwstr>
  </property>
</Properties>
</file>