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3B" w:rsidRDefault="00CD209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</w:t>
      </w:r>
      <w:r>
        <w:rPr>
          <w:rFonts w:eastAsiaTheme="minorEastAsia" w:hAnsiTheme="minorEastAsia" w:hint="eastAsia"/>
          <w:b/>
          <w:kern w:val="0"/>
          <w:sz w:val="30"/>
          <w:szCs w:val="30"/>
        </w:rPr>
        <w:t>交银施罗德恒生港股通创新药精选指数型证券投资基金</w:t>
      </w:r>
      <w:r>
        <w:rPr>
          <w:rFonts w:eastAsiaTheme="minorEastAsia" w:hAnsiTheme="minorEastAsia"/>
          <w:b/>
          <w:kern w:val="0"/>
          <w:sz w:val="30"/>
          <w:szCs w:val="30"/>
        </w:rPr>
        <w:t>暂停转换</w:t>
      </w:r>
      <w:r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4E503B" w:rsidRDefault="00CD209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2025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10</w:t>
      </w:r>
      <w:r>
        <w:rPr>
          <w:rFonts w:eastAsiaTheme="minorEastAsia" w:hint="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28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4E503B" w:rsidRDefault="004E503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4E503B" w:rsidRDefault="00CD209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2894"/>
        <w:gridCol w:w="3404"/>
      </w:tblGrid>
      <w:tr w:rsidR="004E503B">
        <w:tc>
          <w:tcPr>
            <w:tcW w:w="2491" w:type="dxa"/>
          </w:tcPr>
          <w:p w:rsidR="004E503B" w:rsidRDefault="00CD209B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298" w:type="dxa"/>
            <w:gridSpan w:val="2"/>
            <w:vAlign w:val="center"/>
          </w:tcPr>
          <w:p w:rsidR="004E503B" w:rsidRDefault="00CD209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交银施罗德恒生港股通创新药精选指数型证券投资基金</w:t>
            </w:r>
          </w:p>
        </w:tc>
      </w:tr>
      <w:tr w:rsidR="004E503B">
        <w:tc>
          <w:tcPr>
            <w:tcW w:w="2491" w:type="dxa"/>
          </w:tcPr>
          <w:p w:rsidR="004E503B" w:rsidRDefault="00CD209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298" w:type="dxa"/>
            <w:gridSpan w:val="2"/>
            <w:vAlign w:val="center"/>
          </w:tcPr>
          <w:p w:rsidR="004E503B" w:rsidRDefault="00CD209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交银恒生港股通创新药精选指数</w:t>
            </w:r>
          </w:p>
        </w:tc>
      </w:tr>
      <w:tr w:rsidR="004E503B">
        <w:tc>
          <w:tcPr>
            <w:tcW w:w="2491" w:type="dxa"/>
          </w:tcPr>
          <w:p w:rsidR="004E503B" w:rsidRDefault="00CD209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298" w:type="dxa"/>
            <w:gridSpan w:val="2"/>
            <w:vAlign w:val="center"/>
          </w:tcPr>
          <w:p w:rsidR="004E503B" w:rsidRDefault="00CD209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24926</w:t>
            </w:r>
          </w:p>
        </w:tc>
      </w:tr>
      <w:tr w:rsidR="004E503B">
        <w:tc>
          <w:tcPr>
            <w:tcW w:w="2491" w:type="dxa"/>
          </w:tcPr>
          <w:p w:rsidR="004E503B" w:rsidRDefault="00CD209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298" w:type="dxa"/>
            <w:gridSpan w:val="2"/>
            <w:vAlign w:val="center"/>
          </w:tcPr>
          <w:p w:rsidR="004E503B" w:rsidRDefault="00CD209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4E503B">
        <w:tc>
          <w:tcPr>
            <w:tcW w:w="2491" w:type="dxa"/>
          </w:tcPr>
          <w:p w:rsidR="004E503B" w:rsidRDefault="00CD209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298" w:type="dxa"/>
            <w:gridSpan w:val="2"/>
            <w:vAlign w:val="center"/>
          </w:tcPr>
          <w:p w:rsidR="004E503B" w:rsidRDefault="00CD209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《交银施罗德恒生港股通创新药精选指数型证券投资基金基金合同》、《交银施罗德恒生港股通创新药精选指数型证券投资基金招募说明书》等</w:t>
            </w:r>
          </w:p>
        </w:tc>
      </w:tr>
      <w:tr w:rsidR="004E503B">
        <w:tc>
          <w:tcPr>
            <w:tcW w:w="2491" w:type="dxa"/>
            <w:vMerge w:val="restart"/>
          </w:tcPr>
          <w:p w:rsidR="004E503B" w:rsidRDefault="00CD209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94" w:type="dxa"/>
          </w:tcPr>
          <w:p w:rsidR="004E503B" w:rsidRDefault="00CD209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暂停转换转入起始日</w:t>
            </w:r>
          </w:p>
        </w:tc>
        <w:tc>
          <w:tcPr>
            <w:tcW w:w="3404" w:type="dxa"/>
            <w:vAlign w:val="center"/>
          </w:tcPr>
          <w:p w:rsidR="004E503B" w:rsidRDefault="00CD209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2025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10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29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4E503B">
        <w:tc>
          <w:tcPr>
            <w:tcW w:w="2491" w:type="dxa"/>
            <w:vMerge/>
          </w:tcPr>
          <w:p w:rsidR="004E503B" w:rsidRDefault="004E503B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4E503B" w:rsidRDefault="00CD209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转换转出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404" w:type="dxa"/>
            <w:vAlign w:val="center"/>
          </w:tcPr>
          <w:p w:rsidR="004E503B" w:rsidRDefault="00CD209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2025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10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29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4E503B">
        <w:tc>
          <w:tcPr>
            <w:tcW w:w="2491" w:type="dxa"/>
            <w:vMerge/>
          </w:tcPr>
          <w:p w:rsidR="004E503B" w:rsidRDefault="004E503B"/>
        </w:tc>
        <w:tc>
          <w:tcPr>
            <w:tcW w:w="2894" w:type="dxa"/>
          </w:tcPr>
          <w:p w:rsidR="004E503B" w:rsidRDefault="00CD209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暂停转换转入、</w:t>
            </w: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转换转出业务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4" w:type="dxa"/>
          </w:tcPr>
          <w:p w:rsidR="004E503B" w:rsidRDefault="00CD209B">
            <w:pPr>
              <w:rPr>
                <w:rFonts w:eastAsiaTheme="minorEastAsia"/>
                <w:sz w:val="24"/>
                <w:szCs w:val="24"/>
              </w:rPr>
            </w:pPr>
            <w:r w:rsidRPr="00C60993">
              <w:rPr>
                <w:rFonts w:eastAsiaTheme="minorEastAsia" w:hAnsiTheme="minorEastAsia" w:hint="eastAsia"/>
                <w:sz w:val="24"/>
                <w:szCs w:val="24"/>
              </w:rPr>
              <w:t>基金运作管理需要。</w:t>
            </w:r>
          </w:p>
        </w:tc>
      </w:tr>
      <w:tr w:rsidR="004E503B">
        <w:tc>
          <w:tcPr>
            <w:tcW w:w="2491" w:type="dxa"/>
            <w:vAlign w:val="center"/>
          </w:tcPr>
          <w:p w:rsidR="004E503B" w:rsidRDefault="00CD209B">
            <w:r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2894" w:type="dxa"/>
            <w:vAlign w:val="center"/>
          </w:tcPr>
          <w:p w:rsidR="004E503B" w:rsidRDefault="00CD209B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交银恒生港股通创新药精选指数</w:t>
            </w:r>
            <w:r>
              <w:rPr>
                <w:rFonts w:eastAsia="宋体" w:hint="eastAsia"/>
                <w:sz w:val="24"/>
              </w:rPr>
              <w:t>A</w:t>
            </w:r>
          </w:p>
        </w:tc>
        <w:tc>
          <w:tcPr>
            <w:tcW w:w="3404" w:type="dxa"/>
            <w:vAlign w:val="center"/>
          </w:tcPr>
          <w:p w:rsidR="004E503B" w:rsidRDefault="00CD209B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交银恒生港股通创新药精选指数</w:t>
            </w:r>
            <w:r>
              <w:rPr>
                <w:rFonts w:eastAsia="宋体" w:hint="eastAsia"/>
                <w:sz w:val="24"/>
              </w:rPr>
              <w:t>C</w:t>
            </w:r>
          </w:p>
        </w:tc>
      </w:tr>
      <w:tr w:rsidR="004E503B">
        <w:tc>
          <w:tcPr>
            <w:tcW w:w="2491" w:type="dxa"/>
            <w:vAlign w:val="center"/>
          </w:tcPr>
          <w:p w:rsidR="004E503B" w:rsidRDefault="00CD209B">
            <w:r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2894" w:type="dxa"/>
            <w:vAlign w:val="center"/>
          </w:tcPr>
          <w:p w:rsidR="004E503B" w:rsidRDefault="00CD209B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0</w:t>
            </w:r>
            <w:r>
              <w:rPr>
                <w:rFonts w:eastAsia="宋体"/>
                <w:sz w:val="24"/>
              </w:rPr>
              <w:t>24926</w:t>
            </w:r>
          </w:p>
        </w:tc>
        <w:tc>
          <w:tcPr>
            <w:tcW w:w="3404" w:type="dxa"/>
            <w:vAlign w:val="center"/>
          </w:tcPr>
          <w:p w:rsidR="004E503B" w:rsidRDefault="00CD209B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0</w:t>
            </w:r>
            <w:r>
              <w:rPr>
                <w:rFonts w:eastAsia="宋体"/>
                <w:sz w:val="24"/>
              </w:rPr>
              <w:t>24927</w:t>
            </w:r>
          </w:p>
        </w:tc>
      </w:tr>
      <w:tr w:rsidR="004E503B">
        <w:tc>
          <w:tcPr>
            <w:tcW w:w="2491" w:type="dxa"/>
          </w:tcPr>
          <w:p w:rsidR="004E503B" w:rsidRDefault="00CD209B">
            <w:r>
              <w:rPr>
                <w:rFonts w:eastAsia="宋体" w:hint="eastAsia"/>
                <w:sz w:val="24"/>
              </w:rPr>
              <w:t>该分级基金是否暂停转换转入</w:t>
            </w:r>
            <w:r>
              <w:rPr>
                <w:rFonts w:eastAsia="宋体"/>
                <w:sz w:val="24"/>
              </w:rPr>
              <w:t>、</w:t>
            </w:r>
            <w:r>
              <w:rPr>
                <w:rFonts w:eastAsia="宋体" w:hint="eastAsia"/>
                <w:sz w:val="24"/>
              </w:rPr>
              <w:t>转换转出业务</w:t>
            </w:r>
          </w:p>
        </w:tc>
        <w:tc>
          <w:tcPr>
            <w:tcW w:w="2894" w:type="dxa"/>
            <w:vAlign w:val="center"/>
          </w:tcPr>
          <w:p w:rsidR="004E503B" w:rsidRDefault="00CD209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3404" w:type="dxa"/>
            <w:vAlign w:val="center"/>
          </w:tcPr>
          <w:p w:rsidR="004E503B" w:rsidRDefault="00CD209B">
            <w:pPr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4E503B" w:rsidRDefault="00CD209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4E503B" w:rsidRDefault="00CD209B">
      <w:pPr>
        <w:spacing w:line="360" w:lineRule="auto"/>
        <w:ind w:firstLineChars="200" w:firstLine="480"/>
        <w:rPr>
          <w:rFonts w:eastAsiaTheme="minorEastAsia" w:hAnsi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1</w:t>
      </w:r>
      <w:r>
        <w:rPr>
          <w:rFonts w:eastAsiaTheme="minorEastAsia" w:hAnsiTheme="minorEastAsia"/>
          <w:sz w:val="24"/>
          <w:szCs w:val="24"/>
        </w:rPr>
        <w:t>）</w:t>
      </w:r>
      <w:r>
        <w:rPr>
          <w:rFonts w:eastAsiaTheme="minorEastAsia" w:hAnsiTheme="minorEastAsia" w:hint="eastAsia"/>
          <w:sz w:val="24"/>
          <w:szCs w:val="24"/>
        </w:rPr>
        <w:t>为保证基金的平稳运作，维护基金份额持有人利益，本基金自</w:t>
      </w:r>
      <w:r>
        <w:rPr>
          <w:rFonts w:eastAsiaTheme="minorEastAsia" w:hAnsiTheme="minorEastAsia" w:hint="eastAsia"/>
          <w:sz w:val="24"/>
          <w:szCs w:val="24"/>
        </w:rPr>
        <w:t>2</w:t>
      </w:r>
      <w:r>
        <w:rPr>
          <w:rFonts w:eastAsiaTheme="minorEastAsia" w:hAnsiTheme="minorEastAsia"/>
          <w:sz w:val="24"/>
          <w:szCs w:val="24"/>
        </w:rPr>
        <w:t>025</w:t>
      </w:r>
      <w:r>
        <w:rPr>
          <w:rFonts w:eastAsiaTheme="minorEastAsia" w:hAnsiTheme="minorEastAsia" w:hint="eastAsia"/>
          <w:sz w:val="24"/>
          <w:szCs w:val="24"/>
        </w:rPr>
        <w:t>年</w:t>
      </w:r>
      <w:r>
        <w:rPr>
          <w:rFonts w:eastAsiaTheme="minorEastAsia" w:hAnsiTheme="minorEastAsia" w:hint="eastAsia"/>
          <w:sz w:val="24"/>
          <w:szCs w:val="24"/>
        </w:rPr>
        <w:t>1</w:t>
      </w:r>
      <w:r>
        <w:rPr>
          <w:rFonts w:eastAsiaTheme="minorEastAsia" w:hAnsiTheme="minorEastAsia"/>
          <w:sz w:val="24"/>
          <w:szCs w:val="24"/>
        </w:rPr>
        <w:t>0</w:t>
      </w:r>
      <w:r>
        <w:rPr>
          <w:rFonts w:eastAsiaTheme="minorEastAsia" w:hAnsiTheme="minorEastAsia" w:hint="eastAsia"/>
          <w:sz w:val="24"/>
          <w:szCs w:val="24"/>
        </w:rPr>
        <w:t>月</w:t>
      </w:r>
      <w:r>
        <w:rPr>
          <w:rFonts w:eastAsiaTheme="minorEastAsia" w:hAnsiTheme="minorEastAsia"/>
          <w:sz w:val="24"/>
          <w:szCs w:val="24"/>
        </w:rPr>
        <w:t>29</w:t>
      </w:r>
      <w:r>
        <w:rPr>
          <w:rFonts w:eastAsiaTheme="minorEastAsia" w:hAnsiTheme="minorEastAsia" w:hint="eastAsia"/>
          <w:sz w:val="24"/>
          <w:szCs w:val="24"/>
        </w:rPr>
        <w:t>日起暂停转换转入和转换转出业务。</w:t>
      </w:r>
    </w:p>
    <w:p w:rsidR="004E503B" w:rsidRDefault="00CD209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（</w:t>
      </w:r>
      <w:r>
        <w:rPr>
          <w:rFonts w:eastAsiaTheme="minorEastAsia" w:hAnsiTheme="minorEastAsia" w:hint="eastAsia"/>
          <w:sz w:val="24"/>
          <w:szCs w:val="24"/>
        </w:rPr>
        <w:t>2</w:t>
      </w:r>
      <w:r>
        <w:rPr>
          <w:rFonts w:eastAsiaTheme="minorEastAsia" w:hAnsiTheme="minorEastAsia" w:hint="eastAsia"/>
          <w:sz w:val="24"/>
          <w:szCs w:val="24"/>
        </w:rPr>
        <w:t>）</w:t>
      </w:r>
      <w:r>
        <w:rPr>
          <w:rFonts w:eastAsiaTheme="minorEastAsia" w:hAnsiTheme="minorEastAsia"/>
          <w:sz w:val="24"/>
          <w:szCs w:val="24"/>
        </w:rPr>
        <w:t>在本基金暂停</w:t>
      </w:r>
      <w:r>
        <w:rPr>
          <w:rFonts w:eastAsiaTheme="minorEastAsia" w:hAnsiTheme="minorEastAsia" w:hint="eastAsia"/>
          <w:sz w:val="24"/>
          <w:szCs w:val="24"/>
        </w:rPr>
        <w:t>转换转入和转换转出业务</w:t>
      </w:r>
      <w:r>
        <w:rPr>
          <w:rFonts w:eastAsiaTheme="minorEastAsia" w:hAnsiTheme="minorEastAsia"/>
          <w:sz w:val="24"/>
          <w:szCs w:val="24"/>
        </w:rPr>
        <w:t>期间，</w:t>
      </w:r>
      <w:r>
        <w:rPr>
          <w:rFonts w:eastAsiaTheme="minorEastAsia" w:hAnsiTheme="minorEastAsia" w:hint="eastAsia"/>
          <w:sz w:val="24"/>
          <w:szCs w:val="24"/>
        </w:rPr>
        <w:t>其他</w:t>
      </w:r>
      <w:r>
        <w:rPr>
          <w:rFonts w:eastAsiaTheme="minorEastAsia" w:hAnsiTheme="minorEastAsia"/>
          <w:sz w:val="24"/>
          <w:szCs w:val="24"/>
        </w:rPr>
        <w:t>业务正常进行。</w:t>
      </w:r>
    </w:p>
    <w:p w:rsidR="004E503B" w:rsidRDefault="00CD209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3</w:t>
      </w:r>
      <w:r>
        <w:rPr>
          <w:rFonts w:eastAsiaTheme="minorEastAsia" w:hAnsiTheme="minorEastAsia"/>
          <w:sz w:val="24"/>
          <w:szCs w:val="24"/>
        </w:rPr>
        <w:t>）关于</w:t>
      </w:r>
      <w:r>
        <w:rPr>
          <w:rFonts w:eastAsiaTheme="minorEastAsia" w:hAnsiTheme="minorEastAsia" w:hint="eastAsia"/>
          <w:sz w:val="24"/>
          <w:szCs w:val="24"/>
        </w:rPr>
        <w:t>本基金恢复办理转换转入和转换转出业务</w:t>
      </w:r>
      <w:r>
        <w:rPr>
          <w:rFonts w:eastAsiaTheme="minorEastAsia" w:hAnsiTheme="minorEastAsia"/>
          <w:sz w:val="24"/>
          <w:szCs w:val="24"/>
        </w:rPr>
        <w:t>的时间，本基金管理人将另行公告。</w:t>
      </w:r>
    </w:p>
    <w:p w:rsidR="004E503B" w:rsidRDefault="00CD209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4</w:t>
      </w:r>
      <w:r>
        <w:rPr>
          <w:rFonts w:eastAsiaTheme="minorEastAsia" w:hAnsiTheme="minorEastAsia"/>
          <w:sz w:val="24"/>
          <w:szCs w:val="24"/>
        </w:rPr>
        <w:t>）投资者可以登录本公司网站（</w:t>
      </w:r>
      <w:r>
        <w:rPr>
          <w:rFonts w:eastAsiaTheme="minorEastAsia"/>
          <w:sz w:val="24"/>
          <w:szCs w:val="24"/>
        </w:rPr>
        <w:t>www.fund001.com</w:t>
      </w:r>
      <w:r>
        <w:rPr>
          <w:rFonts w:eastAsiaTheme="minorEastAsia" w:hAnsiTheme="minorEastAsia"/>
          <w:sz w:val="24"/>
          <w:szCs w:val="24"/>
        </w:rPr>
        <w:t>）或拨打客户服务电话（</w:t>
      </w:r>
      <w:r>
        <w:rPr>
          <w:rFonts w:eastAsiaTheme="minorEastAsia"/>
          <w:sz w:val="24"/>
          <w:szCs w:val="24"/>
        </w:rPr>
        <w:t>400-700-5000</w:t>
      </w:r>
      <w:r>
        <w:rPr>
          <w:rFonts w:eastAsiaTheme="minorEastAsia" w:hAnsiTheme="minorEastAsia"/>
          <w:sz w:val="24"/>
          <w:szCs w:val="24"/>
        </w:rPr>
        <w:t>，</w:t>
      </w:r>
      <w:r>
        <w:rPr>
          <w:rFonts w:eastAsiaTheme="minorEastAsia"/>
          <w:sz w:val="24"/>
          <w:szCs w:val="24"/>
        </w:rPr>
        <w:t>021-61055000</w:t>
      </w:r>
      <w:r>
        <w:rPr>
          <w:rFonts w:eastAsiaTheme="minorEastAsia" w:hAnsiTheme="minorEastAsia"/>
          <w:sz w:val="24"/>
          <w:szCs w:val="24"/>
        </w:rPr>
        <w:t>）咨询基金相关信息。</w:t>
      </w:r>
    </w:p>
    <w:p w:rsidR="004E503B" w:rsidRDefault="004E503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4E503B" w:rsidRDefault="00CD209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lastRenderedPageBreak/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4E503B" w:rsidRDefault="004E503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4E503B" w:rsidRDefault="00CD209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特此公告。</w:t>
      </w:r>
    </w:p>
    <w:p w:rsidR="004E503B" w:rsidRDefault="004E503B">
      <w:pPr>
        <w:rPr>
          <w:rFonts w:eastAsiaTheme="minorEastAsia"/>
          <w:sz w:val="24"/>
          <w:szCs w:val="24"/>
        </w:rPr>
      </w:pPr>
    </w:p>
    <w:sectPr w:rsidR="004E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7F46"/>
    <w:rsid w:val="000411A5"/>
    <w:rsid w:val="00041353"/>
    <w:rsid w:val="00087133"/>
    <w:rsid w:val="00095A80"/>
    <w:rsid w:val="00097CEA"/>
    <w:rsid w:val="000D472C"/>
    <w:rsid w:val="000E1817"/>
    <w:rsid w:val="000E4CBF"/>
    <w:rsid w:val="000F55E1"/>
    <w:rsid w:val="0012500E"/>
    <w:rsid w:val="0013025A"/>
    <w:rsid w:val="00142F3A"/>
    <w:rsid w:val="00160DAE"/>
    <w:rsid w:val="00172472"/>
    <w:rsid w:val="00180DA3"/>
    <w:rsid w:val="001B4F9F"/>
    <w:rsid w:val="001D3B58"/>
    <w:rsid w:val="001F0502"/>
    <w:rsid w:val="002241A8"/>
    <w:rsid w:val="00245724"/>
    <w:rsid w:val="00285347"/>
    <w:rsid w:val="002935EF"/>
    <w:rsid w:val="00297148"/>
    <w:rsid w:val="002A6277"/>
    <w:rsid w:val="002B3273"/>
    <w:rsid w:val="002C1251"/>
    <w:rsid w:val="002C4BA9"/>
    <w:rsid w:val="002D2A24"/>
    <w:rsid w:val="002D475A"/>
    <w:rsid w:val="002F7241"/>
    <w:rsid w:val="00327DA7"/>
    <w:rsid w:val="00331105"/>
    <w:rsid w:val="0033476C"/>
    <w:rsid w:val="0036784E"/>
    <w:rsid w:val="003753B6"/>
    <w:rsid w:val="003900FA"/>
    <w:rsid w:val="003936F9"/>
    <w:rsid w:val="003D0DCF"/>
    <w:rsid w:val="003D3818"/>
    <w:rsid w:val="00463139"/>
    <w:rsid w:val="00470869"/>
    <w:rsid w:val="00470E32"/>
    <w:rsid w:val="00473FE4"/>
    <w:rsid w:val="004966BA"/>
    <w:rsid w:val="004B1D96"/>
    <w:rsid w:val="004C07E2"/>
    <w:rsid w:val="004D6346"/>
    <w:rsid w:val="004E503B"/>
    <w:rsid w:val="004F0521"/>
    <w:rsid w:val="004F51E8"/>
    <w:rsid w:val="00522227"/>
    <w:rsid w:val="00536E8E"/>
    <w:rsid w:val="0055497B"/>
    <w:rsid w:val="00566AFA"/>
    <w:rsid w:val="00567DDA"/>
    <w:rsid w:val="005B1035"/>
    <w:rsid w:val="005C5A05"/>
    <w:rsid w:val="005F2DBE"/>
    <w:rsid w:val="00603A93"/>
    <w:rsid w:val="00607CF1"/>
    <w:rsid w:val="00633C51"/>
    <w:rsid w:val="00646522"/>
    <w:rsid w:val="00653F13"/>
    <w:rsid w:val="00663031"/>
    <w:rsid w:val="00677C51"/>
    <w:rsid w:val="006A0A5E"/>
    <w:rsid w:val="006B6C4C"/>
    <w:rsid w:val="006E4616"/>
    <w:rsid w:val="006E57FC"/>
    <w:rsid w:val="006F45AB"/>
    <w:rsid w:val="0073228C"/>
    <w:rsid w:val="007344AC"/>
    <w:rsid w:val="00753E39"/>
    <w:rsid w:val="00762FED"/>
    <w:rsid w:val="00770DB7"/>
    <w:rsid w:val="007B0250"/>
    <w:rsid w:val="007B1D31"/>
    <w:rsid w:val="00802AD5"/>
    <w:rsid w:val="008255A0"/>
    <w:rsid w:val="00837E48"/>
    <w:rsid w:val="00846A58"/>
    <w:rsid w:val="008472DB"/>
    <w:rsid w:val="008712F5"/>
    <w:rsid w:val="008D65EE"/>
    <w:rsid w:val="008D6773"/>
    <w:rsid w:val="008E2A7E"/>
    <w:rsid w:val="009233FD"/>
    <w:rsid w:val="00930327"/>
    <w:rsid w:val="00956B0F"/>
    <w:rsid w:val="00981679"/>
    <w:rsid w:val="009A0237"/>
    <w:rsid w:val="009C5858"/>
    <w:rsid w:val="009C6B75"/>
    <w:rsid w:val="00A15BAB"/>
    <w:rsid w:val="00A243B0"/>
    <w:rsid w:val="00A2638C"/>
    <w:rsid w:val="00A428CE"/>
    <w:rsid w:val="00A5414E"/>
    <w:rsid w:val="00A71771"/>
    <w:rsid w:val="00A745E5"/>
    <w:rsid w:val="00AB7BA5"/>
    <w:rsid w:val="00AC0B6D"/>
    <w:rsid w:val="00AC0E51"/>
    <w:rsid w:val="00AD4FCC"/>
    <w:rsid w:val="00AD7BDD"/>
    <w:rsid w:val="00AF024E"/>
    <w:rsid w:val="00B0212F"/>
    <w:rsid w:val="00B101F7"/>
    <w:rsid w:val="00B13FDA"/>
    <w:rsid w:val="00B25C61"/>
    <w:rsid w:val="00B867A9"/>
    <w:rsid w:val="00B872E5"/>
    <w:rsid w:val="00B909FC"/>
    <w:rsid w:val="00BD545A"/>
    <w:rsid w:val="00BD601B"/>
    <w:rsid w:val="00C06257"/>
    <w:rsid w:val="00C4500C"/>
    <w:rsid w:val="00C569C3"/>
    <w:rsid w:val="00C57BA0"/>
    <w:rsid w:val="00C60993"/>
    <w:rsid w:val="00C70DC6"/>
    <w:rsid w:val="00C70EDA"/>
    <w:rsid w:val="00C77552"/>
    <w:rsid w:val="00C80F4A"/>
    <w:rsid w:val="00C844A2"/>
    <w:rsid w:val="00C97172"/>
    <w:rsid w:val="00CD209B"/>
    <w:rsid w:val="00CD6473"/>
    <w:rsid w:val="00CD74DC"/>
    <w:rsid w:val="00CF5EAE"/>
    <w:rsid w:val="00D043F8"/>
    <w:rsid w:val="00D114B7"/>
    <w:rsid w:val="00D1480F"/>
    <w:rsid w:val="00D327FA"/>
    <w:rsid w:val="00D6095E"/>
    <w:rsid w:val="00D95A18"/>
    <w:rsid w:val="00DC2A36"/>
    <w:rsid w:val="00DD22A8"/>
    <w:rsid w:val="00DE25A8"/>
    <w:rsid w:val="00DF159B"/>
    <w:rsid w:val="00E27D76"/>
    <w:rsid w:val="00E3565A"/>
    <w:rsid w:val="00E414B0"/>
    <w:rsid w:val="00E63200"/>
    <w:rsid w:val="00E714AE"/>
    <w:rsid w:val="00E830A4"/>
    <w:rsid w:val="00E9491B"/>
    <w:rsid w:val="00EA7B49"/>
    <w:rsid w:val="00EC47F6"/>
    <w:rsid w:val="00EE1823"/>
    <w:rsid w:val="00EF476D"/>
    <w:rsid w:val="00EF6D2E"/>
    <w:rsid w:val="00F15B17"/>
    <w:rsid w:val="00F27E02"/>
    <w:rsid w:val="00F64447"/>
    <w:rsid w:val="00FD5102"/>
    <w:rsid w:val="00FD6EF4"/>
    <w:rsid w:val="00FE41E3"/>
    <w:rsid w:val="00FF1A2E"/>
    <w:rsid w:val="121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A9C27-B132-47AB-8526-FC77B295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pPr>
      <w:snapToGrid w:val="0"/>
      <w:jc w:val="left"/>
    </w:pPr>
    <w:rPr>
      <w:rFonts w:eastAsia="宋体"/>
      <w:sz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0">
    <w:name w:val="footnote reference"/>
    <w:basedOn w:val="a0"/>
    <w:rPr>
      <w:vertAlign w:val="superscript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脚注文本 字符"/>
    <w:basedOn w:val="a0"/>
    <w:link w:val="ab"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方正仿宋简体" w:hAnsi="Times New Roman" w:cs="Times New Roman"/>
      <w:sz w:val="18"/>
      <w:szCs w:val="18"/>
    </w:rPr>
  </w:style>
  <w:style w:type="paragraph" w:customStyle="1" w:styleId="11">
    <w:name w:val="修订1"/>
    <w:hidden/>
    <w:uiPriority w:val="99"/>
    <w:semiHidden/>
    <w:rPr>
      <w:rFonts w:ascii="Times New Roman" w:eastAsia="方正仿宋简体" w:hAnsi="Times New Roman" w:cs="Times New Roman"/>
      <w:kern w:val="2"/>
      <w:sz w:val="3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方正仿宋简体" w:hAnsi="Times New Roman" w:cs="Times New Roman"/>
      <w:sz w:val="32"/>
      <w:szCs w:val="20"/>
    </w:rPr>
  </w:style>
  <w:style w:type="character" w:customStyle="1" w:styleId="ae">
    <w:name w:val="批注主题 字符"/>
    <w:basedOn w:val="a4"/>
    <w:link w:val="ad"/>
    <w:uiPriority w:val="99"/>
    <w:semiHidden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C60993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3</cp:revision>
  <dcterms:created xsi:type="dcterms:W3CDTF">2025-10-27T02:34:00Z</dcterms:created>
  <dcterms:modified xsi:type="dcterms:W3CDTF">2025-10-27T02:34:00Z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16749BB79FB94775A20F4C758AFF5B49</vt:lpwstr>
  </property>
</Properties>
</file>