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b/>
          <w:kern w:val="0"/>
          <w:sz w:val="30"/>
          <w:szCs w:val="30"/>
        </w:rPr>
      </w:pPr>
      <w:r>
        <w:rPr>
          <w:rFonts w:hint="eastAsia" w:cs="宋体" w:asciiTheme="minorEastAsia" w:hAnsiTheme="minorEastAsia" w:eastAsiaTheme="minorEastAsia"/>
          <w:b/>
          <w:kern w:val="0"/>
          <w:sz w:val="30"/>
          <w:szCs w:val="30"/>
        </w:rPr>
        <w:t>交银施罗德基金管理有限公司关于交银施罗德裕隆纯债债券型证券投资基金于202</w:t>
      </w:r>
      <w:r>
        <w:rPr>
          <w:rFonts w:hint="eastAsia" w:cs="宋体" w:asciiTheme="minorEastAsia" w:hAnsiTheme="minorEastAsia" w:eastAsiaTheme="minorEastAsia"/>
          <w:b/>
          <w:kern w:val="0"/>
          <w:sz w:val="30"/>
          <w:szCs w:val="30"/>
          <w:lang w:val="en-US" w:eastAsia="zh-CN"/>
        </w:rPr>
        <w:t>5</w:t>
      </w:r>
      <w:r>
        <w:rPr>
          <w:rFonts w:hint="eastAsia" w:cs="宋体" w:asciiTheme="minorEastAsia" w:hAnsiTheme="minorEastAsia" w:eastAsiaTheme="minorEastAsia"/>
          <w:b/>
          <w:kern w:val="0"/>
          <w:sz w:val="30"/>
          <w:szCs w:val="30"/>
        </w:rPr>
        <w:t>年“国庆节”假期前调整大额申购（转换转入、定期定额投资）业务限额的公告</w:t>
      </w:r>
    </w:p>
    <w:p>
      <w:pPr>
        <w:spacing w:line="560" w:lineRule="exact"/>
        <w:jc w:val="center"/>
        <w:rPr>
          <w:rFonts w:eastAsiaTheme="minorEastAsia"/>
          <w:bCs/>
          <w:sz w:val="24"/>
          <w:szCs w:val="24"/>
        </w:rPr>
      </w:pPr>
      <w:r>
        <w:rPr>
          <w:rFonts w:hint="eastAsia" w:eastAsiaTheme="minorEastAsia"/>
          <w:color w:val="000000"/>
          <w:sz w:val="24"/>
          <w:szCs w:val="24"/>
        </w:rPr>
        <w:t>公告送出日期：</w:t>
      </w:r>
      <w:r>
        <w:rPr>
          <w:rFonts w:eastAsiaTheme="minorEastAsia"/>
          <w:bCs/>
          <w:sz w:val="24"/>
          <w:szCs w:val="24"/>
        </w:rPr>
        <w:t>202</w:t>
      </w:r>
      <w:r>
        <w:rPr>
          <w:rFonts w:hint="eastAsia" w:eastAsiaTheme="minorEastAsia"/>
          <w:bCs/>
          <w:sz w:val="24"/>
          <w:szCs w:val="24"/>
          <w:lang w:val="en-US" w:eastAsia="zh-CN"/>
        </w:rPr>
        <w:t>5</w:t>
      </w:r>
      <w:r>
        <w:rPr>
          <w:rFonts w:eastAsiaTheme="minorEastAsia"/>
          <w:bCs/>
          <w:sz w:val="24"/>
          <w:szCs w:val="24"/>
        </w:rPr>
        <w:t>年9月2</w:t>
      </w:r>
      <w:r>
        <w:rPr>
          <w:rFonts w:hint="eastAsia" w:eastAsiaTheme="minorEastAsia"/>
          <w:bCs/>
          <w:sz w:val="24"/>
          <w:szCs w:val="24"/>
          <w:lang w:val="en-US" w:eastAsia="zh-CN"/>
        </w:rPr>
        <w:t>7</w:t>
      </w:r>
      <w:r>
        <w:rPr>
          <w:rFonts w:eastAsiaTheme="minorEastAsia"/>
          <w:bCs/>
          <w:sz w:val="24"/>
          <w:szCs w:val="24"/>
        </w:rPr>
        <w:t>日</w:t>
      </w:r>
    </w:p>
    <w:p>
      <w:pPr>
        <w:spacing w:line="560" w:lineRule="exact"/>
        <w:jc w:val="center"/>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405"/>
      <w:r>
        <w:rPr>
          <w:rFonts w:ascii="Times New Roman" w:hAnsi="Times New Roman" w:eastAsiaTheme="minorEastAsia"/>
          <w:bCs w:val="0"/>
          <w:color w:val="000000"/>
          <w:sz w:val="24"/>
          <w:szCs w:val="24"/>
        </w:rPr>
        <w:t xml:space="preserve">1 </w:t>
      </w:r>
      <w:r>
        <w:rPr>
          <w:rFonts w:hint="eastAsia" w:ascii="Times New Roman" w:hAnsi="Times New Roman" w:eastAsiaTheme="minorEastAsia"/>
          <w:bCs w:val="0"/>
          <w:color w:val="000000"/>
          <w:sz w:val="24"/>
          <w:szCs w:val="24"/>
        </w:rPr>
        <w:t>公告基本信息</w:t>
      </w:r>
      <w:bookmarkEnd w:id="0"/>
    </w:p>
    <w:tbl>
      <w:tblPr>
        <w:tblStyle w:val="6"/>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1976"/>
        <w:gridCol w:w="991"/>
        <w:gridCol w:w="98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tcPr>
          <w:p>
            <w:pPr>
              <w:rPr>
                <w:rFonts w:eastAsiaTheme="minorEastAsia"/>
                <w:color w:val="000000"/>
                <w:sz w:val="24"/>
                <w:szCs w:val="24"/>
                <w:highlight w:val="cyan"/>
              </w:rPr>
            </w:pPr>
            <w:r>
              <w:rPr>
                <w:rFonts w:hint="eastAsia" w:eastAsiaTheme="minorEastAsia"/>
                <w:color w:val="000000"/>
                <w:sz w:val="24"/>
                <w:szCs w:val="24"/>
              </w:rPr>
              <w:t>基金名称</w:t>
            </w:r>
          </w:p>
        </w:tc>
        <w:tc>
          <w:tcPr>
            <w:tcW w:w="3346" w:type="pct"/>
            <w:gridSpan w:val="4"/>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交银施罗德裕隆纯债债券型证券投资基金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tcPr>
          <w:p>
            <w:pPr>
              <w:rPr>
                <w:rFonts w:eastAsiaTheme="minorEastAsia"/>
                <w:color w:val="000000"/>
                <w:kern w:val="0"/>
                <w:sz w:val="24"/>
                <w:szCs w:val="24"/>
              </w:rPr>
            </w:pPr>
            <w:r>
              <w:rPr>
                <w:rFonts w:hint="eastAsia" w:eastAsiaTheme="minorEastAsia"/>
                <w:color w:val="000000"/>
                <w:sz w:val="24"/>
                <w:szCs w:val="24"/>
              </w:rPr>
              <w:t>基金简称</w:t>
            </w:r>
          </w:p>
        </w:tc>
        <w:tc>
          <w:tcPr>
            <w:tcW w:w="3346" w:type="pct"/>
            <w:gridSpan w:val="4"/>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交银裕隆纯债债券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sz w:val="24"/>
                <w:szCs w:val="24"/>
              </w:rPr>
            </w:pPr>
            <w:r>
              <w:rPr>
                <w:rFonts w:hint="eastAsia" w:eastAsiaTheme="minorEastAsia"/>
                <w:color w:val="000000"/>
                <w:sz w:val="24"/>
                <w:szCs w:val="24"/>
              </w:rPr>
              <w:t>基金主代码</w:t>
            </w:r>
          </w:p>
        </w:tc>
        <w:tc>
          <w:tcPr>
            <w:tcW w:w="3346" w:type="pct"/>
            <w:gridSpan w:val="4"/>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eastAsiaTheme="minorEastAsia"/>
                <w:sz w:val="24"/>
                <w:szCs w:val="24"/>
              </w:rPr>
              <w:t>519782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tcPr>
          <w:p>
            <w:pPr>
              <w:rPr>
                <w:rFonts w:eastAsiaTheme="minorEastAsia"/>
                <w:color w:val="000000"/>
                <w:kern w:val="0"/>
                <w:sz w:val="24"/>
                <w:szCs w:val="24"/>
              </w:rPr>
            </w:pPr>
            <w:r>
              <w:rPr>
                <w:rFonts w:hint="eastAsia" w:eastAsiaTheme="minorEastAsia"/>
                <w:color w:val="000000"/>
                <w:sz w:val="24"/>
                <w:szCs w:val="24"/>
              </w:rPr>
              <w:t>基金管理人名称</w:t>
            </w:r>
          </w:p>
        </w:tc>
        <w:tc>
          <w:tcPr>
            <w:tcW w:w="3346" w:type="pct"/>
            <w:gridSpan w:val="4"/>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sz w:val="24"/>
                <w:szCs w:val="24"/>
              </w:rPr>
            </w:pPr>
            <w:r>
              <w:rPr>
                <w:rFonts w:hint="eastAsia"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tcPr>
          <w:p>
            <w:pPr>
              <w:rPr>
                <w:rFonts w:eastAsiaTheme="minorEastAsia"/>
                <w:color w:val="000000"/>
                <w:kern w:val="0"/>
                <w:sz w:val="24"/>
                <w:szCs w:val="24"/>
              </w:rPr>
            </w:pPr>
            <w:r>
              <w:rPr>
                <w:rFonts w:hint="eastAsia" w:eastAsiaTheme="minorEastAsia"/>
                <w:color w:val="000000"/>
                <w:sz w:val="24"/>
                <w:szCs w:val="24"/>
              </w:rPr>
              <w:t>公告依据</w:t>
            </w:r>
          </w:p>
        </w:tc>
        <w:tc>
          <w:tcPr>
            <w:tcW w:w="3346" w:type="pct"/>
            <w:gridSpan w:val="4"/>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sz w:val="24"/>
                <w:szCs w:val="24"/>
              </w:rPr>
            </w:pPr>
            <w:r>
              <w:rPr>
                <w:rFonts w:hint="eastAsia" w:eastAsiaTheme="minorEastAsia"/>
                <w:color w:val="000000"/>
                <w:sz w:val="24"/>
                <w:szCs w:val="24"/>
              </w:rPr>
              <w:t>《交银施罗德裕隆纯债债券型证券投资基金基金合同》、《交银施罗德裕隆纯债债券型证券投资基金招募说明书》等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vMerge w:val="restart"/>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sz w:val="24"/>
                <w:szCs w:val="24"/>
              </w:rPr>
            </w:pPr>
            <w:r>
              <w:rPr>
                <w:rFonts w:hint="eastAsia" w:eastAsiaTheme="minorEastAsia"/>
                <w:color w:val="000000"/>
                <w:sz w:val="24"/>
                <w:szCs w:val="24"/>
              </w:rPr>
              <w:t>暂停相关业务的起始日、金额及原因说明</w:t>
            </w:r>
          </w:p>
        </w:tc>
        <w:tc>
          <w:tcPr>
            <w:tcW w:w="1674" w:type="pct"/>
            <w:gridSpan w:val="2"/>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color w:val="000000"/>
                <w:sz w:val="24"/>
                <w:szCs w:val="24"/>
              </w:rPr>
            </w:pPr>
            <w:r>
              <w:rPr>
                <w:rFonts w:hint="eastAsia" w:eastAsiaTheme="minorEastAsia"/>
                <w:color w:val="000000"/>
                <w:sz w:val="24"/>
                <w:szCs w:val="24"/>
              </w:rPr>
              <w:t>暂停大额申购起始日</w:t>
            </w:r>
          </w:p>
        </w:tc>
        <w:tc>
          <w:tcPr>
            <w:tcW w:w="1672" w:type="pct"/>
            <w:gridSpan w:val="2"/>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sz w:val="24"/>
                <w:szCs w:val="24"/>
              </w:rPr>
            </w:pPr>
            <w:r>
              <w:rPr>
                <w:rFonts w:hint="eastAsia" w:eastAsiaTheme="minorEastAsia"/>
                <w:sz w:val="24"/>
                <w:szCs w:val="24"/>
              </w:rPr>
              <w:t>202</w:t>
            </w:r>
            <w:r>
              <w:rPr>
                <w:rFonts w:hint="eastAsia" w:eastAsiaTheme="minorEastAsia"/>
                <w:sz w:val="24"/>
                <w:szCs w:val="24"/>
                <w:lang w:val="en-US" w:eastAsia="zh-CN"/>
              </w:rPr>
              <w:t>5</w:t>
            </w:r>
            <w:r>
              <w:rPr>
                <w:rFonts w:hint="eastAsia" w:eastAsiaTheme="minorEastAsia"/>
                <w:sz w:val="24"/>
                <w:szCs w:val="24"/>
              </w:rPr>
              <w:t>年</w:t>
            </w:r>
            <w:r>
              <w:rPr>
                <w:rFonts w:eastAsiaTheme="minorEastAsia"/>
                <w:sz w:val="24"/>
                <w:szCs w:val="24"/>
              </w:rPr>
              <w:t>9</w:t>
            </w:r>
            <w:r>
              <w:rPr>
                <w:rFonts w:hint="eastAsia" w:eastAsiaTheme="minorEastAsia"/>
                <w:sz w:val="24"/>
                <w:szCs w:val="24"/>
              </w:rPr>
              <w:t>月</w:t>
            </w:r>
            <w:r>
              <w:rPr>
                <w:rFonts w:eastAsiaTheme="minorEastAsia"/>
                <w:sz w:val="24"/>
                <w:szCs w:val="24"/>
              </w:rPr>
              <w:t>2</w:t>
            </w:r>
            <w:r>
              <w:rPr>
                <w:rFonts w:hint="eastAsia" w:eastAsiaTheme="minorEastAsia"/>
                <w:sz w:val="24"/>
                <w:szCs w:val="24"/>
                <w:lang w:val="en-US" w:eastAsia="zh-CN"/>
              </w:rPr>
              <w:t>9</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tcPr>
          <w:p>
            <w:pPr>
              <w:snapToGrid w:val="0"/>
              <w:rPr>
                <w:rFonts w:eastAsiaTheme="minorEastAsia"/>
                <w:color w:val="000000"/>
                <w:sz w:val="24"/>
                <w:szCs w:val="24"/>
              </w:rPr>
            </w:pPr>
            <w:r>
              <w:rPr>
                <w:rFonts w:hint="eastAsia" w:eastAsiaTheme="minorEastAsia"/>
                <w:color w:val="000000"/>
                <w:sz w:val="24"/>
                <w:szCs w:val="24"/>
              </w:rPr>
              <w:t>暂停大额转换转入起始日</w:t>
            </w:r>
          </w:p>
        </w:tc>
        <w:tc>
          <w:tcPr>
            <w:tcW w:w="1672" w:type="pct"/>
            <w:gridSpan w:val="2"/>
            <w:tcBorders>
              <w:top w:val="single" w:color="auto" w:sz="4" w:space="0"/>
              <w:left w:val="single" w:color="auto" w:sz="4" w:space="0"/>
              <w:bottom w:val="single" w:color="auto" w:sz="4" w:space="0"/>
              <w:right w:val="single" w:color="auto" w:sz="4" w:space="0"/>
            </w:tcBorders>
          </w:tcPr>
          <w:p>
            <w:pPr>
              <w:snapToGrid w:val="0"/>
              <w:rPr>
                <w:rFonts w:eastAsiaTheme="minorEastAsia"/>
                <w:color w:val="000000"/>
                <w:sz w:val="24"/>
                <w:szCs w:val="24"/>
              </w:rPr>
            </w:pPr>
            <w:r>
              <w:rPr>
                <w:rFonts w:hint="eastAsia" w:eastAsiaTheme="minorEastAsia"/>
                <w:sz w:val="24"/>
                <w:szCs w:val="24"/>
              </w:rPr>
              <w:t>202</w:t>
            </w:r>
            <w:r>
              <w:rPr>
                <w:rFonts w:hint="eastAsia" w:eastAsiaTheme="minorEastAsia"/>
                <w:sz w:val="24"/>
                <w:szCs w:val="24"/>
                <w:lang w:val="en-US" w:eastAsia="zh-CN"/>
              </w:rPr>
              <w:t>5</w:t>
            </w:r>
            <w:r>
              <w:rPr>
                <w:rFonts w:hint="eastAsia" w:eastAsiaTheme="minorEastAsia"/>
                <w:sz w:val="24"/>
                <w:szCs w:val="24"/>
              </w:rPr>
              <w:t>年</w:t>
            </w:r>
            <w:r>
              <w:rPr>
                <w:rFonts w:eastAsiaTheme="minorEastAsia"/>
                <w:sz w:val="24"/>
                <w:szCs w:val="24"/>
              </w:rPr>
              <w:t>9</w:t>
            </w:r>
            <w:r>
              <w:rPr>
                <w:rFonts w:hint="eastAsia" w:eastAsiaTheme="minorEastAsia"/>
                <w:sz w:val="24"/>
                <w:szCs w:val="24"/>
              </w:rPr>
              <w:t>月</w:t>
            </w:r>
            <w:r>
              <w:rPr>
                <w:rFonts w:eastAsiaTheme="minorEastAsia"/>
                <w:sz w:val="24"/>
                <w:szCs w:val="24"/>
              </w:rPr>
              <w:t>2</w:t>
            </w:r>
            <w:r>
              <w:rPr>
                <w:rFonts w:hint="eastAsia" w:eastAsiaTheme="minorEastAsia"/>
                <w:sz w:val="24"/>
                <w:szCs w:val="24"/>
                <w:lang w:val="en-US" w:eastAsia="zh-CN"/>
              </w:rPr>
              <w:t>9</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tcPr>
          <w:p>
            <w:pPr>
              <w:rPr>
                <w:rFonts w:eastAsiaTheme="minorEastAsia"/>
                <w:color w:val="000000"/>
                <w:sz w:val="24"/>
                <w:szCs w:val="24"/>
              </w:rPr>
            </w:pPr>
            <w:r>
              <w:rPr>
                <w:rFonts w:hint="eastAsia" w:hAnsiTheme="minorEastAsia" w:eastAsiaTheme="minorEastAsia"/>
                <w:color w:val="000000"/>
                <w:sz w:val="24"/>
                <w:szCs w:val="24"/>
              </w:rPr>
              <w:t>暂停大额定期定额投资起始日</w:t>
            </w:r>
          </w:p>
        </w:tc>
        <w:tc>
          <w:tcPr>
            <w:tcW w:w="1672"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kern w:val="0"/>
                <w:sz w:val="24"/>
                <w:szCs w:val="24"/>
              </w:rPr>
            </w:pPr>
            <w:r>
              <w:rPr>
                <w:rFonts w:hint="eastAsia" w:eastAsiaTheme="minorEastAsia"/>
                <w:sz w:val="24"/>
                <w:szCs w:val="24"/>
              </w:rPr>
              <w:t>202</w:t>
            </w:r>
            <w:r>
              <w:rPr>
                <w:rFonts w:hint="eastAsia" w:eastAsiaTheme="minorEastAsia"/>
                <w:sz w:val="24"/>
                <w:szCs w:val="24"/>
                <w:lang w:val="en-US" w:eastAsia="zh-CN"/>
              </w:rPr>
              <w:t>5</w:t>
            </w:r>
            <w:r>
              <w:rPr>
                <w:rFonts w:hint="eastAsia" w:eastAsiaTheme="minorEastAsia"/>
                <w:sz w:val="24"/>
                <w:szCs w:val="24"/>
              </w:rPr>
              <w:t>年</w:t>
            </w:r>
            <w:r>
              <w:rPr>
                <w:rFonts w:eastAsiaTheme="minorEastAsia"/>
                <w:sz w:val="24"/>
                <w:szCs w:val="24"/>
              </w:rPr>
              <w:t>9</w:t>
            </w:r>
            <w:r>
              <w:rPr>
                <w:rFonts w:hint="eastAsia" w:eastAsiaTheme="minorEastAsia"/>
                <w:sz w:val="24"/>
                <w:szCs w:val="24"/>
              </w:rPr>
              <w:t>月</w:t>
            </w:r>
            <w:r>
              <w:rPr>
                <w:rFonts w:eastAsiaTheme="minorEastAsia"/>
                <w:sz w:val="24"/>
                <w:szCs w:val="24"/>
              </w:rPr>
              <w:t>2</w:t>
            </w:r>
            <w:r>
              <w:rPr>
                <w:rFonts w:hint="eastAsia" w:eastAsiaTheme="minorEastAsia"/>
                <w:sz w:val="24"/>
                <w:szCs w:val="24"/>
                <w:lang w:val="en-US" w:eastAsia="zh-CN"/>
              </w:rPr>
              <w:t>9</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sz w:val="24"/>
                <w:szCs w:val="24"/>
              </w:rPr>
            </w:pPr>
            <w:r>
              <w:rPr>
                <w:rFonts w:hint="eastAsia" w:eastAsiaTheme="minorEastAsia"/>
                <w:color w:val="000000"/>
                <w:sz w:val="24"/>
                <w:szCs w:val="24"/>
              </w:rPr>
              <w:t>限制大额申购金额（单位：</w:t>
            </w:r>
            <w:r>
              <w:rPr>
                <w:rFonts w:hint="eastAsia" w:eastAsiaTheme="minorEastAsia"/>
                <w:color w:val="000000"/>
                <w:kern w:val="0"/>
                <w:sz w:val="24"/>
                <w:szCs w:val="24"/>
              </w:rPr>
              <w:t>元</w:t>
            </w:r>
            <w:r>
              <w:rPr>
                <w:rFonts w:eastAsiaTheme="minorEastAsia"/>
                <w:color w:val="000000"/>
                <w:sz w:val="24"/>
                <w:szCs w:val="24"/>
              </w:rPr>
              <w:t xml:space="preserve"> </w:t>
            </w:r>
            <w:r>
              <w:rPr>
                <w:rFonts w:hint="eastAsia" w:eastAsiaTheme="minorEastAsia"/>
                <w:color w:val="000000"/>
                <w:sz w:val="24"/>
                <w:szCs w:val="24"/>
              </w:rPr>
              <w:t>）</w:t>
            </w:r>
          </w:p>
        </w:tc>
        <w:tc>
          <w:tcPr>
            <w:tcW w:w="1672"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kern w:val="0"/>
                <w:sz w:val="24"/>
                <w:szCs w:val="24"/>
              </w:rPr>
            </w:pPr>
            <w:r>
              <w:rPr>
                <w:rFonts w:eastAsiaTheme="minorEastAsia"/>
                <w:kern w:val="0"/>
                <w:sz w:val="24"/>
                <w:szCs w:val="24"/>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sz w:val="24"/>
                <w:szCs w:val="24"/>
              </w:rPr>
            </w:pPr>
            <w:r>
              <w:rPr>
                <w:rFonts w:hint="eastAsia" w:eastAsiaTheme="minorEastAsia"/>
                <w:color w:val="000000"/>
                <w:sz w:val="24"/>
                <w:szCs w:val="24"/>
              </w:rPr>
              <w:t>限制大额转换转入金额（单位：元）</w:t>
            </w:r>
          </w:p>
        </w:tc>
        <w:tc>
          <w:tcPr>
            <w:tcW w:w="1672" w:type="pct"/>
            <w:gridSpan w:val="2"/>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color w:val="000000"/>
                <w:sz w:val="24"/>
                <w:szCs w:val="24"/>
              </w:rPr>
            </w:pPr>
            <w:r>
              <w:rPr>
                <w:rFonts w:eastAsiaTheme="minorEastAsia"/>
                <w:color w:val="000000"/>
                <w:sz w:val="24"/>
                <w:szCs w:val="24"/>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tcPr>
          <w:p>
            <w:pPr>
              <w:rPr>
                <w:rFonts w:eastAsiaTheme="minorEastAsia"/>
                <w:color w:val="000000"/>
                <w:sz w:val="24"/>
                <w:szCs w:val="24"/>
              </w:rPr>
            </w:pPr>
            <w:r>
              <w:rPr>
                <w:rFonts w:hint="eastAsia" w:hAnsiTheme="minorEastAsia" w:eastAsiaTheme="minorEastAsia"/>
                <w:color w:val="000000"/>
                <w:sz w:val="24"/>
                <w:szCs w:val="24"/>
              </w:rPr>
              <w:t>限制大额定期定额投资金额（单位：元）</w:t>
            </w:r>
          </w:p>
        </w:tc>
        <w:tc>
          <w:tcPr>
            <w:tcW w:w="1672" w:type="pct"/>
            <w:gridSpan w:val="2"/>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color w:val="000000"/>
                <w:kern w:val="0"/>
                <w:sz w:val="24"/>
                <w:szCs w:val="24"/>
              </w:rPr>
            </w:pPr>
            <w:r>
              <w:rPr>
                <w:rFonts w:eastAsiaTheme="minorEastAsia"/>
                <w:kern w:val="0"/>
                <w:sz w:val="24"/>
                <w:szCs w:val="24"/>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color w:val="000000"/>
                <w:sz w:val="24"/>
                <w:szCs w:val="24"/>
              </w:rPr>
            </w:pPr>
          </w:p>
        </w:tc>
        <w:tc>
          <w:tcPr>
            <w:tcW w:w="1674"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kern w:val="0"/>
                <w:sz w:val="24"/>
                <w:szCs w:val="24"/>
              </w:rPr>
            </w:pPr>
            <w:r>
              <w:rPr>
                <w:rFonts w:hint="eastAsia" w:eastAsiaTheme="minorEastAsia"/>
                <w:color w:val="000000"/>
                <w:sz w:val="24"/>
                <w:szCs w:val="24"/>
              </w:rPr>
              <w:t>暂停大额申购（转换转入、定期定额投资）业务的原因说明</w:t>
            </w:r>
          </w:p>
        </w:tc>
        <w:tc>
          <w:tcPr>
            <w:tcW w:w="1672" w:type="pct"/>
            <w:gridSpan w:val="2"/>
            <w:tcBorders>
              <w:top w:val="single" w:color="auto" w:sz="4" w:space="0"/>
              <w:left w:val="single" w:color="auto" w:sz="4" w:space="0"/>
              <w:bottom w:val="single" w:color="auto" w:sz="4" w:space="0"/>
              <w:right w:val="single" w:color="auto" w:sz="4" w:space="0"/>
            </w:tcBorders>
          </w:tcPr>
          <w:p>
            <w:pPr>
              <w:snapToGrid w:val="0"/>
              <w:rPr>
                <w:rFonts w:eastAsiaTheme="minorEastAsia"/>
                <w:sz w:val="24"/>
                <w:szCs w:val="24"/>
              </w:rPr>
            </w:pPr>
            <w:r>
              <w:rPr>
                <w:rFonts w:hint="eastAsia" w:hAnsiTheme="minorEastAsia" w:eastAsiaTheme="minorEastAsia"/>
                <w:sz w:val="24"/>
                <w:szCs w:val="24"/>
              </w:rPr>
              <w:t>根据中国证监会有关通知及沪、深证券交易所休市安排，保护基金份额持有人的利益。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kern w:val="0"/>
                <w:sz w:val="24"/>
                <w:szCs w:val="24"/>
              </w:rPr>
            </w:pPr>
            <w:r>
              <w:rPr>
                <w:rFonts w:hint="eastAsia" w:eastAsiaTheme="minorEastAsia"/>
                <w:color w:val="000000"/>
                <w:sz w:val="24"/>
                <w:szCs w:val="24"/>
              </w:rPr>
              <w:t>下属分级基金的基金简称</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交银裕隆纯债债券</w:t>
            </w:r>
            <w:r>
              <w:rPr>
                <w:rFonts w:eastAsiaTheme="minorEastAsia"/>
                <w:sz w:val="24"/>
                <w:szCs w:val="24"/>
              </w:rPr>
              <w:t>A</w:t>
            </w:r>
          </w:p>
        </w:tc>
        <w:tc>
          <w:tcPr>
            <w:tcW w:w="1116"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交银裕隆纯债债券</w:t>
            </w:r>
            <w:r>
              <w:rPr>
                <w:rFonts w:eastAsiaTheme="minorEastAsia"/>
                <w:sz w:val="24"/>
                <w:szCs w:val="24"/>
              </w:rPr>
              <w:t>C</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交银裕隆纯债债券</w:t>
            </w:r>
            <w:r>
              <w:rPr>
                <w:rFonts w:eastAsiaTheme="minorEastAsia"/>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kern w:val="0"/>
                <w:sz w:val="24"/>
                <w:szCs w:val="24"/>
              </w:rPr>
            </w:pPr>
            <w:r>
              <w:rPr>
                <w:rFonts w:hint="eastAsia" w:eastAsiaTheme="minorEastAsia"/>
                <w:color w:val="000000"/>
                <w:sz w:val="24"/>
                <w:szCs w:val="24"/>
              </w:rPr>
              <w:t>下属分级基金的交易代码</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eastAsiaTheme="minorEastAsia"/>
                <w:sz w:val="24"/>
                <w:szCs w:val="24"/>
              </w:rPr>
              <w:t>519782</w:t>
            </w:r>
          </w:p>
        </w:tc>
        <w:tc>
          <w:tcPr>
            <w:tcW w:w="1116"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eastAsiaTheme="minorEastAsia"/>
                <w:sz w:val="24"/>
                <w:szCs w:val="24"/>
              </w:rPr>
              <w:t>519783</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eastAsiaTheme="minorEastAsia"/>
                <w:sz w:val="24"/>
                <w:szCs w:val="24"/>
              </w:rPr>
              <w:t>022155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pct"/>
            <w:tcBorders>
              <w:top w:val="single" w:color="auto" w:sz="4" w:space="0"/>
              <w:left w:val="single" w:color="auto" w:sz="4" w:space="0"/>
              <w:bottom w:val="single" w:color="auto" w:sz="4" w:space="0"/>
              <w:right w:val="single" w:color="auto" w:sz="4" w:space="0"/>
            </w:tcBorders>
          </w:tcPr>
          <w:p>
            <w:pPr>
              <w:rPr>
                <w:rFonts w:eastAsiaTheme="minorEastAsia"/>
                <w:color w:val="000000"/>
                <w:kern w:val="0"/>
                <w:sz w:val="24"/>
                <w:szCs w:val="24"/>
              </w:rPr>
            </w:pPr>
            <w:r>
              <w:rPr>
                <w:rFonts w:hint="eastAsia" w:eastAsiaTheme="minorEastAsia"/>
                <w:color w:val="000000"/>
                <w:sz w:val="24"/>
                <w:szCs w:val="24"/>
              </w:rPr>
              <w:t>该分级基金是否暂停大额申购（转换转入、定期定额投资）业务</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是</w:t>
            </w:r>
          </w:p>
        </w:tc>
        <w:tc>
          <w:tcPr>
            <w:tcW w:w="1116" w:type="pct"/>
            <w:gridSpan w:val="2"/>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是</w:t>
            </w:r>
          </w:p>
        </w:tc>
        <w:tc>
          <w:tcPr>
            <w:tcW w:w="1115" w:type="pct"/>
            <w:tcBorders>
              <w:top w:val="single" w:color="auto" w:sz="4" w:space="0"/>
              <w:left w:val="single" w:color="auto" w:sz="4" w:space="0"/>
              <w:bottom w:val="single" w:color="auto" w:sz="4" w:space="0"/>
              <w:right w:val="single" w:color="auto" w:sz="4" w:space="0"/>
            </w:tcBorders>
            <w:vAlign w:val="center"/>
          </w:tcPr>
          <w:p>
            <w:pPr>
              <w:rPr>
                <w:rFonts w:eastAsiaTheme="minorEastAsia"/>
                <w:sz w:val="24"/>
                <w:szCs w:val="24"/>
              </w:rPr>
            </w:pPr>
            <w:r>
              <w:rPr>
                <w:rFonts w:hint="eastAsia" w:eastAsiaTheme="minorEastAsia"/>
                <w:sz w:val="24"/>
                <w:szCs w:val="24"/>
              </w:rPr>
              <w:t>是</w:t>
            </w:r>
          </w:p>
        </w:tc>
      </w:tr>
    </w:tbl>
    <w:p>
      <w:pPr>
        <w:spacing w:line="360" w:lineRule="auto"/>
        <w:rPr>
          <w:rFonts w:eastAsia="宋体"/>
          <w:color w:val="000000"/>
          <w:sz w:val="24"/>
        </w:rPr>
      </w:pPr>
      <w:bookmarkStart w:id="1" w:name="_Toc275961406"/>
      <w:r>
        <w:rPr>
          <w:rFonts w:hint="eastAsia" w:eastAsia="宋体"/>
          <w:color w:val="000000"/>
          <w:sz w:val="24"/>
        </w:rPr>
        <w:t>注：对于当日单个基金账户单笔或多笔累计申购、转换转入及定期定额投资的金额（本基金各类基金份额的申请金额予以合计）超过人民币100万元（不含）的申请，本基金管理人有权拒绝。</w:t>
      </w:r>
    </w:p>
    <w:p>
      <w:pPr>
        <w:pStyle w:val="2"/>
        <w:spacing w:line="560" w:lineRule="exact"/>
        <w:rPr>
          <w:rFonts w:ascii="Times New Roman" w:hAnsi="Times New Roman" w:eastAsia="宋体"/>
          <w:bCs w:val="0"/>
          <w:color w:val="000000"/>
          <w:sz w:val="24"/>
          <w:szCs w:val="24"/>
        </w:rPr>
      </w:pPr>
      <w:r>
        <w:rPr>
          <w:rFonts w:ascii="Times New Roman" w:hAnsi="Times New Roman" w:eastAsia="宋体"/>
          <w:bCs w:val="0"/>
          <w:color w:val="000000"/>
          <w:sz w:val="24"/>
          <w:szCs w:val="24"/>
        </w:rPr>
        <w:t>2</w:t>
      </w:r>
      <w:r>
        <w:rPr>
          <w:rFonts w:hint="eastAsia" w:ascii="Times New Roman" w:hAnsi="Times New Roman" w:eastAsia="宋体"/>
          <w:bCs w:val="0"/>
          <w:color w:val="000000"/>
          <w:sz w:val="24"/>
          <w:szCs w:val="24"/>
        </w:rPr>
        <w:t>其他需要提示的事项</w:t>
      </w:r>
      <w:bookmarkEnd w:id="1"/>
    </w:p>
    <w:p>
      <w:pPr>
        <w:spacing w:line="360" w:lineRule="auto"/>
        <w:ind w:firstLine="480" w:firstLineChars="200"/>
        <w:rPr>
          <w:rFonts w:eastAsia="宋体"/>
          <w:sz w:val="24"/>
        </w:rPr>
      </w:pPr>
      <w:r>
        <w:rPr>
          <w:rFonts w:hint="eastAsia" w:eastAsia="宋体"/>
          <w:sz w:val="24"/>
        </w:rPr>
        <w:t>（1）本基金暂停大额申购（转换转入、定期定额投资）业务期间，其他交易业务仍照常办理。</w:t>
      </w:r>
    </w:p>
    <w:p>
      <w:pPr>
        <w:spacing w:line="360" w:lineRule="auto"/>
        <w:ind w:firstLine="480" w:firstLineChars="200"/>
        <w:rPr>
          <w:rFonts w:eastAsia="宋体"/>
          <w:sz w:val="24"/>
        </w:rPr>
      </w:pPr>
      <w:r>
        <w:rPr>
          <w:rFonts w:hint="eastAsia" w:eastAsia="宋体"/>
          <w:sz w:val="24"/>
        </w:rPr>
        <w:t>（2）自2025年10月9日起，本基金直销机构将恢复办理大额申购（转换转入、定期定额投资）业务，同时继续暂停非直销销售机构500万元以上大额申购（转换转入、定期定额投资）业务。关于取消上述暂停大额申购（转换转入、定期定额投资）业务限制的时间，本基金管理人将另行公告。</w:t>
      </w:r>
      <w:bookmarkStart w:id="2" w:name="_GoBack"/>
      <w:bookmarkEnd w:id="2"/>
    </w:p>
    <w:p>
      <w:pPr>
        <w:spacing w:line="360" w:lineRule="auto"/>
        <w:ind w:firstLine="480" w:firstLineChars="200"/>
        <w:rPr>
          <w:rFonts w:eastAsia="宋体"/>
          <w:sz w:val="24"/>
        </w:rPr>
      </w:pPr>
      <w:r>
        <w:rPr>
          <w:rFonts w:hint="eastAsia" w:eastAsia="宋体"/>
          <w:sz w:val="24"/>
        </w:rPr>
        <w:t>（3）请投资者及早做好交易安排，避免因交易跨越假期带来不便及资金在途的损失。</w:t>
      </w:r>
    </w:p>
    <w:p>
      <w:pPr>
        <w:spacing w:line="360" w:lineRule="auto"/>
        <w:ind w:firstLine="480" w:firstLineChars="200"/>
        <w:rPr>
          <w:rFonts w:eastAsia="宋体"/>
          <w:color w:val="000000"/>
          <w:sz w:val="24"/>
        </w:rPr>
      </w:pPr>
      <w:r>
        <w:rPr>
          <w:rFonts w:hint="eastAsia" w:eastAsia="宋体"/>
          <w:sz w:val="24"/>
        </w:rPr>
        <w:t>（4）投资者可以通过本基金管理人网站（www.fund001.com）或客户服务电话400-700-5000（免长途话费），021-61055000咨询有关详情。</w:t>
      </w:r>
    </w:p>
    <w:p>
      <w:pPr>
        <w:spacing w:line="360" w:lineRule="auto"/>
        <w:ind w:firstLine="480" w:firstLineChars="200"/>
        <w:rPr>
          <w:rFonts w:eastAsia="宋体"/>
          <w:color w:val="000000"/>
          <w:sz w:val="24"/>
        </w:rPr>
      </w:pPr>
    </w:p>
    <w:p>
      <w:pPr>
        <w:spacing w:line="360" w:lineRule="auto"/>
        <w:ind w:firstLine="480" w:firstLineChars="200"/>
        <w:rPr>
          <w:rFonts w:ascii="宋体" w:hAnsi="宋体" w:eastAsia="宋体"/>
          <w:color w:val="000000"/>
          <w:sz w:val="24"/>
        </w:rPr>
      </w:pPr>
      <w:r>
        <w:rPr>
          <w:rFonts w:hint="eastAsia" w:ascii="宋体" w:hAnsi="宋体" w:eastAsia="宋体"/>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宋体" w:hAnsi="宋体" w:eastAsia="宋体"/>
          <w:color w:val="000000"/>
          <w:sz w:val="24"/>
        </w:rPr>
      </w:pPr>
    </w:p>
    <w:p>
      <w:pPr>
        <w:spacing w:line="360" w:lineRule="auto"/>
        <w:ind w:firstLine="480" w:firstLineChars="200"/>
        <w:rPr>
          <w:rFonts w:ascii="宋体" w:hAnsi="宋体" w:eastAsia="宋体"/>
          <w:color w:val="000000"/>
          <w:sz w:val="24"/>
        </w:rPr>
      </w:pPr>
      <w:r>
        <w:rPr>
          <w:rFonts w:hint="eastAsia" w:ascii="宋体" w:hAnsi="宋体" w:eastAsia="宋体"/>
          <w:color w:val="000000"/>
          <w:sz w:val="24"/>
        </w:rPr>
        <w:t>特此公告。</w:t>
      </w:r>
    </w:p>
    <w:p>
      <w:pPr>
        <w:spacing w:line="360" w:lineRule="auto"/>
        <w:ind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8A"/>
    <w:rsid w:val="0000099E"/>
    <w:rsid w:val="00043161"/>
    <w:rsid w:val="000C6A4F"/>
    <w:rsid w:val="0010769F"/>
    <w:rsid w:val="0013473A"/>
    <w:rsid w:val="00161723"/>
    <w:rsid w:val="0025647E"/>
    <w:rsid w:val="00276115"/>
    <w:rsid w:val="002A0B3F"/>
    <w:rsid w:val="002B281D"/>
    <w:rsid w:val="002E0848"/>
    <w:rsid w:val="002E40CB"/>
    <w:rsid w:val="002E7ED8"/>
    <w:rsid w:val="003601FB"/>
    <w:rsid w:val="00365EA7"/>
    <w:rsid w:val="003A467C"/>
    <w:rsid w:val="00465B34"/>
    <w:rsid w:val="00617911"/>
    <w:rsid w:val="006337F6"/>
    <w:rsid w:val="00653CC9"/>
    <w:rsid w:val="00674075"/>
    <w:rsid w:val="00680FFA"/>
    <w:rsid w:val="007141B3"/>
    <w:rsid w:val="0075327B"/>
    <w:rsid w:val="00764DE8"/>
    <w:rsid w:val="00773194"/>
    <w:rsid w:val="0082600D"/>
    <w:rsid w:val="00843071"/>
    <w:rsid w:val="00880830"/>
    <w:rsid w:val="008D166C"/>
    <w:rsid w:val="008F2386"/>
    <w:rsid w:val="008F57AD"/>
    <w:rsid w:val="0091546C"/>
    <w:rsid w:val="009A017E"/>
    <w:rsid w:val="00A3347A"/>
    <w:rsid w:val="00A4012B"/>
    <w:rsid w:val="00A40753"/>
    <w:rsid w:val="00B757F8"/>
    <w:rsid w:val="00BC2FED"/>
    <w:rsid w:val="00C065EA"/>
    <w:rsid w:val="00C113D3"/>
    <w:rsid w:val="00C40DE5"/>
    <w:rsid w:val="00C41409"/>
    <w:rsid w:val="00C936CD"/>
    <w:rsid w:val="00D013ED"/>
    <w:rsid w:val="00D01B3E"/>
    <w:rsid w:val="00D113A2"/>
    <w:rsid w:val="00D17C99"/>
    <w:rsid w:val="00D2678A"/>
    <w:rsid w:val="00D678FE"/>
    <w:rsid w:val="00DD4E7E"/>
    <w:rsid w:val="00E97DC9"/>
    <w:rsid w:val="00EB2D5D"/>
    <w:rsid w:val="00F3716A"/>
    <w:rsid w:val="00F54A07"/>
    <w:rsid w:val="00F671F8"/>
    <w:rsid w:val="20466E42"/>
    <w:rsid w:val="3EDB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paragraph" w:styleId="2">
    <w:name w:val="heading 2"/>
    <w:basedOn w:val="1"/>
    <w:next w:val="1"/>
    <w:link w:val="8"/>
    <w:semiHidden/>
    <w:unhideWhenUsed/>
    <w:qFormat/>
    <w:uiPriority w:val="0"/>
    <w:pPr>
      <w:keepNext/>
      <w:keepLines/>
      <w:spacing w:before="260" w:after="260" w:line="415" w:lineRule="auto"/>
      <w:outlineLvl w:val="1"/>
    </w:pPr>
    <w:rPr>
      <w:rFonts w:ascii="Arial" w:hAnsi="Arial"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字符"/>
    <w:basedOn w:val="7"/>
    <w:link w:val="2"/>
    <w:semiHidden/>
    <w:qFormat/>
    <w:uiPriority w:val="0"/>
    <w:rPr>
      <w:rFonts w:ascii="Arial" w:hAnsi="Arial" w:eastAsia="黑体" w:cs="Times New Roman"/>
      <w:b/>
      <w:bCs/>
      <w:sz w:val="32"/>
      <w:szCs w:val="32"/>
    </w:rPr>
  </w:style>
  <w:style w:type="character" w:customStyle="1" w:styleId="9">
    <w:name w:val="批注框文本 字符"/>
    <w:basedOn w:val="7"/>
    <w:link w:val="3"/>
    <w:semiHidden/>
    <w:qFormat/>
    <w:uiPriority w:val="99"/>
    <w:rPr>
      <w:rFonts w:ascii="Times New Roman" w:hAnsi="Times New Roman" w:eastAsia="方正仿宋简体" w:cs="Times New Roman"/>
      <w:sz w:val="18"/>
      <w:szCs w:val="18"/>
    </w:rPr>
  </w:style>
  <w:style w:type="character" w:customStyle="1" w:styleId="10">
    <w:name w:val="页眉 字符"/>
    <w:basedOn w:val="7"/>
    <w:link w:val="5"/>
    <w:qFormat/>
    <w:uiPriority w:val="99"/>
    <w:rPr>
      <w:rFonts w:ascii="Times New Roman" w:hAnsi="Times New Roman" w:eastAsia="方正仿宋简体" w:cs="Times New Roman"/>
      <w:sz w:val="18"/>
      <w:szCs w:val="18"/>
    </w:rPr>
  </w:style>
  <w:style w:type="character" w:customStyle="1" w:styleId="11">
    <w:name w:val="页脚 字符"/>
    <w:basedOn w:val="7"/>
    <w:link w:val="4"/>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Words>
  <Characters>879</Characters>
  <Lines>7</Lines>
  <Paragraphs>2</Paragraphs>
  <TotalTime>15</TotalTime>
  <ScaleCrop>false</ScaleCrop>
  <LinksUpToDate>false</LinksUpToDate>
  <CharactersWithSpaces>1031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2021-03-31T07:31:00Z</dcterms:created>
  <dc:creator>郝婷婷</dc:creator>
  <cp:lastModifiedBy>haotingting</cp:lastModifiedBy>
  <dcterms:modified xsi:type="dcterms:W3CDTF">2025-09-25T05:38:03Z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E8F3FE79F16B4383B3E24EA78488C855</vt:lpwstr>
  </property>
</Properties>
</file>