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bookmarkEnd w:id="2"/>
      <w:r>
        <w:rPr>
          <w:rFonts w:hint="eastAsia" w:cs="宋体" w:eastAsiaTheme="minorEastAsia"/>
          <w:b/>
          <w:kern w:val="0"/>
          <w:sz w:val="30"/>
          <w:szCs w:val="30"/>
        </w:rPr>
        <w:t>交银施罗德基金管理有限公司关于交银施罗德</w:t>
      </w:r>
      <w:r>
        <w:rPr>
          <w:rFonts w:hint="eastAsia" w:cs="宋体" w:eastAsiaTheme="minorEastAsia"/>
          <w:b/>
          <w:kern w:val="0"/>
          <w:sz w:val="30"/>
          <w:szCs w:val="30"/>
          <w:lang w:eastAsia="zh-CN"/>
        </w:rPr>
        <w:t>港股通优质精选</w:t>
      </w:r>
      <w:r>
        <w:rPr>
          <w:rFonts w:hint="eastAsia" w:cs="宋体" w:eastAsiaTheme="minorEastAsia"/>
          <w:b/>
          <w:kern w:val="0"/>
          <w:sz w:val="30"/>
          <w:szCs w:val="30"/>
        </w:rPr>
        <w:t>混合型证券投资基金基金合同生效公告</w:t>
      </w:r>
    </w:p>
    <w:p>
      <w:pPr>
        <w:jc w:val="center"/>
        <w:rPr>
          <w:rFonts w:hint="default" w:cs="宋体" w:eastAsiaTheme="minorEastAsia"/>
          <w:kern w:val="0"/>
          <w:sz w:val="24"/>
          <w:szCs w:val="24"/>
          <w:lang w:val="en-US" w:eastAsia="zh-CN"/>
        </w:rPr>
      </w:pPr>
      <w:r>
        <w:rPr>
          <w:rFonts w:hint="eastAsia" w:eastAsiaTheme="minorEastAsia"/>
          <w:color w:val="000000"/>
          <w:sz w:val="24"/>
          <w:szCs w:val="24"/>
        </w:rPr>
        <w:t>公告送出日期：</w:t>
      </w:r>
      <w:r>
        <w:rPr>
          <w:rFonts w:hint="eastAsia" w:eastAsiaTheme="minorEastAsia"/>
          <w:bCs/>
          <w:sz w:val="24"/>
          <w:szCs w:val="24"/>
        </w:rPr>
        <w:t>2025年</w:t>
      </w:r>
      <w:r>
        <w:rPr>
          <w:rFonts w:hint="eastAsia" w:eastAsiaTheme="minorEastAsia"/>
          <w:bCs/>
          <w:sz w:val="24"/>
          <w:szCs w:val="24"/>
          <w:lang w:val="en-US" w:eastAsia="zh-CN"/>
        </w:rPr>
        <w:t>9月24日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05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pPr>
              <w:rPr>
                <w:rFonts w:eastAsiaTheme="minorEastAsia"/>
                <w:sz w:val="24"/>
                <w:szCs w:val="24"/>
              </w:rPr>
            </w:pPr>
            <w:r>
              <w:rPr>
                <w:rFonts w:hint="eastAsia" w:eastAsiaTheme="minorEastAsia"/>
                <w:sz w:val="24"/>
                <w:szCs w:val="24"/>
              </w:rPr>
              <w:t>交银施罗德</w:t>
            </w:r>
            <w:r>
              <w:rPr>
                <w:rFonts w:hint="eastAsia" w:eastAsiaTheme="minorEastAsia"/>
                <w:sz w:val="24"/>
                <w:szCs w:val="24"/>
                <w:lang w:eastAsia="zh-CN"/>
              </w:rPr>
              <w:t>港股通优质精选</w:t>
            </w:r>
            <w:r>
              <w:rPr>
                <w:rFonts w:hint="eastAsia" w:eastAsiaTheme="minorEastAsia"/>
                <w:sz w:val="24"/>
                <w:szCs w:val="24"/>
              </w:rPr>
              <w:t>混合型证券投资基金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pPr>
              <w:rPr>
                <w:rFonts w:eastAsiaTheme="minorEastAsia"/>
                <w:sz w:val="24"/>
                <w:szCs w:val="24"/>
              </w:rPr>
            </w:pPr>
            <w:r>
              <w:rPr>
                <w:rFonts w:hint="eastAsia" w:eastAsiaTheme="minorEastAsia"/>
                <w:sz w:val="24"/>
                <w:szCs w:val="24"/>
              </w:rPr>
              <w:t>025298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pPr>
              <w:rPr>
                <w:rFonts w:eastAsiaTheme="minorEastAsia"/>
                <w:sz w:val="24"/>
                <w:szCs w:val="24"/>
              </w:rPr>
            </w:pPr>
            <w:r>
              <w:rPr>
                <w:rFonts w:eastAsiaTheme="minorEastAsia"/>
                <w:sz w:val="24"/>
                <w:szCs w:val="24"/>
              </w:rPr>
              <w:t>契约型</w:t>
            </w:r>
            <w:r>
              <w:rPr>
                <w:rFonts w:hint="eastAsia" w:eastAsiaTheme="minorEastAsia"/>
                <w:sz w:val="24"/>
                <w:szCs w:val="24"/>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pPr>
              <w:rPr>
                <w:rFonts w:eastAsiaTheme="minorEastAsia"/>
                <w:sz w:val="24"/>
                <w:szCs w:val="24"/>
              </w:rPr>
            </w:pPr>
            <w:r>
              <w:rPr>
                <w:rFonts w:hint="eastAsia" w:eastAsiaTheme="minorEastAsia"/>
                <w:sz w:val="24"/>
                <w:szCs w:val="24"/>
              </w:rPr>
              <w:t>2025年9月2</w:t>
            </w:r>
            <w:r>
              <w:rPr>
                <w:rFonts w:hint="eastAsia" w:eastAsiaTheme="minorEastAsia"/>
                <w:sz w:val="24"/>
                <w:szCs w:val="24"/>
                <w:lang w:val="en-US" w:eastAsia="zh-CN"/>
              </w:rPr>
              <w:t>3</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pPr>
              <w:rPr>
                <w:rFonts w:eastAsiaTheme="minorEastAsia"/>
                <w:sz w:val="24"/>
                <w:szCs w:val="24"/>
              </w:rPr>
            </w:pPr>
            <w:r>
              <w:rPr>
                <w:rFonts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pPr>
              <w:rPr>
                <w:rFonts w:eastAsiaTheme="minorEastAsia"/>
                <w:sz w:val="24"/>
                <w:szCs w:val="24"/>
              </w:rPr>
            </w:pPr>
            <w:r>
              <w:rPr>
                <w:rFonts w:hint="eastAsia" w:eastAsiaTheme="minorEastAsia"/>
                <w:sz w:val="24"/>
                <w:szCs w:val="24"/>
                <w:lang w:val="en-US" w:eastAsia="zh-CN"/>
              </w:rPr>
              <w:t>中信证券</w:t>
            </w:r>
            <w:r>
              <w:rPr>
                <w:rFonts w:hint="eastAsia" w:eastAsiaTheme="minorEastAsia"/>
                <w:sz w:val="24"/>
                <w:szCs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pPr>
              <w:rPr>
                <w:rFonts w:eastAsiaTheme="minorEastAsia"/>
                <w:sz w:val="24"/>
                <w:szCs w:val="24"/>
              </w:rPr>
            </w:pPr>
            <w:r>
              <w:rPr>
                <w:rFonts w:eastAsiaTheme="minorEastAsia"/>
                <w:sz w:val="24"/>
                <w:szCs w:val="24"/>
              </w:rPr>
              <w:t>《</w:t>
            </w:r>
            <w:r>
              <w:rPr>
                <w:rFonts w:hint="eastAsia" w:eastAsiaTheme="minorEastAsia"/>
                <w:sz w:val="24"/>
                <w:szCs w:val="24"/>
              </w:rPr>
              <w:t>交银施罗德</w:t>
            </w:r>
            <w:r>
              <w:rPr>
                <w:rFonts w:hint="eastAsia" w:eastAsiaTheme="minorEastAsia"/>
                <w:sz w:val="24"/>
                <w:szCs w:val="24"/>
                <w:lang w:eastAsia="zh-CN"/>
              </w:rPr>
              <w:t>港股通优质精选</w:t>
            </w:r>
            <w:r>
              <w:rPr>
                <w:rFonts w:hint="eastAsia" w:eastAsiaTheme="minorEastAsia"/>
                <w:sz w:val="24"/>
                <w:szCs w:val="24"/>
              </w:rPr>
              <w:t>混合型证券投资基金</w:t>
            </w:r>
            <w:r>
              <w:rPr>
                <w:rFonts w:eastAsiaTheme="minorEastAsia"/>
                <w:sz w:val="24"/>
                <w:szCs w:val="24"/>
              </w:rPr>
              <w:t>基金合同》、《</w:t>
            </w:r>
            <w:r>
              <w:rPr>
                <w:rFonts w:hint="eastAsia" w:eastAsiaTheme="minorEastAsia"/>
                <w:sz w:val="24"/>
                <w:szCs w:val="24"/>
              </w:rPr>
              <w:t>交银施罗德</w:t>
            </w:r>
            <w:r>
              <w:rPr>
                <w:rFonts w:hint="eastAsia" w:eastAsiaTheme="minorEastAsia"/>
                <w:sz w:val="24"/>
                <w:szCs w:val="24"/>
                <w:lang w:eastAsia="zh-CN"/>
              </w:rPr>
              <w:t>港股通优质精选</w:t>
            </w:r>
            <w:r>
              <w:rPr>
                <w:rFonts w:hint="eastAsia" w:eastAsiaTheme="minorEastAsia"/>
                <w:sz w:val="24"/>
                <w:szCs w:val="24"/>
              </w:rPr>
              <w:t>混合型证券投资基金</w:t>
            </w:r>
            <w:r>
              <w:rPr>
                <w:rFonts w:eastAsiaTheme="minorEastAsia"/>
                <w:sz w:val="24"/>
                <w:szCs w:val="24"/>
              </w:rPr>
              <w:t>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下属分级基金的基金简称</w:t>
            </w:r>
          </w:p>
        </w:tc>
        <w:tc>
          <w:tcPr>
            <w:tcW w:w="1720" w:type="pct"/>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w:t>
            </w:r>
            <w:r>
              <w:rPr>
                <w:rFonts w:eastAsiaTheme="minorEastAsia"/>
                <w:sz w:val="24"/>
                <w:szCs w:val="24"/>
              </w:rPr>
              <w:t>A</w:t>
            </w:r>
          </w:p>
        </w:tc>
        <w:tc>
          <w:tcPr>
            <w:tcW w:w="1564" w:type="pct"/>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w:t>
            </w:r>
            <w:r>
              <w:rPr>
                <w:rFonts w:eastAsiaTheme="minorEastAsia"/>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下属分级基金的交易代码</w:t>
            </w:r>
          </w:p>
        </w:tc>
        <w:tc>
          <w:tcPr>
            <w:tcW w:w="1720" w:type="pct"/>
            <w:vAlign w:val="center"/>
          </w:tcPr>
          <w:p>
            <w:pPr>
              <w:rPr>
                <w:rFonts w:eastAsiaTheme="minorEastAsia"/>
                <w:sz w:val="24"/>
                <w:szCs w:val="24"/>
              </w:rPr>
            </w:pPr>
            <w:r>
              <w:rPr>
                <w:rFonts w:hint="eastAsia" w:eastAsiaTheme="minorEastAsia"/>
                <w:sz w:val="24"/>
                <w:szCs w:val="24"/>
              </w:rPr>
              <w:t>025298</w:t>
            </w:r>
          </w:p>
        </w:tc>
        <w:tc>
          <w:tcPr>
            <w:tcW w:w="1564" w:type="pct"/>
            <w:vAlign w:val="center"/>
          </w:tcPr>
          <w:p>
            <w:pPr>
              <w:rPr>
                <w:rFonts w:eastAsiaTheme="minorEastAsia"/>
                <w:sz w:val="24"/>
                <w:szCs w:val="24"/>
              </w:rPr>
            </w:pPr>
            <w:r>
              <w:rPr>
                <w:rFonts w:hint="eastAsia" w:eastAsiaTheme="minorEastAsia"/>
                <w:sz w:val="24"/>
                <w:szCs w:val="24"/>
              </w:rPr>
              <w:t>02529</w:t>
            </w:r>
            <w:r>
              <w:rPr>
                <w:rFonts w:hint="eastAsia" w:eastAsiaTheme="minorEastAsia"/>
                <w:sz w:val="24"/>
                <w:szCs w:val="24"/>
                <w:lang w:val="en-US" w:eastAsia="zh-CN"/>
              </w:rPr>
              <w:t>9</w:t>
            </w:r>
          </w:p>
        </w:tc>
      </w:tr>
    </w:tbl>
    <w:p>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60"/>
        <w:gridCol w:w="1778"/>
        <w:gridCol w:w="181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315" w:type="dxa"/>
            <w:gridSpan w:val="2"/>
          </w:tcPr>
          <w:p>
            <w:pPr>
              <w:jc w:val="left"/>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5756" w:type="dxa"/>
            <w:gridSpan w:val="3"/>
            <w:vAlign w:val="center"/>
          </w:tcPr>
          <w:p>
            <w:pPr>
              <w:rPr>
                <w:rFonts w:eastAsiaTheme="minorEastAsia"/>
                <w:sz w:val="24"/>
                <w:szCs w:val="24"/>
              </w:rPr>
            </w:pPr>
            <w:r>
              <w:rPr>
                <w:rFonts w:hint="eastAsia" w:eastAsiaTheme="minorEastAsia"/>
                <w:sz w:val="24"/>
                <w:szCs w:val="24"/>
              </w:rPr>
              <w:t>证监许可【2025】1608号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pPr>
              <w:rPr>
                <w:rFonts w:eastAsiaTheme="minorEastAsia"/>
                <w:sz w:val="24"/>
                <w:szCs w:val="24"/>
              </w:rPr>
            </w:pPr>
            <w:r>
              <w:rPr>
                <w:rFonts w:hint="eastAsia" w:eastAsiaTheme="minorEastAsia"/>
                <w:sz w:val="24"/>
                <w:szCs w:val="24"/>
              </w:rPr>
              <w:t>自2025年9月8日</w:t>
            </w:r>
          </w:p>
          <w:p>
            <w:pPr>
              <w:rPr>
                <w:rFonts w:eastAsiaTheme="minorEastAsia"/>
                <w:sz w:val="24"/>
                <w:szCs w:val="24"/>
              </w:rPr>
            </w:pPr>
            <w:r>
              <w:rPr>
                <w:rFonts w:hint="eastAsia" w:eastAsiaTheme="minorEastAsia"/>
                <w:sz w:val="24"/>
                <w:szCs w:val="24"/>
              </w:rPr>
              <w:t>至2025年9月19日</w:t>
            </w:r>
            <w:r>
              <w:rPr>
                <w:rFonts w:eastAsiaTheme="minorEastAsia"/>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pPr>
              <w:rPr>
                <w:rFonts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5756" w:type="dxa"/>
            <w:gridSpan w:val="3"/>
            <w:vAlign w:val="center"/>
          </w:tcPr>
          <w:p>
            <w:pPr>
              <w:jc w:val="left"/>
              <w:rPr>
                <w:rFonts w:eastAsiaTheme="minorEastAsia"/>
                <w:sz w:val="24"/>
                <w:szCs w:val="24"/>
              </w:rPr>
            </w:pPr>
            <w:r>
              <w:rPr>
                <w:rFonts w:hint="eastAsia" w:eastAsiaTheme="minorEastAsia"/>
                <w:sz w:val="24"/>
                <w:szCs w:val="24"/>
              </w:rPr>
              <w:t>2025年9月23日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756" w:type="dxa"/>
            <w:gridSpan w:val="3"/>
            <w:shd w:val="clear" w:color="auto" w:fill="auto"/>
            <w:vAlign w:val="center"/>
          </w:tcPr>
          <w:p>
            <w:pPr>
              <w:jc w:val="left"/>
              <w:rPr>
                <w:rFonts w:hint="default" w:eastAsiaTheme="minorEastAsia"/>
                <w:sz w:val="24"/>
                <w:szCs w:val="24"/>
                <w:lang w:val="en-US" w:eastAsia="zh-CN"/>
              </w:rPr>
            </w:pPr>
            <w:r>
              <w:rPr>
                <w:rFonts w:hint="eastAsia" w:eastAsiaTheme="minorEastAsia"/>
                <w:sz w:val="24"/>
                <w:szCs w:val="24"/>
                <w:lang w:val="en-US" w:eastAsia="zh-CN"/>
              </w:rPr>
              <w:t>12,043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份额级别</w:t>
            </w:r>
          </w:p>
        </w:tc>
        <w:tc>
          <w:tcPr>
            <w:tcW w:w="1778"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混合A</w:t>
            </w:r>
          </w:p>
        </w:tc>
        <w:tc>
          <w:tcPr>
            <w:tcW w:w="1819"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w:t>
            </w:r>
            <w:r>
              <w:rPr>
                <w:rFonts w:eastAsiaTheme="minorEastAsia"/>
                <w:sz w:val="24"/>
                <w:szCs w:val="24"/>
              </w:rPr>
              <w:t>C</w:t>
            </w:r>
          </w:p>
        </w:tc>
        <w:tc>
          <w:tcPr>
            <w:tcW w:w="2159"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港股通优质精选</w:t>
            </w:r>
            <w:r>
              <w:rPr>
                <w:rFonts w:hint="eastAsia" w:eastAsiaTheme="minorEastAsia"/>
                <w:sz w:val="24"/>
                <w:szCs w:val="24"/>
              </w:rPr>
              <w:t>混合</w:t>
            </w:r>
            <w:r>
              <w:rPr>
                <w:rFonts w:eastAsiaTheme="minorEastAsia"/>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募集期间净认购金额（单位：元）</w:t>
            </w:r>
          </w:p>
        </w:tc>
        <w:tc>
          <w:tcPr>
            <w:tcW w:w="1778"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850,284,355.51 </w:t>
            </w:r>
          </w:p>
        </w:tc>
        <w:tc>
          <w:tcPr>
            <w:tcW w:w="181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833,248,189.49 </w:t>
            </w:r>
          </w:p>
        </w:tc>
        <w:tc>
          <w:tcPr>
            <w:tcW w:w="215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1,683,532,545.00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认购资金在募集期间产生的利息（单位：元）</w:t>
            </w:r>
          </w:p>
        </w:tc>
        <w:tc>
          <w:tcPr>
            <w:tcW w:w="1778"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203,667.29 </w:t>
            </w:r>
          </w:p>
        </w:tc>
        <w:tc>
          <w:tcPr>
            <w:tcW w:w="181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165,057.71 </w:t>
            </w:r>
          </w:p>
        </w:tc>
        <w:tc>
          <w:tcPr>
            <w:tcW w:w="215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368,725.00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color w:val="000000"/>
                <w:sz w:val="24"/>
                <w:szCs w:val="24"/>
              </w:rPr>
            </w:pPr>
            <w:r>
              <w:rPr>
                <w:rFonts w:hint="eastAsia" w:eastAsiaTheme="minorEastAsia"/>
                <w:color w:val="000000"/>
                <w:sz w:val="24"/>
                <w:szCs w:val="24"/>
              </w:rPr>
              <w:t>募集份额（单位：份）</w:t>
            </w:r>
          </w:p>
        </w:tc>
        <w:tc>
          <w:tcPr>
            <w:tcW w:w="1760" w:type="dxa"/>
            <w:vAlign w:val="center"/>
          </w:tcPr>
          <w:p>
            <w:pPr>
              <w:rPr>
                <w:rFonts w:eastAsiaTheme="minorEastAsia"/>
                <w:sz w:val="24"/>
                <w:szCs w:val="24"/>
              </w:rPr>
            </w:pPr>
            <w:r>
              <w:rPr>
                <w:rFonts w:hint="eastAsia" w:eastAsiaTheme="minorEastAsia"/>
                <w:sz w:val="24"/>
                <w:szCs w:val="24"/>
              </w:rPr>
              <w:t>有效认购份额</w:t>
            </w:r>
          </w:p>
        </w:tc>
        <w:tc>
          <w:tcPr>
            <w:tcW w:w="1778"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850,284,355.51 </w:t>
            </w:r>
          </w:p>
        </w:tc>
        <w:tc>
          <w:tcPr>
            <w:tcW w:w="181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833,248,189.49 </w:t>
            </w:r>
          </w:p>
        </w:tc>
        <w:tc>
          <w:tcPr>
            <w:tcW w:w="215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1,683,532,545.00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利息结转的份额</w:t>
            </w:r>
          </w:p>
        </w:tc>
        <w:tc>
          <w:tcPr>
            <w:tcW w:w="1778"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203,667.29 </w:t>
            </w:r>
          </w:p>
        </w:tc>
        <w:tc>
          <w:tcPr>
            <w:tcW w:w="181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165,057.71 </w:t>
            </w:r>
          </w:p>
        </w:tc>
        <w:tc>
          <w:tcPr>
            <w:tcW w:w="215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368,725.00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合计</w:t>
            </w:r>
          </w:p>
        </w:tc>
        <w:tc>
          <w:tcPr>
            <w:tcW w:w="1778"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850,488,022.80 </w:t>
            </w:r>
          </w:p>
        </w:tc>
        <w:tc>
          <w:tcPr>
            <w:tcW w:w="181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833,413,247.20 </w:t>
            </w:r>
          </w:p>
        </w:tc>
        <w:tc>
          <w:tcPr>
            <w:tcW w:w="2159" w:type="dxa"/>
            <w:vAlign w:val="center"/>
          </w:tcPr>
          <w:p>
            <w:pPr>
              <w:keepNext w:val="0"/>
              <w:keepLines w:val="0"/>
              <w:widowControl/>
              <w:suppressLineNumbers w:val="0"/>
              <w:jc w:val="left"/>
              <w:textAlignment w:val="auto"/>
              <w:rPr>
                <w:rFonts w:hint="eastAsia" w:ascii="Times New Roman" w:hAnsi="Times New Roman" w:cs="Times New Roman" w:eastAsiaTheme="minorEastAsia"/>
                <w:i w:val="0"/>
                <w:iCs w:val="0"/>
                <w:kern w:val="2"/>
                <w:sz w:val="24"/>
                <w:szCs w:val="24"/>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
              </w:rPr>
              <w:t xml:space="preserve"> 1,683,901,270.00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其中：募集期间基金管理人运用固有资金认购本基金情况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778" w:type="dxa"/>
            <w:vAlign w:val="center"/>
          </w:tcPr>
          <w:p>
            <w:pPr>
              <w:jc w:val="center"/>
              <w:rPr>
                <w:rFonts w:eastAsiaTheme="minorEastAsia"/>
                <w:color w:val="000000"/>
                <w:sz w:val="24"/>
                <w:szCs w:val="24"/>
              </w:rPr>
            </w:pPr>
            <w:r>
              <w:rPr>
                <w:rFonts w:hint="eastAsia" w:eastAsiaTheme="minorEastAsia"/>
                <w:color w:val="000000"/>
                <w:sz w:val="24"/>
                <w:szCs w:val="24"/>
                <w:lang w:val="en-US" w:eastAsia="zh-CN"/>
              </w:rPr>
              <w:t>-</w:t>
            </w:r>
          </w:p>
        </w:tc>
        <w:tc>
          <w:tcPr>
            <w:tcW w:w="1819" w:type="dxa"/>
            <w:vAlign w:val="center"/>
          </w:tcPr>
          <w:p>
            <w:pPr>
              <w:jc w:val="center"/>
              <w:rPr>
                <w:rFonts w:hint="eastAsia" w:eastAsiaTheme="minorEastAsia"/>
                <w:color w:val="000000"/>
                <w:sz w:val="24"/>
                <w:szCs w:val="24"/>
                <w:lang w:val="en-US" w:eastAsia="zh-CN"/>
              </w:rPr>
            </w:pPr>
            <w:r>
              <w:rPr>
                <w:rFonts w:hint="eastAsia" w:eastAsiaTheme="minorEastAsia"/>
                <w:color w:val="000000"/>
                <w:sz w:val="24"/>
                <w:szCs w:val="24"/>
                <w:lang w:val="en-US" w:eastAsia="zh-CN"/>
              </w:rPr>
              <w:t>-</w:t>
            </w:r>
          </w:p>
        </w:tc>
        <w:tc>
          <w:tcPr>
            <w:tcW w:w="2159" w:type="dxa"/>
            <w:vAlign w:val="center"/>
          </w:tcPr>
          <w:p>
            <w:pPr>
              <w:jc w:val="center"/>
              <w:rPr>
                <w:rFonts w:eastAsiaTheme="minorEastAsia"/>
                <w:color w:val="000000"/>
                <w:sz w:val="24"/>
                <w:szCs w:val="24"/>
              </w:rPr>
            </w:pPr>
            <w:r>
              <w:rPr>
                <w:rFonts w:hint="eastAsia" w:eastAsiaTheme="minorEastAsia"/>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778" w:type="dxa"/>
            <w:vAlign w:val="center"/>
          </w:tcPr>
          <w:p>
            <w:pPr>
              <w:jc w:val="center"/>
              <w:rPr>
                <w:rFonts w:hint="default" w:eastAsiaTheme="minorEastAsia"/>
                <w:color w:val="000000"/>
                <w:sz w:val="24"/>
                <w:szCs w:val="24"/>
                <w:lang w:val="en-US" w:eastAsia="zh-CN"/>
              </w:rPr>
            </w:pPr>
            <w:r>
              <w:rPr>
                <w:rFonts w:hint="eastAsia" w:eastAsiaTheme="minorEastAsia"/>
                <w:color w:val="000000"/>
                <w:sz w:val="24"/>
                <w:szCs w:val="24"/>
                <w:lang w:val="en-US" w:eastAsia="zh-CN"/>
              </w:rPr>
              <w:t>-</w:t>
            </w:r>
          </w:p>
        </w:tc>
        <w:tc>
          <w:tcPr>
            <w:tcW w:w="1819" w:type="dxa"/>
            <w:vAlign w:val="center"/>
          </w:tcPr>
          <w:p>
            <w:pPr>
              <w:jc w:val="center"/>
              <w:rPr>
                <w:rFonts w:hint="eastAsia" w:eastAsiaTheme="minorEastAsia"/>
                <w:color w:val="000000"/>
                <w:sz w:val="24"/>
                <w:szCs w:val="24"/>
                <w:lang w:val="en-US" w:eastAsia="zh-CN"/>
              </w:rPr>
            </w:pPr>
            <w:r>
              <w:rPr>
                <w:rFonts w:hint="eastAsia" w:eastAsiaTheme="minorEastAsia"/>
                <w:color w:val="000000"/>
                <w:sz w:val="24"/>
                <w:szCs w:val="24"/>
                <w:lang w:val="en-US" w:eastAsia="zh-CN"/>
              </w:rPr>
              <w:t>-</w:t>
            </w:r>
          </w:p>
        </w:tc>
        <w:tc>
          <w:tcPr>
            <w:tcW w:w="2159" w:type="dxa"/>
            <w:vAlign w:val="center"/>
          </w:tcPr>
          <w:p>
            <w:pPr>
              <w:jc w:val="center"/>
              <w:rPr>
                <w:rFonts w:hint="eastAsia" w:eastAsiaTheme="minorEastAsia"/>
                <w:color w:val="000000"/>
                <w:sz w:val="24"/>
                <w:szCs w:val="24"/>
                <w:lang w:val="en-US" w:eastAsia="zh-CN"/>
              </w:rPr>
            </w:pPr>
            <w:r>
              <w:rPr>
                <w:rFonts w:hint="eastAsia" w:eastAsiaTheme="minorEastAsia"/>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其他需要说明的事项</w:t>
            </w:r>
          </w:p>
        </w:tc>
        <w:tc>
          <w:tcPr>
            <w:tcW w:w="1778" w:type="dxa"/>
            <w:vAlign w:val="center"/>
          </w:tcPr>
          <w:p>
            <w:pPr>
              <w:jc w:val="center"/>
              <w:rPr>
                <w:rFonts w:hint="eastAsia" w:eastAsiaTheme="minorEastAsia"/>
                <w:sz w:val="24"/>
                <w:szCs w:val="24"/>
                <w:lang w:eastAsia="zh-CN"/>
              </w:rPr>
            </w:pPr>
            <w:r>
              <w:rPr>
                <w:rFonts w:hint="eastAsia" w:eastAsiaTheme="minorEastAsia"/>
                <w:sz w:val="24"/>
                <w:szCs w:val="24"/>
                <w:lang w:val="en-US" w:eastAsia="zh-CN"/>
              </w:rPr>
              <w:t>-</w:t>
            </w:r>
          </w:p>
        </w:tc>
        <w:tc>
          <w:tcPr>
            <w:tcW w:w="1819" w:type="dxa"/>
            <w:vAlign w:val="center"/>
          </w:tcPr>
          <w:p>
            <w:pPr>
              <w:jc w:val="center"/>
              <w:rPr>
                <w:rFonts w:hint="eastAsia" w:eastAsiaTheme="minorEastAsia"/>
                <w:sz w:val="24"/>
                <w:szCs w:val="24"/>
                <w:lang w:val="en-US" w:eastAsia="zh-CN"/>
              </w:rPr>
            </w:pPr>
            <w:r>
              <w:rPr>
                <w:rFonts w:hint="eastAsia" w:eastAsiaTheme="minorEastAsia"/>
                <w:sz w:val="24"/>
                <w:szCs w:val="24"/>
                <w:lang w:val="en-US" w:eastAsia="zh-CN"/>
              </w:rPr>
              <w:t>-</w:t>
            </w:r>
          </w:p>
        </w:tc>
        <w:tc>
          <w:tcPr>
            <w:tcW w:w="2159" w:type="dxa"/>
            <w:vAlign w:val="center"/>
          </w:tcPr>
          <w:p>
            <w:pPr>
              <w:jc w:val="center"/>
              <w:rPr>
                <w:rFonts w:hint="eastAsia" w:eastAsiaTheme="minorEastAsia"/>
                <w:sz w:val="24"/>
                <w:szCs w:val="24"/>
                <w:lang w:val="en-US" w:eastAsia="zh-CN"/>
              </w:rPr>
            </w:pPr>
            <w:r>
              <w:rPr>
                <w:rFonts w:hint="eastAsia" w:eastAsia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其中：募集期间基金管理人的从业人员认购本基金情况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778" w:type="dxa"/>
            <w:vAlign w:val="center"/>
          </w:tcPr>
          <w:p>
            <w:pPr>
              <w:widowControl/>
              <w:jc w:val="center"/>
              <w:rPr>
                <w:rFonts w:eastAsiaTheme="minorEastAsia"/>
                <w:color w:val="000000"/>
                <w:sz w:val="24"/>
                <w:szCs w:val="24"/>
              </w:rPr>
            </w:pPr>
            <w:r>
              <w:rPr>
                <w:rFonts w:hint="eastAsia" w:eastAsiaTheme="minorEastAsia"/>
                <w:color w:val="000000"/>
                <w:sz w:val="24"/>
                <w:szCs w:val="24"/>
              </w:rPr>
              <w:t>70,012.43</w:t>
            </w:r>
          </w:p>
        </w:tc>
        <w:tc>
          <w:tcPr>
            <w:tcW w:w="1819" w:type="dxa"/>
            <w:vAlign w:val="center"/>
          </w:tcPr>
          <w:p>
            <w:pPr>
              <w:widowControl/>
              <w:jc w:val="center"/>
              <w:rPr>
                <w:rFonts w:eastAsiaTheme="minorEastAsia"/>
                <w:color w:val="000000"/>
                <w:sz w:val="24"/>
                <w:szCs w:val="24"/>
              </w:rPr>
            </w:pPr>
            <w:r>
              <w:rPr>
                <w:rFonts w:hint="eastAsia" w:eastAsiaTheme="minorEastAsia"/>
                <w:color w:val="000000"/>
                <w:sz w:val="24"/>
                <w:szCs w:val="24"/>
              </w:rPr>
              <w:t>300,058.33</w:t>
            </w:r>
          </w:p>
        </w:tc>
        <w:tc>
          <w:tcPr>
            <w:tcW w:w="2159" w:type="dxa"/>
            <w:vAlign w:val="center"/>
          </w:tcPr>
          <w:p>
            <w:pPr>
              <w:widowControl/>
              <w:jc w:val="center"/>
              <w:rPr>
                <w:rFonts w:hint="eastAsia" w:eastAsiaTheme="minorEastAsia"/>
                <w:color w:val="000000"/>
                <w:sz w:val="24"/>
                <w:szCs w:val="24"/>
                <w:lang w:val="en-US" w:eastAsia="zh-CN"/>
              </w:rPr>
            </w:pPr>
            <w:r>
              <w:rPr>
                <w:rFonts w:hint="eastAsia" w:eastAsiaTheme="minorEastAsia"/>
                <w:color w:val="000000"/>
                <w:sz w:val="24"/>
                <w:szCs w:val="24"/>
                <w:lang w:val="en-US" w:eastAsia="zh-CN"/>
              </w:rPr>
              <w:t>370,070.76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pPr>
              <w:spacing w:line="56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778"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0.0082%</w:t>
            </w:r>
          </w:p>
        </w:tc>
        <w:tc>
          <w:tcPr>
            <w:tcW w:w="1819"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0.0360%</w:t>
            </w:r>
          </w:p>
        </w:tc>
        <w:tc>
          <w:tcPr>
            <w:tcW w:w="2159"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0.02</w:t>
            </w:r>
            <w:r>
              <w:rPr>
                <w:rFonts w:hint="eastAsia" w:eastAsiaTheme="minorEastAsia"/>
                <w:color w:val="000000"/>
                <w:sz w:val="24"/>
                <w:szCs w:val="24"/>
                <w:lang w:val="en-US" w:eastAsia="zh-CN" w:bidi="ar"/>
              </w:rPr>
              <w:t>20</w:t>
            </w:r>
            <w:r>
              <w:rPr>
                <w:rFonts w:hint="eastAsia" w:eastAsiaTheme="minorEastAsia"/>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6912" w:type="dxa"/>
            <w:gridSpan w:val="4"/>
            <w:vAlign w:val="center"/>
          </w:tcPr>
          <w:p>
            <w:pPr>
              <w:snapToGrid w:val="0"/>
              <w:spacing w:line="240" w:lineRule="auto"/>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2159" w:type="dxa"/>
            <w:vAlign w:val="center"/>
          </w:tcPr>
          <w:p>
            <w:pPr>
              <w:spacing w:line="560" w:lineRule="exact"/>
              <w:jc w:val="center"/>
              <w:rPr>
                <w:rFonts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912" w:type="dxa"/>
            <w:gridSpan w:val="4"/>
            <w:vAlign w:val="center"/>
          </w:tcPr>
          <w:p>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159" w:type="dxa"/>
            <w:vAlign w:val="center"/>
          </w:tcPr>
          <w:p>
            <w:pPr>
              <w:rPr>
                <w:rFonts w:cs="宋体" w:eastAsiaTheme="minorEastAsia"/>
                <w:sz w:val="24"/>
                <w:szCs w:val="24"/>
              </w:rPr>
            </w:pPr>
            <w:r>
              <w:rPr>
                <w:rFonts w:hint="eastAsia" w:eastAsiaTheme="minorEastAsia"/>
                <w:sz w:val="24"/>
                <w:szCs w:val="24"/>
              </w:rPr>
              <w:t>2025年9月23日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rPr>
          <w:rFonts w:eastAsiaTheme="minorEastAsia"/>
          <w:kern w:val="0"/>
          <w:sz w:val="24"/>
          <w:szCs w:val="24"/>
        </w:rPr>
      </w:pPr>
      <w:r>
        <w:rPr>
          <w:rFonts w:eastAsiaTheme="minorEastAsia"/>
          <w:kern w:val="0"/>
          <w:sz w:val="24"/>
          <w:szCs w:val="24"/>
        </w:rPr>
        <w:t>（2）</w:t>
      </w:r>
      <w:r>
        <w:rPr>
          <w:rFonts w:hint="eastAsia" w:eastAsiaTheme="minorEastAsia"/>
          <w:kern w:val="0"/>
          <w:sz w:val="24"/>
          <w:szCs w:val="24"/>
        </w:rPr>
        <w:t>本基金管理人的高级管理人员</w:t>
      </w:r>
      <w:r>
        <w:rPr>
          <w:rFonts w:hint="eastAsia" w:eastAsiaTheme="minorEastAsia"/>
          <w:kern w:val="0"/>
          <w:sz w:val="24"/>
          <w:szCs w:val="24"/>
          <w:lang w:val="en-US" w:eastAsia="zh-CN"/>
        </w:rPr>
        <w:t>、</w:t>
      </w:r>
      <w:r>
        <w:rPr>
          <w:rFonts w:hint="eastAsia" w:eastAsiaTheme="minorEastAsia"/>
          <w:kern w:val="0"/>
          <w:sz w:val="24"/>
          <w:szCs w:val="24"/>
        </w:rPr>
        <w:t>基金投资和研究部门负责人未认购本基金；本基金基金经理未认购本基金。</w:t>
      </w:r>
    </w:p>
    <w:p>
      <w:pPr>
        <w:spacing w:line="360" w:lineRule="auto"/>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90E48"/>
    <w:rsid w:val="00391516"/>
    <w:rsid w:val="003946C0"/>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5D35"/>
    <w:rsid w:val="00C40FE0"/>
    <w:rsid w:val="00C45C86"/>
    <w:rsid w:val="00C47B53"/>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15C76"/>
    <w:rsid w:val="00D327FB"/>
    <w:rsid w:val="00D339BD"/>
    <w:rsid w:val="00D35283"/>
    <w:rsid w:val="00D361E1"/>
    <w:rsid w:val="00D517E1"/>
    <w:rsid w:val="00D5237D"/>
    <w:rsid w:val="00D57F49"/>
    <w:rsid w:val="00D60295"/>
    <w:rsid w:val="00D64B99"/>
    <w:rsid w:val="00D710AA"/>
    <w:rsid w:val="00D753E9"/>
    <w:rsid w:val="00D8024F"/>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9373995"/>
    <w:rsid w:val="105C6685"/>
    <w:rsid w:val="10703F15"/>
    <w:rsid w:val="11B910F6"/>
    <w:rsid w:val="134B0AF8"/>
    <w:rsid w:val="17802C1E"/>
    <w:rsid w:val="18EC4816"/>
    <w:rsid w:val="1B8A5284"/>
    <w:rsid w:val="1BA6544E"/>
    <w:rsid w:val="24DB3435"/>
    <w:rsid w:val="2A95774B"/>
    <w:rsid w:val="2EC31678"/>
    <w:rsid w:val="2F936CFC"/>
    <w:rsid w:val="30134BD0"/>
    <w:rsid w:val="33EF3C09"/>
    <w:rsid w:val="344C16F7"/>
    <w:rsid w:val="394352D1"/>
    <w:rsid w:val="3A3C5041"/>
    <w:rsid w:val="3CFA6AF5"/>
    <w:rsid w:val="42FF594F"/>
    <w:rsid w:val="45CE25EE"/>
    <w:rsid w:val="48F205E0"/>
    <w:rsid w:val="4D0E5D34"/>
    <w:rsid w:val="52445E1C"/>
    <w:rsid w:val="52BA4D0E"/>
    <w:rsid w:val="532E4124"/>
    <w:rsid w:val="57D60097"/>
    <w:rsid w:val="57E41028"/>
    <w:rsid w:val="67EE1836"/>
    <w:rsid w:val="74F979A2"/>
    <w:rsid w:val="7B1C534B"/>
    <w:rsid w:val="7BFB6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1329</Words>
  <Characters>1572</Characters>
  <Lines>12</Lines>
  <Paragraphs>3</Paragraphs>
  <TotalTime>38</TotalTime>
  <ScaleCrop>false</ScaleCrop>
  <LinksUpToDate>false</LinksUpToDate>
  <CharactersWithSpaces>1605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2022-09-21T02:47:00Z</dcterms:created>
  <dc:creator>User</dc:creator>
  <cp:lastModifiedBy>haotingting</cp:lastModifiedBy>
  <cp:lastPrinted>2025-09-22T08:45:00Z</cp:lastPrinted>
  <dcterms:modified xsi:type="dcterms:W3CDTF">2025-09-23T08:57:28Z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E6919EA1F2A449E1A963C53BDE2910B3</vt:lpwstr>
  </property>
</Properties>
</file>