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bookmarkStart w:id="29" w:name="_GoBack"/>
      <w:bookmarkEnd w:id="29"/>
    </w:p>
    <w:p>
      <w:pPr>
        <w:rPr>
          <w:sz w:val="32"/>
        </w:rPr>
      </w:pPr>
    </w:p>
    <w:p>
      <w:pPr>
        <w:rPr>
          <w:sz w:val="32"/>
        </w:rPr>
      </w:pPr>
    </w:p>
    <w:p>
      <w:pPr>
        <w:jc w:val="center"/>
        <w:rPr>
          <w:sz w:val="32"/>
        </w:rPr>
      </w:pPr>
      <w:r>
        <w:pict>
          <v:shape id="_x0000_i1025" o:spt="75" alt="logo1" type="#_x0000_t75" style="height:44.85pt;width:342.3pt;" filled="f" o:preferrelative="t" stroked="f" coordsize="21600,21600">
            <v:path/>
            <v:fill on="f" focussize="0,0"/>
            <v:stroke on="f" joinstyle="miter"/>
            <v:imagedata r:id="rId12" o:title="logo1"/>
            <o:lock v:ext="edit" aspectratio="t"/>
            <w10:wrap type="none"/>
            <w10:anchorlock/>
          </v:shape>
        </w:pict>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交银施罗德启诚混合型证券投资基金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基金托管人：招商银行股份有限公司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lang w:val="en-US" w:eastAsia="zh-CN"/>
        </w:rPr>
        <w:t>五</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lang w:val="en-US" w:eastAsia="zh-CN"/>
        </w:rPr>
        <w:t>八</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182488809"/>
      <w:bookmarkStart w:id="1" w:name="_Toc496884613"/>
      <w:bookmarkStart w:id="2" w:name="_Toc324920538"/>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启诚混合型证券投资基金（以下简称“本基金”）经2021年9月14日中国证券监督管理委员会（以下简称“中国证监会”）证监许可【2021】3027号文准予募集注册。本基金基金合同于2021年12月8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信用风险；投资股指期货的特定风险；投资科创板股票的特定风险；投资资产支持证券的特定风险；投资流通受限证券的特定风险；投资存托凭证的特定风险；连续50个工作日出现基金份额持有人数量不满200人或基金资产净值低于5000万元情形时基金合同终止的风险；投资本基金的其他风险等等。本基金是一只混合型基金，其预期风险和预期收益理论上高于债券型基金和货币市场基金，低于股票型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本基金单一投资者持有基金份额数不得超过基金份额总数的50%，但在基金运作过程中因基金份额赎回等情形导致被动超过前述50%比例的除外。</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本次更新招募说明书主要对本基金开通同一基金不同类别基金份额转换业务的有关内容进行更新，前述内容更新截止日为2025年8月</w:t>
      </w:r>
      <w:r>
        <w:rPr>
          <w:rFonts w:hint="eastAsia" w:ascii="Times New Roman" w:hAnsi="Times New Roman"/>
          <w:kern w:val="0"/>
          <w:sz w:val="24"/>
          <w:lang w:val="en-US" w:eastAsia="zh-CN"/>
        </w:rPr>
        <w:t>28</w:t>
      </w:r>
      <w:r>
        <w:rPr>
          <w:rFonts w:hint="eastAsia" w:ascii="Times New Roman" w:hAnsi="Times New Roman"/>
          <w:kern w:val="0"/>
          <w:sz w:val="24"/>
        </w:rPr>
        <w:t>日。除非另有说明，</w:t>
      </w:r>
      <w:r>
        <w:rPr>
          <w:rFonts w:ascii="Times New Roman" w:hAnsi="Times New Roman"/>
          <w:kern w:val="0"/>
          <w:sz w:val="24"/>
        </w:rPr>
        <w:t>本招募说明书所载</w:t>
      </w:r>
      <w:r>
        <w:rPr>
          <w:rFonts w:hint="eastAsia" w:ascii="Times New Roman" w:hAnsi="Times New Roman"/>
          <w:kern w:val="0"/>
          <w:sz w:val="24"/>
        </w:rPr>
        <w:t>其他</w:t>
      </w:r>
      <w:r>
        <w:rPr>
          <w:rFonts w:ascii="Times New Roman" w:hAnsi="Times New Roman"/>
          <w:kern w:val="0"/>
          <w:sz w:val="24"/>
        </w:rPr>
        <w:t>内容截止日为2024年11月02日，有关财务数据和净值表现截止日为2024年09月30日。本招募说明书所载的财务数据未经审计。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9"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"_Toc182488809"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_Toc182488809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"_Toc182488810"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_Toc182488810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"_Toc182488811"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_Toc182488811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"_Toc182488812"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_Toc182488812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"_Toc182488813"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_Toc182488813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"_Toc182488814"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_Toc182488814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"_Toc182488815"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_Toc182488815 \h </w:instrText>
      </w:r>
      <w:r>
        <w:rPr>
          <w:rFonts w:ascii="宋体" w:hAnsi="宋体"/>
          <w:sz w:val="24"/>
        </w:rPr>
        <w:fldChar w:fldCharType="separate"/>
      </w:r>
      <w:r>
        <w:rPr>
          <w:rFonts w:ascii="宋体" w:hAnsi="宋体"/>
          <w:sz w:val="24"/>
        </w:rPr>
        <w:t>56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"_Toc182488816"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_Toc182488816 \h </w:instrText>
      </w:r>
      <w:r>
        <w:rPr>
          <w:rFonts w:ascii="宋体" w:hAnsi="宋体"/>
          <w:sz w:val="24"/>
        </w:rPr>
        <w:fldChar w:fldCharType="separate"/>
      </w:r>
      <w:r>
        <w:rPr>
          <w:rFonts w:ascii="宋体" w:hAnsi="宋体"/>
          <w:sz w:val="24"/>
        </w:rPr>
        <w:t>57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"_Toc182488817"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_Toc182488817 \h </w:instrText>
      </w:r>
      <w:r>
        <w:rPr>
          <w:rFonts w:ascii="宋体" w:hAnsi="宋体"/>
          <w:sz w:val="24"/>
        </w:rPr>
        <w:fldChar w:fldCharType="separate"/>
      </w:r>
      <w:r>
        <w:rPr>
          <w:rFonts w:ascii="宋体" w:hAnsi="宋体"/>
          <w:sz w:val="24"/>
        </w:rPr>
        <w:t>58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"_Toc182488818" </w:instrText>
      </w:r>
      <w:r>
        <w:fldChar w:fldCharType="separate"/>
      </w:r>
      <w:r>
        <w:rPr>
          <w:rStyle w:val="18"/>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_Toc182488818 \h </w:instrText>
      </w:r>
      <w:r>
        <w:rPr>
          <w:rFonts w:ascii="宋体" w:hAnsi="宋体"/>
          <w:sz w:val="24"/>
        </w:rPr>
        <w:fldChar w:fldCharType="separate"/>
      </w:r>
      <w:r>
        <w:rPr>
          <w:rFonts w:ascii="宋体" w:hAnsi="宋体"/>
          <w:sz w:val="24"/>
        </w:rPr>
        <w:t>72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"_Toc182488819"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_Toc182488819 \h </w:instrText>
      </w:r>
      <w:r>
        <w:rPr>
          <w:rFonts w:ascii="宋体" w:hAnsi="宋体"/>
          <w:sz w:val="24"/>
        </w:rPr>
        <w:fldChar w:fldCharType="separate"/>
      </w:r>
      <w:r>
        <w:rPr>
          <w:rFonts w:ascii="宋体" w:hAnsi="宋体"/>
          <w:sz w:val="24"/>
        </w:rPr>
        <w:t>79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"_Toc182488820"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_Toc182488820 \h </w:instrText>
      </w:r>
      <w:r>
        <w:rPr>
          <w:rFonts w:ascii="宋体" w:hAnsi="宋体"/>
          <w:sz w:val="24"/>
        </w:rPr>
        <w:fldChar w:fldCharType="separate"/>
      </w:r>
      <w:r>
        <w:rPr>
          <w:rFonts w:ascii="宋体" w:hAnsi="宋体"/>
          <w:sz w:val="24"/>
        </w:rPr>
        <w:t>91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"_Toc182488821"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_Toc182488821 \h </w:instrText>
      </w:r>
      <w:r>
        <w:rPr>
          <w:rFonts w:ascii="宋体" w:hAnsi="宋体"/>
          <w:sz w:val="24"/>
        </w:rPr>
        <w:fldChar w:fldCharType="separate"/>
      </w:r>
      <w:r>
        <w:rPr>
          <w:rFonts w:ascii="宋体" w:hAnsi="宋体"/>
          <w:sz w:val="24"/>
        </w:rPr>
        <w:t>94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"_Toc182488822"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_Toc182488822 \h </w:instrText>
      </w:r>
      <w:r>
        <w:rPr>
          <w:rFonts w:ascii="宋体" w:hAnsi="宋体"/>
          <w:sz w:val="24"/>
        </w:rPr>
        <w:fldChar w:fldCharType="separate"/>
      </w:r>
      <w:r>
        <w:rPr>
          <w:rFonts w:ascii="宋体" w:hAnsi="宋体"/>
          <w:sz w:val="24"/>
        </w:rPr>
        <w:t>95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"_Toc182488823" </w:instrText>
      </w:r>
      <w:r>
        <w:fldChar w:fldCharType="separate"/>
      </w:r>
      <w:r>
        <w:rPr>
          <w:rStyle w:val="18"/>
          <w:rFonts w:hint="eastAsia" w:ascii="宋体" w:hAnsi="宋体"/>
          <w:sz w:val="24"/>
        </w:rPr>
        <w:t>十四、基金收益与分配</w:t>
      </w:r>
      <w:r>
        <w:rPr>
          <w:rFonts w:ascii="宋体" w:hAnsi="宋体"/>
          <w:sz w:val="24"/>
        </w:rPr>
        <w:tab/>
      </w:r>
      <w:r>
        <w:rPr>
          <w:rFonts w:ascii="宋体" w:hAnsi="宋体"/>
          <w:sz w:val="24"/>
        </w:rPr>
        <w:fldChar w:fldCharType="begin"/>
      </w:r>
      <w:r>
        <w:rPr>
          <w:rFonts w:ascii="宋体" w:hAnsi="宋体"/>
          <w:sz w:val="24"/>
        </w:rPr>
        <w:instrText xml:space="preserve"> PAGEREF _Toc182488823 \h </w:instrText>
      </w:r>
      <w:r>
        <w:rPr>
          <w:rFonts w:ascii="宋体" w:hAnsi="宋体"/>
          <w:sz w:val="24"/>
        </w:rPr>
        <w:fldChar w:fldCharType="separate"/>
      </w:r>
      <w:r>
        <w:rPr>
          <w:rFonts w:ascii="宋体" w:hAnsi="宋体"/>
          <w:sz w:val="24"/>
        </w:rPr>
        <w:t>102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"_Toc182488824"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_Toc182488824 \h </w:instrText>
      </w:r>
      <w:r>
        <w:rPr>
          <w:rFonts w:ascii="宋体" w:hAnsi="宋体"/>
          <w:sz w:val="24"/>
        </w:rPr>
        <w:fldChar w:fldCharType="separate"/>
      </w:r>
      <w:r>
        <w:rPr>
          <w:rFonts w:ascii="宋体" w:hAnsi="宋体"/>
          <w:sz w:val="24"/>
        </w:rPr>
        <w:t>104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"_Toc182488825"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_Toc182488825 \h </w:instrText>
      </w:r>
      <w:r>
        <w:rPr>
          <w:rFonts w:ascii="宋体" w:hAnsi="宋体"/>
          <w:sz w:val="24"/>
        </w:rPr>
        <w:fldChar w:fldCharType="separate"/>
      </w:r>
      <w:r>
        <w:rPr>
          <w:rFonts w:ascii="宋体" w:hAnsi="宋体"/>
          <w:sz w:val="24"/>
        </w:rPr>
        <w:t>107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"_Toc182488826"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_Toc182488826 \h </w:instrText>
      </w:r>
      <w:r>
        <w:rPr>
          <w:rFonts w:ascii="宋体" w:hAnsi="宋体"/>
          <w:sz w:val="24"/>
        </w:rPr>
        <w:fldChar w:fldCharType="separate"/>
      </w:r>
      <w:r>
        <w:rPr>
          <w:rFonts w:ascii="宋体" w:hAnsi="宋体"/>
          <w:sz w:val="24"/>
        </w:rPr>
        <w:t>108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"_Toc182488827" </w:instrText>
      </w:r>
      <w:r>
        <w:fldChar w:fldCharType="separate"/>
      </w:r>
      <w:r>
        <w:rPr>
          <w:rStyle w:val="18"/>
          <w:rFonts w:hint="eastAsia" w:ascii="宋体" w:hAnsi="宋体"/>
          <w:sz w:val="24"/>
        </w:rPr>
        <w:t>十八、侧袋机制</w:t>
      </w:r>
      <w:r>
        <w:rPr>
          <w:rFonts w:ascii="宋体" w:hAnsi="宋体"/>
          <w:sz w:val="24"/>
        </w:rPr>
        <w:tab/>
      </w:r>
      <w:r>
        <w:rPr>
          <w:rFonts w:ascii="宋体" w:hAnsi="宋体"/>
          <w:sz w:val="24"/>
        </w:rPr>
        <w:fldChar w:fldCharType="begin"/>
      </w:r>
      <w:r>
        <w:rPr>
          <w:rFonts w:ascii="宋体" w:hAnsi="宋体"/>
          <w:sz w:val="24"/>
        </w:rPr>
        <w:instrText xml:space="preserve"> PAGEREF _Toc182488827 \h </w:instrText>
      </w:r>
      <w:r>
        <w:rPr>
          <w:rFonts w:ascii="宋体" w:hAnsi="宋体"/>
          <w:sz w:val="24"/>
        </w:rPr>
        <w:fldChar w:fldCharType="separate"/>
      </w:r>
      <w:r>
        <w:rPr>
          <w:rFonts w:ascii="宋体" w:hAnsi="宋体"/>
          <w:sz w:val="24"/>
        </w:rPr>
        <w:t>115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"_Toc182488828" </w:instrText>
      </w:r>
      <w:r>
        <w:fldChar w:fldCharType="separate"/>
      </w:r>
      <w:r>
        <w:rPr>
          <w:rStyle w:val="18"/>
          <w:rFonts w:hint="eastAsia" w:ascii="宋体" w:hAnsi="宋体"/>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_Toc182488828 \h </w:instrText>
      </w:r>
      <w:r>
        <w:rPr>
          <w:rFonts w:ascii="宋体" w:hAnsi="宋体"/>
          <w:sz w:val="24"/>
        </w:rPr>
        <w:fldChar w:fldCharType="separate"/>
      </w:r>
      <w:r>
        <w:rPr>
          <w:rFonts w:ascii="宋体" w:hAnsi="宋体"/>
          <w:sz w:val="24"/>
        </w:rPr>
        <w:t>118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"_Toc182488829" </w:instrText>
      </w:r>
      <w:r>
        <w:fldChar w:fldCharType="separate"/>
      </w:r>
      <w:r>
        <w:rPr>
          <w:rStyle w:val="18"/>
          <w:rFonts w:hint="eastAsia" w:ascii="宋体" w:hAnsi="宋体"/>
          <w:sz w:val="24"/>
        </w:rPr>
        <w:t>二十、基金合同的变更、终止与基金财产的清算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_Toc182488829 \h </w:instrText>
      </w:r>
      <w:r>
        <w:rPr>
          <w:rFonts w:ascii="宋体" w:hAnsi="宋体"/>
          <w:sz w:val="24"/>
        </w:rPr>
        <w:fldChar w:fldCharType="separate"/>
      </w:r>
      <w:r>
        <w:rPr>
          <w:rFonts w:ascii="宋体" w:hAnsi="宋体"/>
          <w:sz w:val="24"/>
        </w:rPr>
        <w:t>128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"_Toc182488830" </w:instrText>
      </w:r>
      <w:r>
        <w:fldChar w:fldCharType="separate"/>
      </w:r>
      <w:r>
        <w:rPr>
          <w:rStyle w:val="18"/>
          <w:rFonts w:hint="eastAsia" w:ascii="宋体" w:hAnsi="宋体"/>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_Toc182488830 \h </w:instrText>
      </w:r>
      <w:r>
        <w:rPr>
          <w:rFonts w:ascii="宋体" w:hAnsi="宋体"/>
          <w:sz w:val="24"/>
        </w:rPr>
        <w:fldChar w:fldCharType="separate"/>
      </w:r>
      <w:r>
        <w:rPr>
          <w:rFonts w:ascii="宋体" w:hAnsi="宋体"/>
          <w:sz w:val="24"/>
        </w:rPr>
        <w:t>130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"_Toc182488831"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_Toc182488831 \h </w:instrText>
      </w:r>
      <w:r>
        <w:rPr>
          <w:rFonts w:ascii="宋体" w:hAnsi="宋体"/>
          <w:sz w:val="24"/>
        </w:rPr>
        <w:fldChar w:fldCharType="separate"/>
      </w:r>
      <w:r>
        <w:rPr>
          <w:rFonts w:ascii="宋体" w:hAnsi="宋体"/>
          <w:sz w:val="24"/>
        </w:rPr>
        <w:t>147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"_Toc182488832"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_Toc182488832 \h </w:instrText>
      </w:r>
      <w:r>
        <w:rPr>
          <w:rFonts w:ascii="宋体" w:hAnsi="宋体"/>
          <w:sz w:val="24"/>
        </w:rPr>
        <w:fldChar w:fldCharType="separate"/>
      </w:r>
      <w:r>
        <w:rPr>
          <w:rFonts w:ascii="宋体" w:hAnsi="宋体"/>
          <w:sz w:val="24"/>
        </w:rPr>
        <w:t>165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"_Toc182488833"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_Toc182488833 \h </w:instrText>
      </w:r>
      <w:r>
        <w:rPr>
          <w:rFonts w:ascii="宋体" w:hAnsi="宋体"/>
          <w:sz w:val="24"/>
        </w:rPr>
        <w:fldChar w:fldCharType="separate"/>
      </w:r>
      <w:r>
        <w:rPr>
          <w:rFonts w:ascii="宋体" w:hAnsi="宋体"/>
          <w:sz w:val="24"/>
        </w:rPr>
        <w:t>167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"_Toc182488834"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_Toc182488834 \h </w:instrText>
      </w:r>
      <w:r>
        <w:rPr>
          <w:rFonts w:ascii="宋体" w:hAnsi="宋体"/>
          <w:sz w:val="24"/>
        </w:rPr>
        <w:fldChar w:fldCharType="separate"/>
      </w:r>
      <w:r>
        <w:rPr>
          <w:rFonts w:ascii="宋体" w:hAnsi="宋体"/>
          <w:sz w:val="24"/>
        </w:rPr>
        <w:t>170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"_Toc182488835"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_Toc182488835 \h </w:instrText>
      </w:r>
      <w:r>
        <w:rPr>
          <w:rFonts w:ascii="宋体" w:hAnsi="宋体"/>
          <w:sz w:val="24"/>
        </w:rPr>
        <w:fldChar w:fldCharType="separate"/>
      </w:r>
      <w:r>
        <w:rPr>
          <w:rFonts w:ascii="宋体" w:hAnsi="宋体"/>
          <w:sz w:val="24"/>
        </w:rPr>
        <w:t>171</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pStyle w:val="2"/>
        <w:snapToGrid w:val="0"/>
        <w:spacing w:before="240" w:beforeLines="0" w:after="240"/>
        <w:rPr>
          <w:rFonts w:ascii="宋体" w:hAnsi="宋体"/>
          <w:szCs w:val="30"/>
        </w:rPr>
      </w:pPr>
      <w:bookmarkStart w:id="3" w:name="_Toc182488810"/>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启诚混合型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启诚混合型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82488811"/>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1、基金或本基金：指交银施罗德启诚混合型证券投资基金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3、基金托管人：指招商银行股份有限公司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4、基金合同：指《交银施罗德启诚混合型证券投资基金基金合同》及对基金合同的任何有效修订和补充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5、托管协议：指基金管理人与基金托管人就本基金签订之《交银施罗德启诚混合型证券投资基金托管协议》及对该托管协议的任何有效修订和补充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6、招募说明书或本招募说明书：指《交银施罗德启诚混合型证券投资基金招募说明书》及其更新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7、基金产品资料概要：指《交银施罗德启诚混合型证券投资基金基金产品资料概要》及其更新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8、基金份额发售公告：指《交银施罗德启诚混合型证券投资基金基金份额发售公告》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10、《基金法》：指《中华人民共和国证券投资基金法》及颁布机关对其不时做出的修订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11、《销售办法》：指《公开募集证券投资基金销售机构监督管理办法》及颁布机关对其不时做出的修订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12、《信息披露办法》：指《公开募集证券投资基金信息披露管理办法》及颁布机关对其不时做出的修订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13、《运作办法》：指《公开募集证券投资基金运作管理办法》及颁布机关对其不时做出的修订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16、银行业监督管理机构：指中国人民银行和/或中国银行保险监督管理委员会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18、个人投资者：指依据有关法律法规规定可投资于证券投资基金的自然人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21、投资人、投资者：指个人投资者、机构投资者、合格境外投资者以及法律法规或中国证监会允许购买证券投资基金的其他投资人的合称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22、基金份额持有人：指依基金合同和招募说明书合法取得基金份额的投资人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26、登记机构：指办理登记业务的机构。基金的登记机构为交银施罗德基金管理有限公司或接受交银施罗德基金管理有限公司委托代为办理登记业务的机构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31、基金募集期：指自基金份额发售之日起至发售结束之日止的期间，最长不得超过3个月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32、存续期：指基金合同生效至终止之间的不定期期限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34、T日：指销售机构在规定时间受理投资人申购、赎回或其他业务申请的开放日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36、开放日：指为投资人办理基金份额申购、赎回或其他业务的工作日（若该工作日为非港股通交易日，则本基金可不开放）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37、开放时间：指开放日基金接受申购、赎回或其他交易的时间段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38、《业务规则》：指中国证券登记结算有限责任公司相关业务规则及其不时做出的修订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39、认购：指在基金募集期内，投资人根据基金合同和招募说明书的规定申请购买基金份额的行为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40、申购：指基金合同生效后，投资人根据基金合同和招募说明书的规定申请购买基金份额的行为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41、赎回：指基金合同生效后，基金份额持有人按基金合同和招募说明书规定的条件要求将基金份额兑换为现金的行为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42、基金转换：指基金份额持有人按照基金合同和基金管理人届时有效公告规定的条件，申请将其持有基金管理人管理的、某一基金的基金份额转换为</w:t>
      </w:r>
      <w:r>
        <w:rPr>
          <w:rFonts w:hint="eastAsia" w:ascii="宋体" w:hAnsi="宋体"/>
          <w:sz w:val="24"/>
        </w:rPr>
        <w:t>该基金其他份额（如有）或</w:t>
      </w:r>
      <w:r>
        <w:rPr>
          <w:rFonts w:ascii="宋体" w:hAnsi="宋体"/>
          <w:sz w:val="24"/>
        </w:rPr>
        <w:t>基金管理人管理的其他基金基金份额的行为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43、转托管：指基金份额持有人在本基金的不同销售机构之间实施的变更所持基金份额销售机构的操作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47、基金收益：指基金投资所得红利、股息、债券利息、买卖证券价差、银行存款利息、已实现的其他合法收入及因运用基金财产带来的成本和费用的节约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48、基金资产总值：指基金拥有的各类有价证券、股指期货合约、银行存款本息、基金应收款项及其他资产的价值总和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49、基金资产净值：指基金资产总值减去基金负债后的价值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50、基金份额净值：指计算日基金资产净值除以计算日基金份额总数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52、港股通：指内地投资者委托内地证券公司，经由内地证券交易所在香港设立的证券交易服务公司，向香港联合交易所进行申报，买卖规定范围内的香港联合交易所上市的股票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53、销售服务费：指从基金财产中计提的，用于本基金市场推广、销售以及基金份额持有人服务的费用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54、A类基金份额：指在投资人认购/申购时收取认购/申购费用、赎回时收取赎回费用且不从本类别基金资产中计提销售服务费的基金份额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55、C类基金份额：指在投资人认购/申购时不收取认购/申购费用、赎回时收取赎回费用，并从本类别基金资产中计提销售服务费的基金份额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56、规定媒介：指符合中国证监会规定条件的用以进行信息披露的全国性报刊及《信息披露办法》规定的互联网网站（包括基金管理人网站、基金托管人网站、中国证监会基金电子披露网站）等媒介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61、不可抗力：指基金合同当事人不能预见、不能避免且不能克服的客观事件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82488812"/>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1、基金管理人董事会成员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2、基金管理人高级管理人员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袁庆伟女士，总经理。简历同上。</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lang w:val="en-US" w:eastAsia="zh-CN"/>
        </w:rPr>
        <w:t>3</w:t>
      </w:r>
      <w:r>
        <w:rPr>
          <w:rFonts w:ascii="宋体" w:hAnsi="宋体"/>
          <w:sz w:val="24"/>
        </w:rPr>
        <w:t>、本基金基金经理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杨金金先生:基金经理。复旦大学金融学硕士、华东理工大学材料工程学士，</w:t>
      </w:r>
      <w:r>
        <w:rPr>
          <w:rFonts w:hint="eastAsia" w:ascii="宋体" w:hAnsi="宋体"/>
          <w:sz w:val="24"/>
          <w:lang w:val="en-US" w:eastAsia="zh-CN"/>
        </w:rPr>
        <w:t>11</w:t>
      </w:r>
      <w:r>
        <w:rPr>
          <w:rFonts w:ascii="宋体" w:hAnsi="宋体"/>
          <w:sz w:val="24"/>
        </w:rPr>
        <w:t>年证券投资行业从业经验。2014年至2015年任长江证券研究部高级分析师，2015年至2017年华泰柏瑞基金管理有限公司研究员。2017年加入交银施罗德基金管理有限公司，曾任研究部行业分析师，现任权益部基金经理。现任交银施罗德趋势优先混合型证券投资基金(2020年05月06日至今)、交银施罗德启诚混合型证券投资基金(2021年12月08日至今)、交银施罗德瑞元三年定期开放混合型证券投资基金(2023年10月27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w:t>
      </w:r>
      <w:r>
        <w:rPr>
          <w:rFonts w:hint="eastAsia" w:ascii="宋体" w:hAnsi="宋体"/>
          <w:sz w:val="24"/>
        </w:rPr>
        <w:t>袁庆伟</w:t>
      </w:r>
      <w:r>
        <w:rPr>
          <w:rFonts w:ascii="宋体" w:hAnsi="宋体"/>
          <w:sz w:val="24"/>
        </w:rPr>
        <w:t>（总经理）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于海颖（混合资产投资总监兼多元资产管理总监、基金经理）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上述人员之间不存在近亲属关系，上述各项人员信息更新截止日为202</w:t>
      </w:r>
      <w:r>
        <w:rPr>
          <w:rFonts w:hint="eastAsia" w:ascii="宋体" w:hAnsi="宋体"/>
          <w:sz w:val="24"/>
          <w:lang w:val="en-US" w:eastAsia="zh-CN"/>
        </w:rPr>
        <w:t>5</w:t>
      </w:r>
      <w:r>
        <w:rPr>
          <w:rFonts w:ascii="宋体" w:hAnsi="宋体"/>
          <w:sz w:val="24"/>
        </w:rPr>
        <w:t>年</w:t>
      </w:r>
      <w:r>
        <w:rPr>
          <w:rFonts w:hint="eastAsia" w:ascii="宋体" w:hAnsi="宋体"/>
          <w:sz w:val="24"/>
          <w:lang w:val="en-US" w:eastAsia="zh-CN"/>
        </w:rPr>
        <w:t>8</w:t>
      </w:r>
      <w:r>
        <w:rPr>
          <w:rFonts w:ascii="宋体" w:hAnsi="宋体"/>
          <w:sz w:val="24"/>
        </w:rPr>
        <w:t>月</w:t>
      </w:r>
      <w:r>
        <w:rPr>
          <w:rFonts w:hint="eastAsia" w:ascii="宋体" w:hAnsi="宋体"/>
          <w:sz w:val="24"/>
          <w:lang w:val="en-US" w:eastAsia="zh-CN"/>
        </w:rPr>
        <w:t>27</w:t>
      </w:r>
      <w:r>
        <w:rPr>
          <w:rFonts w:ascii="宋体" w:hAnsi="宋体"/>
          <w:sz w:val="24"/>
        </w:rPr>
        <w:t>日，期后变动（如有）敬请关注基金管理人发布的相关公告。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（5）侵占、挪用基金财产；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（6）法律、行政法规和中国证监会禁止的其他行为。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1、内部控制的原则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（1）健全性原则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内部控制应当包括公司的各项业务、各个部门或机构和各级人员, 并涵盖到决策、执行、监督、反馈等各个环节。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（2）有效性原则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通过科学的内控手段和方法，建立合理的内控程序，维护内控制度的有效执行。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（3）独立性原则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公司各机构、部门和岗位职责应当保持相对独立，除非法律法规另有规定，公司基金资产、自有资产、其他资产的运作应当分离。</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（4）相互制约原则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公司内部部门和岗位的设置应当体现权责分明、相互制衡。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（5）成本效益原则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公司运用科学化的经营管理方法降低运作成本，提高经济效益，力争以合理的控制成本达到最佳的内部控制效果。</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（1）董事会</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负责制定公司风险偏好（含风险容忍度）、风险管理和内部控制政策，审议并通过与公司内部风险管理和合规有关的重大事项。</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（2）合规风险及审计委员会</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（3）风险控制委员会</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（4）督察长</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（5）风险管理部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风险管理部负责制定公司风险管理政策和防范及控制措施，汇总公司业务所有的风险信息，独立识别、评估各类风险，提出风险控制建议，使公司在一种风险管理和控制的环境中实现业务目标。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（6）审计部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（7）内控合规及法律事务部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（8）业务部门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风险管理是每一个业务部门首要的责任。部门负责人对本部门的风险负全部责任，负责履行公司的风险管理程序，负责本部门的风险管理系统的开发、执行和维护，用于识别、监控和降低风险。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（1）建立内控体系，完善内控制度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（3）建立、健全岗位责任制</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（5）建立有效的内部监控系统</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建立了足够、有效的内部监控系统，对可能出现的各种风险进行全面和实时的监控。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（6）使用数量化的风险管理手段</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（7）提供足够的培训</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182488813"/>
      <w:r>
        <w:rPr>
          <w:rFonts w:ascii="Times New Roman" w:hAnsi="Times New Roman"/>
          <w:sz w:val="30"/>
        </w:rPr>
        <w:t>四、基金托管人</w:t>
      </w:r>
      <w:bookmarkEnd w:id="6"/>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名称：招商银行股份有限公司（以下简称“招商银行”）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设立日期：1987年4月8日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注册资本：252.20亿元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行长：王良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资产托管业务批准文号：证监基金字[2002]83号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电话：4006195555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资产托管部信息披露负责人：张姗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2、发展概况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9月30日，本集团总资产116,547.63亿元人民币，高级法下资本充足率18.67%，权重法下资本充足率15.33%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249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资格、基本养老保险基金托管机构资格、受托投资管理托管业务托管资格、保险资金托管业务资格、企业年金基金托管业务资格、合格境外机构投资者托管（QFII）资格、合格境内机构投资者托管（QDII）资格、私募基金业务外包服务资格、存托凭证试点存托业务等业务资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中国基金业英华奖-ETF20周年特别评选“优秀ETF托管人””奖。2024年6月，荣获上海清算所“2023年度优秀托管机构”奖。2024年8月，在《21世纪经济报道》主办的2024资产管理年会暨十七届21世纪【金贝】资产管理竞争力研究案例发布盛典上，“招商银行托管+”荣获“2024卓越影响力品牌”奖项；2024年9月，在2024财联社中国金融业“拓扑奖”评选中，荣获银行业务类奖项“2024年资产托管银行‘拓扑奖’”。</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良先生，本行党委书记、执行董事、行长。中国人民大学经济学硕士，高级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王颖女士，本行副行长，南京大学政治经济学专业硕士，经济师。王颖女士1997年1月加入本行，历任本行北京分行行长助理、副行长，天津分行行长，深圳分行行长，本行行长助理。2023年11月起任本行副行长。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截至2024年9月30日，招商银行股份有限公司累计托管1518只证券投资基金。</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（四）托管人的内部控制制度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招商银行资产托管业务建立三级内部控制及风险防范体系：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内部控制原则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（1）全面性原则。内部控制覆盖各项业务过程和操作环节、覆盖所有团队和岗位，并由全部人员参与。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（7）重要性原则。内部控制在实现全面控制的基础上，关注重要托管业务重要事项和高风险环节。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内部控制措施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82488814"/>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本基金直销机构为基金管理人直销柜台以及基金管理人的网上直销交易平台（网站及手机APP，下同）。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2、其他销售机构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（2）名称：上海浦东发展银行股份有限公司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网址：www.spdb.com.cn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（3）名称：兴业银行股份有限公司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注册地址：福建省福州市湖东路154号中山大厦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办公地址：上海市浦东新区银城路 167 号兴业银行大厦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法定代表人：吕家进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联系人：蔡宣铭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联系电话：021-52629999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客服热线：95561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（4）名称：平安银行股份有限公司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注册地址：深圳市罗湖区深南东路5047号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法定代表人：谢永林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电话：0755-22166574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传真：0755-82080406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客服电话：95511-3或95501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法定代表人：朱鹤新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电话：（010）89936330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联系人：丰靖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（7）名称：中国光大银行股份有限公司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电话：（010）63639681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传真：（010）63639709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联系人：刘昭宇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网址：www.cebbank.com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（9）名称：东吴证券股份有限公司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住所：苏州工业园区星阳街5号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法定代表人：范力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电话：0512-62938521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传真：0512-62938527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联系人：陆晓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网址：www.dwjq.com.cn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（13）名称：西部证券股份有限公司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法定代表人：徐朝晖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电话：029-87211668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联系人：张吉安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网址：www.west95582.com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（14）名称：方正证券股份有限公司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法定代表人：雷杰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电话：（010）68546765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传真：（010）68546792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联系人：徐锦福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网址：www.foundersc.com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（15）名称：国投证券股份有限公司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法定代表人：段文务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电话：（0755）81688000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传真：（0755）82558355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联系人：陈剑虹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网址：http://www.essence.com.cn/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（17）名称：中原证券股份有限公司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法定代表人：菅明军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联系人：程月艳 李盼盼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电话：0371-69099881/2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网址：https://www.ccnew.com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（19）名称：国信证券股份有限公司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法定代表人：张纳沙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电话：（0755）82130833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传真：（0755）82133952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联系人：于智勇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网址：www.guosen.com.cn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（20）名称：华泰证券股份有限公司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住所：江苏省南京市江东中路228号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办公地址：江苏省南京市建邺区江东中路228号华泰证券广场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电话：（0755）82492193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传真：（0755）82492962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联系人：胡子豪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（22）名称：广发证券股份有限公司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住所：广州市黄埔区中新广州知识城腾飞一街2号618室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办公地址：广州市天河区马场路26号广发证券大厦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法定代表人：孙树明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电话：（020）66338888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传真：（020）87553600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联系人：马梦洁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网址：www.gf.com.cn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（23）名称：海通证券股份有限公司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住所：上海市淮海中路98号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办公地址：上海市广东路689号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法定代表人：王开国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电话：（021）23219000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传真：（021）23219100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联系人：李笑鸣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客户服务电话：95553或拨打各城市营业网点咨询电话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（24）名称：华龙证券股份有限公司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传真：（0931）4890628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联系人：李昕田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客户服务电话：4006898888、（0931）4890208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网址：www.hlzqgs.com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（25）名称：招商证券股份有限公司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办公地址：深圳市福田区益田路江苏大厦A座38-45层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法定代表人：霍达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电话：（0755）82943666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传真：（0755）82943636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联系人：黄婵君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客户服务电话：400-8888-111，95565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网址：www.newone.com.cn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（26）名称：国泰君安证券股份有限公司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注册地址：中国（上海）自由贸易试验区商城路618号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办公地址：上海市静安区南京西路768号国泰君安大厦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法定代表人：贺青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联系电话：021-38676666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传真：021-38670666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联系人：朱雅崴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服务热线 : 95521 / 4008888666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网址：www.gtja.com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（28）名称：国新证券股份有限公司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法定代表人：宋德清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电话：（010）58568235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传真：（010）58568062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客户服务电话：（010）58568118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网址：www.crsec.com.cn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（29）名称：国金证券股份有限公司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法定代表人：冉云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电话：（028）86690057，（028）86690058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传真：（028）86690126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联系人：刘婧漪 贾鹏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网址：www.gjzq.com.cn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（30）名称：长城证券有限责任公司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住所：深圳市福田区深南大道6008号特区报业大厦14、16、17层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法定代表人：黄耀华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电话：（0755）83516289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传真：（0755）83516199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联系人：匡婷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客户服务电话：（0755）33680000，400-6666-888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（34）名称：东兴证券股份有限公司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住所：北京市西城区金融大街5号新盛大厦B座12-15层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法定代表人：徐勇力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电话：（010）66555316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传真：（010）66555246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联系人：汤漫川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400-8888-993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网址：www.dxzq.net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（35）名称：大同证券有限责任公司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注册地址：山西省大同市城区迎宾街15号桐城中央21层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办公地址：太原市长治路 111 号山西世贸中心 A 座 F12、F13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邮政编码：030600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法定代表人：董祥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 话：（0351）4130322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 真：（0351）7219891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客服电话：4007121212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网址：www.dtsbc.com.cn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（36）名称：山西证券股份有限公司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办公地址：山西省太原市府西街69号山西国际贸易中心东塔楼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法定代表人：侯巍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电话：0351—8686815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联系人：谢武兵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客户服务电话：400-666-1618、95573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网址：www.i618.com.cn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（37）名称：国都证券股份有限公司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法定代表人：王少华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客户服务电话：400-818-8118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网址：www.guodu.com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（38）名称：华宝证券股份有限公司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住所：中国上海市陆家嘴环路166号未来资产大厦27楼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办公地址：中国上海市浦东新区世纪大道100号上海环球金融中心57楼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陈林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电话：（021）68777222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传真：（021）68777822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客户服务电话：400-820-9898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网址：www.cnhbstock.com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（39）名称：天风证券股份有限公司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注册地址：湖北省武汉市东湖新技术开发区关东园路2号高科大厦4楼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办公地址：武汉市武昌区中南路99号保利广场A座37楼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法定代表人：余磊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联系电话：027-87107535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传真：027-87618863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联系人：王雅薇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客户服务电话：95391 / 400-800-5000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网址：www.tfzq.com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（40）名称：国联证券股份有限公司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住所：江苏省无锡市金融一街8号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办公地址：江苏省无锡市金融一街8号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法定代表人：姚志勇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联系电话：0510-82831662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传真：0510-82830162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联系人：吕胜强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网址：www.glsc.com.cn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（41）名称：联讯证券股份有限公司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电话：（021）33606736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传真：（021）33606760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网址：www.lxzq.com.cn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（42）名称：江海证券有限公司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住所：黑龙江省哈尔滨市香坊区赣水路56号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法定代表人：孙名扬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电话：（0451）85863719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传真：（0451）82287211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网址：www.jhzq.com.cn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（43）名称：平安证券股份有限公司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住所：深圳市福田区金田路大中华国际交易广场裙楼8楼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办公地址：深圳市福田区金田路大中华国际交易广场裙楼8楼(518048)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法定代表人：杨宇翔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电话：（0755）22627802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传真：（0755）82400862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联系人：郑舒丽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（44）名称：开源证券股份有限公司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注册地址：陕西省西安市高新区锦业路一号都市之门B座5层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办公地址：陕西省西安市高新区锦业路一号都市之门B座5层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电话：13709210036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联系人：赵东会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网址：www.kysec.cn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（45）名称：南京证券股份有限公司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办公地址：南京市江东中路389号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法定代表人：李剑锋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电话：（025）58519529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传真：（025）83369725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联系人：曹梦媛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网址：www.nizq.com.cn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（46）名称：华福证券有限责任公司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住所：福州市五四路157号新天地大厦7、8层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办公地址：福州市五四路新天地大厦7至10层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法定代表人：黄金琳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电话：（0591）87383623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传真：（0591）87383610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客户服务电话：（0591）95547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（47）名称：国元证券股份有限公司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法定代表人：俞仕新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联系电话：0551-62207400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传真：0551-62207148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联系人：汪先哲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（48）名称：华西证券股份有限公司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法定代表人：杨炯洋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电话：（028）86135991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传真：（028）86150400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联系人：周志茹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（49）名称：东方证券股份有限公司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住所：上海市中山南路318号2号楼22层-29层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法定代表人：王益民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电话：（021）63325888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传真：（021）63326173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（50）名称：东莞证券股份有限公司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办公地址：广东省东莞市莞城区可园南路一号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传真：（0769）22115712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网址：www.dgzq.com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网址：http://8.jrj.com.cn/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（52）名称：大连网金基金销售有限公司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樊怀东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电话：（0411-39027810）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传真：（0411-39027835）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于秀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4000-899-100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网址：http://www.yibaijin.com/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（53）名称：阳光人寿保险股份有限公司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住所：海南省三亚市迎宾路360-1号三亚阳光金融广场16层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办公地址：北京市朝阳区朝阳门外大街乙12号院1号昆泰国际大厦12层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电话：（010）85632771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传真：（010）85632773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网址：http://fund.sinosig.com/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（57）名称：和耕传承基金销售有限公司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法定代表人：温丽燕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电话：0371-85518395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传真：0371-85518397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联系人：胡静华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客户服务电话：4000555671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网址：www.hgccpb.com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注册地址：北京市海淀区西北旺东路10号院西区4号楼1层103室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法定代表人：葛新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办公地址：北京市海淀区西北旺东路10号院西区4号楼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机构联系人：王笑宇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联系人电话：010-59403028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联系人传真：010-59403027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客户服务电话：95055-4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公司网址：www.baiyingfund.com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住所：海南省三亚市天涯区三亚湾路国际客运港区国际养生度假中心酒店B座(2＃楼)27楼2714室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办公地址及其联系方式：北京市朝阳区建国门外大街21号北京国际俱乐部C座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010-85097302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联系人：闫欢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客户服务电话：400-619-9059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办公地址：上海市虹口区东大名路1098号浦江国际金融广场53层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法定代表人：李兴春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伍豪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客服电话：400-032-5885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（66）名称：上海陆金所基金销售有限公司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法定代表人：王之光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（67）名称：上海挖财基金销售有限公司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办公地址：中国(上海)自由贸易试验区杨高南路759号18层03单元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法定代表人：吕柳霞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邮编：200120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联系人：毛善波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客服电话：400-711-8718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（68）名称：万家财富基金销售（天津）有限公司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联系人：王茜蕊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办公地址：上海市浦东新区浦明路1500号万得大厦11楼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宋晓言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马烨莹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客户服务电话：400-799-1888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（70）名称：格上富信投资顾问有限公司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电话：（010）85594745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传真：（010）65983333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客户服务电话：400-066-8586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网址：www.igesafe.com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（71）名称：深圳市金斧子基金销售有限公司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住所：深圳市南山区粤海街道科苑路16号东方科技大厦18楼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办公地址：深圳市南山区粤海街道科苑路科兴科学园B3单元7楼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法定代表人：赖任军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电话：（0755）66892301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传真：（0755）66892399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客户服务电话：400-9500-888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网址：www.jfzinv.com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住所：北京市朝阳区创远路 34 号院6号楼15层1501室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联系人：武安广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网址：danjuanfunds.com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电话：010-58982465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联系人：穆飞虎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客服电话：010-6267 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（74）名称：北京创金启富基金销售有限公司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北京市西城区白纸坊东街2号院6号楼712室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梁蓉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电话：010-66154828-8047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传真：010-63583991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魏素清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客户服务电话：010-66154828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https://www.5irich.com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（75）名称：奕丰基金销售有限公司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住所：深圳市前海深港合作区前湾一路1号A栋201室（入住深圳市前海商务秘书有限公司）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办公地址：深圳市南山区海德三道航天科技广场A座17楼1704室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（76）名称：上海天天基金销售有限公司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办公地址：上海市徐汇区宛平南路88号金座东方财富大厦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联系人：屠彦洋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（77）名称：和讯信息科技有限公司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（78）名称：诺亚正行基金销售有限公司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办公地址:上海市杨浦区长阳路1687号长阳谷2号楼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电话：（021）80358523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传真：（021）80358749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（79）名称：上海好买基金销售有限公司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（80）名称：上海长量基金销售有限公司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（81）名称：深圳众禄基金销售股份有限公司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（82）名称：蚂蚁（杭州）基金销售有限公司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电话：（0571）28829790，（021）60897869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传真：（0571）26698533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（83）名称：中信期货有限公司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（84）名称：上海基煜基金销售有限公司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办公地址：上海市杨浦区昆明路518号A1002室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联系人：俞申莉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（85）名称：浙江同花顺基金销售有限公司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办公地址：浙江杭州余杭区五常街道同顺街18号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客户服务电话：952555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网址：https://fund.10jqka.com.cn/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（86）名称：宜信普泽投资顾问（北京）有限公司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住所：北京市朝阳区建国路88号9号楼15层1809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办公地址：北京市朝阳区建国路88号SOHO现代城C座1809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法定代表人：沈伟桦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电话：010-52855713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传真：010-85894285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网址：www.yixinfund.com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（87）名称：上海联泰基金销售有限公司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住所：上海市普陀区兰溪路900弄15号526室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办公地址：上海市虹口区临潼路188号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法定代表人：尹彬彬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联系人：兰敏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客户服务电话：400-118-1188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网址：www.66liantai.com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（88）名称：泛华普益基金销售有限公司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住所：成都市成华区建设路9号高地中心1101室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办公地址：成都市金牛区花照壁西顺街399号1栋1单元龙湖西宸天街B座1201号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法定代表人：于海锋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电话：028-8661-6229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联系人：隋亚方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客户服务电话：400-080-3388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网址：https://www.puyifund.com/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（89）名称：北京展恒基金销售股份有限公司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（90）名称：中证金牛（北京）基金销售有限公司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沈晨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（91）名称：上海云湾基金销售有限公司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中国（上海）自由贸易试验区新金桥路27号1号1层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上海市浦东新区新金桥路27号1号楼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冯轶明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电话：（021）20530186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范泽杰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客户服务电话：400-820-1515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网址：www.zhengtongfunds.com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（92）名称：中国人寿保险股份有限公司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住所：中国北京市西城区金融大街16号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办公地址：北京市西城区金融大街16号中国人寿广场A座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www.e-chinalife.com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（93）名称：济安财富（北京）基金销售有限公司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住所：北京市朝阳区太阳宫中路16号院1号楼10层1005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办公地址：北京市朝阳区太阳宫中路16号院1号楼11层1105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电话：010-65309516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传真：010-65330699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联系人：宋静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客户服务电话：400-673-7010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网址：www.jianfortune.com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（94）名称：中信百信银行股份有限公司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住所：北京市朝阳区安定路5号院3号楼8层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办公地址：北京市朝阳区安定路5号院3号楼10层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法定代表人：李如东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电话：010-86496277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传真：010-86496277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联系人：韩晓彤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客户服务电话：956186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网址：www.aibank.com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（95）名称：博时财富基金销售有限公司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法定代表人：王德英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客户服务电话：400-610-5568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网址：www.boserawealth.com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（96）名称：深圳前海微众银行股份有限公司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办公地址：广东省深圳市南山区沙河西路1819号深圳湾科技生态园7栋A座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法定代表人：顾敏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电话：15112686889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联系人：白冰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（97）名称：上海中欧财富基金销售有限公司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住所：中国（上海）自由贸易试验区陆家嘴环路479号1008-1室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办公地址：上海市虹口区公平路18号嘉昱大厦6楼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法定代表人：许欣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电话：021-68609600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传真：021-33830351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刘弘义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客户服务电话：400-700-9700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公司网址：https://www.zocaifu.com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基金管理人可根据有关法律法规的要求，选择其它符合要求的机构销售本基金，并在基金管理人网站公示。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经办律师：黎明、丁媛</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（四）审计基金财产的会计师事务所</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名称：毕马威华振会计师事务所(特殊普通合伙)</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住所：北京市东城区东长安街1 号东方广场 2 座办公楼 8 层</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办公地址：中国上海南京西路1266号恒隆广场2期25楼</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执行事务合伙人：邹俊</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电话：+86 (21) 2212 2888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传真：+86 (21) 6288 1889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联系人：侯雯</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经办注册会计师：王国蓓、侯雯</w:t>
      </w:r>
    </w:p>
    <w:p>
      <w:pPr>
        <w:autoSpaceDE w:val="0"/>
        <w:autoSpaceDN w:val="0"/>
        <w:adjustRightInd w:val="0"/>
        <w:snapToGrid w:val="0"/>
        <w:spacing w:line="360" w:lineRule="auto"/>
        <w:ind w:firstLine="420" w:firstLineChars="200"/>
        <w:jc w:val="left"/>
        <w:rPr>
          <w:rFonts w:ascii="宋体" w:hAnsi="宋体"/>
          <w:szCs w:val="24"/>
        </w:rPr>
      </w:pP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82488815"/>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本基金由基金管理人依照《基金法》、《运作办法》、《销售办法》、基金合同及其他有关规定，并经中国证监会2021年9月14日证监许可【2021】3027号文准予募集注册。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本基金为契约型开放式混合型基金。基金存续期间为不定期。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本基金募集期间基金份额净值为人民币1.00元，按初始面值发售。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本基金于2021年12月3日进行发售，本基金设立募集期共募集2,971,846,835.39份基金份额，有效认购户数为64,032户。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182488816"/>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根据有关规定，本基金满足基金合同生效条件，基金合同已于2021年12月8日正式生效。自基金合同生效之日起，本基金管理人正式开始管理本基金。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法律法规或中国证监会另有规定时，从其规定。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82488817"/>
      <w:r>
        <w:rPr>
          <w:rFonts w:ascii="Times New Roman" w:hAnsi="Times New Roman"/>
          <w:sz w:val="30"/>
        </w:rPr>
        <w:t>八、基金份额的申购与赎回</w:t>
      </w:r>
      <w:bookmarkEnd w:id="10"/>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1、本基金管理人的直销机构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个人投资者可以通过基金管理人网上直销交易平台办理开户、本基金的申购、赎回、转换、定期定额投资等业务，具体交易细则请参阅基金管理人网站。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2、除基金管理人之外的其他销售机构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2、申购、赎回开始日及业务办理时间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本基金已于2022年4月28日起开放申购业务。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本基金已于2022年3月7日起开放赎回业务。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（三）申购与赎回的原则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2、“金额申购、份额赎回”原则，即申购以金额申请，赎回以份额申请；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3、当日的申购与赎回申请可以在基金管理人规定的时间以内撤销，但申请经登记机构受理的不得撤销；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3、最低基金份额余额的限制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本基金暂无最低保留余额限制。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4、申购和赎回的登记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（2）投资人T日赎回基金成功后，正常情况下，登记机构在T＋1日为投资人扣除权益并办理相应的登记手续。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分为A类基金份额和C类基金份额，投资人申购A类基金份额在申购时支付申购费用、赎回时收取赎回费用；申购C类基金份额不支付申购费用、赎回时收取赎回费用，并从该类别基金资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本基金A类基金份额的申购费用由申购A类基金份额的基金申购人承担，不列入基金财产，主要用于本基金的市场推广、销售、登记等各项费用。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投资人可以多次申购本基金，申购费用按每笔申购申请单独计算。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本基金A类基金份额（非养老金客户）的申购费率如下：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1000万元以上（含1000万元）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持有A类基金份额的投资人因红利自动再投资而产生的A类基金份额，不收取相应的申购费用。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本基金对通过基金管理人直销柜台申购A类基金份额的养老金客户实施特定申购费率。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1）全国社会保障基金；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2）可以投资基金的地方社会保障基金；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3）企业年金单一计划以及集合计划；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4）企业年金理事会委托的特定客户资产管理计划；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5）企业年金养老金产品。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通过基金管理人直销柜台申购本基金A类基金份额的养老金客户特定申购费率如下表：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A类基金份额特定申购费率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1000万元以上（含1000万元）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25%计入基金财产。上述“月”指的是30个自然日。未归入基金财产的部分用于支付登记费和其他必要的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30日（含）—1年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1年（含）—2年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上表中的“年”指的是365个自然日。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（2）本基金C类基金份额的赎回费率如下：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为按实际确认的A类基金份额和C类基金份额有效赎回份额乘以当日该类基金份额的基金份额净值并扣除相应的费用（如有），赎回金额单位为元。赎回金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申购份额=（申购总金额-申购费用）/T日A类基金份额净值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例四：某投资者（非养老金客户）投资100,000元申购本基金A类基金份额，假设申购当日A类基金份额净值为1.0400元，申购费率为1.5%，则其可得到的申购份额为：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净申购金额=100,000/（1+1.5%）=98,522.17元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申购费用=100,000-98,522.17=1477.83元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申购份额=（100,000-1477.83）/1.0400=94,732.86份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即：某投资者（非养老金客户）投资100,000元申购本基金A类基金份额，假设申购当日A类基金份额净值为1.0400元，则其可得到94,732.86份A类基金份额。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例五：某养老金客户投资100,000元通过基金管理人的直销柜台申购本基金A类基金份额，假设申购当日A类基金份额净值为1.0400元，申购费率为0.6%，则其可得到的申购份额为：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净申购金额=100,000/（1+0.6%）=99,403.58元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申购费用=100,000-99,403.58=596.42元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申购份额=（100,000-596.42）/1.0400=95,580.37份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即：该养老金客户投资100,000元通过基金管理人的直销柜台申购本基金A类基金份额，假设申购当日A类基金份额净值为1.0400元，则其可得到95,580.37份A类基金份额。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（2）C类基金份额的申购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如果投资者选择申购C类基金份额，则申购份额的计算方法如下：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申购份额=申购总金额/T日C类基金份额净值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如果投资者赎回A类基金份额，则赎回金额的计算方法如下：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赎回费用=赎回份额×T日A类基金份额净值×赎回费率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赎回金额=赎回份额×T日A类基金份额净值-赎回费用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例七：某投资者赎回持有的10,000份A类基金份额，持有期限为30日，对应的赎回费率为0.5%，假设赎回当日A类基金份额净值是1.0160元，则其可得到的赎回金额为：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赎回费用=10,000×1.0160×0.5%＝50.80元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赎回金额=10,000×1.0160-50.80＝10,109.20元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即：该投资者赎回本基金10,000份A类基金份额，持有期限为30日，对应的赎回费率为0.5%，假设赎回当日A类基金份额净值是1.0160元，则其可得到的赎回金额为10,109.20元。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（2）C类基金份额的赎回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如果投资者赎回C类基金份额，赎回金额的计算方法如下：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赎回费用=赎回份额×T日C类基金份额净值×赎回费率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赎回金额=赎回份额×T日C类基金份额净值—赎回费用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例八：某投资者赎回持有的10,000份C类基金份额，持有时间为20日，对应的赎回费率为0.5%，假设赎回当日C类基金份额净值是1.0160元，则其可得到的赎回金额为：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赎回费用=10,000×1.0160×0.5%＝50.80元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赎回金额=10,000×1.0160-50.80＝10,109.20元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即：投资者赎回本基金10,000份C类基金份额，持有时间为20日，对应的赎回费率为0.5%，假设赎回当日C类基金份额净值是1.0160元，则其可得到的赎回金额为10,109.20元。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A类基金份额净值＝A类基金份额的基金资产净值总额/发行在外的A类基金份额总数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份额净值的计算，保留到小数点后4位，小数点后第5位四舍五入，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（八）拒绝或暂停申购的情形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4、接受某笔或某些申购申请可能会影响或损害现有基金份额持有人利益时。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7、港股通交易每日额度不足。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（九）暂停赎回或延缓支付赎回款项的情形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3、证券、期货交易所交易时间非正常停市或港股通临时停市，导致基金管理人无法计算当日基金资产净值。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（十一）暂停申购或赎回的公告和重新开放申购或赎回的公告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1、发生上述暂停申购或赎回情况的，基金管理人应在规定期限内在规定媒介上刊登暂停公告。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2、如发生暂停的时间为1日，基金管理人应于重新开放日，在规定媒介上刊登基金重新开放申购或赎回公告，并公布最近1个开放日各类基金份额的基金份额净值。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（十二）基金的非交易过户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（十三）基金的转托管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（十四）定期定额投资计划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本基金2022年4月28日刊登公告自2022年4月28日起开通定期定额投资计划业务，具体开通销售机构名单和业务规则参见相关公告。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（十五）基金份额的冻结和解冻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（十六）基金份额的转让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（十七）实施侧袋机制期间本基金的申购与赎回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本基金实施侧袋机制的，本基金的申购和赎回安排详见本招募说明书“侧袋机制”部分的规定或相关公告。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（十八）其他业务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82488818"/>
      <w:r>
        <w:rPr>
          <w:rFonts w:ascii="Times New Roman" w:hAnsi="Times New Roman"/>
          <w:sz w:val="30"/>
        </w:rPr>
        <w:t>九、基金的转换</w:t>
      </w:r>
      <w:bookmarkEnd w:id="11"/>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基金转换是指开放式基金份额持有人将其持有某只基金的部分或全部份额转换为</w:t>
      </w:r>
      <w:r>
        <w:rPr>
          <w:rFonts w:hint="eastAsia" w:ascii="宋体" w:hAnsi="宋体"/>
          <w:sz w:val="24"/>
        </w:rPr>
        <w:t>该基金其他份额（如有）或</w:t>
      </w:r>
      <w:r>
        <w:rPr>
          <w:rFonts w:ascii="宋体" w:hAnsi="宋体"/>
          <w:sz w:val="24"/>
        </w:rPr>
        <w:t>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（二）转换业务办理时间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本基金2022年8月10日刊登公告自2022年8月15日起开放日常转换业务。</w:t>
      </w:r>
      <w:r>
        <w:rPr>
          <w:rFonts w:hint="eastAsia" w:ascii="宋体" w:hAnsi="宋体"/>
          <w:sz w:val="24"/>
        </w:rPr>
        <w:t>本基金2025年8月2</w:t>
      </w:r>
      <w:r>
        <w:rPr>
          <w:rFonts w:hint="eastAsia" w:ascii="宋体" w:hAnsi="宋体"/>
          <w:sz w:val="24"/>
          <w:lang w:val="en-US" w:eastAsia="zh-CN"/>
        </w:rPr>
        <w:t>8</w:t>
      </w:r>
      <w:r>
        <w:rPr>
          <w:rFonts w:hint="eastAsia" w:ascii="宋体" w:hAnsi="宋体"/>
          <w:sz w:val="24"/>
        </w:rPr>
        <w:t>日刊登公告自2025年8月2</w:t>
      </w:r>
      <w:r>
        <w:rPr>
          <w:rFonts w:hint="eastAsia" w:ascii="宋体" w:hAnsi="宋体"/>
          <w:sz w:val="24"/>
          <w:lang w:val="en-US" w:eastAsia="zh-CN"/>
        </w:rPr>
        <w:t>8</w:t>
      </w:r>
      <w:r>
        <w:rPr>
          <w:rFonts w:hint="eastAsia" w:ascii="宋体" w:hAnsi="宋体"/>
          <w:sz w:val="24"/>
        </w:rPr>
        <w:t>日起开放开通同一基金不同类别基金份额转换业务。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本基金转换业务具体开通销售机构名单参见相关公告。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（三）基金转换的程序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1、申请方式：书面申请或销售机构公布的其他方式。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2、基金转换申请的确认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（四）基金转换的数额限制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2、转出基金的赎回费用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4、后端收费模式下转出与转入基金的申购补差费用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5、网上直销的申购补差费率优惠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（六）基金转换份额的计算公式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1、前端收费模式下基金转换份额的计算公式及举例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（注：若转出基金申购费率不低于转入基金申购费率，转出与转入基金的申购补差费为零）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对于涉及固定费用的，转出与转入基金的申购补差费＝MAX（0，转出基金和转入基金申购费用之差）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转出确认金额=100,000×1.0100=101,000元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转出基金的赎回费=101,000×0.5%=505元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转入确认金额=101,000-505=100,495元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转出与转入基金的申购补差费=100,495×0/（1+0）=0元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转入基金确认份额=（100,495-0）/2.2700=44,270.93份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转出确认金额=1,000,000×1.0200=1,020,000元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转出基金的赎回费=1,020,000×0.05%=510元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转入确认金额=1,020,000-510=1,019,490元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转出与转入基金的申购补差费=1,019,490×0.5%/（1+0.5%）=5,072.09元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转入基金确认份额=（1,019,490-5,072.09）/1.0100=1,004,374.17份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转出与转入基金的申购补差费=125,000×1.5%/（1+1.5%）=1,847.29元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转入基金确认份额=（125,000-1,847.29）/2.2700=54,252.30份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转出与转入基金的申购补差费=100,000×0.8%/（1+0.8%）=793.65元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转入基金确认份额=（100,000-793.65+61.52）/1.2700=78,163.68份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2、后端收费模式下基金转换份额的计算公式及举例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转出确认金额=转出的基金份额×转换申请当日转出基金的基金份额净值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转出基金的赎回费=转出确认金额×对应的转出基金的赎回费率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转入确认金额=转出确认金额-转出基金的赎回费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其中：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转入基金确认份额=（124,750-0）/2.2700=54,955.95份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转出确认金额=100,000×1.2500=125,000元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转出基金的赎回费=125,000×0.2%=250元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转入确认金额=125,000-250=124,750元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转出与转入基金的申购补差费=124,750×1.2%=1497元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转入基金确认份额=（124,750-1497）/1.00=123,253.00份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转出确认金额=100,000×0.8500=85,000元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转出基金的赎回费=85,000×0=0元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转入确认金额=85,000-0=85,000元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转出与转入基金的申购补差费=85,000×0.2%=170元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转入基金确认份额=（85,000-170）/1.0500=80,790.48份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转出确认金额=100,000×1.00=100,000元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转出基金的赎回费=0元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转入确认金额=100,000-0=100,000元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转出与转入基金的申购补差费=100,000×0=0元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转入基金确认份额=（100,000-0+61.52）/1.2700=78,788.60份</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（八）暂停基金转换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82488819"/>
      <w:r>
        <w:rPr>
          <w:rFonts w:ascii="Times New Roman" w:hAnsi="Times New Roman"/>
          <w:sz w:val="30"/>
        </w:rPr>
        <w:t>十、基金的投资</w:t>
      </w:r>
      <w:bookmarkEnd w:id="12"/>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本基金在严格控制风险的前提下，充分发挥专业研究与管理能力，追求超越业绩比较基准的投资收益，力争为投资者提供长期稳健的投资回报。</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股票投资（含存托凭证）占基金资产的比例为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1、大类资产配置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（1）品质筛选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筛选出在公司治理、财务及管理品质上符合基本品质要求的公司，构建备选股票池。主要筛选指标包括：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■盈利能力指标：如市盈率（P/E）、市现率（P/Cash Flow）、股价与每股自由现金流比率（P/FCF）、市销率（P/S）、股价与每股息税前利润比率（P/EBIT）等；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■经营效率指标：如净资产收益率（ROE）、资产收益率（ROA）、经营资产回报率（Return on operating assets）等；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■财务状况指标：如资产负债率（D/A）、流动比率等；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■研发投入指标：如研发投入与营业收入比率、科研人员数量及占比、专利数量及在同行业的占比等。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（2）价值评估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（3）港股通标的股票投资策略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（4）存托凭证的投资策略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本基金投资存托凭证的策略依照境内上市交易的股票投资策略执行。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4、资产支持证券投资策略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5、股指期货投资策略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（1）股票投资（含存托凭证）占基金资产的比例为60%-95%，其中投资于港股通标的股票的比例占股票资产的0%-50%；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（3）本基金持有一家公司发行的证券（同一家公司在内地和香港同时上市的A+H股合计计算），其市值不超过基金资产净值的10％；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（15）本基金参与股指期货交易，则：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（16）本基金资产总值不超过基金资产净值的140%；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为维护基金份额持有人的合法权益，基金财产不得用于下列投资或者活动：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沪深300指数收益率×65%+恒生指数收益率×5%+中证综合债券指数收益率×30%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恒生指数是由恒生指数服务有限公司编制，以香港股票市场中的50家上市股票为成份股样本，以其发行量为权数的加权平均股价指数，是反映香港股市价幅趋势最有影响的一种股价指数。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本基金是一只混合型基金，其预期风险和预期收益理论上高于债券型基金和货币市场基金，低于股票型基金。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（七）基金管理人代表基金行使股东或债权人权利的处理原则及方法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1、基金管理人按照国家有关规定代表基金独立行使股东或债权人权利，保护基金份额持有人的利益；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本基金托管人招商银行股份有限公司根据本基金合同规定，于2024年10月24日复核了本报告中的财务指标、净值表现和投资组合报告等内容，保证复核内容不存在虚假记载、误导性陈述或者重大遗漏。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本报告期为2024年07月01日至09月30日。本报告财务资料未经审计师审计。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2,385,046,349.58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83.34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2,385,046,349.58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83.34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41,287,960.92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41,287,960.92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-105,629.42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197,227,476.95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238,291,451.48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2,861,747,609.51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注：本基金本报告期末通过港股通机制投资香港股票的公允价值为528,619,526.57元，占基金资产净值比例为18.56%。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176,451,113.51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1,086,264,313.35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401,808,908.63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144,153,606.10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1,903,542.22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41,704,760.50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4,140,578.70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1,856,426,823.01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65.17</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公用事业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342,889,826.36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原材料</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55,488,160.92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52,689,585.77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42,638,323.14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25,759,744.07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9,141,787.91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能源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6,462.21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5,636.19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528,619,526.57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18.56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注：本报告采用中证CICS一级分类标准编制。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华电国际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14,236,600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85,277,234.00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01071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华电国际电力股份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22,831,491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91,004,309.39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301035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润丰股份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3,283,069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174,462,286.66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7,863,892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60,630,607.32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00902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华能国际电力股份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22,988,000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98,883,762.44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大唐发电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25,532,100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75,830,337.00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00991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大唐发电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56,754,000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81,888,303.46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海大集团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2,113,695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101,499,633.90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皖能电力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10,332,500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85,966,400.00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002749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国光股份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5,473,959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76,416,467.64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山东药玻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2,249,019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65,491,433.28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300218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安利股份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3,704,900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65,280,338.00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金杯电工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6,198,900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62,484,912.00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40,601,005.46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40,601,005.46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686,955.46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41,287,960.92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240301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24进出01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40,601,005.46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6,790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686,955.46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9、报告期末本基金投资的股指期货交易情况说明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报告期末本基金投资的股指期货持仓和损益明细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本基金投资股指期货的投资政策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178,005.52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233,792,008.62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2,522,457.10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1,798,980.24</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238,291,451.48</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11.4 报告期末持有的处于转股期的可转换债券明细</w:t>
      </w:r>
    </w:p>
    <w:tbl>
      <w:tblPr>
        <w:tblStyle w:val="14"/>
        <w:tblW w:w="5000" w:type="pct"/>
        <w:tblInd w:w="0" w:type="dxa"/>
        <w:tblLayout w:type="autofit"/>
        <w:tblCellMar>
          <w:top w:w="0" w:type="dxa"/>
          <w:left w:w="0" w:type="dxa"/>
          <w:bottom w:w="0" w:type="dxa"/>
          <w:right w:w="0" w:type="dxa"/>
        </w:tblCellMar>
      </w:tblPr>
      <w:tblGrid>
        <w:gridCol w:w="666"/>
        <w:gridCol w:w="2001"/>
        <w:gridCol w:w="2001"/>
        <w:gridCol w:w="2001"/>
        <w:gridCol w:w="2001"/>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686,955.46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82488820"/>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基金业绩截止日为2024年09月30日，所载财务数据未经审计师审计。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1、本报告期基金份额净值增长率及其与同期业绩比较基准收益率的比较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（1）交银启诚混合A</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2021年度（自基金合同生效起至2021年12月31日）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（2）交银启诚混合C</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2021年度（自基金合同生效起至2021年12月31日）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注：本基金的业绩比较基准为沪深300指数收益率×65%+恒生指数收益率×5%+中证综合债券指数收益率×30%，每日进行再平衡过程。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交银施罗德启诚混合型证券投资基金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（2021年12月08日至2024年09月30日）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（1）交银启诚混合A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pict>
          <v:shape id="_x0000_i1026" o:spt="75" type="#_x0000_t75" style="height:346.7pt;width:439.75pt;" filled="f" o:preferrelative="t" stroked="f" coordsize="21600,21600">
            <v:path/>
            <v:fill on="f" focussize="0,0"/>
            <v:stroke on="f" joinstyle="miter"/>
            <v:imagedata r:id="rId13"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（2）交银启诚混合C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pict>
          <v:shape id="_x0000_i1027" o:spt="75" type="#_x0000_t75" style="height:368.85pt;width:439.75pt;" filled="f" o:preferrelative="t" stroked="f" coordsize="21600,21600">
            <v:path/>
            <v:fill on="f" focussize="0,0"/>
            <v:stroke on="f" joinstyle="miter"/>
            <v:imagedata r:id="rId14"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82488821"/>
      <w:r>
        <w:rPr>
          <w:rFonts w:ascii="Times New Roman" w:hAnsi="Times New Roman"/>
          <w:sz w:val="30"/>
        </w:rPr>
        <w:t>十二、基金的财产</w:t>
      </w:r>
      <w:bookmarkEnd w:id="14"/>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基金资产总值是指基金拥有的各类有价证券、股指期货合约、银行存款本息、基金应收款项及其他资产的价值总和。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（四）基金财产的保管和处分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82488822"/>
      <w:r>
        <w:rPr>
          <w:rFonts w:ascii="Times New Roman" w:hAnsi="Times New Roman"/>
          <w:sz w:val="30"/>
        </w:rPr>
        <w:t>十三、基金资产的估值</w:t>
      </w:r>
      <w:bookmarkEnd w:id="15"/>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基金所拥有的股票、债券、资产支持证券、衍生工具和其他投资等持续以公允价值计量的金融资产及负债。</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（三）估值原则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基金管理人在确定相关金融资产和金融负债的公允价值时，应符合《企业会计准则》、监管部门有关规定。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2、处于未上市期间的有价证券应区分如下情况处理：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（2）首次公开发行未上市的股票和债券，采用估值技术确定公允价值，在估值技术难以可靠计量公允价值的情况下，按成本估值；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5、估值计算中涉及港币对人民币汇率的，将依据下列信息提供机构所提供的汇率为基准：当日中国人民银行或其授权机构当日公布的人民币与港币的中间价。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6、对于因税收规定调整或其他原因导致产品实际交纳税金与估算的应交税金有差异的，产品将在相关税金调整日或实际支付日进行相应的会计处理。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9、本基金投资存托凭证的估值核算依照境内上市交易的股票执行。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10、相关法律法规以及监管部门有强制规定的，从其规定。如有新增事项，按国家最新规定估值。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基金合同的当事人应按照以下约定处理：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（5）按法律法规规定的其他原则处理估值错误。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4、基金份额净值估值错误处理的方法如下：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（4）前述内容如法律法规或监管机关另有规定的，从其规定处理。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1、基金投资所涉及的证券、期货交易市场遇法定节假日或因其他原因暂停营业时；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4、法律法规、中国证监会和基金合同认定的其它情形。</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1、基金管理人或基金托管人按估值方法的第7项进行估值时，所造成的误差不作为基金资产估值错误处理。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82488823"/>
      <w:r>
        <w:rPr>
          <w:rFonts w:ascii="Times New Roman" w:hAnsi="Times New Roman"/>
          <w:sz w:val="30"/>
        </w:rPr>
        <w:t>十四、基金收益与分配</w:t>
      </w:r>
      <w:bookmarkEnd w:id="16"/>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5、本基金同一基金份额类别的每一基金份额享有同等分配权；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（八）实施侧袋机制期间的收益分配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本基金实施侧袋机制的，侧袋账户不进行收益分配。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82488824"/>
      <w:r>
        <w:rPr>
          <w:rFonts w:ascii="Times New Roman" w:hAnsi="Times New Roman"/>
          <w:sz w:val="30"/>
        </w:rPr>
        <w:t>十五、基金的费用与税收</w:t>
      </w:r>
      <w:bookmarkEnd w:id="17"/>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3、《基金合同》生效后与基金相关的信息披露费用；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4、《基金合同》生效后与基金相关的会计师费、律师费、仲裁费和诉讼费；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6、基金的证券、期货交易费用；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7、基金的银行汇划费用；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8、基金的开户费用、账户维护费用；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9、因投资港股通标的股票而产生的各项合理费用；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10、本基金从C类基金份额的基金财产中计提的销售服务费；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11、按照国家有关规定和《基金合同》约定，可以在基金财产中列支的其他费用。</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本基金的管理费按前一日基金资产净值的1.2%年费率计提。管理费的计算方法如下：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H＝E×年管理费率÷当年天数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本基金的托管费按前一日基金资产净值的0.2%年费率计提。托管费的计算方法如下：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H＝E×年托管费率÷当年天数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本基金A类基金份额不收取销售服务费，C类基金份额的销售服务费按前一日C类基金资产净值的0.8%年费率计提。计算方法如下：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H＝E×0.8%÷当年天数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H为C类基金份额每日应计提的销售服务费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E为C类基金份额前一日基金资产净值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C类基金份额的销售服务费将专门用于本基金的市场推广、销售与基金份额持有人服务。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（4）上述“（一）基金费用的种类”中第3－9项、第11项费用，根据有关法规及相应协议规定，按费用实际支出金额列入当期费用，由基金托管人从基金财产中支付。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下列费用不列入基金费用：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1、基金管理人和基金托管人因未履行或未完全履行义务导致的费用支出或基金财产的损失；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2、基金管理人和基金托管人处理与基金运作无关的事项发生的费用；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3、《基金合同》生效前的相关费用；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4、其他根据相关法律法规及中国证监会的有关规定不得列入基金费用的项目。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（四）实施侧袋机制期间的基金费用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82488825"/>
      <w:r>
        <w:rPr>
          <w:rFonts w:ascii="Times New Roman" w:hAnsi="Times New Roman"/>
          <w:sz w:val="30"/>
        </w:rPr>
        <w:t>十六、基金的会计与审计</w:t>
      </w:r>
      <w:bookmarkEnd w:id="18"/>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1、基金管理人为本基金的基金会计责任方；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7、基金托管人每月与基金管理人就基金的会计核算、报表编制等进行核对确认。</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（二）基金的年度审计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82488826"/>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w:t>
      </w:r>
      <w:r>
        <w:rPr>
          <w:rFonts w:hint="eastAsia" w:ascii="宋体" w:hAnsi="宋体"/>
          <w:kern w:val="0"/>
          <w:sz w:val="24"/>
        </w:rPr>
        <w:t>本基金的信息披露应符合《基金法》、《运作办法》、《信息披露办法》、《流动性风险管理规定》、《基金合同》及其他有关规定。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（三）本基金信息披露义务人承诺公开披露的基金信息，不得有下列行为：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w:t>
      </w:r>
      <w:r>
        <w:rPr>
          <w:rFonts w:hint="eastAsia" w:ascii="宋体" w:hAnsi="宋体"/>
          <w:kern w:val="0"/>
          <w:sz w:val="24"/>
        </w:rPr>
        <w:t>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1、基金招募说明书、《基金合同》、基金托管协议、基金产品资料概要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基金管理人应当在收到中国证监会确认文件的次日在规定媒介上登载《基金合同》生效公告。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（15）管理费、托管费、销售服务费、申购费、赎回费等费用计提标准、计提方式和费率发生变更；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（16）任一类基金份额净值计价错误达该类基金份额净值百分之零点五；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（22）基金管理人采用摆动定价机制进行估值；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（23）本基金增加或调整基金份额类别；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（24）本基金推出新业务或服务；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（25）本基金连续30个工作日、40个工作日、45个工作日出现基金份额持有人数量不满200人或者基金资产净值低于5000万元情形的；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10、实施侧袋机制期间的信息披露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12、基金投资资产支持证券情况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13、基金投资股指期货情况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14、基金投资港股通标的股票情况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182488827"/>
      <w:r>
        <w:rPr>
          <w:rFonts w:ascii="Times New Roman" w:hAnsi="Times New Roman"/>
          <w:sz w:val="30"/>
        </w:rPr>
        <w:t>十八、侧袋机制</w:t>
      </w:r>
      <w:bookmarkEnd w:id="20"/>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（一）侧袋机制的实施条件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（二）实施侧袋机制期间基金份额的申购与赎回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（三）实施侧袋机制期间的基金投资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基金管理人不得在侧袋账户中进行除特定资产处置变现以外的其他投资操作。</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（四）实施侧袋机制期间的基金估值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（五）实施侧袋账户期间的基金费用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1、本基金实施侧袋机制的，管理费和托管费按主袋账户基金资产净值作为基数计提。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（六）侧袋账户中特定资产的处置变现和支付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（七）侧袋机制的信息披露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3、定期报告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82488828"/>
      <w:r>
        <w:rPr>
          <w:rFonts w:ascii="Times New Roman" w:hAnsi="Times New Roman"/>
          <w:sz w:val="30"/>
        </w:rPr>
        <w:t>十九、风险揭示</w:t>
      </w:r>
      <w:bookmarkEnd w:id="2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基金分为股票型基金、混合型基金、债券型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（四）信用风险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（五）本基金的特有风险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3、基金合同提前终止风险。连续50个工作日出现基金份额持有人数量不满200人或者基金资产净值低于5000万元情形的，基金合同终止，不需召开基金份额持有人大会。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（六）投资股指期货的特定风险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（2）流动性风险是指由于股指期货合约无法及时变现所带来的风险。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（5）信用风险是指期货经纪公司违约而产生损失的风险。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（七）投资资产支持证券的特定风险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（八）投资流通受限证券的特定风险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（九）投资港股通标的股票的特定风险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本基金可投资港股通标的股票，会面临港股通机制下因投资环境、投资标的、市场制度以及交易规则等差异带来的特有风险，具体如下：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（1）港股交易失败风险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（2）汇率风险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（3）境外市场的风险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2）香港市场交易规则有别于内地A股市场规则，此外，在“内地与香港股票市场交易互联互通机制”下参与香港股票投资还将面临包括但不限于如下特殊风险：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a）香港市场实行T+0回转交易机制（即当日买入的股票，在交收前可以于当日卖出），且证券交易价格并无涨跌幅上下限的规定，因此每日涨跌幅空间相对较大，可能表现出比A股更为剧烈的股价波动；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以上所述因素可能会给本基金投资带来特殊交易风险。</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（十）投资科创板股票的特定风险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（3）退市风险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（4）集中度风险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（5）系统性风险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（6）政策风险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（十一）投资存托凭证的特定风险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（十二）其他风险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82488829"/>
      <w:r>
        <w:rPr>
          <w:rFonts w:ascii="Times New Roman" w:hAnsi="Times New Roman"/>
          <w:sz w:val="30"/>
        </w:rPr>
        <w:t>二十、基金合同的变更、终止与基金财产的清算</w:t>
      </w:r>
      <w:bookmarkEnd w:id="22"/>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基金财产清算账册及有关文件由基金托管人保存不低于法律法规规定的最低期限。</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82488830"/>
      <w:r>
        <w:rPr>
          <w:rFonts w:ascii="Times New Roman" w:hAnsi="Times New Roman"/>
          <w:sz w:val="30"/>
        </w:rPr>
        <w:t>二十一、基金合同内容摘要</w:t>
      </w:r>
      <w:bookmarkEnd w:id="23"/>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（一）基金份额持有人、基金管理人和基金托管人的权利与义务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（2）自《基金合同》生效之日起，根据法律法规和《基金合同》独立运用并管理基金财产；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（3）依照《基金合同》收取基金管理费以及法律法规规定或中国证监会批准的其他费用；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（4）销售基金份额；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（8）选择、更换基金销售机构，对基金销售机构的相关行为进行监督和处理；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（9）担任或委托其他符合条件的机构担任基金登记机构办理基金登记业务并获得《基金合同》规定的费用；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（10）依据《基金合同》及有关法律规定决定基金收益的分配方案；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（11）在《基金合同》约定的范围内，拒绝或暂停受理申购与赎回申请；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（13）在法律法规允许的前提下，为基金的利益依法为基金进行融资；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（14）以基金管理人的名义，代表基金份额持有人的利益行使诉讼权利或者实施其他法律行为；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（15）选择、更换律师事务所、会计师事务所、证券经纪商、期货经纪机构或其他为基金提供服务的外部机构；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（16）在符合有关法律、法规的前提下，制定和调整有关基金认购、申购、赎回、转换等的业务规则；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（3）自《基金合同》生效之日起，以诚实信用、谨慎勤勉的原则管理和运用基金财产；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（13）按《基金合同》的约定确定基金收益分配方案，及时向基金份额持有人分配基金收益；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（14）按规定受理申购与赎回申请，及时、足额支付赎回款项；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（23）以基金管理人名义，代表基金份额持有人利益行使诉讼权利或实施其他法律行为；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（1）自《基金合同》生效之日起，依法律法规和《基金合同》的规定安全保管基金财产；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（2）依《基金合同》约定获得基金托管费以及法律法规规定或监管部门批准的其他费用；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（4）根据相关市场规则，为基金开设资金账户、证券账户、期货结算账户等投资所需账户，为基金办理证券交易资金清算；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（5）提议召开或召集基金份额持有人大会；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（6）在基金管理人更换时，提名新的基金管理人；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（6）按规定开设基金财产的资金账户、证券账户和期货结算账户等投资所需账户，按照《基金合同》的约定，根据基金管理人的投资指令，及时办理清算、交割事宜；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（8）复核、审查基金管理人计算的基金资产净值、基金份额净值、基金份额申购、赎回价格；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（11）保存基金托管业务活动的记录、账册、报表和其他相关资料不低于法律法规规定的最低期限；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（16）按照法律法规和《基金合同》的规定监督基金管理人的投资运作；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（19）因违反《基金合同》导致基金财产损失时，应承担赔偿责任，其赔偿责任不因其退任而免除；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同一类别每份基金份额具有同等的合法权益。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（3）依法并按照基金合同和招募说明书的规定转让或者申请赎回其持有的基金份额；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（4）按照规定要求召开基金份额持有人大会或者召集基金份额持有人大会；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（8）对基金管理人、基金托管人、基金服务机构损害其合法权益的行为依法提起诉讼或仲裁；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根据《基金法》、《运作办法》及其他有关规定，基金份额持有人的义务包括但不限于：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（1）认真阅读并遵守《基金合同》、招募说明书等信息披露文件；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（3）关注基金信息披露，及时行使权利和履行义务；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（4）交纳基金认购、申购款项及法律法规和《基金合同》所规定的费用；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（5）在其持有的基金份额范围内，承担基金亏损或者《基金合同》终止的有限责任；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（8）返还在基金交易过程中因任何原因获得的不当得利；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（9）遵守基金管理人、基金托管人、销售机构和登记机构的相关交易及业务规则；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（10）提供基金管理人和监管机构依法要求提供的信息，以及不时的更新和补充，并保证其真实性；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（二）基金份额持有人大会召集、议事及表决的程序和规则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本基金份额持有人大会不设日常机构。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2）更换基金管理人；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3）更换基金托管人；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5）调整基金管理人、基金托管人的报酬标准或提高销售服务费率；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8）变更基金投资目标、范围或策略；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9）变更基金份额持有人大会程序；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10）基金管理人或基金托管人要求召开基金份额持有人大会；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12）对基金合同当事人权利和义务产生重大影响的其他事项；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13）法律法规、《基金合同》或中国证监会规定的其他应当召开基金份额持有人大会的事项。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4）因相应的法律法规、登记机构的相关业务规则发生变动而应当对《基金合同》进行修改；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9）按照法律法规和《基金合同》规定不需召开基金份额持有人大会的其他情形。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（1）除法律法规规定或《基金合同》另有约定外，基金份额持有人大会由基金管理人召集；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（2）基金管理人未按规定召集或不能召集时，由基金托管人召集；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（6）基金份额持有人会议的召集人负责选择确定开会时间、地点、方式和权益登记日。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2）会议拟审议的事项、议事程序和表决方式；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5）会务常设联系人姓名及联系电话；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在同时符合以下条件时，通讯开会的方式视为有效：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1）会议召集人按《基金合同》约定公布会议通知后，在2个工作日内连续公布相关提示性公告；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基金份额持有人所持每份基金份额有一票表决权。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2）监票人应当在基金份额持有人表决后立即进行清点并由大会主持人当场公布计票结果。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4）计票过程应由公证机关予以公证，基金管理人或基金托管人拒不出席大会的，不影响计票的效力。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8、生效与公告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基金份额持有人大会的决议，召集人应当自通过之日起5日内报中国证监会备案。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基金份额持有人大会的决议自表决通过之日起生效。法律法规另有规定的，从其规定。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9、实施侧袋机制期间基金份额持有人大会的特殊约定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（1）基金份额持有人行使提议权、召集权、提名权所需单独或合计代表相关基金份额10%以上（含10%）；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（6）一般决议须经参加大会的基金份额持有人或其代理人所持表决权的二分之一以上（含二分之一）通过；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同一主侧袋账户内的每份基金份额具有平等的表决权。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（三）基金合同解除和终止的事由、程序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《基金合同》受中国法律（不含港澳台地区法律）管辖。</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（五）基金合同存放地和投资者取得基金合同的方式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82488831"/>
      <w:r>
        <w:rPr>
          <w:rFonts w:ascii="Times New Roman" w:hAnsi="Times New Roman"/>
          <w:sz w:val="30"/>
        </w:rPr>
        <w:t>二十二、托管协议的内容摘要</w:t>
      </w:r>
      <w:bookmarkEnd w:id="24"/>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lang w:val="en-US" w:eastAsia="zh-CN"/>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邮政编码：518040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成立时间：1987年4月8日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基金托管业务批准文号：证监基金字[2002]83号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注册资本：人民币252.20亿元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（1）本基金的投资范围为：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（2）本基金各类品种的投资比例、投资限制为：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股票投资（含存托凭证）占基金资产的比例为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1）股票投资（含存托凭证）占基金资产的比例为60%-95%，其中投资于港股通标的股票的比例占股票资产的0%-50%；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3）本基金持有一家公司发行的证券（同一家公司在内地和香港同时上市的A+H股合计计算），其市值不超过基金资产净值的10％；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15）本基金参与股指期货交易，则：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16）本基金资产总值不超过基金资产净值的140%；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（3）本基金财产不得用于以下投资或者活动：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本基金投资银行存款应符合如下规定：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3、基金投资银行存款协议的签订、账户开设与管理、投资指令与资金划付、账目核对、到期兑付、提前支取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（1）基金投资银行存款协议的签订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2）基金托管人依据相关法规对《总体合作协议》和《存款协议书》的内容进行复核，审查存款银行资格等。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（2）基金投资银行存款时的账户开设与管理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1）基金投资于银行存款时，基金管理人应当依据基金管理人与存款银行签订的《总体合作协议》、《存款协议书》等，以基金的名义在存款银行总行或授权分行指定的分支机构开立银行账户。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2）基金投资于银行存款时的预留印鉴由基金托管人保管和使用。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（3）存款凭证传递、账目核对及到期兑付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1）存款证实书等存款凭证传递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2）存款凭证的遗失补办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存款凭证在邮寄过程中遗失的，由基金管理人向存款银行提出补办申请，基金管理人应督促存款银行尽快补办存款凭证，并按以上1）的方式快递或上门交付至托管人，原存款凭证自动作废。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3）账目核对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4）到期兑付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（4）提前支取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提前支取的具体事项按照基金管理人与存款银行签订的《存款协议书》执行。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（5）基金投资银行存款的监督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5、本基金投资流通受限证券，应遵守《关于基金投资非公开发行股票等流通受限证券有关问题的通知》等有关监管规定。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本基金不得投资未经中国证监会批准的非公开发行证券。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本基金不得投资有锁定期但锁定期不明确的证券。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由于基金管理人未及时提供有关证券的具体的必要的信息，致使托管人无法审核认购指令而影响认购款项划拨的，基金托管人免于承担责任。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应在基金投资非公开发行股票后两个交易日内，在中国证监会规定媒介披露所投资非公开发行股票的名称、数量、总成本、账面价值，以及总成本和账面价值占基金资产净值的比例、锁定期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6、基金管理人应当对投资中期票据业务进行研究，认真评估中期票据投资业务的风险，本着审慎、勤勉尽责的原则进行中期票据的投资业务，并应符合法律法规及监管机构的相关规定。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11、基金托管人发现基金管理人有重大违规行为，应及时报告中国证监会，同时通知基金管理人限期纠正。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（四）基金财产保管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（3）基金托管人按照规定开设基金财产的资金账户、证券账户和期货结算账户等投资所需的相关账户。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（8）除依据法律法规和基金合同的规定外，基金托管人不得委托第三人托管基金财产。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（3）若基金募集期限届满，未能达到基金合同生效的条件，由基金管理人按规定办理退款等事宜。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3、基金资金账户的开立和管理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交银施罗德启诚混合型证券投资基金”，预留印鉴为基金托管人印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（3）基金资金账户的开立和管理应符合法律法规及银行业监督管理机构的有关规定。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4、基金证券账户和结算备付金账户的开立和管理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5、债券托管账户的开设和管理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6、其他账户的开立和管理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（2）因业务发展需要而开立的其他账户，可以根据法律法规和基金合同的规定，由基金管理人协助基金托管人按照有关法律法规和本协议的约定协商后开立。新账户按有关规定使用并管理。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（3）法律法规等有关规定对相关账户的开立和管理另有规定的，从其规定办理。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（五）基金资产净值计算、估值和会计核算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1、基金资产净值的计算、复核与完成的时间及程序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份额净值是按照每个工作日闭市后，该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基金管理人于每个工作日分别计算各类基金份额的基金资产净值、基金份额净值，经基金托管人复核，按规定公告，但基金管理人根据法律法规或基金合同的规定暂停估值时除外。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2、基金资产的估值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基金管理人及基金托管人应当按照《基金合同》的约定进行估值。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3、基金份额净值错误的处理方式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基金管理人及基金托管人应当按照《基金合同》的约定处理份额净值错误。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按国家有关部门规定的会计制度执行。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5、基金账册的建立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6、基金财务报表与报告的编制和复核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（1）财务报表的编制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基金财务报表由基金管理人编制，基金托管人复核。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（2）报表复核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（3）财务报表的编制与复核时间安排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7、在有需要时，基金管理人应每季度向基金托管人提供基金业绩比较基准的基础数据和编制结果。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（六）基金份额持有人名册的保管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本协议受中华人民共和国法律（不含港澳台地区法律）管辖。</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（八）托管协议的变更、终止与基金财产的清算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（3）基金管理人因解散、破产、撤销等事由，不能继续担任基金管理人的职务，而在6个月内无其他适当的基金管理机构承接其原有权利义务；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（4）发生法律法规或《基金合同》规定的其他终止事项。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基金管理人与基金托管人按照《基金合同》的约定处理基金财产的清算。</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82488832"/>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每次交易结束后，可在T+2个工作日后通过销售机构的网点查询和打印确认单。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投资人可以拨打本基金管理人客户服务电话投诉直销机构的人员和服务。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（四）基金转换业务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本基金已开通转换业务，具体实施方法请参见相关公告。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82488833"/>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交银施罗德启诚混合型证券投资基金(更新)招募说明书(2023年第2号)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交银施罗德启诚混合型证券投资基金（A类份额）基金产品资料概要更新(2023年第2号)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交银施罗德启诚混合型证券投资基金（C类份额）基金产品资料概要更新(2023年第2号)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交银施罗德基金管理有限公司关于增加华福证券有限责任公司为旗下基金的销售机构的公告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交银施罗德启诚混合型证券投资基金2023年第4季度报告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交银施罗德基金管理有限公司关于增加国元证券股份有限公司为旗下基金的销售机构的公告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交银施罗德启诚混合型证券投资基金2023年年度报告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交银施罗德基金管理有限公司关于交银施罗德启诚混合型证券投资基金调整大额申购（转换转入、定期定额投资）业务限额的公告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交银施罗德启诚混合型证券投资基金2024年第1季度报告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交银施罗德基金管理有限公司关于交银施罗德启诚混合型证券投资基金调整大额申购（转换转入、定期定额投资）业务限额的公告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交银施罗德启诚混合型证券投资基金（A类份额）基金产品资料概要更新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交银施罗德启诚混合型证券投资基金（C类份额）基金产品资料概要更新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交银施罗德启诚混合型证券投资基金2024年第2季度报告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交银施罗德启诚混合型证券投资基金2024年中期报告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交银施罗德基金管理有限公司关于交银施罗德启诚混合型证券投资基金调整大额申购（转换转入、定期定额投资）业务限额的公告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交银施罗德启诚混合型证券投资基金2024年第3季度报告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82488834"/>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182488835"/>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（一）中国证监会准予交银施罗德启诚混合型证券投资基金募集注册的文件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（二）《交银施罗德启诚混合型证券投资基金基金合同》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（三）《交银施罗德启诚混合型证券投资基金托管协议》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（六）关于申请募集注册交银施罗德启诚混合型证券投资基金的法律意见书</w:t>
      </w:r>
    </w:p>
    <w:sectPr>
      <w:footerReference r:id="rId10"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4099" o:spid="_x0000_s4099" o:spt="202" type="#_x0000_t202" style="position:absolute;left:0pt;margin-left:293.4pt;margin-top:782.6pt;height:11pt;width:21.6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5</w:t>
                </w:r>
                <w:r>
                  <w:rPr>
                    <w:rFonts w:ascii="Times New Roman" w:hAnsi="Times New Roman"/>
                    <w:kern w:val="0"/>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4101" o:spid="_x0000_s4101" o:spt="202" type="#_x0000_t202" style="position:absolute;left:0pt;margin-left:291.25pt;margin-top:773.85pt;height:11pt;width:33.5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18</w:t>
                </w:r>
                <w:r>
                  <w:rPr>
                    <w:rFonts w:ascii="Times New Roman" w:hAnsi="Times New Roman"/>
                    <w:kern w:val="0"/>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图片 3" o:spid="_x0000_s4098"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交银施罗德启诚混合型证券投资基金招募说明书更新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pict>
        <v:shape id="图片 1" o:spid="_x0000_s4097"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交银施罗德启诚混合型证券投资基金招募说明书更新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pict>
        <v:shape id="图片 4" o:spid="_x0000_s4100"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交银施罗德启诚混合型证券投资基金招募说明书更新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3,4"/>
    </o:shapelayout>
  </w:hdrShapeDefault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58A0"/>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59DB"/>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70"/>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0BE3"/>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870B8"/>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6361"/>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6C0"/>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0FF1"/>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4300B07"/>
    <w:rsid w:val="19B664AC"/>
    <w:rsid w:val="1A113708"/>
    <w:rsid w:val="3A9103B6"/>
    <w:rsid w:val="3EF3626E"/>
    <w:rsid w:val="4D8212ED"/>
    <w:rsid w:val="6394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 w:type="paragraph" w:customStyle="1" w:styleId="4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174</Pages>
  <Words>18012</Words>
  <Characters>102670</Characters>
  <Lines>855</Lines>
  <Paragraphs>240</Paragraphs>
  <TotalTime>39</TotalTime>
  <ScaleCrop>false</ScaleCrop>
  <LinksUpToDate>false</LinksUpToDate>
  <CharactersWithSpaces>120442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2024-11-14T06:59:00Z</dcterms:created>
  <dc:creator>系统用户</dc:creator>
  <cp:lastModifiedBy>喻秋燕</cp:lastModifiedBy>
  <cp:lastPrinted>2013-02-18T03:10:00Z</cp:lastPrinted>
  <dcterms:modified xsi:type="dcterms:W3CDTF">2025-08-27T02:40:16Z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427A9B4633304AD398DDB561B031D020</vt:lpwstr>
  </property>
</Properties>
</file>