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 w:val="24"/>
        </w:rPr>
        <w:sectPr>
          <w:footerReference r:id="rId3" w:type="default"/>
          <w:type w:val="continuous"/>
          <w:pgSz w:w="11906" w:h="16838"/>
          <w:pgMar w:top="1418" w:right="1701" w:bottom="1418" w:left="1701" w:header="851" w:footer="992" w:gutter="0"/>
          <w:cols w:space="425" w:num="1"/>
          <w:docGrid w:type="lines" w:linePitch="312" w:charSpace="0"/>
        </w:sectPr>
      </w:pPr>
      <w:bookmarkStart w:id="0" w:name="TITLE_bf33995ec32f49b59e849d889ec629bc"/>
      <w:bookmarkStart w:id="147" w:name="_GoBack"/>
      <w:bookmarkEnd w:id="147"/>
    </w:p>
    <w:bookmarkEnd w:id="0"/>
    <w:p>
      <w:pPr>
        <w:adjustRightInd w:val="0"/>
        <w:snapToGrid w:val="0"/>
        <w:spacing w:line="360" w:lineRule="auto"/>
        <w:jc w:val="center"/>
        <w:rPr>
          <w:rFonts w:cs="Arial"/>
          <w:sz w:val="24"/>
        </w:rPr>
      </w:pPr>
      <w:bookmarkStart w:id="1" w:name="CTS_50b73158620945faab35c13b1828f8a5"/>
      <w:bookmarkEnd w:id="1"/>
      <w:bookmarkStart w:id="2" w:name="CLAUSE_50b73158620945faab35c13b1828f8a5"/>
      <w:r>
        <w:rPr>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djustRightInd w:val="0"/>
        <w:snapToGrid w:val="0"/>
        <w:spacing w:line="360" w:lineRule="auto"/>
        <w:jc w:val="center"/>
        <w:rPr>
          <w:rFonts w:cs="Arial"/>
          <w:sz w:val="24"/>
        </w:rPr>
      </w:pPr>
    </w:p>
    <w:p>
      <w:pPr>
        <w:adjustRightInd w:val="0"/>
        <w:snapToGrid w:val="0"/>
        <w:spacing w:line="360" w:lineRule="auto"/>
        <w:jc w:val="center"/>
        <w:rPr>
          <w:rFonts w:cs="Arial"/>
          <w:sz w:val="24"/>
        </w:rPr>
      </w:pPr>
    </w:p>
    <w:p>
      <w:pPr>
        <w:adjustRightInd w:val="0"/>
        <w:snapToGrid w:val="0"/>
        <w:spacing w:line="360" w:lineRule="auto"/>
        <w:jc w:val="center"/>
        <w:rPr>
          <w:rFonts w:ascii="黑体" w:hAnsi="黑体"/>
          <w:b/>
          <w:sz w:val="44"/>
        </w:rPr>
      </w:pPr>
      <w:r>
        <w:rPr>
          <w:rFonts w:hint="eastAsia" w:ascii="黑体" w:hAnsi="黑体"/>
          <w:b/>
          <w:sz w:val="44"/>
        </w:rPr>
        <w:t>交银施罗德启诚混合型证券投资基金</w:t>
      </w:r>
    </w:p>
    <w:p>
      <w:pPr>
        <w:adjustRightInd w:val="0"/>
        <w:snapToGrid w:val="0"/>
        <w:spacing w:line="360" w:lineRule="auto"/>
        <w:jc w:val="center"/>
        <w:rPr>
          <w:rFonts w:ascii="黑体" w:hAnsi="黑体"/>
          <w:b/>
          <w:sz w:val="44"/>
        </w:rPr>
      </w:pPr>
      <w:r>
        <w:rPr>
          <w:rFonts w:hint="eastAsia" w:ascii="黑体" w:hAnsi="黑体"/>
          <w:b/>
          <w:sz w:val="44"/>
        </w:rPr>
        <w:t>托管协议</w:t>
      </w:r>
    </w:p>
    <w:p>
      <w:pPr>
        <w:adjustRightInd w:val="0"/>
        <w:snapToGrid w:val="0"/>
        <w:spacing w:line="360" w:lineRule="auto"/>
        <w:jc w:val="center"/>
        <w:rPr>
          <w:rFonts w:ascii="黑体" w:hAnsi="黑体"/>
          <w:b/>
          <w:sz w:val="48"/>
        </w:rPr>
      </w:pPr>
    </w:p>
    <w:p>
      <w:pPr>
        <w:adjustRightInd w:val="0"/>
        <w:snapToGrid w:val="0"/>
        <w:spacing w:line="360" w:lineRule="auto"/>
        <w:jc w:val="center"/>
        <w:rPr>
          <w:rFonts w:ascii="黑体" w:hAnsi="黑体"/>
          <w:b/>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ind w:firstLine="1275" w:firstLineChars="425"/>
        <w:rPr>
          <w:rFonts w:ascii="黑体" w:hAnsi="黑体"/>
          <w:sz w:val="30"/>
        </w:rPr>
      </w:pPr>
      <w:r>
        <w:rPr>
          <w:rFonts w:hint="eastAsia" w:ascii="黑体" w:hAnsi="黑体"/>
          <w:sz w:val="30"/>
        </w:rPr>
        <w:t>基金管理人：交银施罗德基金管理有限公司</w:t>
      </w:r>
    </w:p>
    <w:p>
      <w:pPr>
        <w:adjustRightInd w:val="0"/>
        <w:snapToGrid w:val="0"/>
        <w:spacing w:line="360" w:lineRule="auto"/>
        <w:ind w:firstLine="1275" w:firstLineChars="425"/>
        <w:rPr>
          <w:rFonts w:ascii="黑体" w:hAnsi="黑体"/>
          <w:sz w:val="30"/>
        </w:rPr>
      </w:pPr>
      <w:r>
        <w:rPr>
          <w:rFonts w:hint="eastAsia" w:ascii="黑体" w:hAnsi="黑体"/>
          <w:sz w:val="30"/>
        </w:rPr>
        <w:t>基金托管人：招商银行股份有限公司</w:t>
      </w:r>
    </w:p>
    <w:p>
      <w:pPr>
        <w:adjustRightInd w:val="0"/>
        <w:snapToGrid w:val="0"/>
        <w:spacing w:line="360" w:lineRule="auto"/>
        <w:ind w:firstLine="2257" w:firstLineChars="1075"/>
      </w:pPr>
    </w:p>
    <w:p>
      <w:pPr>
        <w:adjustRightInd w:val="0"/>
        <w:snapToGrid w:val="0"/>
        <w:spacing w:line="360" w:lineRule="auto"/>
        <w:jc w:val="center"/>
        <w:rPr>
          <w:rFonts w:ascii="黑体" w:hAnsi="黑体"/>
          <w:sz w:val="30"/>
        </w:rPr>
      </w:pPr>
      <w:r>
        <w:rPr>
          <w:rFonts w:hint="eastAsia" w:ascii="黑体" w:hAnsi="黑体"/>
          <w:sz w:val="30"/>
        </w:rPr>
        <w:t>二零二</w:t>
      </w:r>
      <w:r>
        <w:rPr>
          <w:rFonts w:hint="eastAsia" w:ascii="黑体" w:hAnsi="黑体"/>
          <w:sz w:val="30"/>
          <w:lang w:val="en-US" w:eastAsia="zh-CN"/>
        </w:rPr>
        <w:t>五</w:t>
      </w:r>
      <w:r>
        <w:rPr>
          <w:rFonts w:hint="eastAsia" w:ascii="黑体" w:hAnsi="黑体"/>
          <w:sz w:val="30"/>
        </w:rPr>
        <w:t>年</w:t>
      </w:r>
      <w:r>
        <w:rPr>
          <w:rFonts w:hint="eastAsia" w:ascii="黑体" w:hAnsi="黑体"/>
          <w:sz w:val="30"/>
          <w:lang w:val="en-US" w:eastAsia="zh-CN"/>
        </w:rPr>
        <w:t>八</w:t>
      </w:r>
      <w:r>
        <w:rPr>
          <w:rFonts w:hint="eastAsia" w:ascii="黑体" w:hAnsi="黑体"/>
          <w:sz w:val="30"/>
        </w:rPr>
        <w:t>月</w:t>
      </w:r>
    </w:p>
    <w:p>
      <w:pPr>
        <w:adjustRightInd w:val="0"/>
        <w:snapToGrid w:val="0"/>
        <w:spacing w:line="360" w:lineRule="auto"/>
        <w:rPr>
          <w:sz w:val="24"/>
        </w:rPr>
      </w:pPr>
    </w:p>
    <w:p>
      <w:pPr>
        <w:spacing w:line="360" w:lineRule="auto"/>
        <w:jc w:val="center"/>
        <w:rPr>
          <w:rFonts w:ascii="宋体" w:hAnsi="宋体"/>
          <w:b/>
          <w:sz w:val="24"/>
        </w:rPr>
        <w:sectPr>
          <w:type w:val="continuous"/>
          <w:pgSz w:w="11906" w:h="16838"/>
          <w:pgMar w:top="1418" w:right="1701" w:bottom="1418" w:left="1701" w:header="851" w:footer="992" w:gutter="0"/>
          <w:cols w:space="425" w:num="1"/>
          <w:docGrid w:type="lines" w:linePitch="312" w:charSpace="0"/>
        </w:sectPr>
      </w:pPr>
    </w:p>
    <w:p>
      <w:pPr>
        <w:spacing w:line="360" w:lineRule="auto"/>
        <w:jc w:val="center"/>
        <w:rPr>
          <w:rFonts w:ascii="宋体" w:hAnsi="宋体"/>
          <w:b/>
          <w:sz w:val="24"/>
        </w:rPr>
      </w:pPr>
      <w:r>
        <w:rPr>
          <w:rFonts w:hint="eastAsia" w:ascii="宋体" w:hAnsi="宋体"/>
          <w:b/>
          <w:sz w:val="24"/>
        </w:rPr>
        <w:t>目</w:t>
      </w:r>
      <w:r>
        <w:rPr>
          <w:rFonts w:ascii="宋体" w:hAnsi="宋体"/>
          <w:b/>
          <w:sz w:val="24"/>
        </w:rPr>
        <w:t xml:space="preserve">    </w:t>
      </w:r>
      <w:r>
        <w:rPr>
          <w:rFonts w:hint="eastAsia" w:ascii="宋体" w:hAnsi="宋体"/>
          <w:b/>
          <w:sz w:val="24"/>
        </w:rPr>
        <w:t>录</w:t>
      </w:r>
    </w:p>
    <w:p>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r>
        <w:fldChar w:fldCharType="begin"/>
      </w:r>
      <w:r>
        <w:instrText xml:space="preserve"> HYPERLINK \l "_Toc488938610" </w:instrText>
      </w:r>
      <w:r>
        <w:fldChar w:fldCharType="separate"/>
      </w:r>
      <w:r>
        <w:rPr>
          <w:rStyle w:val="31"/>
          <w:rFonts w:hint="eastAsia" w:ascii="宋体" w:hAnsi="宋体"/>
        </w:rPr>
        <w:t>一、基金托管协议当事人</w:t>
      </w:r>
      <w:r>
        <w:tab/>
      </w:r>
      <w:r>
        <w:fldChar w:fldCharType="begin"/>
      </w:r>
      <w:r>
        <w:instrText xml:space="preserve"> PAGEREF _Toc488938610 \h </w:instrText>
      </w:r>
      <w:r>
        <w:fldChar w:fldCharType="separate"/>
      </w:r>
      <w:r>
        <w:t>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"_Toc488938611" </w:instrText>
      </w:r>
      <w:r>
        <w:fldChar w:fldCharType="separate"/>
      </w:r>
      <w:r>
        <w:rPr>
          <w:rStyle w:val="31"/>
          <w:rFonts w:hint="eastAsia" w:ascii="宋体" w:hAnsi="宋体"/>
        </w:rPr>
        <w:t>二、基金托管协议的依据、目的和原则</w:t>
      </w:r>
      <w:r>
        <w:tab/>
      </w:r>
      <w:r>
        <w:fldChar w:fldCharType="begin"/>
      </w:r>
      <w:r>
        <w:instrText xml:space="preserve"> PAGEREF _Toc488938611 \h </w:instrText>
      </w:r>
      <w:r>
        <w:fldChar w:fldCharType="separate"/>
      </w:r>
      <w:r>
        <w:t>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"_Toc488938612" </w:instrText>
      </w:r>
      <w:r>
        <w:fldChar w:fldCharType="separate"/>
      </w:r>
      <w:r>
        <w:rPr>
          <w:rStyle w:val="31"/>
          <w:rFonts w:hint="eastAsia" w:ascii="宋体" w:hAnsi="宋体"/>
        </w:rPr>
        <w:t>三、基金托管人对基金管理人的业务监督和核查</w:t>
      </w:r>
      <w:r>
        <w:tab/>
      </w:r>
      <w:r>
        <w:fldChar w:fldCharType="begin"/>
      </w:r>
      <w:r>
        <w:instrText xml:space="preserve"> PAGEREF _Toc488938612 \h </w:instrText>
      </w:r>
      <w:r>
        <w:fldChar w:fldCharType="separate"/>
      </w:r>
      <w:r>
        <w:t>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"_Toc488938613" </w:instrText>
      </w:r>
      <w:r>
        <w:fldChar w:fldCharType="separate"/>
      </w:r>
      <w:r>
        <w:rPr>
          <w:rStyle w:val="31"/>
          <w:rFonts w:hint="eastAsia" w:ascii="宋体" w:hAnsi="宋体"/>
        </w:rPr>
        <w:t>四、基金管理人对基金托管人的业务核查</w:t>
      </w:r>
      <w:r>
        <w:tab/>
      </w:r>
      <w:r>
        <w:fldChar w:fldCharType="begin"/>
      </w:r>
      <w:r>
        <w:instrText xml:space="preserve"> PAGEREF _Toc488938613 \h </w:instrText>
      </w:r>
      <w:r>
        <w:fldChar w:fldCharType="separate"/>
      </w:r>
      <w:r>
        <w:t>16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"_Toc488938614" </w:instrText>
      </w:r>
      <w:r>
        <w:fldChar w:fldCharType="separate"/>
      </w:r>
      <w:r>
        <w:rPr>
          <w:rStyle w:val="31"/>
          <w:rFonts w:hint="eastAsia" w:ascii="宋体" w:hAnsi="宋体"/>
        </w:rPr>
        <w:t>五、基金财产的保</w:t>
      </w:r>
      <w:bookmarkStart w:id="3" w:name="_Hlt433117871"/>
      <w:bookmarkStart w:id="4" w:name="_Hlt433117872"/>
      <w:r>
        <w:rPr>
          <w:rStyle w:val="31"/>
          <w:rFonts w:hint="eastAsia" w:ascii="宋体" w:hAnsi="宋体"/>
        </w:rPr>
        <w:t>管</w:t>
      </w:r>
      <w:bookmarkEnd w:id="3"/>
      <w:bookmarkEnd w:id="4"/>
      <w:r>
        <w:tab/>
      </w:r>
      <w:r>
        <w:fldChar w:fldCharType="begin"/>
      </w:r>
      <w:r>
        <w:instrText xml:space="preserve"> PAGEREF _Toc488938614 \h </w:instrText>
      </w:r>
      <w:r>
        <w:fldChar w:fldCharType="separate"/>
      </w:r>
      <w:r>
        <w:t>17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"_Toc488938615" </w:instrText>
      </w:r>
      <w:r>
        <w:fldChar w:fldCharType="separate"/>
      </w:r>
      <w:r>
        <w:rPr>
          <w:rStyle w:val="31"/>
          <w:rFonts w:hint="eastAsia" w:ascii="宋体" w:hAnsi="宋体"/>
        </w:rPr>
        <w:t>六、指令的发送、确认及执行</w:t>
      </w:r>
      <w:r>
        <w:tab/>
      </w:r>
      <w:r>
        <w:fldChar w:fldCharType="begin"/>
      </w:r>
      <w:r>
        <w:instrText xml:space="preserve"> PAGEREF _Toc488938615 \h </w:instrText>
      </w:r>
      <w:r>
        <w:fldChar w:fldCharType="separate"/>
      </w:r>
      <w:r>
        <w:t>21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"_Toc488938616" </w:instrText>
      </w:r>
      <w:r>
        <w:fldChar w:fldCharType="separate"/>
      </w:r>
      <w:r>
        <w:rPr>
          <w:rStyle w:val="31"/>
          <w:rFonts w:hint="eastAsia" w:ascii="宋体" w:hAnsi="宋体"/>
        </w:rPr>
        <w:t>七、交易及清算交收安排</w:t>
      </w:r>
      <w:r>
        <w:tab/>
      </w:r>
      <w:r>
        <w:fldChar w:fldCharType="begin"/>
      </w:r>
      <w:r>
        <w:instrText xml:space="preserve"> PAGEREF _Toc488938616 \h </w:instrText>
      </w:r>
      <w:r>
        <w:fldChar w:fldCharType="separate"/>
      </w:r>
      <w:r>
        <w:t>25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"_Toc488938617" </w:instrText>
      </w:r>
      <w:r>
        <w:fldChar w:fldCharType="separate"/>
      </w:r>
      <w:r>
        <w:rPr>
          <w:rStyle w:val="31"/>
          <w:rFonts w:hint="eastAsia" w:ascii="宋体" w:hAnsi="宋体"/>
        </w:rPr>
        <w:t>八、基金资产净值计算、估值和会计核算</w:t>
      </w:r>
      <w:r>
        <w:tab/>
      </w:r>
      <w:r>
        <w:fldChar w:fldCharType="begin"/>
      </w:r>
      <w:r>
        <w:instrText xml:space="preserve"> PAGEREF _Toc488938617 \h </w:instrText>
      </w:r>
      <w:r>
        <w:fldChar w:fldCharType="separate"/>
      </w:r>
      <w:r>
        <w:t>28</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"_Toc488938618" </w:instrText>
      </w:r>
      <w:r>
        <w:fldChar w:fldCharType="separate"/>
      </w:r>
      <w:r>
        <w:rPr>
          <w:rStyle w:val="31"/>
          <w:rFonts w:hint="eastAsia" w:ascii="宋体" w:hAnsi="宋体"/>
        </w:rPr>
        <w:t>九、基金收益分配</w:t>
      </w:r>
      <w:r>
        <w:tab/>
      </w:r>
      <w:r>
        <w:fldChar w:fldCharType="begin"/>
      </w:r>
      <w:r>
        <w:instrText xml:space="preserve"> PAGEREF _Toc488938618 \h </w:instrText>
      </w:r>
      <w:r>
        <w:fldChar w:fldCharType="separate"/>
      </w:r>
      <w:r>
        <w:t>30</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"_Toc488938619" </w:instrText>
      </w:r>
      <w:r>
        <w:fldChar w:fldCharType="separate"/>
      </w:r>
      <w:r>
        <w:rPr>
          <w:rStyle w:val="31"/>
          <w:rFonts w:hint="eastAsia" w:ascii="宋体" w:hAnsi="宋体"/>
        </w:rPr>
        <w:t>十、基金信息披露</w:t>
      </w:r>
      <w:r>
        <w:tab/>
      </w:r>
      <w:r>
        <w:fldChar w:fldCharType="begin"/>
      </w:r>
      <w:r>
        <w:instrText xml:space="preserve"> PAGEREF _Toc488938619 \h </w:instrText>
      </w:r>
      <w:r>
        <w:fldChar w:fldCharType="separate"/>
      </w:r>
      <w:r>
        <w:t>31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"_Toc488938620" </w:instrText>
      </w:r>
      <w:r>
        <w:fldChar w:fldCharType="separate"/>
      </w:r>
      <w:r>
        <w:rPr>
          <w:rStyle w:val="31"/>
          <w:rFonts w:hint="eastAsia" w:ascii="宋体" w:hAnsi="宋体"/>
        </w:rPr>
        <w:t>十一、基金费用</w:t>
      </w:r>
      <w:r>
        <w:tab/>
      </w:r>
      <w:r>
        <w:fldChar w:fldCharType="begin"/>
      </w:r>
      <w:r>
        <w:instrText xml:space="preserve"> PAGEREF _Toc488938620 \h </w:instrText>
      </w:r>
      <w:r>
        <w:fldChar w:fldCharType="separate"/>
      </w:r>
      <w:r>
        <w:t>33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"_Toc488938621" </w:instrText>
      </w:r>
      <w:r>
        <w:fldChar w:fldCharType="separate"/>
      </w:r>
      <w:r>
        <w:rPr>
          <w:rStyle w:val="31"/>
          <w:rFonts w:hint="eastAsia" w:ascii="宋体" w:hAnsi="宋体"/>
        </w:rPr>
        <w:t>十二、基金份额持有人名册的保管</w:t>
      </w:r>
      <w:r>
        <w:tab/>
      </w:r>
      <w:r>
        <w:fldChar w:fldCharType="begin"/>
      </w:r>
      <w:r>
        <w:instrText xml:space="preserve"> PAGEREF _Toc488938621 \h </w:instrText>
      </w:r>
      <w:r>
        <w:fldChar w:fldCharType="separate"/>
      </w:r>
      <w:r>
        <w:t>34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"_Toc488938622" </w:instrText>
      </w:r>
      <w:r>
        <w:fldChar w:fldCharType="separate"/>
      </w:r>
      <w:r>
        <w:rPr>
          <w:rStyle w:val="31"/>
          <w:rFonts w:hint="eastAsia" w:ascii="宋体" w:hAnsi="宋体"/>
        </w:rPr>
        <w:t>十三、基金有关文件档案的保存</w:t>
      </w:r>
      <w:r>
        <w:tab/>
      </w:r>
      <w:r>
        <w:fldChar w:fldCharType="begin"/>
      </w:r>
      <w:r>
        <w:instrText xml:space="preserve"> PAGEREF _Toc488938622 \h </w:instrText>
      </w:r>
      <w:r>
        <w:fldChar w:fldCharType="separate"/>
      </w:r>
      <w:r>
        <w:t>35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"_Toc488938623" </w:instrText>
      </w:r>
      <w:r>
        <w:fldChar w:fldCharType="separate"/>
      </w:r>
      <w:r>
        <w:rPr>
          <w:rStyle w:val="31"/>
          <w:rFonts w:hint="eastAsia" w:ascii="宋体" w:hAnsi="宋体"/>
        </w:rPr>
        <w:t>十四、基金管理人和基金托管人的更换</w:t>
      </w:r>
      <w:r>
        <w:tab/>
      </w:r>
      <w:r>
        <w:fldChar w:fldCharType="begin"/>
      </w:r>
      <w:r>
        <w:instrText xml:space="preserve"> PAGEREF _Toc488938623 \h </w:instrText>
      </w:r>
      <w:r>
        <w:fldChar w:fldCharType="separate"/>
      </w:r>
      <w:r>
        <w:t>36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"_Toc488938624" </w:instrText>
      </w:r>
      <w:r>
        <w:fldChar w:fldCharType="separate"/>
      </w:r>
      <w:r>
        <w:rPr>
          <w:rStyle w:val="31"/>
          <w:rFonts w:hint="eastAsia" w:ascii="宋体" w:hAnsi="宋体"/>
        </w:rPr>
        <w:t>十五、禁止行为</w:t>
      </w:r>
      <w:r>
        <w:tab/>
      </w:r>
      <w:r>
        <w:fldChar w:fldCharType="begin"/>
      </w:r>
      <w:r>
        <w:instrText xml:space="preserve"> PAGEREF _Toc488938624 \h </w:instrText>
      </w:r>
      <w:r>
        <w:fldChar w:fldCharType="separate"/>
      </w:r>
      <w:r>
        <w:t>37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"_Toc488938625" </w:instrText>
      </w:r>
      <w:r>
        <w:fldChar w:fldCharType="separate"/>
      </w:r>
      <w:r>
        <w:rPr>
          <w:rStyle w:val="31"/>
          <w:rFonts w:hint="eastAsia" w:ascii="宋体" w:hAnsi="宋体"/>
        </w:rPr>
        <w:t>十六、托管协议的变更、终止与基金财产的清算</w:t>
      </w:r>
      <w:r>
        <w:tab/>
      </w:r>
      <w:r>
        <w:fldChar w:fldCharType="begin"/>
      </w:r>
      <w:r>
        <w:instrText xml:space="preserve"> PAGEREF _Toc488938625 \h </w:instrText>
      </w:r>
      <w:r>
        <w:fldChar w:fldCharType="separate"/>
      </w:r>
      <w:r>
        <w:t>38</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"_Toc488938626" </w:instrText>
      </w:r>
      <w:r>
        <w:fldChar w:fldCharType="separate"/>
      </w:r>
      <w:r>
        <w:rPr>
          <w:rStyle w:val="31"/>
          <w:rFonts w:hint="eastAsia" w:ascii="宋体" w:hAnsi="宋体"/>
        </w:rPr>
        <w:t>十七、违约责任</w:t>
      </w:r>
      <w:r>
        <w:tab/>
      </w:r>
      <w:r>
        <w:fldChar w:fldCharType="begin"/>
      </w:r>
      <w:r>
        <w:instrText xml:space="preserve"> PAGEREF _Toc488938626 \h </w:instrText>
      </w:r>
      <w:r>
        <w:fldChar w:fldCharType="separate"/>
      </w:r>
      <w:r>
        <w:t>39</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"_Toc488938627" </w:instrText>
      </w:r>
      <w:r>
        <w:fldChar w:fldCharType="separate"/>
      </w:r>
      <w:r>
        <w:rPr>
          <w:rStyle w:val="31"/>
          <w:rFonts w:hint="eastAsia" w:ascii="宋体" w:hAnsi="宋体"/>
        </w:rPr>
        <w:t>十八、争议解决方式</w:t>
      </w:r>
      <w:r>
        <w:tab/>
      </w:r>
      <w:r>
        <w:fldChar w:fldCharType="begin"/>
      </w:r>
      <w:r>
        <w:instrText xml:space="preserve"> PAGEREF _Toc488938627 \h </w:instrText>
      </w:r>
      <w:r>
        <w:fldChar w:fldCharType="separate"/>
      </w:r>
      <w:r>
        <w:t>40</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"_Toc488938628" </w:instrText>
      </w:r>
      <w:r>
        <w:fldChar w:fldCharType="separate"/>
      </w:r>
      <w:r>
        <w:rPr>
          <w:rStyle w:val="31"/>
          <w:rFonts w:hint="eastAsia" w:ascii="宋体" w:hAnsi="宋体"/>
        </w:rPr>
        <w:t>十九、托管协议的效力</w:t>
      </w:r>
      <w:r>
        <w:tab/>
      </w:r>
      <w:r>
        <w:fldChar w:fldCharType="begin"/>
      </w:r>
      <w:r>
        <w:instrText xml:space="preserve"> PAGEREF _Toc488938628 \h </w:instrText>
      </w:r>
      <w:r>
        <w:fldChar w:fldCharType="separate"/>
      </w:r>
      <w:r>
        <w:t>41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"_Toc488938629" </w:instrText>
      </w:r>
      <w:r>
        <w:fldChar w:fldCharType="separate"/>
      </w:r>
      <w:r>
        <w:rPr>
          <w:rStyle w:val="31"/>
          <w:rFonts w:hint="eastAsia" w:ascii="宋体" w:hAnsi="宋体"/>
        </w:rPr>
        <w:t>二十、其他事项</w:t>
      </w:r>
      <w:r>
        <w:tab/>
      </w:r>
      <w:r>
        <w:fldChar w:fldCharType="begin"/>
      </w:r>
      <w:r>
        <w:instrText xml:space="preserve"> PAGEREF _Toc488938629 \h </w:instrText>
      </w:r>
      <w:r>
        <w:fldChar w:fldCharType="separate"/>
      </w:r>
      <w:r>
        <w:t>42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"_Toc488938630" </w:instrText>
      </w:r>
      <w:r>
        <w:fldChar w:fldCharType="separate"/>
      </w:r>
      <w:r>
        <w:rPr>
          <w:rStyle w:val="31"/>
          <w:rFonts w:hint="eastAsia" w:ascii="宋体" w:hAnsi="宋体"/>
        </w:rPr>
        <w:t>二十一、托管协议的签订</w:t>
      </w:r>
      <w:r>
        <w:tab/>
      </w:r>
      <w:r>
        <w:fldChar w:fldCharType="begin"/>
      </w:r>
      <w:r>
        <w:instrText xml:space="preserve"> PAGEREF _Toc488938630 \h </w:instrText>
      </w:r>
      <w:r>
        <w:fldChar w:fldCharType="separate"/>
      </w:r>
      <w:r>
        <w:t>43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"_Toc488938631" </w:instrText>
      </w:r>
      <w:r>
        <w:fldChar w:fldCharType="separate"/>
      </w:r>
      <w:r>
        <w:rPr>
          <w:rStyle w:val="31"/>
          <w:rFonts w:hint="eastAsia" w:ascii="宋体" w:hAnsi="宋体"/>
        </w:rPr>
        <w:t>附件：托管银行证券资金结算规定</w:t>
      </w:r>
      <w:r>
        <w:tab/>
      </w:r>
      <w:r>
        <w:fldChar w:fldCharType="begin"/>
      </w:r>
      <w:r>
        <w:instrText xml:space="preserve"> PAGEREF _Toc488938631 \h </w:instrText>
      </w:r>
      <w:r>
        <w:fldChar w:fldCharType="separate"/>
      </w:r>
      <w:r>
        <w:t>44</w:t>
      </w:r>
      <w:r>
        <w:fldChar w:fldCharType="end"/>
      </w:r>
      <w:r>
        <w:fldChar w:fldCharType="end"/>
      </w:r>
    </w:p>
    <w:p>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系一家依照中国法律合法成立并有效存续的有限责任公司，按照相关法律法规的规定具备担任基金管理人的资格和能力，拟募集发行</w:t>
      </w:r>
      <w:r>
        <w:rPr>
          <w:rFonts w:hint="eastAsia" w:ascii="宋体" w:hAnsi="宋体" w:cs="Arial"/>
          <w:kern w:val="0"/>
          <w:sz w:val="24"/>
        </w:rPr>
        <w:t>交银施罗德启诚混合型证券投资基金</w:t>
      </w:r>
      <w:r>
        <w:rPr>
          <w:rFonts w:hint="eastAsia" w:ascii="宋体" w:hAnsi="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鉴于招商银行股份有限公司系一家依照中国法律合法成立并有效存续的银行，按照相关法律法规的规定具备担任基金托管人的资格和能力；</w:t>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拟担任</w:t>
      </w:r>
      <w:r>
        <w:rPr>
          <w:rFonts w:hint="eastAsia" w:ascii="宋体" w:hAnsi="宋体" w:cs="Arial"/>
          <w:kern w:val="0"/>
          <w:sz w:val="24"/>
        </w:rPr>
        <w:t>交银施罗德启诚混合型证券投资基金</w:t>
      </w:r>
      <w:r>
        <w:rPr>
          <w:rFonts w:hint="eastAsia" w:ascii="宋体" w:hAnsi="宋体"/>
          <w:kern w:val="0"/>
          <w:sz w:val="24"/>
        </w:rPr>
        <w:t>的基金管理人，招商银行股份有限公司拟担任</w:t>
      </w:r>
      <w:r>
        <w:rPr>
          <w:rFonts w:hint="eastAsia" w:ascii="宋体" w:hAnsi="宋体" w:cs="Arial"/>
          <w:kern w:val="0"/>
          <w:sz w:val="24"/>
        </w:rPr>
        <w:t>交银施罗德启诚混合型证券投资基金</w:t>
      </w:r>
      <w:r>
        <w:rPr>
          <w:rFonts w:hint="eastAsia" w:ascii="宋体" w:hAnsi="宋体"/>
          <w:kern w:val="0"/>
          <w:sz w:val="24"/>
        </w:rPr>
        <w:t>的基金托管人；</w:t>
      </w:r>
    </w:p>
    <w:p>
      <w:pPr>
        <w:widowControl/>
        <w:spacing w:line="360" w:lineRule="auto"/>
        <w:ind w:firstLine="480" w:firstLineChars="200"/>
        <w:rPr>
          <w:rFonts w:ascii="宋体" w:hAnsi="宋体"/>
          <w:kern w:val="0"/>
          <w:sz w:val="24"/>
        </w:rPr>
      </w:pPr>
      <w:r>
        <w:rPr>
          <w:rFonts w:hint="eastAsia" w:ascii="宋体" w:hAnsi="宋体"/>
          <w:kern w:val="0"/>
          <w:sz w:val="24"/>
        </w:rPr>
        <w:t>为明确</w:t>
      </w:r>
      <w:r>
        <w:rPr>
          <w:rFonts w:hint="eastAsia" w:ascii="宋体" w:hAnsi="宋体" w:cs="Arial"/>
          <w:kern w:val="0"/>
          <w:sz w:val="24"/>
        </w:rPr>
        <w:t>交银施罗德启诚混合型证券投资基金（以下简称“本基金”或“基金”）</w:t>
      </w:r>
      <w:r>
        <w:rPr>
          <w:rFonts w:hint="eastAsia" w:ascii="宋体" w:hAnsi="宋体"/>
          <w:kern w:val="0"/>
          <w:sz w:val="24"/>
        </w:rPr>
        <w:t>的基金管理人和基金托管人之间的权利义务关系，特制订本托管协议；</w:t>
      </w:r>
    </w:p>
    <w:p>
      <w:pPr>
        <w:widowControl/>
        <w:spacing w:line="360" w:lineRule="auto"/>
        <w:ind w:firstLine="480" w:firstLineChars="200"/>
        <w:rPr>
          <w:rFonts w:ascii="宋体" w:hAnsi="宋体"/>
          <w:kern w:val="0"/>
          <w:sz w:val="24"/>
          <w:lang w:val="en-GB"/>
        </w:rPr>
      </w:pPr>
      <w:r>
        <w:rPr>
          <w:rFonts w:hint="eastAsia" w:ascii="宋体" w:hAnsi="宋体"/>
          <w:kern w:val="0"/>
          <w:sz w:val="24"/>
          <w:lang w:val="en-GB"/>
        </w:rPr>
        <w:t>除非另有约定，《</w:t>
      </w:r>
      <w:r>
        <w:rPr>
          <w:rFonts w:hint="eastAsia" w:ascii="宋体" w:hAnsi="宋体" w:cs="Arial"/>
          <w:kern w:val="0"/>
          <w:sz w:val="24"/>
        </w:rPr>
        <w:t>交银施罗德启诚混合型证券投资基金</w:t>
      </w:r>
      <w:r>
        <w:rPr>
          <w:rFonts w:hint="eastAsia" w:ascii="宋体" w:hAnsi="宋体"/>
          <w:kern w:val="0"/>
          <w:sz w:val="24"/>
          <w:lang w:val="en-GB"/>
        </w:rPr>
        <w:t>基金合同》</w:t>
      </w:r>
      <w:r>
        <w:rPr>
          <w:rFonts w:ascii="宋体" w:hAnsi="宋体"/>
          <w:kern w:val="0"/>
          <w:sz w:val="24"/>
          <w:lang w:val="en-GB"/>
        </w:rPr>
        <w:t>(以下简称“基金合同”)中定义的术语在用于本托管协议时应具有相同的含义</w:t>
      </w:r>
      <w:r>
        <w:rPr>
          <w:rFonts w:hint="eastAsia" w:ascii="宋体" w:hAnsi="宋体"/>
          <w:kern w:val="0"/>
          <w:sz w:val="24"/>
          <w:lang w:val="en-GB"/>
        </w:rPr>
        <w:t>，若有抵触应以基金合同为准。</w:t>
      </w:r>
    </w:p>
    <w:p>
      <w:pPr>
        <w:widowControl/>
        <w:spacing w:line="360" w:lineRule="auto"/>
        <w:ind w:firstLine="480" w:firstLineChars="200"/>
        <w:rPr>
          <w:rFonts w:ascii="宋体" w:hAnsi="宋体"/>
          <w:sz w:val="24"/>
          <w:lang w:val="en-GB"/>
        </w:rPr>
      </w:pPr>
      <w:r>
        <w:rPr>
          <w:rFonts w:hint="eastAsia" w:ascii="宋体" w:hAnsi="宋体"/>
          <w:sz w:val="24"/>
          <w:lang w:val="en-GB"/>
        </w:rPr>
        <w:t>若本基金实施侧袋机制的，侧袋机制实施期间的相关安排见基金合同和招募说明书的规定。</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5" w:name="_Toc348082029"/>
      <w:bookmarkStart w:id="6" w:name="_Toc384992691"/>
      <w:bookmarkStart w:id="7" w:name="_Toc488938610"/>
      <w:r>
        <w:rPr>
          <w:rFonts w:hint="eastAsia" w:ascii="宋体" w:hAnsi="宋体"/>
          <w:sz w:val="24"/>
        </w:rPr>
        <w:t>一、基金托管协议当事人</w:t>
      </w:r>
      <w:bookmarkEnd w:id="5"/>
      <w:bookmarkEnd w:id="6"/>
      <w:bookmarkEnd w:id="7"/>
    </w:p>
    <w:p>
      <w:pPr>
        <w:spacing w:line="360" w:lineRule="auto"/>
        <w:ind w:firstLine="480" w:firstLineChars="200"/>
        <w:rPr>
          <w:rFonts w:ascii="宋体" w:hAnsi="宋体"/>
          <w:sz w:val="24"/>
        </w:rPr>
      </w:pPr>
      <w:r>
        <w:rPr>
          <w:rFonts w:hint="eastAsia" w:ascii="宋体" w:hAnsi="宋体"/>
          <w:sz w:val="24"/>
        </w:rPr>
        <w:t>（一）基金管理人</w:t>
      </w:r>
    </w:p>
    <w:p>
      <w:pPr>
        <w:spacing w:line="360" w:lineRule="auto"/>
        <w:ind w:firstLine="480" w:firstLineChars="200"/>
        <w:rPr>
          <w:rFonts w:ascii="宋体" w:hAnsi="宋体"/>
          <w:sz w:val="24"/>
        </w:rPr>
      </w:pPr>
      <w:r>
        <w:rPr>
          <w:rFonts w:hint="eastAsia" w:ascii="宋体" w:hAnsi="宋体"/>
          <w:sz w:val="24"/>
        </w:rPr>
        <w:t>名称：交银施罗德基金管理有限公司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w:t>
      </w:r>
      <w:r>
        <w:rPr>
          <w:sz w:val="24"/>
        </w:rPr>
        <w:t>188</w:t>
      </w:r>
      <w:r>
        <w:rPr>
          <w:rFonts w:hint="eastAsia" w:ascii="宋体" w:hAnsi="宋体"/>
          <w:sz w:val="24"/>
        </w:rPr>
        <w:t>号交通银行大楼二层（裙）</w:t>
      </w:r>
    </w:p>
    <w:p>
      <w:pPr>
        <w:spacing w:line="360" w:lineRule="auto"/>
        <w:ind w:firstLine="480" w:firstLineChars="200"/>
        <w:rPr>
          <w:rFonts w:ascii="宋体" w:hAnsi="宋体"/>
          <w:sz w:val="24"/>
        </w:rPr>
      </w:pPr>
      <w:r>
        <w:rPr>
          <w:rFonts w:hint="eastAsia" w:ascii="宋体" w:hAnsi="宋体"/>
          <w:sz w:val="24"/>
        </w:rPr>
        <w:t>办公地址：上海市浦东新区世纪大道</w:t>
      </w:r>
      <w:r>
        <w:rPr>
          <w:rFonts w:ascii="宋体" w:hAnsi="宋体"/>
          <w:sz w:val="24"/>
        </w:rPr>
        <w:t>8</w:t>
      </w:r>
      <w:r>
        <w:rPr>
          <w:rFonts w:hint="eastAsia" w:ascii="宋体" w:hAnsi="宋体"/>
          <w:sz w:val="24"/>
        </w:rPr>
        <w:t>号国金中心二期</w:t>
      </w:r>
      <w:r>
        <w:rPr>
          <w:rFonts w:ascii="宋体" w:hAnsi="宋体"/>
          <w:sz w:val="24"/>
        </w:rPr>
        <w:t>21-22</w:t>
      </w:r>
      <w:r>
        <w:rPr>
          <w:rFonts w:hint="eastAsia" w:ascii="宋体" w:hAnsi="宋体"/>
          <w:sz w:val="24"/>
        </w:rPr>
        <w:t>楼</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200120</w:t>
      </w:r>
    </w:p>
    <w:p>
      <w:pPr>
        <w:spacing w:line="360" w:lineRule="auto"/>
        <w:ind w:firstLine="480" w:firstLineChars="200"/>
        <w:rPr>
          <w:rFonts w:hint="eastAsia" w:ascii="宋体" w:hAnsi="宋体" w:eastAsia="宋体"/>
          <w:sz w:val="24"/>
          <w:lang w:eastAsia="zh-CN"/>
        </w:rPr>
      </w:pPr>
      <w:r>
        <w:rPr>
          <w:rFonts w:hint="eastAsia" w:ascii="宋体" w:hAnsi="宋体"/>
          <w:sz w:val="24"/>
        </w:rPr>
        <w:t>法定代表人：</w:t>
      </w:r>
      <w:r>
        <w:rPr>
          <w:rFonts w:hint="eastAsia" w:ascii="宋体" w:hAnsi="宋体"/>
          <w:sz w:val="24"/>
          <w:szCs w:val="21"/>
          <w:lang w:val="en-US" w:eastAsia="zh-CN"/>
        </w:rPr>
        <w:t>张宏良</w:t>
      </w:r>
    </w:p>
    <w:p>
      <w:pPr>
        <w:spacing w:line="360" w:lineRule="auto"/>
        <w:ind w:firstLine="480" w:firstLineChars="200"/>
        <w:rPr>
          <w:rFonts w:ascii="宋体" w:hAnsi="宋体"/>
          <w:sz w:val="24"/>
        </w:rPr>
      </w:pPr>
      <w:r>
        <w:rPr>
          <w:rFonts w:hint="eastAsia" w:ascii="宋体"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rFonts w:ascii="宋体" w:hAnsi="宋体"/>
          <w:sz w:val="24"/>
        </w:rPr>
      </w:pPr>
      <w:r>
        <w:rPr>
          <w:rFonts w:hint="eastAsia" w:ascii="宋体" w:hAnsi="宋体"/>
          <w:sz w:val="24"/>
        </w:rPr>
        <w:t>批准设立机关：中国证券监督管理委员会</w:t>
      </w:r>
    </w:p>
    <w:p>
      <w:pPr>
        <w:spacing w:line="360" w:lineRule="auto"/>
        <w:ind w:firstLine="484" w:firstLineChars="202"/>
        <w:rPr>
          <w:rFonts w:ascii="宋体" w:hAnsi="宋体"/>
          <w:sz w:val="24"/>
        </w:rPr>
      </w:pPr>
      <w:r>
        <w:rPr>
          <w:rFonts w:hint="eastAsia" w:ascii="宋体" w:hAnsi="宋体"/>
          <w:sz w:val="24"/>
        </w:rPr>
        <w:t>批准设立文号：中国证监会证监基金字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rPr>
        <w:t>组织形式：有限责任公司</w:t>
      </w:r>
    </w:p>
    <w:p>
      <w:pPr>
        <w:spacing w:line="360" w:lineRule="auto"/>
        <w:ind w:firstLine="480" w:firstLineChars="200"/>
        <w:rPr>
          <w:rFonts w:ascii="宋体" w:hAnsi="宋体"/>
          <w:sz w:val="24"/>
        </w:rPr>
      </w:pPr>
      <w:r>
        <w:rPr>
          <w:rFonts w:hint="eastAsia" w:ascii="宋体" w:hAnsi="宋体"/>
          <w:sz w:val="24"/>
        </w:rPr>
        <w:t>注册资本：</w:t>
      </w:r>
      <w:r>
        <w:rPr>
          <w:sz w:val="24"/>
        </w:rPr>
        <w:t>2</w:t>
      </w:r>
      <w:r>
        <w:rPr>
          <w:rFonts w:hint="eastAsia" w:ascii="宋体" w:hAnsi="宋体"/>
          <w:sz w:val="24"/>
        </w:rPr>
        <w:t>亿元人民币</w:t>
      </w:r>
    </w:p>
    <w:p>
      <w:pPr>
        <w:spacing w:line="360" w:lineRule="auto"/>
        <w:ind w:firstLine="480" w:firstLineChars="200"/>
        <w:rPr>
          <w:rFonts w:ascii="宋体" w:hAnsi="宋体"/>
          <w:sz w:val="24"/>
        </w:rPr>
      </w:pPr>
      <w:r>
        <w:rPr>
          <w:rFonts w:hint="eastAsia" w:ascii="宋体" w:hAnsi="宋体"/>
          <w:sz w:val="24"/>
        </w:rPr>
        <w:t>存续期间：持续经营</w:t>
      </w:r>
    </w:p>
    <w:p>
      <w:pPr>
        <w:spacing w:line="360" w:lineRule="auto"/>
        <w:ind w:firstLine="480" w:firstLineChars="200"/>
        <w:rPr>
          <w:rFonts w:ascii="宋体" w:hAnsi="宋体"/>
          <w:sz w:val="24"/>
        </w:rPr>
      </w:pPr>
      <w:r>
        <w:rPr>
          <w:rFonts w:hint="eastAsia" w:ascii="宋体" w:hAnsi="宋体"/>
          <w:sz w:val="24"/>
        </w:rPr>
        <w:t>经营范围：基金募集、基金销售、资产管理和中国证监会许可的其他业务。</w:t>
      </w:r>
    </w:p>
    <w:p>
      <w:pPr>
        <w:spacing w:line="360" w:lineRule="auto"/>
        <w:ind w:firstLine="480" w:firstLineChars="200"/>
        <w:rPr>
          <w:rFonts w:ascii="宋体" w:hAnsi="宋体"/>
          <w:sz w:val="24"/>
        </w:rPr>
      </w:pPr>
      <w:r>
        <w:rPr>
          <w:rFonts w:hint="eastAsia" w:ascii="宋体" w:hAnsi="宋体"/>
          <w:sz w:val="24"/>
        </w:rPr>
        <w:t>（二）基金托管人</w:t>
      </w:r>
    </w:p>
    <w:p>
      <w:pPr>
        <w:spacing w:line="360" w:lineRule="auto"/>
        <w:ind w:firstLine="480" w:firstLineChars="200"/>
        <w:rPr>
          <w:rFonts w:ascii="宋体" w:hAnsi="宋体"/>
          <w:sz w:val="24"/>
        </w:rPr>
      </w:pPr>
      <w:r>
        <w:rPr>
          <w:rFonts w:hint="eastAsia" w:ascii="宋体" w:hAnsi="宋体"/>
          <w:sz w:val="24"/>
        </w:rPr>
        <w:t>名称：招商银行股份有限公司</w:t>
      </w:r>
    </w:p>
    <w:p>
      <w:pPr>
        <w:spacing w:line="360" w:lineRule="auto"/>
        <w:ind w:firstLine="480" w:firstLineChars="200"/>
        <w:rPr>
          <w:rFonts w:ascii="宋体" w:hAnsi="宋体"/>
          <w:sz w:val="24"/>
        </w:rPr>
      </w:pPr>
      <w:r>
        <w:rPr>
          <w:rFonts w:hint="eastAsia" w:ascii="宋体" w:hAnsi="宋体"/>
          <w:sz w:val="24"/>
        </w:rPr>
        <w:t>住所：深圳市深南大道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办公地址：深圳市深南大道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518040</w:t>
      </w:r>
    </w:p>
    <w:p>
      <w:pPr>
        <w:spacing w:line="360" w:lineRule="auto"/>
        <w:ind w:firstLine="480" w:firstLineChars="200"/>
        <w:rPr>
          <w:rFonts w:ascii="宋体" w:hAnsi="宋体"/>
          <w:sz w:val="24"/>
        </w:rPr>
      </w:pPr>
      <w:r>
        <w:rPr>
          <w:rFonts w:hint="eastAsia" w:ascii="宋体" w:hAnsi="宋体"/>
          <w:sz w:val="24"/>
        </w:rPr>
        <w:t>法定代表人：</w:t>
      </w:r>
      <w:r>
        <w:rPr>
          <w:rFonts w:hint="eastAsia"/>
          <w:bCs/>
          <w:sz w:val="24"/>
        </w:rPr>
        <w:t>缪建民</w:t>
      </w:r>
    </w:p>
    <w:p>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rPr>
        <w:t>1987年4月8日</w:t>
      </w:r>
    </w:p>
    <w:p>
      <w:pPr>
        <w:spacing w:line="360" w:lineRule="auto"/>
        <w:ind w:firstLine="480" w:firstLineChars="200"/>
        <w:rPr>
          <w:rFonts w:ascii="宋体" w:hAnsi="宋体"/>
          <w:sz w:val="24"/>
        </w:rPr>
      </w:pPr>
      <w:r>
        <w:rPr>
          <w:rFonts w:hint="eastAsia" w:ascii="宋体" w:hAnsi="宋体"/>
          <w:sz w:val="24"/>
        </w:rPr>
        <w:t>基金托管业务批准文号：证监基金字</w:t>
      </w:r>
      <w:r>
        <w:rPr>
          <w:rFonts w:ascii="宋体" w:hAnsi="宋体"/>
          <w:sz w:val="24"/>
        </w:rPr>
        <w:t>[2002]83号</w:t>
      </w:r>
    </w:p>
    <w:p>
      <w:pPr>
        <w:spacing w:line="360" w:lineRule="auto"/>
        <w:ind w:firstLine="480" w:firstLineChars="200"/>
        <w:rPr>
          <w:rFonts w:ascii="宋体" w:hAnsi="宋体"/>
          <w:sz w:val="24"/>
        </w:rPr>
      </w:pPr>
      <w:r>
        <w:rPr>
          <w:rFonts w:hint="eastAsia" w:ascii="宋体" w:hAnsi="宋体"/>
          <w:sz w:val="24"/>
        </w:rPr>
        <w:t>组织形式：股份有限公司</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252.20</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存续期间：持续经营</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8" w:name="_Toc348082030"/>
      <w:bookmarkStart w:id="9" w:name="_Toc488938611"/>
      <w:bookmarkStart w:id="10" w:name="_Toc384992692"/>
      <w:r>
        <w:rPr>
          <w:rFonts w:hint="eastAsia" w:ascii="宋体" w:hAnsi="宋体"/>
          <w:sz w:val="24"/>
        </w:rPr>
        <w:t>二、基金托管协议的依据、目的和原则</w:t>
      </w:r>
      <w:bookmarkEnd w:id="8"/>
      <w:bookmarkEnd w:id="9"/>
      <w:bookmarkEnd w:id="10"/>
    </w:p>
    <w:p>
      <w:pPr>
        <w:spacing w:line="360" w:lineRule="auto"/>
        <w:ind w:firstLine="480" w:firstLineChars="200"/>
        <w:rPr>
          <w:rFonts w:ascii="宋体" w:hAnsi="宋体"/>
          <w:sz w:val="24"/>
        </w:rPr>
      </w:pPr>
      <w:r>
        <w:rPr>
          <w:rFonts w:hint="eastAsia" w:ascii="宋体" w:hAnsi="宋体"/>
          <w:sz w:val="24"/>
        </w:rPr>
        <w:t>（一）订立托管协议的依据</w:t>
      </w:r>
    </w:p>
    <w:p>
      <w:pPr>
        <w:spacing w:line="360" w:lineRule="auto"/>
        <w:ind w:firstLine="480" w:firstLineChars="200"/>
        <w:rPr>
          <w:rFonts w:ascii="宋体" w:hAnsi="宋体"/>
          <w:sz w:val="24"/>
        </w:rPr>
      </w:pPr>
      <w:r>
        <w:rPr>
          <w:rFonts w:hint="eastAsia" w:ascii="宋体" w:hAnsi="宋体"/>
          <w:sz w:val="24"/>
        </w:rPr>
        <w:t>本协议依据《中华人民共和国证券投资基金法》</w:t>
      </w:r>
      <w:r>
        <w:rPr>
          <w:rFonts w:ascii="宋体" w:hAnsi="宋体"/>
          <w:sz w:val="24"/>
        </w:rPr>
        <w:t>(以下简称“《基金法》”)</w:t>
      </w:r>
      <w:r>
        <w:rPr>
          <w:rFonts w:hint="eastAsia" w:ascii="宋体" w:hAnsi="宋体"/>
          <w:sz w:val="24"/>
        </w:rPr>
        <w:t>、《公开募集证券投资基金运作管理办法》（以下简称“《运作办法》”）、《公开募集证券投资基金信息披露管理办法》（以下简称“《信息披露办法》”）、</w:t>
      </w:r>
      <w:r>
        <w:rPr>
          <w:rFonts w:hint="eastAsia" w:ascii="宋体" w:hAnsi="宋体"/>
          <w:bCs/>
          <w:sz w:val="24"/>
        </w:rPr>
        <w:t>《公开募集开放式证券投资基金流动性风险管理规定》</w:t>
      </w:r>
      <w:r>
        <w:rPr>
          <w:rFonts w:hint="eastAsia" w:ascii="宋体" w:hAnsi="宋体"/>
          <w:sz w:val="24"/>
        </w:rPr>
        <w:t>等有关法律法规、基金合同及其他有关规定制订。</w:t>
      </w:r>
    </w:p>
    <w:p>
      <w:pPr>
        <w:spacing w:line="360" w:lineRule="auto"/>
        <w:ind w:firstLine="480" w:firstLineChars="200"/>
        <w:rPr>
          <w:rFonts w:ascii="宋体" w:hAnsi="宋体"/>
          <w:sz w:val="24"/>
        </w:rPr>
      </w:pPr>
      <w:r>
        <w:rPr>
          <w:rFonts w:hint="eastAsia" w:ascii="宋体" w:hAnsi="宋体"/>
          <w:sz w:val="24"/>
        </w:rPr>
        <w:t>（二）订立托管协议的目的</w:t>
      </w:r>
    </w:p>
    <w:p>
      <w:pPr>
        <w:spacing w:line="360" w:lineRule="auto"/>
        <w:ind w:firstLine="480" w:firstLineChars="200"/>
        <w:rPr>
          <w:rFonts w:ascii="宋体" w:hAnsi="宋体"/>
          <w:sz w:val="24"/>
        </w:rPr>
      </w:pPr>
      <w:r>
        <w:rPr>
          <w:rFonts w:hint="eastAsia" w:ascii="宋体" w:hAns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ind w:firstLine="480" w:firstLineChars="200"/>
        <w:rPr>
          <w:rFonts w:ascii="宋体" w:hAnsi="宋体"/>
          <w:sz w:val="24"/>
        </w:rPr>
      </w:pPr>
      <w:r>
        <w:rPr>
          <w:rFonts w:hint="eastAsia" w:ascii="宋体" w:hAnsi="宋体"/>
          <w:sz w:val="24"/>
        </w:rPr>
        <w:t>（三）订立托管协议的原则</w:t>
      </w:r>
    </w:p>
    <w:p>
      <w:pPr>
        <w:spacing w:line="360" w:lineRule="auto"/>
        <w:ind w:firstLine="480" w:firstLineChars="200"/>
        <w:rPr>
          <w:rFonts w:ascii="宋体" w:hAnsi="宋体"/>
          <w:sz w:val="24"/>
        </w:rPr>
      </w:pPr>
      <w:r>
        <w:rPr>
          <w:rFonts w:hint="eastAsia" w:ascii="宋体" w:hAnsi="宋体"/>
          <w:sz w:val="24"/>
        </w:rPr>
        <w:t>基金管理人和基金托管人本着平等自愿、诚实信用、充分保护基金份额持有人合法权益的原则，经协商一致，签订本协议。</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 w:name="_Toc488938612"/>
      <w:bookmarkStart w:id="12" w:name="_Toc348082031"/>
      <w:bookmarkStart w:id="13" w:name="_Toc384992693"/>
      <w:r>
        <w:rPr>
          <w:rFonts w:hint="eastAsia" w:ascii="宋体" w:hAnsi="宋体"/>
          <w:sz w:val="24"/>
        </w:rPr>
        <w:t>三、基金托管人对基金管理人的业务监督和核查</w:t>
      </w:r>
      <w:bookmarkEnd w:id="11"/>
      <w:bookmarkEnd w:id="12"/>
      <w:bookmarkEnd w:id="13"/>
    </w:p>
    <w:p>
      <w:pPr>
        <w:spacing w:line="360" w:lineRule="auto"/>
        <w:ind w:firstLine="480" w:firstLineChars="200"/>
        <w:rPr>
          <w:rFonts w:ascii="宋体" w:hAnsi="宋体"/>
          <w:sz w:val="24"/>
        </w:rPr>
      </w:pPr>
      <w:r>
        <w:rPr>
          <w:rFonts w:hint="eastAsia" w:ascii="宋体" w:hAnsi="宋体"/>
          <w:sz w:val="24"/>
        </w:rPr>
        <w:t>（一）基金托管人根据有关法律法规的规定以及《基金合同》的约定，对基金投资范围、投资比例、投资限制、关联方交易等进行监督。</w:t>
      </w:r>
    </w:p>
    <w:p>
      <w:pPr>
        <w:spacing w:line="360" w:lineRule="auto"/>
        <w:ind w:firstLine="480"/>
        <w:rPr>
          <w:rFonts w:ascii="宋体" w:hAnsi="宋体" w:cs="Arial"/>
          <w:szCs w:val="21"/>
        </w:rPr>
      </w:pPr>
      <w:bookmarkStart w:id="14" w:name="_Hlk494120345"/>
      <w:r>
        <w:rPr>
          <w:rFonts w:ascii="宋体" w:hAnsi="宋体"/>
          <w:sz w:val="24"/>
        </w:rPr>
        <w:t>1.</w:t>
      </w:r>
      <w:r>
        <w:rPr>
          <w:rFonts w:hint="eastAsia" w:ascii="宋体" w:hAnsi="宋体"/>
          <w:sz w:val="24"/>
        </w:rPr>
        <w:t>本基金的投资范围为：</w:t>
      </w:r>
    </w:p>
    <w:p>
      <w:pPr>
        <w:spacing w:line="360" w:lineRule="auto"/>
        <w:ind w:firstLine="480"/>
        <w:rPr>
          <w:rFonts w:ascii="宋体" w:hAnsi="宋体"/>
          <w:sz w:val="24"/>
        </w:rPr>
      </w:pPr>
      <w:r>
        <w:rPr>
          <w:rFonts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80"/>
        <w:rPr>
          <w:bCs/>
          <w:sz w:val="24"/>
        </w:rPr>
      </w:pPr>
      <w:r>
        <w:rPr>
          <w:bCs/>
          <w:sz w:val="24"/>
        </w:rPr>
        <w:t>如法律法规或监管机构以后允许基金投资其他品种，基金管理人在履行适当程序后，可以将其纳入投资范围。</w:t>
      </w:r>
    </w:p>
    <w:p>
      <w:pPr>
        <w:spacing w:line="360" w:lineRule="auto"/>
        <w:ind w:firstLine="480"/>
        <w:rPr>
          <w:rFonts w:ascii="宋体" w:hAnsi="宋体" w:cs="Arial"/>
          <w:szCs w:val="21"/>
        </w:rPr>
      </w:pPr>
      <w:r>
        <w:rPr>
          <w:rFonts w:ascii="宋体" w:hAnsi="宋体"/>
          <w:sz w:val="24"/>
        </w:rPr>
        <w:t>2.本基金各类品种的投资比例、投资限制为：</w:t>
      </w:r>
    </w:p>
    <w:p>
      <w:pPr>
        <w:spacing w:line="360" w:lineRule="auto"/>
        <w:ind w:firstLine="480"/>
        <w:rPr>
          <w:bCs/>
          <w:sz w:val="24"/>
        </w:rPr>
      </w:pPr>
      <w:r>
        <w:rPr>
          <w:bCs/>
          <w:sz w:val="24"/>
        </w:rPr>
        <w:t>基金的投资组合比例为：</w:t>
      </w:r>
      <w:r>
        <w:rPr>
          <w:rFonts w:hint="eastAsia"/>
          <w:bCs/>
          <w:sz w:val="24"/>
        </w:rPr>
        <w:t>股票投资（含存托凭证）占基金资产的比例为6</w:t>
      </w:r>
      <w:r>
        <w:rPr>
          <w:bCs/>
          <w:sz w:val="24"/>
        </w:rPr>
        <w:t>0</w:t>
      </w:r>
      <w:r>
        <w:rPr>
          <w:rFonts w:hint="eastAsia"/>
          <w:bCs/>
          <w:sz w:val="24"/>
        </w:rPr>
        <w:t>%-</w:t>
      </w:r>
      <w:r>
        <w:rPr>
          <w:bCs/>
          <w:sz w:val="24"/>
        </w:rPr>
        <w:t>9</w:t>
      </w:r>
      <w:r>
        <w:rPr>
          <w:rFonts w:hint="eastAsia"/>
          <w:bCs/>
          <w:sz w:val="24"/>
        </w:rPr>
        <w:t>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（1）股票投资（含存托凭证）占基金资产的比例为60%-</w:t>
      </w:r>
      <w:r>
        <w:rPr>
          <w:bCs/>
          <w:sz w:val="24"/>
        </w:rPr>
        <w:t>9</w:t>
      </w:r>
      <w:r>
        <w:rPr>
          <w:rFonts w:hint="eastAsia"/>
          <w:bCs/>
          <w:sz w:val="24"/>
        </w:rPr>
        <w:t>5%，其中投资于港股通标的股票的比例占股票资产的0%-50%；</w:t>
      </w:r>
    </w:p>
    <w:p>
      <w:pPr>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pPr>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（6）本基金持有的全部资产支持证券，其市值不得超过基金资产净值的20％；</w:t>
      </w:r>
    </w:p>
    <w:p>
      <w:pPr>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（11）本基金进入全国银行间同业市场进行债券回购的资金余额不得超过基金资产净值的40%，进入全国银行间同业市场进行债券回购的最长期限为1年，债券回购到期后不得展期；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80" w:firstLineChars="200"/>
        <w:rPr>
          <w:bCs/>
          <w:sz w:val="24"/>
        </w:rPr>
      </w:pPr>
      <w:r>
        <w:rPr>
          <w:rFonts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（15）本基金参与股指期货交易，则：</w:t>
      </w:r>
    </w:p>
    <w:p>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rFonts w:hint="eastAsia"/>
          <w:bCs/>
          <w:sz w:val="24"/>
        </w:rPr>
        <w:t>（16）本基金资产总值不超过基金资产净值的140%；</w:t>
      </w:r>
    </w:p>
    <w:p>
      <w:pPr>
        <w:spacing w:line="360" w:lineRule="auto"/>
        <w:ind w:firstLine="480" w:firstLineChars="200"/>
        <w:rPr>
          <w:bCs/>
          <w:sz w:val="24"/>
        </w:rPr>
      </w:pPr>
      <w:r>
        <w:rPr>
          <w:rFonts w:hint="eastAsia"/>
          <w:bCs/>
          <w:sz w:val="24"/>
        </w:rPr>
        <w:t>（17）本基金投资存托凭证的比例限制依照境内上市交易的股票执行；</w:t>
      </w:r>
    </w:p>
    <w:p>
      <w:pPr>
        <w:spacing w:line="360" w:lineRule="auto"/>
        <w:ind w:firstLine="480" w:firstLineChars="200"/>
        <w:rPr>
          <w:bCs/>
          <w:sz w:val="24"/>
        </w:rPr>
      </w:pPr>
      <w:r>
        <w:rPr>
          <w:rFonts w:hint="eastAsia"/>
          <w:bCs/>
          <w:sz w:val="24"/>
        </w:rPr>
        <w:t>（18）法律法规及中国证监会规定的和《基金合同》约定的其他投资限制。</w:t>
      </w:r>
    </w:p>
    <w:p>
      <w:pPr>
        <w:spacing w:line="360" w:lineRule="auto"/>
        <w:ind w:firstLine="480" w:firstLineChars="200"/>
        <w:rPr>
          <w:rFonts w:ascii="宋体" w:hAnsi="宋体"/>
          <w:sz w:val="24"/>
        </w:rPr>
      </w:pPr>
      <w:r>
        <w:rPr>
          <w:rFonts w:hint="eastAsia"/>
          <w:bCs/>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本基金财产不得用于以下投资或者活动：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1）承销证券；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2）违反规定向他人贷款或者提供担保；</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3）从事承担无限责任的投资；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4）买卖其他基金份额，但是</w:t>
      </w:r>
      <w:r>
        <w:rPr>
          <w:rFonts w:hint="eastAsia" w:ascii="宋体" w:hAnsi="宋体"/>
          <w:sz w:val="24"/>
        </w:rPr>
        <w:t>中国证监会另有规定的除外；</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5）向</w:t>
      </w:r>
      <w:r>
        <w:rPr>
          <w:rFonts w:hint="eastAsia" w:ascii="宋体" w:hAnsi="宋体" w:cs="Arial"/>
          <w:sz w:val="24"/>
        </w:rPr>
        <w:t>其</w:t>
      </w:r>
      <w:r>
        <w:rPr>
          <w:rFonts w:hint="eastAsia" w:ascii="宋体" w:hAnsi="宋体"/>
          <w:sz w:val="24"/>
        </w:rPr>
        <w:t>基金管理人、基金托管人出资；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6）从事内幕交易、操纵证券交易价格及其他不正当的证券交易活动；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7）法律、行政法规</w:t>
      </w:r>
      <w:r>
        <w:rPr>
          <w:rFonts w:hint="eastAsia" w:ascii="宋体" w:hAnsi="宋体" w:cs="Arial"/>
          <w:sz w:val="24"/>
        </w:rPr>
        <w:t>和</w:t>
      </w:r>
      <w:r>
        <w:rPr>
          <w:rFonts w:hint="eastAsia" w:ascii="宋体" w:hAnsi="宋体"/>
          <w:sz w:val="24"/>
        </w:rPr>
        <w:t>中国证监会规定禁止的其他活动。</w:t>
      </w:r>
    </w:p>
    <w:bookmarkEnd w:id="14"/>
    <w:p>
      <w:pPr>
        <w:spacing w:line="360" w:lineRule="auto"/>
        <w:ind w:firstLine="480" w:firstLineChars="200"/>
        <w:rPr>
          <w:rFonts w:ascii="宋体" w:hAnsi="宋体"/>
          <w:sz w:val="24"/>
        </w:rPr>
      </w:pPr>
      <w:r>
        <w:rPr>
          <w:rFonts w:hint="eastAsia" w:ascii="宋体" w:hAnsi="宋体"/>
          <w:sz w:val="24"/>
        </w:rPr>
        <w:t>基金管理人运用基金财产买卖基金管理人、基金托管人及其控股股东、实际控制人或者与其有重大利害关系的公司发行</w:t>
      </w:r>
      <w:r>
        <w:rPr>
          <w:rFonts w:hint="eastAsia"/>
          <w:sz w:val="24"/>
        </w:rPr>
        <w:t>的证券</w:t>
      </w:r>
      <w:r>
        <w:rPr>
          <w:rFonts w:hint="eastAsia" w:ascii="宋体" w:hAnsi="宋体"/>
          <w:sz w:val="24"/>
        </w:rPr>
        <w:t>或者承销期内承销的证券，或者从事其他重大关联交易的，应当符合基金的投资目标和投资策略，遵循</w:t>
      </w:r>
      <w:r>
        <w:rPr>
          <w:rFonts w:hint="eastAsia" w:ascii="宋体" w:hAnsi="宋体" w:cs="Arial"/>
          <w:sz w:val="24"/>
        </w:rPr>
        <w:t>基金份额</w:t>
      </w:r>
      <w:r>
        <w:rPr>
          <w:rFonts w:hint="eastAsia" w:ascii="宋体" w:hAnsi="宋体"/>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hint="eastAsia" w:ascii="宋体" w:hAnsi="宋体"/>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基金管理人应当自基金合同生效日起</w:t>
      </w:r>
      <w:r>
        <w:rPr>
          <w:rFonts w:ascii="宋体" w:hAnsi="宋体"/>
          <w:sz w:val="24"/>
        </w:rPr>
        <w:t>6个月内使基金的投资组合比例符合基金合同的有关约定。</w:t>
      </w:r>
      <w:r>
        <w:rPr>
          <w:rFonts w:hint="eastAsia" w:ascii="宋体" w:hAnsi="宋体"/>
          <w:sz w:val="24"/>
        </w:rPr>
        <w:t>在上述期间内，本基金的投资范围、投资策略应当符合基金合同的约定。基金托管人对基金的投资的监督与检查自基金合同生效之日起开始。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ascii="宋体" w:hAnsi="宋体"/>
          <w:sz w:val="24"/>
        </w:rPr>
      </w:pPr>
      <w:r>
        <w:rPr>
          <w:rFonts w:hint="eastAsia" w:ascii="宋体" w:hAnsi="宋体"/>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spacing w:line="360" w:lineRule="auto"/>
        <w:ind w:firstLine="480" w:firstLineChars="200"/>
        <w:rPr>
          <w:rFonts w:ascii="宋体" w:hAnsi="宋体"/>
          <w:sz w:val="24"/>
        </w:rPr>
      </w:pPr>
      <w:r>
        <w:rPr>
          <w:rFonts w:hint="eastAsia" w:ascii="宋体" w:hAnsi="宋体"/>
          <w:sz w:val="24"/>
        </w:rPr>
        <w:t>本基金投资银行存款应符合如下规定：</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hint="eastAsia" w:ascii="宋体" w:hAnsi="宋体"/>
          <w:sz w:val="24"/>
        </w:rPr>
        <w:t>本</w:t>
      </w:r>
      <w:r>
        <w:rPr>
          <w:rFonts w:ascii="宋体" w:hAnsi="宋体"/>
          <w:sz w:val="24"/>
        </w:rPr>
        <w:t>基金</w:t>
      </w:r>
      <w:r>
        <w:rPr>
          <w:rFonts w:hint="eastAsia" w:ascii="宋体" w:hAnsi="宋体"/>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pPr>
        <w:spacing w:line="360" w:lineRule="auto"/>
        <w:ind w:firstLine="480" w:firstLineChars="200"/>
        <w:rPr>
          <w:rFonts w:ascii="宋体" w:hAnsi="宋体"/>
          <w:sz w:val="24"/>
        </w:rPr>
      </w:pPr>
      <w:r>
        <w:rPr>
          <w:rFonts w:hint="eastAsia" w:ascii="宋体" w:hAnsi="宋体"/>
          <w:sz w:val="24"/>
        </w:rPr>
        <w:t>有关法律法规或监管部门制定或修改新的定期存款投资政策，基金管理人履行适当程序后，可相应调整投资组合限制的规定。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）基金管理人负责控制信用风险。信用风险主要包括存款银行的信用等级、存款银行的支付能力等涉及到存款银行选择方面的风险。因选择存款银行不当造成基金财产损失的，由基金管理人承担责任。</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）基金管理人须加强内部风险控制制度的建设。如因基金管理人员工职务行为导致基金财产受到损失的，需由基金管理人承担由此造成的损失。</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）基金管理人与基金托管人在开展基金存款业务时，应严格遵守《基金法》、《运作办法》等有关法律法规，以及国家有关账户管理、利率管理、支付结算等的各项规定。</w:t>
      </w:r>
    </w:p>
    <w:p>
      <w:pPr>
        <w:spacing w:line="360" w:lineRule="auto"/>
        <w:ind w:firstLine="480" w:firstLineChars="200"/>
        <w:rPr>
          <w:rFonts w:ascii="宋体" w:hAnsi="宋体"/>
          <w:sz w:val="24"/>
        </w:rPr>
      </w:pPr>
      <w:r>
        <w:rPr>
          <w:rFonts w:hint="eastAsia" w:ascii="宋体" w:hAnsi="宋体"/>
          <w:sz w:val="24"/>
        </w:rPr>
        <w:t>（三）基金投资银行存款协议的签订、账户开设与管理、投资指令与资金划付、账目核对、到期兑付、提前支取</w:t>
      </w:r>
    </w:p>
    <w:p>
      <w:pPr>
        <w:spacing w:line="360" w:lineRule="auto"/>
        <w:ind w:firstLine="480" w:firstLineChars="200"/>
        <w:rPr>
          <w:rFonts w:ascii="宋体" w:hAnsi="宋体"/>
          <w:sz w:val="24"/>
        </w:rPr>
      </w:pPr>
      <w:r>
        <w:rPr>
          <w:rFonts w:ascii="宋体" w:hAnsi="宋体"/>
          <w:sz w:val="24"/>
        </w:rPr>
        <w:t>1.基金投资银行存款协议的签订</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1）基金管理人应与</w:t>
      </w:r>
      <w:r>
        <w:rPr>
          <w:rFonts w:hint="eastAsia" w:ascii="宋体" w:hAnsi="宋体"/>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）基金托管人依据相关法规对《总体合作协议》和《存款协议书》的内容进行复核，审查存款银行资格等。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）基金管理人应在《存款协议书》中明确存款证实书或其他有效存款凭证的办理方式、邮寄地址、联系人和联系电话，以及存款证实书或其他有效凭证在邮寄过程中遗失后，存款余额的确认及兑付办法等。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）由存款银行指定的存放存款的分支机构（以下简称“存款分支机构</w:t>
      </w:r>
      <w:r>
        <w:rPr>
          <w:rFonts w:ascii="宋体" w:hAnsi="宋体"/>
          <w:sz w:val="24"/>
        </w:rPr>
        <w:t>”</w:t>
      </w:r>
      <w:r>
        <w:rPr>
          <w:rFonts w:hint="eastAsia" w:ascii="宋体" w:hAnsi="宋体"/>
          <w:sz w:val="24"/>
        </w:rPr>
        <w:t>）寄送</w:t>
      </w:r>
      <w:r>
        <w:rPr>
          <w:rFonts w:hint="eastAsia" w:ascii="宋体" w:hAnsi="宋体" w:cs="Arial"/>
          <w:sz w:val="24"/>
        </w:rPr>
        <w:t>或</w:t>
      </w:r>
      <w:r>
        <w:rPr>
          <w:rFonts w:hint="eastAsia" w:ascii="宋体" w:hAnsi="宋体"/>
          <w:sz w:val="24"/>
        </w:rPr>
        <w:t>上门交付存款证实书或其他有效存款凭证的，基金托管人可向存款分支机构的上级行发出存款余额询证函，存款分支机构及其上级行应予配合。</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）基金管理人应在《存款协议书》中规定，基金存放到期或提前兑付的资金应全部划转到指定的基金托管账户，并在《存款协议书》写明账户名称和账号，未划入指定账户的，由存款银行承担一切责任。</w:t>
      </w:r>
    </w:p>
    <w:p>
      <w:pPr>
        <w:spacing w:line="4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）基金管理人应在《存款协议书》中规定，因定期存款产生的存单不得被质押或以任何方式被抵押，不得用于转让和背书。</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基金投资银行存款时的账户开设与管理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1）基金投资于银行存款时，基金</w:t>
      </w:r>
      <w:r>
        <w:rPr>
          <w:rFonts w:hint="eastAsia" w:ascii="宋体" w:hAnsi="宋体"/>
          <w:sz w:val="24"/>
        </w:rPr>
        <w:t>管理人应当依据基金管理人与存款银行签订的《总体合作协议》、《存款协议书》等，以基金的名义在存款银行总行或授权分行指定的分支机构开立银行账户。</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基金投资于银行存款时的预留印鉴由基金托管人保管和使用。</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存款凭证传递、账目核对及到期兑付</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1）存款证实书等存款凭证</w:t>
      </w:r>
      <w:r>
        <w:rPr>
          <w:rFonts w:hint="eastAsia" w:ascii="宋体" w:hAnsi="宋体"/>
          <w:sz w:val="24"/>
        </w:rPr>
        <w:t>传递</w:t>
      </w:r>
    </w:p>
    <w:p>
      <w:pPr>
        <w:spacing w:line="360" w:lineRule="auto"/>
        <w:ind w:firstLine="480" w:firstLineChars="200"/>
        <w:rPr>
          <w:rFonts w:ascii="宋体" w:hAnsi="宋体"/>
          <w:sz w:val="24"/>
        </w:rPr>
      </w:pPr>
      <w:r>
        <w:rPr>
          <w:rFonts w:hint="eastAsia"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）存款凭证的遗失补办</w:t>
      </w:r>
    </w:p>
    <w:p>
      <w:pPr>
        <w:spacing w:line="360" w:lineRule="auto"/>
        <w:ind w:firstLine="480" w:firstLineChars="200"/>
        <w:rPr>
          <w:rFonts w:ascii="宋体" w:hAnsi="宋体"/>
          <w:sz w:val="24"/>
        </w:rPr>
      </w:pPr>
      <w:r>
        <w:rPr>
          <w:rFonts w:hint="eastAsia" w:ascii="宋体" w:hAnsi="宋体"/>
          <w:sz w:val="24"/>
        </w:rPr>
        <w:t>存款凭证在邮寄过程中遗失的，由基金管理人向存款银行提出补办申请，基金管理人应督促存款银行尽快补办存款凭证，并按以上（</w:t>
      </w:r>
      <w:r>
        <w:rPr>
          <w:rFonts w:ascii="宋体" w:hAnsi="宋体"/>
          <w:sz w:val="24"/>
        </w:rPr>
        <w:t>1</w:t>
      </w:r>
      <w:r>
        <w:rPr>
          <w:rFonts w:hint="eastAsia" w:ascii="宋体" w:hAnsi="宋体"/>
          <w:sz w:val="24"/>
        </w:rPr>
        <w:t>）的方式快递或上门交付至托管人，原存款凭证自动作废。</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）账目核对</w:t>
      </w:r>
    </w:p>
    <w:p>
      <w:pPr>
        <w:spacing w:line="360" w:lineRule="auto"/>
        <w:ind w:firstLine="480" w:firstLineChars="200"/>
        <w:rPr>
          <w:rFonts w:ascii="宋体" w:hAnsi="宋体"/>
          <w:sz w:val="24"/>
        </w:rPr>
      </w:pPr>
      <w:r>
        <w:rPr>
          <w:rFonts w:hint="eastAsia" w:ascii="宋体" w:hAnsi="宋体"/>
          <w:sz w:val="24"/>
        </w:rPr>
        <w:t>每个工作日，基金管理人应与基金托管人核对各项银行存款投资余额及应计利息。</w:t>
      </w:r>
    </w:p>
    <w:p>
      <w:pPr>
        <w:spacing w:line="480" w:lineRule="exact"/>
        <w:ind w:firstLine="480" w:firstLineChars="200"/>
        <w:rPr>
          <w:rFonts w:ascii="宋体" w:hAnsi="宋体"/>
          <w:sz w:val="24"/>
        </w:rPr>
      </w:pPr>
      <w:r>
        <w:rPr>
          <w:rFonts w:hint="eastAsia" w:ascii="宋体" w:hAnsi="宋体"/>
          <w:sz w:val="24"/>
        </w:rPr>
        <w:t>基金管理人应在《存款协议书》中规定，对于存期超过</w:t>
      </w:r>
      <w:r>
        <w:rPr>
          <w:rFonts w:ascii="宋体" w:hAnsi="宋体"/>
          <w:sz w:val="24"/>
        </w:rPr>
        <w:t>3个月的定期存款，存款银行应于每季末后5个工作日内向基金托管人指定人员寄送对账单。因存款银</w:t>
      </w:r>
      <w:r>
        <w:rPr>
          <w:rFonts w:hint="eastAsia" w:ascii="宋体" w:hAnsi="宋体"/>
          <w:sz w:val="24"/>
        </w:rPr>
        <w:t>行未寄送对账单造成的资金被挪用、盗取的责任由存款银行承担。</w:t>
      </w:r>
    </w:p>
    <w:p>
      <w:pPr>
        <w:spacing w:line="480" w:lineRule="exact"/>
        <w:ind w:firstLine="480" w:firstLineChars="200"/>
        <w:rPr>
          <w:rFonts w:ascii="宋体" w:hAnsi="宋体"/>
          <w:sz w:val="24"/>
        </w:rPr>
      </w:pPr>
      <w:r>
        <w:rPr>
          <w:rFonts w:hint="eastAsia" w:ascii="宋体" w:hAnsi="宋体"/>
          <w:sz w:val="24"/>
        </w:rPr>
        <w:t>存款银行应配合基金托管人对存款凭证的询证，并在询证函上加盖存款银行公章寄送至基金托管人指定联系人。</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）到期兑付</w:t>
      </w:r>
    </w:p>
    <w:p>
      <w:pPr>
        <w:spacing w:line="360" w:lineRule="auto"/>
        <w:ind w:firstLine="480" w:firstLineChars="200"/>
        <w:rPr>
          <w:rFonts w:ascii="宋体" w:hAnsi="宋体"/>
          <w:sz w:val="24"/>
        </w:rPr>
      </w:pPr>
      <w:r>
        <w:rPr>
          <w:rFonts w:hint="eastAsia" w:ascii="宋体" w:hAnsi="宋体"/>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spacing w:line="360" w:lineRule="auto"/>
        <w:ind w:firstLine="480" w:firstLineChars="200"/>
        <w:rPr>
          <w:rFonts w:ascii="宋体" w:hAnsi="宋体"/>
          <w:sz w:val="24"/>
        </w:rPr>
      </w:pPr>
      <w:r>
        <w:rPr>
          <w:rFonts w:hint="eastAsia"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spacing w:line="360" w:lineRule="auto"/>
        <w:ind w:firstLine="480" w:firstLineChars="200"/>
        <w:rPr>
          <w:rFonts w:ascii="宋体" w:hAnsi="宋体" w:cs="Arial"/>
          <w:szCs w:val="21"/>
        </w:rPr>
      </w:pPr>
      <w:r>
        <w:rPr>
          <w:rFonts w:hint="eastAsia"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spacing w:line="360" w:lineRule="auto"/>
        <w:ind w:firstLine="480" w:firstLineChars="200"/>
        <w:rPr>
          <w:rFonts w:ascii="宋体" w:hAnsi="宋体"/>
          <w:sz w:val="24"/>
        </w:rPr>
      </w:pPr>
      <w:r>
        <w:rPr>
          <w:rFonts w:hint="eastAsia" w:ascii="宋体" w:hAnsi="宋体"/>
          <w:sz w:val="24"/>
        </w:rPr>
        <w:t>如果存款到期日为法定节假日，存款银行顺延至到期后第一个工作日支付，存款银行需按原协议约定利率和实际延期天数支付延期利息。</w:t>
      </w:r>
    </w:p>
    <w:p>
      <w:pPr>
        <w:spacing w:line="360" w:lineRule="auto"/>
        <w:ind w:firstLine="480" w:firstLineChars="200"/>
        <w:rPr>
          <w:rFonts w:ascii="宋体" w:hAnsi="宋体"/>
          <w:sz w:val="24"/>
        </w:rPr>
      </w:pPr>
      <w:r>
        <w:rPr>
          <w:rFonts w:ascii="宋体" w:hAnsi="宋体"/>
          <w:sz w:val="24"/>
        </w:rPr>
        <w:t>4.提前支取</w:t>
      </w:r>
    </w:p>
    <w:p>
      <w:pPr>
        <w:spacing w:line="360" w:lineRule="auto"/>
        <w:ind w:firstLine="480" w:firstLineChars="200"/>
        <w:rPr>
          <w:rFonts w:ascii="宋体" w:hAnsi="宋体"/>
          <w:sz w:val="24"/>
        </w:rPr>
      </w:pPr>
      <w:r>
        <w:rPr>
          <w:rFonts w:hint="eastAsia" w:ascii="宋体" w:hAnsi="宋体"/>
          <w:sz w:val="24"/>
        </w:rPr>
        <w:t>如果在存款期限内，由于基金规模发生缩减的原因或者出于流动性管理的需要等原因，基金管理人可以提前支取全部或部分资金。</w:t>
      </w:r>
    </w:p>
    <w:p>
      <w:pPr>
        <w:spacing w:line="360" w:lineRule="auto"/>
        <w:ind w:firstLine="480" w:firstLineChars="200"/>
        <w:rPr>
          <w:rFonts w:ascii="宋体" w:hAnsi="宋体"/>
          <w:sz w:val="24"/>
        </w:rPr>
      </w:pPr>
      <w:r>
        <w:rPr>
          <w:rFonts w:hint="eastAsia" w:ascii="宋体" w:hAnsi="宋体"/>
          <w:sz w:val="24"/>
        </w:rPr>
        <w:t>提前支取的具体事项按照基金管理人与存款银行签订的《存款协议书》执行。</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基金投资银行存款的监督</w:t>
      </w:r>
    </w:p>
    <w:p>
      <w:pPr>
        <w:spacing w:line="360" w:lineRule="auto"/>
        <w:ind w:firstLine="480" w:firstLineChars="200"/>
        <w:rPr>
          <w:rFonts w:ascii="宋体" w:hAnsi="宋体"/>
          <w:sz w:val="24"/>
        </w:rPr>
      </w:pPr>
      <w:r>
        <w:rPr>
          <w:rFonts w:hint="eastAsia" w:ascii="宋体" w:hAnsi="宋体"/>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hint="eastAsia" w:ascii="宋体" w:hAnsi="宋体"/>
          <w:sz w:val="24"/>
        </w:rPr>
        <w:t>个工作日内纠正。基金管理人对基金托管人通知的违规事项未能在</w:t>
      </w:r>
      <w:r>
        <w:rPr>
          <w:rFonts w:ascii="宋体" w:hAnsi="宋体"/>
          <w:sz w:val="24"/>
        </w:rPr>
        <w:t>10</w:t>
      </w:r>
      <w:r>
        <w:rPr>
          <w:rFonts w:hint="eastAsia" w:ascii="宋体" w:hAnsi="宋体"/>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hint="eastAsia" w:ascii="宋体" w:hAnsi="宋体"/>
          <w:sz w:val="24"/>
        </w:rPr>
        <w:t>个工作日内纠正或拒绝结算，若因基金管理人拒不执行造成基金财产损失的，相关损失由基金管理人承担，基金托管人不承担任何责任。</w:t>
      </w:r>
    </w:p>
    <w:p>
      <w:pPr>
        <w:spacing w:line="360" w:lineRule="auto"/>
        <w:ind w:firstLine="480" w:firstLineChars="200"/>
        <w:rPr>
          <w:rFonts w:ascii="宋体" w:hAnsi="宋体"/>
          <w:sz w:val="24"/>
        </w:rPr>
      </w:pPr>
      <w:r>
        <w:rPr>
          <w:rFonts w:hint="eastAsia" w:ascii="宋体" w:hAnsi="宋体"/>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p>
    <w:p>
      <w:pPr>
        <w:spacing w:line="360" w:lineRule="auto"/>
        <w:ind w:firstLine="480" w:firstLineChars="200"/>
        <w:rPr>
          <w:rFonts w:ascii="宋体" w:hAnsi="宋体"/>
          <w:sz w:val="24"/>
        </w:rPr>
      </w:pPr>
      <w:r>
        <w:rPr>
          <w:rFonts w:hint="eastAsia"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spacing w:line="360" w:lineRule="auto"/>
        <w:ind w:firstLine="480" w:firstLineChars="200"/>
        <w:rPr>
          <w:rFonts w:ascii="宋体" w:hAnsi="宋体"/>
          <w:sz w:val="24"/>
        </w:rPr>
      </w:pPr>
      <w:r>
        <w:rPr>
          <w:rFonts w:hint="eastAsia" w:ascii="宋体" w:hAnsi="宋体"/>
          <w:sz w:val="24"/>
        </w:rPr>
        <w:t>（五）本基金投资流通受限证券，应遵守《关于基金投资非公开发行股票等流通受限证券有关问题的通知》等有关监管规定。</w:t>
      </w:r>
    </w:p>
    <w:p>
      <w:pPr>
        <w:spacing w:line="360" w:lineRule="auto"/>
        <w:ind w:firstLine="480" w:firstLineChars="200"/>
        <w:rPr>
          <w:rFonts w:ascii="宋体" w:hAnsi="宋体"/>
          <w:sz w:val="24"/>
        </w:rPr>
      </w:pPr>
      <w:r>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80" w:firstLineChars="200"/>
        <w:rPr>
          <w:rFonts w:ascii="宋体" w:hAnsi="宋体"/>
          <w:sz w:val="24"/>
        </w:rPr>
      </w:pPr>
      <w:r>
        <w:rPr>
          <w:rFonts w:hint="eastAsia"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spacing w:line="360" w:lineRule="auto"/>
        <w:ind w:firstLine="480" w:firstLineChars="200"/>
        <w:rPr>
          <w:rFonts w:ascii="宋体" w:hAnsi="宋体"/>
          <w:sz w:val="24"/>
        </w:rPr>
      </w:pPr>
      <w:r>
        <w:rPr>
          <w:rFonts w:hint="eastAsia" w:ascii="宋体" w:hAnsi="宋体"/>
          <w:sz w:val="24"/>
        </w:rPr>
        <w:t>本基金不得投资未经中国证监会批准的非公开发行证券。</w:t>
      </w:r>
    </w:p>
    <w:p>
      <w:pPr>
        <w:spacing w:line="360" w:lineRule="auto"/>
        <w:ind w:firstLine="480" w:firstLineChars="200"/>
        <w:rPr>
          <w:rFonts w:ascii="宋体" w:hAnsi="宋体"/>
          <w:sz w:val="24"/>
        </w:rPr>
      </w:pPr>
      <w:r>
        <w:rPr>
          <w:rFonts w:hint="eastAsia" w:ascii="宋体" w:hAnsi="宋体"/>
          <w:sz w:val="24"/>
        </w:rPr>
        <w:t>本基金不得投资有锁定期但锁定期不明确的证券。</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spacing w:line="360" w:lineRule="auto"/>
        <w:ind w:firstLine="480" w:firstLineChars="200"/>
        <w:rPr>
          <w:rFonts w:ascii="宋体" w:hAnsi="宋体"/>
          <w:sz w:val="24"/>
        </w:rPr>
      </w:pPr>
      <w:r>
        <w:rPr>
          <w:rFonts w:hint="eastAsia"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360" w:lineRule="auto"/>
        <w:ind w:firstLine="480" w:firstLineChars="200"/>
        <w:rPr>
          <w:rFonts w:ascii="宋体" w:hAnsi="宋体"/>
          <w:sz w:val="24"/>
        </w:rPr>
      </w:pPr>
      <w:r>
        <w:rPr>
          <w:rFonts w:hint="eastAsia"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pPr>
        <w:spacing w:line="360" w:lineRule="auto"/>
        <w:ind w:firstLine="480" w:firstLineChars="20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Pr>
          <w:rFonts w:hint="eastAsia" w:ascii="宋体" w:hAnsi="宋体"/>
          <w:sz w:val="24"/>
        </w:rPr>
        <w:t>于拟执行投资指令前两个工作日将上述信息书面发至基金托管人，保证基金托管人有足够的时间进行审核。</w:t>
      </w:r>
    </w:p>
    <w:p>
      <w:pPr>
        <w:spacing w:line="360" w:lineRule="auto"/>
        <w:ind w:firstLine="480" w:firstLineChars="200"/>
        <w:rPr>
          <w:rFonts w:ascii="宋体" w:hAnsi="宋体"/>
          <w:sz w:val="24"/>
        </w:rPr>
      </w:pPr>
      <w:r>
        <w:rPr>
          <w:rFonts w:hint="eastAsia" w:ascii="宋体" w:hAnsi="宋体"/>
          <w:sz w:val="24"/>
        </w:rPr>
        <w:t>由于基金管理人未及时提供有关证券的具体的必要的信息，致使托管人无法审核认购指令而影响认购款项划拨的，基金托管人免于承担责任。</w:t>
      </w:r>
    </w:p>
    <w:p>
      <w:pPr>
        <w:spacing w:line="360" w:lineRule="auto"/>
        <w:ind w:firstLine="480" w:firstLineChars="200"/>
        <w:rPr>
          <w:rFonts w:ascii="宋体" w:hAnsi="宋体"/>
          <w:sz w:val="24"/>
        </w:rPr>
      </w:pPr>
      <w:r>
        <w:rPr>
          <w:rFonts w:ascii="宋体" w:hAnsi="宋体"/>
          <w:sz w:val="24"/>
        </w:rPr>
        <w:t>4.基金托管人依照法律法规</w:t>
      </w:r>
      <w:r>
        <w:rPr>
          <w:rFonts w:hint="eastAsia" w:ascii="宋体" w:hAnsi="宋体"/>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spacing w:line="360" w:lineRule="auto"/>
        <w:ind w:firstLine="480" w:firstLineChars="200"/>
        <w:rPr>
          <w:rFonts w:ascii="宋体" w:hAnsi="宋体" w:cs="Arial"/>
          <w:szCs w:val="21"/>
        </w:rPr>
      </w:pPr>
      <w:r>
        <w:rPr>
          <w:rFonts w:ascii="宋体" w:hAnsi="宋体"/>
          <w:sz w:val="24"/>
        </w:rPr>
        <w:t>5.基金管理</w:t>
      </w:r>
      <w:r>
        <w:rPr>
          <w:rFonts w:hint="eastAsia" w:ascii="宋体" w:hAnsi="宋体"/>
          <w:sz w:val="24"/>
        </w:rPr>
        <w:t>人</w:t>
      </w:r>
      <w:r>
        <w:rPr>
          <w:rFonts w:ascii="宋体" w:hAnsi="宋体"/>
          <w:sz w:val="24"/>
        </w:rPr>
        <w:t>应在基金投资非公开发行股票后两个交易日内</w:t>
      </w:r>
      <w:r>
        <w:rPr>
          <w:rFonts w:hint="eastAsia" w:ascii="宋体" w:hAnsi="宋体"/>
          <w:sz w:val="24"/>
        </w:rPr>
        <w:t>，</w:t>
      </w:r>
      <w:r>
        <w:rPr>
          <w:rFonts w:ascii="宋体" w:hAnsi="宋体"/>
          <w:sz w:val="24"/>
        </w:rPr>
        <w:t>在中国证监会</w:t>
      </w:r>
      <w:r>
        <w:rPr>
          <w:rFonts w:hint="eastAsia" w:ascii="宋体" w:hAnsi="宋体"/>
          <w:sz w:val="24"/>
        </w:rPr>
        <w:t>规定</w:t>
      </w:r>
      <w:r>
        <w:rPr>
          <w:rFonts w:ascii="宋体" w:hAnsi="宋体"/>
          <w:sz w:val="24"/>
        </w:rPr>
        <w:t>媒介披露所投资非公开发行股票的名称、数量、总成本、账面价值</w:t>
      </w:r>
      <w:r>
        <w:rPr>
          <w:rFonts w:hint="eastAsia" w:ascii="宋体" w:hAnsi="宋体"/>
          <w:sz w:val="24"/>
        </w:rPr>
        <w:t>，</w:t>
      </w:r>
      <w:r>
        <w:rPr>
          <w:rFonts w:ascii="宋体" w:hAnsi="宋体"/>
          <w:sz w:val="24"/>
        </w:rPr>
        <w:t>以及总成本和账面价值占基金资产净值的比例、锁定期等信息。</w:t>
      </w:r>
    </w:p>
    <w:p>
      <w:pPr>
        <w:spacing w:line="360" w:lineRule="auto"/>
        <w:ind w:firstLine="480" w:firstLineChars="200"/>
        <w:rPr>
          <w:rFonts w:ascii="宋体" w:hAnsi="宋体"/>
          <w:sz w:val="24"/>
        </w:rPr>
      </w:pPr>
      <w:r>
        <w:rPr>
          <w:rFonts w:hint="eastAsia" w:ascii="宋体" w:hAnsi="宋体"/>
          <w:sz w:val="24"/>
        </w:rPr>
        <w:t>（六）基金管理人应当对投资中期票据业务进行研究，认真评估中期票据投资业务的风险，本着审慎、勤勉尽责的原则进行中期票据的投资业务，并应符合法律法规及监管机构的相关规定。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七</w:t>
      </w:r>
      <w:r>
        <w:rPr>
          <w:rFonts w:hint="eastAsia" w:ascii="宋体" w:hAnsi="宋体"/>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spacing w:line="360" w:lineRule="auto"/>
        <w:ind w:firstLine="480" w:firstLineChars="200"/>
        <w:rPr>
          <w:rFonts w:ascii="宋体" w:hAnsi="宋体"/>
          <w:sz w:val="24"/>
        </w:rPr>
      </w:pPr>
      <w:r>
        <w:rPr>
          <w:rFonts w:ascii="宋体" w:hAnsi="宋体"/>
          <w:sz w:val="24"/>
        </w:rPr>
        <w:t>（</w:t>
      </w:r>
      <w:r>
        <w:rPr>
          <w:rFonts w:hint="eastAsia" w:ascii="宋体" w:hAnsi="宋体" w:cs="宋体"/>
        </w:rPr>
        <w:t>八</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九</w:t>
      </w:r>
      <w:r>
        <w:rPr>
          <w:rFonts w:hint="eastAsia" w:ascii="宋体" w:hAnsi="宋体"/>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十</w:t>
      </w:r>
      <w:r>
        <w:rPr>
          <w:rFonts w:hint="eastAsia" w:ascii="宋体" w:hAnsi="宋体"/>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spacing w:line="360" w:lineRule="auto"/>
        <w:ind w:firstLine="480" w:firstLineChars="200"/>
        <w:rPr>
          <w:rFonts w:ascii="宋体" w:hAnsi="宋体"/>
          <w:sz w:val="24"/>
        </w:rPr>
      </w:pPr>
      <w:r>
        <w:rPr>
          <w:rFonts w:hint="eastAsia" w:ascii="宋体" w:hAnsi="宋体"/>
          <w:sz w:val="24"/>
        </w:rPr>
        <w:t>（十一）基金托管人发现基金管理人有重大违规行为，应及时报告中国证监会，同时通知基金管理人限期纠正。</w:t>
      </w:r>
    </w:p>
    <w:p>
      <w:pPr>
        <w:spacing w:line="360" w:lineRule="auto"/>
        <w:ind w:firstLine="480" w:firstLineChars="200"/>
        <w:rPr>
          <w:rFonts w:ascii="宋体" w:hAnsi="宋体"/>
          <w:sz w:val="24"/>
        </w:rPr>
      </w:pPr>
      <w:r>
        <w:rPr>
          <w:rFonts w:hint="eastAsia" w:ascii="宋体" w:hAnsi="宋体"/>
          <w:sz w:val="24"/>
        </w:rPr>
        <w:t>（十二）侧袋机制的实施和投资运作安排</w:t>
      </w:r>
    </w:p>
    <w:p>
      <w:pPr>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侧袋账户的实施条件、实施程序、运作安排、投资安排、特定资产的处置变现和支付等对投资者权益有重大影响的事项详见招募说明书的规定。</w:t>
      </w:r>
    </w:p>
    <w:p>
      <w:pPr>
        <w:pStyle w:val="3"/>
        <w:spacing w:before="312" w:beforeLines="100" w:after="156" w:afterLines="50" w:line="360" w:lineRule="auto"/>
        <w:jc w:val="center"/>
        <w:rPr>
          <w:rFonts w:ascii="宋体" w:hAnsi="宋体"/>
          <w:sz w:val="24"/>
        </w:rPr>
      </w:pPr>
      <w:bookmarkStart w:id="15" w:name="_Toc86726439"/>
      <w:bookmarkStart w:id="16" w:name="_Toc86225291"/>
      <w:bookmarkStart w:id="17" w:name="_Toc120435783"/>
      <w:bookmarkStart w:id="18" w:name="_Toc86737929"/>
      <w:bookmarkStart w:id="19" w:name="_Toc110765660"/>
      <w:bookmarkStart w:id="20" w:name="_Toc86223242"/>
      <w:bookmarkStart w:id="21" w:name="_Toc110830492"/>
      <w:bookmarkStart w:id="22" w:name="_Toc108512358"/>
      <w:bookmarkStart w:id="23" w:name="_Toc86727355"/>
      <w:bookmarkStart w:id="24" w:name="_Toc118212950"/>
      <w:bookmarkStart w:id="25" w:name="_Toc118972648"/>
      <w:bookmarkStart w:id="26" w:name="_Toc89163368"/>
      <w:bookmarkStart w:id="27" w:name="_Toc119402710"/>
      <w:bookmarkStart w:id="28" w:name="_Toc86649722"/>
      <w:bookmarkStart w:id="29" w:name="_Toc110761796"/>
      <w:bookmarkStart w:id="30" w:name="_Toc118774803"/>
      <w:r>
        <w:rPr>
          <w:rFonts w:ascii="宋体" w:hAnsi="宋体"/>
          <w:sz w:val="24"/>
        </w:rPr>
        <w:br w:type="page"/>
      </w:r>
      <w:bookmarkStart w:id="31" w:name="_Toc384992694"/>
      <w:bookmarkStart w:id="32" w:name="_Toc348082032"/>
      <w:bookmarkStart w:id="33" w:name="_Toc488938613"/>
      <w:r>
        <w:rPr>
          <w:rFonts w:hint="eastAsia" w:ascii="宋体" w:hAnsi="宋体"/>
          <w:sz w:val="24"/>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adjustRightInd w:val="0"/>
        <w:snapToGrid w:val="0"/>
        <w:spacing w:line="360" w:lineRule="auto"/>
        <w:ind w:firstLine="480" w:firstLineChars="200"/>
        <w:rPr>
          <w:rFonts w:ascii="宋体" w:hAnsi="宋体"/>
          <w:sz w:val="24"/>
        </w:rPr>
      </w:pPr>
      <w:r>
        <w:rPr>
          <w:rFonts w:hint="eastAsia" w:ascii="宋体" w:hAnsi="宋体"/>
          <w:sz w:val="24"/>
        </w:rPr>
        <w:t>（一）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djustRightInd w:val="0"/>
        <w:snapToGrid w:val="0"/>
        <w:spacing w:line="360" w:lineRule="auto"/>
        <w:ind w:firstLine="480" w:firstLineChars="200"/>
        <w:rPr>
          <w:rFonts w:ascii="宋体" w:hAnsi="宋体"/>
          <w:sz w:val="24"/>
        </w:rPr>
      </w:pPr>
      <w:r>
        <w:rPr>
          <w:rFonts w:hint="eastAsia" w:ascii="宋体" w:hAnsi="宋体"/>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0" w:firstLineChars="200"/>
        <w:rPr>
          <w:rFonts w:ascii="宋体" w:hAnsi="宋体"/>
          <w:sz w:val="24"/>
        </w:rPr>
      </w:pPr>
      <w:r>
        <w:rPr>
          <w:rFonts w:hint="eastAsia" w:ascii="宋体" w:hAnsi="宋体"/>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（四）基金管理人发现基金托管人有重大违规行为，应及时报告中国证监会，同时通知基金托管人限期纠正，并将纠正结果报告中国证监会。</w:t>
      </w:r>
    </w:p>
    <w:p>
      <w:pPr>
        <w:pStyle w:val="3"/>
        <w:spacing w:before="312" w:beforeLines="100" w:after="156" w:afterLines="50" w:line="360" w:lineRule="auto"/>
        <w:jc w:val="center"/>
        <w:rPr>
          <w:rFonts w:ascii="宋体" w:hAnsi="宋体"/>
          <w:sz w:val="24"/>
        </w:rPr>
      </w:pPr>
      <w:bookmarkStart w:id="34" w:name="_Toc118972649"/>
      <w:bookmarkStart w:id="35" w:name="_Toc86225292"/>
      <w:bookmarkStart w:id="36" w:name="_Toc118212951"/>
      <w:bookmarkStart w:id="37" w:name="_Toc84234388"/>
      <w:bookmarkStart w:id="38" w:name="_Toc89163369"/>
      <w:bookmarkStart w:id="39" w:name="_Toc84133786"/>
      <w:bookmarkStart w:id="40" w:name="_Toc84234435"/>
      <w:bookmarkStart w:id="41" w:name="_Toc86737930"/>
      <w:bookmarkStart w:id="42" w:name="_Toc86727356"/>
      <w:bookmarkStart w:id="43" w:name="_Toc110765661"/>
      <w:bookmarkStart w:id="44" w:name="_Toc86726440"/>
      <w:bookmarkStart w:id="45" w:name="_Toc118774804"/>
      <w:bookmarkStart w:id="46" w:name="_Toc120435784"/>
      <w:bookmarkStart w:id="47" w:name="_Toc119402711"/>
      <w:bookmarkStart w:id="48" w:name="_Toc86649723"/>
      <w:bookmarkStart w:id="49" w:name="_Toc110761797"/>
      <w:bookmarkStart w:id="50" w:name="_Toc110830493"/>
      <w:bookmarkStart w:id="51" w:name="_Toc108512359"/>
      <w:bookmarkStart w:id="52" w:name="_Toc86204789"/>
      <w:bookmarkStart w:id="53" w:name="_Toc86223243"/>
      <w:r>
        <w:rPr>
          <w:rFonts w:ascii="宋体" w:hAnsi="宋体"/>
          <w:sz w:val="24"/>
        </w:rPr>
        <w:br w:type="page"/>
      </w:r>
      <w:bookmarkStart w:id="54" w:name="_Toc488938614"/>
      <w:bookmarkStart w:id="55" w:name="_Toc384992695"/>
      <w:bookmarkStart w:id="56" w:name="_Toc348082033"/>
      <w:r>
        <w:rPr>
          <w:rFonts w:hint="eastAsia" w:ascii="宋体" w:hAnsi="宋体"/>
          <w:sz w:val="24"/>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adjustRightInd w:val="0"/>
        <w:snapToGrid w:val="0"/>
        <w:spacing w:line="360" w:lineRule="auto"/>
        <w:ind w:firstLine="480" w:firstLineChars="200"/>
        <w:rPr>
          <w:rFonts w:ascii="宋体" w:hAnsi="宋体"/>
          <w:sz w:val="24"/>
        </w:rPr>
      </w:pPr>
      <w:r>
        <w:rPr>
          <w:rFonts w:hint="eastAsia" w:ascii="宋体" w:hAnsi="宋体"/>
          <w:sz w:val="24"/>
        </w:rPr>
        <w:t>（一）基金财产保管的原则</w:t>
      </w:r>
    </w:p>
    <w:p>
      <w:pPr>
        <w:adjustRightInd w:val="0"/>
        <w:snapToGrid w:val="0"/>
        <w:spacing w:line="360" w:lineRule="auto"/>
        <w:ind w:firstLine="480" w:firstLineChars="200"/>
        <w:rPr>
          <w:rFonts w:ascii="宋体" w:hAnsi="宋体"/>
          <w:sz w:val="24"/>
        </w:rPr>
      </w:pPr>
      <w:r>
        <w:rPr>
          <w:rFonts w:ascii="宋体" w:hAnsi="宋体"/>
          <w:sz w:val="24"/>
        </w:rPr>
        <w:t>1.基金财产应独立于基金管理人、基金托管人的固有财产。</w:t>
      </w:r>
    </w:p>
    <w:p>
      <w:pPr>
        <w:adjustRightInd w:val="0"/>
        <w:snapToGrid w:val="0"/>
        <w:spacing w:line="360" w:lineRule="auto"/>
        <w:ind w:firstLine="480" w:firstLineChars="200"/>
        <w:rPr>
          <w:rFonts w:ascii="宋体" w:hAnsi="宋体"/>
          <w:sz w:val="24"/>
        </w:rPr>
      </w:pPr>
      <w:r>
        <w:rPr>
          <w:rFonts w:ascii="宋体" w:hAnsi="宋体"/>
          <w:sz w:val="24"/>
        </w:rPr>
        <w:t>2.基金托管人应安全保管基金财产。</w:t>
      </w:r>
    </w:p>
    <w:p>
      <w:pPr>
        <w:adjustRightInd w:val="0"/>
        <w:snapToGrid w:val="0"/>
        <w:spacing w:line="360" w:lineRule="auto"/>
        <w:ind w:firstLine="480" w:firstLineChars="200"/>
        <w:rPr>
          <w:rFonts w:ascii="宋体" w:hAnsi="宋体"/>
          <w:sz w:val="24"/>
        </w:rPr>
      </w:pPr>
      <w:r>
        <w:rPr>
          <w:rFonts w:ascii="宋体" w:hAnsi="宋体"/>
          <w:sz w:val="24"/>
        </w:rPr>
        <w:t>3.基金托管人按照规定开设基金财产</w:t>
      </w:r>
      <w:r>
        <w:rPr>
          <w:rFonts w:hint="eastAsia" w:ascii="宋体" w:hAnsi="宋体" w:cs="Arial"/>
          <w:sz w:val="24"/>
        </w:rPr>
        <w:t>的</w:t>
      </w:r>
      <w:r>
        <w:rPr>
          <w:rFonts w:ascii="宋体" w:hAnsi="宋体" w:cs="Arial"/>
          <w:sz w:val="24"/>
        </w:rPr>
        <w:t>资金账户</w:t>
      </w:r>
      <w:r>
        <w:rPr>
          <w:rFonts w:hint="eastAsia" w:ascii="宋体" w:hAnsi="宋体" w:cs="Arial"/>
          <w:sz w:val="24"/>
        </w:rPr>
        <w:t>、</w:t>
      </w:r>
      <w:r>
        <w:rPr>
          <w:rFonts w:ascii="宋体" w:hAnsi="宋体" w:cs="Arial"/>
          <w:sz w:val="24"/>
        </w:rPr>
        <w:t>证券账户</w:t>
      </w:r>
      <w:r>
        <w:rPr>
          <w:rFonts w:hint="eastAsia" w:ascii="宋体" w:hAnsi="宋体" w:cs="Arial"/>
          <w:sz w:val="24"/>
        </w:rPr>
        <w:t>和期货结算账户等</w:t>
      </w:r>
      <w:r>
        <w:rPr>
          <w:rFonts w:hint="eastAsia" w:ascii="宋体" w:hAnsi="宋体"/>
          <w:sz w:val="24"/>
        </w:rPr>
        <w:t>投资所需的相关账户。</w:t>
      </w:r>
    </w:p>
    <w:p>
      <w:pPr>
        <w:adjustRightInd w:val="0"/>
        <w:snapToGrid w:val="0"/>
        <w:spacing w:line="360" w:lineRule="auto"/>
        <w:ind w:firstLine="480" w:firstLineChars="200"/>
        <w:rPr>
          <w:rFonts w:ascii="宋体" w:hAnsi="宋体"/>
          <w:sz w:val="24"/>
        </w:rPr>
      </w:pPr>
      <w:r>
        <w:rPr>
          <w:rFonts w:ascii="宋体" w:hAnsi="宋体"/>
          <w:sz w:val="24"/>
        </w:rPr>
        <w:t>4.基金托管人对所托管的不同基金财产分别设置账户，确保基金财产的完整与独立。</w:t>
      </w:r>
    </w:p>
    <w:p>
      <w:pPr>
        <w:adjustRightInd w:val="0"/>
        <w:snapToGrid w:val="0"/>
        <w:spacing w:line="360" w:lineRule="auto"/>
        <w:ind w:firstLine="480" w:firstLineChars="200"/>
        <w:rPr>
          <w:rFonts w:ascii="宋体" w:hAnsi="宋体"/>
          <w:sz w:val="24"/>
        </w:rPr>
      </w:pPr>
      <w:r>
        <w:rPr>
          <w:rFonts w:ascii="宋体" w:hAnsi="宋体"/>
          <w:sz w:val="24"/>
        </w:rPr>
        <w:t>5.基金托管人根据基金管理人的指令，按照基金合同和本协议的约定保管基金财产。</w:t>
      </w:r>
      <w:r>
        <w:rPr>
          <w:rFonts w:hint="eastAsia" w:ascii="宋体" w:hAnsi="宋体"/>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0" w:firstLineChars="20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hint="eastAsia" w:ascii="宋体" w:hAnsi="宋体"/>
          <w:sz w:val="24"/>
        </w:rPr>
        <w:t>资金账户的，基金托管人应及时通知基金管理人采取措施进行催收，基金管理人应负责向有关当事人追偿基金财产的损失。</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除依据法律法规和基金合同的规定外，基金托管人不得委托第三人托管基金财产。</w:t>
      </w:r>
    </w:p>
    <w:p>
      <w:pPr>
        <w:adjustRightInd w:val="0"/>
        <w:snapToGrid w:val="0"/>
        <w:spacing w:line="360" w:lineRule="auto"/>
        <w:ind w:firstLine="480" w:firstLineChars="200"/>
        <w:rPr>
          <w:rFonts w:ascii="宋体" w:hAnsi="宋体"/>
          <w:sz w:val="24"/>
        </w:rPr>
      </w:pPr>
      <w:r>
        <w:rPr>
          <w:rFonts w:hint="eastAsia" w:ascii="宋体" w:hAnsi="宋体"/>
          <w:sz w:val="24"/>
        </w:rPr>
        <w:t>（二）基金募集期间及募集资金的验资</w:t>
      </w:r>
    </w:p>
    <w:p>
      <w:pPr>
        <w:adjustRightInd w:val="0"/>
        <w:snapToGrid w:val="0"/>
        <w:spacing w:line="360" w:lineRule="auto"/>
        <w:ind w:firstLine="480" w:firstLineChars="20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hint="eastAsia" w:ascii="宋体" w:hAnsi="宋体"/>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pPr>
        <w:adjustRightInd w:val="0"/>
        <w:snapToGrid w:val="0"/>
        <w:spacing w:line="360" w:lineRule="auto"/>
        <w:ind w:firstLine="480" w:firstLineChars="20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hint="eastAsia" w:ascii="宋体" w:hAnsi="宋体"/>
          <w:sz w:val="24"/>
        </w:rPr>
        <w:t>为基金开立的基金资金账户，同时在规定时间内，基金管理人应聘请符合《中华人民共和国证券法》规定的会计师事务所进行验资，出具验资报告。出具的验资报告由参加验资的</w:t>
      </w:r>
      <w:r>
        <w:rPr>
          <w:rFonts w:ascii="宋体" w:hAnsi="宋体"/>
          <w:sz w:val="24"/>
        </w:rPr>
        <w:t>2名或2名以上中国注册会计师签字方为有效。</w:t>
      </w:r>
    </w:p>
    <w:p>
      <w:pPr>
        <w:adjustRightInd w:val="0"/>
        <w:snapToGrid w:val="0"/>
        <w:spacing w:line="360" w:lineRule="auto"/>
        <w:ind w:firstLine="480" w:firstLineChars="200"/>
        <w:rPr>
          <w:rFonts w:ascii="宋体" w:hAnsi="宋体"/>
          <w:sz w:val="24"/>
        </w:rPr>
      </w:pPr>
      <w:r>
        <w:rPr>
          <w:rFonts w:ascii="宋体" w:hAnsi="宋体"/>
          <w:sz w:val="24"/>
        </w:rPr>
        <w:t>3.若基金募集期限届满，未能达到基金</w:t>
      </w:r>
      <w:r>
        <w:rPr>
          <w:rFonts w:hint="eastAsia" w:ascii="宋体" w:hAnsi="宋体"/>
          <w:sz w:val="24"/>
        </w:rPr>
        <w:t>合同生效</w:t>
      </w:r>
      <w:r>
        <w:rPr>
          <w:rFonts w:ascii="宋体" w:hAnsi="宋体"/>
          <w:sz w:val="24"/>
        </w:rPr>
        <w:t>的条件，由基金管理人按规定办理退款等事宜</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（三）基金资金账户的开立和管理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1.基金托管人以</w:t>
      </w:r>
      <w:r>
        <w:rPr>
          <w:rFonts w:hint="eastAsia" w:ascii="宋体" w:hAnsi="宋体"/>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交银施罗德启诚混合型证券投资基金</w:t>
      </w:r>
      <w:r>
        <w:rPr>
          <w:rFonts w:hint="eastAsia" w:ascii="宋体" w:hAnsi="宋体"/>
          <w:sz w:val="24"/>
        </w:rPr>
        <w:t>”，预留印鉴为基金托管人印章。</w:t>
      </w:r>
    </w:p>
    <w:p>
      <w:pPr>
        <w:adjustRightInd w:val="0"/>
        <w:snapToGrid w:val="0"/>
        <w:spacing w:line="360" w:lineRule="auto"/>
        <w:ind w:firstLine="480" w:firstLineChars="200"/>
        <w:rPr>
          <w:rFonts w:ascii="宋体" w:hAnsi="宋体"/>
          <w:sz w:val="24"/>
        </w:rPr>
      </w:pPr>
      <w:r>
        <w:rPr>
          <w:rFonts w:ascii="宋体" w:hAnsi="宋体"/>
          <w:sz w:val="24"/>
        </w:rPr>
        <w:t>2.基金</w:t>
      </w:r>
      <w:r>
        <w:rPr>
          <w:rFonts w:hint="eastAsia" w:ascii="宋体" w:hAnsi="宋体"/>
          <w:sz w:val="24"/>
        </w:rPr>
        <w:t>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w:t>
      </w:r>
      <w:r>
        <w:rPr>
          <w:rFonts w:hint="eastAsia" w:ascii="宋体" w:hAnsi="宋体"/>
          <w:sz w:val="24"/>
        </w:rPr>
        <w:t>资金账户的开立和管理应符合法律法规及银行业监督管理机构的有关规定。</w:t>
      </w:r>
    </w:p>
    <w:p>
      <w:pPr>
        <w:adjustRightInd w:val="0"/>
        <w:snapToGrid w:val="0"/>
        <w:spacing w:line="360" w:lineRule="auto"/>
        <w:ind w:firstLine="480" w:firstLineChars="200"/>
        <w:rPr>
          <w:rFonts w:ascii="宋体" w:hAnsi="宋体"/>
          <w:sz w:val="24"/>
        </w:rPr>
      </w:pPr>
      <w:r>
        <w:rPr>
          <w:rFonts w:hint="eastAsia" w:ascii="宋体" w:hAnsi="宋体"/>
          <w:sz w:val="24"/>
        </w:rPr>
        <w:t>（四）基金证券账户和结算备付金账户的开立和管理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pPr>
        <w:adjustRightInd w:val="0"/>
        <w:snapToGrid w:val="0"/>
        <w:spacing w:line="360" w:lineRule="auto"/>
        <w:ind w:firstLine="480" w:firstLineChars="20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hint="eastAsia" w:ascii="宋体" w:hAnsi="宋体"/>
          <w:sz w:val="24"/>
        </w:rPr>
        <w:t>结算保证金等的收取按照中国证券登记结算有限责任公司的规定执行。</w:t>
      </w:r>
    </w:p>
    <w:p>
      <w:pPr>
        <w:adjustRightInd w:val="0"/>
        <w:snapToGrid w:val="0"/>
        <w:spacing w:line="360" w:lineRule="auto"/>
        <w:ind w:firstLine="480" w:firstLineChars="20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hint="eastAsia" w:ascii="宋体" w:hAnsi="宋体"/>
          <w:color w:val="000000"/>
          <w:sz w:val="24"/>
        </w:rPr>
        <w:t>按有关规定开立、使用并管理；</w:t>
      </w:r>
      <w:r>
        <w:rPr>
          <w:rFonts w:hint="eastAsia" w:ascii="宋体" w:hAnsi="宋体"/>
          <w:sz w:val="24"/>
        </w:rPr>
        <w:t>若无相关规定，则基金托管人比照上述关于账户开立、使用的规定执行。</w:t>
      </w:r>
    </w:p>
    <w:p>
      <w:pPr>
        <w:adjustRightInd w:val="0"/>
        <w:snapToGrid w:val="0"/>
        <w:spacing w:line="360" w:lineRule="auto"/>
        <w:ind w:firstLine="480" w:firstLineChars="200"/>
        <w:rPr>
          <w:rFonts w:ascii="宋体" w:hAnsi="宋体"/>
          <w:sz w:val="24"/>
        </w:rPr>
      </w:pPr>
      <w:r>
        <w:rPr>
          <w:rFonts w:hint="eastAsia" w:ascii="宋体" w:hAnsi="宋体"/>
          <w:sz w:val="24"/>
        </w:rPr>
        <w:t>（五）债券托管账户的开设和管理</w:t>
      </w:r>
    </w:p>
    <w:p>
      <w:pPr>
        <w:adjustRightInd w:val="0"/>
        <w:snapToGrid w:val="0"/>
        <w:spacing w:line="360" w:lineRule="auto"/>
        <w:ind w:firstLine="480" w:firstLineChars="200"/>
        <w:rPr>
          <w:rFonts w:ascii="宋体" w:hAnsi="宋体"/>
          <w:sz w:val="24"/>
        </w:rPr>
      </w:pPr>
      <w:r>
        <w:rPr>
          <w:rFonts w:hint="eastAsia"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0" w:firstLineChars="200"/>
        <w:rPr>
          <w:rFonts w:ascii="宋体" w:hAnsi="宋体"/>
          <w:sz w:val="24"/>
        </w:rPr>
      </w:pPr>
      <w:r>
        <w:rPr>
          <w:rFonts w:hint="eastAsia" w:ascii="宋体" w:hAnsi="宋体"/>
          <w:sz w:val="24"/>
        </w:rPr>
        <w:t>（六）其他账户的开立和管理</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0" w:firstLineChars="200"/>
        <w:rPr>
          <w:rFonts w:ascii="宋体" w:hAnsi="宋体"/>
          <w:sz w:val="24"/>
        </w:rPr>
      </w:pPr>
      <w:r>
        <w:rPr>
          <w:rFonts w:ascii="宋体" w:hAnsi="宋体"/>
          <w:sz w:val="24"/>
        </w:rPr>
        <w:t>3.法律法规等有关规定对相关账户的开立和管理另有规定的，从其规定办理。</w:t>
      </w:r>
    </w:p>
    <w:p>
      <w:pPr>
        <w:adjustRightInd w:val="0"/>
        <w:snapToGrid w:val="0"/>
        <w:spacing w:line="360" w:lineRule="auto"/>
        <w:ind w:firstLine="480" w:firstLineChars="200"/>
        <w:rPr>
          <w:rFonts w:ascii="宋体" w:hAnsi="宋体"/>
          <w:sz w:val="24"/>
        </w:rPr>
      </w:pPr>
      <w:r>
        <w:rPr>
          <w:rFonts w:hint="eastAsia" w:ascii="宋体" w:hAnsi="宋体"/>
          <w:sz w:val="24"/>
        </w:rPr>
        <w:t>（七）基金财产投资的有关有价凭证等的保管</w:t>
      </w:r>
    </w:p>
    <w:p>
      <w:pPr>
        <w:adjustRightInd w:val="0"/>
        <w:snapToGrid w:val="0"/>
        <w:spacing w:line="360" w:lineRule="auto"/>
        <w:ind w:firstLine="480" w:firstLineChars="200"/>
        <w:rPr>
          <w:rFonts w:ascii="宋体" w:hAnsi="宋体"/>
          <w:sz w:val="24"/>
        </w:rPr>
      </w:pPr>
      <w:r>
        <w:rPr>
          <w:rFonts w:hint="eastAsia"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0" w:firstLineChars="200"/>
        <w:rPr>
          <w:rFonts w:ascii="宋体" w:hAnsi="宋体"/>
          <w:sz w:val="24"/>
        </w:rPr>
      </w:pPr>
      <w:r>
        <w:rPr>
          <w:rFonts w:hint="eastAsia" w:ascii="宋体" w:hAnsi="宋体"/>
          <w:sz w:val="24"/>
        </w:rPr>
        <w:t>（八）与基金财产有关的重大合同的保管</w:t>
      </w:r>
    </w:p>
    <w:p>
      <w:pPr>
        <w:adjustRightInd w:val="0"/>
        <w:snapToGrid w:val="0"/>
        <w:spacing w:line="360" w:lineRule="auto"/>
        <w:ind w:firstLine="480" w:firstLineChars="200"/>
        <w:rPr>
          <w:rFonts w:ascii="宋体" w:hAnsi="宋体"/>
          <w:sz w:val="24"/>
        </w:rPr>
      </w:pPr>
      <w:r>
        <w:rPr>
          <w:rFonts w:hint="eastAsia"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低于法律法规规定的最低期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pStyle w:val="3"/>
        <w:spacing w:before="312" w:beforeLines="100" w:after="156" w:afterLines="50" w:line="360" w:lineRule="auto"/>
        <w:jc w:val="center"/>
        <w:rPr>
          <w:rFonts w:ascii="宋体" w:hAnsi="宋体"/>
          <w:sz w:val="24"/>
        </w:rPr>
      </w:pPr>
      <w:bookmarkStart w:id="57" w:name="_Toc84234436"/>
      <w:bookmarkStart w:id="58" w:name="_Toc110830494"/>
      <w:bookmarkStart w:id="59" w:name="_Toc84234389"/>
      <w:bookmarkStart w:id="60" w:name="_Toc110765662"/>
      <w:bookmarkStart w:id="61" w:name="_Toc86225293"/>
      <w:bookmarkStart w:id="62" w:name="_Toc119402712"/>
      <w:bookmarkStart w:id="63" w:name="_Toc86204790"/>
      <w:bookmarkStart w:id="64" w:name="_Toc110761798"/>
      <w:bookmarkStart w:id="65" w:name="_Toc118972650"/>
      <w:bookmarkStart w:id="66" w:name="_Toc86726441"/>
      <w:bookmarkStart w:id="67" w:name="_Toc108512360"/>
      <w:bookmarkStart w:id="68" w:name="_Toc118212952"/>
      <w:bookmarkStart w:id="69" w:name="_Toc86727357"/>
      <w:bookmarkStart w:id="70" w:name="_Toc120435785"/>
      <w:bookmarkStart w:id="71" w:name="_Toc89163370"/>
      <w:bookmarkStart w:id="72" w:name="_Toc86223244"/>
      <w:bookmarkStart w:id="73" w:name="_Toc86649724"/>
      <w:bookmarkStart w:id="74" w:name="_Toc84133787"/>
      <w:bookmarkStart w:id="75" w:name="_Toc118774805"/>
      <w:bookmarkStart w:id="76" w:name="_Toc86737931"/>
      <w:r>
        <w:rPr>
          <w:rFonts w:ascii="宋体" w:hAnsi="宋体"/>
          <w:sz w:val="24"/>
        </w:rPr>
        <w:br w:type="page"/>
      </w:r>
      <w:bookmarkStart w:id="77" w:name="_Toc384992696"/>
      <w:bookmarkStart w:id="78" w:name="_Toc348082034"/>
      <w:bookmarkStart w:id="79" w:name="_Toc488938615"/>
      <w:r>
        <w:rPr>
          <w:rFonts w:hint="eastAsia" w:ascii="宋体" w:hAnsi="宋体"/>
          <w:sz w:val="24"/>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adjustRightInd w:val="0"/>
        <w:snapToGrid w:val="0"/>
        <w:spacing w:line="360" w:lineRule="auto"/>
        <w:ind w:firstLine="480" w:firstLineChars="200"/>
        <w:rPr>
          <w:rFonts w:ascii="宋体" w:hAnsi="宋体"/>
          <w:sz w:val="24"/>
        </w:rPr>
      </w:pPr>
      <w:r>
        <w:rPr>
          <w:rFonts w:hint="eastAsia" w:ascii="宋体" w:hAnsi="宋体"/>
          <w:sz w:val="24"/>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567"/>
        <w:jc w:val="left"/>
        <w:rPr>
          <w:rFonts w:ascii="宋体" w:hAnsi="宋体"/>
          <w:sz w:val="24"/>
        </w:rPr>
      </w:pPr>
      <w:r>
        <w:rPr>
          <w:rFonts w:hint="eastAsia" w:ascii="宋体" w:hAnsi="宋体"/>
          <w:sz w:val="24"/>
        </w:rPr>
        <w:t>基金管理人发送的指令包括电子指令和纸质指令。</w:t>
      </w:r>
    </w:p>
    <w:p>
      <w:pPr>
        <w:adjustRightInd w:val="0"/>
        <w:snapToGrid w:val="0"/>
        <w:spacing w:line="360" w:lineRule="auto"/>
        <w:ind w:firstLine="560"/>
        <w:jc w:val="left"/>
        <w:rPr>
          <w:rFonts w:ascii="宋体" w:hAnsi="宋体"/>
          <w:sz w:val="24"/>
        </w:rPr>
      </w:pPr>
      <w:r>
        <w:rPr>
          <w:rFonts w:hint="eastAsia" w:ascii="宋体" w:hAnsi="宋体"/>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基金管理人在启用电子指令前应使用传真或其他与基金托管人协商一致的方式向基金托管人发出启用函。启用函应注明启用的业务类型、启用日期等。启用函应加盖基金管理人公司公章。</w:t>
      </w:r>
    </w:p>
    <w:p>
      <w:pPr>
        <w:adjustRightInd w:val="0"/>
        <w:snapToGrid w:val="0"/>
        <w:spacing w:line="360" w:lineRule="auto"/>
        <w:ind w:firstLine="560"/>
        <w:jc w:val="left"/>
        <w:rPr>
          <w:rFonts w:ascii="宋体" w:hAnsi="宋体"/>
          <w:sz w:val="24"/>
        </w:rPr>
      </w:pPr>
      <w:r>
        <w:rPr>
          <w:rFonts w:hint="eastAsia" w:ascii="宋体" w:hAnsi="宋体"/>
          <w:sz w:val="24"/>
        </w:rPr>
        <w:t>基金管理人在发送纸质指令前，应出具传真指令启用函，注明发送传真的传真号、发送指令附件的邮箱地址以及指令确认人员及其联系方式。</w:t>
      </w:r>
    </w:p>
    <w:p>
      <w:pPr>
        <w:adjustRightInd w:val="0"/>
        <w:snapToGrid w:val="0"/>
        <w:spacing w:line="360" w:lineRule="auto"/>
        <w:ind w:firstLine="480" w:firstLineChars="200"/>
        <w:rPr>
          <w:rFonts w:ascii="宋体" w:hAnsi="宋体"/>
          <w:sz w:val="24"/>
        </w:rPr>
      </w:pPr>
      <w:r>
        <w:rPr>
          <w:rFonts w:hint="eastAsia" w:ascii="宋体" w:hAnsi="宋体"/>
          <w:sz w:val="24"/>
        </w:rPr>
        <w:t>（一）基金管理人对发送指令人员的书面授权</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未注明生效时间的以授权通知的落款日期为生效日期。基金管理人在此后三个工作日内将授权通知的正本送交基金托管人。授权通知书正本内容与基金托管人收到的传真不一致的，以基金托管人收到的传真为准。</w:t>
      </w:r>
    </w:p>
    <w:p>
      <w:pPr>
        <w:tabs>
          <w:tab w:val="left" w:pos="1260"/>
        </w:tabs>
        <w:adjustRightInd w:val="0"/>
        <w:snapToGrid w:val="0"/>
        <w:spacing w:line="360" w:lineRule="auto"/>
        <w:ind w:firstLine="480" w:firstLineChars="200"/>
        <w:rPr>
          <w:rFonts w:ascii="宋体" w:hAnsi="宋体"/>
          <w:sz w:val="24"/>
        </w:rPr>
      </w:pPr>
      <w:r>
        <w:rPr>
          <w:rFonts w:hint="eastAsia" w:ascii="宋体" w:hAnsi="宋体"/>
          <w:sz w:val="24"/>
        </w:rPr>
        <w:t>基金管理人和基金托管人对授权通知负有保密义务，其内容不得向授权人、被授权人及相关操作人员以外的任何人泄露，但法律法规规定或有权机关另有要求的除外。</w:t>
      </w:r>
    </w:p>
    <w:p>
      <w:pPr>
        <w:adjustRightInd w:val="0"/>
        <w:snapToGrid w:val="0"/>
        <w:spacing w:line="360" w:lineRule="auto"/>
        <w:ind w:firstLine="480" w:firstLineChars="200"/>
        <w:rPr>
          <w:rFonts w:ascii="宋体" w:hAnsi="宋体"/>
          <w:sz w:val="24"/>
        </w:rPr>
      </w:pPr>
      <w:r>
        <w:rPr>
          <w:rFonts w:hint="eastAsia" w:ascii="宋体" w:hAnsi="宋体"/>
          <w:sz w:val="24"/>
        </w:rPr>
        <w:t>（二）指令的内容</w:t>
      </w:r>
    </w:p>
    <w:p>
      <w:pPr>
        <w:adjustRightInd w:val="0"/>
        <w:snapToGrid w:val="0"/>
        <w:spacing w:line="360" w:lineRule="auto"/>
        <w:ind w:firstLine="480" w:firstLineChars="200"/>
        <w:rPr>
          <w:rFonts w:ascii="宋体" w:hAnsi="宋体"/>
          <w:sz w:val="24"/>
        </w:rPr>
      </w:pPr>
      <w:r>
        <w:rPr>
          <w:rFonts w:hint="eastAsia" w:ascii="宋体" w:hAnsi="宋体"/>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pPr>
        <w:adjustRightInd w:val="0"/>
        <w:snapToGrid w:val="0"/>
        <w:spacing w:line="360" w:lineRule="auto"/>
        <w:ind w:firstLine="480" w:firstLineChars="200"/>
        <w:rPr>
          <w:rFonts w:ascii="宋体" w:hAnsi="宋体"/>
          <w:sz w:val="24"/>
        </w:rPr>
      </w:pPr>
      <w:r>
        <w:rPr>
          <w:rFonts w:hint="eastAsia" w:ascii="宋体" w:hAnsi="宋体"/>
          <w:sz w:val="24"/>
        </w:rPr>
        <w:t>（三）指令的发送、确认及执行的时间和程序</w:t>
      </w:r>
    </w:p>
    <w:p>
      <w:pPr>
        <w:adjustRightInd w:val="0"/>
        <w:snapToGrid w:val="0"/>
        <w:spacing w:line="360" w:lineRule="auto"/>
        <w:ind w:firstLine="480" w:firstLineChars="200"/>
        <w:rPr>
          <w:rFonts w:ascii="宋体" w:hAnsi="宋体"/>
          <w:sz w:val="24"/>
        </w:rPr>
      </w:pPr>
      <w:r>
        <w:rPr>
          <w:rFonts w:ascii="宋体" w:hAnsi="宋体"/>
          <w:sz w:val="24"/>
        </w:rPr>
        <w:t>1.指令的发送</w:t>
      </w:r>
      <w:r>
        <w:rPr>
          <w:rFonts w:hint="eastAsia" w:ascii="宋体" w:hAnsi="宋体"/>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pPr>
        <w:adjustRightInd w:val="0"/>
        <w:snapToGrid w:val="0"/>
        <w:spacing w:line="360" w:lineRule="auto"/>
        <w:ind w:firstLine="480" w:firstLineChars="200"/>
        <w:rPr>
          <w:rFonts w:ascii="宋体" w:hAnsi="宋体"/>
          <w:sz w:val="24"/>
        </w:rPr>
      </w:pPr>
      <w:r>
        <w:rPr>
          <w:rFonts w:hint="eastAsia" w:ascii="宋体" w:hAnsi="宋体"/>
          <w:sz w:val="24"/>
        </w:rPr>
        <w:t>对于新股</w:t>
      </w:r>
      <w:r>
        <w:rPr>
          <w:rFonts w:hint="eastAsia" w:ascii="宋体" w:hAnsi="宋体"/>
          <w:szCs w:val="21"/>
        </w:rPr>
        <w:t>、</w:t>
      </w:r>
      <w:r>
        <w:rPr>
          <w:rFonts w:hint="eastAsia" w:ascii="宋体" w:hAnsi="宋体"/>
          <w:sz w:val="24"/>
        </w:rPr>
        <w:t>新债申购等网下公开发行业务，基金管理人应于网下申购缴款日的</w:t>
      </w:r>
      <w:r>
        <w:rPr>
          <w:rFonts w:ascii="宋体" w:hAnsi="宋体"/>
          <w:sz w:val="24"/>
        </w:rPr>
        <w:t>10:00前将指令发送给</w:t>
      </w:r>
      <w:r>
        <w:rPr>
          <w:rFonts w:hint="eastAsia" w:ascii="宋体" w:hAnsi="宋体"/>
          <w:sz w:val="24"/>
        </w:rPr>
        <w:t>基金托管人。</w:t>
      </w:r>
    </w:p>
    <w:p>
      <w:pPr>
        <w:adjustRightInd w:val="0"/>
        <w:snapToGrid w:val="0"/>
        <w:spacing w:line="360" w:lineRule="auto"/>
        <w:ind w:firstLine="480" w:firstLineChars="200"/>
        <w:rPr>
          <w:rFonts w:ascii="宋体" w:hAnsi="宋体"/>
          <w:sz w:val="24"/>
        </w:rPr>
      </w:pPr>
      <w:r>
        <w:rPr>
          <w:rFonts w:hint="eastAsia" w:ascii="宋体" w:hAnsi="宋体"/>
          <w:sz w:val="24"/>
        </w:rPr>
        <w:t>对于期货出入金业务，基金管理人应于交易日期货出入金截止时间前</w:t>
      </w:r>
      <w:r>
        <w:rPr>
          <w:rFonts w:ascii="宋体" w:hAnsi="宋体"/>
          <w:sz w:val="24"/>
        </w:rPr>
        <w:t>2小时将期货</w:t>
      </w:r>
      <w:r>
        <w:rPr>
          <w:rFonts w:hint="eastAsia" w:ascii="宋体" w:hAnsi="宋体"/>
          <w:sz w:val="24"/>
        </w:rPr>
        <w:t>出入金指令发送至基金托管人。</w:t>
      </w:r>
    </w:p>
    <w:p>
      <w:pPr>
        <w:adjustRightInd w:val="0"/>
        <w:snapToGrid w:val="0"/>
        <w:spacing w:line="360" w:lineRule="auto"/>
        <w:ind w:firstLine="480" w:firstLineChars="200"/>
        <w:rPr>
          <w:rFonts w:ascii="宋体" w:hAnsi="宋体"/>
          <w:sz w:val="24"/>
        </w:rPr>
      </w:pPr>
      <w:r>
        <w:rPr>
          <w:rFonts w:hint="eastAsia" w:ascii="宋体" w:hAnsi="宋体"/>
          <w:sz w:val="24"/>
        </w:rPr>
        <w:t>对于场内业务，首次进行场内交易前基金管理人应与基金托管人确认已完成交易单元和股东代码设置后方可进行。</w:t>
      </w:r>
    </w:p>
    <w:p>
      <w:pPr>
        <w:adjustRightInd w:val="0"/>
        <w:snapToGrid w:val="0"/>
        <w:spacing w:line="360" w:lineRule="auto"/>
        <w:ind w:firstLine="480" w:firstLineChars="200"/>
        <w:rPr>
          <w:rFonts w:ascii="宋体" w:hAnsi="宋体"/>
          <w:sz w:val="24"/>
        </w:rPr>
      </w:pPr>
      <w:r>
        <w:rPr>
          <w:rFonts w:hint="eastAsia" w:ascii="宋体" w:hAnsi="宋体"/>
          <w:sz w:val="24"/>
        </w:rPr>
        <w:t>对于银行间业务，如需发送银行间成交单或者划款指令的，基金管理人应于交易日</w:t>
      </w:r>
      <w:r>
        <w:rPr>
          <w:rFonts w:ascii="宋体" w:hAnsi="宋体"/>
          <w:sz w:val="24"/>
        </w:rPr>
        <w:t>15:00前将银行间成交单及相关划款指令发送至</w:t>
      </w:r>
      <w:r>
        <w:rPr>
          <w:rFonts w:hint="eastAsia" w:ascii="宋体" w:hAnsi="宋体"/>
          <w:sz w:val="24"/>
        </w:rPr>
        <w:t>基金托管人。基金管理人应与基金托管人确认基金托管人已完成证书和权限设置后方可进行本基金的银行间交易。</w:t>
      </w:r>
    </w:p>
    <w:p>
      <w:pPr>
        <w:adjustRightInd w:val="0"/>
        <w:snapToGrid w:val="0"/>
        <w:spacing w:line="360" w:lineRule="auto"/>
        <w:ind w:firstLine="480" w:firstLineChars="200"/>
        <w:rPr>
          <w:rFonts w:ascii="宋体" w:hAnsi="宋体"/>
          <w:sz w:val="24"/>
        </w:rPr>
      </w:pPr>
      <w:r>
        <w:rPr>
          <w:rFonts w:hint="eastAsia" w:ascii="宋体" w:hAnsi="宋体"/>
          <w:sz w:val="24"/>
        </w:rPr>
        <w:t>对于指定时间出款的交易指令，基金管理人应提前</w:t>
      </w:r>
      <w:r>
        <w:rPr>
          <w:rFonts w:ascii="宋体" w:hAnsi="宋体"/>
          <w:sz w:val="24"/>
        </w:rPr>
        <w:t>2小时将指令发送至</w:t>
      </w:r>
      <w:r>
        <w:rPr>
          <w:rFonts w:hint="eastAsia" w:ascii="宋体" w:hAnsi="宋体"/>
          <w:sz w:val="24"/>
        </w:rPr>
        <w:t>基金托管人；对于基金管理人于</w:t>
      </w:r>
      <w:r>
        <w:rPr>
          <w:rFonts w:ascii="宋体" w:hAnsi="宋体"/>
          <w:sz w:val="24"/>
        </w:rPr>
        <w:t>15:00以后发送至</w:t>
      </w:r>
      <w:r>
        <w:rPr>
          <w:rFonts w:hint="eastAsia" w:ascii="宋体" w:hAnsi="宋体"/>
          <w:sz w:val="24"/>
        </w:rPr>
        <w:t>基金托管人的指令，基金托管人不保证当日出款。</w:t>
      </w:r>
    </w:p>
    <w:p>
      <w:pPr>
        <w:adjustRightInd w:val="0"/>
        <w:snapToGrid w:val="0"/>
        <w:spacing w:line="360" w:lineRule="auto"/>
        <w:ind w:firstLine="480" w:firstLineChars="200"/>
        <w:rPr>
          <w:rFonts w:ascii="宋体" w:hAnsi="宋体"/>
          <w:sz w:val="24"/>
        </w:rPr>
      </w:pPr>
      <w:r>
        <w:rPr>
          <w:rFonts w:ascii="宋体" w:hAnsi="宋体"/>
          <w:sz w:val="24"/>
        </w:rPr>
        <w:t>2.指令的确认</w:t>
      </w:r>
      <w:r>
        <w:rPr>
          <w:rFonts w:hint="eastAsia" w:ascii="宋体" w:hAnsi="宋体"/>
          <w:sz w:val="24"/>
        </w:rPr>
        <w:t>：基金管理人有义务在发送指令后与基金托管人进行电话确认。对于依照“授权通知”发出的指令，基金管理人不得否认其效力。</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pPr>
        <w:adjustRightInd w:val="0"/>
        <w:snapToGrid w:val="0"/>
        <w:spacing w:line="360" w:lineRule="auto"/>
        <w:ind w:firstLine="480" w:firstLineChars="200"/>
        <w:rPr>
          <w:rFonts w:ascii="宋体" w:hAnsi="宋体"/>
          <w:sz w:val="24"/>
        </w:rPr>
      </w:pPr>
      <w:r>
        <w:rPr>
          <w:rFonts w:hint="eastAsia" w:ascii="宋体" w:hAnsi="宋体"/>
          <w:sz w:val="24"/>
        </w:rPr>
        <w:t>正常情况下由基金托管人依据基金管理人发出的出入金指令，通过期货结算银行银期转账系统进行出入金操作。</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当结算银行银期转账系统出现故障等其他紧急情况时，基金管理人可以使用非银期转账手工出入金。</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pPr>
        <w:adjustRightInd w:val="0"/>
        <w:snapToGrid w:val="0"/>
        <w:spacing w:line="360" w:lineRule="auto"/>
        <w:ind w:firstLine="480" w:firstLineChars="200"/>
        <w:rPr>
          <w:rFonts w:ascii="宋体" w:hAnsi="宋体"/>
          <w:szCs w:val="21"/>
        </w:rPr>
      </w:pPr>
      <w:r>
        <w:rPr>
          <w:rFonts w:hint="eastAsia" w:ascii="宋体" w:hAnsi="宋体"/>
          <w:sz w:val="24"/>
        </w:rPr>
        <w:t>执行完期货出金或入金的操作后，基金管理人应通过其交易系统或终端系统查询出金划出情况和入金到账情况。</w:t>
      </w:r>
    </w:p>
    <w:p>
      <w:pPr>
        <w:adjustRightInd w:val="0"/>
        <w:snapToGrid w:val="0"/>
        <w:spacing w:line="360" w:lineRule="auto"/>
        <w:ind w:firstLine="480" w:firstLineChars="200"/>
        <w:rPr>
          <w:rFonts w:ascii="宋体" w:hAnsi="宋体"/>
          <w:sz w:val="24"/>
        </w:rPr>
      </w:pPr>
      <w:r>
        <w:rPr>
          <w:rFonts w:hint="eastAsia" w:ascii="宋体" w:hAnsi="宋体"/>
          <w:sz w:val="24"/>
        </w:rPr>
        <w:t>在指令未执行的前提下，若基金管理人撤销指令，基金管理人应在原指令上注明“作废”、“废”等字样并加盖预留印鉴及被授权人签章后传真给基金托管人，并电话通知基金托管人。</w:t>
      </w:r>
    </w:p>
    <w:p>
      <w:pPr>
        <w:pStyle w:val="9"/>
        <w:spacing w:line="360" w:lineRule="auto"/>
        <w:rPr>
          <w:rFonts w:ascii="宋体" w:hAnsi="宋体" w:eastAsia="宋体"/>
          <w:szCs w:val="24"/>
        </w:rPr>
      </w:pPr>
      <w:r>
        <w:rPr>
          <w:rFonts w:hint="eastAsia" w:ascii="宋体" w:hAnsi="宋体" w:eastAsia="宋体"/>
          <w:szCs w:val="24"/>
        </w:rPr>
        <w:t>（四）基金管理人发送错误指令的情形和处理程序</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基金管理人发送错误指令的情形包括指令发送人员无权或超越权限发送指令，指令不能辨识或要素不全导致无法执行等情形。</w:t>
      </w:r>
    </w:p>
    <w:p>
      <w:pPr>
        <w:adjustRightInd w:val="0"/>
        <w:snapToGrid w:val="0"/>
        <w:spacing w:line="360" w:lineRule="auto"/>
        <w:ind w:firstLine="480" w:firstLineChars="200"/>
        <w:rPr>
          <w:rFonts w:ascii="宋体" w:hAnsi="宋体"/>
          <w:sz w:val="24"/>
        </w:rPr>
      </w:pPr>
      <w:r>
        <w:rPr>
          <w:rFonts w:ascii="宋体" w:hAnsi="宋体"/>
          <w:sz w:val="24"/>
        </w:rPr>
        <w:t>2、当</w:t>
      </w:r>
      <w:r>
        <w:rPr>
          <w:rFonts w:hint="eastAsia" w:ascii="宋体" w:hAnsi="宋体"/>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pPr>
        <w:adjustRightInd w:val="0"/>
        <w:snapToGrid w:val="0"/>
        <w:spacing w:line="360" w:lineRule="auto"/>
        <w:ind w:firstLine="480" w:firstLineChars="200"/>
        <w:rPr>
          <w:rFonts w:ascii="宋体" w:hAnsi="宋体"/>
          <w:sz w:val="24"/>
        </w:rPr>
      </w:pPr>
      <w:r>
        <w:rPr>
          <w:rFonts w:hint="eastAsia" w:ascii="宋体" w:hAnsi="宋体"/>
          <w:sz w:val="24"/>
        </w:rPr>
        <w:t>（五）基金托管人依照法律法规暂缓、拒绝执行指令的情形和处理程序</w:t>
      </w:r>
    </w:p>
    <w:p>
      <w:pPr>
        <w:adjustRightInd w:val="0"/>
        <w:snapToGrid w:val="0"/>
        <w:spacing w:line="360" w:lineRule="auto"/>
        <w:ind w:firstLine="480" w:firstLineChars="200"/>
        <w:rPr>
          <w:rFonts w:ascii="宋体" w:hAnsi="宋体"/>
          <w:sz w:val="24"/>
        </w:rPr>
      </w:pPr>
      <w:r>
        <w:rPr>
          <w:rFonts w:hint="eastAsia" w:ascii="宋体" w:hAnsi="宋体"/>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Pr>
          <w:rFonts w:ascii="宋体" w:hAnsi="宋体"/>
          <w:sz w:val="24"/>
        </w:rPr>
        <w:t>10个工作日内纠正，并报告中国证监会</w:t>
      </w:r>
      <w:r>
        <w:rPr>
          <w:rFonts w:hint="eastAsia" w:ascii="宋体" w:hAnsi="宋体"/>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pPr>
        <w:adjustRightInd w:val="0"/>
        <w:snapToGrid w:val="0"/>
        <w:spacing w:line="360" w:lineRule="auto"/>
        <w:ind w:firstLine="480" w:firstLineChars="200"/>
        <w:rPr>
          <w:rFonts w:ascii="宋体" w:hAnsi="宋体"/>
          <w:sz w:val="24"/>
        </w:rPr>
      </w:pPr>
      <w:r>
        <w:rPr>
          <w:rFonts w:hint="eastAsia" w:ascii="宋体" w:hAnsi="宋体"/>
          <w:sz w:val="24"/>
        </w:rPr>
        <w:t>（六）基金托管人未按照基金管理人指令执行的处理方法</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对于基金管理人的有效指令和通知，除非违反法律法规、基金合同、托管协议或具有第（四）项所述错误，基金托管人不得无故拒绝或拖延执行，否则应就基金或基金管理人由此产生的损失负赔偿责任。</w:t>
      </w:r>
    </w:p>
    <w:p>
      <w:pPr>
        <w:adjustRightInd w:val="0"/>
        <w:snapToGrid w:val="0"/>
        <w:spacing w:line="360" w:lineRule="auto"/>
        <w:ind w:firstLine="480" w:firstLineChars="200"/>
        <w:rPr>
          <w:rFonts w:ascii="宋体" w:hAnsi="宋体"/>
          <w:sz w:val="24"/>
        </w:rPr>
      </w:pPr>
      <w:r>
        <w:rPr>
          <w:rFonts w:hint="eastAsia" w:ascii="宋体" w:hAnsi="宋体"/>
          <w:sz w:val="24"/>
        </w:rPr>
        <w:t>除因故意或过失致使基金</w:t>
      </w:r>
      <w:r>
        <w:rPr>
          <w:rFonts w:ascii="宋体" w:hAnsi="宋体" w:cs="Arial"/>
          <w:sz w:val="24"/>
        </w:rPr>
        <w:t>财产</w:t>
      </w:r>
      <w:r>
        <w:rPr>
          <w:rFonts w:hint="eastAsia" w:ascii="宋体" w:hAnsi="宋体" w:cs="Arial"/>
          <w:sz w:val="24"/>
        </w:rPr>
        <w:t>、基金份额</w:t>
      </w:r>
      <w:r>
        <w:rPr>
          <w:rFonts w:ascii="宋体" w:hAnsi="宋体" w:cs="Arial"/>
          <w:sz w:val="24"/>
        </w:rPr>
        <w:t>持有人</w:t>
      </w:r>
      <w:r>
        <w:rPr>
          <w:rFonts w:hint="eastAsia" w:ascii="宋体" w:hAnsi="宋体"/>
          <w:sz w:val="24"/>
        </w:rPr>
        <w:t>、基金管理人的利益受到损害而负赔偿责任外，基金托管人对执行基金管理人的合法指令对基金财产造成的损失不承担赔偿责任。</w:t>
      </w:r>
    </w:p>
    <w:p>
      <w:pPr>
        <w:adjustRightInd w:val="0"/>
        <w:snapToGrid w:val="0"/>
        <w:spacing w:line="360" w:lineRule="auto"/>
        <w:ind w:firstLine="480" w:firstLineChars="200"/>
        <w:rPr>
          <w:rFonts w:ascii="宋体" w:hAnsi="宋体"/>
          <w:sz w:val="24"/>
        </w:rPr>
      </w:pPr>
      <w:r>
        <w:rPr>
          <w:rFonts w:hint="eastAsia" w:ascii="宋体" w:hAnsi="宋体"/>
          <w:sz w:val="24"/>
        </w:rPr>
        <w:t>（七）更换被授权人员的程序</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pPr>
        <w:adjustRightInd w:val="0"/>
        <w:snapToGrid w:val="0"/>
        <w:spacing w:line="360" w:lineRule="auto"/>
        <w:ind w:firstLine="480" w:firstLineChars="200"/>
        <w:rPr>
          <w:rFonts w:ascii="宋体" w:hAnsi="宋体"/>
          <w:sz w:val="24"/>
        </w:rPr>
      </w:pPr>
      <w:r>
        <w:rPr>
          <w:rFonts w:hint="eastAsia" w:ascii="宋体" w:hAnsi="宋体"/>
          <w:sz w:val="24"/>
        </w:rPr>
        <w:t>基金托管人更换接收基金管理人指令的人员，应提前通知基金管理人。</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（八）指令的保管</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指令若以传真形式发出，则正本由基金管理人保管，基金托管人保管指令传真件。当两者不一致时，以基金托管人收到的指令传真件为准。</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（九）相关责任</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pPr>
        <w:adjustRightInd w:val="0"/>
        <w:snapToGrid w:val="0"/>
        <w:spacing w:line="360" w:lineRule="auto"/>
        <w:ind w:firstLine="480" w:firstLineChars="200"/>
        <w:rPr>
          <w:rFonts w:ascii="宋体" w:hAnsi="宋体"/>
          <w:sz w:val="24"/>
        </w:rPr>
      </w:pPr>
      <w:r>
        <w:rPr>
          <w:rFonts w:hint="eastAsia" w:ascii="宋体" w:hAnsi="宋体"/>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托管协议约定尽形式审核义务执行指令而造成损失的情形除外。</w:t>
      </w:r>
    </w:p>
    <w:p>
      <w:pPr>
        <w:pStyle w:val="3"/>
        <w:spacing w:before="312" w:beforeLines="100" w:after="156" w:afterLines="50" w:line="360" w:lineRule="auto"/>
        <w:jc w:val="center"/>
        <w:rPr>
          <w:rFonts w:ascii="宋体" w:hAnsi="宋体"/>
          <w:sz w:val="24"/>
        </w:rPr>
      </w:pPr>
      <w:bookmarkStart w:id="80" w:name="_Toc120435786"/>
      <w:bookmarkStart w:id="81" w:name="_Toc110830495"/>
      <w:bookmarkStart w:id="82" w:name="_Toc110765663"/>
      <w:bookmarkStart w:id="83" w:name="_Toc118774806"/>
      <w:bookmarkStart w:id="84" w:name="_Toc110761799"/>
      <w:bookmarkStart w:id="85" w:name="_Toc108512361"/>
      <w:bookmarkStart w:id="86" w:name="_Toc86737932"/>
      <w:bookmarkStart w:id="87" w:name="_Toc119402713"/>
      <w:bookmarkStart w:id="88" w:name="_Toc118212953"/>
      <w:bookmarkStart w:id="89" w:name="_Toc86727358"/>
      <w:bookmarkStart w:id="90" w:name="_Toc86225294"/>
      <w:bookmarkStart w:id="91" w:name="_Toc118972651"/>
      <w:bookmarkStart w:id="92" w:name="_Toc89163371"/>
      <w:bookmarkStart w:id="93" w:name="_Toc86726442"/>
      <w:bookmarkStart w:id="94" w:name="_Toc86204791"/>
      <w:bookmarkStart w:id="95" w:name="_Toc84133788"/>
      <w:bookmarkStart w:id="96" w:name="_Toc84234390"/>
      <w:bookmarkStart w:id="97" w:name="_Toc86223245"/>
      <w:bookmarkStart w:id="98" w:name="_Toc84234437"/>
      <w:bookmarkStart w:id="99" w:name="_Toc86649725"/>
      <w:r>
        <w:rPr>
          <w:rFonts w:ascii="宋体" w:hAnsi="宋体"/>
          <w:sz w:val="24"/>
        </w:rPr>
        <w:br w:type="page"/>
      </w:r>
      <w:bookmarkStart w:id="100" w:name="_Toc384992697"/>
      <w:bookmarkStart w:id="101" w:name="_Toc488938616"/>
      <w:bookmarkStart w:id="102" w:name="_Toc348082035"/>
      <w:r>
        <w:rPr>
          <w:rFonts w:hint="eastAsia" w:ascii="宋体" w:hAnsi="宋体"/>
          <w:sz w:val="24"/>
        </w:rPr>
        <w:t>七、交易及清算交收安排</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adjustRightInd w:val="0"/>
        <w:snapToGrid w:val="0"/>
        <w:spacing w:line="360" w:lineRule="auto"/>
        <w:ind w:firstLine="480" w:firstLineChars="200"/>
        <w:rPr>
          <w:rFonts w:ascii="宋体" w:hAnsi="宋体"/>
          <w:sz w:val="24"/>
        </w:rPr>
      </w:pPr>
      <w:r>
        <w:rPr>
          <w:rFonts w:hint="eastAsia" w:ascii="宋体" w:hAnsi="宋体"/>
          <w:sz w:val="24"/>
        </w:rPr>
        <w:t>（一）选择代理证券、期货买卖的证券经营机构、期货经纪机构</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基金管理人所选择的期货公司负责办理委托资产的期货交易的清算交割。</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应责成其选择的期货公司通过深证通向基金托管人及基金管理人发送以市场监控中心格式显示本产品成交结果的交易结算报告及参照市场监控中心格式制作的显示本产品期货保证金账户权益状况的交易结算报告。经基金托管人同意，可采用电子邮件的传送方式作为应急备份方式传输当日交易结算数据。</w:t>
      </w:r>
    </w:p>
    <w:p>
      <w:pPr>
        <w:adjustRightInd w:val="0"/>
        <w:snapToGrid w:val="0"/>
        <w:spacing w:line="360" w:lineRule="auto"/>
        <w:ind w:firstLine="480" w:firstLineChars="200"/>
        <w:rPr>
          <w:rFonts w:ascii="宋体" w:hAnsi="宋体"/>
          <w:sz w:val="24"/>
        </w:rPr>
      </w:pPr>
      <w:r>
        <w:rPr>
          <w:rFonts w:hint="eastAsia" w:ascii="宋体" w:hAnsi="宋体"/>
          <w:sz w:val="24"/>
        </w:rPr>
        <w:t>正常情况下当日交易结算报告的发送时间应在交易日当日的</w:t>
      </w:r>
      <w:r>
        <w:rPr>
          <w:rFonts w:ascii="宋体" w:hAnsi="宋体"/>
          <w:sz w:val="24"/>
        </w:rPr>
        <w:t>17：00之前。因交易所原因而造成数据延迟发送的，基金管理人应及时通知基金托管人，并在恢复后告知期货公司立即发送至基金托管人，并电话确认数据接收状况。</w:t>
      </w:r>
      <w:r>
        <w:rPr>
          <w:rFonts w:hint="eastAsia" w:ascii="宋体" w:hAnsi="宋体"/>
          <w:sz w:val="24"/>
        </w:rPr>
        <w:t>若期货公司发送的期货数据有误，重新向基金管理人、基金托管人发送的，基金管理人应责成期货公司在发送新的期货数据后立即通知基金托管人，并电话确认数据接收状况。</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基金管理人应责成其选择的期货公司对发送的数据的准确性、完整性、真实性负责。</w:t>
      </w:r>
    </w:p>
    <w:p>
      <w:pPr>
        <w:adjustRightInd w:val="0"/>
        <w:snapToGrid w:val="0"/>
        <w:spacing w:line="360" w:lineRule="auto"/>
        <w:ind w:firstLine="480" w:firstLineChars="200"/>
        <w:rPr>
          <w:rFonts w:ascii="宋体" w:hAnsi="宋体" w:cs="Arial"/>
          <w:szCs w:val="21"/>
        </w:rPr>
      </w:pPr>
      <w:r>
        <w:rPr>
          <w:rFonts w:hint="eastAsia" w:ascii="宋体" w:hAnsi="宋体"/>
          <w:sz w:val="24"/>
        </w:rPr>
        <w:t>由于交易结算报告的记载事项出现与实际交易结果和权益不符造成本产品估值计算错误的，应由基金管理人负责向数据发送方追偿，基金托管人不承担责任。</w:t>
      </w:r>
    </w:p>
    <w:p>
      <w:pPr>
        <w:adjustRightInd w:val="0"/>
        <w:snapToGrid w:val="0"/>
        <w:spacing w:line="360" w:lineRule="auto"/>
        <w:ind w:firstLine="480" w:firstLineChars="200"/>
        <w:rPr>
          <w:rFonts w:ascii="宋体" w:hAnsi="宋体"/>
          <w:sz w:val="24"/>
        </w:rPr>
      </w:pPr>
      <w:r>
        <w:rPr>
          <w:rFonts w:hint="eastAsia" w:ascii="宋体" w:hAnsi="宋体"/>
          <w:sz w:val="24"/>
        </w:rPr>
        <w:t>（二）基金投资证券后的清算交收安排</w:t>
      </w:r>
    </w:p>
    <w:p>
      <w:pPr>
        <w:adjustRightInd w:val="0"/>
        <w:snapToGrid w:val="0"/>
        <w:spacing w:line="360" w:lineRule="auto"/>
        <w:ind w:firstLine="480" w:firstLineChars="200"/>
        <w:rPr>
          <w:rFonts w:ascii="宋体" w:hAnsi="宋体"/>
          <w:sz w:val="24"/>
        </w:rPr>
      </w:pPr>
      <w:r>
        <w:rPr>
          <w:rFonts w:hint="eastAsia" w:ascii="宋体" w:hAnsi="宋体"/>
          <w:color w:val="000000"/>
          <w:sz w:val="24"/>
        </w:rPr>
        <w:t>基金管理人和基金托管人在基金财产场内清算交收及相关风险控制方面的职责按照附件《托管银行证券资金结算规定》的要求执行。</w:t>
      </w:r>
    </w:p>
    <w:p>
      <w:pPr>
        <w:adjustRightInd w:val="0"/>
        <w:snapToGrid w:val="0"/>
        <w:spacing w:line="360" w:lineRule="auto"/>
        <w:ind w:firstLine="480" w:firstLineChars="200"/>
        <w:rPr>
          <w:rFonts w:ascii="宋体" w:hAnsi="宋体"/>
          <w:sz w:val="24"/>
        </w:rPr>
      </w:pPr>
      <w:r>
        <w:rPr>
          <w:rFonts w:hint="eastAsia" w:ascii="宋体" w:hAnsi="宋体"/>
          <w:sz w:val="24"/>
        </w:rPr>
        <w:t>（三）基金申购、赎回和转换业务处理的基本规定</w:t>
      </w:r>
    </w:p>
    <w:p>
      <w:pPr>
        <w:adjustRightInd w:val="0"/>
        <w:snapToGrid w:val="0"/>
        <w:spacing w:line="360" w:lineRule="auto"/>
        <w:ind w:firstLine="480" w:firstLineChars="200"/>
        <w:rPr>
          <w:rFonts w:ascii="宋体" w:hAnsi="宋体"/>
          <w:sz w:val="24"/>
        </w:rPr>
      </w:pPr>
      <w:r>
        <w:rPr>
          <w:rFonts w:ascii="宋体" w:hAnsi="宋体"/>
          <w:sz w:val="24"/>
        </w:rPr>
        <w:t>1.基金份额申购、赎回</w:t>
      </w:r>
      <w:r>
        <w:rPr>
          <w:rFonts w:hint="eastAsia" w:ascii="宋体" w:hAnsi="宋体"/>
          <w:sz w:val="24"/>
        </w:rPr>
        <w:t>、转换的确认、清算由基金管理人或其委托的登记机构负责。</w:t>
      </w:r>
    </w:p>
    <w:p>
      <w:pPr>
        <w:adjustRightInd w:val="0"/>
        <w:snapToGrid w:val="0"/>
        <w:spacing w:line="360" w:lineRule="auto"/>
        <w:ind w:firstLine="480" w:firstLineChars="200"/>
        <w:rPr>
          <w:rFonts w:ascii="宋体" w:hAnsi="宋体"/>
          <w:sz w:val="24"/>
        </w:rPr>
      </w:pPr>
      <w:r>
        <w:rPr>
          <w:rFonts w:ascii="宋体" w:hAnsi="宋体"/>
          <w:sz w:val="24"/>
        </w:rPr>
        <w:t>2.基金管理人应将每个开放日的申购、赎回、转换</w:t>
      </w:r>
      <w:r>
        <w:rPr>
          <w:rFonts w:hint="eastAsia" w:ascii="宋体" w:hAnsi="宋体"/>
          <w:sz w:val="24"/>
        </w:rPr>
        <w:t>本</w:t>
      </w:r>
      <w:r>
        <w:rPr>
          <w:rFonts w:ascii="宋体" w:hAnsi="宋体"/>
          <w:sz w:val="24"/>
        </w:rPr>
        <w:t>基金的数据传送给基金托管人。基金管理人应对传递的申购、赎回、转换</w:t>
      </w:r>
      <w:r>
        <w:rPr>
          <w:rFonts w:hint="eastAsia" w:ascii="宋体" w:hAnsi="宋体"/>
          <w:sz w:val="24"/>
        </w:rPr>
        <w:t>本</w:t>
      </w:r>
      <w:r>
        <w:rPr>
          <w:rFonts w:ascii="宋体" w:hAnsi="宋体"/>
          <w:sz w:val="24"/>
        </w:rPr>
        <w:t>基金的数据真实性</w:t>
      </w:r>
      <w:r>
        <w:rPr>
          <w:rFonts w:hint="eastAsia" w:ascii="宋体" w:hAnsi="宋体"/>
          <w:sz w:val="24"/>
        </w:rPr>
        <w:t>和准确性负责。基金托管人应及时查收申购及转入资金的到账情况并根据基金管理人指令及时划付赎回及转出款项。</w:t>
      </w:r>
    </w:p>
    <w:p>
      <w:pPr>
        <w:adjustRightInd w:val="0"/>
        <w:snapToGrid w:val="0"/>
        <w:spacing w:line="360" w:lineRule="auto"/>
        <w:ind w:firstLine="480" w:firstLineChars="200"/>
        <w:rPr>
          <w:rFonts w:ascii="宋体" w:hAnsi="宋体"/>
          <w:sz w:val="24"/>
        </w:rPr>
      </w:pPr>
      <w:r>
        <w:rPr>
          <w:rFonts w:ascii="宋体" w:hAnsi="宋体"/>
          <w:sz w:val="24"/>
        </w:rPr>
        <w:t>3.基金管理人应保证本基金（或本基金管理人委托）的</w:t>
      </w:r>
      <w:r>
        <w:rPr>
          <w:rFonts w:hint="eastAsia" w:ascii="宋体" w:hAnsi="宋体"/>
          <w:sz w:val="24"/>
        </w:rPr>
        <w:t>登记机构每个工作日</w:t>
      </w:r>
      <w:r>
        <w:rPr>
          <w:rFonts w:ascii="宋体" w:hAnsi="宋体"/>
          <w:sz w:val="24"/>
        </w:rPr>
        <w:t>15:00前向基金托管人发送前一开放日上述有关数据，并保证相关数据的准确、完整。</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pPr>
        <w:adjustRightInd w:val="0"/>
        <w:snapToGrid w:val="0"/>
        <w:spacing w:line="360" w:lineRule="auto"/>
        <w:ind w:firstLine="480" w:firstLineChars="200"/>
        <w:rPr>
          <w:rFonts w:ascii="宋体" w:hAnsi="宋体"/>
          <w:sz w:val="24"/>
        </w:rPr>
      </w:pPr>
      <w:r>
        <w:rPr>
          <w:rFonts w:ascii="宋体" w:hAnsi="宋体"/>
          <w:sz w:val="24"/>
        </w:rPr>
        <w:t>5.如基金管理人委托其他机构办理本基金的</w:t>
      </w:r>
      <w:r>
        <w:rPr>
          <w:rFonts w:hint="eastAsia" w:ascii="宋体" w:hAnsi="宋体"/>
          <w:sz w:val="24"/>
        </w:rPr>
        <w:t>注册登记业务，应保证上述相关事宜按时进行。否则，由基金管理人承担相应的责任。</w:t>
      </w:r>
    </w:p>
    <w:p>
      <w:pPr>
        <w:adjustRightInd w:val="0"/>
        <w:snapToGrid w:val="0"/>
        <w:spacing w:line="360" w:lineRule="auto"/>
        <w:ind w:firstLine="480" w:firstLineChars="200"/>
        <w:rPr>
          <w:rFonts w:ascii="宋体" w:hAnsi="宋体"/>
          <w:sz w:val="24"/>
        </w:rPr>
      </w:pPr>
      <w:r>
        <w:rPr>
          <w:rFonts w:ascii="宋体" w:hAnsi="宋体"/>
          <w:sz w:val="24"/>
        </w:rPr>
        <w:t>6.关于清算专用账户的设立和管理</w:t>
      </w:r>
    </w:p>
    <w:p>
      <w:pPr>
        <w:adjustRightInd w:val="0"/>
        <w:snapToGrid w:val="0"/>
        <w:spacing w:line="360" w:lineRule="auto"/>
        <w:ind w:firstLine="480" w:firstLineChars="200"/>
        <w:rPr>
          <w:rFonts w:ascii="宋体" w:hAnsi="宋体"/>
          <w:sz w:val="24"/>
        </w:rPr>
      </w:pPr>
      <w:r>
        <w:rPr>
          <w:rFonts w:hint="eastAsia" w:ascii="宋体" w:hAnsi="宋体"/>
          <w:sz w:val="24"/>
        </w:rPr>
        <w:t>为满足申购、赎回、转换及分红资金汇划的需要，由基金管理人开立资金清算的专用账户，该账户由登记机构管理。</w:t>
      </w:r>
    </w:p>
    <w:p>
      <w:pPr>
        <w:adjustRightInd w:val="0"/>
        <w:snapToGrid w:val="0"/>
        <w:spacing w:line="360" w:lineRule="auto"/>
        <w:ind w:firstLine="480" w:firstLineChars="200"/>
        <w:rPr>
          <w:rFonts w:ascii="宋体" w:hAnsi="宋体"/>
          <w:sz w:val="24"/>
        </w:rPr>
      </w:pPr>
      <w:r>
        <w:rPr>
          <w:rFonts w:ascii="宋体" w:hAnsi="宋体"/>
          <w:sz w:val="24"/>
        </w:rPr>
        <w:t>7.对于基金申购</w:t>
      </w:r>
      <w:r>
        <w:rPr>
          <w:rFonts w:hint="eastAsia" w:ascii="宋体" w:hAnsi="宋体"/>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pPr>
        <w:adjustRightInd w:val="0"/>
        <w:snapToGrid w:val="0"/>
        <w:spacing w:line="360" w:lineRule="auto"/>
        <w:ind w:firstLine="480" w:firstLineChars="200"/>
        <w:rPr>
          <w:rFonts w:ascii="宋体" w:hAnsi="宋体"/>
          <w:sz w:val="24"/>
        </w:rPr>
      </w:pPr>
      <w:r>
        <w:rPr>
          <w:rFonts w:ascii="宋体" w:hAnsi="宋体"/>
          <w:sz w:val="24"/>
        </w:rPr>
        <w:t>8.赎回</w:t>
      </w:r>
      <w:r>
        <w:rPr>
          <w:rFonts w:hint="eastAsia" w:ascii="宋体" w:hAnsi="宋体"/>
          <w:sz w:val="24"/>
        </w:rPr>
        <w:t>、转换资金划付规定</w:t>
      </w:r>
    </w:p>
    <w:p>
      <w:pPr>
        <w:adjustRightInd w:val="0"/>
        <w:snapToGrid w:val="0"/>
        <w:spacing w:line="360" w:lineRule="auto"/>
        <w:ind w:firstLine="480" w:firstLineChars="200"/>
        <w:rPr>
          <w:rFonts w:ascii="宋体" w:hAnsi="宋体"/>
          <w:sz w:val="24"/>
        </w:rPr>
      </w:pPr>
      <w:r>
        <w:rPr>
          <w:rFonts w:hint="eastAsia" w:ascii="宋体" w:hAnsi="宋体"/>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pPr>
        <w:adjustRightInd w:val="0"/>
        <w:snapToGrid w:val="0"/>
        <w:spacing w:line="360" w:lineRule="auto"/>
        <w:ind w:firstLine="480" w:firstLineChars="200"/>
        <w:rPr>
          <w:rFonts w:ascii="宋体" w:hAnsi="宋体"/>
          <w:sz w:val="24"/>
        </w:rPr>
      </w:pPr>
      <w:r>
        <w:rPr>
          <w:rFonts w:ascii="宋体" w:hAnsi="宋体"/>
          <w:sz w:val="24"/>
        </w:rPr>
        <w:t>9.资金指令</w:t>
      </w:r>
    </w:p>
    <w:p>
      <w:pPr>
        <w:adjustRightInd w:val="0"/>
        <w:snapToGrid w:val="0"/>
        <w:spacing w:line="360" w:lineRule="auto"/>
        <w:ind w:firstLine="480" w:firstLineChars="200"/>
        <w:rPr>
          <w:rFonts w:ascii="宋体" w:hAnsi="宋体"/>
          <w:sz w:val="24"/>
        </w:rPr>
      </w:pPr>
      <w:r>
        <w:rPr>
          <w:rFonts w:hint="eastAsia" w:ascii="宋体" w:hAnsi="宋体"/>
          <w:sz w:val="24"/>
        </w:rPr>
        <w:t>除申购款项到达基金资金账户需双方按约定方式对账外，与投资有关的付款、赎回和分红资金划拨时，基金管理人需向基金托管人下达指令。</w:t>
      </w:r>
    </w:p>
    <w:p>
      <w:pPr>
        <w:adjustRightInd w:val="0"/>
        <w:snapToGrid w:val="0"/>
        <w:spacing w:line="360" w:lineRule="auto"/>
        <w:ind w:firstLine="480" w:firstLineChars="200"/>
        <w:rPr>
          <w:rFonts w:ascii="宋体" w:hAnsi="宋体"/>
          <w:sz w:val="24"/>
        </w:rPr>
      </w:pPr>
      <w:r>
        <w:rPr>
          <w:rFonts w:hint="eastAsia" w:ascii="宋体" w:hAnsi="宋体"/>
          <w:sz w:val="24"/>
        </w:rPr>
        <w:t>资金指令的格式、内容、发送、接收和确认方式等与投资指令相同。</w:t>
      </w:r>
    </w:p>
    <w:p>
      <w:pPr>
        <w:adjustRightInd w:val="0"/>
        <w:snapToGrid w:val="0"/>
        <w:spacing w:line="360" w:lineRule="auto"/>
        <w:ind w:firstLine="480" w:firstLineChars="200"/>
        <w:rPr>
          <w:rFonts w:ascii="宋体" w:hAnsi="宋体"/>
          <w:sz w:val="24"/>
        </w:rPr>
      </w:pPr>
      <w:r>
        <w:rPr>
          <w:rFonts w:hint="eastAsia" w:ascii="宋体" w:hAnsi="宋体"/>
          <w:sz w:val="24"/>
        </w:rPr>
        <w:t>（四）资金净额结算</w:t>
      </w:r>
    </w:p>
    <w:p>
      <w:pPr>
        <w:adjustRightInd w:val="0"/>
        <w:snapToGrid w:val="0"/>
        <w:spacing w:line="360" w:lineRule="auto"/>
        <w:ind w:firstLine="480" w:firstLineChars="200"/>
        <w:rPr>
          <w:rFonts w:ascii="宋体" w:hAnsi="宋体"/>
          <w:sz w:val="24"/>
        </w:rPr>
      </w:pPr>
      <w:r>
        <w:rPr>
          <w:rFonts w:hint="eastAsia" w:ascii="宋体" w:hAnsi="宋体"/>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pPr>
        <w:adjustRightInd w:val="0"/>
        <w:snapToGrid w:val="0"/>
        <w:spacing w:line="360" w:lineRule="auto"/>
        <w:ind w:firstLine="480" w:firstLineChars="200"/>
        <w:rPr>
          <w:rFonts w:ascii="宋体" w:hAnsi="宋体"/>
          <w:i/>
          <w:sz w:val="24"/>
        </w:rPr>
      </w:pPr>
      <w:r>
        <w:rPr>
          <w:rFonts w:hint="eastAsia" w:ascii="宋体" w:hAnsi="宋体"/>
          <w:sz w:val="24"/>
        </w:rPr>
        <w:t>当存在资金账户净应付额时，如基金</w:t>
      </w:r>
      <w:r>
        <w:rPr>
          <w:rFonts w:hint="eastAsia" w:ascii="宋体" w:hAnsi="宋体" w:cs="Arial"/>
          <w:sz w:val="24"/>
        </w:rPr>
        <w:t>资金</w:t>
      </w:r>
      <w:r>
        <w:rPr>
          <w:rFonts w:hint="eastAsia" w:ascii="宋体" w:hAnsi="宋体"/>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pPr>
        <w:adjustRightInd w:val="0"/>
        <w:snapToGrid w:val="0"/>
        <w:spacing w:line="360" w:lineRule="auto"/>
        <w:ind w:firstLine="480" w:firstLineChars="200"/>
        <w:rPr>
          <w:rFonts w:ascii="宋体" w:hAnsi="宋体"/>
          <w:sz w:val="24"/>
        </w:rPr>
      </w:pPr>
      <w:r>
        <w:rPr>
          <w:rFonts w:hint="eastAsia" w:ascii="宋体" w:hAnsi="宋体"/>
          <w:sz w:val="24"/>
        </w:rPr>
        <w:t>（五）基金现金分红</w:t>
      </w:r>
    </w:p>
    <w:p>
      <w:pPr>
        <w:adjustRightInd w:val="0"/>
        <w:snapToGrid w:val="0"/>
        <w:spacing w:line="360" w:lineRule="auto"/>
        <w:ind w:firstLine="480" w:firstLineChars="20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hint="eastAsia" w:ascii="宋体" w:hAnsi="宋体"/>
          <w:sz w:val="24"/>
        </w:rPr>
        <w:t>上公告。</w:t>
      </w:r>
    </w:p>
    <w:p>
      <w:pPr>
        <w:adjustRightInd w:val="0"/>
        <w:snapToGrid w:val="0"/>
        <w:spacing w:line="360" w:lineRule="auto"/>
        <w:ind w:firstLine="480" w:firstLineChars="20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hint="eastAsia" w:ascii="宋体" w:hAnsi="宋体"/>
          <w:sz w:val="24"/>
        </w:rPr>
        <w:t>根据指令及时将分红款划往基金清算账户。</w:t>
      </w:r>
    </w:p>
    <w:p>
      <w:pPr>
        <w:adjustRightInd w:val="0"/>
        <w:snapToGrid w:val="0"/>
        <w:spacing w:line="360" w:lineRule="auto"/>
        <w:ind w:firstLine="480" w:firstLineChars="200"/>
        <w:rPr>
          <w:rFonts w:ascii="宋体" w:hAnsi="宋体"/>
          <w:sz w:val="24"/>
        </w:rPr>
      </w:pPr>
      <w:r>
        <w:rPr>
          <w:rFonts w:ascii="宋体" w:hAnsi="宋体"/>
          <w:sz w:val="24"/>
        </w:rPr>
        <w:t>3.基金管理人在下达指令时，应给基金托管人留出必需的划款时间。</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03" w:name="_Toc348082036"/>
      <w:bookmarkStart w:id="104" w:name="_Toc384992698"/>
      <w:bookmarkStart w:id="105" w:name="_Toc488938617"/>
      <w:r>
        <w:rPr>
          <w:rFonts w:hint="eastAsia" w:ascii="宋体" w:hAnsi="宋体"/>
          <w:sz w:val="24"/>
        </w:rPr>
        <w:t>八、基金资产净值计算、估值和会计核算</w:t>
      </w:r>
      <w:bookmarkEnd w:id="103"/>
      <w:bookmarkEnd w:id="104"/>
      <w:bookmarkEnd w:id="105"/>
    </w:p>
    <w:p>
      <w:pPr>
        <w:adjustRightInd w:val="0"/>
        <w:snapToGrid w:val="0"/>
        <w:spacing w:line="360" w:lineRule="auto"/>
        <w:ind w:firstLine="480" w:firstLineChars="200"/>
        <w:rPr>
          <w:rFonts w:ascii="宋体" w:hAnsi="宋体"/>
          <w:sz w:val="24"/>
        </w:rPr>
      </w:pPr>
      <w:r>
        <w:rPr>
          <w:rFonts w:hint="eastAsia" w:ascii="宋体" w:hAnsi="宋体"/>
          <w:sz w:val="24"/>
        </w:rPr>
        <w:t>（一）基金资产净值的计算、复核与完成的时间及程序</w:t>
      </w:r>
    </w:p>
    <w:p>
      <w:pPr>
        <w:adjustRightInd w:val="0"/>
        <w:snapToGrid w:val="0"/>
        <w:spacing w:line="360" w:lineRule="auto"/>
        <w:ind w:firstLine="480" w:firstLineChars="200"/>
        <w:rPr>
          <w:rFonts w:ascii="宋体" w:hAnsi="宋体"/>
          <w:sz w:val="24"/>
        </w:rPr>
      </w:pPr>
      <w:r>
        <w:rPr>
          <w:rFonts w:ascii="宋体" w:hAnsi="宋体"/>
          <w:sz w:val="24"/>
        </w:rPr>
        <w:t>1.基金资产净值</w:t>
      </w:r>
    </w:p>
    <w:p>
      <w:pPr>
        <w:adjustRightInd w:val="0"/>
        <w:snapToGrid w:val="0"/>
        <w:spacing w:line="360" w:lineRule="auto"/>
        <w:ind w:firstLine="480" w:firstLineChars="200"/>
        <w:rPr>
          <w:rFonts w:ascii="宋体" w:hAnsi="宋体"/>
          <w:sz w:val="24"/>
        </w:rPr>
      </w:pPr>
      <w:r>
        <w:rPr>
          <w:rFonts w:hint="eastAsia" w:ascii="宋体" w:hAnsi="宋体"/>
          <w:sz w:val="24"/>
        </w:rPr>
        <w:t>基金资产净值是指基金资产总值减去基金负债后的价值。</w:t>
      </w:r>
    </w:p>
    <w:p>
      <w:pPr>
        <w:adjustRightInd w:val="0"/>
        <w:snapToGrid w:val="0"/>
        <w:spacing w:line="360" w:lineRule="auto"/>
        <w:ind w:firstLine="480" w:firstLineChars="200"/>
        <w:rPr>
          <w:rFonts w:ascii="宋体" w:hAnsi="宋体"/>
          <w:sz w:val="24"/>
        </w:rPr>
      </w:pPr>
      <w:r>
        <w:rPr>
          <w:rFonts w:hint="eastAsia" w:ascii="宋体" w:hAnsi="宋体"/>
          <w:sz w:val="24"/>
        </w:rPr>
        <w:t>各类基金份额的基金份额净值是按照每个</w:t>
      </w:r>
      <w:r>
        <w:rPr>
          <w:rFonts w:ascii="宋体" w:hAnsi="宋体"/>
          <w:sz w:val="24"/>
        </w:rPr>
        <w:t>工作</w:t>
      </w:r>
      <w:r>
        <w:rPr>
          <w:rFonts w:hint="eastAsia" w:ascii="宋体" w:hAnsi="宋体"/>
          <w:sz w:val="24"/>
        </w:rPr>
        <w:t>日闭市后，该类基金</w:t>
      </w:r>
      <w:r>
        <w:rPr>
          <w:rFonts w:ascii="宋体" w:hAnsi="宋体"/>
          <w:sz w:val="24"/>
        </w:rPr>
        <w:t>份额的</w:t>
      </w:r>
      <w:r>
        <w:rPr>
          <w:rFonts w:hint="eastAsia" w:ascii="宋体" w:hAnsi="宋体"/>
          <w:sz w:val="24"/>
        </w:rPr>
        <w:t>基金资产净值除以当日该类基金份额的余额数量计算，精确到</w:t>
      </w:r>
      <w:r>
        <w:rPr>
          <w:rFonts w:ascii="宋体" w:hAnsi="宋体"/>
          <w:sz w:val="24"/>
        </w:rPr>
        <w:t>0.0001元，小数点后第</w:t>
      </w:r>
      <w:r>
        <w:rPr>
          <w:rFonts w:hint="eastAsia" w:ascii="宋体" w:hAnsi="宋体"/>
          <w:sz w:val="24"/>
        </w:rPr>
        <w:t>五位四舍五入。</w:t>
      </w:r>
      <w:r>
        <w:rPr>
          <w:rFonts w:ascii="宋体" w:hAnsi="宋体"/>
          <w:sz w:val="24"/>
        </w:rPr>
        <w:t>基金管理人可以设立大额赎回情形下的净值精度应急调整机制</w:t>
      </w:r>
      <w:r>
        <w:rPr>
          <w:rFonts w:hint="eastAsia" w:ascii="宋体" w:hAnsi="宋体"/>
          <w:bCs/>
          <w:sz w:val="24"/>
        </w:rPr>
        <w:t>，具体可参见相关公告</w:t>
      </w:r>
      <w:r>
        <w:rPr>
          <w:rFonts w:ascii="宋体" w:hAnsi="宋体"/>
          <w:sz w:val="24"/>
        </w:rPr>
        <w:t>。</w:t>
      </w:r>
      <w:r>
        <w:rPr>
          <w:rFonts w:hint="eastAsia" w:ascii="宋体" w:hAnsi="宋体"/>
          <w:sz w:val="24"/>
        </w:rPr>
        <w:t>国家另有规定的，从其规定。</w:t>
      </w:r>
    </w:p>
    <w:p>
      <w:pPr>
        <w:adjustRightInd w:val="0"/>
        <w:snapToGrid w:val="0"/>
        <w:spacing w:line="360" w:lineRule="auto"/>
        <w:ind w:firstLine="480" w:firstLineChars="200"/>
        <w:rPr>
          <w:rFonts w:ascii="宋体" w:hAnsi="宋体"/>
          <w:sz w:val="24"/>
        </w:rPr>
      </w:pPr>
      <w:r>
        <w:rPr>
          <w:rFonts w:hint="eastAsia" w:ascii="宋体" w:hAnsi="宋体"/>
          <w:sz w:val="24"/>
        </w:rPr>
        <w:t>基金管理人于每个工作日分别计算各类基金份额的基金资产净值、基金份额净值</w:t>
      </w:r>
      <w:r>
        <w:rPr>
          <w:rFonts w:hint="eastAsia" w:ascii="宋体" w:hAnsi="宋体" w:cs="Arial"/>
          <w:sz w:val="24"/>
        </w:rPr>
        <w:t>，</w:t>
      </w:r>
      <w:r>
        <w:rPr>
          <w:rFonts w:hint="eastAsia" w:ascii="宋体" w:hAnsi="宋体"/>
          <w:sz w:val="24"/>
        </w:rPr>
        <w:t>经基金托管人复核，按规定公告</w:t>
      </w:r>
      <w:r>
        <w:rPr>
          <w:rFonts w:hint="eastAsia" w:ascii="宋体" w:hAnsi="宋体" w:cs="Arial"/>
          <w:sz w:val="24"/>
        </w:rPr>
        <w:t>，</w:t>
      </w:r>
      <w:r>
        <w:rPr>
          <w:rFonts w:ascii="宋体" w:hAnsi="宋体" w:cs="Arial"/>
          <w:sz w:val="24"/>
        </w:rPr>
        <w:t>但基金管理人根据法律法规或基金合同的规定暂停估值时除外</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2.复核程序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sz w:val="24"/>
        </w:rPr>
      </w:pPr>
      <w:r>
        <w:rPr>
          <w:rFonts w:hint="eastAsia" w:ascii="宋体" w:hAnsi="宋体"/>
          <w:sz w:val="24"/>
        </w:rPr>
        <w:t>（二）基金资产的估值</w:t>
      </w:r>
    </w:p>
    <w:p>
      <w:pPr>
        <w:adjustRightInd w:val="0"/>
        <w:snapToGrid w:val="0"/>
        <w:spacing w:line="360" w:lineRule="auto"/>
        <w:ind w:firstLine="480" w:firstLineChars="200"/>
        <w:rPr>
          <w:rStyle w:val="34"/>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sz w:val="24"/>
        </w:rPr>
        <w:t>（三）基金份额净值错误的处理方式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基金管理人及基金托管人应当按照《基金合同》的约定处理份额净值错误。</w:t>
      </w:r>
    </w:p>
    <w:p>
      <w:pPr>
        <w:adjustRightInd w:val="0"/>
        <w:snapToGrid w:val="0"/>
        <w:spacing w:line="360" w:lineRule="auto"/>
        <w:ind w:firstLine="480" w:firstLineChars="200"/>
        <w:rPr>
          <w:rFonts w:ascii="宋体" w:hAnsi="宋体"/>
          <w:sz w:val="24"/>
        </w:rPr>
      </w:pPr>
      <w:r>
        <w:rPr>
          <w:rFonts w:hint="eastAsia" w:ascii="宋体" w:hAnsi="宋体"/>
          <w:sz w:val="24"/>
        </w:rPr>
        <w:t>（四）基金会计制度</w:t>
      </w:r>
    </w:p>
    <w:p>
      <w:pPr>
        <w:adjustRightInd w:val="0"/>
        <w:snapToGrid w:val="0"/>
        <w:spacing w:line="360" w:lineRule="auto"/>
        <w:ind w:firstLine="480" w:firstLineChars="200"/>
        <w:rPr>
          <w:rFonts w:ascii="宋体" w:hAnsi="宋体"/>
          <w:sz w:val="24"/>
        </w:rPr>
      </w:pPr>
      <w:r>
        <w:rPr>
          <w:rFonts w:hint="eastAsia" w:ascii="宋体" w:hAnsi="宋体"/>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sz w:val="24"/>
        </w:rPr>
        <w:t>（五）基金账册的建立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sz w:val="24"/>
        </w:rPr>
        <w:t>（六）基金财务报表与报告的编制和复核</w:t>
      </w:r>
    </w:p>
    <w:p>
      <w:pPr>
        <w:adjustRightInd w:val="0"/>
        <w:snapToGrid w:val="0"/>
        <w:spacing w:line="360" w:lineRule="auto"/>
        <w:ind w:firstLine="480" w:firstLineChars="200"/>
        <w:rPr>
          <w:rFonts w:ascii="宋体" w:hAnsi="宋体"/>
          <w:sz w:val="24"/>
        </w:rPr>
      </w:pPr>
      <w:r>
        <w:rPr>
          <w:rFonts w:ascii="宋体" w:hAnsi="宋体"/>
          <w:sz w:val="24"/>
        </w:rPr>
        <w:t>1.财务报表的编制</w:t>
      </w:r>
    </w:p>
    <w:p>
      <w:pPr>
        <w:adjustRightInd w:val="0"/>
        <w:snapToGrid w:val="0"/>
        <w:spacing w:line="360" w:lineRule="auto"/>
        <w:ind w:firstLine="480" w:firstLineChars="200"/>
        <w:rPr>
          <w:rFonts w:ascii="宋体" w:hAnsi="宋体"/>
          <w:sz w:val="24"/>
        </w:rPr>
      </w:pPr>
      <w:r>
        <w:rPr>
          <w:rFonts w:hint="eastAsia" w:ascii="宋体" w:hAnsi="宋体"/>
          <w:sz w:val="24"/>
        </w:rPr>
        <w:t>基金财务报表由基金管理人编制，基金托管人复核。</w:t>
      </w:r>
    </w:p>
    <w:p>
      <w:pPr>
        <w:adjustRightInd w:val="0"/>
        <w:snapToGrid w:val="0"/>
        <w:spacing w:line="360" w:lineRule="auto"/>
        <w:ind w:firstLine="480" w:firstLineChars="200"/>
        <w:rPr>
          <w:rFonts w:ascii="宋体" w:hAnsi="宋体"/>
          <w:sz w:val="24"/>
        </w:rPr>
      </w:pPr>
      <w:r>
        <w:rPr>
          <w:rFonts w:ascii="宋体" w:hAnsi="宋体"/>
          <w:sz w:val="24"/>
        </w:rPr>
        <w:t>2.报表复核</w:t>
      </w:r>
    </w:p>
    <w:p>
      <w:pPr>
        <w:adjustRightInd w:val="0"/>
        <w:snapToGrid w:val="0"/>
        <w:spacing w:line="360" w:lineRule="auto"/>
        <w:ind w:firstLine="480" w:firstLineChars="200"/>
        <w:rPr>
          <w:rFonts w:ascii="宋体" w:hAnsi="宋体"/>
          <w:sz w:val="24"/>
        </w:rPr>
      </w:pPr>
      <w:r>
        <w:rPr>
          <w:rFonts w:hint="eastAsia" w:ascii="宋体" w:hAnsi="宋体"/>
          <w:sz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rPr>
          <w:rFonts w:ascii="宋体" w:hAnsi="宋体"/>
          <w:sz w:val="24"/>
        </w:rPr>
      </w:pPr>
      <w:r>
        <w:rPr>
          <w:rFonts w:ascii="宋体" w:hAnsi="宋体"/>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sz w:val="24"/>
        </w:rPr>
        <w:t>基金管理人、基金托管人应当在每月结束后</w:t>
      </w:r>
      <w:r>
        <w:rPr>
          <w:rFonts w:ascii="宋体" w:hAnsi="宋体"/>
          <w:sz w:val="24"/>
        </w:rPr>
        <w:t>5</w:t>
      </w:r>
      <w:r>
        <w:rPr>
          <w:rFonts w:hint="eastAsia" w:ascii="宋体" w:hAnsi="宋体"/>
          <w:sz w:val="24"/>
        </w:rPr>
        <w:t>个工作日内完成月度报表的编制及复核；在季度结束之日起</w:t>
      </w:r>
      <w:r>
        <w:rPr>
          <w:rFonts w:ascii="宋体" w:hAnsi="宋体"/>
          <w:sz w:val="24"/>
        </w:rPr>
        <w:t>15</w:t>
      </w:r>
      <w:r>
        <w:rPr>
          <w:rFonts w:hint="eastAsia" w:ascii="宋体" w:hAnsi="宋体"/>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ascii="宋体" w:hAnsi="宋体"/>
          <w:sz w:val="24"/>
        </w:rPr>
      </w:pPr>
      <w:r>
        <w:rPr>
          <w:rFonts w:hint="eastAsia" w:ascii="宋体" w:hAnsi="宋体"/>
          <w:sz w:val="24"/>
        </w:rPr>
        <w:t>（七）在有需要时，基金管理人应每季度向基金托管人提供基金业绩比较基准的基础数据和编制结果。</w:t>
      </w:r>
    </w:p>
    <w:p>
      <w:pPr>
        <w:adjustRightInd w:val="0"/>
        <w:snapToGrid w:val="0"/>
        <w:spacing w:line="360" w:lineRule="auto"/>
        <w:ind w:firstLine="480" w:firstLineChars="200"/>
        <w:rPr>
          <w:rFonts w:ascii="宋体" w:hAnsi="宋体"/>
          <w:sz w:val="24"/>
        </w:rPr>
      </w:pPr>
      <w:r>
        <w:rPr>
          <w:rFonts w:hint="eastAsia" w:ascii="宋体" w:hAnsi="宋体"/>
          <w:sz w:val="24"/>
        </w:rPr>
        <w:t>（八）实施侧袋机制期间的基金资产估值</w:t>
      </w:r>
    </w:p>
    <w:p>
      <w:pPr>
        <w:adjustRightInd w:val="0"/>
        <w:snapToGrid w:val="0"/>
        <w:spacing w:line="360" w:lineRule="auto"/>
        <w:ind w:firstLine="480" w:firstLineChars="200"/>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06" w:name="_Toc348082037"/>
      <w:bookmarkStart w:id="107" w:name="_Toc384992699"/>
      <w:bookmarkStart w:id="108" w:name="_Toc488938618"/>
      <w:r>
        <w:rPr>
          <w:rFonts w:hint="eastAsia" w:ascii="宋体" w:hAnsi="宋体"/>
          <w:sz w:val="24"/>
        </w:rPr>
        <w:t>九、基金收益分配</w:t>
      </w:r>
      <w:bookmarkEnd w:id="106"/>
      <w:bookmarkEnd w:id="107"/>
      <w:bookmarkEnd w:id="108"/>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基金管理人与基金托管人按照《基金合同》的约定处理基金收益分配。</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09" w:name="_Toc348082038"/>
      <w:bookmarkStart w:id="110" w:name="_Toc488938619"/>
      <w:bookmarkStart w:id="111" w:name="_Toc384992700"/>
      <w:r>
        <w:rPr>
          <w:rFonts w:hint="eastAsia" w:ascii="宋体" w:hAnsi="宋体"/>
          <w:sz w:val="24"/>
        </w:rPr>
        <w:t>十、基金信息披露</w:t>
      </w:r>
      <w:bookmarkEnd w:id="109"/>
      <w:bookmarkEnd w:id="110"/>
      <w:bookmarkEnd w:id="111"/>
    </w:p>
    <w:p>
      <w:pPr>
        <w:adjustRightInd w:val="0"/>
        <w:snapToGrid w:val="0"/>
        <w:spacing w:line="360" w:lineRule="auto"/>
        <w:ind w:firstLine="480" w:firstLineChars="200"/>
        <w:rPr>
          <w:rFonts w:ascii="宋体" w:hAnsi="宋体"/>
          <w:sz w:val="24"/>
        </w:rPr>
      </w:pPr>
      <w:r>
        <w:rPr>
          <w:rFonts w:hint="eastAsia" w:ascii="宋体" w:hAnsi="宋体"/>
          <w:sz w:val="24"/>
        </w:rPr>
        <w:t>（一）保密义务</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80" w:firstLineChars="200"/>
        <w:rPr>
          <w:rFonts w:ascii="宋体" w:hAnsi="宋体"/>
          <w:sz w:val="24"/>
        </w:rPr>
      </w:pPr>
      <w:r>
        <w:rPr>
          <w:rFonts w:ascii="宋体" w:hAnsi="宋体"/>
          <w:sz w:val="24"/>
        </w:rPr>
        <w:t>1.非因基金管理人和基金托管人的原因导致保密信息被披露、泄露或公开；</w:t>
      </w:r>
    </w:p>
    <w:p>
      <w:pPr>
        <w:adjustRightInd w:val="0"/>
        <w:snapToGrid w:val="0"/>
        <w:spacing w:line="360" w:lineRule="auto"/>
        <w:ind w:firstLine="480" w:firstLineChars="20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pPr>
        <w:adjustRightInd w:val="0"/>
        <w:snapToGrid w:val="0"/>
        <w:spacing w:line="360" w:lineRule="auto"/>
        <w:ind w:firstLine="480" w:firstLineChars="200"/>
        <w:rPr>
          <w:rFonts w:ascii="宋体" w:hAnsi="宋体"/>
          <w:sz w:val="24"/>
        </w:rPr>
      </w:pPr>
      <w:r>
        <w:rPr>
          <w:rFonts w:hint="eastAsia" w:ascii="宋体" w:hAnsi="宋体"/>
          <w:sz w:val="24"/>
        </w:rPr>
        <w:t>（二）信息披露的内容</w:t>
      </w:r>
    </w:p>
    <w:p>
      <w:pPr>
        <w:adjustRightInd w:val="0"/>
        <w:snapToGrid w:val="0"/>
        <w:spacing w:line="360" w:lineRule="auto"/>
        <w:ind w:firstLine="480" w:firstLineChars="200"/>
        <w:rPr>
          <w:rFonts w:ascii="宋体" w:hAnsi="宋体"/>
          <w:sz w:val="24"/>
        </w:rPr>
      </w:pPr>
      <w:r>
        <w:rPr>
          <w:rFonts w:hint="eastAsia" w:ascii="宋体" w:hAnsi="宋体"/>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hint="eastAsia" w:ascii="宋体" w:hAnsi="宋体"/>
          <w:sz w:val="24"/>
        </w:rPr>
        <w:t>、</w:t>
      </w:r>
      <w:r>
        <w:rPr>
          <w:rFonts w:ascii="宋体" w:hAnsi="宋体"/>
          <w:sz w:val="24"/>
        </w:rPr>
        <w:t>赎回价格</w:t>
      </w:r>
      <w:r>
        <w:rPr>
          <w:rFonts w:hint="eastAsia" w:ascii="宋体" w:hAnsi="宋体"/>
          <w:sz w:val="24"/>
        </w:rPr>
        <w:t>、基金定期报告（包括基金年度报告、基金中期报告和基金季度报告）、临时报告、澄清公告、基金份额持有人大会决议、实施侧袋机制期间的信息披露、清算报告、基金投资资产支持证券、基金投资股指期货的情况、基金</w:t>
      </w:r>
      <w:r>
        <w:rPr>
          <w:rFonts w:hint="eastAsia"/>
          <w:bCs/>
          <w:sz w:val="24"/>
        </w:rPr>
        <w:t>投资港股通标的股票相关公告、</w:t>
      </w:r>
      <w:r>
        <w:rPr>
          <w:rFonts w:hint="eastAsia" w:ascii="宋体" w:hAnsi="宋体"/>
          <w:sz w:val="24"/>
        </w:rPr>
        <w:t>中国证监会规定的其他信息。基金年度报告需经符合《中华人民共和国证券法》规定的会计师事务所审计后，方可披露。</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rFonts w:ascii="宋体" w:hAnsi="宋体"/>
          <w:sz w:val="24"/>
        </w:rPr>
      </w:pPr>
      <w:r>
        <w:rPr>
          <w:rFonts w:hint="eastAsia" w:ascii="宋体" w:hAnsi="宋体"/>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rFonts w:ascii="宋体" w:hAnsi="宋体"/>
          <w:sz w:val="24"/>
        </w:rPr>
      </w:pPr>
      <w:r>
        <w:rPr>
          <w:rFonts w:hint="eastAsia" w:ascii="宋体" w:hAnsi="宋体"/>
          <w:sz w:val="24"/>
        </w:rPr>
        <w:t>（三）基金托管人和基金管理人在信息披露中的职责和信息披露程序</w:t>
      </w:r>
    </w:p>
    <w:p>
      <w:pPr>
        <w:adjustRightInd w:val="0"/>
        <w:snapToGrid w:val="0"/>
        <w:spacing w:line="360" w:lineRule="auto"/>
        <w:ind w:firstLine="480" w:firstLineChars="200"/>
        <w:rPr>
          <w:rFonts w:ascii="宋体" w:hAnsi="宋体"/>
          <w:sz w:val="24"/>
        </w:rPr>
      </w:pPr>
      <w:r>
        <w:rPr>
          <w:rFonts w:ascii="宋体" w:hAnsi="宋体"/>
          <w:sz w:val="24"/>
        </w:rPr>
        <w:t>1.职责</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基金管理人和基金托管人应积极配合、互相监督，保证其履行按照法定方式和限时披露的义务。</w:t>
      </w:r>
    </w:p>
    <w:p>
      <w:pPr>
        <w:adjustRightInd w:val="0"/>
        <w:snapToGrid w:val="0"/>
        <w:spacing w:line="360" w:lineRule="auto"/>
        <w:ind w:firstLine="480" w:firstLineChars="200"/>
        <w:rPr>
          <w:rFonts w:ascii="宋体" w:hAnsi="宋体"/>
          <w:sz w:val="24"/>
        </w:rPr>
      </w:pPr>
      <w:r>
        <w:rPr>
          <w:rFonts w:hint="eastAsia" w:ascii="宋体" w:hAnsi="宋体"/>
          <w:sz w:val="24"/>
        </w:rPr>
        <w:t>基金管理人应当在中国证监会规定的时间内，将应予披露的基金信息通过符合中国证监会规定条件的全国性报刊</w:t>
      </w:r>
      <w:r>
        <w:rPr>
          <w:rFonts w:hint="eastAsia" w:ascii="宋体" w:hAnsi="宋体"/>
          <w:bCs/>
          <w:sz w:val="24"/>
        </w:rPr>
        <w:t>及《信息披露办法》规定</w:t>
      </w:r>
      <w:r>
        <w:rPr>
          <w:rFonts w:hint="eastAsia" w:ascii="宋体" w:hAnsi="宋体"/>
          <w:sz w:val="24"/>
        </w:rPr>
        <w:t>的互联网网站等媒介披露。根据法律法规应由基金托管人公开披露的信息，基金托管人在规定媒介公开披露。</w:t>
      </w:r>
    </w:p>
    <w:p>
      <w:pPr>
        <w:adjustRightInd w:val="0"/>
        <w:snapToGrid w:val="0"/>
        <w:spacing w:line="360" w:lineRule="auto"/>
        <w:ind w:firstLine="480" w:firstLineChars="200"/>
        <w:rPr>
          <w:rFonts w:ascii="宋体" w:hAnsi="宋体"/>
          <w:sz w:val="24"/>
        </w:rPr>
      </w:pPr>
      <w:r>
        <w:rPr>
          <w:rFonts w:hint="eastAsia" w:ascii="宋体" w:hAnsi="宋体"/>
          <w:sz w:val="24"/>
        </w:rPr>
        <w:t>当出现下述情况时，基金管理人和基金托管人可暂停或延迟披露基金相关信息：</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不可抗力；</w:t>
      </w:r>
    </w:p>
    <w:p>
      <w:pPr>
        <w:adjustRightInd w:val="0"/>
        <w:snapToGrid w:val="0"/>
        <w:spacing w:line="360" w:lineRule="auto"/>
        <w:ind w:firstLine="480" w:firstLineChars="200"/>
        <w:rPr>
          <w:rFonts w:hAnsi="宋体"/>
          <w:sz w:val="24"/>
        </w:rPr>
      </w:pPr>
      <w:r>
        <w:rPr>
          <w:rFonts w:ascii="宋体" w:hAnsi="宋体"/>
          <w:sz w:val="24"/>
        </w:rPr>
        <w:t>(2)基金投资所涉及的证券</w:t>
      </w:r>
      <w:r>
        <w:rPr>
          <w:rFonts w:hint="eastAsia" w:ascii="宋体" w:hAnsi="宋体"/>
          <w:sz w:val="24"/>
        </w:rPr>
        <w:t>/期货交易市场遇法定节假日或因其他原因暂停营业时；</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法律法规、基金合同或中国证监会规定的情况。</w:t>
      </w:r>
    </w:p>
    <w:p>
      <w:pPr>
        <w:adjustRightInd w:val="0"/>
        <w:snapToGrid w:val="0"/>
        <w:spacing w:line="360" w:lineRule="auto"/>
        <w:ind w:firstLine="480" w:firstLineChars="200"/>
        <w:rPr>
          <w:rFonts w:ascii="宋体" w:hAnsi="宋体"/>
          <w:sz w:val="24"/>
        </w:rPr>
      </w:pPr>
      <w:r>
        <w:rPr>
          <w:rFonts w:ascii="宋体" w:hAnsi="宋体"/>
          <w:sz w:val="24"/>
        </w:rPr>
        <w:t>2.程序</w:t>
      </w:r>
    </w:p>
    <w:p>
      <w:pPr>
        <w:adjustRightInd w:val="0"/>
        <w:snapToGrid w:val="0"/>
        <w:spacing w:line="360" w:lineRule="auto"/>
        <w:ind w:firstLine="480" w:firstLineChars="200"/>
        <w:rPr>
          <w:rFonts w:ascii="宋体" w:hAnsi="宋体"/>
          <w:sz w:val="24"/>
        </w:rPr>
      </w:pPr>
      <w:r>
        <w:rPr>
          <w:rFonts w:hint="eastAsia" w:ascii="宋体" w:hAnsi="宋体"/>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80" w:firstLineChars="200"/>
        <w:rPr>
          <w:rFonts w:ascii="宋体" w:hAnsi="宋体"/>
          <w:sz w:val="24"/>
        </w:rPr>
      </w:pPr>
      <w:r>
        <w:rPr>
          <w:rFonts w:ascii="宋体" w:hAnsi="宋体"/>
          <w:sz w:val="24"/>
        </w:rPr>
        <w:t>3.信息文本的存放</w:t>
      </w:r>
    </w:p>
    <w:p>
      <w:pPr>
        <w:pStyle w:val="4"/>
        <w:adjustRightInd w:val="0"/>
        <w:snapToGrid w:val="0"/>
        <w:spacing w:line="360" w:lineRule="auto"/>
        <w:ind w:firstLine="480"/>
        <w:rPr>
          <w:rFonts w:ascii="宋体" w:hAnsi="宋体"/>
          <w:sz w:val="24"/>
        </w:rPr>
      </w:pPr>
      <w:r>
        <w:rPr>
          <w:rFonts w:hint="eastAsia" w:ascii="宋体" w:hAnsi="宋体"/>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hint="eastAsia" w:ascii="宋体" w:hAnsi="宋体"/>
          <w:sz w:val="24"/>
        </w:rPr>
        <w:t>投资者</w:t>
      </w:r>
      <w:r>
        <w:rPr>
          <w:rFonts w:ascii="宋体" w:hAnsi="宋体"/>
          <w:sz w:val="24"/>
        </w:rPr>
        <w:t>在支付工本费后可在合理时间获得上述文件的复制件或复印件。基金管理人和基金托管人应保证文本的内容与所公告的内容完全一致。</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2" w:name="_Toc348082039"/>
      <w:bookmarkStart w:id="113" w:name="_Toc384992701"/>
      <w:bookmarkStart w:id="114" w:name="_Toc488938620"/>
      <w:r>
        <w:rPr>
          <w:rFonts w:hint="eastAsia" w:ascii="宋体" w:hAnsi="宋体"/>
          <w:sz w:val="24"/>
        </w:rPr>
        <w:t>十一、基金费用</w:t>
      </w:r>
      <w:bookmarkEnd w:id="112"/>
      <w:bookmarkEnd w:id="113"/>
      <w:bookmarkEnd w:id="114"/>
    </w:p>
    <w:p>
      <w:pPr>
        <w:adjustRightInd w:val="0"/>
        <w:snapToGrid w:val="0"/>
        <w:spacing w:line="360" w:lineRule="auto"/>
        <w:ind w:firstLine="480" w:firstLineChars="200"/>
        <w:rPr>
          <w:sz w:val="24"/>
        </w:rPr>
      </w:pPr>
      <w:r>
        <w:rPr>
          <w:rFonts w:hint="eastAsia"/>
          <w:sz w:val="24"/>
        </w:rPr>
        <w:t>（一）基金托管费的计提方法、计提标准和支付方式如下：</w:t>
      </w:r>
    </w:p>
    <w:p>
      <w:pPr>
        <w:adjustRightInd w:val="0"/>
        <w:snapToGrid w:val="0"/>
        <w:spacing w:line="360" w:lineRule="auto"/>
        <w:ind w:firstLine="480" w:firstLineChars="200"/>
        <w:rPr>
          <w:sz w:val="24"/>
        </w:rPr>
      </w:pPr>
      <w:r>
        <w:rPr>
          <w:rFonts w:hint="eastAsia"/>
          <w:sz w:val="24"/>
        </w:rPr>
        <w:t>本基金的托管费按前一日基金资产净值的</w:t>
      </w:r>
      <w:r>
        <w:rPr>
          <w:sz w:val="24"/>
        </w:rPr>
        <w:t>0.2</w:t>
      </w:r>
      <w:r>
        <w:rPr>
          <w:rFonts w:hint="eastAsia"/>
          <w:sz w:val="24"/>
        </w:rPr>
        <w:t>%年费率计提。托管费的计算方法如下：</w:t>
      </w:r>
    </w:p>
    <w:p>
      <w:pPr>
        <w:adjustRightInd w:val="0"/>
        <w:snapToGrid w:val="0"/>
        <w:spacing w:line="360" w:lineRule="auto"/>
        <w:ind w:firstLine="480" w:firstLineChars="200"/>
        <w:rPr>
          <w:sz w:val="24"/>
        </w:rPr>
      </w:pPr>
      <w:r>
        <w:rPr>
          <w:rFonts w:hint="eastAsia"/>
          <w:sz w:val="24"/>
        </w:rPr>
        <w:t>H＝E×年托管费率÷当年天数</w:t>
      </w:r>
    </w:p>
    <w:p>
      <w:pPr>
        <w:adjustRightInd w:val="0"/>
        <w:snapToGrid w:val="0"/>
        <w:spacing w:line="360" w:lineRule="auto"/>
        <w:ind w:firstLine="480" w:firstLineChars="200"/>
        <w:rPr>
          <w:sz w:val="24"/>
        </w:rPr>
      </w:pPr>
      <w:r>
        <w:rPr>
          <w:rFonts w:hint="eastAsia"/>
          <w:sz w:val="24"/>
        </w:rPr>
        <w:t>H为每日应计提的基金托管费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rFonts w:ascii="宋体" w:hAnsi="宋体"/>
          <w:sz w:val="24"/>
        </w:rPr>
      </w:pPr>
      <w:r>
        <w:rPr>
          <w:rFonts w:hint="eastAsia"/>
          <w:sz w:val="24"/>
        </w:rPr>
        <w:t>（二）基金其他</w:t>
      </w:r>
      <w:r>
        <w:rPr>
          <w:rFonts w:hint="eastAsia" w:hAnsi="宋体"/>
          <w:sz w:val="24"/>
        </w:rPr>
        <w:t>费用按照《基金合同》的约定计提和支付</w:t>
      </w:r>
      <w:r>
        <w:rPr>
          <w:rFonts w:hint="eastAsia" w:ascii="宋体" w:hAnsi="宋体"/>
          <w:color w:val="000000"/>
          <w:sz w:val="24"/>
        </w:rPr>
        <w:t>。</w:t>
      </w:r>
    </w:p>
    <w:p>
      <w:pPr>
        <w:pStyle w:val="3"/>
        <w:spacing w:before="312" w:beforeLines="100" w:after="156" w:afterLines="50" w:line="360" w:lineRule="auto"/>
        <w:jc w:val="center"/>
        <w:rPr>
          <w:rFonts w:ascii="宋体" w:hAnsi="宋体"/>
          <w:sz w:val="21"/>
        </w:rPr>
      </w:pPr>
      <w:r>
        <w:rPr>
          <w:rFonts w:ascii="宋体" w:hAnsi="宋体"/>
          <w:sz w:val="21"/>
        </w:rPr>
        <w:br w:type="page"/>
      </w:r>
      <w:bookmarkStart w:id="115" w:name="_Toc488938621"/>
      <w:bookmarkStart w:id="116" w:name="_Toc348082040"/>
      <w:bookmarkStart w:id="117" w:name="_Toc384992702"/>
      <w:r>
        <w:rPr>
          <w:rFonts w:hint="eastAsia" w:ascii="宋体" w:hAnsi="宋体"/>
          <w:sz w:val="24"/>
        </w:rPr>
        <w:t>十二、基金份额持有人名册的保管</w:t>
      </w:r>
      <w:bookmarkEnd w:id="115"/>
      <w:bookmarkEnd w:id="116"/>
      <w:bookmarkEnd w:id="117"/>
    </w:p>
    <w:p>
      <w:pPr>
        <w:adjustRightInd w:val="0"/>
        <w:snapToGrid w:val="0"/>
        <w:spacing w:line="360" w:lineRule="auto"/>
        <w:ind w:firstLine="480" w:firstLineChars="200"/>
        <w:rPr>
          <w:rFonts w:ascii="宋体" w:hAnsi="宋体"/>
          <w:sz w:val="24"/>
        </w:rPr>
      </w:pPr>
      <w:r>
        <w:rPr>
          <w:rFonts w:hint="eastAsia"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hint="eastAsia" w:ascii="宋体" w:hAnsi="宋体"/>
          <w:sz w:val="24"/>
        </w:rPr>
        <w:t>法律法规承担责任。</w:t>
      </w:r>
    </w:p>
    <w:p>
      <w:pPr>
        <w:adjustRightInd w:val="0"/>
        <w:snapToGrid w:val="0"/>
        <w:spacing w:line="360" w:lineRule="auto"/>
        <w:ind w:firstLine="480" w:firstLineChars="200"/>
        <w:rPr>
          <w:rFonts w:ascii="宋体" w:hAnsi="宋体"/>
          <w:sz w:val="24"/>
        </w:rPr>
      </w:pPr>
      <w:r>
        <w:rPr>
          <w:rFonts w:hint="eastAsia" w:ascii="宋体" w:hAnsi="宋体"/>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pPr>
        <w:pStyle w:val="3"/>
        <w:spacing w:before="312" w:beforeLines="100" w:after="156" w:afterLines="50" w:line="360" w:lineRule="auto"/>
        <w:ind w:firstLine="480"/>
        <w:jc w:val="center"/>
      </w:pPr>
      <w:r>
        <w:rPr>
          <w:rFonts w:ascii="宋体" w:hAnsi="宋体"/>
          <w:b w:val="0"/>
          <w:sz w:val="24"/>
        </w:rPr>
        <w:br w:type="page"/>
      </w:r>
      <w:bookmarkStart w:id="118" w:name="_Toc488938622"/>
      <w:bookmarkStart w:id="119" w:name="_Toc348082041"/>
      <w:bookmarkStart w:id="120" w:name="_Toc384992703"/>
      <w:r>
        <w:rPr>
          <w:rFonts w:hint="eastAsia" w:ascii="宋体" w:hAnsi="宋体"/>
          <w:sz w:val="24"/>
        </w:rPr>
        <w:t>十三、基金有关文件档案的保存</w:t>
      </w:r>
      <w:bookmarkEnd w:id="118"/>
      <w:bookmarkEnd w:id="119"/>
      <w:bookmarkEnd w:id="120"/>
    </w:p>
    <w:p>
      <w:pPr>
        <w:adjustRightInd w:val="0"/>
        <w:snapToGrid w:val="0"/>
        <w:spacing w:line="360" w:lineRule="auto"/>
        <w:ind w:firstLine="480" w:firstLineChars="200"/>
        <w:rPr>
          <w:rFonts w:ascii="宋体" w:hAnsi="宋体"/>
          <w:sz w:val="24"/>
        </w:rPr>
      </w:pPr>
      <w:r>
        <w:rPr>
          <w:rFonts w:hint="eastAsia" w:ascii="宋体" w:hAnsi="宋体"/>
          <w:sz w:val="24"/>
        </w:rPr>
        <w:t>（一）档案保存</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（二）合同档案的建立</w:t>
      </w:r>
    </w:p>
    <w:p>
      <w:pPr>
        <w:adjustRightInd w:val="0"/>
        <w:snapToGrid w:val="0"/>
        <w:spacing w:line="360" w:lineRule="auto"/>
        <w:ind w:firstLine="480" w:firstLineChars="200"/>
        <w:rPr>
          <w:rFonts w:ascii="宋体" w:hAnsi="宋体"/>
          <w:sz w:val="24"/>
        </w:rPr>
      </w:pPr>
      <w:r>
        <w:rPr>
          <w:rFonts w:ascii="宋体" w:hAnsi="宋体"/>
          <w:sz w:val="24"/>
        </w:rPr>
        <w:t>1.基金管理人签署重大合同文本后，应及时将合同文本正本送达基金托管人处。</w:t>
      </w:r>
    </w:p>
    <w:p>
      <w:pPr>
        <w:adjustRightInd w:val="0"/>
        <w:snapToGrid w:val="0"/>
        <w:spacing w:line="360" w:lineRule="auto"/>
        <w:ind w:firstLine="480" w:firstLineChars="200"/>
        <w:rPr>
          <w:rFonts w:ascii="宋体" w:hAnsi="宋体"/>
          <w:sz w:val="24"/>
        </w:rPr>
      </w:pPr>
      <w:r>
        <w:rPr>
          <w:rFonts w:ascii="宋体" w:hAnsi="宋体"/>
          <w:sz w:val="24"/>
        </w:rPr>
        <w:t>2.基金管理人应及时将与本基金账务处理、资金划拨等有关的合同、协议传真</w:t>
      </w:r>
      <w:r>
        <w:rPr>
          <w:rFonts w:hint="eastAsia" w:ascii="宋体" w:hAnsi="宋体"/>
          <w:sz w:val="24"/>
        </w:rPr>
        <w:t>至基金托管人。</w:t>
      </w:r>
    </w:p>
    <w:p>
      <w:pPr>
        <w:adjustRightInd w:val="0"/>
        <w:snapToGrid w:val="0"/>
        <w:spacing w:line="360" w:lineRule="auto"/>
        <w:ind w:firstLine="480" w:firstLineChars="200"/>
        <w:rPr>
          <w:rFonts w:ascii="宋体" w:hAnsi="宋体"/>
          <w:sz w:val="24"/>
        </w:rPr>
      </w:pPr>
      <w:r>
        <w:rPr>
          <w:rFonts w:hint="eastAsia" w:ascii="宋体" w:hAnsi="宋体"/>
          <w:sz w:val="24"/>
        </w:rPr>
        <w:t>（三）变更与协助</w:t>
      </w:r>
    </w:p>
    <w:p>
      <w:pPr>
        <w:adjustRightInd w:val="0"/>
        <w:snapToGrid w:val="0"/>
        <w:spacing w:line="360" w:lineRule="auto"/>
        <w:ind w:firstLine="480" w:firstLineChars="200"/>
        <w:rPr>
          <w:rFonts w:ascii="宋体" w:hAnsi="宋体"/>
          <w:sz w:val="24"/>
        </w:rPr>
      </w:pPr>
      <w:r>
        <w:rPr>
          <w:rFonts w:hint="eastAsia" w:ascii="宋体" w:hAnsi="宋体"/>
          <w:sz w:val="24"/>
        </w:rPr>
        <w:t>若基金管理人</w:t>
      </w:r>
      <w:r>
        <w:rPr>
          <w:rFonts w:ascii="宋体" w:hAnsi="宋体"/>
          <w:sz w:val="24"/>
        </w:rPr>
        <w:t>/基金托管人发生变更，未变更的一方有义务协助变更后的接任人接收相应文件。</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（四）基金管理人和基金托管人应按各自职责完整保存原始凭证、记账凭证、基金账册、交易记录和重要合同等，承担保密义务并保存不低于法律法规规定的最低年限。</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21" w:name="_Toc488938623"/>
      <w:bookmarkStart w:id="122" w:name="_Toc384992704"/>
      <w:bookmarkStart w:id="123" w:name="_Toc348082042"/>
      <w:r>
        <w:rPr>
          <w:rFonts w:hint="eastAsia" w:ascii="宋体" w:hAnsi="宋体"/>
          <w:sz w:val="24"/>
        </w:rPr>
        <w:t>十四、基金管理人和基金托管人的更换</w:t>
      </w:r>
      <w:bookmarkEnd w:id="121"/>
      <w:bookmarkEnd w:id="122"/>
      <w:bookmarkEnd w:id="123"/>
    </w:p>
    <w:p>
      <w:pPr>
        <w:spacing w:line="360" w:lineRule="auto"/>
        <w:ind w:firstLine="420"/>
        <w:rPr>
          <w:rFonts w:ascii="宋体" w:hAnsi="宋体"/>
          <w:kern w:val="0"/>
          <w:sz w:val="24"/>
        </w:rPr>
      </w:pPr>
      <w:r>
        <w:rPr>
          <w:rFonts w:hint="eastAsia" w:ascii="宋体" w:hAnsi="宋体"/>
          <w:sz w:val="24"/>
        </w:rPr>
        <w:t>（一）</w:t>
      </w:r>
      <w:r>
        <w:rPr>
          <w:rFonts w:ascii="宋体" w:hAnsi="宋体"/>
          <w:kern w:val="0"/>
          <w:sz w:val="24"/>
        </w:rPr>
        <w:t>基金管理人职责终止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应妥善保管基金管理业务资料，</w:t>
      </w:r>
      <w:r>
        <w:rPr>
          <w:rFonts w:hint="eastAsia" w:ascii="宋体" w:hAnsi="宋体"/>
          <w:sz w:val="24"/>
        </w:rPr>
        <w:t>保证不做出对基金份额持有人的利益造成损害的行为，</w:t>
      </w:r>
      <w:r>
        <w:rPr>
          <w:rFonts w:hint="eastAsia" w:ascii="宋体" w:hAnsi="宋体"/>
          <w:kern w:val="0"/>
          <w:sz w:val="24"/>
        </w:rPr>
        <w:t>并与新任基金管理人或临时基金管理人</w:t>
      </w:r>
      <w:r>
        <w:rPr>
          <w:rFonts w:ascii="宋体" w:hAnsi="宋体"/>
          <w:kern w:val="0"/>
          <w:sz w:val="24"/>
        </w:rPr>
        <w:t>及时办理基金管理业务的移交手续。</w:t>
      </w:r>
      <w:r>
        <w:rPr>
          <w:rFonts w:hint="eastAsia" w:ascii="宋体" w:hAnsi="宋体"/>
          <w:kern w:val="0"/>
          <w:sz w:val="24"/>
        </w:rPr>
        <w:t>基金托管人应给予积极配合，并与新任基金管理人或临时基金管理人核对基金资产总值和基金资产净值。</w:t>
      </w:r>
    </w:p>
    <w:p>
      <w:pPr>
        <w:spacing w:line="360" w:lineRule="auto"/>
        <w:ind w:firstLine="420"/>
        <w:rPr>
          <w:rFonts w:ascii="宋体" w:hAnsi="宋体"/>
          <w:kern w:val="0"/>
          <w:sz w:val="24"/>
        </w:rPr>
      </w:pPr>
      <w:r>
        <w:rPr>
          <w:rFonts w:hint="eastAsia" w:ascii="宋体" w:hAnsi="宋体"/>
          <w:sz w:val="24"/>
        </w:rPr>
        <w:t>（二）</w:t>
      </w:r>
      <w:r>
        <w:rPr>
          <w:rFonts w:ascii="宋体" w:hAnsi="宋体"/>
          <w:kern w:val="0"/>
          <w:sz w:val="24"/>
        </w:rPr>
        <w:t>基金托管人职责终止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应妥善保管基金财产和基金托管业务资料，</w:t>
      </w:r>
      <w:r>
        <w:rPr>
          <w:rFonts w:hint="eastAsia" w:ascii="宋体" w:hAnsi="宋体"/>
          <w:sz w:val="24"/>
        </w:rPr>
        <w:t>保证不做出对基金份额持有人的利益造成损害的行为，</w:t>
      </w:r>
      <w:r>
        <w:rPr>
          <w:rFonts w:hint="eastAsia" w:ascii="宋体" w:hAnsi="宋体"/>
          <w:kern w:val="0"/>
          <w:sz w:val="24"/>
        </w:rPr>
        <w:t>并与新任基金托管人或临时基金托管人</w:t>
      </w:r>
      <w:r>
        <w:rPr>
          <w:rFonts w:ascii="宋体" w:hAnsi="宋体"/>
          <w:kern w:val="0"/>
          <w:sz w:val="24"/>
        </w:rPr>
        <w:t>及时办理基金财产和基金托管业务的移交手续。</w:t>
      </w:r>
      <w:r>
        <w:rPr>
          <w:rFonts w:hint="eastAsia" w:ascii="宋体" w:hAnsi="宋体"/>
          <w:kern w:val="0"/>
          <w:sz w:val="24"/>
        </w:rPr>
        <w:t>基金管理人应给予积极配合，并与新任基金托管人或临时基金托管人核对基金资产总值和基金资产净值。</w:t>
      </w:r>
    </w:p>
    <w:p>
      <w:pPr>
        <w:adjustRightInd w:val="0"/>
        <w:snapToGrid w:val="0"/>
        <w:spacing w:line="360" w:lineRule="auto"/>
        <w:ind w:firstLine="480" w:firstLineChars="200"/>
        <w:rPr>
          <w:rFonts w:ascii="宋体" w:hAnsi="宋体"/>
          <w:sz w:val="24"/>
        </w:rPr>
      </w:pPr>
      <w:r>
        <w:rPr>
          <w:rFonts w:hint="eastAsia" w:ascii="宋体" w:hAnsi="宋体"/>
          <w:sz w:val="24"/>
        </w:rPr>
        <w:t>（三）其他事宜见基金合同的相关约定。</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24" w:name="_Toc384992705"/>
      <w:bookmarkStart w:id="125" w:name="_Toc488938624"/>
      <w:bookmarkStart w:id="126" w:name="_Toc348082043"/>
      <w:r>
        <w:rPr>
          <w:rFonts w:hint="eastAsia" w:ascii="宋体" w:hAnsi="宋体"/>
          <w:sz w:val="24"/>
        </w:rPr>
        <w:t>十五、禁止行为</w:t>
      </w:r>
      <w:bookmarkEnd w:id="124"/>
      <w:bookmarkEnd w:id="125"/>
      <w:bookmarkEnd w:id="126"/>
    </w:p>
    <w:p>
      <w:pPr>
        <w:adjustRightInd w:val="0"/>
        <w:snapToGrid w:val="0"/>
        <w:spacing w:line="360" w:lineRule="auto"/>
        <w:ind w:firstLine="480" w:firstLineChars="200"/>
        <w:rPr>
          <w:rFonts w:ascii="宋体" w:hAnsi="宋体"/>
          <w:sz w:val="24"/>
        </w:rPr>
      </w:pPr>
      <w:r>
        <w:rPr>
          <w:rFonts w:hint="eastAsia" w:ascii="宋体" w:hAnsi="宋体"/>
          <w:sz w:val="24"/>
        </w:rPr>
        <w:t>本协议当事人禁止从事的行为，包括但不限于：</w:t>
      </w:r>
    </w:p>
    <w:p>
      <w:pPr>
        <w:spacing w:line="360" w:lineRule="auto"/>
        <w:ind w:firstLine="480" w:firstLineChars="200"/>
        <w:rPr>
          <w:rFonts w:ascii="宋体" w:hAnsi="宋体"/>
          <w:sz w:val="24"/>
        </w:rPr>
      </w:pPr>
      <w:r>
        <w:rPr>
          <w:rFonts w:hint="eastAsia" w:ascii="宋体" w:hAnsi="宋体"/>
          <w:sz w:val="24"/>
        </w:rPr>
        <w:t>（一）基金管理人、基金托管人将其固有财产或者他人财产混同于基金财产从事证券投资。</w:t>
      </w:r>
    </w:p>
    <w:p>
      <w:pPr>
        <w:spacing w:line="360" w:lineRule="auto"/>
        <w:ind w:firstLine="480" w:firstLineChars="200"/>
        <w:rPr>
          <w:rFonts w:ascii="宋体" w:hAnsi="宋体"/>
          <w:sz w:val="24"/>
        </w:rPr>
      </w:pPr>
      <w:r>
        <w:rPr>
          <w:rFonts w:hint="eastAsia" w:ascii="宋体" w:hAnsi="宋体"/>
          <w:sz w:val="24"/>
        </w:rPr>
        <w:t>（二）基金管理人不公平地对待其管理的不同基金财产，基金托管人不公平地对待其托管的不同基金财产。</w:t>
      </w:r>
    </w:p>
    <w:p>
      <w:pPr>
        <w:spacing w:line="360" w:lineRule="auto"/>
        <w:ind w:firstLine="480" w:firstLineChars="200"/>
        <w:rPr>
          <w:rFonts w:ascii="宋体" w:hAnsi="宋体"/>
          <w:sz w:val="24"/>
        </w:rPr>
      </w:pPr>
      <w:r>
        <w:rPr>
          <w:rFonts w:hint="eastAsia" w:ascii="宋体" w:hAnsi="宋体"/>
          <w:sz w:val="24"/>
        </w:rPr>
        <w:t>（三）基金管理人、基金托管人利用基金财产为基金份额持有人以外的第三人牟取利益。</w:t>
      </w:r>
    </w:p>
    <w:p>
      <w:pPr>
        <w:spacing w:line="360" w:lineRule="auto"/>
        <w:ind w:firstLine="480" w:firstLineChars="200"/>
        <w:rPr>
          <w:rFonts w:ascii="宋体" w:hAnsi="宋体"/>
          <w:sz w:val="24"/>
        </w:rPr>
      </w:pPr>
      <w:r>
        <w:rPr>
          <w:rFonts w:hint="eastAsia" w:ascii="宋体" w:hAnsi="宋体"/>
          <w:sz w:val="24"/>
        </w:rPr>
        <w:t>（四）基金管理人、基金托管人向基金份额持有人违规承诺收益或者承担损失。</w:t>
      </w:r>
    </w:p>
    <w:p>
      <w:pPr>
        <w:adjustRightInd w:val="0"/>
        <w:snapToGrid w:val="0"/>
        <w:spacing w:line="360" w:lineRule="auto"/>
        <w:ind w:firstLine="480" w:firstLineChars="200"/>
        <w:rPr>
          <w:rFonts w:ascii="宋体" w:hAnsi="宋体"/>
          <w:sz w:val="24"/>
        </w:rPr>
      </w:pPr>
      <w:r>
        <w:rPr>
          <w:rFonts w:hint="eastAsia" w:ascii="宋体" w:hAnsi="宋体"/>
          <w:sz w:val="24"/>
        </w:rPr>
        <w:t>（五）基金管理人、基金托管人对他人泄漏基金运作和管理过程中任何尚未按法律法规规定的方式公开披露的信息。</w:t>
      </w:r>
    </w:p>
    <w:p>
      <w:pPr>
        <w:pStyle w:val="9"/>
        <w:spacing w:line="360" w:lineRule="auto"/>
        <w:rPr>
          <w:rFonts w:ascii="宋体" w:hAnsi="宋体" w:eastAsia="宋体"/>
          <w:szCs w:val="24"/>
        </w:rPr>
      </w:pPr>
      <w:r>
        <w:rPr>
          <w:rFonts w:hint="eastAsia" w:ascii="宋体" w:hAnsi="宋体" w:eastAsia="宋体"/>
          <w:szCs w:val="24"/>
        </w:rPr>
        <w:t>（六）基金管理人在没有充足资金的情况下向基金托管人发出投资指令和付款指令，或违规向基金托管人发出指令。</w:t>
      </w:r>
    </w:p>
    <w:p>
      <w:pPr>
        <w:adjustRightInd w:val="0"/>
        <w:snapToGrid w:val="0"/>
        <w:spacing w:line="360" w:lineRule="auto"/>
        <w:ind w:firstLine="480" w:firstLineChars="200"/>
        <w:rPr>
          <w:rFonts w:ascii="宋体" w:hAnsi="宋体"/>
          <w:sz w:val="24"/>
        </w:rPr>
      </w:pPr>
      <w:r>
        <w:rPr>
          <w:rFonts w:hint="eastAsia" w:ascii="宋体" w:hAnsi="宋体"/>
          <w:sz w:val="24"/>
        </w:rPr>
        <w:t>（七）基金管理人、基金托管人在行政上、财务上不独立，其高级管理人员和其他从业人员相互兼职。</w:t>
      </w:r>
    </w:p>
    <w:p>
      <w:pPr>
        <w:spacing w:line="360" w:lineRule="auto"/>
        <w:ind w:firstLine="480" w:firstLineChars="200"/>
        <w:rPr>
          <w:rFonts w:ascii="宋体" w:hAnsi="宋体"/>
          <w:sz w:val="24"/>
        </w:rPr>
      </w:pPr>
      <w:r>
        <w:rPr>
          <w:rFonts w:hint="eastAsia" w:ascii="宋体" w:hAnsi="宋体"/>
          <w:sz w:val="24"/>
        </w:rPr>
        <w:t>（八）基金托管人私自动用或处分基金财产，根据基金管理人的合法指令、基金合同或托管协议的规定进行处分的除外。</w:t>
      </w:r>
    </w:p>
    <w:p>
      <w:pPr>
        <w:spacing w:line="360" w:lineRule="auto"/>
        <w:ind w:firstLine="480" w:firstLineChars="200"/>
        <w:rPr>
          <w:rFonts w:ascii="宋体" w:hAnsi="宋体"/>
          <w:sz w:val="24"/>
        </w:rPr>
      </w:pPr>
      <w:r>
        <w:rPr>
          <w:rFonts w:hint="eastAsia" w:ascii="宋体" w:hAnsi="宋体"/>
          <w:sz w:val="24"/>
        </w:rPr>
        <w:t>（九）法律法规和基金合同禁止的其他行为，以及依照法律、行政法规有关规定，由中国证监会规定禁止基金管理人、基金托管人从事的其他行为。</w:t>
      </w:r>
    </w:p>
    <w:p>
      <w:pPr>
        <w:pStyle w:val="3"/>
        <w:spacing w:before="312" w:beforeLines="100" w:after="156" w:afterLines="50" w:line="360" w:lineRule="auto"/>
        <w:jc w:val="center"/>
        <w:rPr>
          <w:rFonts w:ascii="宋体" w:hAnsi="宋体"/>
          <w:sz w:val="24"/>
        </w:rPr>
      </w:pPr>
      <w:r>
        <w:rPr>
          <w:rFonts w:ascii="宋体" w:hAnsi="宋体"/>
          <w:b w:val="0"/>
          <w:sz w:val="24"/>
        </w:rPr>
        <w:br w:type="page"/>
      </w:r>
      <w:bookmarkStart w:id="127" w:name="_Toc348082044"/>
      <w:bookmarkStart w:id="128" w:name="_Toc488938625"/>
      <w:bookmarkStart w:id="129" w:name="_Toc384992706"/>
      <w:r>
        <w:rPr>
          <w:rFonts w:hint="eastAsia" w:ascii="宋体" w:hAnsi="宋体"/>
          <w:sz w:val="24"/>
        </w:rPr>
        <w:t>十六、托管协议的变更、终止与基金财产的清算</w:t>
      </w:r>
      <w:bookmarkEnd w:id="127"/>
      <w:bookmarkEnd w:id="128"/>
      <w:bookmarkEnd w:id="129"/>
    </w:p>
    <w:p>
      <w:pPr>
        <w:adjustRightInd w:val="0"/>
        <w:snapToGrid w:val="0"/>
        <w:spacing w:line="360" w:lineRule="auto"/>
        <w:ind w:firstLine="480" w:firstLineChars="200"/>
        <w:rPr>
          <w:rFonts w:ascii="宋体" w:hAnsi="宋体"/>
          <w:sz w:val="24"/>
        </w:rPr>
      </w:pPr>
      <w:r>
        <w:rPr>
          <w:rFonts w:hint="eastAsia" w:ascii="宋体" w:hAnsi="宋体"/>
          <w:sz w:val="24"/>
        </w:rPr>
        <w:t>（一）托管协议的变更程序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本协议双方当事人经协商一致，可以对协议进行修改。修改后的新协议，其内容不得与基金合同的规定有任何冲突。基金托管协议的变更应报中国证监会备案。</w:t>
      </w:r>
    </w:p>
    <w:p>
      <w:pPr>
        <w:adjustRightInd w:val="0"/>
        <w:snapToGrid w:val="0"/>
        <w:spacing w:line="360" w:lineRule="auto"/>
        <w:ind w:firstLine="480" w:firstLineChars="200"/>
        <w:rPr>
          <w:rFonts w:ascii="宋体" w:hAnsi="宋体"/>
          <w:sz w:val="24"/>
        </w:rPr>
      </w:pPr>
      <w:r>
        <w:rPr>
          <w:rFonts w:hint="eastAsia" w:ascii="宋体" w:hAnsi="宋体"/>
          <w:sz w:val="24"/>
        </w:rPr>
        <w:t>（二）基金托管协议终止的情形</w:t>
      </w:r>
    </w:p>
    <w:p>
      <w:pPr>
        <w:adjustRightInd w:val="0"/>
        <w:snapToGrid w:val="0"/>
        <w:spacing w:line="360" w:lineRule="auto"/>
        <w:ind w:firstLine="480" w:firstLineChars="200"/>
        <w:rPr>
          <w:rFonts w:ascii="宋体" w:hAnsi="宋体"/>
          <w:sz w:val="24"/>
        </w:rPr>
      </w:pPr>
      <w:r>
        <w:rPr>
          <w:rFonts w:ascii="宋体" w:hAnsi="宋体"/>
          <w:sz w:val="24"/>
        </w:rPr>
        <w:t>1、《基金合同》终止；</w:t>
      </w:r>
    </w:p>
    <w:p>
      <w:pPr>
        <w:adjustRightInd w:val="0"/>
        <w:snapToGrid w:val="0"/>
        <w:spacing w:line="360" w:lineRule="auto"/>
        <w:ind w:firstLine="480" w:firstLineChars="20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ascii="宋体" w:hAnsi="宋体"/>
          <w:sz w:val="24"/>
        </w:rPr>
        <w:t>3、基金管理人因解散、破产、撤销等事由，不能继续担任基金管理人的职务，而在6个月内无其他适当的基金管理</w:t>
      </w:r>
      <w:r>
        <w:rPr>
          <w:rFonts w:hint="eastAsia" w:ascii="宋体" w:hAnsi="宋体"/>
          <w:sz w:val="24"/>
        </w:rPr>
        <w:t>机构</w:t>
      </w:r>
      <w:r>
        <w:rPr>
          <w:rFonts w:ascii="宋体" w:hAnsi="宋体"/>
          <w:sz w:val="24"/>
        </w:rPr>
        <w:t>承接其原有权利义务；</w:t>
      </w:r>
    </w:p>
    <w:p>
      <w:pPr>
        <w:adjustRightInd w:val="0"/>
        <w:snapToGrid w:val="0"/>
        <w:spacing w:line="360" w:lineRule="auto"/>
        <w:ind w:firstLine="480" w:firstLineChars="200"/>
        <w:rPr>
          <w:rFonts w:ascii="宋体" w:hAnsi="宋体"/>
          <w:sz w:val="24"/>
        </w:rPr>
      </w:pPr>
      <w:r>
        <w:rPr>
          <w:rFonts w:ascii="宋体" w:hAnsi="宋体"/>
          <w:sz w:val="24"/>
        </w:rPr>
        <w:t>4、发生法律法规或《基金合同》规定的</w:t>
      </w:r>
      <w:r>
        <w:rPr>
          <w:rFonts w:hint="eastAsia" w:ascii="宋体" w:hAnsi="宋体"/>
          <w:sz w:val="24"/>
        </w:rPr>
        <w:t>其他终止事项。</w:t>
      </w:r>
    </w:p>
    <w:p>
      <w:pPr>
        <w:adjustRightInd w:val="0"/>
        <w:snapToGrid w:val="0"/>
        <w:spacing w:line="360" w:lineRule="auto"/>
        <w:ind w:firstLine="480" w:firstLineChars="200"/>
        <w:rPr>
          <w:rFonts w:ascii="宋体" w:hAnsi="宋体"/>
          <w:sz w:val="24"/>
        </w:rPr>
      </w:pPr>
      <w:r>
        <w:rPr>
          <w:rFonts w:hint="eastAsia" w:ascii="宋体" w:hAnsi="宋体"/>
          <w:sz w:val="24"/>
        </w:rPr>
        <w:t>（三）基金财产的清算</w:t>
      </w:r>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基金管理人与基金托管人按照《基金合同》的约定处理基金财产的清算。</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30" w:name="_Toc384992707"/>
      <w:bookmarkStart w:id="131" w:name="_Toc488938626"/>
      <w:bookmarkStart w:id="132" w:name="_Toc348082045"/>
      <w:r>
        <w:rPr>
          <w:rFonts w:hint="eastAsia" w:ascii="宋体" w:hAnsi="宋体"/>
          <w:sz w:val="24"/>
        </w:rPr>
        <w:t>十七、违约责任</w:t>
      </w:r>
      <w:bookmarkEnd w:id="130"/>
      <w:bookmarkEnd w:id="131"/>
      <w:bookmarkEnd w:id="132"/>
    </w:p>
    <w:p>
      <w:pPr>
        <w:adjustRightInd w:val="0"/>
        <w:snapToGrid w:val="0"/>
        <w:spacing w:line="336" w:lineRule="auto"/>
        <w:ind w:firstLine="480" w:firstLineChars="200"/>
        <w:rPr>
          <w:rFonts w:ascii="宋体" w:hAnsi="宋体"/>
          <w:sz w:val="24"/>
        </w:rPr>
      </w:pPr>
      <w:r>
        <w:rPr>
          <w:rFonts w:hint="eastAsia" w:ascii="宋体" w:hAnsi="宋体"/>
          <w:sz w:val="24"/>
        </w:rPr>
        <w:t>（一）</w:t>
      </w:r>
      <w:r>
        <w:rPr>
          <w:rFonts w:ascii="宋体" w:hAnsi="宋体"/>
          <w:sz w:val="24"/>
        </w:rPr>
        <w:t>基金管理人、基金托管人</w:t>
      </w:r>
      <w:r>
        <w:rPr>
          <w:rFonts w:hint="eastAsia" w:ascii="宋体" w:hAnsi="宋体"/>
          <w:sz w:val="24"/>
        </w:rPr>
        <w:t>不</w:t>
      </w:r>
      <w:r>
        <w:rPr>
          <w:rFonts w:ascii="宋体" w:hAnsi="宋体"/>
          <w:sz w:val="24"/>
        </w:rPr>
        <w:t>履行</w:t>
      </w:r>
      <w:r>
        <w:rPr>
          <w:rFonts w:hint="eastAsia" w:ascii="宋体" w:hAnsi="宋体"/>
          <w:sz w:val="24"/>
        </w:rPr>
        <w:t>本协议或履行本协议不符合约定的，应当承担违约责任。</w:t>
      </w:r>
    </w:p>
    <w:p>
      <w:pPr>
        <w:adjustRightInd w:val="0"/>
        <w:snapToGrid w:val="0"/>
        <w:spacing w:line="336" w:lineRule="auto"/>
        <w:ind w:firstLine="480" w:firstLineChars="200"/>
        <w:rPr>
          <w:rFonts w:ascii="宋体" w:hAnsi="宋体"/>
          <w:sz w:val="24"/>
        </w:rPr>
      </w:pPr>
      <w:r>
        <w:rPr>
          <w:rFonts w:hint="eastAsia" w:ascii="宋体" w:hAnsi="宋体"/>
          <w:sz w:val="24"/>
        </w:rPr>
        <w:t>（二）</w:t>
      </w:r>
      <w:r>
        <w:rPr>
          <w:rFonts w:ascii="宋体" w:hAnsi="宋体"/>
          <w:sz w:val="24"/>
        </w:rPr>
        <w:t>基金管理人、基金托管人在履行各自职责的过程中，违反</w:t>
      </w:r>
      <w:r>
        <w:rPr>
          <w:rFonts w:hint="eastAsia" w:ascii="宋体" w:hAnsi="宋体"/>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hint="eastAsia" w:ascii="宋体" w:hAnsi="宋体"/>
          <w:sz w:val="24"/>
        </w:rPr>
        <w:t>应当根据各自的过错程度对由此造成的直接损失分别承担相应的责任。</w:t>
      </w:r>
    </w:p>
    <w:p>
      <w:pPr>
        <w:adjustRightInd w:val="0"/>
        <w:snapToGrid w:val="0"/>
        <w:spacing w:line="336" w:lineRule="auto"/>
        <w:ind w:firstLine="480" w:firstLineChars="200"/>
        <w:rPr>
          <w:rFonts w:ascii="宋体" w:hAnsi="宋体"/>
          <w:sz w:val="24"/>
        </w:rPr>
      </w:pPr>
      <w:r>
        <w:rPr>
          <w:rFonts w:hint="eastAsia" w:ascii="宋体" w:hAnsi="宋体"/>
          <w:sz w:val="24"/>
        </w:rPr>
        <w:t>（三）一方当事人违约，给另一方当事人或基金财产造成损失的，应就直接损失进行赔偿，另一方当事人有权利及义务代表基金向违约方追偿。但是如发生下列情况，当事人免责：</w:t>
      </w:r>
    </w:p>
    <w:p>
      <w:pPr>
        <w:adjustRightInd w:val="0"/>
        <w:snapToGrid w:val="0"/>
        <w:spacing w:line="336" w:lineRule="auto"/>
        <w:ind w:firstLine="480" w:firstLineChars="200"/>
        <w:rPr>
          <w:rFonts w:ascii="宋体" w:hAnsi="宋体"/>
          <w:sz w:val="24"/>
        </w:rPr>
      </w:pPr>
      <w:r>
        <w:rPr>
          <w:rFonts w:ascii="宋体" w:hAnsi="宋体"/>
          <w:sz w:val="24"/>
        </w:rPr>
        <w:t>1、基金管理</w:t>
      </w:r>
      <w:r>
        <w:rPr>
          <w:rFonts w:hint="eastAsia" w:ascii="宋体" w:hAnsi="宋体" w:cs="Arial"/>
          <w:sz w:val="24"/>
        </w:rPr>
        <w:t>人和/或</w:t>
      </w:r>
      <w:r>
        <w:rPr>
          <w:rFonts w:hint="eastAsia" w:ascii="宋体" w:hAnsi="宋体"/>
          <w:sz w:val="24"/>
        </w:rPr>
        <w:t>基金托管人按照当时有效的法律法规或中国证监会的规定作为或不作为而造成的损失等；</w:t>
      </w:r>
    </w:p>
    <w:p>
      <w:pPr>
        <w:adjustRightInd w:val="0"/>
        <w:snapToGrid w:val="0"/>
        <w:spacing w:line="336" w:lineRule="auto"/>
        <w:ind w:firstLine="480" w:firstLineChars="200"/>
        <w:rPr>
          <w:rFonts w:ascii="宋体" w:hAnsi="宋体"/>
          <w:sz w:val="24"/>
        </w:rPr>
      </w:pPr>
      <w:r>
        <w:rPr>
          <w:rFonts w:ascii="宋体" w:hAnsi="宋体"/>
          <w:sz w:val="24"/>
        </w:rPr>
        <w:t>2、基金管理人由于按照</w:t>
      </w:r>
      <w:r>
        <w:rPr>
          <w:rFonts w:hint="eastAsia" w:ascii="宋体" w:hAnsi="宋体"/>
          <w:sz w:val="24"/>
        </w:rPr>
        <w:t>《基金合同》规定的投资原则而行使或不行使其投资权而造成的损失等；</w:t>
      </w:r>
    </w:p>
    <w:p>
      <w:pPr>
        <w:adjustRightInd w:val="0"/>
        <w:snapToGrid w:val="0"/>
        <w:spacing w:line="336" w:lineRule="auto"/>
        <w:ind w:firstLine="480" w:firstLineChars="200"/>
        <w:rPr>
          <w:rFonts w:ascii="宋体" w:hAnsi="宋体"/>
          <w:sz w:val="24"/>
        </w:rPr>
      </w:pPr>
      <w:r>
        <w:rPr>
          <w:rFonts w:ascii="宋体" w:hAnsi="宋体"/>
          <w:sz w:val="24"/>
        </w:rPr>
        <w:t>3</w:t>
      </w:r>
      <w:r>
        <w:rPr>
          <w:rFonts w:hint="eastAsia" w:ascii="宋体" w:hAnsi="宋体"/>
          <w:sz w:val="24"/>
        </w:rPr>
        <w:t>、不可抗力；</w:t>
      </w:r>
    </w:p>
    <w:p>
      <w:pPr>
        <w:adjustRightInd w:val="0"/>
        <w:snapToGrid w:val="0"/>
        <w:spacing w:line="336" w:lineRule="auto"/>
        <w:ind w:firstLine="480" w:firstLineChars="200"/>
        <w:rPr>
          <w:rFonts w:ascii="宋体" w:hAnsi="宋体"/>
          <w:sz w:val="24"/>
        </w:rPr>
      </w:pPr>
      <w:r>
        <w:rPr>
          <w:rFonts w:hint="eastAsia" w:ascii="宋体" w:hAnsi="宋体"/>
          <w:sz w:val="24"/>
        </w:rPr>
        <w:t>4、非因基金管理人、基金托管人的故意或重大过失造成的计算机系统故障、网络故障、通讯故障、电力故障、计算机病毒攻击及其它意外事故，所导致的损失等。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宋体" w:hAnsi="宋体"/>
          <w:sz w:val="24"/>
        </w:rPr>
      </w:pPr>
      <w:r>
        <w:rPr>
          <w:rFonts w:hint="eastAsia" w:ascii="宋体" w:hAnsi="宋体"/>
          <w:sz w:val="24"/>
        </w:rPr>
        <w:t>（四）一方当事人违约，另一方当事人在职责范围内有义务及时采取必要的措施，尽力防止损失的扩大。</w:t>
      </w:r>
    </w:p>
    <w:p>
      <w:pPr>
        <w:adjustRightInd w:val="0"/>
        <w:snapToGrid w:val="0"/>
        <w:spacing w:line="336" w:lineRule="auto"/>
        <w:ind w:firstLine="480" w:firstLineChars="200"/>
        <w:rPr>
          <w:rFonts w:ascii="宋体" w:hAnsi="宋体"/>
          <w:sz w:val="24"/>
        </w:rPr>
      </w:pPr>
      <w:r>
        <w:rPr>
          <w:rFonts w:hint="eastAsia" w:ascii="宋体" w:hAnsi="宋体"/>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pPr>
        <w:adjustRightInd w:val="0"/>
        <w:snapToGrid w:val="0"/>
        <w:spacing w:line="336" w:lineRule="auto"/>
        <w:ind w:firstLine="480" w:firstLineChars="200"/>
        <w:rPr>
          <w:rFonts w:ascii="宋体" w:hAnsi="宋体"/>
          <w:b/>
          <w:sz w:val="24"/>
        </w:rPr>
      </w:pPr>
      <w:r>
        <w:rPr>
          <w:rFonts w:hint="eastAsia" w:ascii="宋体" w:hAnsi="宋体"/>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3" w:name="_Toc348082046"/>
    </w:p>
    <w:p>
      <w:pPr>
        <w:pStyle w:val="3"/>
        <w:spacing w:before="312" w:beforeLines="100" w:after="156" w:afterLines="50" w:line="360" w:lineRule="auto"/>
        <w:jc w:val="center"/>
        <w:rPr>
          <w:rFonts w:ascii="宋体" w:hAnsi="宋体"/>
          <w:sz w:val="24"/>
        </w:rPr>
      </w:pPr>
      <w:bookmarkStart w:id="134" w:name="_Toc488938627"/>
      <w:bookmarkStart w:id="135" w:name="_Toc384992708"/>
      <w:r>
        <w:rPr>
          <w:rFonts w:hint="eastAsia" w:ascii="宋体" w:hAnsi="宋体"/>
          <w:sz w:val="24"/>
        </w:rPr>
        <w:t>十八、争议解决方式</w:t>
      </w:r>
      <w:bookmarkEnd w:id="133"/>
      <w:bookmarkEnd w:id="134"/>
      <w:bookmarkEnd w:id="135"/>
    </w:p>
    <w:p>
      <w:pPr>
        <w:adjustRightInd w:val="0"/>
        <w:snapToGrid w:val="0"/>
        <w:spacing w:line="360" w:lineRule="auto"/>
        <w:ind w:firstLine="480" w:firstLineChars="200"/>
        <w:rPr>
          <w:rFonts w:ascii="宋体" w:hAnsi="宋体"/>
          <w:sz w:val="24"/>
        </w:rPr>
      </w:pPr>
      <w:r>
        <w:rPr>
          <w:rFonts w:hint="eastAsia" w:ascii="宋体" w:hAnsi="宋体"/>
          <w:sz w:val="24"/>
        </w:rPr>
        <w:t>双方当事人同意，因本协议而产生的或与本协议有关的一切争议，如经友好协商未能解决的，任何一方均有权将争议提交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届时有效的仲裁规则进行仲裁。仲裁地点为深圳市。仲裁裁决是终局的，对双方当事人均有约束力，除非仲裁裁决另有规定，仲裁费用由败诉方承担。</w:t>
      </w:r>
    </w:p>
    <w:p>
      <w:pPr>
        <w:adjustRightInd w:val="0"/>
        <w:snapToGrid w:val="0"/>
        <w:spacing w:line="360" w:lineRule="auto"/>
        <w:ind w:firstLine="480" w:firstLineChars="200"/>
        <w:rPr>
          <w:rFonts w:ascii="宋体" w:hAnsi="宋体"/>
          <w:sz w:val="24"/>
        </w:rPr>
      </w:pPr>
      <w:r>
        <w:rPr>
          <w:rFonts w:hint="eastAsia" w:ascii="宋体" w:hAnsi="宋体"/>
          <w:sz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sz w:val="24"/>
        </w:rPr>
      </w:pPr>
      <w:r>
        <w:rPr>
          <w:rFonts w:hint="eastAsia" w:ascii="宋体" w:hAnsi="宋体"/>
          <w:sz w:val="24"/>
        </w:rPr>
        <w:t>本协议受中华人民共和国法律（不含港澳台地区法律）管辖。</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36" w:name="_Toc384992709"/>
      <w:bookmarkStart w:id="137" w:name="_Toc348082047"/>
      <w:bookmarkStart w:id="138" w:name="_Toc488938628"/>
      <w:r>
        <w:rPr>
          <w:rFonts w:hint="eastAsia" w:ascii="宋体" w:hAnsi="宋体"/>
          <w:sz w:val="24"/>
        </w:rPr>
        <w:t>十九、托管协议的效力</w:t>
      </w:r>
      <w:bookmarkEnd w:id="136"/>
      <w:bookmarkEnd w:id="137"/>
      <w:bookmarkEnd w:id="138"/>
    </w:p>
    <w:p>
      <w:pPr>
        <w:adjustRightInd w:val="0"/>
        <w:snapToGrid w:val="0"/>
        <w:spacing w:line="360" w:lineRule="auto"/>
        <w:ind w:firstLine="480" w:firstLineChars="200"/>
        <w:rPr>
          <w:rFonts w:ascii="宋体" w:hAnsi="宋体"/>
          <w:sz w:val="24"/>
        </w:rPr>
      </w:pPr>
      <w:r>
        <w:rPr>
          <w:rFonts w:hint="eastAsia" w:ascii="宋体" w:hAnsi="宋体"/>
          <w:sz w:val="24"/>
        </w:rPr>
        <w:t>双方对托管协议的效力约定如下：</w:t>
      </w:r>
    </w:p>
    <w:p>
      <w:pPr>
        <w:adjustRightInd w:val="0"/>
        <w:snapToGrid w:val="0"/>
        <w:spacing w:line="360" w:lineRule="auto"/>
        <w:ind w:firstLine="480" w:firstLineChars="200"/>
        <w:rPr>
          <w:rFonts w:ascii="宋体" w:hAnsi="宋体"/>
          <w:sz w:val="24"/>
        </w:rPr>
      </w:pPr>
      <w:r>
        <w:rPr>
          <w:rFonts w:hint="eastAsia" w:ascii="宋体" w:hAnsi="宋体"/>
          <w:sz w:val="24"/>
        </w:rPr>
        <w:t>（一）基金管理人在向中国证监会申请募集注册时提交的托管协议草案，应经托管协议当事人双方盖章以及双方法定代表人或授权代表</w:t>
      </w:r>
      <w:r>
        <w:rPr>
          <w:rFonts w:hint="eastAsia" w:ascii="宋体" w:hAnsi="宋体" w:cs="Arial"/>
          <w:sz w:val="24"/>
        </w:rPr>
        <w:t>签章</w:t>
      </w:r>
      <w:r>
        <w:rPr>
          <w:rFonts w:hint="eastAsia" w:ascii="宋体" w:hAnsi="宋体"/>
          <w:sz w:val="24"/>
        </w:rPr>
        <w:t>，协议当事人双方根据中国证监会的意见修改并正式签署托管协议。托管协议以中国证监会注册的文本为正式文本。</w:t>
      </w:r>
    </w:p>
    <w:p>
      <w:pPr>
        <w:adjustRightInd w:val="0"/>
        <w:snapToGrid w:val="0"/>
        <w:spacing w:line="360" w:lineRule="auto"/>
        <w:ind w:firstLine="480" w:firstLineChars="200"/>
        <w:rPr>
          <w:rFonts w:ascii="宋体" w:hAnsi="宋体"/>
          <w:sz w:val="24"/>
        </w:rPr>
      </w:pPr>
      <w:r>
        <w:rPr>
          <w:rFonts w:hint="eastAsia" w:ascii="宋体" w:hAnsi="宋体"/>
          <w:sz w:val="24"/>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80" w:firstLineChars="200"/>
        <w:rPr>
          <w:rFonts w:ascii="宋体" w:hAnsi="宋体"/>
          <w:sz w:val="24"/>
        </w:rPr>
      </w:pPr>
      <w:r>
        <w:rPr>
          <w:rFonts w:hint="eastAsia" w:ascii="宋体" w:hAnsi="宋体"/>
          <w:sz w:val="24"/>
        </w:rPr>
        <w:t>（三）托管协议自生效之日起对托管协议当事人具有同等的法律约束力。</w:t>
      </w:r>
    </w:p>
    <w:p>
      <w:pPr>
        <w:adjustRightInd w:val="0"/>
        <w:snapToGrid w:val="0"/>
        <w:spacing w:line="360" w:lineRule="auto"/>
        <w:ind w:firstLine="480" w:firstLineChars="200"/>
        <w:rPr>
          <w:rFonts w:ascii="宋体" w:hAnsi="宋体"/>
          <w:sz w:val="24"/>
        </w:rPr>
      </w:pPr>
      <w:r>
        <w:rPr>
          <w:rFonts w:hint="eastAsia" w:ascii="宋体" w:hAnsi="宋体"/>
          <w:sz w:val="24"/>
        </w:rPr>
        <w:t>（四）本协议一式</w:t>
      </w:r>
      <w:r>
        <w:rPr>
          <w:rFonts w:hint="eastAsia"/>
          <w:sz w:val="24"/>
        </w:rPr>
        <w:t>三</w:t>
      </w:r>
      <w:r>
        <w:rPr>
          <w:rFonts w:hint="eastAsia" w:ascii="宋体" w:hAnsi="宋体"/>
          <w:sz w:val="24"/>
        </w:rPr>
        <w:t>份，协议双方各持一份，由基金管理人根据需要上报监管机构一份，每份具有同等法律效力。</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39" w:name="_Toc384992710"/>
      <w:bookmarkStart w:id="140" w:name="_Toc348082048"/>
      <w:bookmarkStart w:id="141" w:name="_Toc488938629"/>
      <w:r>
        <w:rPr>
          <w:rFonts w:hint="eastAsia" w:ascii="宋体" w:hAnsi="宋体"/>
          <w:sz w:val="24"/>
        </w:rPr>
        <w:t>二十、其他事项</w:t>
      </w:r>
      <w:bookmarkEnd w:id="139"/>
      <w:bookmarkEnd w:id="140"/>
      <w:bookmarkEnd w:id="141"/>
    </w:p>
    <w:p>
      <w:pPr>
        <w:adjustRightInd w:val="0"/>
        <w:snapToGrid w:val="0"/>
        <w:spacing w:line="360" w:lineRule="auto"/>
        <w:ind w:firstLine="480" w:firstLineChars="200"/>
        <w:rPr>
          <w:rFonts w:ascii="宋体" w:hAnsi="宋体"/>
          <w:sz w:val="24"/>
        </w:rPr>
      </w:pPr>
      <w:r>
        <w:rPr>
          <w:rFonts w:hint="eastAsia" w:ascii="宋体" w:hAnsi="宋体"/>
          <w:sz w:val="24"/>
        </w:rPr>
        <w:t>如发生有权司法机关依法冻结基金份额持有人的基金份额时，基金管理人应予以配合，承担司法协助义务。</w:t>
      </w:r>
    </w:p>
    <w:p>
      <w:pPr>
        <w:adjustRightInd w:val="0"/>
        <w:snapToGrid w:val="0"/>
        <w:spacing w:line="360" w:lineRule="auto"/>
        <w:ind w:firstLine="480" w:firstLineChars="200"/>
        <w:rPr>
          <w:rFonts w:ascii="宋体" w:hAnsi="宋体"/>
          <w:sz w:val="24"/>
        </w:rPr>
      </w:pPr>
      <w:r>
        <w:rPr>
          <w:rFonts w:hint="eastAsia" w:ascii="宋体" w:hAnsi="宋体"/>
          <w:sz w:val="24"/>
        </w:rPr>
        <w:t>除本协议有明确定义外，本协议的用语定义适用基金合同的约定。本协议未尽事宜，当事人依据基金合同、有关法律法规等规定协商办理。</w:t>
      </w:r>
    </w:p>
    <w:p>
      <w:pPr>
        <w:adjustRightInd w:val="0"/>
        <w:snapToGrid w:val="0"/>
        <w:spacing w:line="360" w:lineRule="auto"/>
        <w:ind w:firstLine="480" w:firstLineChars="200"/>
        <w:rPr>
          <w:rFonts w:ascii="宋体" w:hAnsi="宋体"/>
          <w:sz w:val="24"/>
        </w:rPr>
      </w:pPr>
      <w:r>
        <w:rPr>
          <w:rFonts w:hint="eastAsia" w:ascii="宋体" w:hAnsi="宋体"/>
          <w:sz w:val="24"/>
        </w:rPr>
        <w:t>本协议附件构成本协议不可分割的组成部分。</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2" w:name="_Toc488938630"/>
      <w:bookmarkStart w:id="143" w:name="_Toc384992711"/>
      <w:bookmarkStart w:id="144" w:name="_Toc348082049"/>
      <w:r>
        <w:rPr>
          <w:rFonts w:hint="eastAsia" w:ascii="宋体" w:hAnsi="宋体"/>
          <w:sz w:val="24"/>
        </w:rPr>
        <w:t>二十一、托管协议的签订</w:t>
      </w:r>
      <w:bookmarkEnd w:id="142"/>
      <w:bookmarkEnd w:id="143"/>
      <w:bookmarkEnd w:id="144"/>
    </w:p>
    <w:p>
      <w:pPr>
        <w:adjustRightInd w:val="0"/>
        <w:snapToGrid w:val="0"/>
        <w:spacing w:line="360" w:lineRule="auto"/>
        <w:ind w:firstLine="480" w:firstLineChars="200"/>
        <w:rPr>
          <w:rFonts w:ascii="宋体" w:hAnsi="宋体"/>
          <w:sz w:val="24"/>
        </w:rPr>
      </w:pPr>
      <w:r>
        <w:rPr>
          <w:rFonts w:hint="eastAsia" w:ascii="宋体" w:hAnsi="宋体"/>
          <w:sz w:val="24"/>
        </w:rPr>
        <w:t>本协议双方法定代表人或授权代表签章、签订地、签订日</w:t>
      </w:r>
    </w:p>
    <w:p>
      <w:pPr>
        <w:widowControl/>
        <w:jc w:val="left"/>
        <w:rPr>
          <w:rFonts w:ascii="宋体" w:hAnsi="宋体"/>
          <w:b/>
          <w:sz w:val="24"/>
        </w:rPr>
      </w:pPr>
      <w:bookmarkStart w:id="145" w:name="_Toc488938631"/>
      <w:bookmarkStart w:id="146" w:name="_Toc384992712"/>
      <w:r>
        <w:rPr>
          <w:rFonts w:ascii="宋体" w:hAnsi="宋体"/>
          <w:b/>
          <w:sz w:val="24"/>
        </w:rPr>
        <w:br w:type="page"/>
      </w:r>
    </w:p>
    <w:p>
      <w:pPr>
        <w:pStyle w:val="3"/>
        <w:spacing w:before="312" w:beforeLines="100" w:after="156" w:afterLines="50" w:line="360" w:lineRule="auto"/>
        <w:jc w:val="center"/>
        <w:rPr>
          <w:rFonts w:ascii="宋体" w:hAnsi="宋体"/>
          <w:sz w:val="24"/>
        </w:rPr>
      </w:pPr>
      <w:r>
        <w:rPr>
          <w:rFonts w:hint="eastAsia" w:ascii="宋体" w:hAnsi="宋体"/>
          <w:sz w:val="24"/>
        </w:rPr>
        <w:t>附件：托管银行证券资金结算规定</w:t>
      </w:r>
      <w:bookmarkEnd w:id="145"/>
      <w:bookmarkEnd w:id="146"/>
    </w:p>
    <w:p>
      <w:pPr>
        <w:ind w:firstLine="424" w:firstLineChars="202"/>
        <w:rPr>
          <w:szCs w:val="21"/>
        </w:rPr>
      </w:pPr>
    </w:p>
    <w:p>
      <w:pPr>
        <w:spacing w:line="360" w:lineRule="auto"/>
        <w:ind w:firstLine="424" w:firstLineChars="202"/>
        <w:rPr>
          <w:szCs w:val="21"/>
        </w:rPr>
      </w:pPr>
      <w:r>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pPr>
        <w:spacing w:line="360" w:lineRule="auto"/>
        <w:ind w:firstLine="424" w:firstLineChars="202"/>
        <w:rPr>
          <w:szCs w:val="21"/>
        </w:rPr>
      </w:pPr>
      <w:r>
        <w:rPr>
          <w:rFonts w:hint="eastAsia"/>
          <w:szCs w:val="21"/>
        </w:rPr>
        <w:t>第一条  资产托管人系经中国银保监会、中国证监会及其他相关部门核准具备证券投资基金、保险资产、企业年金基金以及其他与结算公司结算业务相关的托管业务资格的商业银行；资产管理人系经中国证监会、中国银保监会批准设立的证券公司、基金管理公司、保险公司、保险资产管理公司等投资管理机构。</w:t>
      </w:r>
    </w:p>
    <w:p>
      <w:pPr>
        <w:spacing w:line="360" w:lineRule="auto"/>
        <w:ind w:firstLine="424" w:firstLineChars="202"/>
        <w:rPr>
          <w:szCs w:val="21"/>
        </w:rPr>
      </w:pPr>
      <w:r>
        <w:rPr>
          <w:rFonts w:hint="eastAsia"/>
          <w:szCs w:val="21"/>
        </w:rPr>
        <w:t>第二条  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pPr>
        <w:spacing w:line="360" w:lineRule="auto"/>
        <w:ind w:firstLine="424" w:firstLineChars="202"/>
        <w:rPr>
          <w:szCs w:val="21"/>
        </w:rPr>
      </w:pPr>
      <w:r>
        <w:rPr>
          <w:rFonts w:hint="eastAsia"/>
          <w:szCs w:val="21"/>
        </w:rPr>
        <w:t>第三条  资产管理人和资产托管人同意遵守结算公司制定的业务规则。</w:t>
      </w:r>
    </w:p>
    <w:p>
      <w:pPr>
        <w:spacing w:line="360" w:lineRule="auto"/>
        <w:ind w:firstLine="424" w:firstLineChars="202"/>
        <w:rPr>
          <w:szCs w:val="21"/>
        </w:rPr>
      </w:pPr>
      <w:r>
        <w:rPr>
          <w:rFonts w:hint="eastAsia"/>
          <w:szCs w:val="21"/>
        </w:rPr>
        <w:t>第四条  多边净额结算方式下，证券和资金结算实行分级结算原则。资产托管人负责办理与结算公司之间证券和资金的一级清算交收；同时负责办理与资产管理人之间证券和资金的二级清算交收。</w:t>
      </w:r>
    </w:p>
    <w:p>
      <w:pPr>
        <w:spacing w:line="360" w:lineRule="auto"/>
        <w:ind w:firstLine="424" w:firstLineChars="202"/>
        <w:rPr>
          <w:szCs w:val="21"/>
        </w:rPr>
      </w:pPr>
      <w:r>
        <w:rPr>
          <w:rFonts w:hint="eastAsia"/>
          <w:szCs w:val="21"/>
        </w:rPr>
        <w:t>第五条  资产托管人依据交易清算日（T日）清算结果，按照结算业务规则，与结算公司完成最终不可撤销的证券与资金交收处理；同时在规定时限内，与资产管理人完成不可撤销的证券、资金交收处理。</w:t>
      </w:r>
    </w:p>
    <w:p>
      <w:pPr>
        <w:spacing w:line="360" w:lineRule="auto"/>
        <w:ind w:firstLine="424" w:firstLineChars="202"/>
        <w:rPr>
          <w:szCs w:val="21"/>
        </w:rPr>
      </w:pPr>
      <w:r>
        <w:rPr>
          <w:rFonts w:hint="eastAsia"/>
          <w:szCs w:val="21"/>
        </w:rPr>
        <w:t>第六条  资产管理人管理资产交收违约应遵循谁过错谁赔偿的原则。</w:t>
      </w:r>
    </w:p>
    <w:p>
      <w:pPr>
        <w:spacing w:line="360" w:lineRule="auto"/>
        <w:ind w:firstLine="424" w:firstLineChars="202"/>
        <w:rPr>
          <w:szCs w:val="21"/>
        </w:rPr>
      </w:pPr>
      <w:r>
        <w:rPr>
          <w:rFonts w:hint="eastAsia"/>
          <w:szCs w:val="21"/>
        </w:rPr>
        <w:t>（一）因资产管理人头寸匡算错误等资产管理人原因导致的交收违约实际损失，由资产管理人承担。</w:t>
      </w:r>
    </w:p>
    <w:p>
      <w:pPr>
        <w:spacing w:line="360" w:lineRule="auto"/>
        <w:ind w:firstLine="424" w:firstLineChars="202"/>
        <w:rPr>
          <w:szCs w:val="21"/>
        </w:rPr>
      </w:pPr>
      <w:r>
        <w:rPr>
          <w:rFonts w:hint="eastAsia"/>
          <w:szCs w:val="21"/>
        </w:rPr>
        <w:t>（二）因资产托管人操作失误等资产托管人原因导致的交收违约实际损失，由资产托管人承担。</w:t>
      </w:r>
    </w:p>
    <w:p>
      <w:pPr>
        <w:spacing w:line="360" w:lineRule="auto"/>
        <w:ind w:firstLine="424" w:firstLineChars="202"/>
        <w:rPr>
          <w:szCs w:val="21"/>
        </w:rPr>
      </w:pPr>
      <w:r>
        <w:rPr>
          <w:rFonts w:hint="eastAsia"/>
          <w:szCs w:val="21"/>
        </w:rPr>
        <w:t>（三）由第三方过错导致的交收违约损失，按照最大程度保护资产管理人管理托管资产持有人合法权益的原则，由双方协商处理，并由双方共同承担向第三方追偿的责任。</w:t>
      </w:r>
    </w:p>
    <w:p>
      <w:pPr>
        <w:spacing w:line="360" w:lineRule="auto"/>
        <w:ind w:firstLine="424" w:firstLineChars="202"/>
        <w:rPr>
          <w:szCs w:val="21"/>
        </w:rPr>
      </w:pPr>
      <w:r>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pPr>
        <w:spacing w:line="360" w:lineRule="auto"/>
        <w:ind w:firstLine="424" w:firstLineChars="202"/>
        <w:rPr>
          <w:szCs w:val="21"/>
        </w:rPr>
      </w:pPr>
      <w:r>
        <w:rPr>
          <w:rFonts w:hint="eastAsia"/>
          <w:szCs w:val="21"/>
        </w:rPr>
        <w:t>若资产管理人过错且利用自有资金或按照中国证监会规定使用风险准备金垫付资金交收透支，由此产生的收益归托管资产，由此产生的实际损失由资产管理人承担。</w:t>
      </w:r>
    </w:p>
    <w:p>
      <w:pPr>
        <w:spacing w:line="360" w:lineRule="auto"/>
        <w:ind w:firstLine="424" w:firstLineChars="202"/>
        <w:rPr>
          <w:szCs w:val="21"/>
        </w:rPr>
      </w:pPr>
      <w:r>
        <w:rPr>
          <w:rFonts w:hint="eastAsia"/>
          <w:szCs w:val="21"/>
        </w:rPr>
        <w:t>第七条  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pPr>
        <w:spacing w:line="360" w:lineRule="auto"/>
        <w:ind w:firstLine="424" w:firstLineChars="202"/>
        <w:rPr>
          <w:szCs w:val="21"/>
        </w:rPr>
      </w:pPr>
      <w:r>
        <w:rPr>
          <w:rFonts w:hint="eastAsia"/>
          <w:szCs w:val="21"/>
        </w:rPr>
        <w:t>第八条  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pPr>
        <w:spacing w:line="360" w:lineRule="auto"/>
        <w:ind w:firstLine="424" w:firstLineChars="202"/>
        <w:rPr>
          <w:szCs w:val="21"/>
        </w:rPr>
      </w:pPr>
      <w:r>
        <w:rPr>
          <w:rFonts w:hint="eastAsia"/>
          <w:szCs w:val="21"/>
        </w:rPr>
        <w:t>若资产管理人管理资产结算备付金账户日末余额低于其最低结算备付金限额的，资产管理人应于规定时间内补足款项。</w:t>
      </w:r>
    </w:p>
    <w:p>
      <w:pPr>
        <w:spacing w:line="360" w:lineRule="auto"/>
        <w:ind w:firstLine="424" w:firstLineChars="202"/>
        <w:rPr>
          <w:szCs w:val="21"/>
        </w:rPr>
      </w:pPr>
      <w:r>
        <w:rPr>
          <w:rFonts w:hint="eastAsia"/>
          <w:szCs w:val="21"/>
        </w:rPr>
        <w:t>第九条  资产托管人收到结算公司按照与结算银行商定利率计付的结算备付金（含最低备付金）、结算保证金等资金利息后，于收息当日向资产管理人管理资产支付。</w:t>
      </w:r>
    </w:p>
    <w:p>
      <w:pPr>
        <w:spacing w:line="360" w:lineRule="auto"/>
        <w:ind w:firstLine="424" w:firstLineChars="202"/>
        <w:rPr>
          <w:szCs w:val="21"/>
        </w:rPr>
      </w:pPr>
      <w:r>
        <w:rPr>
          <w:rFonts w:hint="eastAsia"/>
          <w:szCs w:val="21"/>
        </w:rPr>
        <w:t>第十条  资产托管人于交易清算日（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pPr>
        <w:spacing w:line="360" w:lineRule="auto"/>
        <w:ind w:firstLine="424" w:firstLineChars="202"/>
        <w:rPr>
          <w:szCs w:val="21"/>
        </w:rPr>
      </w:pPr>
      <w:r>
        <w:rPr>
          <w:rFonts w:hint="eastAsia"/>
          <w:szCs w:val="21"/>
        </w:rPr>
        <w:t>第十一条  资产托管人完成托管资产清算后，对于交收日可能发生透支的情况，应及时与资产管理人沟通。</w:t>
      </w:r>
    </w:p>
    <w:p>
      <w:pPr>
        <w:spacing w:line="360" w:lineRule="auto"/>
        <w:ind w:firstLine="424" w:firstLineChars="202"/>
        <w:rPr>
          <w:szCs w:val="21"/>
        </w:rPr>
      </w:pPr>
      <w:r>
        <w:rPr>
          <w:rFonts w:hint="eastAsia"/>
          <w:szCs w:val="21"/>
        </w:rPr>
        <w:t>资产托管人于交收日（T+1日）根据交易所或结算公司数据计算的资产管理人T日交易清算结果，完成资产管理人管理资产资金、证券的交收。</w:t>
      </w:r>
    </w:p>
    <w:p>
      <w:pPr>
        <w:spacing w:line="360" w:lineRule="auto"/>
        <w:ind w:firstLine="424" w:firstLineChars="202"/>
        <w:rPr>
          <w:szCs w:val="21"/>
        </w:rPr>
      </w:pPr>
      <w:r>
        <w:rPr>
          <w:rFonts w:hint="eastAsia"/>
          <w:szCs w:val="21"/>
        </w:rPr>
        <w:t>第十二条  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pPr>
        <w:spacing w:line="360" w:lineRule="auto"/>
        <w:ind w:firstLine="424" w:firstLineChars="202"/>
        <w:rPr>
          <w:szCs w:val="21"/>
        </w:rPr>
      </w:pPr>
      <w:r>
        <w:rPr>
          <w:rFonts w:hint="eastAsia"/>
          <w:szCs w:val="21"/>
        </w:rPr>
        <w:t xml:space="preserve">第十三条 </w:t>
      </w:r>
      <w:r>
        <w:rPr>
          <w:szCs w:val="21"/>
        </w:rPr>
        <w:t xml:space="preserve"> </w:t>
      </w:r>
      <w:r>
        <w:rPr>
          <w:rFonts w:hint="eastAsia"/>
          <w:szCs w:val="21"/>
        </w:rPr>
        <w:t>为确保资产托管人与结算公司的正常交收，不影响资产托管人所有托管资产的正常运作，正常情况下，交易日（T日）日终资产管理人应保证其管理的各托管资产资金账户有足够的资金可完成与结算公司于交收日（T+1日）的资金交收。</w:t>
      </w:r>
    </w:p>
    <w:p>
      <w:pPr>
        <w:spacing w:line="360" w:lineRule="auto"/>
        <w:ind w:firstLine="424" w:firstLineChars="202"/>
        <w:rPr>
          <w:szCs w:val="21"/>
        </w:rPr>
      </w:pPr>
      <w:r>
        <w:rPr>
          <w:rFonts w:hint="eastAsia"/>
          <w:szCs w:val="21"/>
        </w:rPr>
        <w:t>第十四条  若资产管理人管理资产资金账户T日余额无法满足T+1日交收要求时，资产管理人应按照《托管协议》或操作备忘录中约定的时点补足金额，未有约定的，应于T+1日12：00前补足金额，确保资产托管人及时完成清算交收。对于创新产品，补足金额的时点可在托管协议或其他文件中约定。</w:t>
      </w:r>
    </w:p>
    <w:p>
      <w:pPr>
        <w:spacing w:line="360" w:lineRule="auto"/>
        <w:ind w:firstLine="424" w:firstLineChars="202"/>
        <w:rPr>
          <w:szCs w:val="21"/>
        </w:rPr>
      </w:pPr>
      <w:r>
        <w:rPr>
          <w:rFonts w:hint="eastAsia"/>
          <w:szCs w:val="21"/>
        </w:rPr>
        <w:t>第十五条  资产管理人未按本规定第十四条约定时限补足透支金额，其行为构成资产管理人资金交收违约，资产托管人依法按以下方式处理，且资产管理人应予以配合：</w:t>
      </w:r>
    </w:p>
    <w:p>
      <w:pPr>
        <w:spacing w:line="360" w:lineRule="auto"/>
        <w:ind w:firstLine="424" w:firstLineChars="202"/>
        <w:rPr>
          <w:szCs w:val="21"/>
        </w:rPr>
      </w:pPr>
      <w:r>
        <w:rPr>
          <w:rFonts w:hint="eastAsia"/>
          <w:szCs w:val="21"/>
        </w:rPr>
        <w:t>（一）资产管理人应在不晚于结算公司规定的时点前两个小时向资产托管人书面指定托管资产证券账户内相当于透支金额价值120%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pPr>
        <w:spacing w:line="360" w:lineRule="auto"/>
        <w:ind w:firstLine="424" w:firstLineChars="202"/>
        <w:rPr>
          <w:szCs w:val="21"/>
        </w:rPr>
      </w:pPr>
      <w:r>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pPr>
        <w:spacing w:line="360" w:lineRule="auto"/>
        <w:ind w:firstLine="424" w:firstLineChars="202"/>
        <w:rPr>
          <w:szCs w:val="21"/>
        </w:rPr>
      </w:pPr>
      <w:r>
        <w:rPr>
          <w:rFonts w:hint="eastAsia"/>
          <w:szCs w:val="21"/>
        </w:rPr>
        <w:t>（二）资产管理人于T+2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pPr>
        <w:spacing w:line="360" w:lineRule="auto"/>
        <w:ind w:firstLine="424" w:firstLineChars="202"/>
        <w:rPr>
          <w:szCs w:val="21"/>
        </w:rPr>
      </w:pPr>
      <w:r>
        <w:rPr>
          <w:rFonts w:hint="eastAsia"/>
          <w:szCs w:val="21"/>
        </w:rPr>
        <w:t>（三）证券处置产生的资金，如相关交易尚未完成交收的，应首先用于完成交收，不足部分资产管理人及时补足。</w:t>
      </w:r>
    </w:p>
    <w:p>
      <w:pPr>
        <w:spacing w:line="360" w:lineRule="auto"/>
        <w:ind w:firstLine="424" w:firstLineChars="202"/>
        <w:rPr>
          <w:szCs w:val="21"/>
        </w:rPr>
      </w:pPr>
      <w:r>
        <w:rPr>
          <w:rFonts w:hint="eastAsia"/>
          <w:szCs w:val="21"/>
        </w:rPr>
        <w:t>第十六条  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pPr>
        <w:spacing w:line="360" w:lineRule="auto"/>
        <w:ind w:firstLine="424" w:firstLineChars="202"/>
        <w:rPr>
          <w:szCs w:val="21"/>
        </w:rPr>
      </w:pPr>
      <w:r>
        <w:rPr>
          <w:rFonts w:hint="eastAsia"/>
          <w:szCs w:val="21"/>
        </w:rPr>
        <w:t xml:space="preserve">第十七条 </w:t>
      </w:r>
      <w:r>
        <w:rPr>
          <w:szCs w:val="21"/>
        </w:rPr>
        <w:t xml:space="preserve"> </w:t>
      </w:r>
      <w:r>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pPr>
        <w:spacing w:line="360" w:lineRule="auto"/>
        <w:ind w:firstLine="424" w:firstLineChars="202"/>
        <w:rPr>
          <w:szCs w:val="21"/>
        </w:rPr>
      </w:pPr>
      <w:r>
        <w:rPr>
          <w:rFonts w:hint="eastAsia"/>
          <w:szCs w:val="21"/>
        </w:rPr>
        <w:t>第十八条  因资产管理人原因发生资金交收违约时，资产托管人依法采取以下风险管理措施，但须提前书面通知资产管理人：</w:t>
      </w:r>
    </w:p>
    <w:p>
      <w:pPr>
        <w:spacing w:line="360" w:lineRule="auto"/>
        <w:ind w:firstLine="424" w:firstLineChars="202"/>
        <w:rPr>
          <w:szCs w:val="21"/>
        </w:rPr>
      </w:pPr>
      <w:r>
        <w:rPr>
          <w:rFonts w:hint="eastAsia"/>
          <w:szCs w:val="21"/>
        </w:rPr>
        <w:t>（一）</w:t>
      </w:r>
      <w:r>
        <w:rPr>
          <w:rFonts w:hint="eastAsia"/>
          <w:szCs w:val="21"/>
        </w:rPr>
        <w:tab/>
      </w:r>
      <w:r>
        <w:rPr>
          <w:rFonts w:hint="eastAsia"/>
          <w:szCs w:val="21"/>
        </w:rPr>
        <w:t>按照结算公司标准计收违约资金的利息和违约金；</w:t>
      </w:r>
    </w:p>
    <w:p>
      <w:pPr>
        <w:spacing w:line="360" w:lineRule="auto"/>
        <w:ind w:firstLine="424" w:firstLineChars="202"/>
        <w:rPr>
          <w:szCs w:val="21"/>
        </w:rPr>
      </w:pPr>
      <w:r>
        <w:rPr>
          <w:rFonts w:hint="eastAsia"/>
          <w:szCs w:val="21"/>
        </w:rPr>
        <w:t>（二）</w:t>
      </w:r>
      <w:r>
        <w:rPr>
          <w:rFonts w:hint="eastAsia"/>
          <w:szCs w:val="21"/>
        </w:rPr>
        <w:tab/>
      </w:r>
      <w:r>
        <w:rPr>
          <w:rFonts w:hint="eastAsia"/>
          <w:szCs w:val="21"/>
        </w:rPr>
        <w:t>按结算公司标准调高资产管理人管理资产的最低备付金或结算保证金比例；</w:t>
      </w:r>
    </w:p>
    <w:p>
      <w:pPr>
        <w:spacing w:line="360" w:lineRule="auto"/>
        <w:ind w:firstLine="424" w:firstLineChars="202"/>
        <w:rPr>
          <w:szCs w:val="21"/>
        </w:rPr>
      </w:pPr>
      <w:r>
        <w:rPr>
          <w:rFonts w:hint="eastAsia"/>
          <w:szCs w:val="21"/>
        </w:rPr>
        <w:t>（三）</w:t>
      </w:r>
      <w:r>
        <w:rPr>
          <w:rFonts w:hint="eastAsia"/>
          <w:szCs w:val="21"/>
        </w:rPr>
        <w:tab/>
      </w:r>
      <w:r>
        <w:rPr>
          <w:rFonts w:hint="eastAsia"/>
          <w:szCs w:val="21"/>
        </w:rPr>
        <w:t>报告监管部门及结算公司；</w:t>
      </w:r>
    </w:p>
    <w:p>
      <w:pPr>
        <w:spacing w:line="360" w:lineRule="auto"/>
        <w:ind w:firstLine="424" w:firstLineChars="202"/>
        <w:rPr>
          <w:szCs w:val="21"/>
        </w:rPr>
      </w:pPr>
      <w:r>
        <w:rPr>
          <w:rFonts w:hint="eastAsia"/>
          <w:szCs w:val="21"/>
        </w:rPr>
        <w:t>（四）</w:t>
      </w:r>
      <w:r>
        <w:rPr>
          <w:rFonts w:hint="eastAsia"/>
          <w:szCs w:val="21"/>
        </w:rPr>
        <w:tab/>
      </w:r>
      <w:r>
        <w:rPr>
          <w:rFonts w:hint="eastAsia"/>
          <w:szCs w:val="21"/>
        </w:rPr>
        <w:t>按照结算公司业务规则向结算公司申报暂停资产管理人的相关结算业务；</w:t>
      </w:r>
    </w:p>
    <w:p>
      <w:pPr>
        <w:spacing w:line="360" w:lineRule="auto"/>
        <w:ind w:firstLine="424" w:firstLineChars="202"/>
        <w:rPr>
          <w:szCs w:val="21"/>
        </w:rPr>
      </w:pPr>
      <w:r>
        <w:rPr>
          <w:rFonts w:hint="eastAsia"/>
          <w:szCs w:val="21"/>
        </w:rPr>
        <w:t>（五）</w:t>
      </w:r>
      <w:r>
        <w:rPr>
          <w:rFonts w:hint="eastAsia"/>
          <w:szCs w:val="21"/>
        </w:rPr>
        <w:tab/>
      </w:r>
      <w:r>
        <w:rPr>
          <w:rFonts w:hint="eastAsia"/>
          <w:szCs w:val="21"/>
        </w:rPr>
        <w:t>根据监管部门或结算公司要求采取的其他措施。</w:t>
      </w:r>
    </w:p>
    <w:p>
      <w:pPr>
        <w:spacing w:line="360" w:lineRule="auto"/>
        <w:ind w:firstLine="424" w:firstLineChars="202"/>
        <w:rPr>
          <w:szCs w:val="21"/>
        </w:rPr>
      </w:pPr>
      <w:r>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pPr>
        <w:spacing w:line="360" w:lineRule="auto"/>
        <w:ind w:firstLine="424" w:firstLineChars="202"/>
        <w:rPr>
          <w:szCs w:val="21"/>
        </w:rPr>
      </w:pPr>
      <w:r>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pPr>
        <w:spacing w:line="360" w:lineRule="auto"/>
        <w:ind w:firstLine="424" w:firstLineChars="202"/>
        <w:rPr>
          <w:szCs w:val="21"/>
        </w:rPr>
      </w:pPr>
      <w:r>
        <w:rPr>
          <w:rFonts w:hint="eastAsia"/>
          <w:szCs w:val="21"/>
        </w:rPr>
        <w:t>第二十条  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pPr>
        <w:spacing w:line="360" w:lineRule="auto"/>
        <w:ind w:firstLine="424" w:firstLineChars="202"/>
        <w:rPr>
          <w:szCs w:val="21"/>
        </w:rPr>
      </w:pPr>
      <w:r>
        <w:rPr>
          <w:rFonts w:hint="eastAsia"/>
          <w:szCs w:val="21"/>
        </w:rPr>
        <w:t>第二十一条  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pPr>
        <w:spacing w:line="360" w:lineRule="auto"/>
        <w:ind w:firstLine="424" w:firstLineChars="202"/>
        <w:rPr>
          <w:szCs w:val="21"/>
        </w:rPr>
      </w:pPr>
      <w:r>
        <w:rPr>
          <w:rFonts w:hint="eastAsia"/>
          <w:szCs w:val="21"/>
        </w:rPr>
        <w:t>第二十二条  本规定适用于现在及以后由资产管理人管理、资产托管人托管的所有业务品种。</w:t>
      </w:r>
    </w:p>
    <w:p>
      <w:pPr>
        <w:spacing w:line="360" w:lineRule="auto"/>
        <w:ind w:firstLine="424" w:firstLineChars="202"/>
        <w:rPr>
          <w:szCs w:val="21"/>
        </w:rPr>
      </w:pPr>
      <w:r>
        <w:rPr>
          <w:rFonts w:hint="eastAsia"/>
          <w:szCs w:val="21"/>
        </w:rPr>
        <w:t>第二十三条  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pPr>
        <w:widowControl/>
        <w:jc w:val="left"/>
        <w:rPr>
          <w:szCs w:val="21"/>
        </w:rPr>
      </w:pPr>
      <w:r>
        <w:rPr>
          <w:szCs w:val="21"/>
        </w:rPr>
        <w:br w:type="page"/>
      </w:r>
    </w:p>
    <w:p>
      <w:pPr>
        <w:spacing w:line="360" w:lineRule="auto"/>
        <w:rPr>
          <w:rFonts w:hAnsi="宋体"/>
          <w:sz w:val="28"/>
          <w:szCs w:val="28"/>
        </w:rPr>
      </w:pPr>
      <w:r>
        <w:rPr>
          <w:rFonts w:hint="eastAsia" w:hAnsi="宋体"/>
          <w:sz w:val="28"/>
          <w:szCs w:val="28"/>
        </w:rPr>
        <w:t>本页无正文，为《</w:t>
      </w:r>
      <w:r>
        <w:rPr>
          <w:rFonts w:hAnsi="宋体"/>
          <w:sz w:val="28"/>
          <w:szCs w:val="28"/>
        </w:rPr>
        <w:t>交银施罗德启诚混合型证券投资基金</w:t>
      </w:r>
      <w:r>
        <w:rPr>
          <w:rFonts w:hint="eastAsia" w:hAnsi="宋体"/>
          <w:sz w:val="28"/>
          <w:szCs w:val="28"/>
        </w:rPr>
        <w:t>托管协议》的签字盖章页。</w:t>
      </w:r>
    </w:p>
    <w:p>
      <w:pPr>
        <w:spacing w:line="360" w:lineRule="auto"/>
        <w:ind w:right="26"/>
        <w:rPr>
          <w:rFonts w:ascii="宋体" w:hAnsi="宋体"/>
          <w:b/>
          <w:bCs/>
          <w:color w:val="0D0D0D"/>
          <w:sz w:val="28"/>
          <w:szCs w:val="28"/>
        </w:rPr>
      </w:pPr>
    </w:p>
    <w:p>
      <w:pPr>
        <w:spacing w:line="360" w:lineRule="auto"/>
        <w:ind w:right="26"/>
        <w:rPr>
          <w:rFonts w:ascii="宋体" w:hAnsi="宋体"/>
          <w:b/>
          <w:bCs/>
          <w:color w:val="0D0D0D"/>
          <w:sz w:val="28"/>
          <w:szCs w:val="28"/>
        </w:rPr>
      </w:pPr>
    </w:p>
    <w:p>
      <w:pPr>
        <w:spacing w:line="360" w:lineRule="auto"/>
        <w:ind w:right="26"/>
        <w:outlineLvl w:val="0"/>
        <w:rPr>
          <w:rFonts w:ascii="宋体" w:hAnsi="宋体"/>
          <w:b/>
          <w:color w:val="0D0D0D"/>
          <w:sz w:val="28"/>
          <w:szCs w:val="28"/>
        </w:rPr>
      </w:pPr>
      <w:r>
        <w:rPr>
          <w:rFonts w:hint="eastAsia" w:ascii="宋体" w:hAnsi="宋体"/>
          <w:b/>
          <w:color w:val="0D0D0D"/>
          <w:sz w:val="28"/>
          <w:szCs w:val="28"/>
        </w:rPr>
        <w:t>基金管理人：交银施罗德基金管理有限公司（公章）</w:t>
      </w:r>
    </w:p>
    <w:p>
      <w:pPr>
        <w:spacing w:line="360" w:lineRule="auto"/>
        <w:ind w:right="26"/>
        <w:rPr>
          <w:rFonts w:ascii="宋体" w:hAnsi="宋体"/>
          <w:b/>
          <w:color w:val="0D0D0D"/>
          <w:sz w:val="28"/>
          <w:szCs w:val="28"/>
        </w:rPr>
      </w:pPr>
    </w:p>
    <w:p>
      <w:pPr>
        <w:spacing w:line="360" w:lineRule="auto"/>
        <w:ind w:right="26"/>
        <w:rPr>
          <w:rFonts w:ascii="宋体" w:hAnsi="宋体"/>
          <w:b/>
          <w:color w:val="0D0D0D"/>
          <w:sz w:val="28"/>
          <w:szCs w:val="28"/>
        </w:rPr>
      </w:pPr>
    </w:p>
    <w:p>
      <w:pPr>
        <w:spacing w:line="360" w:lineRule="auto"/>
        <w:ind w:right="26"/>
        <w:outlineLvl w:val="0"/>
        <w:rPr>
          <w:rFonts w:ascii="宋体" w:hAnsi="宋体"/>
          <w:b/>
          <w:color w:val="0D0D0D"/>
          <w:sz w:val="28"/>
          <w:szCs w:val="28"/>
        </w:rPr>
      </w:pPr>
      <w:r>
        <w:rPr>
          <w:rFonts w:hint="eastAsia" w:ascii="宋体" w:hAnsi="宋体"/>
          <w:b/>
          <w:color w:val="0D0D0D"/>
          <w:sz w:val="28"/>
          <w:szCs w:val="28"/>
        </w:rPr>
        <w:t xml:space="preserve">法定代表人或授权代理人： </w:t>
      </w:r>
    </w:p>
    <w:p>
      <w:pPr>
        <w:spacing w:line="360" w:lineRule="auto"/>
        <w:ind w:right="26"/>
        <w:rPr>
          <w:rFonts w:ascii="宋体" w:hAnsi="宋体"/>
          <w:b/>
          <w:color w:val="0D0D0D"/>
          <w:sz w:val="28"/>
          <w:szCs w:val="28"/>
        </w:rPr>
      </w:pPr>
    </w:p>
    <w:p>
      <w:pPr>
        <w:spacing w:line="360" w:lineRule="auto"/>
        <w:ind w:right="26"/>
        <w:rPr>
          <w:rFonts w:ascii="宋体" w:hAnsi="宋体"/>
          <w:b/>
          <w:color w:val="0D0D0D"/>
          <w:sz w:val="28"/>
          <w:szCs w:val="28"/>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   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pPr>
        <w:spacing w:line="360" w:lineRule="auto"/>
        <w:ind w:right="26"/>
        <w:rPr>
          <w:rFonts w:ascii="宋体" w:hAnsi="宋体"/>
          <w:b/>
          <w:color w:val="0D0D0D"/>
          <w:sz w:val="28"/>
          <w:szCs w:val="28"/>
        </w:rPr>
      </w:pPr>
    </w:p>
    <w:p>
      <w:pPr>
        <w:spacing w:line="360" w:lineRule="auto"/>
        <w:ind w:right="26"/>
        <w:rPr>
          <w:rFonts w:ascii="宋体" w:hAnsi="宋体"/>
          <w:b/>
          <w:color w:val="0D0D0D"/>
          <w:sz w:val="28"/>
          <w:szCs w:val="28"/>
        </w:rPr>
      </w:pPr>
    </w:p>
    <w:p>
      <w:pPr>
        <w:spacing w:line="360" w:lineRule="auto"/>
        <w:ind w:right="26"/>
        <w:rPr>
          <w:rFonts w:ascii="宋体" w:hAnsi="宋体"/>
          <w:b/>
          <w:color w:val="0D0D0D"/>
          <w:sz w:val="28"/>
          <w:szCs w:val="28"/>
        </w:rPr>
      </w:pPr>
    </w:p>
    <w:p>
      <w:pPr>
        <w:spacing w:line="360" w:lineRule="auto"/>
        <w:ind w:right="26"/>
        <w:outlineLvl w:val="0"/>
        <w:rPr>
          <w:rFonts w:ascii="宋体" w:hAnsi="宋体"/>
          <w:b/>
          <w:color w:val="0D0D0D"/>
          <w:sz w:val="28"/>
          <w:szCs w:val="28"/>
        </w:rPr>
      </w:pPr>
      <w:r>
        <w:rPr>
          <w:rFonts w:hint="eastAsia" w:ascii="宋体" w:hAnsi="宋体"/>
          <w:b/>
          <w:color w:val="0D0D0D"/>
          <w:sz w:val="28"/>
          <w:szCs w:val="28"/>
        </w:rPr>
        <w:t>基金托管人：</w:t>
      </w:r>
      <w:r>
        <w:rPr>
          <w:rFonts w:hint="eastAsia"/>
          <w:b/>
          <w:sz w:val="28"/>
          <w:szCs w:val="28"/>
        </w:rPr>
        <w:t>招商银行</w:t>
      </w:r>
      <w:r>
        <w:rPr>
          <w:rFonts w:hAnsi="宋体"/>
          <w:b/>
          <w:sz w:val="28"/>
          <w:szCs w:val="28"/>
        </w:rPr>
        <w:t>股份有限公司</w:t>
      </w:r>
      <w:r>
        <w:rPr>
          <w:rFonts w:hint="eastAsia" w:ascii="宋体" w:hAnsi="宋体"/>
          <w:b/>
          <w:color w:val="0D0D0D"/>
          <w:sz w:val="28"/>
          <w:szCs w:val="28"/>
        </w:rPr>
        <w:t>（公章）</w:t>
      </w:r>
    </w:p>
    <w:p>
      <w:pPr>
        <w:spacing w:line="360" w:lineRule="auto"/>
        <w:ind w:right="26"/>
        <w:rPr>
          <w:rFonts w:ascii="宋体" w:hAnsi="宋体"/>
          <w:b/>
          <w:color w:val="0D0D0D"/>
          <w:sz w:val="28"/>
          <w:szCs w:val="28"/>
        </w:rPr>
      </w:pPr>
    </w:p>
    <w:p>
      <w:pPr>
        <w:spacing w:line="360" w:lineRule="auto"/>
        <w:ind w:right="26"/>
        <w:rPr>
          <w:rFonts w:ascii="宋体" w:hAnsi="宋体"/>
          <w:b/>
          <w:color w:val="0D0D0D"/>
          <w:sz w:val="28"/>
          <w:szCs w:val="28"/>
        </w:rPr>
      </w:pPr>
    </w:p>
    <w:p>
      <w:pPr>
        <w:spacing w:line="360" w:lineRule="auto"/>
        <w:ind w:right="26"/>
        <w:outlineLvl w:val="0"/>
        <w:rPr>
          <w:rFonts w:ascii="宋体" w:hAnsi="宋体"/>
          <w:b/>
          <w:color w:val="0D0D0D"/>
          <w:sz w:val="28"/>
          <w:szCs w:val="28"/>
        </w:rPr>
      </w:pPr>
      <w:r>
        <w:rPr>
          <w:rFonts w:hint="eastAsia" w:ascii="宋体" w:hAnsi="宋体"/>
          <w:b/>
          <w:color w:val="0D0D0D"/>
          <w:sz w:val="28"/>
          <w:szCs w:val="28"/>
        </w:rPr>
        <w:t>法定代表人或授权代理人：</w:t>
      </w:r>
    </w:p>
    <w:p>
      <w:pPr>
        <w:spacing w:line="360" w:lineRule="auto"/>
        <w:ind w:right="26"/>
        <w:rPr>
          <w:rFonts w:ascii="宋体" w:hAnsi="宋体"/>
          <w:b/>
          <w:color w:val="0D0D0D"/>
          <w:sz w:val="28"/>
          <w:szCs w:val="28"/>
        </w:rPr>
      </w:pPr>
    </w:p>
    <w:p>
      <w:pPr>
        <w:spacing w:line="360" w:lineRule="auto"/>
        <w:ind w:right="26"/>
        <w:rPr>
          <w:rFonts w:ascii="宋体" w:hAnsi="宋体"/>
          <w:b/>
          <w:color w:val="0D0D0D"/>
          <w:sz w:val="28"/>
          <w:szCs w:val="28"/>
        </w:rPr>
      </w:pPr>
    </w:p>
    <w:p>
      <w:pPr>
        <w:spacing w:line="360" w:lineRule="auto"/>
        <w:ind w:right="26"/>
        <w:outlineLvl w:val="0"/>
        <w:rPr>
          <w:rFonts w:hAnsi="宋体"/>
          <w:b/>
          <w:sz w:val="28"/>
          <w:szCs w:val="28"/>
        </w:rPr>
      </w:pPr>
      <w:r>
        <w:rPr>
          <w:rFonts w:hint="eastAsia" w:ascii="宋体" w:hAnsi="宋体"/>
          <w:b/>
          <w:color w:val="0D0D0D"/>
          <w:sz w:val="28"/>
          <w:szCs w:val="28"/>
        </w:rPr>
        <w:t>签订地点：</w:t>
      </w:r>
      <w:r>
        <w:rPr>
          <w:rFonts w:hint="eastAsia" w:hAnsi="宋体"/>
          <w:b/>
          <w:sz w:val="28"/>
          <w:szCs w:val="28"/>
        </w:rPr>
        <w:t>深圳</w:t>
      </w:r>
    </w:p>
    <w:p>
      <w:pPr>
        <w:spacing w:line="360" w:lineRule="auto"/>
        <w:ind w:right="26"/>
        <w:outlineLvl w:val="0"/>
        <w:rPr>
          <w:rFonts w:ascii="宋体" w:hAnsi="宋体"/>
          <w:b/>
          <w:color w:val="0D0D0D"/>
          <w:sz w:val="28"/>
          <w:szCs w:val="28"/>
        </w:rPr>
      </w:pPr>
    </w:p>
    <w:p>
      <w:pPr>
        <w:widowControl/>
        <w:spacing w:before="100" w:beforeAutospacing="1" w:after="100" w:afterAutospacing="1" w:line="360" w:lineRule="auto"/>
        <w:jc w:val="left"/>
        <w:rPr>
          <w:rFonts w:ascii="宋体" w:hAnsi="宋体"/>
          <w:kern w:val="0"/>
          <w:szCs w:val="21"/>
        </w:rPr>
      </w:pPr>
      <w:r>
        <w:rPr>
          <w:rFonts w:hint="eastAsia" w:ascii="宋体" w:hAnsi="宋体"/>
          <w:b/>
          <w:color w:val="0D0D0D"/>
          <w:sz w:val="28"/>
          <w:szCs w:val="28"/>
        </w:rPr>
        <w:t>签 订 日：</w:t>
      </w:r>
      <w:r>
        <w:rPr>
          <w:rFonts w:ascii="宋体" w:hAnsi="宋体" w:cs="Arial"/>
          <w:b/>
          <w:color w:val="0D0D0D"/>
          <w:sz w:val="28"/>
          <w:szCs w:val="28"/>
        </w:rPr>
        <w:t>二〇</w:t>
      </w:r>
      <w:r>
        <w:rPr>
          <w:rFonts w:hint="eastAsia" w:ascii="宋体" w:hAnsi="宋体" w:cs="Arial"/>
          <w:b/>
          <w:color w:val="0D0D0D"/>
          <w:sz w:val="28"/>
          <w:szCs w:val="28"/>
        </w:rPr>
        <w:t xml:space="preserve">二  </w:t>
      </w:r>
      <w:r>
        <w:rPr>
          <w:rFonts w:ascii="宋体" w:hAnsi="宋体" w:cs="Arial"/>
          <w:b/>
          <w:color w:val="0D0D0D"/>
          <w:sz w:val="28"/>
          <w:szCs w:val="28"/>
        </w:rPr>
        <w:t xml:space="preserve"> 年   月   日</w:t>
      </w:r>
      <w:bookmarkEnd w:id="2"/>
    </w:p>
    <w:sectPr>
      <w:footerReference r:id="rId4"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264712"/>
      <w:docPartObj>
        <w:docPartGallery w:val="autotext"/>
      </w:docPartObj>
    </w:sdtPr>
    <w:sdtContent>
      <w:p>
        <w:pPr>
          <w:pStyle w:val="15"/>
          <w:jc w:val="center"/>
        </w:pPr>
        <w:r>
          <w:fldChar w:fldCharType="begin"/>
        </w:r>
        <w:r>
          <w:instrText xml:space="preserve">PAGE   \* MERGEFORMAT</w:instrText>
        </w:r>
        <w:r>
          <w:fldChar w:fldCharType="separate"/>
        </w:r>
        <w:r>
          <w:rPr>
            <w:lang w:val="zh-CN"/>
          </w:rPr>
          <w:t>1</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374950"/>
      <w:docPartObj>
        <w:docPartGallery w:val="autotext"/>
      </w:docPartObj>
    </w:sdtPr>
    <w:sdtContent>
      <w:p>
        <w:pPr>
          <w:pStyle w:val="15"/>
          <w:jc w:val="center"/>
        </w:pPr>
        <w:r>
          <w:fldChar w:fldCharType="begin"/>
        </w:r>
        <w:r>
          <w:instrText xml:space="preserve">PAGE   \* MERGEFORMAT</w:instrText>
        </w:r>
        <w:r>
          <w:fldChar w:fldCharType="separate"/>
        </w:r>
        <w:r>
          <w:rPr>
            <w:lang w:val="zh-CN"/>
          </w:rPr>
          <w:t>49</w:t>
        </w:r>
        <w:r>
          <w:fldChar w:fldCharType="end"/>
        </w:r>
      </w:p>
    </w:sdtContent>
  </w:sdt>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1098"/>
    <w:rsid w:val="00052827"/>
    <w:rsid w:val="00052BEE"/>
    <w:rsid w:val="00052D58"/>
    <w:rsid w:val="00053108"/>
    <w:rsid w:val="00055240"/>
    <w:rsid w:val="000557E4"/>
    <w:rsid w:val="00056CF4"/>
    <w:rsid w:val="000606F2"/>
    <w:rsid w:val="00060843"/>
    <w:rsid w:val="000609AF"/>
    <w:rsid w:val="0006251D"/>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7B1"/>
    <w:rsid w:val="001B4F0D"/>
    <w:rsid w:val="001B6B56"/>
    <w:rsid w:val="001B714B"/>
    <w:rsid w:val="001C044F"/>
    <w:rsid w:val="001C0471"/>
    <w:rsid w:val="001C1B03"/>
    <w:rsid w:val="001C2010"/>
    <w:rsid w:val="001C2A8E"/>
    <w:rsid w:val="001C3C95"/>
    <w:rsid w:val="001C4757"/>
    <w:rsid w:val="001C5504"/>
    <w:rsid w:val="001C5B7E"/>
    <w:rsid w:val="001C7718"/>
    <w:rsid w:val="001D0D88"/>
    <w:rsid w:val="001D25D0"/>
    <w:rsid w:val="001D3A89"/>
    <w:rsid w:val="001D4655"/>
    <w:rsid w:val="001D46C2"/>
    <w:rsid w:val="001D47F2"/>
    <w:rsid w:val="001D4D5D"/>
    <w:rsid w:val="001D5CCB"/>
    <w:rsid w:val="001D695B"/>
    <w:rsid w:val="001D6F8C"/>
    <w:rsid w:val="001D747C"/>
    <w:rsid w:val="001E02A1"/>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50097"/>
    <w:rsid w:val="00255EB9"/>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3C4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447C"/>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A7D08"/>
    <w:rsid w:val="005B0577"/>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6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277A"/>
    <w:rsid w:val="00694A60"/>
    <w:rsid w:val="00694C3B"/>
    <w:rsid w:val="006975FC"/>
    <w:rsid w:val="00697602"/>
    <w:rsid w:val="006A292D"/>
    <w:rsid w:val="006A2CB1"/>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3C1"/>
    <w:rsid w:val="0070491F"/>
    <w:rsid w:val="0070609D"/>
    <w:rsid w:val="00707180"/>
    <w:rsid w:val="00707AF7"/>
    <w:rsid w:val="00707DE7"/>
    <w:rsid w:val="007124F5"/>
    <w:rsid w:val="00712663"/>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3D9"/>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45B8"/>
    <w:rsid w:val="00AB5F29"/>
    <w:rsid w:val="00AB65AE"/>
    <w:rsid w:val="00AC14EA"/>
    <w:rsid w:val="00AC1ADE"/>
    <w:rsid w:val="00AC54D8"/>
    <w:rsid w:val="00AC7BE3"/>
    <w:rsid w:val="00AD065B"/>
    <w:rsid w:val="00AD2E99"/>
    <w:rsid w:val="00AD37C6"/>
    <w:rsid w:val="00AD397F"/>
    <w:rsid w:val="00AD57B5"/>
    <w:rsid w:val="00AD5D67"/>
    <w:rsid w:val="00AD67CE"/>
    <w:rsid w:val="00AD70A7"/>
    <w:rsid w:val="00AD75A0"/>
    <w:rsid w:val="00AE00E1"/>
    <w:rsid w:val="00AE0A46"/>
    <w:rsid w:val="00AE14EF"/>
    <w:rsid w:val="00AE2549"/>
    <w:rsid w:val="00AE2650"/>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320E"/>
    <w:rsid w:val="00B839FC"/>
    <w:rsid w:val="00B83A85"/>
    <w:rsid w:val="00B84379"/>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7F82"/>
    <w:rsid w:val="00BC005C"/>
    <w:rsid w:val="00BC0F8E"/>
    <w:rsid w:val="00BC1462"/>
    <w:rsid w:val="00BC163C"/>
    <w:rsid w:val="00BC2AB2"/>
    <w:rsid w:val="00BC40D7"/>
    <w:rsid w:val="00BC4F68"/>
    <w:rsid w:val="00BC61AB"/>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6704E"/>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189"/>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148"/>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 w:val="5C6658B7"/>
    <w:rsid w:val="645B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szCs w:val="20"/>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toc 7"/>
    <w:basedOn w:val="1"/>
    <w:next w:val="1"/>
    <w:semiHidden/>
    <w:qFormat/>
    <w:uiPriority w:val="0"/>
    <w:pPr>
      <w:ind w:left="2520" w:leftChars="1200"/>
    </w:pPr>
  </w:style>
  <w:style w:type="paragraph" w:styleId="6">
    <w:name w:val="Document Map"/>
    <w:basedOn w:val="1"/>
    <w:semiHidden/>
    <w:qFormat/>
    <w:uiPriority w:val="0"/>
    <w:pPr>
      <w:shd w:val="clear" w:color="auto" w:fill="000080"/>
    </w:pPr>
  </w:style>
  <w:style w:type="paragraph" w:styleId="7">
    <w:name w:val="annotation text"/>
    <w:basedOn w:val="1"/>
    <w:link w:val="40"/>
    <w:qFormat/>
    <w:uiPriority w:val="0"/>
    <w:pPr>
      <w:jc w:val="left"/>
    </w:pPr>
  </w:style>
  <w:style w:type="paragraph" w:styleId="8">
    <w:name w:val="Body Text"/>
    <w:basedOn w:val="1"/>
    <w:qFormat/>
    <w:uiPriority w:val="0"/>
    <w:pPr>
      <w:spacing w:line="360" w:lineRule="auto"/>
    </w:pPr>
    <w:rPr>
      <w:rFonts w:ascii="仿宋_GB2312" w:eastAsia="仿宋_GB2312"/>
      <w:color w:val="000000"/>
      <w:kern w:val="0"/>
      <w:sz w:val="24"/>
      <w:szCs w:val="28"/>
    </w:rPr>
  </w:style>
  <w:style w:type="paragraph" w:styleId="9">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10">
    <w:name w:val="toc 5"/>
    <w:basedOn w:val="1"/>
    <w:next w:val="1"/>
    <w:semiHidden/>
    <w:qFormat/>
    <w:uiPriority w:val="0"/>
    <w:pPr>
      <w:ind w:left="1680" w:leftChars="800"/>
    </w:pPr>
  </w:style>
  <w:style w:type="paragraph" w:styleId="11">
    <w:name w:val="toc 3"/>
    <w:basedOn w:val="1"/>
    <w:next w:val="1"/>
    <w:semiHidden/>
    <w:qFormat/>
    <w:uiPriority w:val="0"/>
    <w:pPr>
      <w:ind w:left="840" w:leftChars="400"/>
    </w:pPr>
  </w:style>
  <w:style w:type="paragraph" w:styleId="12">
    <w:name w:val="toc 8"/>
    <w:basedOn w:val="1"/>
    <w:next w:val="1"/>
    <w:semiHidden/>
    <w:qFormat/>
    <w:uiPriority w:val="0"/>
    <w:pPr>
      <w:ind w:left="2940" w:leftChars="1400"/>
    </w:pPr>
  </w:style>
  <w:style w:type="paragraph" w:styleId="13">
    <w:name w:val="Body Text Indent 2"/>
    <w:basedOn w:val="1"/>
    <w:qFormat/>
    <w:uiPriority w:val="0"/>
    <w:pPr>
      <w:spacing w:line="360" w:lineRule="auto"/>
      <w:ind w:firstLine="525"/>
    </w:pPr>
    <w:rPr>
      <w:rFonts w:ascii="宋体" w:hAnsi="宋体"/>
      <w:sz w:val="28"/>
      <w:szCs w:val="20"/>
    </w:rPr>
  </w:style>
  <w:style w:type="paragraph" w:styleId="14">
    <w:name w:val="Balloon Text"/>
    <w:basedOn w:val="1"/>
    <w:semiHidden/>
    <w:qFormat/>
    <w:uiPriority w:val="0"/>
    <w:rPr>
      <w:sz w:val="18"/>
      <w:szCs w:val="18"/>
    </w:rPr>
  </w:style>
  <w:style w:type="paragraph" w:styleId="15">
    <w:name w:val="footer"/>
    <w:basedOn w:val="1"/>
    <w:link w:val="43"/>
    <w:qFormat/>
    <w:uiPriority w:val="99"/>
    <w:pPr>
      <w:tabs>
        <w:tab w:val="center" w:pos="4153"/>
        <w:tab w:val="right" w:pos="8306"/>
      </w:tabs>
      <w:snapToGrid w:val="0"/>
      <w:jc w:val="left"/>
    </w:pPr>
    <w:rPr>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1">
    <w:name w:val="toc 2"/>
    <w:basedOn w:val="1"/>
    <w:next w:val="1"/>
    <w:qFormat/>
    <w:uiPriority w:val="39"/>
    <w:pPr>
      <w:ind w:left="420" w:leftChars="200"/>
    </w:pPr>
  </w:style>
  <w:style w:type="paragraph" w:styleId="22">
    <w:name w:val="toc 9"/>
    <w:basedOn w:val="1"/>
    <w:next w:val="1"/>
    <w:semiHidden/>
    <w:qFormat/>
    <w:uiPriority w:val="0"/>
    <w:pPr>
      <w:ind w:left="3360" w:leftChars="1600"/>
    </w:pPr>
  </w:style>
  <w:style w:type="paragraph" w:styleId="2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Title"/>
    <w:basedOn w:val="1"/>
    <w:link w:val="42"/>
    <w:qFormat/>
    <w:uiPriority w:val="0"/>
    <w:pPr>
      <w:spacing w:before="240" w:after="60"/>
      <w:jc w:val="center"/>
      <w:outlineLvl w:val="0"/>
    </w:pPr>
    <w:rPr>
      <w:rFonts w:ascii="Arial" w:hAnsi="Arial"/>
      <w:b/>
      <w:bCs/>
      <w:sz w:val="32"/>
      <w:szCs w:val="32"/>
    </w:rPr>
  </w:style>
  <w:style w:type="paragraph" w:styleId="25">
    <w:name w:val="annotation subject"/>
    <w:basedOn w:val="7"/>
    <w:next w:val="7"/>
    <w:semiHidden/>
    <w:qFormat/>
    <w:uiPriority w:val="0"/>
    <w:rPr>
      <w:b/>
      <w:bCs/>
    </w:r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4">
    <w:name w:val="read"/>
    <w:basedOn w:val="27"/>
    <w:qFormat/>
    <w:uiPriority w:val="0"/>
  </w:style>
  <w:style w:type="paragraph" w:customStyle="1" w:styleId="35">
    <w:name w:val="Char"/>
    <w:basedOn w:val="1"/>
    <w:qFormat/>
    <w:uiPriority w:val="0"/>
  </w:style>
  <w:style w:type="paragraph" w:customStyle="1" w:styleId="36">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7">
    <w:name w:val="Char2"/>
    <w:basedOn w:val="1"/>
    <w:qFormat/>
    <w:uiPriority w:val="0"/>
  </w:style>
  <w:style w:type="paragraph" w:customStyle="1" w:styleId="38">
    <w:name w:val="Char Char Char Char Char Char Char"/>
    <w:basedOn w:val="1"/>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
    <w:name w:val="批注文字 Char1"/>
    <w:link w:val="7"/>
    <w:qFormat/>
    <w:uiPriority w:val="0"/>
    <w:rPr>
      <w:kern w:val="2"/>
      <w:sz w:val="21"/>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Char1"/>
    <w:link w:val="24"/>
    <w:qFormat/>
    <w:uiPriority w:val="0"/>
    <w:rPr>
      <w:rFonts w:ascii="Arial" w:hAnsi="Arial" w:cs="Arial"/>
      <w:b/>
      <w:bCs/>
      <w:kern w:val="2"/>
      <w:sz w:val="32"/>
      <w:szCs w:val="32"/>
    </w:rPr>
  </w:style>
  <w:style w:type="character" w:customStyle="1" w:styleId="43">
    <w:name w:val="页脚 Char1"/>
    <w:link w:val="15"/>
    <w:qFormat/>
    <w:uiPriority w:val="99"/>
    <w:rPr>
      <w:kern w:val="2"/>
      <w:sz w:val="18"/>
      <w:szCs w:val="18"/>
    </w:rPr>
  </w:style>
  <w:style w:type="character" w:customStyle="1" w:styleId="44">
    <w:name w:val="页眉 Char1"/>
    <w:link w:val="16"/>
    <w:qFormat/>
    <w:uiPriority w:val="99"/>
    <w:rPr>
      <w:kern w:val="2"/>
      <w:sz w:val="18"/>
      <w:szCs w:val="18"/>
    </w:rPr>
  </w:style>
  <w:style w:type="character" w:customStyle="1" w:styleId="45">
    <w:name w:val="标题 1 Char1"/>
    <w:link w:val="2"/>
    <w:qFormat/>
    <w:uiPriority w:val="0"/>
    <w:rPr>
      <w:b/>
      <w:bCs/>
      <w:kern w:val="44"/>
      <w:sz w:val="44"/>
      <w:szCs w:val="44"/>
    </w:rPr>
  </w:style>
  <w:style w:type="paragraph" w:customStyle="1" w:styleId="46">
    <w:name w:val="Char3"/>
    <w:basedOn w:val="1"/>
    <w:qFormat/>
    <w:uiPriority w:val="0"/>
  </w:style>
  <w:style w:type="paragraph" w:customStyle="1" w:styleId="47">
    <w:name w:val="Char1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8">
    <w:name w:val="Char Char Char Char Char Char Char1"/>
    <w:basedOn w:val="1"/>
    <w:qFormat/>
    <w:uiPriority w:val="0"/>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_Style 49"/>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qFormat/>
    <w:uiPriority w:val="0"/>
    <w:rPr>
      <w:rFonts w:eastAsia="宋体"/>
      <w:kern w:val="2"/>
      <w:sz w:val="21"/>
      <w:szCs w:val="24"/>
      <w:lang w:val="en-US" w:eastAsia="zh-CN" w:bidi="ar-SA"/>
    </w:rPr>
  </w:style>
  <w:style w:type="character" w:customStyle="1" w:styleId="52">
    <w:name w:val="标题 Char"/>
    <w:qFormat/>
    <w:uiPriority w:val="0"/>
    <w:rPr>
      <w:rFonts w:ascii="Arial" w:hAnsi="Arial" w:cs="Arial"/>
      <w:b/>
      <w:bCs/>
      <w:kern w:val="2"/>
      <w:sz w:val="32"/>
      <w:szCs w:val="32"/>
    </w:rPr>
  </w:style>
  <w:style w:type="character" w:customStyle="1" w:styleId="53">
    <w:name w:val="页脚 Char"/>
    <w:qFormat/>
    <w:uiPriority w:val="99"/>
    <w:rPr>
      <w:kern w:val="2"/>
      <w:sz w:val="18"/>
      <w:szCs w:val="18"/>
    </w:rPr>
  </w:style>
  <w:style w:type="character" w:customStyle="1" w:styleId="54">
    <w:name w:val="页眉 Char"/>
    <w:uiPriority w:val="99"/>
    <w:rPr>
      <w:kern w:val="2"/>
      <w:sz w:val="18"/>
      <w:szCs w:val="18"/>
    </w:rPr>
  </w:style>
  <w:style w:type="character" w:customStyle="1" w:styleId="55">
    <w:name w:val="标题 1 Char"/>
    <w:basedOn w:val="27"/>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2D20-2CB0-4A29-BFBA-6164761CB665}">
  <ds:schemaRefs/>
</ds:datastoreItem>
</file>

<file path=customXml/itemProps10.xml><?xml version="1.0" encoding="utf-8"?>
<ds:datastoreItem xmlns:ds="http://schemas.openxmlformats.org/officeDocument/2006/customXml" ds:itemID="{64ABF44D-6211-4A56-8C7C-15B527877045}">
  <ds:schemaRefs/>
</ds:datastoreItem>
</file>

<file path=customXml/itemProps11.xml><?xml version="1.0" encoding="utf-8"?>
<ds:datastoreItem xmlns:ds="http://schemas.openxmlformats.org/officeDocument/2006/customXml" ds:itemID="{256AFE4A-C6E8-4CA6-B8D4-2D123DBC8916}">
  <ds:schemaRefs/>
</ds:datastoreItem>
</file>

<file path=customXml/itemProps12.xml><?xml version="1.0" encoding="utf-8"?>
<ds:datastoreItem xmlns:ds="http://schemas.openxmlformats.org/officeDocument/2006/customXml" ds:itemID="{97C6346C-01A3-4CC9-95B3-672072DF7DC9}">
  <ds:schemaRefs/>
</ds:datastoreItem>
</file>

<file path=customXml/itemProps13.xml><?xml version="1.0" encoding="utf-8"?>
<ds:datastoreItem xmlns:ds="http://schemas.openxmlformats.org/officeDocument/2006/customXml" ds:itemID="{8E7A7CE6-9C1D-4AB9-9BC9-BBA0C417D2E7}">
  <ds:schemaRefs/>
</ds:datastoreItem>
</file>

<file path=customXml/itemProps14.xml><?xml version="1.0" encoding="utf-8"?>
<ds:datastoreItem xmlns:ds="http://schemas.openxmlformats.org/officeDocument/2006/customXml" ds:itemID="{4854889E-2A32-4D84-B256-28F01E0041BC}">
  <ds:schemaRefs/>
</ds:datastoreItem>
</file>

<file path=customXml/itemProps15.xml><?xml version="1.0" encoding="utf-8"?>
<ds:datastoreItem xmlns:ds="http://schemas.openxmlformats.org/officeDocument/2006/customXml" ds:itemID="{611798B1-8AB1-4FA9-9772-D5B849CEA479}">
  <ds:schemaRefs/>
</ds:datastoreItem>
</file>

<file path=customXml/itemProps16.xml><?xml version="1.0" encoding="utf-8"?>
<ds:datastoreItem xmlns:ds="http://schemas.openxmlformats.org/officeDocument/2006/customXml" ds:itemID="{8649761F-6FC6-40C4-93D1-E04A4319B80B}">
  <ds:schemaRefs/>
</ds:datastoreItem>
</file>

<file path=customXml/itemProps17.xml><?xml version="1.0" encoding="utf-8"?>
<ds:datastoreItem xmlns:ds="http://schemas.openxmlformats.org/officeDocument/2006/customXml" ds:itemID="{93F1E9E4-FB61-4CD6-89C3-BD7C1E8FA3FC}">
  <ds:schemaRefs/>
</ds:datastoreItem>
</file>

<file path=customXml/itemProps18.xml><?xml version="1.0" encoding="utf-8"?>
<ds:datastoreItem xmlns:ds="http://schemas.openxmlformats.org/officeDocument/2006/customXml" ds:itemID="{1BC663ED-3F05-4B58-B915-8A0DD9569461}">
  <ds:schemaRefs/>
</ds:datastoreItem>
</file>

<file path=customXml/itemProps19.xml><?xml version="1.0" encoding="utf-8"?>
<ds:datastoreItem xmlns:ds="http://schemas.openxmlformats.org/officeDocument/2006/customXml" ds:itemID="{458E4097-5E01-4C88-A631-41F0BF80BE4C}">
  <ds:schemaRefs/>
</ds:datastoreItem>
</file>

<file path=customXml/itemProps2.xml><?xml version="1.0" encoding="utf-8"?>
<ds:datastoreItem xmlns:ds="http://schemas.openxmlformats.org/officeDocument/2006/customXml" ds:itemID="{A8FF81B7-5DDA-48AC-95A7-C012831D78FA}">
  <ds:schemaRefs/>
</ds:datastoreItem>
</file>

<file path=customXml/itemProps20.xml><?xml version="1.0" encoding="utf-8"?>
<ds:datastoreItem xmlns:ds="http://schemas.openxmlformats.org/officeDocument/2006/customXml" ds:itemID="{C6BC091F-2EC3-49A5-9B1C-97A39296A47F}">
  <ds:schemaRefs/>
</ds:datastoreItem>
</file>

<file path=customXml/itemProps21.xml><?xml version="1.0" encoding="utf-8"?>
<ds:datastoreItem xmlns:ds="http://schemas.openxmlformats.org/officeDocument/2006/customXml" ds:itemID="{4BAEC604-37A4-4995-BC17-F235141E5C01}">
  <ds:schemaRefs/>
</ds:datastoreItem>
</file>

<file path=customXml/itemProps22.xml><?xml version="1.0" encoding="utf-8"?>
<ds:datastoreItem xmlns:ds="http://schemas.openxmlformats.org/officeDocument/2006/customXml" ds:itemID="{81FC6909-BD37-4A96-8470-3D26EF1A07CE}">
  <ds:schemaRefs/>
</ds:datastoreItem>
</file>

<file path=customXml/itemProps23.xml><?xml version="1.0" encoding="utf-8"?>
<ds:datastoreItem xmlns:ds="http://schemas.openxmlformats.org/officeDocument/2006/customXml" ds:itemID="{BB44D62A-1E0E-43C4-8B98-E0DDD75CA77C}">
  <ds:schemaRefs/>
</ds:datastoreItem>
</file>

<file path=customXml/itemProps24.xml><?xml version="1.0" encoding="utf-8"?>
<ds:datastoreItem xmlns:ds="http://schemas.openxmlformats.org/officeDocument/2006/customXml" ds:itemID="{F3644251-03DF-4F72-9265-F06A04E7B640}">
  <ds:schemaRefs/>
</ds:datastoreItem>
</file>

<file path=customXml/itemProps25.xml><?xml version="1.0" encoding="utf-8"?>
<ds:datastoreItem xmlns:ds="http://schemas.openxmlformats.org/officeDocument/2006/customXml" ds:itemID="{FB2B4241-210C-4811-8297-9DEEF05FB1E2}">
  <ds:schemaRefs/>
</ds:datastoreItem>
</file>

<file path=customXml/itemProps26.xml><?xml version="1.0" encoding="utf-8"?>
<ds:datastoreItem xmlns:ds="http://schemas.openxmlformats.org/officeDocument/2006/customXml" ds:itemID="{643AA200-6569-4C71-8C5E-5894AE54F12C}">
  <ds:schemaRefs/>
</ds:datastoreItem>
</file>

<file path=customXml/itemProps27.xml><?xml version="1.0" encoding="utf-8"?>
<ds:datastoreItem xmlns:ds="http://schemas.openxmlformats.org/officeDocument/2006/customXml" ds:itemID="{D0295E01-A5C2-4B31-BAA4-B41CC6F9A684}">
  <ds:schemaRefs/>
</ds:datastoreItem>
</file>

<file path=customXml/itemProps28.xml><?xml version="1.0" encoding="utf-8"?>
<ds:datastoreItem xmlns:ds="http://schemas.openxmlformats.org/officeDocument/2006/customXml" ds:itemID="{0B765847-4624-4CE4-ABC5-EB6DA9D17AAA}">
  <ds:schemaRefs/>
</ds:datastoreItem>
</file>

<file path=customXml/itemProps29.xml><?xml version="1.0" encoding="utf-8"?>
<ds:datastoreItem xmlns:ds="http://schemas.openxmlformats.org/officeDocument/2006/customXml" ds:itemID="{7399667F-1E8B-4A22-9D6C-E2EA99AB4C4D}">
  <ds:schemaRefs/>
</ds:datastoreItem>
</file>

<file path=customXml/itemProps3.xml><?xml version="1.0" encoding="utf-8"?>
<ds:datastoreItem xmlns:ds="http://schemas.openxmlformats.org/officeDocument/2006/customXml" ds:itemID="{60DD0078-65C2-4A73-A045-4D6657F5813C}">
  <ds:schemaRefs/>
</ds:datastoreItem>
</file>

<file path=customXml/itemProps30.xml><?xml version="1.0" encoding="utf-8"?>
<ds:datastoreItem xmlns:ds="http://schemas.openxmlformats.org/officeDocument/2006/customXml" ds:itemID="{C72D3FC8-4005-4FAE-A3FE-513A3DFAFA5E}">
  <ds:schemaRefs/>
</ds:datastoreItem>
</file>

<file path=customXml/itemProps31.xml><?xml version="1.0" encoding="utf-8"?>
<ds:datastoreItem xmlns:ds="http://schemas.openxmlformats.org/officeDocument/2006/customXml" ds:itemID="{F6F38C07-6F92-4BC6-A466-6A3A49B6C1DA}">
  <ds:schemaRefs/>
</ds:datastoreItem>
</file>

<file path=customXml/itemProps32.xml><?xml version="1.0" encoding="utf-8"?>
<ds:datastoreItem xmlns:ds="http://schemas.openxmlformats.org/officeDocument/2006/customXml" ds:itemID="{A1B69B6E-BFE4-4123-82C7-11E625B7E855}">
  <ds:schemaRefs/>
</ds:datastoreItem>
</file>

<file path=customXml/itemProps33.xml><?xml version="1.0" encoding="utf-8"?>
<ds:datastoreItem xmlns:ds="http://schemas.openxmlformats.org/officeDocument/2006/customXml" ds:itemID="{6B65105F-1B41-4617-9987-A9C0427457A3}">
  <ds:schemaRefs/>
</ds:datastoreItem>
</file>

<file path=customXml/itemProps34.xml><?xml version="1.0" encoding="utf-8"?>
<ds:datastoreItem xmlns:ds="http://schemas.openxmlformats.org/officeDocument/2006/customXml" ds:itemID="{855AC555-0BAD-4C1A-95D3-3CEFC289FC2F}">
  <ds:schemaRefs/>
</ds:datastoreItem>
</file>

<file path=customXml/itemProps35.xml><?xml version="1.0" encoding="utf-8"?>
<ds:datastoreItem xmlns:ds="http://schemas.openxmlformats.org/officeDocument/2006/customXml" ds:itemID="{9F74A640-90AD-44E1-A0E9-B907261BE22E}">
  <ds:schemaRefs/>
</ds:datastoreItem>
</file>

<file path=customXml/itemProps36.xml><?xml version="1.0" encoding="utf-8"?>
<ds:datastoreItem xmlns:ds="http://schemas.openxmlformats.org/officeDocument/2006/customXml" ds:itemID="{C481A48F-7450-41D9-803A-ADDC9E9E3453}">
  <ds:schemaRefs/>
</ds:datastoreItem>
</file>

<file path=customXml/itemProps4.xml><?xml version="1.0" encoding="utf-8"?>
<ds:datastoreItem xmlns:ds="http://schemas.openxmlformats.org/officeDocument/2006/customXml" ds:itemID="{26C7B8BB-1E62-4D88-8A41-7E19E731559E}">
  <ds:schemaRefs/>
</ds:datastoreItem>
</file>

<file path=customXml/itemProps5.xml><?xml version="1.0" encoding="utf-8"?>
<ds:datastoreItem xmlns:ds="http://schemas.openxmlformats.org/officeDocument/2006/customXml" ds:itemID="{DE20FD48-5859-4213-BEE4-F6111AF578B4}">
  <ds:schemaRefs/>
</ds:datastoreItem>
</file>

<file path=customXml/itemProps6.xml><?xml version="1.0" encoding="utf-8"?>
<ds:datastoreItem xmlns:ds="http://schemas.openxmlformats.org/officeDocument/2006/customXml" ds:itemID="{3EFF2E21-A130-43AC-8086-B3B7C03D7256}">
  <ds:schemaRefs/>
</ds:datastoreItem>
</file>

<file path=customXml/itemProps7.xml><?xml version="1.0" encoding="utf-8"?>
<ds:datastoreItem xmlns:ds="http://schemas.openxmlformats.org/officeDocument/2006/customXml" ds:itemID="{2F2C8DD9-B7ED-43EC-A375-C31C55DF6754}">
  <ds:schemaRefs/>
</ds:datastoreItem>
</file>

<file path=customXml/itemProps8.xml><?xml version="1.0" encoding="utf-8"?>
<ds:datastoreItem xmlns:ds="http://schemas.openxmlformats.org/officeDocument/2006/customXml" ds:itemID="{635FD15C-78CE-4B5E-ABD3-98F6B378531E}">
  <ds:schemaRefs/>
</ds:datastoreItem>
</file>

<file path=customXml/itemProps9.xml><?xml version="1.0" encoding="utf-8"?>
<ds:datastoreItem xmlns:ds="http://schemas.openxmlformats.org/officeDocument/2006/customXml" ds:itemID="{D6926B98-0D3D-48C7-A3A7-72BD129602D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4828</Words>
  <Characters>27525</Characters>
  <Lines>229</Lines>
  <Paragraphs>64</Paragraphs>
  <TotalTime>7</TotalTime>
  <ScaleCrop>false</ScaleCrop>
  <LinksUpToDate>false</LinksUpToDate>
  <CharactersWithSpaces>32289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2021-07-28T03:49:00Z</dcterms:created>
  <dc:creator>资产托管部</dc:creator>
  <cp:lastModifiedBy>喻秋燕</cp:lastModifiedBy>
  <cp:lastPrinted>2018-10-08T11:53:00Z</cp:lastPrinted>
  <dcterms:modified xsi:type="dcterms:W3CDTF">2025-08-06T01:51:46Z</dcterms:modified>
  <dc:title>托管协议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ractId">
    <vt:lpwstr>bf33995ec32f49b59e849d889ec629bc</vt:lpwstr>
  </property>
  <property fmtid="{D5CDD505-2E9C-101B-9397-08002B2CF9AE}" pid="4" name="verificationId">
    <vt:lpwstr>b0a0921ea07eead6</vt:lpwstr>
  </property>
  <property fmtid="{D5CDD505-2E9C-101B-9397-08002B2CF9AE}" pid="5" name="ICV">
    <vt:lpwstr>C6F7A6165B284EA9B5C7ACFBC5471C4C</vt:lpwstr>
  </property>
</Properties>
</file>