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33" w:line="360" w:lineRule="auto"/>
        <w:jc w:val="center"/>
      </w:pPr>
      <w:r>
        <w:rPr>
          <w:rFonts w:hint="eastAsia" w:ascii="Times New Roman" w:hAnsi="Times New Roman"/>
          <w:b/>
          <w:kern w:val="0"/>
          <w:sz w:val="30"/>
          <w:szCs w:val="24"/>
        </w:rPr>
        <w:t>交银施罗德基金管理有限公司</w:t>
      </w:r>
      <w:r>
        <w:rPr>
          <w:rFonts w:ascii="Times New Roman" w:hAnsi="Times New Roman"/>
          <w:b/>
          <w:kern w:val="0"/>
          <w:sz w:val="30"/>
          <w:szCs w:val="24"/>
        </w:rPr>
        <w:t>关于交银施罗德信用添利债券证券投资基金(LOF)开展直销柜台场外赎回费率优惠活动的公告</w:t>
      </w:r>
    </w:p>
    <w:p>
      <w:pPr>
        <w:spacing w:after="171" w:line="259" w:lineRule="auto"/>
        <w:ind w:left="420" w:firstLine="0"/>
      </w:pPr>
      <w:r>
        <w:t xml:space="preserve"> </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为更好地为投资者提供服务，根据《中华人民共和国证券投资基金法》《公开募集证券投资基金运作管理办法》等法律法规的规定和基金合同的有关约定，</w:t>
      </w:r>
      <w:r>
        <w:rPr>
          <w:rFonts w:hint="eastAsia" w:ascii="Times New Roman" w:hAnsi="Times New Roman"/>
          <w:kern w:val="0"/>
          <w:sz w:val="24"/>
          <w:szCs w:val="24"/>
        </w:rPr>
        <w:t>交银施罗德</w:t>
      </w:r>
      <w:r>
        <w:rPr>
          <w:rFonts w:ascii="Times New Roman" w:hAnsi="Times New Roman"/>
          <w:kern w:val="0"/>
          <w:sz w:val="24"/>
          <w:szCs w:val="24"/>
        </w:rPr>
        <w:t xml:space="preserve">基金管理有限公司（以下简称“本公司”）决定对交银施罗德信用添利债券证券投资基金(LOF)（以下简称“本基金”，基金代码：164902）在直销柜台开展场外赎回费率优惠活动，具体安排如下： </w:t>
      </w:r>
    </w:p>
    <w:p>
      <w:pPr>
        <w:spacing w:after="0" w:line="360" w:lineRule="auto"/>
        <w:ind w:left="0" w:firstLine="420"/>
        <w:rPr>
          <w:rFonts w:ascii="Times New Roman" w:hAnsi="Times New Roman"/>
          <w:sz w:val="24"/>
          <w:szCs w:val="24"/>
        </w:rPr>
      </w:pPr>
    </w:p>
    <w:p>
      <w:pPr>
        <w:widowControl w:val="0"/>
        <w:numPr>
          <w:ilvl w:val="255"/>
          <w:numId w:val="0"/>
        </w:numPr>
        <w:spacing w:after="0" w:line="360" w:lineRule="auto"/>
        <w:ind w:firstLine="420"/>
        <w:jc w:val="both"/>
        <w:rPr>
          <w:rFonts w:ascii="Times New Roman" w:hAnsi="Times New Roman"/>
          <w:kern w:val="0"/>
          <w:sz w:val="24"/>
          <w:szCs w:val="24"/>
        </w:rPr>
      </w:pPr>
      <w:r>
        <w:rPr>
          <w:rFonts w:hint="eastAsia" w:ascii="Times New Roman" w:hAnsi="Times New Roman"/>
          <w:kern w:val="0"/>
          <w:sz w:val="24"/>
          <w:szCs w:val="24"/>
        </w:rPr>
        <w:t>一、</w:t>
      </w:r>
      <w:r>
        <w:rPr>
          <w:rFonts w:ascii="Times New Roman" w:hAnsi="Times New Roman"/>
          <w:kern w:val="0"/>
          <w:sz w:val="24"/>
          <w:szCs w:val="24"/>
        </w:rPr>
        <w:t xml:space="preserve">优惠活动时间 </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 xml:space="preserve">自2025年8月6日至2025年10月31日。 </w:t>
      </w:r>
    </w:p>
    <w:p>
      <w:pPr>
        <w:widowControl w:val="0"/>
        <w:spacing w:after="0" w:line="360" w:lineRule="auto"/>
        <w:ind w:left="0" w:firstLine="420"/>
        <w:jc w:val="both"/>
        <w:rPr>
          <w:rFonts w:ascii="Times New Roman" w:hAnsi="Times New Roman"/>
          <w:kern w:val="0"/>
          <w:sz w:val="24"/>
          <w:szCs w:val="24"/>
        </w:rPr>
      </w:pPr>
    </w:p>
    <w:p>
      <w:pPr>
        <w:widowControl w:val="0"/>
        <w:numPr>
          <w:ilvl w:val="255"/>
          <w:numId w:val="0"/>
        </w:numPr>
        <w:spacing w:after="0" w:line="360" w:lineRule="auto"/>
        <w:ind w:firstLine="420"/>
        <w:jc w:val="both"/>
        <w:rPr>
          <w:rFonts w:ascii="Times New Roman" w:hAnsi="Times New Roman"/>
          <w:kern w:val="0"/>
          <w:sz w:val="24"/>
          <w:szCs w:val="24"/>
        </w:rPr>
      </w:pPr>
      <w:r>
        <w:rPr>
          <w:rFonts w:hint="eastAsia" w:ascii="Times New Roman" w:hAnsi="Times New Roman"/>
          <w:kern w:val="0"/>
          <w:sz w:val="24"/>
          <w:szCs w:val="24"/>
        </w:rPr>
        <w:t>二、</w:t>
      </w:r>
      <w:r>
        <w:rPr>
          <w:rFonts w:ascii="Times New Roman" w:hAnsi="Times New Roman"/>
          <w:kern w:val="0"/>
          <w:sz w:val="24"/>
          <w:szCs w:val="24"/>
        </w:rPr>
        <w:t xml:space="preserve">直销柜台赎回费率优惠方案 </w:t>
      </w:r>
    </w:p>
    <w:p>
      <w:pPr>
        <w:widowControl w:val="0"/>
        <w:numPr>
          <w:ilvl w:val="255"/>
          <w:numId w:val="0"/>
        </w:numPr>
        <w:spacing w:after="0" w:line="360" w:lineRule="auto"/>
        <w:ind w:firstLine="420"/>
        <w:jc w:val="both"/>
        <w:rPr>
          <w:rFonts w:ascii="Times New Roman" w:hAnsi="Times New Roman"/>
          <w:kern w:val="0"/>
          <w:sz w:val="24"/>
          <w:szCs w:val="24"/>
        </w:rPr>
      </w:pPr>
      <w:r>
        <w:rPr>
          <w:rFonts w:hint="eastAsia" w:ascii="Times New Roman" w:hAnsi="Times New Roman"/>
          <w:kern w:val="0"/>
          <w:sz w:val="24"/>
          <w:szCs w:val="24"/>
        </w:rPr>
        <w:t>1、</w:t>
      </w:r>
      <w:r>
        <w:rPr>
          <w:rFonts w:ascii="Times New Roman" w:hAnsi="Times New Roman"/>
          <w:kern w:val="0"/>
          <w:sz w:val="24"/>
          <w:szCs w:val="24"/>
        </w:rPr>
        <w:t xml:space="preserve">优惠活动期间，投资者通过本公司直销柜台办理本基金的基金份额场外赎回业务的，在赎回时享有场外赎回费率优惠，具体如下： </w:t>
      </w:r>
    </w:p>
    <w:tbl>
      <w:tblPr>
        <w:tblStyle w:val="10"/>
        <w:tblW w:w="8524" w:type="dxa"/>
        <w:tblInd w:w="-108" w:type="dxa"/>
        <w:tblLayout w:type="autofit"/>
        <w:tblCellMar>
          <w:top w:w="43" w:type="dxa"/>
          <w:left w:w="132" w:type="dxa"/>
          <w:bottom w:w="0" w:type="dxa"/>
          <w:right w:w="12" w:type="dxa"/>
        </w:tblCellMar>
      </w:tblPr>
      <w:tblGrid>
        <w:gridCol w:w="2064"/>
        <w:gridCol w:w="2093"/>
        <w:gridCol w:w="2093"/>
        <w:gridCol w:w="2274"/>
      </w:tblGrid>
      <w:tr>
        <w:tblPrEx>
          <w:tblCellMar>
            <w:top w:w="43" w:type="dxa"/>
            <w:left w:w="132" w:type="dxa"/>
            <w:bottom w:w="0" w:type="dxa"/>
            <w:right w:w="12" w:type="dxa"/>
          </w:tblCellMar>
        </w:tblPrEx>
        <w:trPr>
          <w:trHeight w:val="763" w:hRule="atLeast"/>
        </w:trPr>
        <w:tc>
          <w:tcPr>
            <w:tcW w:w="2064" w:type="dxa"/>
            <w:tcBorders>
              <w:top w:val="single" w:color="000000" w:sz="8" w:space="0"/>
              <w:left w:val="single" w:color="000000" w:sz="8" w:space="0"/>
              <w:bottom w:val="single" w:color="000000" w:sz="8" w:space="0"/>
              <w:right w:val="single" w:color="000000" w:sz="8" w:space="0"/>
            </w:tcBorders>
            <w:vAlign w:val="center"/>
          </w:tcPr>
          <w:p>
            <w:pPr>
              <w:spacing w:after="0" w:line="360" w:lineRule="auto"/>
              <w:ind w:left="0" w:firstLine="0"/>
              <w:jc w:val="both"/>
              <w:rPr>
                <w:rFonts w:ascii="Times New Roman" w:hAnsi="Times New Roman"/>
                <w:sz w:val="24"/>
                <w:szCs w:val="24"/>
              </w:rPr>
            </w:pPr>
            <w:r>
              <w:rPr>
                <w:rFonts w:ascii="Times New Roman" w:hAnsi="Times New Roman"/>
                <w:sz w:val="24"/>
                <w:szCs w:val="24"/>
              </w:rPr>
              <w:t xml:space="preserve">持续持有期（Y） </w:t>
            </w:r>
          </w:p>
        </w:tc>
        <w:tc>
          <w:tcPr>
            <w:tcW w:w="2093" w:type="dxa"/>
            <w:tcBorders>
              <w:top w:val="single" w:color="000000" w:sz="8" w:space="0"/>
              <w:left w:val="single" w:color="000000" w:sz="8" w:space="0"/>
              <w:bottom w:val="single" w:color="000000" w:sz="8" w:space="0"/>
              <w:right w:val="single" w:color="000000" w:sz="8" w:space="0"/>
            </w:tcBorders>
            <w:vAlign w:val="center"/>
          </w:tcPr>
          <w:p>
            <w:pPr>
              <w:spacing w:after="0" w:line="360" w:lineRule="auto"/>
              <w:ind w:left="0" w:right="119" w:firstLine="0"/>
              <w:jc w:val="center"/>
              <w:rPr>
                <w:rFonts w:ascii="Times New Roman" w:hAnsi="Times New Roman"/>
                <w:sz w:val="24"/>
                <w:szCs w:val="24"/>
              </w:rPr>
            </w:pPr>
            <w:r>
              <w:rPr>
                <w:rFonts w:ascii="Times New Roman" w:hAnsi="Times New Roman"/>
                <w:sz w:val="24"/>
                <w:szCs w:val="24"/>
              </w:rPr>
              <w:t xml:space="preserve">原赎回费率 </w:t>
            </w:r>
          </w:p>
        </w:tc>
        <w:tc>
          <w:tcPr>
            <w:tcW w:w="2093" w:type="dxa"/>
            <w:tcBorders>
              <w:top w:val="single" w:color="000000" w:sz="8" w:space="0"/>
              <w:left w:val="single" w:color="000000" w:sz="8" w:space="0"/>
              <w:bottom w:val="single" w:color="000000" w:sz="8" w:space="0"/>
              <w:right w:val="single" w:color="000000" w:sz="8" w:space="0"/>
            </w:tcBorders>
            <w:vAlign w:val="center"/>
          </w:tcPr>
          <w:p>
            <w:pPr>
              <w:spacing w:after="0" w:line="360" w:lineRule="auto"/>
              <w:ind w:left="0" w:firstLine="0"/>
              <w:jc w:val="center"/>
              <w:rPr>
                <w:rFonts w:ascii="Times New Roman" w:hAnsi="Times New Roman"/>
                <w:sz w:val="24"/>
                <w:szCs w:val="24"/>
              </w:rPr>
            </w:pPr>
            <w:r>
              <w:rPr>
                <w:rFonts w:ascii="Times New Roman" w:hAnsi="Times New Roman"/>
                <w:sz w:val="24"/>
                <w:szCs w:val="24"/>
              </w:rPr>
              <w:t xml:space="preserve">原计入基金资产比例 </w:t>
            </w:r>
          </w:p>
        </w:tc>
        <w:tc>
          <w:tcPr>
            <w:tcW w:w="2274" w:type="dxa"/>
            <w:tcBorders>
              <w:top w:val="single" w:color="000000" w:sz="8" w:space="0"/>
              <w:left w:val="single" w:color="000000" w:sz="8" w:space="0"/>
              <w:bottom w:val="single" w:color="000000" w:sz="8" w:space="0"/>
              <w:right w:val="single" w:color="000000" w:sz="8" w:space="0"/>
            </w:tcBorders>
            <w:vAlign w:val="center"/>
          </w:tcPr>
          <w:p>
            <w:pPr>
              <w:spacing w:after="0" w:line="360" w:lineRule="auto"/>
              <w:ind w:left="161" w:firstLine="0"/>
              <w:rPr>
                <w:rFonts w:ascii="Times New Roman" w:hAnsi="Times New Roman"/>
                <w:sz w:val="24"/>
                <w:szCs w:val="24"/>
              </w:rPr>
            </w:pPr>
            <w:r>
              <w:rPr>
                <w:rFonts w:ascii="Times New Roman" w:hAnsi="Times New Roman"/>
                <w:sz w:val="24"/>
                <w:szCs w:val="24"/>
              </w:rPr>
              <w:t xml:space="preserve">优惠后赎回费率 </w:t>
            </w:r>
          </w:p>
        </w:tc>
      </w:tr>
      <w:tr>
        <w:tblPrEx>
          <w:tblCellMar>
            <w:top w:w="43" w:type="dxa"/>
            <w:left w:w="132" w:type="dxa"/>
            <w:bottom w:w="0" w:type="dxa"/>
            <w:right w:w="12" w:type="dxa"/>
          </w:tblCellMar>
        </w:tblPrEx>
        <w:trPr>
          <w:trHeight w:val="334" w:hRule="atLeast"/>
        </w:trPr>
        <w:tc>
          <w:tcPr>
            <w:tcW w:w="2064"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2" w:firstLine="0"/>
              <w:jc w:val="center"/>
              <w:rPr>
                <w:rFonts w:ascii="Times New Roman" w:hAnsi="Times New Roman"/>
                <w:sz w:val="24"/>
                <w:szCs w:val="24"/>
              </w:rPr>
            </w:pPr>
            <w:r>
              <w:rPr>
                <w:rFonts w:ascii="Times New Roman" w:hAnsi="Times New Roman"/>
                <w:sz w:val="24"/>
                <w:szCs w:val="24"/>
              </w:rPr>
              <w:t xml:space="preserve">Y＜7日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19" w:firstLine="0"/>
              <w:jc w:val="center"/>
              <w:rPr>
                <w:rFonts w:ascii="Times New Roman" w:hAnsi="Times New Roman"/>
                <w:sz w:val="24"/>
                <w:szCs w:val="24"/>
              </w:rPr>
            </w:pPr>
            <w:r>
              <w:rPr>
                <w:rFonts w:ascii="Times New Roman" w:hAnsi="Times New Roman"/>
                <w:sz w:val="24"/>
                <w:szCs w:val="24"/>
              </w:rPr>
              <w:t xml:space="preserve">1.5%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0" w:firstLine="0"/>
              <w:jc w:val="center"/>
              <w:rPr>
                <w:rFonts w:ascii="Times New Roman" w:hAnsi="Times New Roman"/>
                <w:sz w:val="24"/>
                <w:szCs w:val="24"/>
              </w:rPr>
            </w:pPr>
            <w:r>
              <w:rPr>
                <w:rFonts w:ascii="Times New Roman" w:hAnsi="Times New Roman"/>
                <w:sz w:val="24"/>
                <w:szCs w:val="24"/>
              </w:rPr>
              <w:t xml:space="preserve">100% </w:t>
            </w:r>
          </w:p>
        </w:tc>
        <w:tc>
          <w:tcPr>
            <w:tcW w:w="2274"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3" w:firstLine="0"/>
              <w:jc w:val="center"/>
              <w:rPr>
                <w:rFonts w:ascii="Times New Roman" w:hAnsi="Times New Roman"/>
                <w:sz w:val="24"/>
                <w:szCs w:val="24"/>
              </w:rPr>
            </w:pPr>
            <w:r>
              <w:rPr>
                <w:rFonts w:ascii="Times New Roman" w:hAnsi="Times New Roman"/>
                <w:sz w:val="24"/>
                <w:szCs w:val="24"/>
              </w:rPr>
              <w:t xml:space="preserve">1.5% </w:t>
            </w:r>
          </w:p>
        </w:tc>
      </w:tr>
      <w:tr>
        <w:tblPrEx>
          <w:tblCellMar>
            <w:top w:w="43" w:type="dxa"/>
            <w:left w:w="132" w:type="dxa"/>
            <w:bottom w:w="0" w:type="dxa"/>
            <w:right w:w="12" w:type="dxa"/>
          </w:tblCellMar>
        </w:tblPrEx>
        <w:trPr>
          <w:trHeight w:val="331" w:hRule="atLeast"/>
        </w:trPr>
        <w:tc>
          <w:tcPr>
            <w:tcW w:w="2064" w:type="dxa"/>
            <w:tcBorders>
              <w:top w:val="single" w:color="000000" w:sz="8" w:space="0"/>
              <w:left w:val="single" w:color="000000" w:sz="8" w:space="0"/>
              <w:bottom w:val="single" w:color="000000" w:sz="8" w:space="0"/>
              <w:right w:val="single" w:color="000000" w:sz="8" w:space="0"/>
            </w:tcBorders>
          </w:tcPr>
          <w:p>
            <w:pPr>
              <w:spacing w:after="0" w:line="360" w:lineRule="auto"/>
              <w:ind w:left="180" w:firstLine="0"/>
              <w:rPr>
                <w:rFonts w:ascii="Times New Roman" w:hAnsi="Times New Roman"/>
                <w:sz w:val="24"/>
                <w:szCs w:val="24"/>
              </w:rPr>
            </w:pPr>
            <w:r>
              <w:rPr>
                <w:rFonts w:ascii="Times New Roman" w:hAnsi="Times New Roman"/>
                <w:sz w:val="24"/>
                <w:szCs w:val="24"/>
              </w:rPr>
              <w:t xml:space="preserve">7日≤Y≤1年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19" w:firstLine="0"/>
              <w:jc w:val="center"/>
              <w:rPr>
                <w:rFonts w:ascii="Times New Roman" w:hAnsi="Times New Roman"/>
                <w:sz w:val="24"/>
                <w:szCs w:val="24"/>
              </w:rPr>
            </w:pPr>
            <w:r>
              <w:rPr>
                <w:rFonts w:ascii="Times New Roman" w:hAnsi="Times New Roman"/>
                <w:sz w:val="24"/>
                <w:szCs w:val="24"/>
              </w:rPr>
              <w:t xml:space="preserve">0.1%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0" w:firstLine="0"/>
              <w:jc w:val="center"/>
              <w:rPr>
                <w:rFonts w:ascii="Times New Roman" w:hAnsi="Times New Roman"/>
                <w:sz w:val="24"/>
                <w:szCs w:val="24"/>
              </w:rPr>
            </w:pPr>
            <w:r>
              <w:rPr>
                <w:rFonts w:ascii="Times New Roman" w:hAnsi="Times New Roman"/>
                <w:sz w:val="24"/>
                <w:szCs w:val="24"/>
              </w:rPr>
              <w:t xml:space="preserve">25% </w:t>
            </w:r>
          </w:p>
        </w:tc>
        <w:tc>
          <w:tcPr>
            <w:tcW w:w="2274"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3" w:firstLine="0"/>
              <w:jc w:val="center"/>
              <w:rPr>
                <w:rFonts w:ascii="Times New Roman" w:hAnsi="Times New Roman"/>
                <w:sz w:val="24"/>
                <w:szCs w:val="24"/>
              </w:rPr>
            </w:pPr>
            <w:r>
              <w:rPr>
                <w:rFonts w:ascii="Times New Roman" w:hAnsi="Times New Roman"/>
                <w:sz w:val="24"/>
                <w:szCs w:val="24"/>
              </w:rPr>
              <w:t xml:space="preserve">0.025% </w:t>
            </w:r>
          </w:p>
        </w:tc>
      </w:tr>
      <w:tr>
        <w:tblPrEx>
          <w:tblCellMar>
            <w:top w:w="43" w:type="dxa"/>
            <w:left w:w="132" w:type="dxa"/>
            <w:bottom w:w="0" w:type="dxa"/>
            <w:right w:w="12" w:type="dxa"/>
          </w:tblCellMar>
        </w:tblPrEx>
        <w:trPr>
          <w:trHeight w:val="331" w:hRule="atLeast"/>
        </w:trPr>
        <w:tc>
          <w:tcPr>
            <w:tcW w:w="2064" w:type="dxa"/>
            <w:tcBorders>
              <w:top w:val="single" w:color="000000" w:sz="8" w:space="0"/>
              <w:left w:val="single" w:color="000000" w:sz="8" w:space="0"/>
              <w:bottom w:val="single" w:color="000000" w:sz="8" w:space="0"/>
              <w:right w:val="single" w:color="000000" w:sz="8" w:space="0"/>
            </w:tcBorders>
          </w:tcPr>
          <w:p>
            <w:pPr>
              <w:spacing w:after="0" w:line="360" w:lineRule="auto"/>
              <w:ind w:left="180" w:firstLine="0"/>
              <w:rPr>
                <w:rFonts w:ascii="Times New Roman" w:hAnsi="Times New Roman"/>
                <w:sz w:val="24"/>
                <w:szCs w:val="24"/>
              </w:rPr>
            </w:pPr>
            <w:r>
              <w:rPr>
                <w:rFonts w:ascii="Times New Roman" w:hAnsi="Times New Roman"/>
                <w:sz w:val="24"/>
                <w:szCs w:val="24"/>
              </w:rPr>
              <w:t xml:space="preserve">1年＜Y≤2年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19" w:firstLine="0"/>
              <w:jc w:val="center"/>
              <w:rPr>
                <w:rFonts w:ascii="Times New Roman" w:hAnsi="Times New Roman"/>
                <w:sz w:val="24"/>
                <w:szCs w:val="24"/>
              </w:rPr>
            </w:pPr>
            <w:r>
              <w:rPr>
                <w:rFonts w:ascii="Times New Roman" w:hAnsi="Times New Roman"/>
                <w:sz w:val="24"/>
                <w:szCs w:val="24"/>
              </w:rPr>
              <w:t xml:space="preserve">0.05%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0" w:firstLine="0"/>
              <w:jc w:val="center"/>
              <w:rPr>
                <w:rFonts w:ascii="Times New Roman" w:hAnsi="Times New Roman"/>
                <w:sz w:val="24"/>
                <w:szCs w:val="24"/>
              </w:rPr>
            </w:pPr>
            <w:r>
              <w:rPr>
                <w:rFonts w:ascii="Times New Roman" w:hAnsi="Times New Roman"/>
                <w:sz w:val="24"/>
                <w:szCs w:val="24"/>
              </w:rPr>
              <w:t xml:space="preserve">25% </w:t>
            </w:r>
          </w:p>
        </w:tc>
        <w:tc>
          <w:tcPr>
            <w:tcW w:w="2274"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1" w:firstLine="0"/>
              <w:jc w:val="center"/>
              <w:rPr>
                <w:rFonts w:ascii="Times New Roman" w:hAnsi="Times New Roman"/>
                <w:sz w:val="24"/>
                <w:szCs w:val="24"/>
              </w:rPr>
            </w:pPr>
            <w:r>
              <w:rPr>
                <w:rFonts w:ascii="Times New Roman" w:hAnsi="Times New Roman"/>
                <w:sz w:val="24"/>
                <w:szCs w:val="24"/>
              </w:rPr>
              <w:t xml:space="preserve">0.0125% </w:t>
            </w:r>
          </w:p>
        </w:tc>
      </w:tr>
      <w:tr>
        <w:tblPrEx>
          <w:tblCellMar>
            <w:top w:w="43" w:type="dxa"/>
            <w:left w:w="132" w:type="dxa"/>
            <w:bottom w:w="0" w:type="dxa"/>
            <w:right w:w="12" w:type="dxa"/>
          </w:tblCellMar>
        </w:tblPrEx>
        <w:trPr>
          <w:trHeight w:val="334" w:hRule="atLeast"/>
        </w:trPr>
        <w:tc>
          <w:tcPr>
            <w:tcW w:w="2064"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2" w:firstLine="0"/>
              <w:jc w:val="center"/>
              <w:rPr>
                <w:rFonts w:ascii="Times New Roman" w:hAnsi="Times New Roman"/>
                <w:sz w:val="24"/>
                <w:szCs w:val="24"/>
              </w:rPr>
            </w:pPr>
            <w:r>
              <w:rPr>
                <w:rFonts w:ascii="Times New Roman" w:hAnsi="Times New Roman"/>
                <w:sz w:val="24"/>
                <w:szCs w:val="24"/>
              </w:rPr>
              <w:t xml:space="preserve">Y&gt;2年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19" w:firstLine="0"/>
              <w:jc w:val="center"/>
              <w:rPr>
                <w:rFonts w:ascii="Times New Roman" w:hAnsi="Times New Roman"/>
                <w:sz w:val="24"/>
                <w:szCs w:val="24"/>
              </w:rPr>
            </w:pPr>
            <w:r>
              <w:rPr>
                <w:rFonts w:ascii="Times New Roman" w:hAnsi="Times New Roman"/>
                <w:sz w:val="24"/>
                <w:szCs w:val="24"/>
              </w:rPr>
              <w:t xml:space="preserve">0 </w:t>
            </w:r>
          </w:p>
        </w:tc>
        <w:tc>
          <w:tcPr>
            <w:tcW w:w="2093"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0" w:firstLine="0"/>
              <w:jc w:val="center"/>
              <w:rPr>
                <w:rFonts w:ascii="Times New Roman" w:hAnsi="Times New Roman"/>
                <w:sz w:val="24"/>
                <w:szCs w:val="24"/>
              </w:rPr>
            </w:pPr>
            <w:r>
              <w:rPr>
                <w:rFonts w:ascii="Times New Roman" w:hAnsi="Times New Roman"/>
                <w:sz w:val="24"/>
                <w:szCs w:val="24"/>
              </w:rPr>
              <w:t xml:space="preserve">/ </w:t>
            </w:r>
          </w:p>
        </w:tc>
        <w:tc>
          <w:tcPr>
            <w:tcW w:w="2274" w:type="dxa"/>
            <w:tcBorders>
              <w:top w:val="single" w:color="000000" w:sz="8" w:space="0"/>
              <w:left w:val="single" w:color="000000" w:sz="8" w:space="0"/>
              <w:bottom w:val="single" w:color="000000" w:sz="8" w:space="0"/>
              <w:right w:val="single" w:color="000000" w:sz="8" w:space="0"/>
            </w:tcBorders>
          </w:tcPr>
          <w:p>
            <w:pPr>
              <w:spacing w:after="0" w:line="360" w:lineRule="auto"/>
              <w:ind w:left="0" w:right="123" w:firstLine="0"/>
              <w:jc w:val="center"/>
              <w:rPr>
                <w:rFonts w:ascii="Times New Roman" w:hAnsi="Times New Roman"/>
                <w:sz w:val="24"/>
                <w:szCs w:val="24"/>
              </w:rPr>
            </w:pPr>
            <w:r>
              <w:rPr>
                <w:rFonts w:ascii="Times New Roman" w:hAnsi="Times New Roman"/>
                <w:sz w:val="24"/>
                <w:szCs w:val="24"/>
              </w:rPr>
              <w:t xml:space="preserve">/ </w:t>
            </w:r>
          </w:p>
        </w:tc>
      </w:tr>
    </w:tbl>
    <w:p>
      <w:pPr>
        <w:widowControl w:val="0"/>
        <w:numPr>
          <w:ilvl w:val="0"/>
          <w:numId w:val="1"/>
        </w:numPr>
        <w:spacing w:after="0" w:line="360" w:lineRule="auto"/>
        <w:ind w:firstLine="420"/>
        <w:jc w:val="both"/>
        <w:rPr>
          <w:rFonts w:ascii="Times New Roman" w:hAnsi="Times New Roman"/>
          <w:kern w:val="0"/>
          <w:sz w:val="24"/>
          <w:szCs w:val="24"/>
        </w:rPr>
      </w:pPr>
      <w:r>
        <w:rPr>
          <w:rFonts w:ascii="Times New Roman" w:hAnsi="Times New Roman"/>
          <w:kern w:val="0"/>
          <w:sz w:val="24"/>
          <w:szCs w:val="24"/>
        </w:rPr>
        <w:t xml:space="preserve">优惠后的赎回费将100%归入基金资产，不会对基金份额持有人利益造成不利影响。 </w:t>
      </w:r>
    </w:p>
    <w:p>
      <w:pPr>
        <w:widowControl w:val="0"/>
        <w:numPr>
          <w:ilvl w:val="255"/>
          <w:numId w:val="0"/>
        </w:numPr>
        <w:spacing w:after="0" w:line="360" w:lineRule="auto"/>
        <w:ind w:left="420"/>
        <w:jc w:val="both"/>
        <w:rPr>
          <w:rFonts w:ascii="Times New Roman" w:hAnsi="Times New Roman"/>
          <w:kern w:val="0"/>
          <w:sz w:val="24"/>
          <w:szCs w:val="24"/>
        </w:rPr>
      </w:pP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 xml:space="preserve">三、重要提示 </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1、本次费率优惠仅适用于在优惠活动时间内通过本公司直销柜台申请场外赎回本基金份额的投资者</w:t>
      </w:r>
      <w:r>
        <w:rPr>
          <w:rFonts w:hint="eastAsia" w:ascii="Times New Roman" w:hAnsi="Times New Roman"/>
          <w:kern w:val="0"/>
          <w:sz w:val="24"/>
          <w:szCs w:val="24"/>
        </w:rPr>
        <w:t>，不适用于本公司直销网上交易系统提交的赎回申请以及本基金基金份额的转换转出业务。</w:t>
      </w:r>
      <w:bookmarkStart w:id="0" w:name="_GoBack"/>
      <w:bookmarkEnd w:id="0"/>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kern w:val="0"/>
          <w:sz w:val="24"/>
          <w:szCs w:val="24"/>
        </w:rPr>
        <w:t>、</w:t>
      </w:r>
      <w:r>
        <w:rPr>
          <w:rFonts w:ascii="Times New Roman" w:hAnsi="Times New Roman"/>
          <w:kern w:val="0"/>
          <w:sz w:val="24"/>
          <w:szCs w:val="24"/>
        </w:rPr>
        <w:t xml:space="preserve">本次优惠活动结束后，基金赎回费率继续按原标准实施。 </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 xml:space="preserve">3、本次优惠活动内容发生调整的，以本公司相关公告为准。 </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 xml:space="preserve">4、本公告的解释权归本公司所有。投资者欲了解基金详细情况，请仔细阅读本基金的基金合同、招募说明书及其更新等法律文件。 </w:t>
      </w:r>
    </w:p>
    <w:p>
      <w:pPr>
        <w:spacing w:after="0" w:line="360" w:lineRule="auto"/>
        <w:ind w:left="360" w:firstLine="0"/>
        <w:rPr>
          <w:rFonts w:ascii="Times New Roman" w:hAnsi="Times New Roman"/>
          <w:sz w:val="24"/>
          <w:szCs w:val="24"/>
        </w:rPr>
      </w:pP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四、投资者可通过以下途径了解或咨询详请：</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交银施罗德基金管理有限公司</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客服热线：400-700-5000；021-61055000</w:t>
      </w:r>
    </w:p>
    <w:p>
      <w:pPr>
        <w:widowControl w:val="0"/>
        <w:spacing w:after="0" w:line="360" w:lineRule="auto"/>
        <w:ind w:left="0" w:firstLine="420"/>
        <w:jc w:val="both"/>
        <w:rPr>
          <w:rFonts w:ascii="Times New Roman" w:hAnsi="Times New Roman"/>
          <w:kern w:val="0"/>
          <w:sz w:val="24"/>
          <w:szCs w:val="24"/>
        </w:rPr>
      </w:pPr>
      <w:r>
        <w:rPr>
          <w:rFonts w:ascii="Times New Roman" w:hAnsi="Times New Roman"/>
          <w:kern w:val="0"/>
          <w:sz w:val="24"/>
          <w:szCs w:val="24"/>
        </w:rPr>
        <w:t>网站：www.fund001.com</w:t>
      </w:r>
    </w:p>
    <w:p>
      <w:pPr>
        <w:spacing w:after="171" w:line="360" w:lineRule="auto"/>
        <w:ind w:left="420" w:firstLine="0"/>
        <w:rPr>
          <w:rFonts w:ascii="Times New Roman" w:hAnsi="Times New Roman"/>
          <w:sz w:val="24"/>
          <w:szCs w:val="24"/>
        </w:rPr>
      </w:pPr>
      <w:r>
        <w:rPr>
          <w:rFonts w:ascii="Times New Roman" w:hAnsi="Times New Roman"/>
          <w:sz w:val="24"/>
          <w:szCs w:val="24"/>
        </w:rPr>
        <w:t xml:space="preserve"> </w:t>
      </w:r>
    </w:p>
    <w:p>
      <w:pPr>
        <w:spacing w:after="0" w:line="360" w:lineRule="auto"/>
        <w:ind w:left="0" w:firstLine="420"/>
        <w:rPr>
          <w:rFonts w:ascii="Times New Roman" w:hAnsi="Times New Roman"/>
          <w:kern w:val="0"/>
          <w:sz w:val="24"/>
          <w:szCs w:val="24"/>
        </w:rPr>
      </w:pPr>
      <w:r>
        <w:rPr>
          <w:rFonts w:ascii="Times New Roman" w:hAnsi="Times New Roman"/>
          <w:kern w:val="0"/>
          <w:sz w:val="24"/>
          <w:szCs w:val="24"/>
        </w:rPr>
        <w:t xml:space="preserve">风险提示 本基金管理人承诺以诚实信用、勤勉尽责的原则管理和运用基金财产，但不保证基金一定盈利，也不保证最低收益和本金安全。基金的过往业绩并不代表其将来表现。投资有风险，敬请投资人认真阅读基金的法律文件及相关公告，关注基金特有风险，并选择适合自身风险承受能力的投资品种进行投资。 </w:t>
      </w:r>
    </w:p>
    <w:p>
      <w:pPr>
        <w:spacing w:after="0" w:line="360" w:lineRule="auto"/>
        <w:ind w:left="0" w:firstLine="420"/>
        <w:rPr>
          <w:rFonts w:ascii="Times New Roman" w:hAnsi="Times New Roman"/>
          <w:sz w:val="24"/>
          <w:szCs w:val="24"/>
        </w:rPr>
      </w:pPr>
      <w:r>
        <w:rPr>
          <w:rFonts w:ascii="Times New Roman" w:hAnsi="Times New Roman"/>
          <w:kern w:val="0"/>
          <w:sz w:val="24"/>
          <w:szCs w:val="24"/>
        </w:rPr>
        <w:t>特此公告。</w:t>
      </w:r>
      <w:r>
        <w:rPr>
          <w:rFonts w:ascii="Times New Roman" w:hAnsi="Times New Roman"/>
          <w:sz w:val="24"/>
          <w:szCs w:val="24"/>
        </w:rPr>
        <w:t xml:space="preserve"> </w:t>
      </w:r>
    </w:p>
    <w:p>
      <w:pPr>
        <w:spacing w:after="172" w:line="360" w:lineRule="auto"/>
        <w:ind w:left="420" w:firstLine="0"/>
        <w:rPr>
          <w:rFonts w:ascii="Times New Roman" w:hAnsi="Times New Roman"/>
          <w:sz w:val="24"/>
          <w:szCs w:val="24"/>
        </w:rPr>
      </w:pPr>
      <w:r>
        <w:rPr>
          <w:rFonts w:ascii="Times New Roman" w:hAnsi="Times New Roman"/>
          <w:sz w:val="24"/>
          <w:szCs w:val="24"/>
        </w:rPr>
        <w:t xml:space="preserve"> </w:t>
      </w:r>
    </w:p>
    <w:p>
      <w:pPr>
        <w:spacing w:after="0" w:line="360" w:lineRule="auto"/>
        <w:ind w:left="0" w:firstLine="3990"/>
        <w:jc w:val="right"/>
        <w:rPr>
          <w:rFonts w:ascii="Times New Roman" w:hAnsi="Times New Roman"/>
          <w:kern w:val="0"/>
          <w:sz w:val="24"/>
          <w:szCs w:val="24"/>
        </w:rPr>
      </w:pPr>
      <w:r>
        <w:rPr>
          <w:rFonts w:ascii="Times New Roman" w:hAnsi="Times New Roman"/>
          <w:sz w:val="24"/>
          <w:szCs w:val="24"/>
        </w:rPr>
        <w:t xml:space="preserve"> </w:t>
      </w:r>
    </w:p>
    <w:p>
      <w:pPr>
        <w:spacing w:after="0" w:line="360" w:lineRule="auto"/>
        <w:ind w:left="0" w:firstLine="3990"/>
        <w:jc w:val="right"/>
        <w:rPr>
          <w:rFonts w:ascii="Times New Roman" w:hAnsi="Times New Roman"/>
          <w:kern w:val="0"/>
          <w:sz w:val="24"/>
          <w:szCs w:val="24"/>
        </w:rPr>
      </w:pPr>
      <w:r>
        <w:rPr>
          <w:rFonts w:hint="eastAsia" w:ascii="Times New Roman" w:hAnsi="Times New Roman"/>
          <w:kern w:val="0"/>
          <w:sz w:val="24"/>
          <w:szCs w:val="24"/>
        </w:rPr>
        <w:t>交银施罗德</w:t>
      </w:r>
      <w:r>
        <w:rPr>
          <w:rFonts w:ascii="Times New Roman" w:hAnsi="Times New Roman"/>
          <w:kern w:val="0"/>
          <w:sz w:val="24"/>
          <w:szCs w:val="24"/>
        </w:rPr>
        <w:t xml:space="preserve">基金管理有限公司 </w:t>
      </w:r>
    </w:p>
    <w:p>
      <w:pPr>
        <w:spacing w:after="0" w:line="360" w:lineRule="auto"/>
        <w:ind w:left="0" w:firstLine="3990"/>
        <w:jc w:val="right"/>
        <w:rPr>
          <w:rFonts w:ascii="Times New Roman" w:hAnsi="Times New Roman"/>
          <w:kern w:val="0"/>
          <w:sz w:val="24"/>
          <w:szCs w:val="24"/>
        </w:rPr>
      </w:pPr>
      <w:r>
        <w:rPr>
          <w:rFonts w:ascii="Times New Roman" w:hAnsi="Times New Roman"/>
          <w:kern w:val="0"/>
          <w:sz w:val="24"/>
          <w:szCs w:val="24"/>
        </w:rPr>
        <w:t xml:space="preserve">2025年8月6日 </w:t>
      </w:r>
    </w:p>
    <w:p>
      <w:pPr>
        <w:spacing w:after="0" w:line="259" w:lineRule="auto"/>
        <w:ind w:left="0" w:right="8" w:firstLine="0"/>
        <w:jc w:val="both"/>
      </w:pPr>
    </w:p>
    <w:p>
      <w:pPr>
        <w:spacing w:after="0" w:line="259" w:lineRule="auto"/>
        <w:ind w:left="0" w:firstLine="0"/>
      </w:pPr>
      <w:r>
        <w:rPr>
          <w:rFonts w:ascii="Calibri" w:hAnsi="Calibri" w:eastAsia="Calibri" w:cs="Calibri"/>
          <w:sz w:val="18"/>
        </w:rPr>
        <w:t xml:space="preserve"> </w:t>
      </w:r>
    </w:p>
    <w:sectPr>
      <w:pgSz w:w="11906" w:h="16838"/>
      <w:pgMar w:top="1568" w:right="1793" w:bottom="991"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777A7"/>
    <w:multiLevelType w:val="singleLevel"/>
    <w:tmpl w:val="CF3777A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6A"/>
    <w:rsid w:val="002046F7"/>
    <w:rsid w:val="00205B1B"/>
    <w:rsid w:val="00206FF7"/>
    <w:rsid w:val="0027292A"/>
    <w:rsid w:val="003A5CA0"/>
    <w:rsid w:val="00486B0B"/>
    <w:rsid w:val="00502124"/>
    <w:rsid w:val="00684ADA"/>
    <w:rsid w:val="007A55B0"/>
    <w:rsid w:val="007D2ACD"/>
    <w:rsid w:val="009B5C5E"/>
    <w:rsid w:val="00B61730"/>
    <w:rsid w:val="00B73664"/>
    <w:rsid w:val="00C82F7B"/>
    <w:rsid w:val="00C951EE"/>
    <w:rsid w:val="00CB0673"/>
    <w:rsid w:val="00D0690E"/>
    <w:rsid w:val="00D4406A"/>
    <w:rsid w:val="00DC418D"/>
    <w:rsid w:val="00EE23D0"/>
    <w:rsid w:val="07C246A3"/>
    <w:rsid w:val="093A64FA"/>
    <w:rsid w:val="0AD46352"/>
    <w:rsid w:val="0D2A51A7"/>
    <w:rsid w:val="1F060F39"/>
    <w:rsid w:val="26F7603C"/>
    <w:rsid w:val="2A266C15"/>
    <w:rsid w:val="2DB56DA0"/>
    <w:rsid w:val="357C7EED"/>
    <w:rsid w:val="43381904"/>
    <w:rsid w:val="4C815099"/>
    <w:rsid w:val="51AA04E9"/>
    <w:rsid w:val="55B83053"/>
    <w:rsid w:val="5B432946"/>
    <w:rsid w:val="62653409"/>
    <w:rsid w:val="6CAC2E91"/>
    <w:rsid w:val="73A37C5F"/>
    <w:rsid w:val="755E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6" w:line="265" w:lineRule="auto"/>
      <w:ind w:left="10" w:hanging="10"/>
    </w:pPr>
    <w:rPr>
      <w:rFonts w:ascii="宋体" w:hAnsi="宋体" w:eastAsia="宋体" w:cs="宋体"/>
      <w:color w:val="000000"/>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4"/>
    <w:unhideWhenUsed/>
    <w:uiPriority w:val="99"/>
    <w:pPr>
      <w:tabs>
        <w:tab w:val="center" w:pos="4153"/>
        <w:tab w:val="right" w:pos="8306"/>
      </w:tabs>
      <w:snapToGrid w:val="0"/>
      <w:spacing w:line="240" w:lineRule="auto"/>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6"/>
    <w:semiHidden/>
    <w:unhideWhenUsed/>
    <w:uiPriority w:val="99"/>
    <w:rPr>
      <w:b/>
      <w:bCs/>
    </w:rPr>
  </w:style>
  <w:style w:type="character" w:styleId="9">
    <w:name w:val="annotation reference"/>
    <w:basedOn w:val="8"/>
    <w:semiHidden/>
    <w:unhideWhenUsed/>
    <w:uiPriority w:val="99"/>
    <w:rPr>
      <w:sz w:val="21"/>
      <w:szCs w:val="21"/>
    </w:rPr>
  </w:style>
  <w:style w:type="table" w:customStyle="1" w:styleId="10">
    <w:name w:val="TableGrid"/>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uiPriority w:val="99"/>
    <w:rPr>
      <w:rFonts w:ascii="宋体" w:hAnsi="宋体" w:eastAsia="宋体" w:cs="宋体"/>
      <w:color w:val="000000"/>
      <w:kern w:val="2"/>
      <w:sz w:val="18"/>
      <w:szCs w:val="18"/>
    </w:rPr>
  </w:style>
  <w:style w:type="character" w:customStyle="1" w:styleId="13">
    <w:name w:val="页眉 字符"/>
    <w:basedOn w:val="8"/>
    <w:link w:val="5"/>
    <w:uiPriority w:val="99"/>
    <w:rPr>
      <w:rFonts w:ascii="宋体" w:hAnsi="宋体" w:eastAsia="宋体" w:cs="宋体"/>
      <w:color w:val="000000"/>
      <w:kern w:val="2"/>
      <w:sz w:val="18"/>
      <w:szCs w:val="18"/>
    </w:rPr>
  </w:style>
  <w:style w:type="character" w:customStyle="1" w:styleId="14">
    <w:name w:val="页脚 字符"/>
    <w:basedOn w:val="8"/>
    <w:link w:val="4"/>
    <w:uiPriority w:val="99"/>
    <w:rPr>
      <w:rFonts w:ascii="宋体" w:hAnsi="宋体" w:eastAsia="宋体" w:cs="宋体"/>
      <w:color w:val="000000"/>
      <w:kern w:val="2"/>
      <w:sz w:val="18"/>
      <w:szCs w:val="18"/>
    </w:rPr>
  </w:style>
  <w:style w:type="character" w:customStyle="1" w:styleId="15">
    <w:name w:val="批注文字 字符"/>
    <w:basedOn w:val="8"/>
    <w:link w:val="2"/>
    <w:semiHidden/>
    <w:uiPriority w:val="99"/>
    <w:rPr>
      <w:rFonts w:ascii="宋体" w:hAnsi="宋体" w:eastAsia="宋体" w:cs="宋体"/>
      <w:color w:val="000000"/>
      <w:kern w:val="2"/>
      <w:sz w:val="21"/>
      <w:szCs w:val="22"/>
    </w:rPr>
  </w:style>
  <w:style w:type="character" w:customStyle="1" w:styleId="16">
    <w:name w:val="批注主题 字符"/>
    <w:basedOn w:val="15"/>
    <w:link w:val="6"/>
    <w:semiHidden/>
    <w:uiPriority w:val="99"/>
    <w:rPr>
      <w:rFonts w:ascii="宋体" w:hAnsi="宋体" w:eastAsia="宋体" w:cs="宋体"/>
      <w:b/>
      <w:bCs/>
      <w:color w:val="000000"/>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150</Words>
  <Characters>857</Characters>
  <Lines>7</Lines>
  <Paragraphs>2</Paragraphs>
  <TotalTime>82</TotalTime>
  <ScaleCrop>false</ScaleCrop>
  <LinksUpToDate>false</LinksUpToDate>
  <CharactersWithSpaces>1005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2025-08-04T10:00:00Z</dcterms:created>
  <dc:creator>周闻君</dc:creator>
  <cp:lastModifiedBy>haotingting</cp:lastModifiedBy>
  <dcterms:modified xsi:type="dcterms:W3CDTF">2025-08-05T06:12:53Z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C593F43B285E45D2B6185564285463E0</vt:lpwstr>
  </property>
</Properties>
</file>