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招商银行股份有限公司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lang w:val="en-US" w:eastAsia="zh-CN"/>
        </w:rPr>
        <w:t>招商银行股份有限公司</w:t>
      </w:r>
      <w:r>
        <w:rPr>
          <w:rFonts w:ascii="宋体" w:hAnsi="宋体" w:eastAsia="宋体" w:cs="宋体"/>
        </w:rPr>
        <w:t>（以下简称“</w:t>
      </w:r>
      <w:r>
        <w:rPr>
          <w:rFonts w:hint="eastAsia" w:ascii="宋体" w:hAnsi="宋体" w:eastAsia="宋体" w:cs="宋体"/>
          <w:lang w:val="en-US" w:eastAsia="zh-CN"/>
        </w:rPr>
        <w:t>招商银行</w:t>
      </w:r>
      <w:bookmarkStart w:id="0" w:name="_GoBack"/>
      <w:bookmarkEnd w:id="0"/>
      <w:r>
        <w:rPr>
          <w:rFonts w:ascii="宋体" w:hAnsi="宋体" w:eastAsia="宋体" w:cs="宋体"/>
        </w:rPr>
        <w:t>”）签署的销售协议，本公司自</w:t>
      </w:r>
      <w:r>
        <w:rPr>
          <w:rFonts w:hint="eastAsia" w:ascii="宋体" w:hAnsi="宋体" w:eastAsia="宋体" w:cs="宋体"/>
          <w:lang w:val="en-US" w:eastAsia="zh-CN"/>
        </w:rPr>
        <w:t>2025-06-20</w:t>
      </w:r>
      <w:r>
        <w:rPr>
          <w:rFonts w:ascii="宋体" w:hAnsi="宋体" w:eastAsia="宋体" w:cs="宋体"/>
        </w:rPr>
        <w:t>起增加</w:t>
      </w:r>
      <w:r>
        <w:rPr>
          <w:rFonts w:hint="eastAsia" w:ascii="宋体" w:hAnsi="宋体" w:eastAsia="宋体" w:cs="宋体"/>
          <w:lang w:val="en-US" w:eastAsia="zh-CN"/>
        </w:rPr>
        <w:t>招商银行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交银施罗德增利债券证券投资基金D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023841</w:t>
            </w:r>
          </w:p>
        </w:tc>
      </w:tr>
    </w:tbl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招商银行股份有限公司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hint="eastAsia" w:ascii="宋体" w:hAnsi="宋体" w:eastAsia="宋体" w:cs="宋体"/>
        </w:rPr>
        <w:t>95555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www.cmbchina.com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2025-06-20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2024-11-22T05:59:11Z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