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瑞安</w:t>
      </w:r>
      <w:r>
        <w:rPr>
          <w:rFonts w:hAnsi="宋体"/>
          <w:b/>
          <w:sz w:val="44"/>
        </w:rPr>
        <w:t>混合型证券投资基金</w:t>
      </w:r>
    </w:p>
    <w:p>
      <w:pPr>
        <w:adjustRightInd w:val="0"/>
        <w:snapToGrid w:val="0"/>
        <w:spacing w:line="360" w:lineRule="auto"/>
        <w:jc w:val="center"/>
        <w:rPr>
          <w:sz w:val="24"/>
        </w:rPr>
      </w:pPr>
      <w:r>
        <w:rPr>
          <w:rFonts w:hAnsi="宋体"/>
          <w:b/>
          <w:sz w:val="44"/>
        </w:rPr>
        <w:t>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上海浦东发展银行股份有限公司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五</w:t>
      </w:r>
      <w:r>
        <w:rPr>
          <w:rFonts w:hAnsi="宋体"/>
          <w:b/>
          <w:sz w:val="28"/>
        </w:rPr>
        <w:t>年</w:t>
      </w:r>
      <w:r>
        <w:rPr>
          <w:rFonts w:hint="eastAsia" w:hAnsi="宋体"/>
          <w:b/>
          <w:sz w:val="28"/>
          <w:lang w:val="en-US" w:eastAsia="zh-CN"/>
        </w:rPr>
        <w:t>五</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kern w:val="0"/>
          <w:sz w:val="24"/>
        </w:rPr>
        <w:t>瑞安</w:t>
      </w:r>
      <w:r>
        <w:rPr>
          <w:kern w:val="0"/>
          <w:sz w:val="24"/>
        </w:rPr>
        <w:t>混合型证券投资基金（以下简称</w:t>
      </w:r>
      <w:r>
        <w:rPr>
          <w:rFonts w:ascii="宋体" w:hAnsi="宋体"/>
          <w:kern w:val="0"/>
          <w:sz w:val="24"/>
        </w:rPr>
        <w:t>“本基金”</w:t>
      </w:r>
      <w:r>
        <w:rPr>
          <w:rFonts w:hAnsi="宋体"/>
          <w:kern w:val="0"/>
          <w:sz w:val="24"/>
        </w:rPr>
        <w:t>）经</w:t>
      </w:r>
      <w:r>
        <w:rPr>
          <w:rFonts w:hint="eastAsia"/>
          <w:kern w:val="0"/>
          <w:sz w:val="24"/>
        </w:rPr>
        <w:t>20</w:t>
      </w:r>
      <w:r>
        <w:rPr>
          <w:rFonts w:hint="eastAsia"/>
          <w:kern w:val="0"/>
          <w:sz w:val="24"/>
          <w:lang w:val="en-US" w:eastAsia="zh-CN"/>
        </w:rPr>
        <w:t>25</w:t>
      </w:r>
      <w:r>
        <w:rPr>
          <w:rFonts w:hint="eastAsia"/>
          <w:kern w:val="0"/>
          <w:sz w:val="24"/>
        </w:rPr>
        <w:t>年</w:t>
      </w:r>
      <w:r>
        <w:rPr>
          <w:rFonts w:hint="eastAsia"/>
          <w:kern w:val="0"/>
          <w:sz w:val="24"/>
          <w:lang w:val="en-US" w:eastAsia="zh-CN"/>
        </w:rPr>
        <w:t>5</w:t>
      </w:r>
      <w:r>
        <w:rPr>
          <w:rFonts w:hint="eastAsia"/>
          <w:kern w:val="0"/>
          <w:sz w:val="24"/>
        </w:rPr>
        <w:t>月</w:t>
      </w:r>
      <w:r>
        <w:rPr>
          <w:rFonts w:hint="eastAsia"/>
          <w:kern w:val="0"/>
          <w:sz w:val="24"/>
          <w:lang w:val="en-US" w:eastAsia="zh-CN"/>
        </w:rPr>
        <w:t>23</w:t>
      </w:r>
      <w:r>
        <w:rPr>
          <w:rFonts w:hint="eastAsia"/>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w:t>
      </w:r>
      <w:r>
        <w:rPr>
          <w:rFonts w:hint="eastAsia"/>
          <w:kern w:val="0"/>
          <w:sz w:val="24"/>
          <w:lang w:val="en-US" w:eastAsia="zh-CN"/>
        </w:rPr>
        <w:t>25</w:t>
      </w:r>
      <w:r>
        <w:rPr>
          <w:rFonts w:hAnsi="宋体"/>
          <w:kern w:val="0"/>
          <w:sz w:val="24"/>
        </w:rPr>
        <w:t>】</w:t>
      </w:r>
      <w:r>
        <w:rPr>
          <w:rFonts w:hint="eastAsia" w:hAnsi="宋体"/>
          <w:kern w:val="0"/>
          <w:sz w:val="24"/>
          <w:lang w:val="en-US" w:eastAsia="zh-CN"/>
        </w:rPr>
        <w:t>1107</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Pr>
          <w:rFonts w:hint="eastAsia"/>
          <w:kern w:val="0"/>
          <w:sz w:val="24"/>
        </w:rPr>
        <w:t>基金</w:t>
      </w:r>
      <w:r>
        <w:rPr>
          <w:kern w:val="0"/>
          <w:sz w:val="24"/>
        </w:rPr>
        <w:t>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；信用风险；本基金的特有风险；本基金法律文件风险收益特征表述与销售机构基金风险评价可能不一致的风险；投资本基金的其他风险等等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pPr>
        <w:widowControl/>
        <w:adjustRightInd w:val="0"/>
        <w:snapToGrid w:val="0"/>
        <w:spacing w:line="360" w:lineRule="auto"/>
        <w:ind w:firstLine="480" w:firstLineChars="200"/>
        <w:rPr>
          <w:kern w:val="0"/>
          <w:sz w:val="24"/>
        </w:rPr>
      </w:pPr>
      <w:r>
        <w:rPr>
          <w:rFonts w:hint="eastAsia"/>
          <w:kern w:val="0"/>
          <w:sz w:val="24"/>
        </w:rPr>
        <w:t>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由于本基金在计算基金份额净值时，按前一日基金资产净值的1.20%年费率计算管理费，该费率可能高于或低于不同投资者最终适用的管理费率。在基金份额赎回或基金合同终止的情形发生时，基金投资者实际收到的赎回款项或清算款项的金额可能与按披露的基金份额净值计算的结果存在差异。投资者的实际赎回金额和清算资金以登记机构确认数据为准。本基金采用浮动管理费的收费模式，不代表基金管理人对基金收益的保证。</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本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sz w:val="24"/>
        </w:rPr>
        <w:t>基金可根据投资策略需要或不同配置地市场环境的变化，选择将部分基金资产投资于港股通标的股票或选择不将基金资产投资于港股通标的股票，基金资产并非必然投资港股通标的股票。</w:t>
      </w:r>
    </w:p>
    <w:p>
      <w:pPr>
        <w:widowControl/>
        <w:adjustRightInd w:val="0"/>
        <w:snapToGrid w:val="0"/>
        <w:spacing w:line="360" w:lineRule="auto"/>
        <w:ind w:firstLine="480" w:firstLineChars="200"/>
        <w:rPr>
          <w:rFonts w:hAnsi="宋体"/>
          <w:bCs/>
          <w:sz w:val="24"/>
        </w:rPr>
      </w:pPr>
      <w:r>
        <w:rPr>
          <w:rFonts w:hint="eastAsia" w:hAnsi="宋体"/>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hAnsi="宋体"/>
          <w:bCs/>
          <w:sz w:val="24"/>
        </w:rPr>
        <w:t>“</w:t>
      </w:r>
      <w:r>
        <w:rPr>
          <w:rFonts w:hint="eastAsia" w:hAnsi="宋体"/>
          <w:bCs/>
          <w:sz w:val="24"/>
        </w:rPr>
        <w:t>风险揭示</w:t>
      </w:r>
      <w:r>
        <w:rPr>
          <w:rFonts w:hAnsi="宋体"/>
          <w:bCs/>
          <w:sz w:val="24"/>
        </w:rPr>
        <w:t>”</w:t>
      </w:r>
      <w:r>
        <w:rPr>
          <w:rFonts w:hint="eastAsia" w:hAnsi="宋体"/>
          <w:bCs/>
          <w:sz w:val="24"/>
        </w:rPr>
        <w:t>章节内容。</w:t>
      </w:r>
    </w:p>
    <w:p>
      <w:pPr>
        <w:widowControl/>
        <w:adjustRightInd w:val="0"/>
        <w:snapToGrid w:val="0"/>
        <w:spacing w:line="360" w:lineRule="auto"/>
        <w:ind w:firstLine="480" w:firstLineChars="200"/>
        <w:rPr>
          <w:rFonts w:hAnsi="宋体"/>
          <w:bCs/>
          <w:sz w:val="24"/>
        </w:rPr>
      </w:pPr>
      <w:r>
        <w:rPr>
          <w:rFonts w:hint="eastAsia" w:hAnsi="宋体"/>
          <w:bCs/>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pPr>
        <w:widowControl/>
        <w:adjustRightInd w:val="0"/>
        <w:snapToGrid w:val="0"/>
        <w:spacing w:line="360" w:lineRule="auto"/>
        <w:ind w:firstLine="480" w:firstLineChars="200"/>
        <w:rPr>
          <w:rFonts w:hAnsi="宋体"/>
          <w:bCs/>
          <w:sz w:val="24"/>
        </w:rPr>
      </w:pPr>
      <w:r>
        <w:rPr>
          <w:rFonts w:hint="eastAsia" w:hAnsi="宋体"/>
          <w:bCs/>
          <w:sz w:val="24"/>
        </w:rPr>
        <w:t>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rPr>
          <w:rStyle w:val="31"/>
          <w:rFonts w:ascii="宋体"/>
          <w:b/>
          <w:kern w:val="0"/>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rPr>
          <w:rStyle w:val="31"/>
          <w:rFonts w:ascii="宋体"/>
          <w:b/>
          <w:kern w:val="0"/>
        </w:rPr>
        <w:t>一、绪言</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_Toc48122002 \h </w:instrText>
      </w:r>
      <w:r>
        <w:rPr>
          <w:rStyle w:val="31"/>
          <w:rFonts w:ascii="宋体"/>
          <w:b/>
          <w:kern w:val="0"/>
        </w:rPr>
        <w:fldChar w:fldCharType="separate"/>
      </w:r>
      <w:r>
        <w:rPr>
          <w:rStyle w:val="31"/>
          <w:rFonts w:ascii="宋体"/>
          <w:b/>
          <w:kern w:val="0"/>
        </w:rPr>
        <w:t>6</w:t>
      </w:r>
      <w:r>
        <w:rPr>
          <w:rStyle w:val="31"/>
          <w:rFonts w:ascii="宋体"/>
          <w:b/>
          <w:kern w:val="0"/>
        </w:rPr>
        <w:fldChar w:fldCharType="end"/>
      </w:r>
      <w:r>
        <w:rPr>
          <w:rStyle w:val="31"/>
          <w:rFonts w:ascii="宋体"/>
          <w:b/>
          <w:kern w:val="0"/>
        </w:rPr>
        <w:fldChar w:fldCharType="end"/>
      </w:r>
    </w:p>
    <w:p>
      <w:pPr>
        <w:pStyle w:val="22"/>
        <w:adjustRightInd w:val="0"/>
        <w:snapToGrid w:val="0"/>
        <w:rPr>
          <w:rStyle w:val="31"/>
          <w:rFonts w:ascii="宋体"/>
          <w:b/>
          <w:kern w:val="0"/>
        </w:rPr>
      </w:pPr>
      <w:r>
        <w:fldChar w:fldCharType="begin"/>
      </w:r>
      <w:r>
        <w:instrText xml:space="preserve"> HYPERLINK \l "_Toc48122003" </w:instrText>
      </w:r>
      <w:r>
        <w:fldChar w:fldCharType="separate"/>
      </w:r>
      <w:r>
        <w:rPr>
          <w:rStyle w:val="31"/>
          <w:rFonts w:ascii="宋体"/>
          <w:b/>
          <w:kern w:val="0"/>
        </w:rPr>
        <w:t>二、释义</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_Toc48122003 \h </w:instrText>
      </w:r>
      <w:r>
        <w:rPr>
          <w:rStyle w:val="31"/>
          <w:rFonts w:ascii="宋体"/>
          <w:b/>
          <w:kern w:val="0"/>
        </w:rPr>
        <w:fldChar w:fldCharType="separate"/>
      </w:r>
      <w:r>
        <w:rPr>
          <w:rStyle w:val="31"/>
          <w:rFonts w:ascii="宋体"/>
          <w:b/>
          <w:kern w:val="0"/>
        </w:rPr>
        <w:t>7</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"_Toc48122004" </w:instrText>
      </w:r>
      <w:r>
        <w:fldChar w:fldCharType="separate"/>
      </w:r>
      <w:r>
        <w:rPr>
          <w:rStyle w:val="31"/>
          <w:rFonts w:ascii="宋体"/>
          <w:b/>
          <w:kern w:val="0"/>
        </w:rPr>
        <w:t>三、基金管理人</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_Toc48122004 \h </w:instrText>
      </w:r>
      <w:r>
        <w:rPr>
          <w:rStyle w:val="31"/>
          <w:rFonts w:ascii="宋体"/>
          <w:b/>
          <w:kern w:val="0"/>
        </w:rPr>
        <w:fldChar w:fldCharType="separate"/>
      </w:r>
      <w:r>
        <w:rPr>
          <w:rStyle w:val="31"/>
          <w:rFonts w:ascii="宋体"/>
          <w:b/>
          <w:kern w:val="0"/>
        </w:rPr>
        <w:t>12</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"_Toc48122005" </w:instrText>
      </w:r>
      <w:r>
        <w:fldChar w:fldCharType="separate"/>
      </w:r>
      <w:r>
        <w:rPr>
          <w:rStyle w:val="31"/>
          <w:rFonts w:ascii="宋体"/>
          <w:b/>
          <w:kern w:val="0"/>
        </w:rPr>
        <w:t>四、基金托管人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_Toc48122005 \h </w:instrText>
      </w:r>
      <w:r>
        <w:rPr>
          <w:rStyle w:val="31"/>
          <w:rFonts w:ascii="宋体" w:hAnsi="Times New Roman" w:eastAsia="宋体"/>
          <w:b/>
          <w:kern w:val="0"/>
        </w:rPr>
        <w:fldChar w:fldCharType="separate"/>
      </w:r>
      <w:r>
        <w:rPr>
          <w:rStyle w:val="31"/>
          <w:rFonts w:ascii="宋体" w:hAnsi="Times New Roman" w:eastAsia="宋体"/>
          <w:b/>
          <w:kern w:val="0"/>
        </w:rPr>
        <w:t>20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"_Toc48122006" </w:instrText>
      </w:r>
      <w:r>
        <w:fldChar w:fldCharType="separate"/>
      </w:r>
      <w:r>
        <w:rPr>
          <w:rStyle w:val="31"/>
          <w:rFonts w:ascii="宋体"/>
          <w:b/>
          <w:kern w:val="0"/>
        </w:rPr>
        <w:t>五、相关服务机构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_Toc48122006 \h </w:instrText>
      </w:r>
      <w:r>
        <w:rPr>
          <w:rStyle w:val="31"/>
          <w:rFonts w:ascii="宋体" w:hAnsi="Times New Roman" w:eastAsia="宋体"/>
          <w:b/>
          <w:kern w:val="0"/>
        </w:rPr>
        <w:fldChar w:fldCharType="separate"/>
      </w:r>
      <w:r>
        <w:rPr>
          <w:rStyle w:val="31"/>
          <w:rFonts w:ascii="宋体" w:hAnsi="Times New Roman" w:eastAsia="宋体"/>
          <w:b/>
          <w:kern w:val="0"/>
        </w:rPr>
        <w:t>24</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"_Toc48122007" </w:instrText>
      </w:r>
      <w:r>
        <w:fldChar w:fldCharType="separate"/>
      </w:r>
      <w:r>
        <w:rPr>
          <w:rStyle w:val="31"/>
          <w:rFonts w:ascii="宋体"/>
          <w:b/>
          <w:kern w:val="0"/>
        </w:rPr>
        <w:t>六、基金的募集</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_Toc48122007 \h </w:instrText>
      </w:r>
      <w:r>
        <w:rPr>
          <w:rStyle w:val="31"/>
          <w:rFonts w:ascii="宋体" w:hAnsi="Times New Roman" w:eastAsia="宋体"/>
          <w:b/>
          <w:kern w:val="0"/>
        </w:rPr>
        <w:fldChar w:fldCharType="separate"/>
      </w:r>
      <w:r>
        <w:rPr>
          <w:rStyle w:val="31"/>
          <w:rFonts w:ascii="宋体" w:hAnsi="Times New Roman" w:eastAsia="宋体"/>
          <w:b/>
          <w:kern w:val="0"/>
        </w:rPr>
        <w:t>27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"_Toc48122008" </w:instrText>
      </w:r>
      <w:r>
        <w:fldChar w:fldCharType="separate"/>
      </w:r>
      <w:r>
        <w:rPr>
          <w:rStyle w:val="31"/>
          <w:rFonts w:ascii="宋体"/>
          <w:b/>
          <w:kern w:val="0"/>
        </w:rPr>
        <w:t>七、基金合同的生效</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_Toc48122008 \h </w:instrText>
      </w:r>
      <w:r>
        <w:rPr>
          <w:rStyle w:val="31"/>
          <w:rFonts w:ascii="宋体" w:hAnsi="Times New Roman" w:eastAsia="宋体"/>
          <w:b/>
          <w:kern w:val="0"/>
        </w:rPr>
        <w:fldChar w:fldCharType="separate"/>
      </w:r>
      <w:r>
        <w:rPr>
          <w:rStyle w:val="31"/>
          <w:rFonts w:ascii="宋体" w:hAnsi="Times New Roman" w:eastAsia="宋体"/>
          <w:b/>
          <w:kern w:val="0"/>
        </w:rPr>
        <w:t>33</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"_Toc48122009" </w:instrText>
      </w:r>
      <w:r>
        <w:fldChar w:fldCharType="separate"/>
      </w:r>
      <w:r>
        <w:rPr>
          <w:rStyle w:val="31"/>
          <w:rFonts w:ascii="宋体"/>
          <w:b/>
          <w:kern w:val="0"/>
        </w:rPr>
        <w:t>八、基金份额的申购与赎回</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_Toc48122009 \h </w:instrText>
      </w:r>
      <w:r>
        <w:rPr>
          <w:rStyle w:val="31"/>
          <w:rFonts w:ascii="宋体" w:hAnsi="Times New Roman" w:eastAsia="宋体"/>
          <w:b/>
          <w:kern w:val="0"/>
        </w:rPr>
        <w:fldChar w:fldCharType="separate"/>
      </w:r>
      <w:r>
        <w:rPr>
          <w:rStyle w:val="31"/>
          <w:rFonts w:ascii="宋体" w:hAnsi="Times New Roman" w:eastAsia="宋体"/>
          <w:b/>
          <w:kern w:val="0"/>
        </w:rPr>
        <w:t>34</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"_Toc48122010" </w:instrText>
      </w:r>
      <w:r>
        <w:fldChar w:fldCharType="separate"/>
      </w:r>
      <w:r>
        <w:rPr>
          <w:rStyle w:val="31"/>
          <w:rFonts w:ascii="宋体"/>
          <w:b/>
          <w:kern w:val="0"/>
        </w:rPr>
        <w:t>九、基金的投资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_Toc48122010 \h </w:instrText>
      </w:r>
      <w:r>
        <w:rPr>
          <w:rStyle w:val="31"/>
          <w:rFonts w:ascii="宋体" w:hAnsi="Times New Roman" w:eastAsia="宋体"/>
          <w:b/>
          <w:kern w:val="0"/>
        </w:rPr>
        <w:fldChar w:fldCharType="separate"/>
      </w:r>
      <w:r>
        <w:rPr>
          <w:rStyle w:val="31"/>
          <w:rFonts w:ascii="宋体" w:hAnsi="Times New Roman" w:eastAsia="宋体"/>
          <w:b/>
          <w:kern w:val="0"/>
        </w:rPr>
        <w:t>50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"_Toc48122011" </w:instrText>
      </w:r>
      <w:r>
        <w:fldChar w:fldCharType="separate"/>
      </w:r>
      <w:r>
        <w:rPr>
          <w:rStyle w:val="31"/>
          <w:rFonts w:ascii="宋体"/>
          <w:b/>
          <w:kern w:val="0"/>
        </w:rPr>
        <w:t>十、基金的财产</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_Toc48122011 \h </w:instrText>
      </w:r>
      <w:r>
        <w:rPr>
          <w:rStyle w:val="31"/>
          <w:rFonts w:ascii="宋体" w:hAnsi="Times New Roman" w:eastAsia="宋体"/>
          <w:b/>
          <w:kern w:val="0"/>
        </w:rPr>
        <w:fldChar w:fldCharType="separate"/>
      </w:r>
      <w:r>
        <w:rPr>
          <w:rStyle w:val="31"/>
          <w:rFonts w:ascii="宋体" w:hAnsi="Times New Roman" w:eastAsia="宋体"/>
          <w:b/>
          <w:kern w:val="0"/>
        </w:rPr>
        <w:t>59</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"_Toc48122012" </w:instrText>
      </w:r>
      <w:r>
        <w:fldChar w:fldCharType="separate"/>
      </w:r>
      <w:r>
        <w:rPr>
          <w:rStyle w:val="31"/>
          <w:rFonts w:ascii="宋体"/>
          <w:b/>
          <w:kern w:val="0"/>
        </w:rPr>
        <w:t>十一、基金资产的估值</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_Toc48122012 \h </w:instrText>
      </w:r>
      <w:r>
        <w:rPr>
          <w:rStyle w:val="31"/>
          <w:rFonts w:ascii="宋体" w:hAnsi="Times New Roman" w:eastAsia="宋体"/>
          <w:b/>
          <w:kern w:val="0"/>
        </w:rPr>
        <w:fldChar w:fldCharType="separate"/>
      </w:r>
      <w:r>
        <w:rPr>
          <w:rStyle w:val="31"/>
          <w:rFonts w:ascii="宋体" w:hAnsi="Times New Roman" w:eastAsia="宋体"/>
          <w:b/>
          <w:kern w:val="0"/>
        </w:rPr>
        <w:t>60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"_Toc48122013" </w:instrText>
      </w:r>
      <w:r>
        <w:fldChar w:fldCharType="separate"/>
      </w:r>
      <w:r>
        <w:rPr>
          <w:rStyle w:val="31"/>
          <w:rFonts w:ascii="宋体"/>
          <w:b/>
          <w:kern w:val="0"/>
        </w:rPr>
        <w:t>十二、基金收益与分配</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_Toc48122013 \h </w:instrText>
      </w:r>
      <w:r>
        <w:rPr>
          <w:rStyle w:val="31"/>
          <w:rFonts w:ascii="宋体" w:hAnsi="Times New Roman" w:eastAsia="宋体"/>
          <w:b/>
          <w:kern w:val="0"/>
        </w:rPr>
        <w:fldChar w:fldCharType="separate"/>
      </w:r>
      <w:r>
        <w:rPr>
          <w:rStyle w:val="31"/>
          <w:rFonts w:ascii="宋体" w:hAnsi="Times New Roman" w:eastAsia="宋体"/>
          <w:b/>
          <w:kern w:val="0"/>
        </w:rPr>
        <w:t>67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"_Toc48122014" </w:instrText>
      </w:r>
      <w:r>
        <w:fldChar w:fldCharType="separate"/>
      </w:r>
      <w:r>
        <w:rPr>
          <w:rStyle w:val="31"/>
          <w:rFonts w:ascii="宋体"/>
          <w:b/>
          <w:kern w:val="0"/>
        </w:rPr>
        <w:t>十三、基金的费用与税收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_Toc48122014 \h </w:instrText>
      </w:r>
      <w:r>
        <w:rPr>
          <w:rStyle w:val="31"/>
          <w:rFonts w:ascii="宋体" w:hAnsi="Times New Roman" w:eastAsia="宋体"/>
          <w:b/>
          <w:kern w:val="0"/>
        </w:rPr>
        <w:fldChar w:fldCharType="separate"/>
      </w:r>
      <w:r>
        <w:rPr>
          <w:rStyle w:val="31"/>
          <w:rFonts w:ascii="宋体" w:hAnsi="Times New Roman" w:eastAsia="宋体"/>
          <w:b/>
          <w:kern w:val="0"/>
        </w:rPr>
        <w:t>69</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"_Toc48122015" </w:instrText>
      </w:r>
      <w:r>
        <w:fldChar w:fldCharType="separate"/>
      </w:r>
      <w:r>
        <w:rPr>
          <w:rStyle w:val="31"/>
          <w:rFonts w:ascii="宋体"/>
          <w:b/>
          <w:kern w:val="0"/>
        </w:rPr>
        <w:t>十四、基金的会计与审计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_Toc48122015 \h </w:instrText>
      </w:r>
      <w:r>
        <w:rPr>
          <w:rStyle w:val="31"/>
          <w:rFonts w:ascii="宋体" w:hAnsi="Times New Roman" w:eastAsia="宋体"/>
          <w:b/>
          <w:kern w:val="0"/>
        </w:rPr>
        <w:fldChar w:fldCharType="separate"/>
      </w:r>
      <w:r>
        <w:rPr>
          <w:rStyle w:val="31"/>
          <w:rFonts w:ascii="宋体" w:hAnsi="Times New Roman" w:eastAsia="宋体"/>
          <w:b/>
          <w:kern w:val="0"/>
        </w:rPr>
        <w:t>75</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"_Toc48122016" </w:instrText>
      </w:r>
      <w:r>
        <w:fldChar w:fldCharType="separate"/>
      </w:r>
      <w:r>
        <w:rPr>
          <w:rStyle w:val="31"/>
          <w:rFonts w:ascii="宋体"/>
          <w:b/>
          <w:kern w:val="0"/>
        </w:rPr>
        <w:t>十五、基金的信息披露</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_Toc48122016 \h </w:instrText>
      </w:r>
      <w:r>
        <w:rPr>
          <w:rStyle w:val="31"/>
          <w:rFonts w:ascii="宋体" w:hAnsi="Times New Roman" w:eastAsia="宋体"/>
          <w:b/>
          <w:kern w:val="0"/>
        </w:rPr>
        <w:fldChar w:fldCharType="separate"/>
      </w:r>
      <w:r>
        <w:rPr>
          <w:rStyle w:val="31"/>
          <w:rFonts w:ascii="宋体" w:hAnsi="Times New Roman" w:eastAsia="宋体"/>
          <w:b/>
          <w:kern w:val="0"/>
        </w:rPr>
        <w:t>76</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"_Toc48122017" </w:instrText>
      </w:r>
      <w:r>
        <w:fldChar w:fldCharType="separate"/>
      </w:r>
      <w:r>
        <w:rPr>
          <w:rStyle w:val="31"/>
          <w:rFonts w:ascii="宋体"/>
          <w:b/>
          <w:kern w:val="0"/>
        </w:rPr>
        <w:t>十六、侧袋机制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_Toc48122017 \h </w:instrText>
      </w:r>
      <w:r>
        <w:rPr>
          <w:rStyle w:val="31"/>
          <w:rFonts w:ascii="宋体" w:hAnsi="Times New Roman" w:eastAsia="宋体"/>
          <w:b/>
          <w:kern w:val="0"/>
        </w:rPr>
        <w:fldChar w:fldCharType="separate"/>
      </w:r>
      <w:r>
        <w:rPr>
          <w:rStyle w:val="31"/>
          <w:rFonts w:ascii="宋体" w:hAnsi="Times New Roman" w:eastAsia="宋体"/>
          <w:b/>
          <w:kern w:val="0"/>
        </w:rPr>
        <w:t>83</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"_Toc48122018" </w:instrText>
      </w:r>
      <w:r>
        <w:fldChar w:fldCharType="separate"/>
      </w:r>
      <w:r>
        <w:rPr>
          <w:rStyle w:val="31"/>
          <w:rFonts w:ascii="宋体"/>
          <w:b/>
          <w:kern w:val="0"/>
        </w:rPr>
        <w:t>十七、风险揭示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_Toc48122018 \h </w:instrText>
      </w:r>
      <w:r>
        <w:rPr>
          <w:rStyle w:val="31"/>
          <w:rFonts w:ascii="宋体" w:hAnsi="Times New Roman" w:eastAsia="宋体"/>
          <w:b/>
          <w:kern w:val="0"/>
        </w:rPr>
        <w:fldChar w:fldCharType="separate"/>
      </w:r>
      <w:r>
        <w:rPr>
          <w:rStyle w:val="31"/>
          <w:rFonts w:ascii="宋体" w:hAnsi="Times New Roman" w:eastAsia="宋体"/>
          <w:b/>
          <w:kern w:val="0"/>
        </w:rPr>
        <w:t>86</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"_Toc48122019" </w:instrText>
      </w:r>
      <w:r>
        <w:fldChar w:fldCharType="separate"/>
      </w:r>
      <w:r>
        <w:rPr>
          <w:rStyle w:val="31"/>
          <w:b/>
          <w:kern w:val="0"/>
        </w:rPr>
        <w:t>十八、基金合同的变更、终止与基金财产的清算</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_Toc48122019 \h </w:instrText>
      </w:r>
      <w:r>
        <w:rPr>
          <w:rStyle w:val="31"/>
          <w:rFonts w:ascii="宋体" w:hAnsi="Times New Roman" w:eastAsia="宋体"/>
          <w:b/>
          <w:kern w:val="0"/>
        </w:rPr>
        <w:fldChar w:fldCharType="separate"/>
      </w:r>
      <w:r>
        <w:rPr>
          <w:rStyle w:val="31"/>
          <w:rFonts w:ascii="宋体" w:hAnsi="Times New Roman" w:eastAsia="宋体"/>
          <w:b/>
          <w:kern w:val="0"/>
        </w:rPr>
        <w:t>97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"_Toc48122020" </w:instrText>
      </w:r>
      <w:r>
        <w:fldChar w:fldCharType="separate"/>
      </w:r>
      <w:r>
        <w:rPr>
          <w:rStyle w:val="31"/>
          <w:rFonts w:ascii="宋体"/>
          <w:b/>
          <w:kern w:val="0"/>
        </w:rPr>
        <w:t>十九、基金合同内容摘要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_Toc48122020 \h </w:instrText>
      </w:r>
      <w:r>
        <w:rPr>
          <w:rStyle w:val="31"/>
          <w:rFonts w:ascii="宋体" w:hAnsi="Times New Roman" w:eastAsia="宋体"/>
          <w:b/>
          <w:kern w:val="0"/>
        </w:rPr>
        <w:fldChar w:fldCharType="separate"/>
      </w:r>
      <w:r>
        <w:rPr>
          <w:rStyle w:val="31"/>
          <w:rFonts w:ascii="宋体" w:hAnsi="Times New Roman" w:eastAsia="宋体"/>
          <w:b/>
          <w:kern w:val="0"/>
        </w:rPr>
        <w:t>99</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"_Toc48122021" </w:instrText>
      </w:r>
      <w:r>
        <w:fldChar w:fldCharType="separate"/>
      </w:r>
      <w:r>
        <w:rPr>
          <w:rStyle w:val="31"/>
          <w:rFonts w:ascii="宋体"/>
          <w:b/>
          <w:kern w:val="0"/>
        </w:rPr>
        <w:t>二十、托管协议的内容摘要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_Toc48122021 \h </w:instrText>
      </w:r>
      <w:r>
        <w:rPr>
          <w:rStyle w:val="31"/>
          <w:rFonts w:ascii="宋体" w:hAnsi="Times New Roman" w:eastAsia="宋体"/>
          <w:b/>
          <w:kern w:val="0"/>
        </w:rPr>
        <w:fldChar w:fldCharType="separate"/>
      </w:r>
      <w:r>
        <w:rPr>
          <w:rStyle w:val="31"/>
          <w:rFonts w:ascii="宋体" w:hAnsi="Times New Roman" w:eastAsia="宋体"/>
          <w:b/>
          <w:kern w:val="0"/>
        </w:rPr>
        <w:t>117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"_Toc48122022" </w:instrText>
      </w:r>
      <w:r>
        <w:fldChar w:fldCharType="separate"/>
      </w:r>
      <w:r>
        <w:rPr>
          <w:rStyle w:val="31"/>
          <w:rFonts w:ascii="宋体"/>
          <w:b/>
          <w:kern w:val="0"/>
        </w:rPr>
        <w:t>二十一、对基金份额持有人的服务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_Toc48122022 \h </w:instrText>
      </w:r>
      <w:r>
        <w:rPr>
          <w:rStyle w:val="31"/>
          <w:rFonts w:ascii="宋体" w:hAnsi="Times New Roman" w:eastAsia="宋体"/>
          <w:b/>
          <w:kern w:val="0"/>
        </w:rPr>
        <w:fldChar w:fldCharType="separate"/>
      </w:r>
      <w:r>
        <w:rPr>
          <w:rStyle w:val="31"/>
          <w:rFonts w:ascii="宋体" w:hAnsi="Times New Roman" w:eastAsia="宋体"/>
          <w:b/>
          <w:kern w:val="0"/>
        </w:rPr>
        <w:t>137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"_Toc48122023" </w:instrText>
      </w:r>
      <w:r>
        <w:fldChar w:fldCharType="separate"/>
      </w:r>
      <w:r>
        <w:rPr>
          <w:rStyle w:val="31"/>
          <w:rFonts w:ascii="宋体"/>
          <w:b/>
          <w:kern w:val="0"/>
        </w:rPr>
        <w:t>二十二、其他应披露事项</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_Toc48122023 \h </w:instrText>
      </w:r>
      <w:r>
        <w:rPr>
          <w:rStyle w:val="31"/>
          <w:rFonts w:ascii="宋体" w:hAnsi="Times New Roman" w:eastAsia="宋体"/>
          <w:b/>
          <w:kern w:val="0"/>
        </w:rPr>
        <w:fldChar w:fldCharType="separate"/>
      </w:r>
      <w:r>
        <w:rPr>
          <w:rStyle w:val="31"/>
          <w:rFonts w:ascii="宋体" w:hAnsi="Times New Roman" w:eastAsia="宋体"/>
          <w:b/>
          <w:kern w:val="0"/>
        </w:rPr>
        <w:t>139</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"_Toc48122024" </w:instrText>
      </w:r>
      <w:r>
        <w:fldChar w:fldCharType="separate"/>
      </w:r>
      <w:r>
        <w:rPr>
          <w:rStyle w:val="31"/>
          <w:rFonts w:ascii="宋体"/>
          <w:b/>
          <w:kern w:val="0"/>
        </w:rPr>
        <w:t>二十三、招募说明书的存放及查阅方式</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_Toc48122024 \h </w:instrText>
      </w:r>
      <w:r>
        <w:rPr>
          <w:rStyle w:val="31"/>
          <w:rFonts w:ascii="宋体" w:hAnsi="Times New Roman" w:eastAsia="宋体"/>
          <w:b/>
          <w:kern w:val="0"/>
        </w:rPr>
        <w:fldChar w:fldCharType="separate"/>
      </w:r>
      <w:r>
        <w:rPr>
          <w:rStyle w:val="31"/>
          <w:rFonts w:ascii="宋体" w:hAnsi="Times New Roman" w:eastAsia="宋体"/>
          <w:b/>
          <w:kern w:val="0"/>
        </w:rPr>
        <w:t>140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"_Toc48122025" </w:instrText>
      </w:r>
      <w:r>
        <w:fldChar w:fldCharType="separate"/>
      </w:r>
      <w:r>
        <w:rPr>
          <w:rStyle w:val="31"/>
          <w:rFonts w:ascii="宋体"/>
          <w:b/>
          <w:kern w:val="0"/>
        </w:rPr>
        <w:t>二十四、备查文件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_Toc48122025 \h </w:instrText>
      </w:r>
      <w:r>
        <w:rPr>
          <w:rStyle w:val="31"/>
          <w:rFonts w:ascii="宋体" w:hAnsi="Times New Roman" w:eastAsia="宋体"/>
          <w:b/>
          <w:kern w:val="0"/>
        </w:rPr>
        <w:fldChar w:fldCharType="separate"/>
      </w:r>
      <w:r>
        <w:rPr>
          <w:rStyle w:val="31"/>
          <w:rFonts w:ascii="宋体" w:hAnsi="Times New Roman" w:eastAsia="宋体"/>
          <w:b/>
          <w:kern w:val="0"/>
        </w:rPr>
        <w:t>141</w:t>
      </w:r>
      <w:r>
        <w:rPr>
          <w:rStyle w:val="31"/>
          <w:rFonts w:ascii="宋体" w:hAnsi="Times New Roman" w:eastAsia="宋体"/>
          <w:b/>
          <w:kern w:val="0"/>
        </w:rPr>
        <w:fldChar w:fldCharType="end"/>
      </w:r>
      <w:r>
        <w:rPr>
          <w:rStyle w:val="31"/>
          <w:rFonts w:ascii="宋体" w:hAnsi="Times New Roman" w:eastAsia="宋体"/>
          <w:b/>
          <w:kern w:val="0"/>
        </w:rP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kern w:val="0"/>
          <w:sz w:val="24"/>
        </w:rPr>
        <w:t>瑞安</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瑞安</w:t>
      </w:r>
      <w:r>
        <w:rPr>
          <w:rFonts w:ascii="宋体" w:hAnsi="宋体"/>
          <w:kern w:val="0"/>
          <w:sz w:val="24"/>
        </w:rPr>
        <w:t>混合型证券投资基金基金合同》（以下简称“基金合同”</w:t>
      </w:r>
      <w:r>
        <w:rPr>
          <w:rFonts w:hint="eastAsia" w:ascii="宋体" w:hAnsi="宋体"/>
          <w:kern w:val="0"/>
          <w:sz w:val="24"/>
        </w:rPr>
        <w:t>或“《基金合同》”</w:t>
      </w:r>
      <w:r>
        <w:rPr>
          <w:rFonts w:ascii="宋体" w:hAnsi="宋体"/>
          <w:kern w:val="0"/>
          <w:sz w:val="24"/>
        </w:rPr>
        <w:t>）</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1、基金或本基金：指交银施罗德瑞安混合型证券投资基金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3、基金托管人：指上海浦东发展银行股份有限公司</w:t>
      </w:r>
    </w:p>
    <w:p>
      <w:pPr>
        <w:adjustRightInd w:val="0"/>
        <w:snapToGrid w:val="0"/>
        <w:spacing w:line="360" w:lineRule="auto"/>
        <w:ind w:firstLine="480" w:firstLineChars="200"/>
        <w:rPr>
          <w:bCs/>
          <w:sz w:val="24"/>
        </w:rPr>
      </w:pPr>
      <w:r>
        <w:rPr>
          <w:rFonts w:hint="eastAsia"/>
          <w:bCs/>
          <w:sz w:val="24"/>
        </w:rPr>
        <w:t>4、基金合同、《基金合同》：指《交银施罗德瑞安混合型证券投资基金基金合同》及对基金合同的任何有效修订和补充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5、托管协议：指基金管理人与基金托管人就本基金签订之《交银施罗德瑞安混合型证券投资基金托管协议》及对该托管协议的任何有效修订和补充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6、招募说明书或本招募说明书：指《交银施罗德瑞安混合型证券投资基金招募说明书》及其更新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7、基金产品资料概要：指《交银施罗德瑞安混合型证券投资基金基金产品资料概要》及其更新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8、基金份额发售公告：指《交银施罗德瑞安混合型证券投资基金基金份额发售公告》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w:t>
      </w:r>
      <w:r>
        <w:rPr>
          <w:bCs/>
          <w:sz w:val="24"/>
        </w:rPr>
        <w:t>公开募集证券投资基金销售机构监督管理办法</w:t>
      </w:r>
      <w:r>
        <w:rPr>
          <w:rFonts w:hint="eastAsia"/>
          <w:bCs/>
          <w:sz w:val="24"/>
        </w:rPr>
        <w:t>》及颁布机关对其不时做出的修订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、银行业监督管理机构：指中国人民银行和/或国家金融监督管理总局</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、合格境外投资者</w:t>
      </w:r>
      <w:r>
        <w:rPr>
          <w:bCs/>
          <w:sz w:val="24"/>
        </w:rPr>
        <w:t>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rFonts w:hint="eastAsia"/>
          <w:bCs/>
          <w:sz w:val="24"/>
        </w:rPr>
        <w:t>2</w:t>
      </w:r>
      <w:r>
        <w:rPr>
          <w:bCs/>
          <w:sz w:val="24"/>
        </w:rPr>
        <w:t>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rFonts w:hint="eastAsia"/>
          <w:bCs/>
          <w:sz w:val="24"/>
        </w:rPr>
        <w:t>2</w:t>
      </w:r>
      <w:r>
        <w:rPr>
          <w:bCs/>
          <w:sz w:val="24"/>
        </w:rPr>
        <w:t>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、基金募集期：指自基金份额发售之日起至发售结束之日止的期间，最长不得超过3个月</w:t>
      </w:r>
    </w:p>
    <w:p>
      <w:pPr>
        <w:adjustRightInd w:val="0"/>
        <w:snapToGrid w:val="0"/>
        <w:spacing w:line="360" w:lineRule="auto"/>
        <w:ind w:firstLine="480" w:firstLineChars="200"/>
        <w:rPr>
          <w:bCs/>
          <w:sz w:val="24"/>
        </w:rPr>
      </w:pPr>
      <w:r>
        <w:rPr>
          <w:rFonts w:hint="eastAsia"/>
          <w:bCs/>
          <w:sz w:val="24"/>
        </w:rPr>
        <w:t>3</w:t>
      </w:r>
      <w:r>
        <w:rPr>
          <w:bCs/>
          <w:sz w:val="24"/>
        </w:rPr>
        <w:t>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rFonts w:hint="eastAsia"/>
          <w:bCs/>
          <w:sz w:val="24"/>
        </w:rPr>
        <w:t>3</w:t>
      </w:r>
      <w:r>
        <w:rPr>
          <w:bCs/>
          <w:sz w:val="24"/>
        </w:rPr>
        <w:t>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rFonts w:hint="eastAsia"/>
          <w:bCs/>
          <w:sz w:val="24"/>
        </w:rPr>
        <w:t>3</w:t>
      </w:r>
      <w:r>
        <w:rPr>
          <w:bCs/>
          <w:sz w:val="24"/>
        </w:rPr>
        <w:t>4</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rFonts w:hint="eastAsia"/>
          <w:bCs/>
          <w:sz w:val="24"/>
        </w:rPr>
        <w:t>3</w:t>
      </w:r>
      <w:r>
        <w:rPr>
          <w:bCs/>
          <w:sz w:val="24"/>
        </w:rPr>
        <w:t>5</w:t>
      </w:r>
      <w:r>
        <w:rPr>
          <w:rFonts w:hint="eastAsia"/>
          <w:bCs/>
          <w:sz w:val="24"/>
        </w:rPr>
        <w:t>、T+n日：指自T日起第n个工作日（不包含T日）</w:t>
      </w:r>
    </w:p>
    <w:p>
      <w:pPr>
        <w:adjustRightInd w:val="0"/>
        <w:snapToGrid w:val="0"/>
        <w:spacing w:line="360" w:lineRule="auto"/>
        <w:ind w:firstLine="480" w:firstLineChars="200"/>
        <w:rPr>
          <w:bCs/>
          <w:sz w:val="24"/>
        </w:rPr>
      </w:pPr>
      <w:r>
        <w:rPr>
          <w:bCs/>
          <w:sz w:val="24"/>
        </w:rPr>
        <w:t>3</w:t>
      </w:r>
      <w:r>
        <w:rPr>
          <w:rFonts w:hint="eastAsia"/>
          <w:bCs/>
          <w:sz w:val="24"/>
        </w:rPr>
        <w:t>6、开放日：指为投资人办理基金份额申购、赎回或其他业务的工作日（若该工作日为非港股通交易日，则本基金可不开放）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bCs/>
          <w:sz w:val="24"/>
        </w:rPr>
        <w:t>3</w:t>
      </w:r>
      <w:r>
        <w:rPr>
          <w:rFonts w:hint="eastAsia"/>
          <w:bCs/>
          <w:sz w:val="24"/>
        </w:rPr>
        <w:t>7、开放时间：指开放日基金接受申购、赎回或其他交易的时间段</w:t>
      </w:r>
    </w:p>
    <w:p>
      <w:pPr>
        <w:adjustRightInd w:val="0"/>
        <w:snapToGrid w:val="0"/>
        <w:spacing w:line="360" w:lineRule="auto"/>
        <w:ind w:firstLine="480" w:firstLineChars="200"/>
        <w:rPr>
          <w:bCs/>
          <w:sz w:val="24"/>
        </w:rPr>
      </w:pPr>
      <w:r>
        <w:rPr>
          <w:rFonts w:hint="eastAsia"/>
          <w:bCs/>
          <w:sz w:val="24"/>
        </w:rPr>
        <w:t>38、《业务规则》：指《交银施罗德基金管理有限公司开放式基金业务规则》，是规范基金管理人所管理的开放式证券投资基金登记方面的业务规则，由基金管理人和投资人共同遵守</w:t>
      </w:r>
    </w:p>
    <w:p>
      <w:pPr>
        <w:adjustRightInd w:val="0"/>
        <w:snapToGrid w:val="0"/>
        <w:spacing w:line="360" w:lineRule="auto"/>
        <w:ind w:firstLine="480" w:firstLineChars="200"/>
        <w:rPr>
          <w:bCs/>
          <w:sz w:val="24"/>
        </w:rPr>
      </w:pPr>
      <w:r>
        <w:rPr>
          <w:rFonts w:hint="eastAsia"/>
          <w:bCs/>
          <w:sz w:val="24"/>
        </w:rPr>
        <w:t>39、认购：指在基金募集期内，投资人根据基金合同和招募说明书的规定申请购买基金份额的行为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w:t>
      </w:r>
      <w:r>
        <w:rPr>
          <w:rFonts w:hint="eastAsia"/>
          <w:bCs/>
          <w:sz w:val="24"/>
        </w:rPr>
        <w:t>0、申购：指基金合同生效后，投资人根据基金合同和招募说明书的规定申请购买基金份额的行为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w:t>
      </w:r>
      <w:r>
        <w:rPr>
          <w:rFonts w:hint="eastAsia"/>
          <w:bCs/>
          <w:sz w:val="24"/>
        </w:rPr>
        <w:t>1、赎回：指基金合同生效后，基金份额持有人按基金合同和招募说明书规定的条件要求将基金份额兑换为现金的行为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w:t>
      </w:r>
      <w:r>
        <w:rPr>
          <w:rFonts w:hint="eastAsia"/>
          <w:bCs/>
          <w:sz w:val="24"/>
        </w:rPr>
        <w:t>2、基金转换：指基金份额持有人按照基金合同和基金管理人届时有效公告规定的条件，申请将其持有基金管理人管理的、某一基金的基金份额转换为基金管理人管理的其他基金基金份额的行为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w:t>
      </w:r>
      <w:r>
        <w:rPr>
          <w:rFonts w:hint="eastAsia"/>
          <w:bCs/>
          <w:sz w:val="24"/>
        </w:rPr>
        <w:t>3、转托管：指基金份额持有人在本基金的不同销售机构之间实施的变更所持基金份额销售机构的操作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w:t>
      </w:r>
      <w:r>
        <w:rPr>
          <w:rFonts w:hint="eastAsia"/>
          <w:bCs/>
          <w:sz w:val="24"/>
        </w:rPr>
        <w:t>4、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w:t>
      </w:r>
      <w:r>
        <w:rPr>
          <w:rFonts w:hint="eastAsia"/>
          <w:bCs/>
          <w:sz w:val="24"/>
        </w:rPr>
        <w:t>5、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w:t>
      </w:r>
      <w:r>
        <w:rPr>
          <w:rFonts w:hint="eastAsia"/>
          <w:bCs/>
          <w:sz w:val="24"/>
        </w:rPr>
        <w:t>6、元：指人民币元</w:t>
      </w:r>
    </w:p>
    <w:p>
      <w:pPr>
        <w:adjustRightInd w:val="0"/>
        <w:snapToGrid w:val="0"/>
        <w:spacing w:line="360" w:lineRule="auto"/>
        <w:ind w:firstLine="480" w:firstLineChars="200"/>
        <w:rPr>
          <w:bCs/>
          <w:sz w:val="24"/>
        </w:rPr>
      </w:pPr>
      <w:r>
        <w:rPr>
          <w:bCs/>
          <w:sz w:val="24"/>
        </w:rPr>
        <w:t>4</w:t>
      </w:r>
      <w:r>
        <w:rPr>
          <w:rFonts w:hint="eastAsia"/>
          <w:bCs/>
          <w:sz w:val="24"/>
        </w:rPr>
        <w:t>7、基金收益：指基金投资所得红利、股息、债券利息、买卖证券价差、银行存款利息、已实现的其他合法收入及因运用基金财产带来的成本和费用的节约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rFonts w:hint="eastAsia"/>
          <w:bCs/>
          <w:sz w:val="24"/>
        </w:rPr>
        <w:t>48、基金资产总值：指基金拥有的各类有价证券、股指期货合约、银行存款本息、基金应收款项及其他资产的价值总和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rFonts w:hint="eastAsia"/>
          <w:bCs/>
          <w:sz w:val="24"/>
        </w:rPr>
        <w:t>49、基金资产净值：指基金资产总值减去基金负债后的价值</w:t>
      </w:r>
    </w:p>
    <w:p>
      <w:pPr>
        <w:adjustRightInd w:val="0"/>
        <w:snapToGrid w:val="0"/>
        <w:spacing w:line="360" w:lineRule="auto"/>
        <w:ind w:firstLine="480" w:firstLineChars="200"/>
        <w:rPr>
          <w:bCs/>
          <w:sz w:val="24"/>
        </w:rPr>
      </w:pPr>
      <w:r>
        <w:rPr>
          <w:rFonts w:hint="eastAsia"/>
          <w:bCs/>
          <w:sz w:val="24"/>
        </w:rPr>
        <w:t>50、基金份额净值：指计算日基金资产净值除以计算日基金份额总数</w:t>
      </w:r>
    </w:p>
    <w:p>
      <w:pPr>
        <w:adjustRightInd w:val="0"/>
        <w:snapToGrid w:val="0"/>
        <w:spacing w:line="360" w:lineRule="auto"/>
        <w:ind w:firstLine="480" w:firstLineChars="200"/>
        <w:rPr>
          <w:bCs/>
          <w:sz w:val="24"/>
        </w:rPr>
      </w:pPr>
      <w:r>
        <w:rPr>
          <w:bCs/>
          <w:sz w:val="24"/>
        </w:rPr>
        <w:t>5</w:t>
      </w:r>
      <w:r>
        <w:rPr>
          <w:rFonts w:hint="eastAsia"/>
          <w:bCs/>
          <w:sz w:val="24"/>
        </w:rPr>
        <w:t>1、基金资产估值：指计算评估基金资产和负债的价值，以确定基金资产净值和基金份额净值的过程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w:t>
      </w:r>
      <w:r>
        <w:rPr>
          <w:rFonts w:hint="eastAsia"/>
          <w:bCs/>
          <w:sz w:val="24"/>
        </w:rPr>
        <w:t>2、港股通标的股票：指内地投资者委托内地证券公司，经由内地证券交易所在香港设立的证券交易服务公司，向香港联合交易所进行申报，买卖规定范围内的香港联合交易所上市的股票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w:t>
      </w:r>
      <w:r>
        <w:rPr>
          <w:rFonts w:hint="eastAsia"/>
          <w:bCs/>
          <w:sz w:val="24"/>
        </w:rPr>
        <w:t>3、销售服务费：指从基金财产中计提的，用于本基金市场推广、销售以及基金份额持有人服务的费用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bCs/>
          <w:sz w:val="24"/>
        </w:rPr>
        <w:t>5</w:t>
      </w:r>
      <w:r>
        <w:rPr>
          <w:rFonts w:hint="eastAsia"/>
          <w:bCs/>
          <w:sz w:val="24"/>
        </w:rPr>
        <w:t>4、A类基金份额：指在投资人认购/申购时收取认购/申购费用、不从本类别基金资产中计提销售服务费的基金份额</w:t>
      </w:r>
    </w:p>
    <w:p>
      <w:pPr>
        <w:adjustRightInd w:val="0"/>
        <w:snapToGrid w:val="0"/>
        <w:spacing w:line="360" w:lineRule="auto"/>
        <w:ind w:firstLine="480" w:firstLineChars="200"/>
        <w:rPr>
          <w:bCs/>
          <w:sz w:val="24"/>
        </w:rPr>
      </w:pPr>
      <w:r>
        <w:rPr>
          <w:bCs/>
          <w:sz w:val="24"/>
        </w:rPr>
        <w:t>5</w:t>
      </w:r>
      <w:r>
        <w:rPr>
          <w:rFonts w:hint="eastAsia"/>
          <w:bCs/>
          <w:sz w:val="24"/>
        </w:rPr>
        <w:t>5、C类基金份额：指在投资人认购/申购时不收取认购/申购费用、从本类别基金资产中计提销售服务费的基金份额</w:t>
      </w:r>
    </w:p>
    <w:p>
      <w:pPr>
        <w:adjustRightInd w:val="0"/>
        <w:snapToGrid w:val="0"/>
        <w:spacing w:line="360" w:lineRule="auto"/>
        <w:ind w:firstLine="480" w:firstLineChars="200"/>
        <w:rPr>
          <w:bCs/>
          <w:sz w:val="24"/>
        </w:rPr>
      </w:pPr>
      <w:r>
        <w:rPr>
          <w:bCs/>
          <w:sz w:val="24"/>
        </w:rPr>
        <w:t>5</w:t>
      </w:r>
      <w:r>
        <w:rPr>
          <w:rFonts w:hint="eastAsia"/>
          <w:bCs/>
          <w:sz w:val="24"/>
        </w:rPr>
        <w:t>6、规定媒介：指符合中国证监会规定条件的用以进行信息披露的全国性报刊及《信息披露办法》规定的互联网网站（包括基金管理人网站、基金托管人网站、中国证监会基金电子披露网站）等媒介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w:t>
      </w:r>
      <w:r>
        <w:rPr>
          <w:rFonts w:hint="eastAsia"/>
          <w:bCs/>
          <w:sz w:val="24"/>
        </w:rPr>
        <w:t>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rFonts w:hint="eastAsia"/>
          <w:bCs/>
          <w:sz w:val="24"/>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rFonts w:hint="eastAsia"/>
          <w:bCs/>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bCs/>
          <w:sz w:val="24"/>
        </w:rPr>
      </w:pPr>
      <w:r>
        <w:rPr>
          <w:bCs/>
          <w:sz w:val="24"/>
        </w:rPr>
        <w:t>6</w:t>
      </w:r>
      <w:r>
        <w:rPr>
          <w:rFonts w:hint="eastAsia"/>
          <w:bCs/>
          <w:sz w:val="24"/>
        </w:rPr>
        <w:t>1、不可抗力：指基金合同当事人不能预见、不能避免且不能克服的客观事件</w:t>
      </w:r>
      <w:bookmarkEnd w:id="4"/>
    </w:p>
    <w:p>
      <w:pPr>
        <w:rPr>
          <w:bCs/>
          <w:sz w:val="24"/>
        </w:rPr>
      </w:pPr>
      <w:r>
        <w:rPr>
          <w:rFonts w:hint="eastAsia"/>
          <w:bCs/>
          <w:sz w:val="24"/>
        </w:rPr>
        <w:br w:type="page"/>
      </w:r>
    </w:p>
    <w:p>
      <w:pPr>
        <w:spacing w:line="360" w:lineRule="auto"/>
        <w:jc w:val="center"/>
        <w:outlineLvl w:val="0"/>
        <w:rPr>
          <w:rFonts w:ascii="宋体" w:hAnsi="宋体"/>
          <w:b/>
          <w:kern w:val="0"/>
          <w:sz w:val="30"/>
        </w:rPr>
      </w:pPr>
      <w:bookmarkStart w:id="5" w:name="_Hlt80961854"/>
      <w:bookmarkEnd w:id="5"/>
      <w:bookmarkStart w:id="6" w:name="_Hlt81034163"/>
      <w:bookmarkEnd w:id="6"/>
      <w:bookmarkStart w:id="7" w:name="_Toc109537381"/>
      <w:bookmarkStart w:id="8" w:name="_Toc48122004"/>
      <w:r>
        <w:rPr>
          <w:rFonts w:hint="eastAsia" w:ascii="宋体" w:hAnsi="宋体"/>
          <w:b/>
          <w:kern w:val="0"/>
          <w:sz w:val="30"/>
        </w:rPr>
        <w:t>三、基金管理人</w:t>
      </w:r>
      <w:bookmarkEnd w:id="7"/>
      <w:bookmarkEnd w:id="8"/>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张宏良</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sz w:val="24"/>
        </w:rPr>
        <w:t>何佳妮</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rPr>
          <w:bCs/>
          <w:sz w:val="24"/>
        </w:rPr>
      </w:pPr>
      <w:r>
        <w:rPr>
          <w:bCs/>
          <w:sz w:val="24"/>
        </w:rPr>
        <w:t>1</w:t>
      </w:r>
      <w:r>
        <w:rPr>
          <w:rFonts w:hint="eastAsia"/>
          <w:bCs/>
          <w:sz w:val="24"/>
        </w:rPr>
        <w:t>、基金管理人董事会成员</w:t>
      </w:r>
    </w:p>
    <w:p>
      <w:pPr>
        <w:widowControl/>
        <w:adjustRightInd w:val="0"/>
        <w:snapToGrid w:val="0"/>
        <w:spacing w:line="360" w:lineRule="auto"/>
        <w:ind w:firstLine="480" w:firstLineChars="200"/>
        <w:rPr>
          <w:bCs/>
          <w:sz w:val="24"/>
        </w:rPr>
      </w:pPr>
      <w:r>
        <w:rPr>
          <w:rFonts w:hint="eastAsia"/>
          <w:bCs/>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widowControl/>
        <w:adjustRightInd w:val="0"/>
        <w:snapToGrid w:val="0"/>
        <w:spacing w:line="360" w:lineRule="auto"/>
        <w:ind w:firstLine="480" w:firstLineChars="200"/>
        <w:rPr>
          <w:bCs/>
          <w:sz w:val="24"/>
        </w:rPr>
      </w:pPr>
      <w:r>
        <w:rPr>
          <w:rFonts w:hint="eastAsia"/>
          <w:bCs/>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widowControl/>
        <w:adjustRightInd w:val="0"/>
        <w:snapToGrid w:val="0"/>
        <w:spacing w:line="360" w:lineRule="auto"/>
        <w:ind w:firstLine="480" w:firstLineChars="200"/>
        <w:rPr>
          <w:bCs/>
          <w:sz w:val="24"/>
        </w:rPr>
      </w:pPr>
      <w:r>
        <w:rPr>
          <w:rFonts w:hint="eastAsia"/>
          <w:bCs/>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widowControl/>
        <w:adjustRightInd w:val="0"/>
        <w:snapToGrid w:val="0"/>
        <w:spacing w:line="360" w:lineRule="auto"/>
        <w:ind w:firstLine="480" w:firstLineChars="200"/>
        <w:rPr>
          <w:bCs/>
          <w:sz w:val="24"/>
        </w:rPr>
      </w:pPr>
      <w:r>
        <w:rPr>
          <w:rFonts w:hint="eastAsia"/>
          <w:bCs/>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pPr>
        <w:widowControl/>
        <w:adjustRightInd w:val="0"/>
        <w:snapToGrid w:val="0"/>
        <w:spacing w:line="360" w:lineRule="auto"/>
        <w:ind w:firstLine="480" w:firstLineChars="200"/>
        <w:rPr>
          <w:bCs/>
          <w:sz w:val="24"/>
        </w:rPr>
      </w:pPr>
      <w:r>
        <w:rPr>
          <w:rFonts w:hint="eastAsia"/>
          <w:bCs/>
          <w:sz w:val="24"/>
        </w:rPr>
        <w:t>杜伟麒（</w:t>
      </w:r>
      <w:r>
        <w:rPr>
          <w:bCs/>
          <w:sz w:val="24"/>
        </w:rPr>
        <w:t>Chris Durack</w:t>
      </w:r>
      <w:r>
        <w:rPr>
          <w:rFonts w:hint="eastAsia"/>
          <w:bCs/>
          <w:sz w:val="24"/>
        </w:rPr>
        <w:t>）先生，董事，硕士。现任施罗德投资亚太区行政总裁。历任施罗德投资澳大利亚董事兼产品及分销主管、香港行政总裁兼亚太区机构业务主管、澳大利亚行政总裁兼亚太区联席主管等职。</w:t>
      </w:r>
    </w:p>
    <w:p>
      <w:pPr>
        <w:widowControl/>
        <w:adjustRightInd w:val="0"/>
        <w:snapToGrid w:val="0"/>
        <w:spacing w:line="360" w:lineRule="auto"/>
        <w:ind w:firstLine="480" w:firstLineChars="200"/>
        <w:rPr>
          <w:bCs/>
          <w:sz w:val="24"/>
        </w:rPr>
      </w:pPr>
      <w:r>
        <w:rPr>
          <w:rFonts w:hint="eastAsia"/>
          <w:bCs/>
          <w:sz w:val="24"/>
        </w:rPr>
        <w:t>章骏翔先生，副董事长，硕士，美国特许金融分析师</w:t>
      </w:r>
      <w:r>
        <w:rPr>
          <w:bCs/>
          <w:sz w:val="24"/>
        </w:rPr>
        <w:t>(CFA)</w:t>
      </w:r>
      <w:r>
        <w:rPr>
          <w:rFonts w:hint="eastAsia"/>
          <w:bCs/>
          <w:sz w:val="24"/>
        </w:rPr>
        <w:t>持证人。现任施罗德投资管理</w:t>
      </w:r>
      <w:r>
        <w:rPr>
          <w:bCs/>
          <w:sz w:val="24"/>
        </w:rPr>
        <w:t>(</w:t>
      </w:r>
      <w:r>
        <w:rPr>
          <w:rFonts w:hint="eastAsia"/>
          <w:bCs/>
          <w:sz w:val="24"/>
        </w:rPr>
        <w:t>香港</w:t>
      </w:r>
      <w:r>
        <w:rPr>
          <w:bCs/>
          <w:sz w:val="24"/>
        </w:rPr>
        <w:t>)</w:t>
      </w:r>
      <w:r>
        <w:rPr>
          <w:rFonts w:hint="eastAsia"/>
          <w:bCs/>
          <w:sz w:val="24"/>
        </w:rPr>
        <w:t>有限公司亚洲投资风险主管。历任渣打银行（香港）交易风险监控，华宝兴业基金管理有限公司风险管理部总经理，法国安盛投资管理（香港）有限公司亚洲风险经理等职。</w:t>
      </w:r>
    </w:p>
    <w:p>
      <w:pPr>
        <w:widowControl/>
        <w:adjustRightInd w:val="0"/>
        <w:snapToGrid w:val="0"/>
        <w:spacing w:line="360" w:lineRule="auto"/>
        <w:ind w:firstLine="480" w:firstLineChars="200"/>
        <w:rPr>
          <w:bCs/>
          <w:sz w:val="24"/>
        </w:rPr>
      </w:pPr>
      <w:r>
        <w:rPr>
          <w:rFonts w:hint="eastAsia"/>
          <w:bCs/>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bCs/>
          <w:sz w:val="24"/>
        </w:rPr>
      </w:pPr>
      <w:r>
        <w:rPr>
          <w:rFonts w:hint="eastAsia"/>
          <w:bCs/>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bCs/>
          <w:sz w:val="24"/>
        </w:rPr>
      </w:pPr>
      <w:r>
        <w:rPr>
          <w:rFonts w:hint="eastAsia"/>
          <w:bCs/>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rPr>
          <w:bCs/>
          <w:sz w:val="24"/>
        </w:rPr>
      </w:pPr>
      <w:r>
        <w:rPr>
          <w:bCs/>
          <w:sz w:val="24"/>
        </w:rPr>
        <w:t>2</w:t>
      </w:r>
      <w:r>
        <w:rPr>
          <w:rFonts w:hint="eastAsia"/>
          <w:bCs/>
          <w:sz w:val="24"/>
        </w:rPr>
        <w:t>、基金管理人监事会成员</w:t>
      </w:r>
    </w:p>
    <w:p>
      <w:pPr>
        <w:widowControl/>
        <w:adjustRightInd w:val="0"/>
        <w:snapToGrid w:val="0"/>
        <w:spacing w:line="360" w:lineRule="auto"/>
        <w:ind w:firstLine="480" w:firstLineChars="200"/>
        <w:rPr>
          <w:bCs/>
          <w:sz w:val="24"/>
        </w:rPr>
      </w:pPr>
      <w:r>
        <w:rPr>
          <w:rFonts w:hint="eastAsia"/>
          <w:bCs/>
          <w:sz w:val="24"/>
        </w:rPr>
        <w:t>林凯珊女士，监事，硕士。现任施罗德投资管理（香港）有限公司中国内地及中国香港法律部主管。历任香港证券及期货事务监察委员会发牌科经理、的近律师行律师。</w:t>
      </w:r>
    </w:p>
    <w:p>
      <w:pPr>
        <w:widowControl/>
        <w:adjustRightInd w:val="0"/>
        <w:snapToGrid w:val="0"/>
        <w:spacing w:line="360" w:lineRule="auto"/>
        <w:ind w:firstLine="480" w:firstLineChars="200"/>
        <w:rPr>
          <w:bCs/>
          <w:sz w:val="24"/>
        </w:rPr>
      </w:pPr>
      <w:r>
        <w:rPr>
          <w:rFonts w:hint="eastAsia"/>
          <w:bCs/>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widowControl/>
        <w:adjustRightInd w:val="0"/>
        <w:snapToGrid w:val="0"/>
        <w:spacing w:line="360" w:lineRule="auto"/>
        <w:ind w:firstLine="480" w:firstLineChars="200"/>
        <w:rPr>
          <w:bCs/>
          <w:sz w:val="24"/>
        </w:rPr>
      </w:pPr>
      <w:r>
        <w:rPr>
          <w:rFonts w:hint="eastAsia"/>
          <w:bCs/>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pPr>
        <w:widowControl/>
        <w:adjustRightInd w:val="0"/>
        <w:snapToGrid w:val="0"/>
        <w:spacing w:line="360" w:lineRule="auto"/>
        <w:ind w:firstLine="480" w:firstLineChars="200"/>
        <w:rPr>
          <w:bCs/>
          <w:sz w:val="24"/>
        </w:rPr>
      </w:pPr>
      <w:r>
        <w:rPr>
          <w:bCs/>
          <w:sz w:val="24"/>
        </w:rPr>
        <w:t>3</w:t>
      </w:r>
      <w:r>
        <w:rPr>
          <w:rFonts w:hint="eastAsia"/>
          <w:bCs/>
          <w:sz w:val="24"/>
        </w:rPr>
        <w:t>、基金管理人高级管理人员</w:t>
      </w:r>
    </w:p>
    <w:p>
      <w:pPr>
        <w:widowControl/>
        <w:adjustRightInd w:val="0"/>
        <w:snapToGrid w:val="0"/>
        <w:spacing w:line="360" w:lineRule="auto"/>
        <w:ind w:firstLine="480" w:firstLineChars="200"/>
        <w:rPr>
          <w:bCs/>
          <w:sz w:val="24"/>
        </w:rPr>
      </w:pPr>
      <w:r>
        <w:rPr>
          <w:rFonts w:hint="eastAsia"/>
          <w:bCs/>
          <w:sz w:val="24"/>
        </w:rPr>
        <w:t>谢卫先生，总经理。简历同上。</w:t>
      </w:r>
    </w:p>
    <w:p>
      <w:pPr>
        <w:widowControl/>
        <w:adjustRightInd w:val="0"/>
        <w:snapToGrid w:val="0"/>
        <w:spacing w:line="360" w:lineRule="auto"/>
        <w:ind w:firstLine="480" w:firstLineChars="200"/>
        <w:rPr>
          <w:bCs/>
          <w:sz w:val="24"/>
        </w:rPr>
      </w:pPr>
      <w:r>
        <w:rPr>
          <w:rFonts w:hint="eastAsia"/>
          <w:bCs/>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bCs/>
          <w:sz w:val="24"/>
        </w:rPr>
      </w:pPr>
      <w:r>
        <w:rPr>
          <w:rFonts w:hint="eastAsia"/>
          <w:bCs/>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bCs/>
          <w:sz w:val="24"/>
        </w:rPr>
      </w:pPr>
      <w:r>
        <w:rPr>
          <w:rFonts w:hint="eastAsia"/>
          <w:bCs/>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widowControl/>
        <w:adjustRightInd w:val="0"/>
        <w:snapToGrid w:val="0"/>
        <w:spacing w:line="360" w:lineRule="auto"/>
        <w:ind w:firstLine="480" w:firstLineChars="200"/>
        <w:rPr>
          <w:bCs/>
          <w:sz w:val="24"/>
        </w:rPr>
      </w:pPr>
      <w:r>
        <w:rPr>
          <w:bCs/>
          <w:sz w:val="24"/>
        </w:rPr>
        <w:t>4</w:t>
      </w:r>
      <w:r>
        <w:rPr>
          <w:rFonts w:hint="eastAsia"/>
          <w:bCs/>
          <w:sz w:val="24"/>
        </w:rPr>
        <w:t>、本基金基金经理</w:t>
      </w:r>
    </w:p>
    <w:p>
      <w:pPr>
        <w:widowControl/>
        <w:adjustRightInd w:val="0"/>
        <w:snapToGrid w:val="0"/>
        <w:spacing w:line="360" w:lineRule="auto"/>
        <w:ind w:firstLine="480" w:firstLineChars="200"/>
        <w:rPr>
          <w:bCs/>
          <w:sz w:val="24"/>
        </w:rPr>
      </w:pPr>
      <w:r>
        <w:rPr>
          <w:rFonts w:hint="eastAsia"/>
          <w:bCs/>
          <w:sz w:val="24"/>
        </w:rPr>
        <w:t>黄鼎先生</w:t>
      </w:r>
      <w:r>
        <w:rPr>
          <w:bCs/>
          <w:sz w:val="24"/>
        </w:rPr>
        <w:t>:</w:t>
      </w:r>
      <w:r>
        <w:rPr>
          <w:rFonts w:hint="eastAsia"/>
          <w:bCs/>
          <w:sz w:val="24"/>
        </w:rPr>
        <w:t>基金经理。上海交通大学经济学硕士，</w:t>
      </w:r>
      <w:r>
        <w:rPr>
          <w:bCs/>
          <w:sz w:val="24"/>
        </w:rPr>
        <w:t>12</w:t>
      </w:r>
      <w:r>
        <w:rPr>
          <w:rFonts w:hint="eastAsia"/>
          <w:bCs/>
          <w:sz w:val="24"/>
        </w:rPr>
        <w:t>年证券投资行业从业经验。</w:t>
      </w:r>
      <w:r>
        <w:rPr>
          <w:bCs/>
          <w:sz w:val="24"/>
        </w:rPr>
        <w:t>2013</w:t>
      </w:r>
      <w:r>
        <w:rPr>
          <w:rFonts w:hint="eastAsia"/>
          <w:bCs/>
          <w:sz w:val="24"/>
        </w:rPr>
        <w:t>年至</w:t>
      </w:r>
      <w:r>
        <w:rPr>
          <w:bCs/>
          <w:sz w:val="24"/>
        </w:rPr>
        <w:t>2015</w:t>
      </w:r>
      <w:r>
        <w:rPr>
          <w:rFonts w:hint="eastAsia"/>
          <w:bCs/>
          <w:sz w:val="24"/>
        </w:rPr>
        <w:t>年任博时基金管理有限公司研究员。</w:t>
      </w:r>
      <w:r>
        <w:rPr>
          <w:bCs/>
          <w:sz w:val="24"/>
        </w:rPr>
        <w:t>2015</w:t>
      </w:r>
      <w:r>
        <w:rPr>
          <w:rFonts w:hint="eastAsia"/>
          <w:bCs/>
          <w:sz w:val="24"/>
        </w:rPr>
        <w:t>年加入交银施罗德基金管理有限公司，历任行业分析师。现任交银施罗德定期支付双息平衡混合型证券投资基金</w:t>
      </w:r>
      <w:r>
        <w:rPr>
          <w:bCs/>
          <w:sz w:val="24"/>
        </w:rPr>
        <w:t>(2021</w:t>
      </w:r>
      <w:r>
        <w:rPr>
          <w:rFonts w:hint="eastAsia"/>
          <w:bCs/>
          <w:sz w:val="24"/>
        </w:rPr>
        <w:t>年</w:t>
      </w:r>
      <w:r>
        <w:rPr>
          <w:bCs/>
          <w:sz w:val="24"/>
        </w:rPr>
        <w:t>09</w:t>
      </w:r>
      <w:r>
        <w:rPr>
          <w:rFonts w:hint="eastAsia"/>
          <w:bCs/>
          <w:sz w:val="24"/>
        </w:rPr>
        <w:t>月</w:t>
      </w:r>
      <w:r>
        <w:rPr>
          <w:bCs/>
          <w:sz w:val="24"/>
        </w:rPr>
        <w:t>29</w:t>
      </w:r>
      <w:r>
        <w:rPr>
          <w:rFonts w:hint="eastAsia"/>
          <w:bCs/>
          <w:sz w:val="24"/>
        </w:rPr>
        <w:t>日至今</w:t>
      </w:r>
      <w:r>
        <w:rPr>
          <w:bCs/>
          <w:sz w:val="24"/>
        </w:rPr>
        <w:t>)</w:t>
      </w:r>
      <w:r>
        <w:rPr>
          <w:rFonts w:hint="eastAsia"/>
          <w:bCs/>
          <w:sz w:val="24"/>
        </w:rPr>
        <w:t>、交银施罗德启嘉混合型证券投资基金</w:t>
      </w:r>
      <w:r>
        <w:rPr>
          <w:bCs/>
          <w:sz w:val="24"/>
        </w:rPr>
        <w:t>(2023</w:t>
      </w:r>
      <w:r>
        <w:rPr>
          <w:rFonts w:hint="eastAsia"/>
          <w:bCs/>
          <w:sz w:val="24"/>
        </w:rPr>
        <w:t>年</w:t>
      </w:r>
      <w:r>
        <w:rPr>
          <w:bCs/>
          <w:sz w:val="24"/>
        </w:rPr>
        <w:t>08</w:t>
      </w:r>
      <w:r>
        <w:rPr>
          <w:rFonts w:hint="eastAsia"/>
          <w:bCs/>
          <w:sz w:val="24"/>
        </w:rPr>
        <w:t>月</w:t>
      </w:r>
      <w:r>
        <w:rPr>
          <w:bCs/>
          <w:sz w:val="24"/>
        </w:rPr>
        <w:t>02</w:t>
      </w:r>
      <w:r>
        <w:rPr>
          <w:rFonts w:hint="eastAsia"/>
          <w:bCs/>
          <w:sz w:val="24"/>
        </w:rPr>
        <w:t>日至今</w:t>
      </w:r>
      <w:r>
        <w:rPr>
          <w:bCs/>
          <w:sz w:val="24"/>
        </w:rPr>
        <w:t>)</w:t>
      </w:r>
      <w:r>
        <w:rPr>
          <w:rFonts w:hint="eastAsia"/>
          <w:bCs/>
          <w:sz w:val="24"/>
        </w:rPr>
        <w:t>的基金经理。</w:t>
      </w:r>
    </w:p>
    <w:p>
      <w:pPr>
        <w:widowControl/>
        <w:adjustRightInd w:val="0"/>
        <w:snapToGrid w:val="0"/>
        <w:spacing w:line="360" w:lineRule="auto"/>
        <w:ind w:firstLine="480" w:firstLineChars="200"/>
        <w:rPr>
          <w:bCs/>
          <w:sz w:val="24"/>
        </w:rPr>
      </w:pPr>
      <w:r>
        <w:rPr>
          <w:bCs/>
          <w:sz w:val="24"/>
        </w:rPr>
        <w:t>5</w:t>
      </w:r>
      <w:r>
        <w:rPr>
          <w:rFonts w:hint="eastAsia"/>
          <w:bCs/>
          <w:sz w:val="24"/>
        </w:rPr>
        <w:t>、投资决策委员会成员</w:t>
      </w:r>
    </w:p>
    <w:p>
      <w:pPr>
        <w:widowControl/>
        <w:adjustRightInd w:val="0"/>
        <w:snapToGrid w:val="0"/>
        <w:spacing w:line="360" w:lineRule="auto"/>
        <w:ind w:firstLine="480" w:firstLineChars="200"/>
        <w:rPr>
          <w:bCs/>
          <w:sz w:val="24"/>
        </w:rPr>
      </w:pPr>
      <w:r>
        <w:rPr>
          <w:rFonts w:hint="eastAsia"/>
          <w:bCs/>
          <w:sz w:val="24"/>
        </w:rPr>
        <w:t>委员：谢卫（总经理）</w:t>
      </w:r>
    </w:p>
    <w:p>
      <w:pPr>
        <w:widowControl/>
        <w:adjustRightInd w:val="0"/>
        <w:snapToGrid w:val="0"/>
        <w:spacing w:line="360" w:lineRule="auto"/>
        <w:ind w:firstLine="480" w:firstLineChars="200"/>
        <w:rPr>
          <w:bCs/>
          <w:sz w:val="24"/>
        </w:rPr>
      </w:pPr>
      <w:r>
        <w:rPr>
          <w:rFonts w:hint="eastAsia"/>
          <w:bCs/>
          <w:sz w:val="24"/>
        </w:rPr>
        <w:t>马俊（副总经理）</w:t>
      </w:r>
    </w:p>
    <w:p>
      <w:pPr>
        <w:widowControl/>
        <w:adjustRightInd w:val="0"/>
        <w:snapToGrid w:val="0"/>
        <w:spacing w:line="360" w:lineRule="auto"/>
        <w:ind w:firstLine="480" w:firstLineChars="200"/>
        <w:rPr>
          <w:bCs/>
          <w:sz w:val="24"/>
        </w:rPr>
      </w:pPr>
      <w:r>
        <w:rPr>
          <w:rFonts w:hint="eastAsia"/>
          <w:bCs/>
          <w:sz w:val="24"/>
        </w:rPr>
        <w:t>王少成（权益部一级专家、基金经理）</w:t>
      </w:r>
    </w:p>
    <w:p>
      <w:pPr>
        <w:widowControl/>
        <w:adjustRightInd w:val="0"/>
        <w:snapToGrid w:val="0"/>
        <w:spacing w:line="360" w:lineRule="auto"/>
        <w:ind w:firstLine="480" w:firstLineChars="200"/>
        <w:rPr>
          <w:bCs/>
          <w:sz w:val="24"/>
        </w:rPr>
      </w:pPr>
      <w:r>
        <w:rPr>
          <w:rFonts w:hint="eastAsia"/>
          <w:bCs/>
          <w:sz w:val="24"/>
        </w:rPr>
        <w:t>于海颖（混合资产投资总监兼多元资产管理总监、基金经理）</w:t>
      </w:r>
    </w:p>
    <w:p>
      <w:pPr>
        <w:widowControl/>
        <w:adjustRightInd w:val="0"/>
        <w:snapToGrid w:val="0"/>
        <w:spacing w:line="360" w:lineRule="auto"/>
        <w:ind w:firstLine="480" w:firstLineChars="200"/>
        <w:rPr>
          <w:bCs/>
          <w:sz w:val="24"/>
        </w:rPr>
      </w:pPr>
      <w:r>
        <w:rPr>
          <w:rFonts w:hint="eastAsia"/>
          <w:bCs/>
          <w:sz w:val="24"/>
        </w:rPr>
        <w:t>王崇（权益投资副总监、权益部一级专家、基金经理）</w:t>
      </w:r>
    </w:p>
    <w:p>
      <w:pPr>
        <w:widowControl/>
        <w:adjustRightInd w:val="0"/>
        <w:snapToGrid w:val="0"/>
        <w:spacing w:line="360" w:lineRule="auto"/>
        <w:ind w:firstLine="480" w:firstLineChars="200"/>
        <w:rPr>
          <w:bCs/>
          <w:sz w:val="24"/>
        </w:rPr>
      </w:pPr>
      <w:r>
        <w:rPr>
          <w:rFonts w:hint="eastAsia"/>
          <w:bCs/>
          <w:sz w:val="24"/>
        </w:rPr>
        <w:t>马韬（研究总监）</w:t>
      </w:r>
    </w:p>
    <w:p>
      <w:pPr>
        <w:adjustRightInd w:val="0"/>
        <w:snapToGrid w:val="0"/>
        <w:spacing w:line="360" w:lineRule="auto"/>
        <w:ind w:firstLine="480" w:firstLineChars="200"/>
        <w:rPr>
          <w:rFonts w:ascii="宋体" w:hAnsi="宋体"/>
          <w:kern w:val="0"/>
          <w:sz w:val="24"/>
        </w:rPr>
      </w:pPr>
      <w:r>
        <w:rPr>
          <w:rFonts w:hint="eastAsia"/>
          <w:bCs/>
          <w:sz w:val="24"/>
        </w:rPr>
        <w:t>6、上述人员之间不存在近亲属关系。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）内控合规及法律事务部</w:t>
      </w:r>
    </w:p>
    <w:p>
      <w:pPr>
        <w:widowControl/>
        <w:adjustRightInd w:val="0"/>
        <w:snapToGrid w:val="0"/>
        <w:spacing w:line="360" w:lineRule="auto"/>
        <w:ind w:firstLine="480" w:firstLineChars="200"/>
        <w:rPr>
          <w:kern w:val="0"/>
          <w:sz w:val="24"/>
          <w:szCs w:val="24"/>
        </w:rPr>
      </w:pPr>
      <w:r>
        <w:rPr>
          <w:rFonts w:hint="eastAsia"/>
          <w:kern w:val="0"/>
          <w:sz w:val="24"/>
          <w:szCs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w:t>
      </w:r>
      <w:r>
        <w:rPr>
          <w:rFonts w:hint="eastAsia"/>
          <w:kern w:val="0"/>
          <w:sz w:val="24"/>
          <w:szCs w:val="24"/>
        </w:rPr>
        <w:t>券</w:t>
      </w:r>
      <w:r>
        <w:rPr>
          <w:kern w:val="0"/>
          <w:sz w:val="24"/>
          <w:szCs w:val="24"/>
        </w:rPr>
        <w:t>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9" w:name="_Toc109537382"/>
    </w:p>
    <w:p>
      <w:pPr>
        <w:widowControl/>
        <w:rPr>
          <w:kern w:val="0"/>
          <w:sz w:val="24"/>
          <w:szCs w:val="24"/>
        </w:rPr>
      </w:pPr>
      <w:r>
        <w:rPr>
          <w:kern w:val="0"/>
          <w:sz w:val="24"/>
          <w:szCs w:val="24"/>
        </w:rPr>
        <w:br w:type="page"/>
      </w:r>
    </w:p>
    <w:p>
      <w:pPr>
        <w:widowControl/>
        <w:adjustRightInd w:val="0"/>
        <w:snapToGrid w:val="0"/>
        <w:spacing w:line="360" w:lineRule="auto"/>
        <w:ind w:firstLine="480" w:firstLineChars="200"/>
        <w:rPr>
          <w:kern w:val="0"/>
          <w:sz w:val="24"/>
          <w:szCs w:val="24"/>
        </w:rPr>
      </w:pPr>
    </w:p>
    <w:p>
      <w:pPr>
        <w:spacing w:line="360" w:lineRule="auto"/>
        <w:jc w:val="center"/>
        <w:outlineLvl w:val="0"/>
        <w:rPr>
          <w:rFonts w:ascii="宋体" w:hAnsi="宋体"/>
          <w:b/>
          <w:kern w:val="0"/>
          <w:sz w:val="30"/>
        </w:rPr>
      </w:pPr>
      <w:bookmarkStart w:id="10" w:name="_Toc48122005"/>
      <w:r>
        <w:rPr>
          <w:rFonts w:hint="eastAsia" w:ascii="宋体" w:hAnsi="宋体"/>
          <w:b/>
          <w:kern w:val="0"/>
          <w:sz w:val="30"/>
        </w:rPr>
        <w:t>四、基金托管人</w:t>
      </w:r>
      <w:bookmarkEnd w:id="9"/>
      <w:bookmarkEnd w:id="10"/>
    </w:p>
    <w:p>
      <w:pPr>
        <w:adjustRightInd w:val="0"/>
        <w:snapToGrid w:val="0"/>
        <w:spacing w:line="360" w:lineRule="auto"/>
        <w:ind w:firstLine="482" w:firstLineChars="200"/>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pPr>
        <w:widowControl/>
        <w:adjustRightInd w:val="0"/>
        <w:snapToGrid w:val="0"/>
        <w:spacing w:line="360" w:lineRule="auto"/>
        <w:ind w:firstLine="480" w:firstLineChars="200"/>
        <w:rPr>
          <w:kern w:val="0"/>
          <w:sz w:val="24"/>
          <w:szCs w:val="24"/>
        </w:rPr>
      </w:pPr>
      <w:r>
        <w:rPr>
          <w:rFonts w:hint="eastAsia"/>
          <w:kern w:val="0"/>
          <w:sz w:val="24"/>
          <w:szCs w:val="24"/>
        </w:rPr>
        <w:t>1、基本情况</w:t>
      </w:r>
    </w:p>
    <w:p>
      <w:pPr>
        <w:widowControl/>
        <w:adjustRightInd w:val="0"/>
        <w:snapToGrid w:val="0"/>
        <w:spacing w:line="360" w:lineRule="auto"/>
        <w:ind w:firstLine="480" w:firstLineChars="200"/>
        <w:rPr>
          <w:kern w:val="0"/>
          <w:sz w:val="24"/>
          <w:szCs w:val="24"/>
        </w:rPr>
      </w:pPr>
      <w:r>
        <w:rPr>
          <w:rFonts w:hint="eastAsia"/>
          <w:kern w:val="0"/>
          <w:sz w:val="24"/>
          <w:szCs w:val="24"/>
        </w:rPr>
        <w:t>名称：上海浦东发展银行股份有限公司（简称“上海浦东发展银行”）</w:t>
      </w:r>
    </w:p>
    <w:p>
      <w:pPr>
        <w:widowControl/>
        <w:adjustRightInd w:val="0"/>
        <w:snapToGrid w:val="0"/>
        <w:spacing w:line="360" w:lineRule="auto"/>
        <w:ind w:firstLine="480" w:firstLineChars="200"/>
        <w:rPr>
          <w:kern w:val="0"/>
          <w:sz w:val="24"/>
          <w:szCs w:val="24"/>
        </w:rPr>
      </w:pPr>
      <w:r>
        <w:rPr>
          <w:rFonts w:hint="eastAsia"/>
          <w:kern w:val="0"/>
          <w:sz w:val="24"/>
          <w:szCs w:val="24"/>
        </w:rPr>
        <w:t>注册地址：上海市中山东一路12号</w:t>
      </w:r>
    </w:p>
    <w:p>
      <w:pPr>
        <w:widowControl/>
        <w:adjustRightInd w:val="0"/>
        <w:snapToGrid w:val="0"/>
        <w:spacing w:line="360" w:lineRule="auto"/>
        <w:ind w:firstLine="480" w:firstLineChars="200"/>
        <w:rPr>
          <w:kern w:val="0"/>
          <w:sz w:val="24"/>
          <w:szCs w:val="24"/>
        </w:rPr>
      </w:pPr>
      <w:r>
        <w:rPr>
          <w:rFonts w:hint="eastAsia"/>
          <w:kern w:val="0"/>
          <w:sz w:val="24"/>
          <w:szCs w:val="24"/>
        </w:rPr>
        <w:t>办公地址：上海市博成路1388号浦银中心A栋</w:t>
      </w:r>
    </w:p>
    <w:p>
      <w:pPr>
        <w:widowControl/>
        <w:adjustRightInd w:val="0"/>
        <w:snapToGrid w:val="0"/>
        <w:spacing w:line="360" w:lineRule="auto"/>
        <w:ind w:firstLine="480" w:firstLineChars="200"/>
        <w:rPr>
          <w:kern w:val="0"/>
          <w:sz w:val="24"/>
          <w:szCs w:val="24"/>
        </w:rPr>
      </w:pPr>
      <w:r>
        <w:rPr>
          <w:rFonts w:hint="eastAsia"/>
          <w:kern w:val="0"/>
          <w:sz w:val="24"/>
          <w:szCs w:val="24"/>
        </w:rPr>
        <w:t>法定代表人：张为忠</w:t>
      </w:r>
    </w:p>
    <w:p>
      <w:pPr>
        <w:widowControl/>
        <w:adjustRightInd w:val="0"/>
        <w:snapToGrid w:val="0"/>
        <w:spacing w:line="360" w:lineRule="auto"/>
        <w:ind w:firstLine="480" w:firstLineChars="200"/>
        <w:rPr>
          <w:kern w:val="0"/>
          <w:sz w:val="24"/>
          <w:szCs w:val="24"/>
        </w:rPr>
      </w:pPr>
      <w:r>
        <w:rPr>
          <w:rFonts w:hint="eastAsia"/>
          <w:kern w:val="0"/>
          <w:sz w:val="24"/>
          <w:szCs w:val="24"/>
        </w:rPr>
        <w:t>成立时间：1992年10月19日</w:t>
      </w:r>
    </w:p>
    <w:p>
      <w:pPr>
        <w:widowControl/>
        <w:adjustRightInd w:val="0"/>
        <w:snapToGrid w:val="0"/>
        <w:spacing w:line="360" w:lineRule="auto"/>
        <w:ind w:firstLine="480" w:firstLineChars="200"/>
        <w:rPr>
          <w:kern w:val="0"/>
          <w:sz w:val="24"/>
          <w:szCs w:val="24"/>
        </w:rPr>
      </w:pPr>
      <w:r>
        <w:rPr>
          <w:rFonts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pPr>
        <w:widowControl/>
        <w:adjustRightInd w:val="0"/>
        <w:snapToGrid w:val="0"/>
        <w:spacing w:line="360" w:lineRule="auto"/>
        <w:ind w:firstLine="480" w:firstLineChars="200"/>
        <w:rPr>
          <w:kern w:val="0"/>
          <w:sz w:val="24"/>
          <w:szCs w:val="24"/>
        </w:rPr>
      </w:pPr>
      <w:r>
        <w:rPr>
          <w:rFonts w:hint="eastAsia"/>
          <w:kern w:val="0"/>
          <w:sz w:val="24"/>
          <w:szCs w:val="24"/>
        </w:rPr>
        <w:t>组织形式：股份有限公司（上市）</w:t>
      </w:r>
    </w:p>
    <w:p>
      <w:pPr>
        <w:widowControl/>
        <w:adjustRightInd w:val="0"/>
        <w:snapToGrid w:val="0"/>
        <w:spacing w:line="360" w:lineRule="auto"/>
        <w:ind w:firstLine="480" w:firstLineChars="200"/>
        <w:rPr>
          <w:kern w:val="0"/>
          <w:sz w:val="24"/>
          <w:szCs w:val="24"/>
        </w:rPr>
      </w:pPr>
      <w:r>
        <w:rPr>
          <w:rFonts w:hint="eastAsia"/>
          <w:kern w:val="0"/>
          <w:sz w:val="24"/>
          <w:szCs w:val="24"/>
        </w:rPr>
        <w:t>注册资本：293.52亿元人民币</w:t>
      </w:r>
    </w:p>
    <w:p>
      <w:pPr>
        <w:widowControl/>
        <w:adjustRightInd w:val="0"/>
        <w:snapToGrid w:val="0"/>
        <w:spacing w:line="360" w:lineRule="auto"/>
        <w:ind w:firstLine="480" w:firstLineChars="200"/>
        <w:rPr>
          <w:kern w:val="0"/>
          <w:sz w:val="24"/>
          <w:szCs w:val="24"/>
        </w:rPr>
      </w:pPr>
      <w:r>
        <w:rPr>
          <w:rFonts w:hint="eastAsia"/>
          <w:kern w:val="0"/>
          <w:sz w:val="24"/>
          <w:szCs w:val="24"/>
        </w:rPr>
        <w:t>存续期间：永久存续</w:t>
      </w:r>
    </w:p>
    <w:p>
      <w:pPr>
        <w:widowControl/>
        <w:adjustRightInd w:val="0"/>
        <w:snapToGrid w:val="0"/>
        <w:spacing w:line="360" w:lineRule="auto"/>
        <w:ind w:firstLine="480" w:firstLineChars="200"/>
        <w:rPr>
          <w:kern w:val="0"/>
          <w:sz w:val="24"/>
          <w:szCs w:val="24"/>
        </w:rPr>
      </w:pPr>
      <w:r>
        <w:rPr>
          <w:rFonts w:hint="eastAsia"/>
          <w:kern w:val="0"/>
          <w:sz w:val="24"/>
          <w:szCs w:val="24"/>
        </w:rPr>
        <w:t>基金托管资格批文及文号：中国证监会证监基金字[2003]105号</w:t>
      </w:r>
    </w:p>
    <w:p>
      <w:pPr>
        <w:widowControl/>
        <w:adjustRightInd w:val="0"/>
        <w:snapToGrid w:val="0"/>
        <w:spacing w:line="360" w:lineRule="auto"/>
        <w:ind w:firstLine="480" w:firstLineChars="200"/>
        <w:rPr>
          <w:kern w:val="0"/>
          <w:sz w:val="24"/>
          <w:szCs w:val="24"/>
        </w:rPr>
      </w:pPr>
      <w:r>
        <w:rPr>
          <w:rFonts w:hint="eastAsia"/>
          <w:kern w:val="0"/>
          <w:sz w:val="24"/>
          <w:szCs w:val="24"/>
        </w:rPr>
        <w:t>联系人：朱萍</w:t>
      </w:r>
    </w:p>
    <w:p>
      <w:pPr>
        <w:widowControl/>
        <w:adjustRightInd w:val="0"/>
        <w:snapToGrid w:val="0"/>
        <w:spacing w:line="360" w:lineRule="auto"/>
        <w:ind w:firstLine="480" w:firstLineChars="200"/>
        <w:rPr>
          <w:kern w:val="0"/>
          <w:sz w:val="24"/>
          <w:szCs w:val="24"/>
        </w:rPr>
      </w:pPr>
      <w:r>
        <w:rPr>
          <w:rFonts w:hint="eastAsia"/>
          <w:kern w:val="0"/>
          <w:sz w:val="24"/>
          <w:szCs w:val="24"/>
        </w:rPr>
        <w:t>联系电话：（021）31888888</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自2003年开展资产托管业务，是较早开展银行资产托管服务的股份制商业银行之一。经过二十年来的稳健经营和业务开拓，各项业务发展一直保持较快增长，各项经营指标在股份制商业银行中处于较好水平。</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总行于2003年设立基金托管部，2005年更名为资产托管部，2013年更名为资产托管与养老金业务部，2016年进行组织架构优化调整，并更名为资产托管部，目前下设证券托管处、客户资产托管处、养老金业务处、内控管理处、业务保障处、总行资产托管运营中心（含合肥分中心）六个职能处室。</w:t>
      </w:r>
    </w:p>
    <w:p>
      <w:pPr>
        <w:widowControl/>
        <w:adjustRightInd w:val="0"/>
        <w:snapToGrid w:val="0"/>
        <w:spacing w:line="360" w:lineRule="auto"/>
        <w:ind w:firstLine="480" w:firstLineChars="200"/>
        <w:rPr>
          <w:kern w:val="0"/>
          <w:sz w:val="24"/>
          <w:szCs w:val="24"/>
        </w:rPr>
      </w:pPr>
      <w:r>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pPr>
        <w:widowControl/>
        <w:adjustRightInd w:val="0"/>
        <w:snapToGrid w:val="0"/>
        <w:spacing w:line="360" w:lineRule="auto"/>
        <w:ind w:firstLine="480" w:firstLineChars="200"/>
        <w:rPr>
          <w:kern w:val="0"/>
          <w:sz w:val="24"/>
          <w:szCs w:val="24"/>
        </w:rPr>
      </w:pPr>
      <w:r>
        <w:rPr>
          <w:rFonts w:hint="eastAsia"/>
          <w:kern w:val="0"/>
          <w:sz w:val="24"/>
          <w:szCs w:val="24"/>
        </w:rPr>
        <w:t>2、主要人员情况</w:t>
      </w:r>
    </w:p>
    <w:p>
      <w:pPr>
        <w:widowControl/>
        <w:adjustRightInd w:val="0"/>
        <w:snapToGrid w:val="0"/>
        <w:spacing w:line="360" w:lineRule="auto"/>
        <w:ind w:firstLine="480" w:firstLineChars="200"/>
        <w:rPr>
          <w:kern w:val="0"/>
          <w:sz w:val="24"/>
          <w:szCs w:val="24"/>
        </w:rPr>
      </w:pPr>
      <w:r>
        <w:rPr>
          <w:rFonts w:hint="eastAsia"/>
          <w:kern w:val="0"/>
          <w:sz w:val="24"/>
          <w:szCs w:val="24"/>
        </w:rPr>
        <w:t>张为忠，男，1967年出生，硕士研究生。曾任中国建设银行大连市分行开发区分行行长，中国建设银行内蒙古总审计室总审计师兼主任，中国建设银行湖北省分行纪委书记、副行长、党委委员，中国建设银行普惠金融事业部（小企业业务部）总经理，中国建设银行公司业务总监。现任中共上海浦东发展银行股份有限公司委员会书记、董事长。</w:t>
      </w:r>
    </w:p>
    <w:p>
      <w:pPr>
        <w:widowControl/>
        <w:adjustRightInd w:val="0"/>
        <w:snapToGrid w:val="0"/>
        <w:spacing w:line="360" w:lineRule="auto"/>
        <w:ind w:firstLine="480" w:firstLineChars="200"/>
        <w:rPr>
          <w:kern w:val="0"/>
          <w:sz w:val="24"/>
          <w:szCs w:val="24"/>
        </w:rPr>
      </w:pPr>
      <w:r>
        <w:rPr>
          <w:rFonts w:hint="eastAsia"/>
          <w:kern w:val="0"/>
          <w:sz w:val="24"/>
          <w:szCs w:val="24"/>
        </w:rPr>
        <w:t>李国光，男，1967年出生，硕士研究生。历任上海浦东发展银行天津分行资财部总经理，天津分行行长助理、副行长，总行资金总部副总经理，总行资产负债管理委员会主任，总行清算作业部总经理，沈阳分行党委书记、行长。现任上海浦东发展银行总行资产托管部总经理。</w:t>
      </w:r>
    </w:p>
    <w:p>
      <w:pPr>
        <w:widowControl/>
        <w:adjustRightInd w:val="0"/>
        <w:snapToGrid w:val="0"/>
        <w:spacing w:line="360" w:lineRule="auto"/>
        <w:ind w:firstLine="480" w:firstLineChars="200"/>
        <w:rPr>
          <w:kern w:val="0"/>
          <w:sz w:val="24"/>
          <w:szCs w:val="24"/>
        </w:rPr>
      </w:pPr>
      <w:r>
        <w:rPr>
          <w:rFonts w:hint="eastAsia"/>
          <w:kern w:val="0"/>
          <w:sz w:val="24"/>
          <w:szCs w:val="24"/>
        </w:rPr>
        <w:t>3、基金托管业务经营情况</w:t>
      </w:r>
    </w:p>
    <w:p>
      <w:pPr>
        <w:widowControl/>
        <w:adjustRightInd w:val="0"/>
        <w:snapToGrid w:val="0"/>
        <w:spacing w:line="360" w:lineRule="auto"/>
        <w:ind w:firstLine="480" w:firstLineChars="200"/>
        <w:rPr>
          <w:bCs/>
          <w:kern w:val="0"/>
          <w:sz w:val="24"/>
          <w:szCs w:val="24"/>
        </w:rPr>
      </w:pPr>
      <w:r>
        <w:rPr>
          <w:rFonts w:hint="eastAsia"/>
          <w:kern w:val="0"/>
          <w:sz w:val="24"/>
          <w:szCs w:val="24"/>
        </w:rPr>
        <w:t>截止2025年3月31日，上海浦东发展银行证券投资基金托管规模为14203.76亿元，托管证券投资基金共485只。</w:t>
      </w:r>
    </w:p>
    <w:p>
      <w:pPr>
        <w:spacing w:line="360" w:lineRule="auto"/>
        <w:ind w:firstLine="482" w:firstLineChars="200"/>
        <w:outlineLvl w:val="1"/>
        <w:rPr>
          <w:rFonts w:ascii="宋体" w:hAnsi="宋体" w:cs="宋体"/>
          <w:b/>
          <w:kern w:val="0"/>
          <w:sz w:val="24"/>
          <w:szCs w:val="24"/>
        </w:rPr>
      </w:pPr>
      <w:r>
        <w:rPr>
          <w:rFonts w:hint="eastAsia" w:ascii="宋体" w:hAnsi="宋体" w:cs="宋体"/>
          <w:b/>
          <w:kern w:val="0"/>
          <w:sz w:val="24"/>
          <w:szCs w:val="24"/>
        </w:rPr>
        <w:t>（二）基金托管人的内部风险控制制度说明</w:t>
      </w:r>
    </w:p>
    <w:p>
      <w:pPr>
        <w:snapToGrid w:val="0"/>
        <w:spacing w:line="360" w:lineRule="auto"/>
        <w:ind w:firstLine="480" w:firstLineChars="200"/>
        <w:rPr>
          <w:bCs/>
          <w:kern w:val="0"/>
          <w:sz w:val="24"/>
          <w:szCs w:val="24"/>
        </w:rPr>
      </w:pPr>
      <w:r>
        <w:rPr>
          <w:rFonts w:hint="eastAsia"/>
          <w:bCs/>
          <w:kern w:val="0"/>
          <w:sz w:val="24"/>
          <w:szCs w:val="24"/>
        </w:rPr>
        <w:t>1、内部控制目标</w:t>
      </w:r>
    </w:p>
    <w:p>
      <w:pPr>
        <w:snapToGrid w:val="0"/>
        <w:spacing w:line="360" w:lineRule="auto"/>
        <w:ind w:firstLine="480" w:firstLineChars="200"/>
        <w:rPr>
          <w:bCs/>
          <w:kern w:val="0"/>
          <w:sz w:val="24"/>
          <w:szCs w:val="24"/>
        </w:rPr>
      </w:pPr>
      <w:r>
        <w:rPr>
          <w:rFonts w:hint="eastAsia"/>
          <w:bCs/>
          <w:kern w:val="0"/>
          <w:sz w:val="24"/>
          <w:szCs w:val="24"/>
        </w:rPr>
        <w:t>确保经营活动中严格遵守国家有关法律法规、监管部门监管规则和上海浦东发展银行规章制度，形成守法经营、规范运作的经营思想。确保经营业务的稳健运行，保证基金资产的安全和完整，确保业务活动信息的真实、准确、完整，保护基金份额持有人的合法权益。</w:t>
      </w:r>
    </w:p>
    <w:p>
      <w:pPr>
        <w:snapToGrid w:val="0"/>
        <w:spacing w:line="360" w:lineRule="auto"/>
        <w:ind w:firstLine="480" w:firstLineChars="200"/>
        <w:rPr>
          <w:bCs/>
          <w:kern w:val="0"/>
          <w:sz w:val="24"/>
          <w:szCs w:val="24"/>
        </w:rPr>
      </w:pPr>
      <w:r>
        <w:rPr>
          <w:rFonts w:hint="eastAsia"/>
          <w:bCs/>
          <w:kern w:val="0"/>
          <w:sz w:val="24"/>
          <w:szCs w:val="24"/>
        </w:rPr>
        <w:t>2、内部控制组织结构</w:t>
      </w:r>
    </w:p>
    <w:p>
      <w:pPr>
        <w:snapToGrid w:val="0"/>
        <w:spacing w:line="360" w:lineRule="auto"/>
        <w:ind w:firstLine="480" w:firstLineChars="200"/>
        <w:rPr>
          <w:bCs/>
          <w:kern w:val="0"/>
          <w:sz w:val="24"/>
          <w:szCs w:val="24"/>
        </w:rPr>
      </w:pPr>
      <w:r>
        <w:rPr>
          <w:rFonts w:hint="eastAsia"/>
          <w:bCs/>
          <w:kern w:val="0"/>
          <w:sz w:val="24"/>
          <w:szCs w:val="24"/>
        </w:rPr>
        <w:t>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pPr>
        <w:snapToGrid w:val="0"/>
        <w:spacing w:line="360" w:lineRule="auto"/>
        <w:ind w:firstLine="480" w:firstLineChars="200"/>
        <w:rPr>
          <w:bCs/>
          <w:kern w:val="0"/>
          <w:sz w:val="24"/>
          <w:szCs w:val="24"/>
        </w:rPr>
      </w:pPr>
      <w:r>
        <w:rPr>
          <w:rFonts w:hint="eastAsia"/>
          <w:bCs/>
          <w:kern w:val="0"/>
          <w:sz w:val="24"/>
          <w:szCs w:val="24"/>
        </w:rPr>
        <w:t>3、内部控制制度及措施</w:t>
      </w:r>
    </w:p>
    <w:p>
      <w:pPr>
        <w:snapToGrid w:val="0"/>
        <w:spacing w:line="360" w:lineRule="auto"/>
        <w:ind w:firstLine="480" w:firstLineChars="200"/>
        <w:rPr>
          <w:bCs/>
          <w:kern w:val="0"/>
          <w:sz w:val="24"/>
          <w:szCs w:val="24"/>
        </w:rPr>
      </w:pPr>
      <w:r>
        <w:rPr>
          <w:rFonts w:hint="eastAsia"/>
          <w:bCs/>
          <w:kern w:val="0"/>
          <w:sz w:val="24"/>
          <w:szCs w:val="24"/>
        </w:rPr>
        <w:t>上海浦东发展银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pPr>
        <w:snapToGrid w:val="0"/>
        <w:spacing w:line="360" w:lineRule="auto"/>
        <w:ind w:firstLine="480" w:firstLineChars="200"/>
        <w:rPr>
          <w:rFonts w:ascii="宋体" w:hAnsi="宋体" w:cs="宋体"/>
          <w:sz w:val="24"/>
          <w:szCs w:val="24"/>
        </w:rPr>
      </w:pPr>
      <w:r>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基金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p>
    <w:p>
      <w:pPr>
        <w:widowControl/>
        <w:spacing w:line="360" w:lineRule="auto"/>
        <w:ind w:right="-178" w:rightChars="-85" w:firstLine="482" w:firstLineChars="200"/>
        <w:outlineLvl w:val="1"/>
        <w:rPr>
          <w:rFonts w:ascii="宋体" w:hAnsi="宋体" w:cs="宋体"/>
          <w:b/>
          <w:kern w:val="0"/>
          <w:sz w:val="24"/>
          <w:szCs w:val="24"/>
        </w:rPr>
      </w:pPr>
      <w:r>
        <w:rPr>
          <w:rFonts w:hint="eastAsia" w:ascii="宋体" w:hAnsi="宋体" w:cs="宋体"/>
          <w:b/>
          <w:kern w:val="0"/>
          <w:sz w:val="24"/>
          <w:szCs w:val="24"/>
        </w:rPr>
        <w:t>（三）基金托管人对基金管理人运作基金进行监督的方法和程序</w:t>
      </w:r>
    </w:p>
    <w:p>
      <w:pPr>
        <w:widowControl/>
        <w:adjustRightInd w:val="0"/>
        <w:snapToGrid w:val="0"/>
        <w:spacing w:line="360" w:lineRule="auto"/>
        <w:ind w:firstLine="480" w:firstLineChars="200"/>
        <w:rPr>
          <w:kern w:val="0"/>
          <w:sz w:val="24"/>
          <w:szCs w:val="24"/>
        </w:rPr>
      </w:pPr>
      <w:r>
        <w:rPr>
          <w:rFonts w:hint="eastAsia"/>
          <w:kern w:val="0"/>
          <w:sz w:val="24"/>
          <w:szCs w:val="24"/>
        </w:rPr>
        <w:t>1、监督依据</w:t>
      </w:r>
    </w:p>
    <w:p>
      <w:pPr>
        <w:widowControl/>
        <w:adjustRightInd w:val="0"/>
        <w:snapToGrid w:val="0"/>
        <w:spacing w:line="360" w:lineRule="auto"/>
        <w:ind w:firstLine="480" w:firstLineChars="200"/>
        <w:rPr>
          <w:kern w:val="0"/>
          <w:sz w:val="24"/>
          <w:szCs w:val="24"/>
        </w:rPr>
      </w:pPr>
      <w:r>
        <w:rPr>
          <w:rFonts w:hint="eastAsia"/>
          <w:kern w:val="0"/>
          <w:sz w:val="24"/>
          <w:szCs w:val="24"/>
        </w:rPr>
        <w:t>基金托管人严格按照有关政策法规、基金合同、托管协议等进行监督。监督依据具体包括：</w:t>
      </w:r>
    </w:p>
    <w:p>
      <w:pPr>
        <w:widowControl/>
        <w:adjustRightInd w:val="0"/>
        <w:snapToGrid w:val="0"/>
        <w:spacing w:line="360" w:lineRule="auto"/>
        <w:ind w:firstLine="480" w:firstLineChars="200"/>
        <w:rPr>
          <w:kern w:val="0"/>
          <w:sz w:val="24"/>
          <w:szCs w:val="24"/>
        </w:rPr>
      </w:pPr>
      <w:r>
        <w:rPr>
          <w:rFonts w:hint="eastAsia"/>
          <w:kern w:val="0"/>
          <w:sz w:val="24"/>
          <w:szCs w:val="24"/>
        </w:rPr>
        <w:t>（1）《中华人民共和国证券法》；</w:t>
      </w:r>
    </w:p>
    <w:p>
      <w:pPr>
        <w:widowControl/>
        <w:adjustRightInd w:val="0"/>
        <w:snapToGrid w:val="0"/>
        <w:spacing w:line="360" w:lineRule="auto"/>
        <w:ind w:firstLine="480" w:firstLineChars="200"/>
        <w:rPr>
          <w:kern w:val="0"/>
          <w:sz w:val="24"/>
          <w:szCs w:val="24"/>
        </w:rPr>
      </w:pPr>
      <w:r>
        <w:rPr>
          <w:rFonts w:hint="eastAsia"/>
          <w:kern w:val="0"/>
          <w:sz w:val="24"/>
          <w:szCs w:val="24"/>
        </w:rPr>
        <w:t>（2）《中华人民共和国证券投资基金法》；</w:t>
      </w:r>
    </w:p>
    <w:p>
      <w:pPr>
        <w:widowControl/>
        <w:adjustRightInd w:val="0"/>
        <w:snapToGrid w:val="0"/>
        <w:spacing w:line="360" w:lineRule="auto"/>
        <w:ind w:firstLine="480" w:firstLineChars="200"/>
        <w:rPr>
          <w:kern w:val="0"/>
          <w:sz w:val="24"/>
          <w:szCs w:val="24"/>
        </w:rPr>
      </w:pPr>
      <w:r>
        <w:rPr>
          <w:rFonts w:hint="eastAsia"/>
          <w:kern w:val="0"/>
          <w:sz w:val="24"/>
          <w:szCs w:val="24"/>
        </w:rPr>
        <w:t>（3）《公开募集证券投资基金运作管理办法》；</w:t>
      </w:r>
    </w:p>
    <w:p>
      <w:pPr>
        <w:widowControl/>
        <w:adjustRightInd w:val="0"/>
        <w:snapToGrid w:val="0"/>
        <w:spacing w:line="360" w:lineRule="auto"/>
        <w:ind w:firstLine="480" w:firstLineChars="200"/>
        <w:rPr>
          <w:kern w:val="0"/>
          <w:sz w:val="24"/>
          <w:szCs w:val="24"/>
        </w:rPr>
      </w:pPr>
      <w:r>
        <w:rPr>
          <w:rFonts w:hint="eastAsia"/>
          <w:kern w:val="0"/>
          <w:sz w:val="24"/>
          <w:szCs w:val="24"/>
        </w:rPr>
        <w:t>（4）《公开募集证券投资基金销售机构监督管理办法》；</w:t>
      </w:r>
    </w:p>
    <w:p>
      <w:pPr>
        <w:widowControl/>
        <w:adjustRightInd w:val="0"/>
        <w:snapToGrid w:val="0"/>
        <w:spacing w:line="360" w:lineRule="auto"/>
        <w:ind w:firstLine="480" w:firstLineChars="200"/>
        <w:rPr>
          <w:kern w:val="0"/>
          <w:sz w:val="24"/>
          <w:szCs w:val="24"/>
        </w:rPr>
      </w:pPr>
      <w:r>
        <w:rPr>
          <w:rFonts w:hint="eastAsia"/>
          <w:kern w:val="0"/>
          <w:sz w:val="24"/>
          <w:szCs w:val="24"/>
        </w:rPr>
        <w:t>（5）《基金合同》、《托管协议》；</w:t>
      </w:r>
    </w:p>
    <w:p>
      <w:pPr>
        <w:widowControl/>
        <w:adjustRightInd w:val="0"/>
        <w:snapToGrid w:val="0"/>
        <w:spacing w:line="360" w:lineRule="auto"/>
        <w:ind w:firstLine="480" w:firstLineChars="200"/>
        <w:rPr>
          <w:kern w:val="0"/>
          <w:sz w:val="24"/>
          <w:szCs w:val="24"/>
        </w:rPr>
      </w:pPr>
      <w:r>
        <w:rPr>
          <w:rFonts w:hint="eastAsia"/>
          <w:kern w:val="0"/>
          <w:sz w:val="24"/>
          <w:szCs w:val="24"/>
        </w:rPr>
        <w:t>（6）法律、法规、政策的其他规定。</w:t>
      </w:r>
    </w:p>
    <w:p>
      <w:pPr>
        <w:widowControl/>
        <w:adjustRightInd w:val="0"/>
        <w:snapToGrid w:val="0"/>
        <w:spacing w:line="360" w:lineRule="auto"/>
        <w:ind w:firstLine="480" w:firstLineChars="200"/>
        <w:rPr>
          <w:kern w:val="0"/>
          <w:sz w:val="24"/>
          <w:szCs w:val="24"/>
        </w:rPr>
      </w:pPr>
      <w:r>
        <w:rPr>
          <w:rFonts w:hint="eastAsia"/>
          <w:kern w:val="0"/>
          <w:sz w:val="24"/>
          <w:szCs w:val="24"/>
        </w:rPr>
        <w:t>2、监督内容</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上海浦东发展银行根据基金合同及托管协议约定，对基金合同生效之后所托管基金的投资范围、投资比例、投资限制等进行严格监督，及时提示基金管理人违规风险。</w:t>
      </w:r>
    </w:p>
    <w:p>
      <w:pPr>
        <w:widowControl/>
        <w:adjustRightInd w:val="0"/>
        <w:snapToGrid w:val="0"/>
        <w:spacing w:line="360" w:lineRule="auto"/>
        <w:ind w:firstLine="480" w:firstLineChars="200"/>
        <w:rPr>
          <w:kern w:val="0"/>
          <w:sz w:val="24"/>
          <w:szCs w:val="24"/>
        </w:rPr>
      </w:pPr>
      <w:r>
        <w:rPr>
          <w:rFonts w:hint="eastAsia"/>
          <w:kern w:val="0"/>
          <w:sz w:val="24"/>
          <w:szCs w:val="24"/>
        </w:rPr>
        <w:t>3、监督方法</w:t>
      </w:r>
    </w:p>
    <w:p>
      <w:pPr>
        <w:widowControl/>
        <w:adjustRightInd w:val="0"/>
        <w:snapToGrid w:val="0"/>
        <w:spacing w:line="360" w:lineRule="auto"/>
        <w:ind w:firstLine="480" w:firstLineChars="200"/>
        <w:rPr>
          <w:kern w:val="0"/>
          <w:sz w:val="24"/>
          <w:szCs w:val="24"/>
        </w:rPr>
      </w:pPr>
      <w:r>
        <w:rPr>
          <w:rFonts w:hint="eastAsia"/>
          <w:kern w:val="0"/>
          <w:sz w:val="24"/>
          <w:szCs w:val="24"/>
        </w:rPr>
        <w:t>（1）资产托管部设置核算监督岗位，配备相应的业务人员，在授权范围内独立行使对基金管理人投资交易行为的监督职责，规范基金运作，维护基金投资人的合法权益，不受任何外界力量的干预；</w:t>
      </w:r>
    </w:p>
    <w:p>
      <w:pPr>
        <w:widowControl/>
        <w:adjustRightInd w:val="0"/>
        <w:snapToGrid w:val="0"/>
        <w:spacing w:line="360" w:lineRule="auto"/>
        <w:ind w:firstLine="480" w:firstLineChars="200"/>
        <w:rPr>
          <w:kern w:val="0"/>
          <w:sz w:val="24"/>
          <w:szCs w:val="24"/>
        </w:rPr>
      </w:pPr>
      <w:r>
        <w:rPr>
          <w:rFonts w:hint="eastAsia"/>
          <w:kern w:val="0"/>
          <w:sz w:val="24"/>
          <w:szCs w:val="24"/>
        </w:rPr>
        <w:t>（2）在日常运作中，凡可量化的监督指标，由核算监督岗通过托管业务的自动处理程序进行监督，实现系统的自动跟踪和预警；</w:t>
      </w:r>
    </w:p>
    <w:p>
      <w:pPr>
        <w:widowControl/>
        <w:adjustRightInd w:val="0"/>
        <w:snapToGrid w:val="0"/>
        <w:spacing w:line="360" w:lineRule="auto"/>
        <w:ind w:firstLine="480" w:firstLineChars="200"/>
        <w:rPr>
          <w:kern w:val="0"/>
          <w:sz w:val="24"/>
          <w:szCs w:val="24"/>
        </w:rPr>
      </w:pPr>
      <w:r>
        <w:rPr>
          <w:rFonts w:hint="eastAsia"/>
          <w:kern w:val="0"/>
          <w:sz w:val="24"/>
          <w:szCs w:val="24"/>
        </w:rPr>
        <w:t>（3）对非量化指标、投资指令、基金管理人提供的各种报表和报告等，采取人工监督的方法。</w:t>
      </w:r>
    </w:p>
    <w:p>
      <w:pPr>
        <w:widowControl/>
        <w:adjustRightInd w:val="0"/>
        <w:snapToGrid w:val="0"/>
        <w:spacing w:line="360" w:lineRule="auto"/>
        <w:ind w:firstLine="480" w:firstLineChars="200"/>
        <w:rPr>
          <w:kern w:val="0"/>
          <w:sz w:val="24"/>
          <w:szCs w:val="24"/>
        </w:rPr>
      </w:pPr>
      <w:r>
        <w:rPr>
          <w:rFonts w:hint="eastAsia"/>
          <w:kern w:val="0"/>
          <w:sz w:val="24"/>
          <w:szCs w:val="24"/>
        </w:rPr>
        <w:t>4、监督结果的处理方式</w:t>
      </w:r>
    </w:p>
    <w:p>
      <w:pPr>
        <w:widowControl/>
        <w:adjustRightInd w:val="0"/>
        <w:snapToGrid w:val="0"/>
        <w:spacing w:line="360" w:lineRule="auto"/>
        <w:ind w:firstLine="480" w:firstLineChars="200"/>
        <w:rPr>
          <w:kern w:val="0"/>
          <w:sz w:val="24"/>
          <w:szCs w:val="24"/>
        </w:rPr>
      </w:pPr>
      <w:r>
        <w:rPr>
          <w:rFonts w:hint="eastAsia"/>
          <w:kern w:val="0"/>
          <w:sz w:val="24"/>
          <w:szCs w:val="24"/>
        </w:rPr>
        <w:t>（1）基金托管人对基金管理人的投资运作监督结果，采取定期和不定期报告形式向基金管理人和中国证监会报告。定期报告包括基金监控周报等。不定期报告包括提示函、临时日报、其他临时报告等；</w:t>
      </w:r>
    </w:p>
    <w:p>
      <w:pPr>
        <w:widowControl/>
        <w:adjustRightInd w:val="0"/>
        <w:snapToGrid w:val="0"/>
        <w:spacing w:line="360" w:lineRule="auto"/>
        <w:ind w:firstLine="480" w:firstLineChars="200"/>
        <w:rPr>
          <w:kern w:val="0"/>
          <w:sz w:val="24"/>
          <w:szCs w:val="24"/>
        </w:rPr>
      </w:pPr>
      <w:r>
        <w:rPr>
          <w:rFonts w:hint="eastAsia"/>
          <w:kern w:val="0"/>
          <w:sz w:val="24"/>
          <w:szCs w:val="24"/>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pPr>
        <w:adjustRightInd w:val="0"/>
        <w:snapToGrid w:val="0"/>
        <w:spacing w:line="360" w:lineRule="auto"/>
        <w:ind w:firstLine="480" w:firstLineChars="200"/>
        <w:rPr>
          <w:color w:val="000000"/>
          <w:sz w:val="24"/>
          <w:szCs w:val="24"/>
        </w:rPr>
      </w:pPr>
      <w:r>
        <w:rPr>
          <w:rFonts w:hint="eastAsia"/>
          <w:kern w:val="0"/>
          <w:sz w:val="24"/>
          <w:szCs w:val="24"/>
        </w:rPr>
        <w:t>（3）针对中国证监会、中国人民银行对基金投资运作监督情况的检查，应及时提供有关情况和资料。</w:t>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1" w:name="_Toc109537383"/>
      <w:r>
        <w:rPr>
          <w:rFonts w:ascii="宋体" w:hAnsi="宋体"/>
          <w:b/>
          <w:kern w:val="0"/>
          <w:sz w:val="30"/>
        </w:rPr>
        <w:br w:type="page"/>
      </w:r>
      <w:bookmarkStart w:id="12" w:name="_Toc48122006"/>
      <w:r>
        <w:rPr>
          <w:rFonts w:hint="eastAsia" w:ascii="宋体" w:hAnsi="宋体"/>
          <w:b/>
          <w:kern w:val="0"/>
          <w:sz w:val="30"/>
        </w:rPr>
        <w:t>五、相关服务机构</w:t>
      </w:r>
      <w:bookmarkEnd w:id="11"/>
      <w:bookmarkEnd w:id="12"/>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张宏良</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（1）上海浦东发展银行股份有限公司</w:t>
      </w:r>
    </w:p>
    <w:p>
      <w:pPr>
        <w:adjustRightInd w:val="0"/>
        <w:snapToGrid w:val="0"/>
        <w:spacing w:line="360" w:lineRule="auto"/>
        <w:ind w:firstLine="480" w:firstLineChars="200"/>
        <w:rPr>
          <w:rFonts w:hAnsi="宋体"/>
          <w:sz w:val="24"/>
        </w:rPr>
      </w:pPr>
      <w:r>
        <w:rPr>
          <w:rFonts w:hint="eastAsia" w:hAnsi="宋体"/>
          <w:sz w:val="24"/>
        </w:rPr>
        <w:t>住所：上海市中山东一路12号</w:t>
      </w:r>
    </w:p>
    <w:p>
      <w:pPr>
        <w:adjustRightInd w:val="0"/>
        <w:snapToGrid w:val="0"/>
        <w:spacing w:line="360" w:lineRule="auto"/>
        <w:ind w:firstLine="480" w:firstLineChars="200"/>
        <w:rPr>
          <w:rFonts w:hAnsi="宋体"/>
          <w:sz w:val="24"/>
        </w:rPr>
      </w:pPr>
      <w:r>
        <w:rPr>
          <w:rFonts w:hint="eastAsia" w:hAnsi="宋体"/>
          <w:sz w:val="24"/>
        </w:rPr>
        <w:t>办公地址：上海市博成路1388号浦银中心A栋</w:t>
      </w:r>
    </w:p>
    <w:p>
      <w:pPr>
        <w:adjustRightInd w:val="0"/>
        <w:snapToGrid w:val="0"/>
        <w:spacing w:line="360" w:lineRule="auto"/>
        <w:ind w:firstLine="480" w:firstLineChars="200"/>
        <w:rPr>
          <w:rFonts w:hAnsi="宋体"/>
          <w:sz w:val="24"/>
        </w:rPr>
      </w:pPr>
      <w:r>
        <w:rPr>
          <w:rFonts w:hint="eastAsia" w:hAnsi="宋体"/>
          <w:sz w:val="24"/>
        </w:rPr>
        <w:t>法定代表人：张为忠</w:t>
      </w:r>
    </w:p>
    <w:p>
      <w:pPr>
        <w:adjustRightInd w:val="0"/>
        <w:snapToGrid w:val="0"/>
        <w:spacing w:line="360" w:lineRule="auto"/>
        <w:ind w:firstLine="480" w:firstLineChars="200"/>
        <w:rPr>
          <w:rFonts w:hAnsi="宋体"/>
          <w:sz w:val="24"/>
        </w:rPr>
      </w:pPr>
      <w:r>
        <w:rPr>
          <w:rFonts w:hint="eastAsia" w:hAnsi="宋体"/>
          <w:sz w:val="24"/>
        </w:rPr>
        <w:t>电话：（021）61618888</w:t>
      </w:r>
    </w:p>
    <w:p>
      <w:pPr>
        <w:adjustRightInd w:val="0"/>
        <w:snapToGrid w:val="0"/>
        <w:spacing w:line="360" w:lineRule="auto"/>
        <w:ind w:firstLine="480" w:firstLineChars="200"/>
        <w:rPr>
          <w:rFonts w:hAnsi="宋体"/>
          <w:sz w:val="24"/>
        </w:rPr>
      </w:pPr>
      <w:r>
        <w:rPr>
          <w:rFonts w:hint="eastAsia" w:hAnsi="宋体"/>
          <w:sz w:val="24"/>
        </w:rPr>
        <w:t>传真：（021）61618888</w:t>
      </w:r>
    </w:p>
    <w:p>
      <w:pPr>
        <w:adjustRightInd w:val="0"/>
        <w:snapToGrid w:val="0"/>
        <w:spacing w:line="360" w:lineRule="auto"/>
        <w:ind w:firstLine="480" w:firstLineChars="200"/>
        <w:rPr>
          <w:rFonts w:hAnsi="宋体"/>
          <w:sz w:val="24"/>
        </w:rPr>
      </w:pPr>
      <w:r>
        <w:rPr>
          <w:rFonts w:hint="eastAsia" w:hAnsi="宋体"/>
          <w:sz w:val="24"/>
        </w:rPr>
        <w:t>联系人：赵守良</w:t>
      </w:r>
    </w:p>
    <w:p>
      <w:pPr>
        <w:adjustRightInd w:val="0"/>
        <w:snapToGrid w:val="0"/>
        <w:spacing w:line="360" w:lineRule="auto"/>
        <w:ind w:firstLine="480" w:firstLineChars="200"/>
        <w:rPr>
          <w:rFonts w:hAnsi="宋体"/>
          <w:sz w:val="24"/>
        </w:rPr>
      </w:pPr>
      <w:r>
        <w:rPr>
          <w:rFonts w:hint="eastAsia" w:hAnsi="宋体"/>
          <w:sz w:val="24"/>
        </w:rPr>
        <w:t>客户服务电话：95528</w:t>
      </w:r>
    </w:p>
    <w:p>
      <w:pPr>
        <w:adjustRightInd w:val="0"/>
        <w:snapToGrid w:val="0"/>
        <w:spacing w:line="360" w:lineRule="auto"/>
        <w:ind w:firstLine="480" w:firstLineChars="200"/>
        <w:rPr>
          <w:rFonts w:hAnsi="宋体"/>
          <w:sz w:val="24"/>
        </w:rPr>
      </w:pPr>
      <w:r>
        <w:rPr>
          <w:rFonts w:hint="eastAsia" w:hAnsi="宋体"/>
          <w:sz w:val="24"/>
        </w:rPr>
        <w:t>网址：www.spdb.com.cn</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联系人：范瑞波</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t>
      </w:r>
      <w:r>
        <w:fldChar w:fldCharType="begin"/>
      </w:r>
      <w:r>
        <w:instrText xml:space="preserve"> HYPERLINK "http://www.bankcomm.com" </w:instrText>
      </w:r>
      <w:r>
        <w:fldChar w:fldCharType="separate"/>
      </w:r>
      <w:r>
        <w:rPr>
          <w:rStyle w:val="31"/>
          <w:rFonts w:hint="eastAsia" w:hAnsi="宋体"/>
          <w:sz w:val="24"/>
        </w:rPr>
        <w:t>www.bankcomm.com</w:t>
      </w:r>
      <w:r>
        <w:rPr>
          <w:rStyle w:val="31"/>
          <w:rFonts w:hint="eastAsia" w:hAnsi="宋体"/>
          <w:sz w:val="24"/>
        </w:rPr>
        <w:fldChar w:fldCharType="end"/>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rFonts w:hAnsi="宋体"/>
          <w:kern w:val="0"/>
          <w:sz w:val="24"/>
        </w:rPr>
      </w:pPr>
      <w:r>
        <w:rPr>
          <w:rFonts w:hint="eastAsia" w:hAnsi="宋体"/>
          <w:kern w:val="0"/>
          <w:sz w:val="24"/>
        </w:rPr>
        <w:t xml:space="preserve">名称：交银施罗德基金管理有限公司 </w:t>
      </w:r>
    </w:p>
    <w:p>
      <w:pPr>
        <w:adjustRightInd w:val="0"/>
        <w:snapToGrid w:val="0"/>
        <w:spacing w:line="360" w:lineRule="auto"/>
        <w:ind w:firstLine="480" w:firstLineChars="200"/>
        <w:rPr>
          <w:rFonts w:hAnsi="宋体"/>
          <w:kern w:val="0"/>
          <w:sz w:val="24"/>
        </w:rPr>
      </w:pPr>
      <w:r>
        <w:rPr>
          <w:rFonts w:hint="eastAsia" w:hAnsi="宋体"/>
          <w:kern w:val="0"/>
          <w:sz w:val="24"/>
        </w:rPr>
        <w:t>住所：中国（上海）自由贸易试验区银城中路188号交通银行大楼二层（裙）</w:t>
      </w:r>
    </w:p>
    <w:p>
      <w:pPr>
        <w:adjustRightInd w:val="0"/>
        <w:snapToGrid w:val="0"/>
        <w:spacing w:line="360" w:lineRule="auto"/>
        <w:ind w:firstLine="480" w:firstLineChars="200"/>
        <w:rPr>
          <w:rFonts w:hAnsi="宋体"/>
          <w:kern w:val="0"/>
          <w:sz w:val="24"/>
        </w:rPr>
      </w:pPr>
      <w:r>
        <w:rPr>
          <w:rFonts w:hint="eastAsia" w:hAnsi="宋体"/>
          <w:kern w:val="0"/>
          <w:sz w:val="24"/>
        </w:rPr>
        <w:t>办公地址：上海市浦东新区世纪大道8号国金中心二期21-22楼</w:t>
      </w:r>
    </w:p>
    <w:p>
      <w:pPr>
        <w:adjustRightInd w:val="0"/>
        <w:snapToGrid w:val="0"/>
        <w:spacing w:line="360" w:lineRule="auto"/>
        <w:ind w:firstLine="480" w:firstLineChars="200"/>
        <w:rPr>
          <w:rFonts w:hAnsi="宋体"/>
          <w:kern w:val="0"/>
          <w:sz w:val="24"/>
        </w:rPr>
      </w:pPr>
      <w:r>
        <w:rPr>
          <w:rFonts w:hint="eastAsia" w:hAnsi="宋体"/>
          <w:kern w:val="0"/>
          <w:sz w:val="24"/>
        </w:rPr>
        <w:t>法定代表人：张宏良</w:t>
      </w:r>
    </w:p>
    <w:p>
      <w:pPr>
        <w:adjustRightInd w:val="0"/>
        <w:snapToGrid w:val="0"/>
        <w:spacing w:line="360" w:lineRule="auto"/>
        <w:ind w:firstLine="480" w:firstLineChars="200"/>
        <w:rPr>
          <w:rFonts w:hAnsi="宋体"/>
          <w:kern w:val="0"/>
          <w:sz w:val="24"/>
        </w:rPr>
      </w:pPr>
      <w:r>
        <w:rPr>
          <w:rFonts w:hint="eastAsia" w:hAnsi="宋体"/>
          <w:kern w:val="0"/>
          <w:sz w:val="24"/>
        </w:rPr>
        <w:t>电话：（021）61055461</w:t>
      </w:r>
    </w:p>
    <w:p>
      <w:pPr>
        <w:adjustRightInd w:val="0"/>
        <w:snapToGrid w:val="0"/>
        <w:spacing w:line="360" w:lineRule="auto"/>
        <w:ind w:firstLine="480" w:firstLineChars="200"/>
        <w:rPr>
          <w:rFonts w:hAnsi="宋体"/>
          <w:kern w:val="0"/>
          <w:sz w:val="24"/>
        </w:rPr>
      </w:pPr>
      <w:r>
        <w:rPr>
          <w:rFonts w:hint="eastAsia" w:hAnsi="宋体"/>
          <w:kern w:val="0"/>
          <w:sz w:val="24"/>
        </w:rPr>
        <w:t>传真：（021）61055064</w:t>
      </w:r>
    </w:p>
    <w:p>
      <w:pPr>
        <w:widowControl/>
        <w:adjustRightInd w:val="0"/>
        <w:snapToGrid w:val="0"/>
        <w:spacing w:line="360" w:lineRule="auto"/>
        <w:ind w:firstLine="480" w:firstLineChars="200"/>
        <w:outlineLvl w:val="1"/>
        <w:rPr>
          <w:rFonts w:hAnsi="宋体"/>
          <w:b/>
          <w:kern w:val="0"/>
          <w:sz w:val="24"/>
        </w:rPr>
      </w:pPr>
      <w:r>
        <w:rPr>
          <w:rFonts w:hint="eastAsia" w:hAnsi="宋体"/>
          <w:kern w:val="0"/>
          <w:sz w:val="24"/>
        </w:rPr>
        <w:t>联系人：陈方强</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18-20</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Ansi="宋体"/>
          <w:kern w:val="0"/>
          <w:sz w:val="24"/>
        </w:rPr>
      </w:pPr>
      <w:r>
        <w:rPr>
          <w:rFonts w:hint="eastAsia" w:hAnsi="宋体"/>
          <w:kern w:val="0"/>
          <w:sz w:val="24"/>
        </w:rPr>
        <w:t>名称：容诚会计师事务所（特殊普通合伙）</w:t>
      </w:r>
    </w:p>
    <w:p>
      <w:pPr>
        <w:widowControl/>
        <w:adjustRightInd w:val="0"/>
        <w:snapToGrid w:val="0"/>
        <w:spacing w:line="360" w:lineRule="auto"/>
        <w:ind w:firstLine="480" w:firstLineChars="200"/>
        <w:rPr>
          <w:rFonts w:hAnsi="宋体"/>
          <w:kern w:val="0"/>
          <w:sz w:val="24"/>
        </w:rPr>
      </w:pPr>
      <w:r>
        <w:rPr>
          <w:rFonts w:hint="eastAsia" w:hAnsi="宋体"/>
          <w:kern w:val="0"/>
          <w:sz w:val="24"/>
        </w:rPr>
        <w:t>注册地址：北京市西城区阜成门外大街22号1幢外经贸大厦901-22至901-26</w:t>
      </w:r>
    </w:p>
    <w:p>
      <w:pPr>
        <w:widowControl/>
        <w:adjustRightInd w:val="0"/>
        <w:snapToGrid w:val="0"/>
        <w:spacing w:line="360" w:lineRule="auto"/>
        <w:ind w:firstLine="480" w:firstLineChars="200"/>
        <w:rPr>
          <w:rFonts w:hAnsi="宋体"/>
          <w:kern w:val="0"/>
          <w:sz w:val="24"/>
        </w:rPr>
      </w:pPr>
      <w:r>
        <w:rPr>
          <w:rFonts w:hint="eastAsia" w:hAnsi="宋体"/>
          <w:kern w:val="0"/>
          <w:sz w:val="24"/>
        </w:rPr>
        <w:t>办公地址：北京市西城区阜成门外大街22号1幢外经贸大厦901-22至901-26</w:t>
      </w:r>
    </w:p>
    <w:p>
      <w:pPr>
        <w:widowControl/>
        <w:adjustRightInd w:val="0"/>
        <w:snapToGrid w:val="0"/>
        <w:spacing w:line="360" w:lineRule="auto"/>
        <w:ind w:firstLine="480" w:firstLineChars="200"/>
        <w:rPr>
          <w:rFonts w:hAnsi="宋体"/>
          <w:kern w:val="0"/>
          <w:sz w:val="24"/>
        </w:rPr>
      </w:pPr>
      <w:r>
        <w:rPr>
          <w:rFonts w:hint="eastAsia" w:hAnsi="宋体"/>
          <w:kern w:val="0"/>
          <w:sz w:val="24"/>
        </w:rPr>
        <w:t>电话：010-66001391</w:t>
      </w:r>
    </w:p>
    <w:p>
      <w:pPr>
        <w:widowControl/>
        <w:adjustRightInd w:val="0"/>
        <w:snapToGrid w:val="0"/>
        <w:spacing w:line="360" w:lineRule="auto"/>
        <w:ind w:firstLine="480" w:firstLineChars="200"/>
        <w:rPr>
          <w:rFonts w:hAnsi="宋体"/>
          <w:kern w:val="0"/>
          <w:sz w:val="24"/>
        </w:rPr>
      </w:pPr>
      <w:r>
        <w:rPr>
          <w:rFonts w:hint="eastAsia" w:hAnsi="宋体"/>
          <w:kern w:val="0"/>
          <w:sz w:val="24"/>
        </w:rPr>
        <w:t>传真：010-66001391</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执行事务合伙人：肖厚发、刘维</w:t>
      </w:r>
    </w:p>
    <w:p>
      <w:pPr>
        <w:widowControl/>
        <w:adjustRightInd w:val="0"/>
        <w:snapToGrid w:val="0"/>
        <w:spacing w:line="360" w:lineRule="auto"/>
        <w:ind w:firstLine="480" w:firstLineChars="200"/>
        <w:rPr>
          <w:rFonts w:hAnsi="宋体"/>
          <w:kern w:val="0"/>
          <w:sz w:val="24"/>
        </w:rPr>
      </w:pPr>
      <w:r>
        <w:rPr>
          <w:rFonts w:hint="eastAsia" w:hAnsi="宋体"/>
          <w:kern w:val="0"/>
          <w:sz w:val="24"/>
        </w:rPr>
        <w:t>经办会计师：沈兆杰、李隐煜</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联系人：李隐煜</w:t>
      </w:r>
    </w:p>
    <w:p>
      <w:pPr>
        <w:widowControl/>
        <w:adjustRightInd w:val="0"/>
        <w:snapToGrid w:val="0"/>
        <w:spacing w:line="360" w:lineRule="auto"/>
        <w:ind w:firstLine="480" w:firstLineChars="200"/>
        <w:rPr>
          <w:rFonts w:hAnsi="宋体"/>
          <w:kern w:val="0"/>
          <w:sz w:val="24"/>
        </w:rPr>
      </w:pPr>
    </w:p>
    <w:p>
      <w:pPr>
        <w:spacing w:line="360" w:lineRule="auto"/>
        <w:jc w:val="center"/>
        <w:outlineLvl w:val="0"/>
        <w:rPr>
          <w:rFonts w:ascii="宋体" w:hAnsi="宋体"/>
          <w:b/>
          <w:kern w:val="0"/>
          <w:sz w:val="30"/>
        </w:rPr>
      </w:pPr>
      <w:r>
        <w:rPr>
          <w:rFonts w:hAnsi="宋体"/>
          <w:kern w:val="0"/>
          <w:sz w:val="24"/>
        </w:rPr>
        <w:br w:type="page"/>
      </w:r>
      <w:bookmarkStart w:id="13" w:name="_Toc48122007"/>
      <w:r>
        <w:rPr>
          <w:rFonts w:hint="eastAsia" w:ascii="宋体" w:hAnsi="宋体"/>
          <w:b/>
          <w:kern w:val="0"/>
          <w:sz w:val="30"/>
        </w:rPr>
        <w:t>六、基金的募集</w:t>
      </w:r>
      <w:bookmarkEnd w:id="13"/>
    </w:p>
    <w:p>
      <w:pPr>
        <w:adjustRightInd w:val="0"/>
        <w:snapToGrid w:val="0"/>
        <w:spacing w:line="360" w:lineRule="auto"/>
        <w:ind w:firstLine="482" w:firstLineChars="200"/>
        <w:outlineLvl w:val="1"/>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rFonts w:hint="eastAsia"/>
          <w:kern w:val="0"/>
          <w:sz w:val="24"/>
        </w:rPr>
        <w:t>20</w:t>
      </w:r>
      <w:r>
        <w:rPr>
          <w:rFonts w:hint="eastAsia"/>
          <w:kern w:val="0"/>
          <w:sz w:val="24"/>
          <w:lang w:val="en-US" w:eastAsia="zh-CN"/>
        </w:rPr>
        <w:t>25</w:t>
      </w:r>
      <w:r>
        <w:rPr>
          <w:rFonts w:hint="eastAsia"/>
          <w:kern w:val="0"/>
          <w:sz w:val="24"/>
        </w:rPr>
        <w:t>年</w:t>
      </w:r>
      <w:r>
        <w:rPr>
          <w:rFonts w:hint="eastAsia"/>
          <w:kern w:val="0"/>
          <w:sz w:val="24"/>
          <w:lang w:val="en-US" w:eastAsia="zh-CN"/>
        </w:rPr>
        <w:t>5</w:t>
      </w:r>
      <w:r>
        <w:rPr>
          <w:rFonts w:hint="eastAsia"/>
          <w:kern w:val="0"/>
          <w:sz w:val="24"/>
        </w:rPr>
        <w:t>月</w:t>
      </w:r>
      <w:r>
        <w:rPr>
          <w:rFonts w:hint="eastAsia"/>
          <w:kern w:val="0"/>
          <w:sz w:val="24"/>
          <w:lang w:val="en-US" w:eastAsia="zh-CN"/>
        </w:rPr>
        <w:t>23</w:t>
      </w:r>
      <w:r>
        <w:rPr>
          <w:rFonts w:hint="eastAsia"/>
          <w:kern w:val="0"/>
          <w:sz w:val="24"/>
        </w:rPr>
        <w:t>日</w:t>
      </w:r>
      <w:r>
        <w:rPr>
          <w:kern w:val="0"/>
          <w:sz w:val="24"/>
        </w:rPr>
        <w:t>证监许可</w:t>
      </w:r>
      <w:r>
        <w:rPr>
          <w:rFonts w:hint="eastAsia"/>
          <w:kern w:val="0"/>
          <w:sz w:val="24"/>
        </w:rPr>
        <w:t>【2</w:t>
      </w:r>
      <w:r>
        <w:rPr>
          <w:kern w:val="0"/>
          <w:sz w:val="24"/>
        </w:rPr>
        <w:t>0</w:t>
      </w:r>
      <w:r>
        <w:rPr>
          <w:rFonts w:hint="eastAsia"/>
          <w:kern w:val="0"/>
          <w:sz w:val="24"/>
          <w:lang w:val="en-US" w:eastAsia="zh-CN"/>
        </w:rPr>
        <w:t>25</w:t>
      </w:r>
      <w:r>
        <w:rPr>
          <w:kern w:val="0"/>
          <w:sz w:val="24"/>
        </w:rPr>
        <w:t>】</w:t>
      </w:r>
      <w:r>
        <w:rPr>
          <w:rFonts w:hint="eastAsia"/>
          <w:kern w:val="0"/>
          <w:sz w:val="24"/>
          <w:lang w:val="en-US" w:eastAsia="zh-CN"/>
        </w:rPr>
        <w:t>1107</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adjustRightInd w:val="0"/>
        <w:snapToGrid w:val="0"/>
        <w:spacing w:line="360" w:lineRule="auto"/>
        <w:ind w:firstLine="482" w:firstLineChars="200"/>
        <w:outlineLvl w:val="1"/>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outlineLvl w:val="1"/>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2" w:firstLineChars="200"/>
        <w:outlineLvl w:val="1"/>
        <w:rPr>
          <w:b/>
          <w:sz w:val="24"/>
          <w:szCs w:val="24"/>
        </w:rPr>
      </w:pPr>
      <w:bookmarkStart w:id="14"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outlineLvl w:val="1"/>
        <w:rPr>
          <w:b/>
          <w:bCs/>
          <w:sz w:val="24"/>
        </w:rPr>
      </w:pPr>
      <w:r>
        <w:rPr>
          <w:rFonts w:hint="eastAsia"/>
          <w:b/>
          <w:bCs/>
          <w:sz w:val="24"/>
        </w:rPr>
        <w:t>（五）基金份额类别</w:t>
      </w:r>
    </w:p>
    <w:p>
      <w:pPr>
        <w:adjustRightInd w:val="0"/>
        <w:snapToGrid w:val="0"/>
        <w:spacing w:line="360" w:lineRule="auto"/>
        <w:ind w:firstLine="480" w:firstLineChars="200"/>
        <w:rPr>
          <w:sz w:val="24"/>
        </w:rPr>
      </w:pPr>
      <w:r>
        <w:rPr>
          <w:rFonts w:hint="eastAsia"/>
          <w:sz w:val="24"/>
        </w:rPr>
        <w:t>本基金根据认购/申购费用、销售服务费收取方式的不同，将基金份额分为不同的类别。在投资人认购/申购时收取认购/申购费用、不从本类别基金资产中计提销售服务费的，称为A类基金份额；在投资人认购/申购时不收取认购/申购费用、从本类别基金资产中计提销售服务费的，称为C类基金份额。</w:t>
      </w:r>
    </w:p>
    <w:p>
      <w:pPr>
        <w:adjustRightInd w:val="0"/>
        <w:snapToGrid w:val="0"/>
        <w:spacing w:line="360" w:lineRule="auto"/>
        <w:ind w:firstLine="480" w:firstLineChars="200"/>
        <w:rPr>
          <w:sz w:val="24"/>
        </w:rPr>
      </w:pPr>
      <w:r>
        <w:rPr>
          <w:rFonts w:hint="eastAsia"/>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outlineLvl w:val="1"/>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w:t>
      </w:r>
      <w:r>
        <w:rPr>
          <w:rFonts w:hint="eastAsia"/>
          <w:sz w:val="24"/>
        </w:rPr>
        <w:t>，各销售机构的具体名单见基金份额发售公告以及基金管理人网站</w:t>
      </w:r>
      <w:r>
        <w:rPr>
          <w:sz w:val="24"/>
        </w:rPr>
        <w:t>。募集期间个人投资者可以通过</w:t>
      </w:r>
      <w:r>
        <w:rPr>
          <w:rFonts w:hint="eastAsia"/>
          <w:sz w:val="24"/>
        </w:rPr>
        <w:t>基金管理人</w:t>
      </w:r>
      <w:r>
        <w:rPr>
          <w:sz w:val="24"/>
        </w:rPr>
        <w:t>网上直销交易平台办理开户和本基金的认购业务</w:t>
      </w:r>
      <w:r>
        <w:rPr>
          <w:rFonts w:hint="eastAsia"/>
          <w:sz w:val="24"/>
        </w:rPr>
        <w:t>，</w:t>
      </w:r>
      <w:r>
        <w:rPr>
          <w:sz w:val="24"/>
        </w:rPr>
        <w:t>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pPr>
        <w:adjustRightInd w:val="0"/>
        <w:snapToGrid w:val="0"/>
        <w:spacing w:line="360" w:lineRule="auto"/>
        <w:ind w:firstLine="480" w:firstLineChars="200"/>
        <w:outlineLvl w:val="2"/>
        <w:rPr>
          <w:sz w:val="24"/>
        </w:rPr>
      </w:pPr>
      <w:r>
        <w:rPr>
          <w:sz w:val="24"/>
        </w:rPr>
        <w:t>1、基金份额的发售时间、方式和对象</w:t>
      </w:r>
    </w:p>
    <w:p>
      <w:pPr>
        <w:adjustRightInd w:val="0"/>
        <w:snapToGrid w:val="0"/>
        <w:spacing w:line="360" w:lineRule="auto"/>
        <w:ind w:left="105" w:leftChars="50" w:firstLine="360" w:firstLineChars="150"/>
        <w:rPr>
          <w:sz w:val="24"/>
        </w:rPr>
      </w:pPr>
      <w:r>
        <w:rPr>
          <w:sz w:val="24"/>
        </w:rPr>
        <w:t>（1）募集期限：自基金份额发售之日起不超过3个月。本基金自</w:t>
      </w:r>
      <w:r>
        <w:rPr>
          <w:rFonts w:hint="eastAsia"/>
          <w:kern w:val="0"/>
          <w:sz w:val="24"/>
          <w:lang w:val="en-US" w:eastAsia="zh-CN"/>
        </w:rPr>
        <w:t>2025年5月27日</w:t>
      </w:r>
      <w:r>
        <w:rPr>
          <w:rFonts w:hint="eastAsia"/>
          <w:sz w:val="24"/>
        </w:rPr>
        <w:t>起至</w:t>
      </w:r>
      <w:r>
        <w:rPr>
          <w:rFonts w:hint="eastAsia"/>
          <w:kern w:val="0"/>
          <w:sz w:val="24"/>
        </w:rPr>
        <w:t>2025年</w:t>
      </w:r>
      <w:r>
        <w:rPr>
          <w:rFonts w:hint="eastAsia"/>
          <w:kern w:val="0"/>
          <w:sz w:val="24"/>
          <w:lang w:val="en-US" w:eastAsia="zh-CN"/>
        </w:rPr>
        <w:t>6</w:t>
      </w:r>
      <w:r>
        <w:rPr>
          <w:rFonts w:hint="eastAsia"/>
          <w:kern w:val="0"/>
          <w:sz w:val="24"/>
        </w:rPr>
        <w:t>月</w:t>
      </w:r>
      <w:r>
        <w:rPr>
          <w:rFonts w:hint="eastAsia"/>
          <w:kern w:val="0"/>
          <w:sz w:val="24"/>
          <w:lang w:val="en-US" w:eastAsia="zh-CN"/>
        </w:rPr>
        <w:t>20</w:t>
      </w:r>
      <w:r>
        <w:rPr>
          <w:rFonts w:hint="eastAsia"/>
          <w:kern w:val="0"/>
          <w:sz w:val="24"/>
        </w:rPr>
        <w:t>日</w:t>
      </w:r>
      <w:bookmarkStart w:id="118" w:name="_GoBack"/>
      <w:bookmarkEnd w:id="118"/>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pPr>
      <w:r>
        <w:rPr>
          <w:sz w:val="24"/>
        </w:rPr>
        <w:t>（2）销售渠道：</w:t>
      </w:r>
      <w:r>
        <w:rPr>
          <w:rFonts w:hint="eastAsia"/>
          <w:sz w:val="24"/>
        </w:rPr>
        <w:t>销售机构</w:t>
      </w:r>
      <w:r>
        <w:rPr>
          <w:sz w:val="24"/>
        </w:rPr>
        <w:t>具体名单见基金份额发售公告</w:t>
      </w:r>
      <w:r>
        <w:rPr>
          <w:rFonts w:hint="eastAsia"/>
          <w:sz w:val="24"/>
        </w:rPr>
        <w:t>以及基金管理人网站</w:t>
      </w:r>
      <w:r>
        <w:t>。</w:t>
      </w:r>
    </w:p>
    <w:p>
      <w:pPr>
        <w:adjustRightInd w:val="0"/>
        <w:snapToGrid w:val="0"/>
        <w:spacing w:line="360" w:lineRule="auto"/>
        <w:ind w:firstLine="480" w:firstLineChars="200"/>
        <w:rPr>
          <w:sz w:val="24"/>
        </w:rPr>
      </w:pPr>
      <w:r>
        <w:rPr>
          <w:sz w:val="24"/>
        </w:rPr>
        <w:t>（3）销售对象：</w:t>
      </w: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sz w:val="24"/>
        </w:rPr>
        <w:t>。</w:t>
      </w:r>
    </w:p>
    <w:p>
      <w:pPr>
        <w:adjustRightInd w:val="0"/>
        <w:snapToGrid w:val="0"/>
        <w:spacing w:line="360" w:lineRule="auto"/>
        <w:ind w:firstLine="480" w:firstLineChars="200"/>
        <w:outlineLvl w:val="2"/>
        <w:rPr>
          <w:sz w:val="24"/>
        </w:rPr>
      </w:pPr>
      <w:r>
        <w:rPr>
          <w:sz w:val="24"/>
        </w:rPr>
        <w:t>2、基金份额的认购和持有限制</w:t>
      </w:r>
    </w:p>
    <w:p>
      <w:pPr>
        <w:adjustRightInd w:val="0"/>
        <w:snapToGrid w:val="0"/>
        <w:spacing w:line="360" w:lineRule="auto"/>
        <w:ind w:firstLine="480" w:firstLineChars="200"/>
        <w:rPr>
          <w:sz w:val="24"/>
        </w:rPr>
      </w:pPr>
      <w:r>
        <w:rPr>
          <w:sz w:val="24"/>
        </w:rPr>
        <w:t>（1）基金份额的认购采用金额认购方式。</w:t>
      </w:r>
    </w:p>
    <w:p>
      <w:pPr>
        <w:adjustRightInd w:val="0"/>
        <w:snapToGrid w:val="0"/>
        <w:spacing w:line="360" w:lineRule="auto"/>
        <w:ind w:firstLine="480" w:firstLineChars="200"/>
        <w:rPr>
          <w:sz w:val="24"/>
        </w:rPr>
      </w:pPr>
      <w:r>
        <w:rPr>
          <w:sz w:val="24"/>
        </w:rPr>
        <w:t>（2）投资人认购基金份额采用全额缴款的认购方式。投资人认购</w:t>
      </w:r>
      <w:r>
        <w:rPr>
          <w:rFonts w:hint="eastAsia"/>
          <w:sz w:val="24"/>
        </w:rPr>
        <w:t>时</w:t>
      </w:r>
      <w:r>
        <w:rPr>
          <w:sz w:val="24"/>
        </w:rPr>
        <w:t>，需按销售机构规定的方式备足认购的金额。</w:t>
      </w:r>
    </w:p>
    <w:p>
      <w:pPr>
        <w:adjustRightInd w:val="0"/>
        <w:snapToGrid w:val="0"/>
        <w:spacing w:line="360" w:lineRule="auto"/>
        <w:ind w:firstLine="480" w:firstLineChars="200"/>
        <w:rPr>
          <w:sz w:val="24"/>
        </w:rPr>
      </w:pPr>
      <w:r>
        <w:rPr>
          <w:sz w:val="24"/>
        </w:rPr>
        <w:t>（3）投资人在募集期内可以多次认购基金份额，认购</w:t>
      </w:r>
      <w:r>
        <w:rPr>
          <w:rFonts w:hint="eastAsia"/>
          <w:sz w:val="24"/>
        </w:rPr>
        <w:t>申请</w:t>
      </w:r>
      <w:r>
        <w:rPr>
          <w:sz w:val="24"/>
        </w:rPr>
        <w:t>一经登记机构受理不得撤销。</w:t>
      </w:r>
    </w:p>
    <w:p>
      <w:pPr>
        <w:adjustRightInd w:val="0"/>
        <w:snapToGrid w:val="0"/>
        <w:spacing w:line="360" w:lineRule="auto"/>
        <w:ind w:firstLine="480" w:firstLineChars="200"/>
        <w:rPr>
          <w:sz w:val="24"/>
        </w:rPr>
      </w:pPr>
      <w:r>
        <w:rPr>
          <w:sz w:val="24"/>
        </w:rPr>
        <w:t>（4）直销机构接受首次认购申请的最低金额为单笔</w:t>
      </w:r>
      <w:r>
        <w:rPr>
          <w:rFonts w:hint="eastAsia"/>
          <w:sz w:val="24"/>
        </w:rPr>
        <w:t>100万元</w:t>
      </w:r>
      <w:r>
        <w:rPr>
          <w:sz w:val="24"/>
        </w:rPr>
        <w:t>，追加认购的最低金额为单笔</w:t>
      </w:r>
      <w:r>
        <w:rPr>
          <w:rFonts w:hint="eastAsia"/>
          <w:sz w:val="24"/>
        </w:rPr>
        <w:t>10万元</w:t>
      </w:r>
      <w:r>
        <w:rPr>
          <w:sz w:val="24"/>
        </w:rPr>
        <w:t>；已在直销机构有认购或申购过本基金管理人管理的其他基金记录的投资人不受首次认购最低金额的限制。通过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网上直销交易平台办理本基金认购业务的不受直销机构最低认购金额的限制，认购最低金额为单笔1元。本基金直销机构单笔认购最低金额可由基金管理人酌情调整。</w:t>
      </w:r>
      <w:r>
        <w:rPr>
          <w:rFonts w:hint="eastAsia"/>
          <w:sz w:val="24"/>
        </w:rPr>
        <w:t>其他销售</w:t>
      </w:r>
      <w:r>
        <w:rPr>
          <w:sz w:val="24"/>
        </w:rPr>
        <w:t>机构接受认购申请的最低金额为单笔1元，如果</w:t>
      </w:r>
      <w:r>
        <w:rPr>
          <w:rFonts w:hint="eastAsia"/>
          <w:sz w:val="24"/>
        </w:rPr>
        <w:t>销售</w:t>
      </w:r>
      <w:r>
        <w:rPr>
          <w:sz w:val="24"/>
        </w:rPr>
        <w:t>机构业务规则规定的最低单笔认购金额高于1元，以</w:t>
      </w:r>
      <w:r>
        <w:rPr>
          <w:rFonts w:hint="eastAsia"/>
          <w:sz w:val="24"/>
        </w:rPr>
        <w:t>该销售</w:t>
      </w:r>
      <w:r>
        <w:rPr>
          <w:sz w:val="24"/>
        </w:rPr>
        <w:t>机构的规定为准。</w:t>
      </w:r>
    </w:p>
    <w:p>
      <w:pPr>
        <w:adjustRightInd w:val="0"/>
        <w:snapToGrid w:val="0"/>
        <w:spacing w:line="360" w:lineRule="auto"/>
        <w:ind w:firstLine="480" w:firstLineChars="200"/>
        <w:rPr>
          <w:sz w:val="24"/>
        </w:rPr>
      </w:pPr>
      <w:r>
        <w:rPr>
          <w:sz w:val="24"/>
        </w:rPr>
        <w:t>（5）</w:t>
      </w:r>
      <w:r>
        <w:rPr>
          <w:rFonts w:hint="eastAsia"/>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sz w:val="24"/>
        </w:rPr>
      </w:pPr>
      <w:r>
        <w:rPr>
          <w:rFonts w:hint="eastAsia"/>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rPr>
          <w:sz w:val="24"/>
        </w:rPr>
      </w:pPr>
      <w:r>
        <w:rPr>
          <w:rFonts w:hint="eastAsia"/>
          <w:sz w:val="24"/>
        </w:rPr>
        <w:t>（7）基金管理人可以对募集期间的本基金募集规模设置上限。募集期内超过募集规模上限时，基金管理人可以采用比例确认或其他方式进行确认，具体办法参见基金份额发售公告。</w:t>
      </w:r>
    </w:p>
    <w:p>
      <w:pPr>
        <w:adjustRightInd w:val="0"/>
        <w:snapToGrid w:val="0"/>
        <w:spacing w:line="360" w:lineRule="auto"/>
        <w:ind w:firstLine="480" w:firstLineChars="200"/>
        <w:outlineLvl w:val="2"/>
        <w:rPr>
          <w:sz w:val="24"/>
        </w:rPr>
      </w:pPr>
      <w:r>
        <w:rPr>
          <w:sz w:val="24"/>
        </w:rPr>
        <w:t>3、基金份额的</w:t>
      </w:r>
      <w:r>
        <w:rPr>
          <w:rFonts w:hint="eastAsia"/>
          <w:sz w:val="24"/>
        </w:rPr>
        <w:t>面值</w:t>
      </w:r>
      <w:r>
        <w:rPr>
          <w:sz w:val="24"/>
        </w:rPr>
        <w:t>、认购费用、认购价格及认购份额的计算公式</w:t>
      </w:r>
    </w:p>
    <w:p>
      <w:pPr>
        <w:adjustRightInd w:val="0"/>
        <w:snapToGrid w:val="0"/>
        <w:spacing w:line="360" w:lineRule="auto"/>
        <w:ind w:firstLine="480" w:firstLineChars="200"/>
        <w:rPr>
          <w:sz w:val="24"/>
        </w:rPr>
      </w:pPr>
      <w:r>
        <w:rPr>
          <w:sz w:val="24"/>
        </w:rPr>
        <w:t>（1）</w:t>
      </w:r>
      <w:r>
        <w:rPr>
          <w:rFonts w:hint="eastAsia"/>
          <w:sz w:val="24"/>
        </w:rPr>
        <w:t>面值</w:t>
      </w:r>
      <w:r>
        <w:rPr>
          <w:sz w:val="24"/>
        </w:rPr>
        <w:t>、认购价格：本基金</w:t>
      </w:r>
      <w:r>
        <w:rPr>
          <w:rFonts w:hint="eastAsia"/>
          <w:sz w:val="24"/>
        </w:rPr>
        <w:t>基金</w:t>
      </w:r>
      <w:r>
        <w:rPr>
          <w:sz w:val="24"/>
        </w:rPr>
        <w:t>份额的</w:t>
      </w:r>
      <w:r>
        <w:rPr>
          <w:rFonts w:hint="eastAsia"/>
          <w:sz w:val="24"/>
        </w:rPr>
        <w:t>初始面值、</w:t>
      </w:r>
      <w:r>
        <w:rPr>
          <w:sz w:val="24"/>
        </w:rPr>
        <w:t>认购价格为1.00元/份。</w:t>
      </w:r>
    </w:p>
    <w:p>
      <w:pPr>
        <w:adjustRightInd w:val="0"/>
        <w:snapToGrid w:val="0"/>
        <w:spacing w:line="360" w:lineRule="auto"/>
        <w:ind w:firstLine="480" w:firstLineChars="200"/>
        <w:rPr>
          <w:sz w:val="24"/>
        </w:rPr>
      </w:pPr>
      <w:r>
        <w:rPr>
          <w:sz w:val="24"/>
        </w:rPr>
        <w:t>（2）认购费率</w:t>
      </w:r>
    </w:p>
    <w:p>
      <w:pPr>
        <w:adjustRightInd w:val="0"/>
        <w:snapToGrid w:val="0"/>
        <w:spacing w:line="360" w:lineRule="auto"/>
        <w:ind w:firstLine="480" w:firstLineChars="200"/>
        <w:rPr>
          <w:sz w:val="24"/>
        </w:rPr>
      </w:pPr>
      <w:r>
        <w:rPr>
          <w:rFonts w:hint="eastAsia"/>
          <w:sz w:val="24"/>
        </w:rPr>
        <w:t>募集期内投资人可以多次认购本基金，A类基金份额的认购费用按A类基金份额的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1000</w:t>
            </w:r>
            <w:r>
              <w:rPr>
                <w:sz w:val="24"/>
              </w:rPr>
              <w:t>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1000</w:t>
            </w:r>
            <w:r>
              <w:rPr>
                <w:sz w:val="24"/>
              </w:rPr>
              <w:t>万元以上（含</w:t>
            </w:r>
            <w:r>
              <w:rPr>
                <w:rFonts w:hint="eastAsia"/>
                <w:sz w:val="24"/>
              </w:rPr>
              <w:t>1000</w:t>
            </w:r>
            <w:r>
              <w:rPr>
                <w:sz w:val="24"/>
              </w:rPr>
              <w:t>万元）</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1000</w:t>
            </w:r>
            <w:r>
              <w:rPr>
                <w:rFonts w:hAnsi="宋体"/>
                <w:sz w:val="24"/>
              </w:rPr>
              <w:t>万元以下</w:t>
            </w:r>
          </w:p>
        </w:tc>
        <w:tc>
          <w:tcPr>
            <w:tcW w:w="3767" w:type="dxa"/>
            <w:vAlign w:val="center"/>
          </w:tcPr>
          <w:p>
            <w:pPr>
              <w:adjustRightInd w:val="0"/>
              <w:snapToGrid w:val="0"/>
              <w:jc w:val="center"/>
              <w:rPr>
                <w:sz w:val="24"/>
              </w:rPr>
            </w:pPr>
            <w:r>
              <w:rPr>
                <w:rFonts w:hint="eastAsia"/>
                <w:sz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1000</w:t>
            </w:r>
            <w:r>
              <w:rPr>
                <w:rFonts w:hAnsi="宋体"/>
                <w:sz w:val="24"/>
              </w:rPr>
              <w:t>万元以上（含</w:t>
            </w:r>
            <w:r>
              <w:rPr>
                <w:rFonts w:hint="eastAsia"/>
                <w:sz w:val="24"/>
              </w:rPr>
              <w:t>1000</w:t>
            </w:r>
            <w:r>
              <w:rPr>
                <w:rFonts w:hAnsi="宋体"/>
                <w:sz w:val="24"/>
              </w:rPr>
              <w:t>万</w:t>
            </w:r>
            <w:r>
              <w:rPr>
                <w:rFonts w:hint="eastAsia" w:hAnsi="宋体"/>
                <w:sz w:val="24"/>
              </w:rPr>
              <w:t>元</w:t>
            </w:r>
            <w:r>
              <w:rPr>
                <w:rFonts w:hAnsi="宋体"/>
                <w:sz w:val="24"/>
              </w:rPr>
              <w:t>）</w:t>
            </w:r>
          </w:p>
        </w:tc>
        <w:tc>
          <w:tcPr>
            <w:tcW w:w="3767"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某投资者（非养老金客户）投资本基金</w:t>
      </w:r>
      <w:r>
        <w:rPr>
          <w:rFonts w:hint="eastAsia"/>
          <w:color w:val="000000"/>
          <w:kern w:val="0"/>
          <w:sz w:val="24"/>
        </w:rPr>
        <w:t>A类基金份额</w:t>
      </w:r>
      <w:r>
        <w:rPr>
          <w:rFonts w:hint="eastAsia"/>
          <w:sz w:val="24"/>
        </w:rPr>
        <w:t>100,000</w:t>
      </w:r>
      <w:r>
        <w:rPr>
          <w:sz w:val="24"/>
        </w:rPr>
        <w:t>.00</w:t>
      </w:r>
      <w:r>
        <w:rPr>
          <w:rFonts w:hint="eastAsia"/>
          <w:sz w:val="24"/>
        </w:rPr>
        <w:t>元，且该认购申请被全额确认，假定募集期产生的利息为10.00元，</w:t>
      </w:r>
      <w:r>
        <w:rPr>
          <w:sz w:val="24"/>
        </w:rPr>
        <w:t>认购费率为1.2%，则可认购基金份额为：</w:t>
      </w:r>
    </w:p>
    <w:p>
      <w:pPr>
        <w:adjustRightInd w:val="0"/>
        <w:snapToGrid w:val="0"/>
        <w:spacing w:line="360" w:lineRule="auto"/>
        <w:ind w:firstLine="480" w:firstLineChars="200"/>
        <w:rPr>
          <w:sz w:val="24"/>
        </w:rPr>
      </w:pPr>
      <w:r>
        <w:rPr>
          <w:sz w:val="24"/>
        </w:rPr>
        <w:t>认购总金额=100,000.00元</w:t>
      </w:r>
    </w:p>
    <w:p>
      <w:pPr>
        <w:adjustRightInd w:val="0"/>
        <w:snapToGrid w:val="0"/>
        <w:spacing w:line="360" w:lineRule="auto"/>
        <w:ind w:firstLine="480" w:firstLineChars="200"/>
        <w:rPr>
          <w:sz w:val="24"/>
        </w:rPr>
      </w:pPr>
      <w:r>
        <w:rPr>
          <w:rFonts w:hint="eastAsia"/>
          <w:sz w:val="24"/>
        </w:rPr>
        <w:t>净</w:t>
      </w:r>
      <w:r>
        <w:rPr>
          <w:sz w:val="24"/>
        </w:rPr>
        <w:t>认购金额＝100,000.00/（1＋1.2%）＝98,814.23元</w:t>
      </w:r>
    </w:p>
    <w:p>
      <w:pPr>
        <w:adjustRightInd w:val="0"/>
        <w:snapToGrid w:val="0"/>
        <w:spacing w:line="360" w:lineRule="auto"/>
        <w:ind w:firstLine="480" w:firstLineChars="200"/>
        <w:rPr>
          <w:sz w:val="24"/>
        </w:rPr>
      </w:pPr>
      <w:r>
        <w:rPr>
          <w:sz w:val="24"/>
        </w:rPr>
        <w:t>认购费用＝100,000.00-98,814.23＝1,185.77元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w:t>
      </w:r>
      <w:r>
        <w:rPr>
          <w:rFonts w:hint="eastAsia"/>
          <w:color w:val="000000"/>
          <w:kern w:val="0"/>
          <w:sz w:val="24"/>
        </w:rPr>
        <w:t>A类基金份额</w:t>
      </w:r>
      <w:r>
        <w:rPr>
          <w:rFonts w:hint="eastAsia"/>
          <w:sz w:val="24"/>
        </w:rPr>
        <w:t>100,000</w:t>
      </w:r>
      <w:r>
        <w:rPr>
          <w:sz w:val="24"/>
        </w:rPr>
        <w:t>.00</w:t>
      </w:r>
      <w:r>
        <w:rPr>
          <w:rFonts w:hint="eastAsia"/>
          <w:sz w:val="24"/>
        </w:rPr>
        <w:t>元，且该认购申请被全额确认，假定募集期产生的利息为10.00元，则投资100,000</w:t>
      </w:r>
      <w:r>
        <w:rPr>
          <w:sz w:val="24"/>
        </w:rPr>
        <w:t>.00</w:t>
      </w:r>
      <w:r>
        <w:rPr>
          <w:rFonts w:hint="eastAsia"/>
          <w:sz w:val="24"/>
        </w:rPr>
        <w:t>元本金可得到</w:t>
      </w:r>
      <w:r>
        <w:rPr>
          <w:sz w:val="24"/>
        </w:rPr>
        <w:t>98,824.23</w:t>
      </w:r>
      <w:r>
        <w:rPr>
          <w:rFonts w:hint="eastAsia"/>
          <w:sz w:val="24"/>
        </w:rPr>
        <w:t>份A类基金份额。</w:t>
      </w:r>
    </w:p>
    <w:p>
      <w:pPr>
        <w:adjustRightInd w:val="0"/>
        <w:snapToGrid w:val="0"/>
        <w:spacing w:line="360" w:lineRule="auto"/>
        <w:ind w:firstLine="480" w:firstLineChars="200"/>
        <w:rPr>
          <w:sz w:val="24"/>
        </w:rPr>
      </w:pPr>
      <w:r>
        <w:rPr>
          <w:rFonts w:hint="eastAsia"/>
          <w:sz w:val="24"/>
        </w:rPr>
        <w:t>例二：某养老金客户通过基金管理人的直销柜台投资本基金A类基金份额1,000,000</w:t>
      </w:r>
      <w:r>
        <w:rPr>
          <w:sz w:val="24"/>
        </w:rPr>
        <w:t>.00</w:t>
      </w:r>
      <w:r>
        <w:rPr>
          <w:rFonts w:hint="eastAsia"/>
          <w:sz w:val="24"/>
        </w:rPr>
        <w:t>元，且该认购申请被全额确认，假定募集期产生的利息为50.00元，认购费率为0.48%，则可认购基金份额为：</w:t>
      </w:r>
    </w:p>
    <w:p>
      <w:pPr>
        <w:adjustRightInd w:val="0"/>
        <w:snapToGrid w:val="0"/>
        <w:spacing w:line="360" w:lineRule="auto"/>
        <w:ind w:firstLine="480" w:firstLineChars="200"/>
        <w:rPr>
          <w:sz w:val="24"/>
        </w:rPr>
      </w:pPr>
      <w:r>
        <w:rPr>
          <w:rFonts w:hint="eastAsia"/>
          <w:sz w:val="24"/>
        </w:rPr>
        <w:t>认购总金额=1,000,000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净认购金额＝1,000,000</w:t>
      </w:r>
      <w:r>
        <w:rPr>
          <w:sz w:val="24"/>
        </w:rPr>
        <w:t>.00</w:t>
      </w:r>
      <w:r>
        <w:rPr>
          <w:rFonts w:hint="eastAsia"/>
          <w:sz w:val="24"/>
        </w:rPr>
        <w:t>/（1＋0.48%）＝995,222.93元</w:t>
      </w:r>
    </w:p>
    <w:p>
      <w:pPr>
        <w:adjustRightInd w:val="0"/>
        <w:snapToGrid w:val="0"/>
        <w:spacing w:line="360" w:lineRule="auto"/>
        <w:ind w:firstLine="480" w:firstLineChars="200"/>
        <w:rPr>
          <w:sz w:val="24"/>
        </w:rPr>
      </w:pPr>
      <w:r>
        <w:rPr>
          <w:rFonts w:hint="eastAsia"/>
          <w:sz w:val="24"/>
        </w:rPr>
        <w:t>认购费用＝1,000,000</w:t>
      </w:r>
      <w:r>
        <w:rPr>
          <w:sz w:val="24"/>
        </w:rPr>
        <w:t>.00</w:t>
      </w:r>
      <w:r>
        <w:rPr>
          <w:rFonts w:hint="eastAsia"/>
          <w:sz w:val="24"/>
        </w:rPr>
        <w:t>-995,222.93＝4,777.07元</w:t>
      </w:r>
    </w:p>
    <w:p>
      <w:pPr>
        <w:adjustRightInd w:val="0"/>
        <w:snapToGrid w:val="0"/>
        <w:spacing w:line="360" w:lineRule="auto"/>
        <w:ind w:firstLine="480" w:firstLineChars="200"/>
        <w:rPr>
          <w:sz w:val="24"/>
        </w:rPr>
      </w:pPr>
      <w:r>
        <w:rPr>
          <w:rFonts w:hint="eastAsia"/>
          <w:sz w:val="24"/>
        </w:rPr>
        <w:t>认购份额＝995,222.93/1.00＋50.00/1.00＝995,272.93份</w:t>
      </w:r>
    </w:p>
    <w:p>
      <w:pPr>
        <w:adjustRightInd w:val="0"/>
        <w:snapToGrid w:val="0"/>
        <w:spacing w:line="360" w:lineRule="auto"/>
        <w:ind w:firstLine="480" w:firstLineChars="200"/>
        <w:rPr>
          <w:sz w:val="24"/>
        </w:rPr>
      </w:pPr>
      <w:r>
        <w:rPr>
          <w:rFonts w:hint="eastAsia"/>
          <w:sz w:val="24"/>
        </w:rPr>
        <w:t>即：若该养老金客户通过基金管理人的直销柜台投资本基金A类基金份额1,000,000</w:t>
      </w:r>
      <w:r>
        <w:rPr>
          <w:sz w:val="24"/>
        </w:rPr>
        <w:t>.00</w:t>
      </w:r>
      <w:r>
        <w:rPr>
          <w:rFonts w:hint="eastAsia"/>
          <w:sz w:val="24"/>
        </w:rPr>
        <w:t>元，假定募集期产生的利息为50.00元，可得到995,272.93份A类基金份额。</w:t>
      </w:r>
    </w:p>
    <w:p>
      <w:pPr>
        <w:adjustRightInd w:val="0"/>
        <w:snapToGrid w:val="0"/>
        <w:spacing w:line="360" w:lineRule="auto"/>
        <w:ind w:firstLine="480" w:firstLineChars="200"/>
        <w:rPr>
          <w:sz w:val="24"/>
        </w:rPr>
      </w:pPr>
      <w:r>
        <w:rPr>
          <w:rFonts w:hint="eastAsia"/>
          <w:sz w:val="24"/>
        </w:rPr>
        <w:t>2） 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 = 申请总金额</w:t>
      </w:r>
    </w:p>
    <w:p>
      <w:pPr>
        <w:adjustRightInd w:val="0"/>
        <w:snapToGrid w:val="0"/>
        <w:spacing w:line="360" w:lineRule="auto"/>
        <w:ind w:firstLine="480" w:firstLineChars="200"/>
        <w:rPr>
          <w:sz w:val="24"/>
        </w:rPr>
      </w:pPr>
      <w:r>
        <w:rPr>
          <w:rFonts w:hint="eastAsia"/>
          <w:sz w:val="24"/>
        </w:rPr>
        <w:t>认购份额 = 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w:t>
      </w:r>
      <w:r>
        <w:rPr>
          <w:sz w:val="24"/>
        </w:rPr>
        <w:t>.00</w:t>
      </w:r>
      <w:r>
        <w:rPr>
          <w:rFonts w:hint="eastAsia"/>
          <w:sz w:val="24"/>
        </w:rPr>
        <w:t>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认购份额＝100,000</w:t>
      </w:r>
      <w:r>
        <w:rPr>
          <w:sz w:val="24"/>
        </w:rPr>
        <w:t>.00</w:t>
      </w:r>
      <w:r>
        <w:rPr>
          <w:rFonts w:hint="eastAsia"/>
          <w:sz w:val="24"/>
        </w:rPr>
        <w:t>/1.00＋50.00/1.00＝100,050.00份</w:t>
      </w:r>
    </w:p>
    <w:p>
      <w:pPr>
        <w:adjustRightInd w:val="0"/>
        <w:snapToGrid w:val="0"/>
        <w:spacing w:line="360" w:lineRule="auto"/>
        <w:ind w:firstLine="480" w:firstLineChars="200"/>
        <w:rPr>
          <w:sz w:val="24"/>
        </w:rPr>
      </w:pPr>
      <w:r>
        <w:rPr>
          <w:rFonts w:hint="eastAsia"/>
          <w:sz w:val="24"/>
        </w:rPr>
        <w:t>即：若该投资者选择投资100,000</w:t>
      </w:r>
      <w:r>
        <w:rPr>
          <w:sz w:val="24"/>
        </w:rPr>
        <w:t>.00</w:t>
      </w:r>
      <w:r>
        <w:rPr>
          <w:rFonts w:hint="eastAsia"/>
          <w:sz w:val="24"/>
        </w:rPr>
        <w:t>元认购C类基金份额，且该认购申请被全额确认。假定该笔认购金额产生利息50.00元，可得到100,050.00份C类基金份额。</w:t>
      </w:r>
    </w:p>
    <w:p>
      <w:pPr>
        <w:adjustRightInd w:val="0"/>
        <w:snapToGrid w:val="0"/>
        <w:spacing w:line="360" w:lineRule="auto"/>
        <w:ind w:firstLine="480" w:firstLineChars="200"/>
        <w:outlineLvl w:val="2"/>
        <w:rPr>
          <w:sz w:val="24"/>
        </w:rPr>
      </w:pPr>
      <w:r>
        <w:rPr>
          <w:sz w:val="24"/>
        </w:rPr>
        <w:t>4、认购的程序</w:t>
      </w:r>
    </w:p>
    <w:p>
      <w:pPr>
        <w:adjustRightInd w:val="0"/>
        <w:snapToGrid w:val="0"/>
        <w:spacing w:line="360" w:lineRule="auto"/>
        <w:ind w:firstLine="480" w:firstLineChars="200"/>
        <w:rPr>
          <w:sz w:val="24"/>
        </w:rPr>
      </w:pPr>
      <w:r>
        <w:rPr>
          <w:sz w:val="24"/>
        </w:rPr>
        <w:t>（1）申请方式：书面申请或基金管理人公告的其他方式。</w:t>
      </w:r>
    </w:p>
    <w:p>
      <w:pPr>
        <w:adjustRightInd w:val="0"/>
        <w:snapToGrid w:val="0"/>
        <w:spacing w:line="360" w:lineRule="auto"/>
        <w:ind w:firstLine="480" w:firstLineChars="200"/>
        <w:rPr>
          <w:sz w:val="24"/>
        </w:rPr>
      </w:pPr>
      <w:r>
        <w:rPr>
          <w:sz w:val="24"/>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w:t>
      </w:r>
      <w:r>
        <w:rPr>
          <w:rFonts w:hint="eastAsia"/>
          <w:sz w:val="24"/>
          <w:szCs w:val="21"/>
        </w:rPr>
        <w:t>认购</w:t>
      </w:r>
      <w:r>
        <w:rPr>
          <w:sz w:val="24"/>
          <w:szCs w:val="21"/>
        </w:rPr>
        <w:t>申请的受理并不</w:t>
      </w:r>
      <w:r>
        <w:rPr>
          <w:rFonts w:hint="eastAsia"/>
          <w:sz w:val="24"/>
          <w:szCs w:val="21"/>
        </w:rPr>
        <w:t>代表该申请一定成功</w:t>
      </w:r>
      <w:r>
        <w:rPr>
          <w:sz w:val="24"/>
          <w:szCs w:val="21"/>
        </w:rPr>
        <w:t>，而仅代表销售机构确实接收到认购申请。申请的成功确认应以基金合同生效后、登记机构的确认登记为准。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w:t>
      </w:r>
      <w:r>
        <w:rPr>
          <w:rFonts w:hint="eastAsia"/>
          <w:sz w:val="24"/>
          <w:szCs w:val="21"/>
        </w:rPr>
        <w:t>相应类别的</w:t>
      </w:r>
      <w:r>
        <w:rPr>
          <w:sz w:val="24"/>
          <w:szCs w:val="21"/>
        </w:rPr>
        <w:t>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5" w:name="_Hlt91148053"/>
      <w:bookmarkEnd w:id="15"/>
      <w:bookmarkStart w:id="16" w:name="_Hlt91264042"/>
      <w:bookmarkEnd w:id="16"/>
      <w:bookmarkStart w:id="17" w:name="_Hlt90801570"/>
      <w:bookmarkEnd w:id="17"/>
      <w:bookmarkStart w:id="18" w:name="_Hlt91264078"/>
      <w:bookmarkEnd w:id="18"/>
      <w:bookmarkStart w:id="19" w:name="_Hlt90455312"/>
      <w:bookmarkEnd w:id="19"/>
      <w:bookmarkStart w:id="20" w:name="_Toc109537384"/>
      <w:r>
        <w:rPr>
          <w:sz w:val="24"/>
          <w:szCs w:val="21"/>
        </w:rPr>
        <w:t>。</w:t>
      </w:r>
      <w:bookmarkEnd w:id="14"/>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1" w:name="_Toc48122008"/>
      <w:r>
        <w:rPr>
          <w:rFonts w:hint="eastAsia" w:ascii="宋体" w:hAnsi="宋体"/>
          <w:b/>
          <w:kern w:val="0"/>
          <w:sz w:val="30"/>
        </w:rPr>
        <w:t>七、基金合同的生效</w:t>
      </w:r>
      <w:bookmarkEnd w:id="21"/>
    </w:p>
    <w:bookmarkEnd w:id="20"/>
    <w:p>
      <w:pPr>
        <w:pStyle w:val="4"/>
        <w:autoSpaceDE w:val="0"/>
        <w:autoSpaceDN w:val="0"/>
        <w:adjustRightInd w:val="0"/>
        <w:snapToGrid w:val="0"/>
        <w:spacing w:line="360" w:lineRule="auto"/>
        <w:ind w:firstLine="482"/>
        <w:outlineLvl w:val="1"/>
        <w:rPr>
          <w:b/>
          <w:sz w:val="24"/>
        </w:rPr>
      </w:pPr>
      <w:bookmarkStart w:id="22" w:name="_Hlt88901074"/>
      <w:bookmarkEnd w:id="22"/>
      <w:bookmarkStart w:id="23" w:name="_Toc79392603"/>
      <w:bookmarkStart w:id="24" w:name="_Toc57530272"/>
      <w:bookmarkStart w:id="25" w:name="_Toc15118260"/>
      <w:bookmarkStart w:id="26"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3"/>
    <w:bookmarkEnd w:id="24"/>
    <w:bookmarkEnd w:id="25"/>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7" w:name="_Toc48122009"/>
      <w:r>
        <w:rPr>
          <w:rFonts w:hint="eastAsia" w:ascii="宋体" w:hAnsi="宋体"/>
          <w:b/>
          <w:kern w:val="0"/>
          <w:sz w:val="30"/>
        </w:rPr>
        <w:t>八、基金份额的申购与赎回</w:t>
      </w:r>
      <w:bookmarkEnd w:id="26"/>
      <w:bookmarkEnd w:id="27"/>
    </w:p>
    <w:p>
      <w:pPr>
        <w:widowControl/>
        <w:adjustRightInd w:val="0"/>
        <w:snapToGrid w:val="0"/>
        <w:spacing w:line="360" w:lineRule="auto"/>
        <w:ind w:firstLine="482" w:firstLineChars="200"/>
        <w:outlineLvl w:val="1"/>
        <w:rPr>
          <w:b/>
          <w:kern w:val="0"/>
          <w:sz w:val="24"/>
          <w:szCs w:val="24"/>
        </w:rPr>
      </w:pPr>
      <w:bookmarkStart w:id="28" w:name="_Hlk49342362"/>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lang w:eastAsia="zh-Hans"/>
        </w:rPr>
        <w:t>基金管理人</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基金管理人可根据实际情况依法决定本基金开始办理申购的具体日期，具体业务办理时间在申购开始公告中规定。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基金管理人自基金合同生效之日起不超过3个月开始办理赎回，具体业务办理时间在赎回开始公告中规定。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w:t>
      </w:r>
      <w:r>
        <w:rPr>
          <w:rFonts w:hint="eastAsia"/>
          <w:kern w:val="0"/>
          <w:sz w:val="24"/>
          <w:szCs w:val="24"/>
        </w:rPr>
        <w:t>100万元</w:t>
      </w:r>
      <w:r>
        <w:rPr>
          <w:kern w:val="0"/>
          <w:sz w:val="24"/>
          <w:szCs w:val="24"/>
        </w:rPr>
        <w:t>，追加申购的最低金额为单笔</w:t>
      </w:r>
      <w:r>
        <w:rPr>
          <w:rFonts w:hint="eastAsia"/>
          <w:kern w:val="0"/>
          <w:sz w:val="24"/>
          <w:szCs w:val="24"/>
        </w:rPr>
        <w:t>10万元</w:t>
      </w:r>
      <w:r>
        <w:rPr>
          <w:kern w:val="0"/>
          <w:sz w:val="24"/>
          <w:szCs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29"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bookmarkEnd w:id="29"/>
    <w:p>
      <w:pPr>
        <w:widowControl/>
        <w:adjustRightInd w:val="0"/>
        <w:snapToGrid w:val="0"/>
        <w:spacing w:line="360" w:lineRule="auto"/>
        <w:ind w:firstLine="480" w:firstLineChars="200"/>
        <w:rPr>
          <w:rFonts w:hAnsi="宋体"/>
          <w:sz w:val="24"/>
          <w:szCs w:val="24"/>
        </w:rPr>
      </w:pPr>
      <w:r>
        <w:rPr>
          <w:rFonts w:hint="eastAsia" w:hAnsi="宋体"/>
          <w:sz w:val="24"/>
          <w:szCs w:val="24"/>
        </w:rPr>
        <w:t>每个工作日投资人在单个交易账户保留的本基金基金份额余额少于1份时，若当日该账户同时有基金份额减少类业务（如赎回、转换出等）被确认，则基金管理人有权将投资人在该账户保留的本基金份额一次性全部赎回。</w:t>
      </w:r>
    </w:p>
    <w:p>
      <w:pPr>
        <w:widowControl/>
        <w:adjustRightInd w:val="0"/>
        <w:snapToGrid w:val="0"/>
        <w:spacing w:line="360" w:lineRule="auto"/>
        <w:ind w:firstLine="480" w:firstLineChars="200"/>
        <w:rPr>
          <w:rFonts w:hAnsi="宋体"/>
          <w:bCs/>
          <w:sz w:val="24"/>
          <w:szCs w:val="24"/>
        </w:rPr>
      </w:pPr>
      <w:r>
        <w:rPr>
          <w:rFonts w:hAnsi="宋体"/>
          <w:bCs/>
          <w:sz w:val="24"/>
          <w:szCs w:val="24"/>
        </w:rPr>
        <w:t>4</w:t>
      </w:r>
      <w:r>
        <w:rPr>
          <w:rFonts w:hint="eastAsia" w:hAnsi="宋体"/>
          <w:bCs/>
          <w:sz w:val="24"/>
          <w:szCs w:val="24"/>
        </w:rPr>
        <w:t>、</w:t>
      </w:r>
      <w:r>
        <w:rPr>
          <w:rFonts w:hAnsi="宋体"/>
          <w:bCs/>
          <w:sz w:val="24"/>
          <w:szCs w:val="24"/>
        </w:rPr>
        <w:t>基金管理人可以规定</w:t>
      </w:r>
      <w:r>
        <w:rPr>
          <w:rFonts w:hint="eastAsia" w:hAnsi="宋体"/>
          <w:bCs/>
          <w:sz w:val="24"/>
          <w:szCs w:val="24"/>
        </w:rPr>
        <w:t>基金总规模上限、</w:t>
      </w:r>
      <w:r>
        <w:rPr>
          <w:rFonts w:hAnsi="宋体"/>
          <w:bCs/>
          <w:sz w:val="24"/>
          <w:szCs w:val="24"/>
        </w:rPr>
        <w:t>单个投资人累计持有的基金份额上限，具体规定请参见</w:t>
      </w:r>
      <w:r>
        <w:rPr>
          <w:rFonts w:hint="eastAsia" w:hAnsi="宋体"/>
          <w:bCs/>
          <w:sz w:val="24"/>
          <w:szCs w:val="24"/>
        </w:rPr>
        <w:t>相关公告</w:t>
      </w:r>
      <w:r>
        <w:rPr>
          <w:rFonts w:hAnsi="宋体"/>
          <w:bCs/>
          <w:sz w:val="24"/>
          <w:szCs w:val="24"/>
        </w:rPr>
        <w:t>。</w:t>
      </w:r>
    </w:p>
    <w:p>
      <w:pPr>
        <w:widowControl/>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int="eastAsia" w:hAnsi="宋体"/>
          <w:sz w:val="24"/>
          <w:szCs w:val="24"/>
        </w:rPr>
        <w:t>，投资人自T＋2日起（包括该日）有权赎回该部分基金份额</w:t>
      </w:r>
      <w:r>
        <w:rPr>
          <w:rFonts w:hAnsi="宋体"/>
          <w:sz w:val="24"/>
          <w:szCs w:val="24"/>
        </w:rPr>
        <w:t>。投资人应及时查询有关申请的确认情况。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不从该类别基金资产中计提销售服务费；申购C类基金份额不支付申购费用、从该类别基金资产中计提销售服务费。</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color w:val="000000"/>
          <w:sz w:val="24"/>
          <w:szCs w:val="24"/>
        </w:rPr>
        <w:t>A类基金份额</w:t>
      </w:r>
      <w:r>
        <w:rPr>
          <w:rFonts w:hAnsi="宋体"/>
          <w:sz w:val="24"/>
          <w:szCs w:val="24"/>
        </w:rPr>
        <w:t>的申购费用由</w:t>
      </w:r>
      <w:r>
        <w:rPr>
          <w:rFonts w:hint="eastAsia" w:hAnsi="宋体"/>
          <w:sz w:val="24"/>
          <w:szCs w:val="24"/>
        </w:rPr>
        <w:t>申购A类基金份额的投资</w:t>
      </w:r>
      <w:r>
        <w:rPr>
          <w:rFonts w:hAnsi="宋体"/>
          <w:sz w:val="24"/>
          <w:szCs w:val="24"/>
        </w:rPr>
        <w:t>人承担，不列入基金财产，主要用于本基金的市场推广、销售、登记等各项费用。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w:t>
      </w:r>
      <w:r>
        <w:rPr>
          <w:rFonts w:hint="eastAsia" w:hAnsi="宋体"/>
          <w:sz w:val="24"/>
          <w:szCs w:val="24"/>
        </w:rPr>
        <w:t>A类基金份额的</w:t>
      </w:r>
      <w:r>
        <w:rPr>
          <w:rFonts w:hAnsi="宋体"/>
          <w:sz w:val="24"/>
          <w:szCs w:val="24"/>
        </w:rPr>
        <w:t>申购费</w:t>
      </w:r>
      <w:r>
        <w:rPr>
          <w:rFonts w:hint="eastAsia" w:hAnsi="宋体"/>
          <w:sz w:val="24"/>
          <w:szCs w:val="24"/>
        </w:rPr>
        <w:t>用</w:t>
      </w:r>
      <w:r>
        <w:rPr>
          <w:rFonts w:hAnsi="宋体"/>
          <w:sz w:val="24"/>
          <w:szCs w:val="24"/>
        </w:rPr>
        <w:t>按</w:t>
      </w:r>
      <w:r>
        <w:rPr>
          <w:rFonts w:hint="eastAsia" w:hAnsi="宋体"/>
          <w:sz w:val="24"/>
          <w:szCs w:val="24"/>
        </w:rPr>
        <w:t>A类基金份额</w:t>
      </w:r>
      <w:r>
        <w:rPr>
          <w:rFonts w:hAnsi="宋体"/>
          <w:sz w:val="24"/>
          <w:szCs w:val="24"/>
        </w:rPr>
        <w:t>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rFonts w:hAnsi="宋体"/>
                <w:sz w:val="24"/>
              </w:rPr>
              <w:t>万元以下</w:t>
            </w:r>
          </w:p>
        </w:tc>
        <w:tc>
          <w:tcPr>
            <w:tcW w:w="4079" w:type="dxa"/>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rFonts w:hAnsi="宋体"/>
                <w:sz w:val="24"/>
              </w:rPr>
              <w:t>万元以上（含</w:t>
            </w:r>
            <w:r>
              <w:rPr>
                <w:rFonts w:hint="eastAsia"/>
                <w:sz w:val="24"/>
              </w:rPr>
              <w:t>1000</w:t>
            </w:r>
            <w:r>
              <w:rPr>
                <w:rFonts w:hAnsi="宋体"/>
                <w:sz w:val="24"/>
              </w:rPr>
              <w:t>万</w:t>
            </w:r>
            <w:r>
              <w:rPr>
                <w:rFonts w:hint="eastAsia" w:hAnsi="宋体"/>
                <w:sz w:val="24"/>
              </w:rPr>
              <w:t>元</w:t>
            </w:r>
            <w:r>
              <w:rPr>
                <w:rFonts w:hAnsi="宋体"/>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A类基金份额特定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rFonts w:hAnsi="宋体"/>
                <w:sz w:val="24"/>
              </w:rPr>
              <w:t>万元以下</w:t>
            </w:r>
          </w:p>
        </w:tc>
        <w:tc>
          <w:tcPr>
            <w:tcW w:w="3938" w:type="dxa"/>
          </w:tcPr>
          <w:p>
            <w:pPr>
              <w:adjustRightInd w:val="0"/>
              <w:snapToGrid w:val="0"/>
              <w:jc w:val="center"/>
              <w:rPr>
                <w:sz w:val="24"/>
              </w:rPr>
            </w:pPr>
            <w:r>
              <w:rPr>
                <w:rFonts w:hint="eastAsia"/>
                <w:sz w:val="24"/>
              </w:rPr>
              <w:t>0.6</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rFonts w:hAnsi="宋体"/>
                <w:sz w:val="24"/>
              </w:rPr>
              <w:t>万元以上（含</w:t>
            </w:r>
            <w:r>
              <w:rPr>
                <w:rFonts w:hint="eastAsia"/>
                <w:sz w:val="24"/>
              </w:rPr>
              <w:t>1000</w:t>
            </w:r>
            <w:r>
              <w:rPr>
                <w:rFonts w:hAnsi="宋体"/>
                <w:sz w:val="24"/>
              </w:rPr>
              <w:t>万</w:t>
            </w:r>
            <w:r>
              <w:rPr>
                <w:rFonts w:hint="eastAsia" w:hAnsi="宋体"/>
                <w:sz w:val="24"/>
              </w:rPr>
              <w:t>元</w:t>
            </w:r>
            <w:r>
              <w:rPr>
                <w:rFonts w:hAnsi="宋体"/>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（1）本基金A类基金份额的赎回费用由赎回A类基金份额的基金份额持有人承担，</w:t>
      </w:r>
      <w:r>
        <w:rPr>
          <w:rFonts w:hint="eastAsia"/>
          <w:sz w:val="24"/>
          <w:szCs w:val="24"/>
        </w:rPr>
        <w:t>在基金份额持有人赎回基金份额时收取，</w:t>
      </w:r>
      <w:r>
        <w:rPr>
          <w:rFonts w:hint="eastAsia" w:hAnsi="宋体"/>
          <w:sz w:val="24"/>
          <w:szCs w:val="24"/>
        </w:rPr>
        <w:t>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w:t>
      </w:r>
      <w:r>
        <w:rPr>
          <w:rFonts w:hAnsi="宋体"/>
          <w:sz w:val="24"/>
          <w:szCs w:val="24"/>
        </w:rPr>
        <w:t>25</w:t>
      </w:r>
      <w:r>
        <w:rPr>
          <w:rFonts w:hint="eastAsia" w:hAnsi="宋体"/>
          <w:sz w:val="24"/>
          <w:szCs w:val="24"/>
        </w:rPr>
        <w:t>%计入基金财产。上述</w:t>
      </w:r>
      <w:r>
        <w:rPr>
          <w:rFonts w:hAnsi="宋体"/>
          <w:sz w:val="24"/>
          <w:szCs w:val="24"/>
        </w:rPr>
        <w:t>“</w:t>
      </w:r>
      <w:r>
        <w:rPr>
          <w:rFonts w:hint="eastAsia" w:hAnsi="宋体"/>
          <w:sz w:val="24"/>
          <w:szCs w:val="24"/>
        </w:rPr>
        <w:t>月</w:t>
      </w:r>
      <w:r>
        <w:rPr>
          <w:rFonts w:hAnsi="宋体"/>
          <w:sz w:val="24"/>
          <w:szCs w:val="24"/>
        </w:rPr>
        <w:t>”</w:t>
      </w:r>
      <w:r>
        <w:rPr>
          <w:rFonts w:hint="eastAsia" w:hAnsi="宋体"/>
          <w:sz w:val="24"/>
          <w:szCs w:val="24"/>
        </w:rPr>
        <w:t>指的是30个自然日。未归入基金财产的部分用于支付登记费和其他必要的手续费。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本基金A类基金份额的赎回费率如下：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tcBorders>
              <w:top w:val="single" w:color="808080" w:sz="4" w:space="0"/>
              <w:left w:val="single" w:color="808080" w:sz="4" w:space="0"/>
              <w:bottom w:val="single" w:color="808080" w:sz="4" w:space="0"/>
              <w:right w:val="single" w:color="808080" w:sz="4" w:space="0"/>
              <w:tl2br w:val="nil"/>
              <w:tr2bl w:val="nil"/>
            </w:tcBorders>
            <w:shd w:val="clear" w:color="auto" w:fill="auto"/>
            <w:vAlign w:val="center"/>
          </w:tcPr>
          <w:p>
            <w:pPr>
              <w:adjustRightInd w:val="0"/>
              <w:snapToGrid w:val="0"/>
              <w:jc w:val="center"/>
              <w:rPr>
                <w:sz w:val="24"/>
                <w:szCs w:val="24"/>
              </w:rPr>
            </w:pPr>
            <w:r>
              <w:rPr>
                <w:rFonts w:hint="eastAsia" w:hAnsi="宋体"/>
                <w:sz w:val="24"/>
                <w:szCs w:val="24"/>
              </w:rPr>
              <w:t>A类基金份额的赎回费率</w:t>
            </w:r>
          </w:p>
        </w:tc>
        <w:tc>
          <w:tcPr>
            <w:tcW w:w="324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hAnsi="宋体"/>
                <w:b/>
                <w:sz w:val="24"/>
                <w:szCs w:val="24"/>
              </w:rPr>
              <w:t>持有期限</w:t>
            </w:r>
          </w:p>
        </w:tc>
        <w:tc>
          <w:tcPr>
            <w:tcW w:w="1926"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hAnsi="宋体"/>
                <w:b/>
                <w:sz w:val="24"/>
                <w:szCs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7日</w:t>
            </w:r>
            <w:r>
              <w:rPr>
                <w:rFonts w:hint="eastAsia" w:hAnsi="宋体"/>
                <w:sz w:val="24"/>
                <w:szCs w:val="24"/>
              </w:rPr>
              <w:t>以内</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1</w:t>
            </w:r>
            <w:r>
              <w:rPr>
                <w:sz w:val="24"/>
                <w:szCs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7日（含）—30日</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30日（含）—1年</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w:t>
            </w:r>
            <w:r>
              <w:rPr>
                <w:rFonts w:hint="eastAsia" w:hAnsi="宋体"/>
                <w:sz w:val="24"/>
                <w:szCs w:val="24"/>
              </w:rPr>
              <w:t>年以上（含）</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（2）本基金C类基金份额的赎回费用由赎回C类基金份额的基金份额持有人承担，在基金份额持有人赎回基金份额时收取并全额计入基金财产。</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本基金C类基金份额的赎回费率如下：</w:t>
      </w:r>
    </w:p>
    <w:tbl>
      <w:tblPr>
        <w:tblStyle w:val="28"/>
        <w:tblW w:w="0" w:type="auto"/>
        <w:tblInd w:w="39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551"/>
        <w:gridCol w:w="2977"/>
        <w:gridCol w:w="24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551" w:type="dxa"/>
            <w:vMerge w:val="restart"/>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color w:val="000000"/>
                <w:sz w:val="24"/>
                <w:szCs w:val="24"/>
              </w:rPr>
            </w:pPr>
            <w:r>
              <w:rPr>
                <w:rFonts w:hint="eastAsia" w:ascii="宋体" w:hAnsi="宋体"/>
                <w:color w:val="000000"/>
                <w:sz w:val="24"/>
                <w:szCs w:val="24"/>
              </w:rPr>
              <w:t>C类基金份额的</w:t>
            </w:r>
          </w:p>
          <w:p>
            <w:pPr>
              <w:adjustRightInd w:val="0"/>
              <w:snapToGrid w:val="0"/>
              <w:jc w:val="center"/>
              <w:rPr>
                <w:rFonts w:ascii="宋体" w:hAnsi="宋体"/>
                <w:color w:val="000000"/>
                <w:sz w:val="24"/>
                <w:szCs w:val="24"/>
              </w:rPr>
            </w:pPr>
            <w:r>
              <w:rPr>
                <w:rFonts w:hint="eastAsia" w:ascii="宋体" w:hAnsi="宋体"/>
                <w:color w:val="000000"/>
                <w:sz w:val="24"/>
                <w:szCs w:val="24"/>
              </w:rPr>
              <w:t>赎回费率</w:t>
            </w:r>
          </w:p>
        </w:tc>
        <w:tc>
          <w:tcPr>
            <w:tcW w:w="297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持有期限</w:t>
            </w:r>
          </w:p>
        </w:tc>
        <w:tc>
          <w:tcPr>
            <w:tcW w:w="2410"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7日以内</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7日（含）-30日</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5"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30日以上（含）</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0</w:t>
            </w:r>
          </w:p>
        </w:tc>
      </w:tr>
    </w:tbl>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0" w:name="_Hlt91144389"/>
      <w:bookmarkEnd w:id="30"/>
      <w:bookmarkStart w:id="31" w:name="_Hlt90458725"/>
      <w:bookmarkEnd w:id="31"/>
      <w:bookmarkStart w:id="32" w:name="_Hlt81024033"/>
      <w:bookmarkEnd w:id="32"/>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sz w:val="24"/>
        </w:rPr>
        <w:t>A</w:t>
      </w:r>
      <w:r>
        <w:rPr>
          <w:rFonts w:hAnsi="宋体"/>
          <w:sz w:val="24"/>
        </w:rPr>
        <w:t>类基金份额</w:t>
      </w:r>
      <w:r>
        <w:rPr>
          <w:rFonts w:hint="eastAsia" w:hAnsi="宋体"/>
          <w:sz w:val="24"/>
        </w:rPr>
        <w:t>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w:t>
      </w:r>
      <w:r>
        <w:rPr>
          <w:rFonts w:hint="eastAsia" w:hAnsi="宋体"/>
          <w:kern w:val="0"/>
          <w:sz w:val="24"/>
          <w:szCs w:val="24"/>
        </w:rPr>
        <w:t>A类基金份额或C类基金份额的</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w:t>
      </w:r>
      <w:r>
        <w:rPr>
          <w:rFonts w:hint="eastAsia" w:hAnsi="宋体"/>
          <w:kern w:val="0"/>
          <w:sz w:val="24"/>
          <w:szCs w:val="24"/>
        </w:rPr>
        <w:t>或加上</w:t>
      </w:r>
      <w:r>
        <w:rPr>
          <w:rFonts w:hAnsi="宋体"/>
          <w:kern w:val="0"/>
          <w:sz w:val="24"/>
          <w:szCs w:val="24"/>
        </w:rPr>
        <w:t>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本基金采用金额申购的方式。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净申购金额</w:t>
      </w:r>
      <w:r>
        <w:rPr>
          <w:rFonts w:hint="eastAsia" w:hAnsi="宋体"/>
          <w:kern w:val="0"/>
          <w:sz w:val="24"/>
          <w:szCs w:val="24"/>
        </w:rPr>
        <w:t>/T日A类基金份额净值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w:t>
      </w:r>
      <w:r>
        <w:rPr>
          <w:rFonts w:hAnsi="宋体"/>
          <w:kern w:val="0"/>
          <w:sz w:val="24"/>
          <w:szCs w:val="24"/>
        </w:rPr>
        <w:t>40,000.00</w:t>
      </w:r>
      <w:r>
        <w:rPr>
          <w:rFonts w:hint="eastAsia" w:hAnsi="宋体"/>
          <w:kern w:val="0"/>
          <w:sz w:val="24"/>
          <w:szCs w:val="24"/>
        </w:rPr>
        <w:t>元申购本基金A类基金份额，假设申购当日A类基金份额净值为1.04</w:t>
      </w:r>
      <w:r>
        <w:rPr>
          <w:rFonts w:hAnsi="宋体"/>
          <w:kern w:val="0"/>
          <w:sz w:val="24"/>
          <w:szCs w:val="24"/>
        </w:rPr>
        <w:t>0</w:t>
      </w:r>
      <w:r>
        <w:rPr>
          <w:rFonts w:hint="eastAsia" w:hAnsi="宋体"/>
          <w:kern w:val="0"/>
          <w:sz w:val="24"/>
          <w:szCs w:val="24"/>
        </w:rPr>
        <w:t>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申购总金额＝40,000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净申购金额=40,000</w:t>
      </w:r>
      <w:r>
        <w:rPr>
          <w:rFonts w:hAnsi="宋体"/>
          <w:kern w:val="0"/>
          <w:sz w:val="24"/>
          <w:szCs w:val="24"/>
        </w:rPr>
        <w:t>.00</w:t>
      </w:r>
      <w:r>
        <w:rPr>
          <w:rFonts w:hint="eastAsia" w:hAnsi="宋体"/>
          <w:kern w:val="0"/>
          <w:sz w:val="24"/>
          <w:szCs w:val="24"/>
        </w:rPr>
        <w:t>/（1+1.5%）=39,408.87元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申购费用=40,000</w:t>
      </w:r>
      <w:r>
        <w:rPr>
          <w:rFonts w:hAnsi="宋体"/>
          <w:kern w:val="0"/>
          <w:sz w:val="24"/>
          <w:szCs w:val="24"/>
        </w:rPr>
        <w:t>.00</w:t>
      </w:r>
      <w:r>
        <w:rPr>
          <w:rFonts w:hint="eastAsia" w:hAnsi="宋体"/>
          <w:kern w:val="0"/>
          <w:sz w:val="24"/>
          <w:szCs w:val="24"/>
        </w:rPr>
        <w:t>-39,408.87=591.13元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Ansi="宋体"/>
          <w:kern w:val="0"/>
          <w:sz w:val="24"/>
          <w:szCs w:val="24"/>
        </w:rPr>
        <w:t>39,408.87</w:t>
      </w:r>
      <w:r>
        <w:rPr>
          <w:rFonts w:hint="eastAsia" w:hAnsi="宋体"/>
          <w:kern w:val="0"/>
          <w:sz w:val="24"/>
          <w:szCs w:val="24"/>
        </w:rPr>
        <w:t>/1.0400=37,893.14份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w:t>
      </w:r>
      <w:r>
        <w:rPr>
          <w:rFonts w:hAnsi="宋体"/>
          <w:kern w:val="0"/>
          <w:sz w:val="24"/>
          <w:szCs w:val="24"/>
        </w:rPr>
        <w:t>40,000.00</w:t>
      </w:r>
      <w:r>
        <w:rPr>
          <w:rFonts w:hint="eastAsia" w:hAnsi="宋体"/>
          <w:kern w:val="0"/>
          <w:sz w:val="24"/>
          <w:szCs w:val="24"/>
        </w:rPr>
        <w:t>元申购本基金A类基金份额，假设申购当日A类基金份额净值为1.0400元，则其可得到37,893.14份A类基金份额。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例五：某养老金客户投资1,000,000</w:t>
      </w:r>
      <w:r>
        <w:rPr>
          <w:rFonts w:hAnsi="宋体"/>
          <w:kern w:val="0"/>
          <w:sz w:val="24"/>
          <w:szCs w:val="24"/>
        </w:rPr>
        <w:t>.00</w:t>
      </w:r>
      <w:r>
        <w:rPr>
          <w:rFonts w:hint="eastAsia" w:hAnsi="宋体"/>
          <w:kern w:val="0"/>
          <w:sz w:val="24"/>
          <w:szCs w:val="24"/>
        </w:rPr>
        <w:t>元通过基金管理人的直销柜台申购本基金A类基金份额，假设申购当日A类基金份额净值为1.0400元，申购费率为0.6%，则其可得到的申购份额为：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净申购金额=1,000,000</w:t>
      </w:r>
      <w:r>
        <w:rPr>
          <w:rFonts w:hAnsi="宋体"/>
          <w:kern w:val="0"/>
          <w:sz w:val="24"/>
          <w:szCs w:val="24"/>
        </w:rPr>
        <w:t>.00</w:t>
      </w:r>
      <w:r>
        <w:rPr>
          <w:rFonts w:hint="eastAsia" w:hAnsi="宋体"/>
          <w:kern w:val="0"/>
          <w:sz w:val="24"/>
          <w:szCs w:val="24"/>
        </w:rPr>
        <w:t>/（1+0.6%）=994,035.79元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申购费用=1,000,000</w:t>
      </w:r>
      <w:r>
        <w:rPr>
          <w:rFonts w:hAnsi="宋体"/>
          <w:kern w:val="0"/>
          <w:sz w:val="24"/>
          <w:szCs w:val="24"/>
        </w:rPr>
        <w:t>.00</w:t>
      </w:r>
      <w:r>
        <w:rPr>
          <w:rFonts w:hint="eastAsia" w:hAnsi="宋体"/>
          <w:kern w:val="0"/>
          <w:sz w:val="24"/>
          <w:szCs w:val="24"/>
        </w:rPr>
        <w:t>-994,035.79=5,964.21元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Ansi="宋体"/>
          <w:kern w:val="0"/>
          <w:sz w:val="24"/>
          <w:szCs w:val="24"/>
        </w:rPr>
        <w:t>994,035.79</w:t>
      </w:r>
      <w:r>
        <w:rPr>
          <w:rFonts w:hint="eastAsia" w:hAnsi="宋体"/>
          <w:kern w:val="0"/>
          <w:sz w:val="24"/>
          <w:szCs w:val="24"/>
        </w:rPr>
        <w:t>/1.0400=955,803.64份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即：该养老金客户投资1,000,000</w:t>
      </w:r>
      <w:r>
        <w:rPr>
          <w:rFonts w:hAnsi="宋体"/>
          <w:kern w:val="0"/>
          <w:sz w:val="24"/>
          <w:szCs w:val="24"/>
        </w:rPr>
        <w:t>.00</w:t>
      </w:r>
      <w:r>
        <w:rPr>
          <w:rFonts w:hint="eastAsia" w:hAnsi="宋体"/>
          <w:kern w:val="0"/>
          <w:sz w:val="24"/>
          <w:szCs w:val="24"/>
        </w:rPr>
        <w:t>元通过基金管理人的直销柜台申购本基金A类基金份额，假设申购当日A类基金份额净值为1.0400元，则其可得到955,803.64份A类基金份额。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如果投资者选择申购C类基金份额，则申购份额的计算方法如下：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申购份额=申购总金额/T日C类基金份额净值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w:t>
      </w:r>
      <w:r>
        <w:rPr>
          <w:rFonts w:hAnsi="宋体"/>
          <w:kern w:val="0"/>
          <w:sz w:val="24"/>
          <w:szCs w:val="24"/>
        </w:rPr>
        <w:t>.00</w:t>
      </w:r>
      <w:r>
        <w:rPr>
          <w:rFonts w:hint="eastAsia" w:hAnsi="宋体"/>
          <w:kern w:val="0"/>
          <w:sz w:val="24"/>
          <w:szCs w:val="24"/>
        </w:rPr>
        <w:t>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rFonts w:hAnsi="宋体"/>
          <w:kern w:val="0"/>
          <w:sz w:val="24"/>
          <w:szCs w:val="24"/>
        </w:rPr>
        <w:t>.00</w:t>
      </w:r>
      <w:r>
        <w:rPr>
          <w:rFonts w:hint="eastAsia" w:hAnsi="宋体"/>
          <w:kern w:val="0"/>
          <w:sz w:val="24"/>
          <w:szCs w:val="24"/>
        </w:rPr>
        <w:t>/1.0400＝96,153.85份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w:t>
      </w:r>
      <w:r>
        <w:rPr>
          <w:rFonts w:hAnsi="宋体"/>
          <w:kern w:val="0"/>
          <w:sz w:val="24"/>
          <w:szCs w:val="24"/>
        </w:rPr>
        <w:t>.00</w:t>
      </w:r>
      <w:r>
        <w:rPr>
          <w:rFonts w:hint="eastAsia" w:hAnsi="宋体"/>
          <w:kern w:val="0"/>
          <w:sz w:val="24"/>
          <w:szCs w:val="24"/>
        </w:rPr>
        <w:t>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w:t>
      </w:r>
      <w:r>
        <w:rPr>
          <w:rFonts w:hint="eastAsia" w:hAnsi="宋体"/>
          <w:sz w:val="24"/>
          <w:szCs w:val="24"/>
        </w:rPr>
        <w:t>A类基金份额和C类基金份额</w:t>
      </w:r>
      <w:r>
        <w:rPr>
          <w:rFonts w:hint="eastAsia" w:hAnsi="宋体"/>
          <w:kern w:val="0"/>
          <w:sz w:val="24"/>
          <w:szCs w:val="24"/>
        </w:rPr>
        <w:t>赎回金额的计算</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本基金采用份额赎回的方式。</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赎回A类基金份额与C类基金份额的赎回金额计算方法一致。具体如下：</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赎回费用=赎回份额×T日该类基金份额净值×赎回费率</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赎回金额=赎回份额×T日该类基金份额净值-赎回费用+应返还的或有管理费（如有）-应扣除的超额管理费（如有）</w:t>
      </w:r>
    </w:p>
    <w:p>
      <w:pPr>
        <w:widowControl/>
        <w:adjustRightInd w:val="0"/>
        <w:snapToGrid w:val="0"/>
        <w:spacing w:line="360" w:lineRule="auto"/>
        <w:ind w:firstLine="480" w:firstLineChars="200"/>
        <w:rPr>
          <w:rFonts w:hAnsi="宋体"/>
          <w:sz w:val="24"/>
          <w:szCs w:val="24"/>
        </w:rPr>
      </w:pPr>
      <w:r>
        <w:rPr>
          <w:rFonts w:hint="eastAsia" w:hAnsi="宋体"/>
          <w:sz w:val="24"/>
          <w:szCs w:val="24"/>
        </w:rPr>
        <w:t>该笔赎回确认应返还的或有管理费、应扣除的超额管理费计算的具体安排详见基金合同“基金费用与税收”部分内容。</w:t>
      </w:r>
    </w:p>
    <w:p>
      <w:pPr>
        <w:widowControl/>
        <w:adjustRightInd w:val="0"/>
        <w:snapToGrid w:val="0"/>
        <w:spacing w:line="360" w:lineRule="auto"/>
        <w:ind w:firstLine="480" w:firstLineChars="200"/>
        <w:rPr>
          <w:rFonts w:hAnsi="宋体"/>
          <w:sz w:val="24"/>
          <w:szCs w:val="24"/>
        </w:rPr>
      </w:pPr>
      <w:r>
        <w:rPr>
          <w:rFonts w:hint="eastAsia" w:hAnsi="宋体"/>
          <w:sz w:val="24"/>
          <w:szCs w:val="24"/>
        </w:rPr>
        <w:t>例七：某投资者赎回持有的10,000</w:t>
      </w:r>
      <w:r>
        <w:rPr>
          <w:rFonts w:hAnsi="宋体"/>
          <w:sz w:val="24"/>
          <w:szCs w:val="24"/>
        </w:rPr>
        <w:t>.00</w:t>
      </w:r>
      <w:r>
        <w:rPr>
          <w:rFonts w:hint="eastAsia" w:hAnsi="宋体"/>
          <w:sz w:val="24"/>
          <w:szCs w:val="24"/>
        </w:rPr>
        <w:t>份A类基金份额，持有期限为30日，对应的赎回费率为0.5%，假设赎回申请当日A类基金份额净值是1.0160元，则其可得到的赎回金额为：</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赎回费用=10,000</w:t>
      </w:r>
      <w:r>
        <w:rPr>
          <w:rFonts w:hAnsi="宋体"/>
          <w:sz w:val="24"/>
          <w:szCs w:val="24"/>
        </w:rPr>
        <w:t>.00</w:t>
      </w:r>
      <w:r>
        <w:rPr>
          <w:rFonts w:hint="eastAsia" w:hAnsi="宋体"/>
          <w:sz w:val="24"/>
          <w:szCs w:val="24"/>
        </w:rPr>
        <w:t>×1.0160×0.5%＝50.80元</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赎回金额=10,000</w:t>
      </w:r>
      <w:r>
        <w:rPr>
          <w:rFonts w:hAnsi="宋体"/>
          <w:sz w:val="24"/>
          <w:szCs w:val="24"/>
        </w:rPr>
        <w:t>.00</w:t>
      </w:r>
      <w:r>
        <w:rPr>
          <w:rFonts w:hint="eastAsia" w:hAnsi="宋体"/>
          <w:sz w:val="24"/>
          <w:szCs w:val="24"/>
        </w:rPr>
        <w:t>×1.0160-50.80＝10,109.20元</w:t>
      </w:r>
    </w:p>
    <w:p>
      <w:pPr>
        <w:widowControl/>
        <w:adjustRightInd w:val="0"/>
        <w:snapToGrid w:val="0"/>
        <w:spacing w:line="360" w:lineRule="auto"/>
        <w:ind w:firstLine="480" w:firstLineChars="200"/>
        <w:rPr>
          <w:rFonts w:hAnsi="宋体"/>
          <w:sz w:val="24"/>
          <w:szCs w:val="24"/>
        </w:rPr>
      </w:pPr>
      <w:r>
        <w:rPr>
          <w:rFonts w:hint="eastAsia" w:hAnsi="宋体"/>
          <w:sz w:val="24"/>
          <w:szCs w:val="24"/>
        </w:rPr>
        <w:t>即：该投资者赎回本基金10,000份A类基金份额，持有期限为30日，对应的赎回费率为0.5%，假设赎回申请当日A类基金份额净值是1.0160元，则其可得到的赎回金额为10,109.20元。</w:t>
      </w:r>
    </w:p>
    <w:p>
      <w:pPr>
        <w:widowControl/>
        <w:adjustRightInd w:val="0"/>
        <w:snapToGrid w:val="0"/>
        <w:spacing w:line="360" w:lineRule="auto"/>
        <w:ind w:firstLine="480" w:firstLineChars="200"/>
        <w:rPr>
          <w:rFonts w:hAnsi="宋体"/>
          <w:sz w:val="24"/>
          <w:szCs w:val="24"/>
        </w:rPr>
      </w:pPr>
      <w:r>
        <w:rPr>
          <w:rFonts w:hint="eastAsia" w:hAnsi="宋体"/>
          <w:sz w:val="24"/>
          <w:szCs w:val="24"/>
        </w:rPr>
        <w:t>例八：某投资者赎回持有的10,000.00份A类基金份额，持有期限为370日，对应的赎回费率为0，假设赎回申请当日A类基金份额净值是1.0160元，且假设该笔赎回确认应收取的超额管理费为30.90元（即该笔赎回的基金份额达到超额管理费收取情形，应从赎回款中扣除超额管理费），则其可得到的赎回金额为：</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赎回费用=10,000.00×1.0160×0＝0元</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赎回金额=10,000.00×1.0160-0-30.90＝10,129.10元</w:t>
      </w:r>
    </w:p>
    <w:p>
      <w:pPr>
        <w:widowControl/>
        <w:adjustRightInd w:val="0"/>
        <w:snapToGrid w:val="0"/>
        <w:spacing w:line="360" w:lineRule="auto"/>
        <w:ind w:firstLine="480" w:firstLineChars="200"/>
        <w:rPr>
          <w:rFonts w:hAnsi="宋体"/>
          <w:sz w:val="24"/>
          <w:szCs w:val="24"/>
        </w:rPr>
      </w:pPr>
      <w:r>
        <w:rPr>
          <w:rFonts w:hint="eastAsia" w:hAnsi="宋体"/>
          <w:sz w:val="24"/>
          <w:szCs w:val="24"/>
        </w:rPr>
        <w:t>即：该投资者赎回本基金10,000份A类基金份额，持有期限为370日，对应的赎回费率为0，假设赎回申请当日A类基金份额净值是1.0160元，且假设该笔赎回确认应收取的超额管理费为30.90元（即该笔赎回的基金份额达到超额管理费收取情形，应从赎回款中扣除超额管理费），则其可得到的赎回金额为10,129.10元。</w:t>
      </w:r>
    </w:p>
    <w:p>
      <w:pPr>
        <w:widowControl/>
        <w:adjustRightInd w:val="0"/>
        <w:snapToGrid w:val="0"/>
        <w:spacing w:line="360" w:lineRule="auto"/>
        <w:ind w:firstLine="480" w:firstLineChars="200"/>
        <w:rPr>
          <w:rFonts w:hAnsi="宋体"/>
          <w:sz w:val="24"/>
          <w:szCs w:val="24"/>
        </w:rPr>
      </w:pPr>
      <w:r>
        <w:rPr>
          <w:rFonts w:hint="eastAsia" w:hAnsi="宋体"/>
          <w:sz w:val="24"/>
          <w:szCs w:val="24"/>
        </w:rPr>
        <w:t>例九：某投资者赎回持有的10,000.00份C类基金份额，持有期限为370日，对应的赎回费率为0，假设赎回申请当日C类基金份额净值是1.0160元，且假设该笔赎回确认应返还的或有管理费为65.00元（即该笔赎回的基金份额符合或有管理费为0的情形，应将持有期内计提的或有管理费全额返还），则其可得到的赎回金额为：</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赎回费用=10,000.00×1.0160×0＝0元</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赎回金额=10,000.00×1.0160-0+65.00＝10,225.00元</w:t>
      </w:r>
    </w:p>
    <w:p>
      <w:pPr>
        <w:widowControl/>
        <w:adjustRightInd w:val="0"/>
        <w:snapToGrid w:val="0"/>
        <w:spacing w:line="360" w:lineRule="auto"/>
        <w:ind w:firstLine="480" w:firstLineChars="200"/>
        <w:rPr>
          <w:rFonts w:hAnsi="宋体"/>
          <w:sz w:val="24"/>
          <w:szCs w:val="24"/>
        </w:rPr>
      </w:pPr>
      <w:r>
        <w:rPr>
          <w:rFonts w:hint="eastAsia" w:hAnsi="宋体"/>
          <w:sz w:val="24"/>
          <w:szCs w:val="24"/>
        </w:rPr>
        <w:t>即：该投资者赎回本基金10,000份C类基金份额，持有期限为370日，对应的赎回费率为0，假设赎回申请当日C类基金份额净值是1.0160元，且假设该笔赎回确认应返还的或有管理费为65.00元（即该笔赎回的基金份额符合或有管理费为0的情形，应将持有期内计提的或有管理费全额返还），则其可得到的赎回金额为10,225.00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rFonts w:hAnsi="宋体"/>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A类基金份额和C类基金份额的基金</w:t>
      </w:r>
      <w:r>
        <w:rPr>
          <w:rFonts w:hAnsi="宋体"/>
          <w:sz w:val="24"/>
          <w:szCs w:val="24"/>
        </w:rPr>
        <w:t>份额净值的计算，</w:t>
      </w:r>
      <w:r>
        <w:rPr>
          <w:rFonts w:hint="eastAsia"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widowControl/>
        <w:adjustRightInd w:val="0"/>
        <w:snapToGrid w:val="0"/>
        <w:spacing w:line="360" w:lineRule="auto"/>
        <w:ind w:firstLine="480" w:firstLineChars="200"/>
        <w:rPr>
          <w:rFonts w:hAnsi="宋体"/>
          <w:sz w:val="24"/>
          <w:szCs w:val="24"/>
        </w:rPr>
      </w:pPr>
      <w:r>
        <w:rPr>
          <w:rFonts w:hint="eastAsia" w:hAnsi="宋体"/>
          <w:sz w:val="24"/>
          <w:szCs w:val="24"/>
        </w:rPr>
        <w:t>由于本基金在计算基金份额净值时，按前一日基金资产净值的1.20%年费率计算管理费，该费率可能高于或低于不同投资者最终适用的管理费率。在基金份额赎回时，基金投资者实际收到的赎回款项的金额可能与按披露的基金份额净值计算的结果存在差异。投资者的实际赎回金额以登记机构确认数据为准。</w:t>
      </w:r>
    </w:p>
    <w:p>
      <w:pPr>
        <w:adjustRightInd w:val="0"/>
        <w:snapToGrid w:val="0"/>
        <w:spacing w:line="360" w:lineRule="auto"/>
        <w:ind w:firstLine="482" w:firstLineChars="200"/>
        <w:outlineLvl w:val="1"/>
        <w:rPr>
          <w:rFonts w:hAnsi="宋体"/>
          <w:kern w:val="0"/>
          <w:sz w:val="24"/>
          <w:szCs w:val="24"/>
        </w:rPr>
      </w:pPr>
      <w:bookmarkStart w:id="33" w:name="_Toc79392615"/>
      <w:r>
        <w:rPr>
          <w:rFonts w:hAnsi="宋体"/>
          <w:b/>
          <w:kern w:val="0"/>
          <w:sz w:val="24"/>
          <w:szCs w:val="24"/>
        </w:rPr>
        <w:t>（八）拒绝或暂停申购的情形</w:t>
      </w:r>
      <w:bookmarkEnd w:id="33"/>
    </w:p>
    <w:p>
      <w:pPr>
        <w:widowControl/>
        <w:adjustRightInd w:val="0"/>
        <w:snapToGrid w:val="0"/>
        <w:spacing w:line="360" w:lineRule="auto"/>
        <w:ind w:firstLine="480" w:firstLineChars="200"/>
        <w:rPr>
          <w:rFonts w:hAnsi="宋体"/>
          <w:kern w:val="0"/>
          <w:sz w:val="24"/>
          <w:szCs w:val="24"/>
        </w:rPr>
      </w:pPr>
      <w:bookmarkStart w:id="34" w:name="_Hlt70481650"/>
      <w:bookmarkEnd w:id="34"/>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6、基金销售机构、基金销售支付结算机构或登记机构的异常情况导致基金销售系统、基金销售支付结算系统、基金注册登记系统或基金会计系统无法正常运行。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8、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9、基金管理人接受某笔或者某些申购申请有可能导致单一投资者持有基金份额的比例超过50%，或者变相规避50%集中度的。出现上述情形时，基金管理人有权将上述申购申请全部或部分确认失败。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10、法律法规规定、中国证监会认定或基金合同约定的其他情形。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w:t>
      </w:r>
      <w:r>
        <w:rPr>
          <w:rFonts w:hint="eastAsia"/>
          <w:bCs/>
          <w:sz w:val="24"/>
        </w:rPr>
        <w:t>8、10</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5"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5"/>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36" w:name="_Toc79392617"/>
      <w:r>
        <w:rPr>
          <w:rFonts w:hAnsi="宋体"/>
          <w:b/>
          <w:kern w:val="0"/>
          <w:sz w:val="24"/>
          <w:szCs w:val="24"/>
        </w:rPr>
        <w:t>（十一）暂停申购或赎回的公告和重新开放申购或赎回的公告</w:t>
      </w:r>
      <w:bookmarkEnd w:id="36"/>
    </w:p>
    <w:p>
      <w:pPr>
        <w:widowControl/>
        <w:adjustRightInd w:val="0"/>
        <w:snapToGrid w:val="0"/>
        <w:spacing w:line="360" w:lineRule="auto"/>
        <w:ind w:firstLine="480" w:firstLineChars="200"/>
        <w:rPr>
          <w:rFonts w:hAnsi="宋体"/>
          <w:kern w:val="0"/>
          <w:sz w:val="24"/>
          <w:szCs w:val="24"/>
        </w:rPr>
      </w:pPr>
      <w:bookmarkStart w:id="37" w:name="_Toc15118274"/>
      <w:bookmarkStart w:id="38" w:name="_Toc79392618"/>
      <w:bookmarkStart w:id="39" w:name="_Toc59441259"/>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2、如发生暂停的时间为1日，基金管理人应于重新开放日，在规定媒介上刊登基金重新开放申购或赎回公告，并公布最近1个开放日各类基金份额的基金份额净值。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7"/>
    <w:bookmarkEnd w:id="38"/>
    <w:bookmarkEnd w:id="39"/>
    <w:p>
      <w:pPr>
        <w:widowControl/>
        <w:adjustRightInd w:val="0"/>
        <w:snapToGrid w:val="0"/>
        <w:spacing w:line="360" w:lineRule="auto"/>
        <w:ind w:firstLine="482" w:firstLineChars="200"/>
        <w:outlineLvl w:val="1"/>
        <w:rPr>
          <w:b/>
          <w:kern w:val="0"/>
          <w:sz w:val="24"/>
          <w:szCs w:val="24"/>
        </w:rPr>
      </w:pPr>
      <w:bookmarkStart w:id="40"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0"/>
    </w:p>
    <w:p>
      <w:pPr>
        <w:widowControl/>
        <w:adjustRightInd w:val="0"/>
        <w:snapToGrid w:val="0"/>
        <w:spacing w:line="360" w:lineRule="auto"/>
        <w:ind w:firstLine="480" w:firstLineChars="200"/>
        <w:rPr>
          <w:rFonts w:hAnsi="宋体"/>
          <w:kern w:val="0"/>
          <w:sz w:val="24"/>
          <w:szCs w:val="24"/>
        </w:rPr>
      </w:pPr>
      <w:bookmarkStart w:id="41"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1"/>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42" w:name="_Toc66719557"/>
      <w:bookmarkStart w:id="43" w:name="_Toc109059024"/>
      <w:bookmarkStart w:id="44" w:name="_Toc66720082"/>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28"/>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5" w:name="_Toc48122010"/>
      <w:r>
        <w:rPr>
          <w:rFonts w:hint="eastAsia" w:ascii="宋体" w:hAnsi="宋体"/>
          <w:b/>
          <w:kern w:val="0"/>
          <w:sz w:val="30"/>
        </w:rPr>
        <w:t>九、基金的投资</w:t>
      </w:r>
      <w:bookmarkEnd w:id="45"/>
    </w:p>
    <w:p>
      <w:pPr>
        <w:adjustRightInd w:val="0"/>
        <w:snapToGrid w:val="0"/>
        <w:spacing w:line="360" w:lineRule="auto"/>
        <w:ind w:firstLine="482" w:firstLineChars="200"/>
        <w:outlineLvl w:val="1"/>
        <w:rPr>
          <w:rFonts w:hAnsi="宋体"/>
          <w:kern w:val="0"/>
          <w:sz w:val="24"/>
          <w:szCs w:val="24"/>
        </w:rPr>
      </w:pPr>
      <w:bookmarkStart w:id="46" w:name="_Hlk50018503"/>
      <w:r>
        <w:rPr>
          <w:rFonts w:hint="eastAsia"/>
          <w:b/>
          <w:bCs/>
          <w:sz w:val="24"/>
        </w:rPr>
        <w:t>（一）投资目标</w:t>
      </w:r>
    </w:p>
    <w:p>
      <w:pPr>
        <w:adjustRightInd w:val="0"/>
        <w:snapToGrid w:val="0"/>
        <w:spacing w:line="360" w:lineRule="auto"/>
        <w:ind w:firstLine="482"/>
        <w:rPr>
          <w:bCs/>
          <w:sz w:val="24"/>
        </w:rPr>
      </w:pPr>
      <w:r>
        <w:rPr>
          <w:rFonts w:hint="eastAsia"/>
          <w:bCs/>
          <w:sz w:val="24"/>
        </w:rPr>
        <w:t>本基金在合理控制风险的前提下，充分发挥专业研究与管理能力，力争为投资者提供长期稳健的投资回报。</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本基金的投资范围为具有良好流动性的金融工具，包括国内依法发行上市的股票（含主板、创业板、科创板及其他经中国证监会核准</w:t>
      </w:r>
      <w:r>
        <w:rPr>
          <w:rFonts w:hint="eastAsia"/>
          <w:bCs/>
          <w:sz w:val="24"/>
        </w:rPr>
        <w:t>或注册</w:t>
      </w:r>
      <w:r>
        <w:rPr>
          <w:rFonts w:hint="eastAsia" w:ascii="宋体" w:hAnsi="宋体"/>
          <w:bCs/>
          <w:sz w:val="24"/>
          <w:szCs w:val="24"/>
        </w:rPr>
        <w:t>上市的股票、存托凭证）、</w:t>
      </w:r>
      <w:r>
        <w:rPr>
          <w:rFonts w:hint="eastAsia"/>
          <w:bCs/>
          <w:sz w:val="24"/>
        </w:rPr>
        <w:t>港股通标的股票、</w:t>
      </w:r>
      <w:r>
        <w:rPr>
          <w:rFonts w:hint="eastAsia" w:ascii="宋体" w:hAnsi="宋体"/>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w:t>
      </w:r>
      <w:r>
        <w:rPr>
          <w:rFonts w:hint="eastAsia"/>
          <w:bCs/>
          <w:sz w:val="24"/>
        </w:rPr>
        <w:t>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沪深A股、港股通标的股票</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本基金可通过内地与香港股票市场交易互联互通机制投资于香港股票市场。本基金优先将基本面健康、业绩向上弹性较大、具有估值优势的港股通标的股票纳入本基金的股票投资组合。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3、债券投资策略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w:t>
      </w:r>
      <w:r>
        <w:rPr>
          <w:rFonts w:hint="eastAsia"/>
          <w:bCs/>
          <w:sz w:val="24"/>
        </w:rPr>
        <w:t>类属配置策略、</w:t>
      </w:r>
      <w:r>
        <w:rPr>
          <w:rFonts w:hint="eastAsia" w:ascii="宋体" w:hAnsi="宋体"/>
          <w:bCs/>
          <w:sz w:val="24"/>
          <w:szCs w:val="24"/>
        </w:rPr>
        <w:t>期限结构配置策略、</w:t>
      </w:r>
      <w:r>
        <w:rPr>
          <w:rFonts w:hint="eastAsia"/>
          <w:bCs/>
          <w:sz w:val="24"/>
        </w:rPr>
        <w:t>回购策略、信用债券投资策略、可转换债券投资策略</w:t>
      </w:r>
      <w:r>
        <w:rPr>
          <w:rFonts w:hint="eastAsia" w:ascii="宋体" w:hAnsi="宋体"/>
          <w:bCs/>
          <w:sz w:val="24"/>
          <w:szCs w:val="24"/>
        </w:rPr>
        <w:t>等多种策略，以期获取债券市场的长期稳定收益。</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4、资产支持证券投资策略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（1）股票投资（含存托凭证）占基金资产的比例为60%-95%，其中投资于港股通标的股票的比例占股票资产的0%-50%；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w:t>
      </w:r>
      <w:r>
        <w:rPr>
          <w:bCs/>
          <w:sz w:val="24"/>
        </w:rPr>
        <w:t>的现金或者到期日在一年以内的政府债券</w:t>
      </w:r>
      <w:r>
        <w:rPr>
          <w:rFonts w:hint="eastAsia"/>
          <w:bCs/>
          <w:sz w:val="24"/>
        </w:rPr>
        <w:t>的比例合计不低于基金资产净值的5%，</w:t>
      </w:r>
      <w:r>
        <w:rPr>
          <w:bCs/>
          <w:sz w:val="24"/>
        </w:rPr>
        <w:t>其中现金不包括结算备付金、存出保证金</w:t>
      </w:r>
      <w:r>
        <w:rPr>
          <w:rFonts w:hint="eastAsia"/>
          <w:bCs/>
          <w:sz w:val="24"/>
        </w:rPr>
        <w:t>、</w:t>
      </w:r>
      <w:r>
        <w:rPr>
          <w:bCs/>
          <w:sz w:val="24"/>
        </w:rPr>
        <w:t>应收申购款等</w:t>
      </w:r>
      <w:r>
        <w:rPr>
          <w:rFonts w:hint="eastAsia"/>
          <w:bCs/>
          <w:sz w:val="24"/>
        </w:rPr>
        <w:t>；</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（13）本基金与私募类证券资管产品及中国证监会认定的其他主体为交易对手开展逆回购交易的，可接受质押品的资质要求应当与基金合同约定的投资范围保持一致；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（14）本基金参与股指期货交易，则：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（15）本基金资产总值不超过基金资产净值的140%；</w:t>
      </w:r>
    </w:p>
    <w:p>
      <w:pPr>
        <w:adjustRightInd w:val="0"/>
        <w:snapToGrid w:val="0"/>
        <w:spacing w:line="360" w:lineRule="auto"/>
        <w:ind w:firstLine="480" w:firstLineChars="200"/>
        <w:rPr>
          <w:bCs/>
          <w:sz w:val="24"/>
        </w:rPr>
      </w:pPr>
      <w:r>
        <w:rPr>
          <w:rFonts w:hint="eastAsia"/>
          <w:bCs/>
          <w:sz w:val="24"/>
        </w:rPr>
        <w:t>（16）本基金投资存托凭证的比例限制依照境内上市交易的股票执行；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（17）法律法规及中国证监会规定的和《基金合同》约定的其他投资限制。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法律法规或监管部门取消或者变更上述限制，如适用于本基金，基金管理人在履行适当程序后，则本基金投资不再受相关限制或以变更后的规定为准。</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沪深300指数收益率×70%+恒生指数收益率（人民币计价）×5%+中证综合债券指数收益率×25%</w:t>
      </w:r>
    </w:p>
    <w:p>
      <w:pPr>
        <w:adjustRightInd w:val="0"/>
        <w:snapToGrid w:val="0"/>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本基金是一只混合型基金，其预期风险和预期收益理论上高于债券型基金和货币市场基金，低于股票型基金。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2"/>
    <w:bookmarkEnd w:id="43"/>
    <w:bookmarkEnd w:id="44"/>
    <w:p>
      <w:pPr>
        <w:adjustRightInd w:val="0"/>
        <w:snapToGrid w:val="0"/>
        <w:spacing w:line="360" w:lineRule="auto"/>
        <w:ind w:firstLine="482" w:firstLineChars="200"/>
        <w:outlineLvl w:val="1"/>
        <w:rPr>
          <w:rFonts w:hAnsi="宋体"/>
          <w:b/>
          <w:sz w:val="24"/>
          <w:szCs w:val="24"/>
        </w:rPr>
      </w:pPr>
      <w:bookmarkStart w:id="47" w:name="_Toc109059037"/>
      <w:bookmarkEnd w:id="47"/>
      <w:bookmarkStart w:id="48" w:name="_Hlt5604240"/>
      <w:bookmarkEnd w:id="48"/>
      <w:bookmarkStart w:id="49" w:name="_Toc109059036"/>
      <w:bookmarkEnd w:id="49"/>
      <w:bookmarkStart w:id="50" w:name="_Hlt5528681"/>
      <w:bookmarkEnd w:id="50"/>
      <w:bookmarkStart w:id="51" w:name="_Hlt81033424"/>
      <w:bookmarkEnd w:id="51"/>
      <w:bookmarkStart w:id="52" w:name="_Hlt88281392"/>
      <w:bookmarkEnd w:id="52"/>
      <w:bookmarkStart w:id="53" w:name="_Toc109059025"/>
      <w:bookmarkEnd w:id="53"/>
      <w:bookmarkStart w:id="54" w:name="_Hlt81033092"/>
      <w:bookmarkEnd w:id="54"/>
      <w:bookmarkStart w:id="55" w:name="_Toc154909614"/>
      <w:bookmarkStart w:id="56" w:name="_Toc155690783"/>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adjustRightInd w:val="0"/>
        <w:snapToGrid w:val="0"/>
        <w:spacing w:line="360" w:lineRule="auto"/>
        <w:ind w:firstLine="482" w:firstLineChars="200"/>
        <w:outlineLvl w:val="1"/>
        <w:rPr>
          <w:b/>
          <w:sz w:val="24"/>
          <w:szCs w:val="24"/>
        </w:rPr>
      </w:pPr>
      <w:r>
        <w:rPr>
          <w:rFonts w:hint="eastAsia" w:hAnsi="宋体"/>
          <w:b/>
          <w:sz w:val="24"/>
          <w:szCs w:val="24"/>
        </w:rPr>
        <w:t>（九</w:t>
      </w:r>
      <w:r>
        <w:rPr>
          <w:rFonts w:hAnsi="宋体"/>
          <w:b/>
          <w:sz w:val="24"/>
          <w:szCs w:val="24"/>
        </w:rPr>
        <w:t>）投资决策依据和投资流程</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、投资决策依据</w:t>
      </w:r>
    </w:p>
    <w:p>
      <w:pPr>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pPr>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）公司投资及风险控制政策；</w:t>
      </w:r>
    </w:p>
    <w:p>
      <w:pPr>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pPr>
        <w:adjustRightInd w:val="0"/>
        <w:snapToGrid w:val="0"/>
        <w:spacing w:line="360" w:lineRule="auto"/>
        <w:ind w:firstLine="480" w:firstLineChars="20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pPr>
        <w:adjustRightInd w:val="0"/>
        <w:snapToGrid w:val="0"/>
        <w:spacing w:line="360" w:lineRule="auto"/>
        <w:ind w:firstLine="480" w:firstLineChars="200"/>
        <w:outlineLvl w:val="2"/>
        <w:rPr>
          <w:sz w:val="24"/>
          <w:szCs w:val="24"/>
        </w:rPr>
      </w:pPr>
      <w:r>
        <w:rPr>
          <w:sz w:val="24"/>
          <w:szCs w:val="24"/>
        </w:rPr>
        <w:t>2</w:t>
      </w:r>
      <w:r>
        <w:rPr>
          <w:rFonts w:hAnsi="宋体"/>
          <w:sz w:val="24"/>
          <w:szCs w:val="24"/>
        </w:rPr>
        <w:t>、投资决策机制</w:t>
      </w:r>
    </w:p>
    <w:p>
      <w:pPr>
        <w:adjustRightInd w:val="0"/>
        <w:snapToGrid w:val="0"/>
        <w:spacing w:line="360" w:lineRule="auto"/>
        <w:ind w:firstLine="480" w:firstLineChars="20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djustRightInd w:val="0"/>
        <w:snapToGrid w:val="0"/>
        <w:spacing w:line="360" w:lineRule="auto"/>
        <w:ind w:firstLine="480" w:firstLineChars="200"/>
        <w:rPr>
          <w:sz w:val="24"/>
          <w:szCs w:val="24"/>
        </w:rPr>
      </w:pPr>
      <w:r>
        <w:rPr>
          <w:rFonts w:hAnsi="宋体"/>
          <w:sz w:val="24"/>
          <w:szCs w:val="24"/>
        </w:rPr>
        <w:t>基金经理的主要职责是在投资决策委员会确定的资产配置范围内构建和调整投资组合，并向中央交易室下达投资指令。</w:t>
      </w:r>
    </w:p>
    <w:p>
      <w:pPr>
        <w:adjustRightInd w:val="0"/>
        <w:snapToGrid w:val="0"/>
        <w:spacing w:line="360" w:lineRule="auto"/>
        <w:ind w:firstLine="480" w:firstLineChars="20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outlineLvl w:val="2"/>
        <w:rPr>
          <w:sz w:val="24"/>
          <w:szCs w:val="24"/>
        </w:rPr>
      </w:pPr>
      <w:r>
        <w:rPr>
          <w:sz w:val="24"/>
          <w:szCs w:val="24"/>
        </w:rPr>
        <w:t>3</w:t>
      </w:r>
      <w:r>
        <w:rPr>
          <w:rFonts w:hAnsi="宋体"/>
          <w:sz w:val="24"/>
          <w:szCs w:val="24"/>
        </w:rPr>
        <w:t>、投资管理流程</w:t>
      </w:r>
    </w:p>
    <w:p>
      <w:pPr>
        <w:adjustRightInd w:val="0"/>
        <w:snapToGrid w:val="0"/>
        <w:spacing w:line="360" w:lineRule="auto"/>
        <w:ind w:firstLine="480" w:firstLineChars="20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djustRightInd w:val="0"/>
        <w:snapToGrid w:val="0"/>
        <w:spacing w:line="360" w:lineRule="auto"/>
        <w:ind w:firstLine="480" w:firstLineChars="200"/>
        <w:rPr>
          <w:rFonts w:hAnsi="宋体"/>
          <w:sz w:val="24"/>
          <w:szCs w:val="24"/>
        </w:rPr>
      </w:pPr>
      <w:r>
        <w:rPr>
          <w:rFonts w:hAnsi="宋体"/>
          <w:sz w:val="24"/>
          <w:szCs w:val="24"/>
        </w:rPr>
        <w:t>（1）研究部宏观分析师、策略分析师、行业分析师、信用分析师、数量分析师各自独立完成相应的研究报告，为投资决策提供依据；</w:t>
      </w:r>
    </w:p>
    <w:p>
      <w:pPr>
        <w:adjustRightInd w:val="0"/>
        <w:snapToGrid w:val="0"/>
        <w:spacing w:line="360" w:lineRule="auto"/>
        <w:ind w:firstLine="480" w:firstLineChars="200"/>
        <w:rPr>
          <w:rFonts w:hAnsi="宋体"/>
          <w:sz w:val="24"/>
          <w:szCs w:val="24"/>
        </w:rPr>
      </w:pPr>
      <w:r>
        <w:rPr>
          <w:rFonts w:hAnsi="宋体"/>
          <w:sz w:val="24"/>
          <w:szCs w:val="24"/>
        </w:rPr>
        <w:t>（2）投资决策委员会每月召开投资决策会议，对资产配置比例提出指导性意见，并讨论股票、债券的投资重点等；</w:t>
      </w:r>
    </w:p>
    <w:p>
      <w:pPr>
        <w:adjustRightInd w:val="0"/>
        <w:snapToGrid w:val="0"/>
        <w:spacing w:line="360" w:lineRule="auto"/>
        <w:ind w:firstLine="480" w:firstLineChars="200"/>
        <w:rPr>
          <w:rFonts w:hAnsi="宋体"/>
          <w:sz w:val="24"/>
          <w:szCs w:val="24"/>
        </w:rPr>
      </w:pPr>
      <w:r>
        <w:rPr>
          <w:rFonts w:hAnsi="宋体"/>
          <w:sz w:val="24"/>
          <w:szCs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djustRightInd w:val="0"/>
        <w:snapToGrid w:val="0"/>
        <w:spacing w:line="360" w:lineRule="auto"/>
        <w:ind w:firstLine="480" w:firstLineChars="200"/>
        <w:rPr>
          <w:rFonts w:hAnsi="宋体"/>
          <w:sz w:val="24"/>
          <w:szCs w:val="24"/>
        </w:rPr>
      </w:pPr>
      <w:r>
        <w:rPr>
          <w:rFonts w:hAnsi="宋体"/>
          <w:sz w:val="24"/>
          <w:szCs w:val="24"/>
        </w:rPr>
        <w:t>（4）基金经理根据基金投资组合方案，向中央交易室下达交易指令；</w:t>
      </w:r>
    </w:p>
    <w:p>
      <w:pPr>
        <w:adjustRightInd w:val="0"/>
        <w:snapToGrid w:val="0"/>
        <w:spacing w:line="360" w:lineRule="auto"/>
        <w:ind w:firstLine="480" w:firstLineChars="200"/>
        <w:rPr>
          <w:rFonts w:hAnsi="宋体"/>
          <w:sz w:val="24"/>
          <w:szCs w:val="24"/>
        </w:rPr>
      </w:pPr>
      <w:r>
        <w:rPr>
          <w:rFonts w:hAnsi="宋体"/>
          <w:sz w:val="24"/>
          <w:szCs w:val="24"/>
        </w:rPr>
        <w:t>（5）交易指令通过风控系统的自动合规核查后，由中央交易室执行，中央交易室对交易情况及时反馈；</w:t>
      </w:r>
    </w:p>
    <w:p>
      <w:pPr>
        <w:adjustRightInd w:val="0"/>
        <w:snapToGrid w:val="0"/>
        <w:spacing w:line="360" w:lineRule="auto"/>
        <w:ind w:firstLine="480" w:firstLineChars="200"/>
        <w:rPr>
          <w:rFonts w:hAnsi="宋体"/>
          <w:sz w:val="24"/>
          <w:szCs w:val="24"/>
        </w:rPr>
      </w:pPr>
      <w:r>
        <w:rPr>
          <w:rFonts w:hAnsi="宋体"/>
          <w:sz w:val="24"/>
          <w:szCs w:val="24"/>
        </w:rPr>
        <w:t>（6）基金经理对每日交易执行情况进行回顾，并审视基金投资组合的变动情况；</w:t>
      </w:r>
    </w:p>
    <w:p>
      <w:pPr>
        <w:adjustRightInd w:val="0"/>
        <w:snapToGrid w:val="0"/>
        <w:spacing w:line="360" w:lineRule="auto"/>
        <w:ind w:firstLine="480" w:firstLineChars="200"/>
        <w:rPr>
          <w:rFonts w:hAnsi="宋体"/>
          <w:sz w:val="24"/>
          <w:szCs w:val="24"/>
        </w:rPr>
      </w:pPr>
      <w:r>
        <w:rPr>
          <w:rFonts w:hAnsi="宋体"/>
          <w:sz w:val="24"/>
          <w:szCs w:val="24"/>
        </w:rPr>
        <w:t>（7）风险管理部定期完成有关投资风险监控报告，量化投资部定期完成基金业绩评估报告。</w:t>
      </w:r>
    </w:p>
    <w:p>
      <w:pPr>
        <w:adjustRightInd w:val="0"/>
        <w:snapToGrid w:val="0"/>
        <w:spacing w:line="360" w:lineRule="auto"/>
        <w:ind w:firstLine="480" w:firstLineChars="200"/>
        <w:rPr>
          <w:rFonts w:hAnsi="宋体"/>
          <w:sz w:val="24"/>
          <w:szCs w:val="24"/>
        </w:rPr>
      </w:pPr>
      <w:r>
        <w:rPr>
          <w:rFonts w:hAnsi="宋体"/>
          <w:sz w:val="24"/>
          <w:szCs w:val="24"/>
        </w:rPr>
        <w:t>投资决策委员会有权根据市场变化和实际情况的需要，对上述投资管理程序作出调整。</w:t>
      </w:r>
      <w:bookmarkEnd w:id="46"/>
      <w:bookmarkStart w:id="57" w:name="_Toc78208364"/>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58" w:name="_Toc48122011"/>
      <w:r>
        <w:rPr>
          <w:rFonts w:hint="eastAsia" w:ascii="宋体" w:hAnsi="宋体"/>
          <w:b/>
          <w:kern w:val="0"/>
          <w:sz w:val="30"/>
        </w:rPr>
        <w:t>十、基金的财产</w:t>
      </w:r>
      <w:bookmarkEnd w:id="58"/>
    </w:p>
    <w:p>
      <w:pPr>
        <w:adjustRightInd w:val="0"/>
        <w:snapToGrid w:val="0"/>
        <w:spacing w:line="360" w:lineRule="auto"/>
        <w:ind w:firstLine="482"/>
        <w:outlineLvl w:val="1"/>
        <w:rPr>
          <w:b/>
          <w:bCs/>
          <w:sz w:val="24"/>
        </w:rPr>
      </w:pPr>
      <w:bookmarkStart w:id="59" w:name="_Hlk49343903"/>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57"/>
      <w:bookmarkStart w:id="60" w:name="_Toc311810245"/>
    </w:p>
    <w:p>
      <w:pPr>
        <w:adjustRightInd w:val="0"/>
        <w:snapToGrid w:val="0"/>
        <w:spacing w:line="360" w:lineRule="auto"/>
        <w:ind w:firstLine="482"/>
        <w:outlineLvl w:val="1"/>
        <w:rPr>
          <w:b/>
          <w:bCs/>
          <w:sz w:val="24"/>
        </w:rPr>
      </w:pPr>
      <w:r>
        <w:rPr>
          <w:b/>
          <w:bCs/>
          <w:sz w:val="24"/>
        </w:rPr>
        <w:t>（二）基金资</w:t>
      </w:r>
      <w:bookmarkEnd w:id="60"/>
      <w:r>
        <w:rPr>
          <w:b/>
          <w:bCs/>
          <w:sz w:val="24"/>
        </w:rPr>
        <w:t>产</w:t>
      </w:r>
      <w:bookmarkEnd w:id="55"/>
      <w:bookmarkEnd w:id="56"/>
      <w:r>
        <w:rPr>
          <w:b/>
          <w:bCs/>
          <w:sz w:val="24"/>
        </w:rPr>
        <w:t>净</w:t>
      </w:r>
      <w:bookmarkStart w:id="61"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1"/>
      <w:r>
        <w:rPr>
          <w:rFonts w:hAnsi="宋体"/>
          <w:sz w:val="24"/>
          <w:szCs w:val="21"/>
        </w:rPr>
        <w:t>金资产净值是指基金资产总值</w:t>
      </w:r>
      <w:bookmarkStart w:id="62" w:name="_Toc79556449"/>
      <w:bookmarkStart w:id="63" w:name="_Toc79392635"/>
      <w:r>
        <w:rPr>
          <w:rFonts w:hAnsi="宋体"/>
          <w:sz w:val="24"/>
          <w:szCs w:val="21"/>
        </w:rPr>
        <w:t>减去基金负债后的价值。</w:t>
      </w:r>
    </w:p>
    <w:p>
      <w:pPr>
        <w:adjustRightInd w:val="0"/>
        <w:snapToGrid w:val="0"/>
        <w:spacing w:line="360" w:lineRule="auto"/>
        <w:ind w:firstLine="482"/>
        <w:outlineLvl w:val="1"/>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2"/>
      <w:bookmarkEnd w:id="63"/>
      <w:r>
        <w:rPr>
          <w:bCs/>
          <w:sz w:val="24"/>
        </w:rPr>
        <w:t>金托管人、基金销售机构和基金登记机构自有的财产账户以及其他基金财产账户相独立。</w:t>
      </w:r>
    </w:p>
    <w:p>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59"/>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4" w:name="_Toc48122012"/>
      <w:r>
        <w:rPr>
          <w:rFonts w:hint="eastAsia" w:ascii="宋体" w:hAnsi="宋体"/>
          <w:b/>
          <w:kern w:val="0"/>
          <w:sz w:val="30"/>
        </w:rPr>
        <w:t>十一、基金资产的估值</w:t>
      </w:r>
      <w:bookmarkEnd w:id="64"/>
    </w:p>
    <w:p>
      <w:pPr>
        <w:adjustRightInd w:val="0"/>
        <w:snapToGrid w:val="0"/>
        <w:spacing w:line="360" w:lineRule="auto"/>
        <w:ind w:firstLine="482" w:firstLineChars="200"/>
        <w:outlineLvl w:val="1"/>
        <w:rPr>
          <w:b/>
          <w:sz w:val="24"/>
          <w:szCs w:val="24"/>
        </w:rPr>
      </w:pPr>
      <w:bookmarkStart w:id="65" w:name="_Hlk50017869"/>
      <w:bookmarkStart w:id="66" w:name="_Hlk54606108"/>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基金所拥有的股票、债券、资产支持证券、股指期货和其他投资等持续以公允价值计量的金融资产及负债。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2、处于未上市期间的有价证券应区分如下情况处理：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3、对于已上市或已挂牌转让的不含权固定收益品种（另有规定的除外），选取第三方估值基准服务机构提供的相应品种当日的估值全价进行估值。</w:t>
      </w:r>
    </w:p>
    <w:p>
      <w:pPr>
        <w:adjustRightInd w:val="0"/>
        <w:snapToGrid w:val="0"/>
        <w:spacing w:line="360" w:lineRule="auto"/>
        <w:ind w:firstLine="480" w:firstLineChars="200"/>
        <w:rPr>
          <w:sz w:val="24"/>
          <w:szCs w:val="24"/>
        </w:rPr>
      </w:pPr>
      <w:r>
        <w:rPr>
          <w:rFonts w:hint="eastAsia"/>
          <w:sz w:val="24"/>
          <w:szCs w:val="24"/>
        </w:rPr>
        <w:t>4、对于已上市或已挂牌转让的含权固定收益品种（另有规定的除外），选取第三方估值基准服务机构提供的相应品种当日的唯一估值全价或推荐估值全价进行估值。</w:t>
      </w:r>
    </w:p>
    <w:p>
      <w:pPr>
        <w:adjustRightInd w:val="0"/>
        <w:snapToGrid w:val="0"/>
        <w:spacing w:line="360" w:lineRule="auto"/>
        <w:ind w:firstLine="480" w:firstLineChars="200"/>
        <w:rPr>
          <w:sz w:val="24"/>
          <w:szCs w:val="24"/>
        </w:rPr>
      </w:pPr>
      <w:r>
        <w:rPr>
          <w:rFonts w:hint="eastAsia"/>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adjustRightInd w:val="0"/>
        <w:snapToGrid w:val="0"/>
        <w:spacing w:line="360" w:lineRule="auto"/>
        <w:ind w:firstLine="480" w:firstLineChars="200"/>
        <w:rPr>
          <w:sz w:val="24"/>
          <w:szCs w:val="24"/>
        </w:rPr>
      </w:pPr>
      <w:r>
        <w:rPr>
          <w:rFonts w:hint="eastAsia"/>
          <w:sz w:val="24"/>
          <w:szCs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80" w:firstLineChars="200"/>
        <w:rPr>
          <w:sz w:val="24"/>
          <w:szCs w:val="24"/>
        </w:rPr>
      </w:pPr>
      <w:r>
        <w:rPr>
          <w:rFonts w:hint="eastAsia"/>
          <w:sz w:val="24"/>
          <w:szCs w:val="24"/>
        </w:rPr>
        <w:t>6、对于未上市或未挂牌转让且不存在活跃市场的固定收益品种，采用在当前情况下适用并且有足够可利用数据和其他信息支持的估值技术确定其公允价值。</w:t>
      </w:r>
    </w:p>
    <w:p>
      <w:pPr>
        <w:adjustRightInd w:val="0"/>
        <w:snapToGrid w:val="0"/>
        <w:spacing w:line="360" w:lineRule="auto"/>
        <w:ind w:firstLine="480" w:firstLineChars="200"/>
        <w:rPr>
          <w:sz w:val="24"/>
          <w:szCs w:val="24"/>
        </w:rPr>
      </w:pPr>
      <w:r>
        <w:rPr>
          <w:rFonts w:hint="eastAsia"/>
          <w:sz w:val="24"/>
          <w:szCs w:val="24"/>
        </w:rPr>
        <w:t>7、本基金投资股指期货合约，一般以估值当日结算价进行估值，估值当日无结算价的，且最近交易日后经济环境未发生重大变化的，采用最近交易日结算价估值。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8、同一证券同时在两个或两个以上市场交易的，按证券所处的市场分别估值。</w:t>
      </w:r>
    </w:p>
    <w:p>
      <w:pPr>
        <w:adjustRightInd w:val="0"/>
        <w:snapToGrid w:val="0"/>
        <w:spacing w:line="360" w:lineRule="auto"/>
        <w:ind w:firstLine="480" w:firstLineChars="200"/>
        <w:rPr>
          <w:sz w:val="24"/>
          <w:szCs w:val="24"/>
        </w:rPr>
      </w:pPr>
      <w:r>
        <w:rPr>
          <w:rFonts w:hint="eastAsia"/>
          <w:sz w:val="24"/>
          <w:szCs w:val="24"/>
        </w:rPr>
        <w:t>9、估值计算中涉及港币对人民币汇率的，将依据下列信息提供机构所提供的汇率为基准：当日中国人民银行或其授权机构公布的人民币与港币的中间价。</w:t>
      </w:r>
    </w:p>
    <w:p>
      <w:pPr>
        <w:adjustRightInd w:val="0"/>
        <w:snapToGrid w:val="0"/>
        <w:spacing w:line="360" w:lineRule="auto"/>
        <w:ind w:firstLine="480" w:firstLineChars="200"/>
        <w:rPr>
          <w:sz w:val="24"/>
          <w:szCs w:val="24"/>
        </w:rPr>
      </w:pPr>
      <w:r>
        <w:rPr>
          <w:rFonts w:hint="eastAsia"/>
          <w:sz w:val="24"/>
          <w:szCs w:val="24"/>
        </w:rPr>
        <w:t>10、对于因税收规定调整或其他原因导致本基金实际交纳税金与估算的应交税金有差异的，本基金将在相关税金调整日或实际支付日进行相应的会计处理。</w:t>
      </w:r>
    </w:p>
    <w:p>
      <w:pPr>
        <w:adjustRightInd w:val="0"/>
        <w:snapToGrid w:val="0"/>
        <w:spacing w:line="360" w:lineRule="auto"/>
        <w:ind w:firstLine="480" w:firstLineChars="200"/>
        <w:rPr>
          <w:sz w:val="24"/>
          <w:szCs w:val="24"/>
        </w:rPr>
      </w:pPr>
      <w:r>
        <w:rPr>
          <w:rFonts w:hint="eastAsia"/>
          <w:sz w:val="24"/>
          <w:szCs w:val="24"/>
        </w:rPr>
        <w:t>11、本基金投资存托凭证的估值核算依照境内上市交易的股票执行。</w:t>
      </w:r>
    </w:p>
    <w:p>
      <w:pPr>
        <w:adjustRightInd w:val="0"/>
        <w:snapToGrid w:val="0"/>
        <w:spacing w:line="360" w:lineRule="auto"/>
        <w:ind w:firstLine="480" w:firstLineChars="200"/>
        <w:rPr>
          <w:sz w:val="24"/>
          <w:szCs w:val="24"/>
        </w:rPr>
      </w:pPr>
      <w:r>
        <w:rPr>
          <w:rFonts w:hint="eastAsia"/>
          <w:sz w:val="24"/>
          <w:szCs w:val="24"/>
        </w:rPr>
        <w:t>12、如有确凿证据表明按上述方法进行估值不能客观反映其公允价值的，基金管理人可根据具体情况与基金托管人商定后，按最能反映公允价值的价格估值。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rFonts w:hint="eastAsia"/>
          <w:sz w:val="24"/>
          <w:szCs w:val="24"/>
        </w:rPr>
        <w:t>13、当发生大额申购或赎回情形时，基金管理人可以采用摆动定价机制，以确保基金估值的公平性。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rFonts w:hint="eastAsia"/>
          <w:sz w:val="24"/>
          <w:szCs w:val="24"/>
        </w:rPr>
        <w:t>14、相关法律法规以及监管部门有强制规定的，从其规定。如有新增事项，按国家最新规定估值。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2、基金管理人应每个工作日对基金资产估值，但基金管理人根据法律法规或基金合同的规定暂停估值时除外。基金管理人每个工作日对基金资产估值后，将基金资产净值、</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（2）错误偏差达到该类基金份额净值的0.25%时，基金管理人应当通报基金托管人并报中国证监会备案；错误偏差达到该类基金份额净值的0.5%时，基金管理人应当公告，并报中国证监会备案。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rFonts w:hAnsi="宋体"/>
          <w:sz w:val="24"/>
          <w:szCs w:val="24"/>
        </w:rPr>
      </w:pPr>
      <w:r>
        <w:rPr>
          <w:rFonts w:hint="eastAsia"/>
          <w:bCs/>
          <w:sz w:val="24"/>
        </w:rPr>
        <w:t>各类基金份额的</w:t>
      </w:r>
      <w:r>
        <w:rPr>
          <w:rFonts w:hint="eastAsia" w:hAnsi="宋体"/>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int="eastAsia" w:hAnsi="宋体"/>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0" w:firstLineChars="200"/>
        <w:rPr>
          <w:rFonts w:hAnsi="宋体"/>
          <w:sz w:val="24"/>
          <w:szCs w:val="24"/>
        </w:rPr>
      </w:pPr>
      <w:r>
        <w:rPr>
          <w:rFonts w:hint="eastAsia" w:hAnsi="宋体"/>
          <w:sz w:val="24"/>
          <w:szCs w:val="24"/>
        </w:rPr>
        <w:t>本基金在每个工作日计算基金资产净值及各类基金份额净值时，将统一按前一日基金资产净值的1.20%的年费率计算管理费，投资者实际承担的管理费将依据基金合同“第十五部分  基金费用与税收”的约定计算和收取。</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、基金管理人或基金托管人按估值方法的第12项进行估值时，所造成的误差不作为基金资产估值错误处理。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65"/>
    </w:p>
    <w:bookmarkEnd w:id="66"/>
    <w:p>
      <w:pPr>
        <w:adjustRightInd w:val="0"/>
        <w:snapToGrid w:val="0"/>
        <w:spacing w:line="360" w:lineRule="auto"/>
        <w:jc w:val="center"/>
        <w:outlineLvl w:val="0"/>
        <w:rPr>
          <w:rFonts w:ascii="宋体" w:hAnsi="宋体"/>
          <w:b/>
          <w:kern w:val="0"/>
          <w:sz w:val="30"/>
        </w:rPr>
      </w:pPr>
      <w:r>
        <w:rPr>
          <w:sz w:val="24"/>
          <w:szCs w:val="24"/>
        </w:rPr>
        <w:br w:type="page"/>
      </w:r>
      <w:bookmarkStart w:id="67" w:name="_Toc48122013"/>
      <w:r>
        <w:rPr>
          <w:rFonts w:hint="eastAsia" w:ascii="宋体" w:hAnsi="宋体"/>
          <w:b/>
          <w:kern w:val="0"/>
          <w:sz w:val="30"/>
        </w:rPr>
        <w:t>十二、基金收益与分配</w:t>
      </w:r>
      <w:bookmarkEnd w:id="67"/>
    </w:p>
    <w:p>
      <w:pPr>
        <w:adjustRightInd w:val="0"/>
        <w:snapToGrid w:val="0"/>
        <w:spacing w:line="360" w:lineRule="auto"/>
        <w:ind w:firstLine="482" w:firstLineChars="200"/>
        <w:outlineLvl w:val="1"/>
        <w:rPr>
          <w:b/>
          <w:sz w:val="24"/>
        </w:rPr>
      </w:pPr>
      <w:bookmarkStart w:id="68" w:name="_Hlk49343954"/>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69" w:name="_Hlt81129040"/>
      <w:bookmarkEnd w:id="69"/>
      <w:bookmarkStart w:id="70" w:name="_Hlt80435237"/>
      <w:bookmarkEnd w:id="70"/>
      <w:bookmarkStart w:id="71" w:name="_Hlt88900301"/>
      <w:bookmarkEnd w:id="71"/>
      <w:bookmarkStart w:id="72" w:name="_Toc15118286"/>
      <w:bookmarkStart w:id="73" w:name="_Toc109537392"/>
      <w:r>
        <w:rPr>
          <w:rFonts w:hAnsi="宋体"/>
          <w:sz w:val="24"/>
        </w:rPr>
        <w:t>配</w:t>
      </w:r>
      <w:bookmarkEnd w:id="72"/>
      <w:r>
        <w:rPr>
          <w:rFonts w:hAnsi="宋体"/>
          <w:sz w:val="24"/>
        </w:rPr>
        <w:t>基准日基金未分配利润与</w:t>
      </w:r>
      <w:bookmarkEnd w:id="73"/>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4" w:name="OLE_LINK72"/>
      <w:bookmarkStart w:id="75" w:name="OLE_LINK73"/>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本基金收益分配方式</w:t>
      </w:r>
      <w:r>
        <w:rPr>
          <w:rFonts w:hint="eastAsia" w:ascii="宋体" w:hAnsi="宋体"/>
          <w:bCs/>
          <w:sz w:val="24"/>
          <w:szCs w:val="24"/>
        </w:rPr>
        <w:t>为</w:t>
      </w:r>
      <w:r>
        <w:rPr>
          <w:rFonts w:ascii="宋体" w:hAnsi="宋体"/>
          <w:bCs/>
          <w:sz w:val="24"/>
          <w:szCs w:val="24"/>
        </w:rPr>
        <w:t>现金分红</w:t>
      </w:r>
      <w:r>
        <w:rPr>
          <w:rFonts w:hint="eastAsia" w:ascii="宋体" w:hAnsi="宋体"/>
          <w:sz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、基金收益分配后</w:t>
      </w:r>
      <w:r>
        <w:rPr>
          <w:rFonts w:hint="eastAsia"/>
          <w:bCs/>
          <w:sz w:val="24"/>
        </w:rPr>
        <w:t>任一类</w:t>
      </w:r>
      <w:r>
        <w:rPr>
          <w:rFonts w:hint="eastAsia" w:ascii="宋体" w:hAnsi="宋体"/>
          <w:bCs/>
          <w:sz w:val="24"/>
          <w:szCs w:val="24"/>
        </w:rPr>
        <w:t>基金份额净值不能低于面值；即基金收益分配基准日的</w:t>
      </w:r>
      <w:r>
        <w:rPr>
          <w:rFonts w:hint="eastAsia"/>
          <w:bCs/>
          <w:sz w:val="24"/>
        </w:rPr>
        <w:t>任一类</w:t>
      </w:r>
      <w:r>
        <w:rPr>
          <w:rFonts w:hint="eastAsia" w:ascii="宋体" w:hAnsi="宋体"/>
          <w:bCs/>
          <w:sz w:val="24"/>
          <w:szCs w:val="24"/>
        </w:rPr>
        <w:t>基金份额净值减去</w:t>
      </w:r>
      <w:r>
        <w:rPr>
          <w:rFonts w:hint="eastAsia"/>
          <w:bCs/>
          <w:sz w:val="24"/>
        </w:rPr>
        <w:t>该类</w:t>
      </w:r>
      <w:r>
        <w:rPr>
          <w:rFonts w:hint="eastAsia" w:ascii="宋体" w:hAnsi="宋体"/>
          <w:bCs/>
          <w:sz w:val="24"/>
          <w:szCs w:val="24"/>
        </w:rPr>
        <w:t>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6、法律法规或监管</w:t>
      </w:r>
      <w:r>
        <w:rPr>
          <w:rFonts w:hint="eastAsia" w:ascii="宋体" w:hAnsi="宋体"/>
          <w:bCs/>
          <w:sz w:val="24"/>
          <w:szCs w:val="24"/>
        </w:rPr>
        <w:t>机</w:t>
      </w:r>
      <w:r>
        <w:rPr>
          <w:rFonts w:ascii="宋体" w:hAnsi="宋体"/>
          <w:bCs/>
          <w:sz w:val="24"/>
          <w:szCs w:val="24"/>
        </w:rPr>
        <w:t>关另有规定的，从其规定。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bookmarkEnd w:id="74"/>
    <w:bookmarkEnd w:id="75"/>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w:t>
      </w:r>
    </w:p>
    <w:p>
      <w:pPr>
        <w:adjustRightInd w:val="0"/>
        <w:snapToGrid w:val="0"/>
        <w:spacing w:line="360" w:lineRule="auto"/>
        <w:ind w:firstLine="482" w:firstLineChars="200"/>
        <w:outlineLvl w:val="1"/>
        <w:rPr>
          <w:b/>
          <w:sz w:val="24"/>
        </w:rPr>
      </w:pPr>
      <w:r>
        <w:rPr>
          <w:rFonts w:hint="eastAsia"/>
          <w:b/>
          <w:sz w:val="24"/>
        </w:rPr>
        <w:t>（七</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68"/>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6" w:name="_Toc48122014"/>
      <w:r>
        <w:rPr>
          <w:rFonts w:hint="eastAsia" w:ascii="宋体" w:hAnsi="宋体"/>
          <w:b/>
          <w:kern w:val="0"/>
          <w:sz w:val="30"/>
        </w:rPr>
        <w:t>十三、基金的费用与税收</w:t>
      </w:r>
      <w:bookmarkEnd w:id="76"/>
    </w:p>
    <w:p>
      <w:pPr>
        <w:adjustRightInd w:val="0"/>
        <w:snapToGrid w:val="0"/>
        <w:spacing w:line="360" w:lineRule="auto"/>
        <w:ind w:firstLine="482" w:firstLineChars="200"/>
        <w:outlineLvl w:val="1"/>
        <w:rPr>
          <w:i/>
          <w:sz w:val="24"/>
          <w:u w:val="single"/>
        </w:rPr>
      </w:pPr>
      <w:bookmarkStart w:id="77" w:name="_Hlk49343964"/>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r>
        <w:rPr>
          <w:rFonts w:hint="eastAsia"/>
          <w:sz w:val="24"/>
        </w:rPr>
        <w:t>（包含固定管理费、或有管理费和超额管理费）</w:t>
      </w:r>
      <w:r>
        <w:rPr>
          <w:sz w:val="24"/>
        </w:rPr>
        <w:t>；</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outlineLvl w:val="1"/>
        <w:rPr>
          <w:b/>
          <w:bCs/>
          <w:sz w:val="24"/>
        </w:rPr>
      </w:pPr>
      <w:r>
        <w:rPr>
          <w:b/>
          <w:bCs/>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基金管理人的管理费</w:t>
      </w:r>
    </w:p>
    <w:p>
      <w:pPr>
        <w:adjustRightInd w:val="0"/>
        <w:snapToGrid w:val="0"/>
        <w:spacing w:line="360" w:lineRule="auto"/>
        <w:ind w:firstLine="480" w:firstLineChars="200"/>
        <w:rPr>
          <w:sz w:val="24"/>
        </w:rPr>
      </w:pPr>
      <w:r>
        <w:rPr>
          <w:rFonts w:hint="eastAsia"/>
          <w:sz w:val="24"/>
        </w:rPr>
        <w:t>本基金根据每一</w:t>
      </w:r>
      <w:bookmarkStart w:id="78" w:name="_Hlk196338562"/>
      <w:r>
        <w:rPr>
          <w:rFonts w:hint="eastAsia"/>
          <w:sz w:val="24"/>
        </w:rPr>
        <w:t>基金份额的持有期限与持有期间年化收益率，在赎回基金份额</w:t>
      </w:r>
      <w:bookmarkStart w:id="79" w:name="_Hlk195865226"/>
      <w:r>
        <w:rPr>
          <w:rFonts w:hint="eastAsia"/>
          <w:sz w:val="24"/>
        </w:rPr>
        <w:t>或基金合同终止的情形发生</w:t>
      </w:r>
      <w:bookmarkEnd w:id="79"/>
      <w:r>
        <w:rPr>
          <w:rFonts w:hint="eastAsia"/>
          <w:sz w:val="24"/>
        </w:rPr>
        <w:t>时确定该笔基金份额对应的管理费</w:t>
      </w:r>
      <w:bookmarkEnd w:id="78"/>
      <w:r>
        <w:rPr>
          <w:rFonts w:hint="eastAsia"/>
          <w:sz w:val="24"/>
        </w:rPr>
        <w:t>。当投资者赎回</w:t>
      </w:r>
      <w:bookmarkStart w:id="80" w:name="_Hlk195865234"/>
      <w:r>
        <w:rPr>
          <w:rFonts w:hint="eastAsia"/>
          <w:sz w:val="24"/>
        </w:rPr>
        <w:t>基金份额或基金合同终止的情形发生</w:t>
      </w:r>
      <w:bookmarkEnd w:id="80"/>
      <w:r>
        <w:rPr>
          <w:rFonts w:hint="eastAsia"/>
          <w:sz w:val="24"/>
        </w:rPr>
        <w:t>时，持有期限</w:t>
      </w:r>
      <w:bookmarkStart w:id="81" w:name="_Hlk196338589"/>
      <w:r>
        <w:rPr>
          <w:rFonts w:hint="eastAsia"/>
          <w:sz w:val="24"/>
        </w:rPr>
        <w:t>不足一年（即365天，下同），则按1.20%年费率收取管理费；持有期限达到一年及以上，则根据持有期间年化收益率分为以下三种情况，分别确定对应的管理费率档位：</w:t>
      </w:r>
    </w:p>
    <w:bookmarkEnd w:id="81"/>
    <w:p>
      <w:pPr>
        <w:adjustRightInd w:val="0"/>
        <w:snapToGrid w:val="0"/>
        <w:spacing w:line="360" w:lineRule="auto"/>
        <w:ind w:firstLine="480" w:firstLineChars="200"/>
        <w:rPr>
          <w:sz w:val="24"/>
        </w:rPr>
      </w:pPr>
      <w:bookmarkStart w:id="82" w:name="_Hlk196338625"/>
      <w:r>
        <w:rPr>
          <w:rFonts w:hint="eastAsia"/>
          <w:sz w:val="24"/>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28"/>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2"/>
              <w:jc w:val="center"/>
              <w:rPr>
                <w:rFonts w:ascii="宋体" w:hAnsi="宋体" w:cs="宋体"/>
                <w:b/>
                <w:sz w:val="24"/>
                <w:szCs w:val="24"/>
              </w:rPr>
            </w:pPr>
            <w:bookmarkStart w:id="83" w:name="_Hlk196342079"/>
            <w:r>
              <w:rPr>
                <w:rFonts w:hint="eastAsia" w:ascii="宋体" w:hAnsi="宋体" w:cs="宋体"/>
                <w:b/>
                <w:sz w:val="24"/>
                <w:szCs w:val="24"/>
              </w:rPr>
              <w:t>持有期间年化收益率（R）</w:t>
            </w:r>
          </w:p>
        </w:tc>
        <w:tc>
          <w:tcPr>
            <w:tcW w:w="2831"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2"/>
              <w:jc w:val="center"/>
              <w:rPr>
                <w:rFonts w:ascii="宋体" w:hAnsi="宋体" w:cs="宋体"/>
                <w:b/>
                <w:sz w:val="24"/>
                <w:szCs w:val="24"/>
              </w:rPr>
            </w:pPr>
            <w:r>
              <w:rPr>
                <w:rFonts w:hint="eastAsia" w:ascii="宋体" w:hAnsi="宋体" w:cs="宋体"/>
                <w:b/>
                <w:sz w:val="24"/>
                <w:szCs w:val="24"/>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27"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0"/>
              <w:jc w:val="center"/>
              <w:rPr>
                <w:rFonts w:ascii="宋体" w:hAnsi="宋体" w:cs="宋体"/>
                <w:b/>
                <w:sz w:val="24"/>
                <w:szCs w:val="24"/>
              </w:rPr>
            </w:pPr>
            <w:r>
              <w:rPr>
                <w:rFonts w:hint="eastAsia" w:ascii="宋体" w:hAnsi="宋体" w:cs="宋体"/>
                <w:sz w:val="24"/>
                <w:szCs w:val="24"/>
              </w:rPr>
              <w:t>R＞R</w:t>
            </w:r>
            <w:r>
              <w:rPr>
                <w:rFonts w:hint="eastAsia" w:ascii="宋体" w:hAnsi="宋体" w:cs="宋体"/>
                <w:spacing w:val="-2"/>
                <w:sz w:val="24"/>
                <w:szCs w:val="24"/>
                <w:vertAlign w:val="subscript"/>
              </w:rPr>
              <w:t>b</w:t>
            </w:r>
            <w:r>
              <w:rPr>
                <w:rFonts w:hint="eastAsia" w:ascii="宋体" w:hAnsi="宋体" w:cs="宋体"/>
                <w:sz w:val="24"/>
                <w:szCs w:val="24"/>
              </w:rPr>
              <w:t>+6%，R＞0</w:t>
            </w:r>
          </w:p>
        </w:tc>
        <w:tc>
          <w:tcPr>
            <w:tcW w:w="2831"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0"/>
              <w:jc w:val="center"/>
              <w:rPr>
                <w:rFonts w:ascii="宋体" w:hAnsi="宋体" w:cs="宋体"/>
                <w:kern w:val="0"/>
                <w:sz w:val="24"/>
                <w:szCs w:val="24"/>
              </w:rPr>
            </w:pPr>
            <w:r>
              <w:rPr>
                <w:rFonts w:hint="eastAsia" w:ascii="宋体" w:hAnsi="宋体" w:cs="宋体"/>
                <w:kern w:val="0"/>
                <w:sz w:val="24"/>
                <w:szCs w:val="24"/>
              </w:rPr>
              <w:t>1.50%/年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0"/>
              <w:jc w:val="center"/>
              <w:rPr>
                <w:rFonts w:ascii="宋体" w:hAnsi="宋体" w:cs="宋体"/>
                <w:sz w:val="24"/>
                <w:szCs w:val="24"/>
              </w:rPr>
            </w:pPr>
            <w:r>
              <w:rPr>
                <w:rFonts w:hint="eastAsia" w:ascii="宋体" w:hAnsi="宋体" w:cs="宋体"/>
                <w:sz w:val="24"/>
                <w:szCs w:val="24"/>
              </w:rPr>
              <w:t>R≤R</w:t>
            </w:r>
            <w:r>
              <w:rPr>
                <w:rFonts w:hint="eastAsia" w:ascii="宋体" w:hAnsi="宋体" w:cs="宋体"/>
                <w:spacing w:val="-2"/>
                <w:sz w:val="24"/>
                <w:szCs w:val="24"/>
                <w:vertAlign w:val="subscript"/>
              </w:rPr>
              <w:t>b</w:t>
            </w:r>
            <w:r>
              <w:rPr>
                <w:rFonts w:hint="eastAsia" w:ascii="宋体" w:hAnsi="宋体" w:cs="宋体"/>
                <w:sz w:val="24"/>
                <w:szCs w:val="24"/>
              </w:rPr>
              <w:t>-3%</w:t>
            </w:r>
          </w:p>
        </w:tc>
        <w:tc>
          <w:tcPr>
            <w:tcW w:w="2831"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0"/>
              <w:jc w:val="center"/>
              <w:rPr>
                <w:rFonts w:ascii="宋体" w:hAnsi="宋体" w:cs="宋体"/>
                <w:kern w:val="0"/>
                <w:sz w:val="24"/>
                <w:szCs w:val="24"/>
              </w:rPr>
            </w:pPr>
            <w:r>
              <w:rPr>
                <w:rFonts w:hint="eastAsia" w:ascii="宋体" w:hAnsi="宋体" w:cs="宋体"/>
                <w:kern w:val="0"/>
                <w:sz w:val="24"/>
                <w:szCs w:val="24"/>
              </w:rPr>
              <w:t>0.60%/年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0"/>
              <w:jc w:val="center"/>
              <w:rPr>
                <w:rFonts w:ascii="宋体" w:hAnsi="宋体" w:cs="宋体"/>
                <w:sz w:val="24"/>
                <w:szCs w:val="24"/>
              </w:rPr>
            </w:pPr>
            <w:r>
              <w:rPr>
                <w:rFonts w:hint="eastAsia" w:ascii="宋体" w:hAnsi="宋体" w:cs="宋体"/>
                <w:sz w:val="24"/>
                <w:szCs w:val="24"/>
              </w:rPr>
              <w:t>其他情形</w:t>
            </w:r>
          </w:p>
        </w:tc>
        <w:tc>
          <w:tcPr>
            <w:tcW w:w="2831"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ind w:firstLine="440"/>
              <w:jc w:val="center"/>
              <w:rPr>
                <w:rFonts w:ascii="宋体" w:hAnsi="宋体" w:cs="宋体"/>
                <w:kern w:val="0"/>
                <w:sz w:val="24"/>
                <w:szCs w:val="24"/>
              </w:rPr>
            </w:pPr>
            <w:r>
              <w:rPr>
                <w:rFonts w:hint="eastAsia" w:ascii="宋体" w:hAnsi="宋体" w:cs="宋体"/>
                <w:kern w:val="0"/>
                <w:sz w:val="24"/>
                <w:szCs w:val="24"/>
              </w:rPr>
              <w:t>1.20%/年</w:t>
            </w:r>
          </w:p>
        </w:tc>
      </w:tr>
      <w:bookmarkEnd w:id="83"/>
    </w:tbl>
    <w:p>
      <w:pPr>
        <w:adjustRightInd w:val="0"/>
        <w:snapToGrid w:val="0"/>
        <w:spacing w:line="360" w:lineRule="auto"/>
        <w:ind w:firstLine="480" w:firstLineChars="200"/>
        <w:rPr>
          <w:sz w:val="24"/>
        </w:rPr>
      </w:pPr>
      <w:r>
        <w:rPr>
          <w:rFonts w:hint="eastAsia"/>
          <w:sz w:val="24"/>
        </w:rPr>
        <w:t>注：①R为该笔基金份额的年化收益率，R</w:t>
      </w:r>
      <w:r>
        <w:rPr>
          <w:rFonts w:hint="eastAsia"/>
          <w:sz w:val="24"/>
          <w:vertAlign w:val="subscript"/>
        </w:rPr>
        <w:t>b</w:t>
      </w:r>
      <w:r>
        <w:rPr>
          <w:rFonts w:hint="eastAsia"/>
          <w:sz w:val="24"/>
        </w:rPr>
        <w:t>为本基金业绩比较基准同期年化收益率。</w:t>
      </w:r>
    </w:p>
    <w:p>
      <w:pPr>
        <w:adjustRightInd w:val="0"/>
        <w:snapToGrid w:val="0"/>
        <w:spacing w:line="360" w:lineRule="auto"/>
        <w:ind w:firstLine="480" w:firstLineChars="200"/>
        <w:rPr>
          <w:sz w:val="24"/>
        </w:rPr>
      </w:pPr>
      <w:r>
        <w:rPr>
          <w:rFonts w:hint="eastAsia"/>
          <w:sz w:val="24"/>
        </w:rPr>
        <w:t>②特别的，当持有期限达到一年及以上，R＞R</w:t>
      </w:r>
      <w:r>
        <w:rPr>
          <w:rFonts w:hint="eastAsia"/>
          <w:sz w:val="24"/>
          <w:vertAlign w:val="subscript"/>
        </w:rPr>
        <w:t>b</w:t>
      </w:r>
      <w:r>
        <w:rPr>
          <w:rFonts w:hint="eastAsia"/>
          <w:sz w:val="24"/>
        </w:rPr>
        <w:t>+6%且R＞0的情形下，若拟扣除超额管理费后的年化收益率小于等于R</w:t>
      </w:r>
      <w:r>
        <w:rPr>
          <w:rFonts w:hint="eastAsia"/>
          <w:sz w:val="24"/>
          <w:vertAlign w:val="subscript"/>
        </w:rPr>
        <w:t>b</w:t>
      </w:r>
      <w:r>
        <w:rPr>
          <w:rFonts w:hint="eastAsia"/>
          <w:sz w:val="24"/>
        </w:rPr>
        <w:t>+6%，或小于等于0时，仍按1.20%年费率收取该笔基金份额的管理费，以使得该笔基金份额在扣除超额管理费后的年化收益率仍需满足本基金收取超额管理费的标准。</w:t>
      </w:r>
    </w:p>
    <w:bookmarkEnd w:id="82"/>
    <w:p>
      <w:pPr>
        <w:adjustRightInd w:val="0"/>
        <w:snapToGrid w:val="0"/>
        <w:spacing w:line="360" w:lineRule="auto"/>
        <w:ind w:firstLine="480" w:firstLineChars="200"/>
        <w:rPr>
          <w:sz w:val="24"/>
        </w:rPr>
      </w:pPr>
      <w:r>
        <w:rPr>
          <w:rFonts w:hint="eastAsia"/>
          <w:sz w:val="24"/>
        </w:rPr>
        <w:t>具体而言，本基金的管理费包含固定管理费、或有管理费和超额管理费，按以下方式计算和确认。</w:t>
      </w:r>
    </w:p>
    <w:p>
      <w:pPr>
        <w:adjustRightInd w:val="0"/>
        <w:snapToGrid w:val="0"/>
        <w:spacing w:line="360" w:lineRule="auto"/>
        <w:ind w:firstLine="480" w:firstLineChars="200"/>
        <w:rPr>
          <w:sz w:val="24"/>
        </w:rPr>
      </w:pPr>
      <w:r>
        <w:rPr>
          <w:rFonts w:hint="eastAsia"/>
          <w:sz w:val="24"/>
        </w:rPr>
        <w:t>1）固定管理费</w:t>
      </w:r>
    </w:p>
    <w:p>
      <w:pPr>
        <w:adjustRightInd w:val="0"/>
        <w:snapToGrid w:val="0"/>
        <w:spacing w:line="360" w:lineRule="auto"/>
        <w:ind w:firstLine="480" w:firstLineChars="200"/>
        <w:rPr>
          <w:sz w:val="24"/>
        </w:rPr>
      </w:pPr>
      <w:r>
        <w:rPr>
          <w:rFonts w:hint="eastAsia"/>
          <w:sz w:val="24"/>
        </w:rPr>
        <w:t>固定管理费按前一日基金资产净值的0.60%年费率每日计提。固定管理费的计算方法如下：</w:t>
      </w:r>
    </w:p>
    <w:p>
      <w:pPr>
        <w:adjustRightInd w:val="0"/>
        <w:snapToGrid w:val="0"/>
        <w:spacing w:line="360" w:lineRule="auto"/>
        <w:ind w:firstLine="480" w:firstLineChars="200"/>
        <w:rPr>
          <w:sz w:val="24"/>
        </w:rPr>
      </w:pPr>
      <w:r>
        <w:rPr>
          <w:rFonts w:hint="eastAsia"/>
          <w:sz w:val="24"/>
        </w:rPr>
        <w:t>H</w:t>
      </w:r>
      <w:r>
        <w:rPr>
          <w:rFonts w:hint="eastAsia"/>
          <w:sz w:val="24"/>
          <w:vertAlign w:val="subscript"/>
        </w:rPr>
        <w:t>1</w:t>
      </w:r>
      <w:r>
        <w:rPr>
          <w:rFonts w:hint="eastAsia"/>
          <w:sz w:val="24"/>
        </w:rPr>
        <w:t>＝E×0.60%÷当年天数</w:t>
      </w:r>
    </w:p>
    <w:p>
      <w:pPr>
        <w:adjustRightInd w:val="0"/>
        <w:snapToGrid w:val="0"/>
        <w:spacing w:line="360" w:lineRule="auto"/>
        <w:ind w:firstLine="480" w:firstLineChars="200"/>
        <w:rPr>
          <w:sz w:val="24"/>
        </w:rPr>
      </w:pPr>
      <w:r>
        <w:rPr>
          <w:rFonts w:hint="eastAsia"/>
          <w:sz w:val="24"/>
        </w:rPr>
        <w:t>H</w:t>
      </w:r>
      <w:r>
        <w:rPr>
          <w:rFonts w:hint="eastAsia"/>
          <w:sz w:val="24"/>
          <w:vertAlign w:val="subscript"/>
        </w:rPr>
        <w:t>1</w:t>
      </w:r>
      <w:r>
        <w:rPr>
          <w:rFonts w:hint="eastAsia"/>
          <w:sz w:val="24"/>
        </w:rPr>
        <w:t>为每日应计提的固定管理费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固定管理费每日计提，逐日累计至每个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2）或有管理费和超额管理费</w:t>
      </w:r>
    </w:p>
    <w:p>
      <w:pPr>
        <w:adjustRightInd w:val="0"/>
        <w:snapToGrid w:val="0"/>
        <w:spacing w:line="360" w:lineRule="auto"/>
        <w:ind w:firstLine="480" w:firstLineChars="200"/>
        <w:rPr>
          <w:sz w:val="24"/>
        </w:rPr>
      </w:pPr>
      <w:r>
        <w:rPr>
          <w:rFonts w:hint="eastAsia"/>
          <w:sz w:val="24"/>
        </w:rPr>
        <w:t>或有管理费按前一日基金资产净值的0.60%年费率每日计提。或有管理费的计算方法如下：</w:t>
      </w:r>
    </w:p>
    <w:p>
      <w:pPr>
        <w:adjustRightInd w:val="0"/>
        <w:snapToGrid w:val="0"/>
        <w:spacing w:line="360" w:lineRule="auto"/>
        <w:ind w:firstLine="480" w:firstLineChars="200"/>
        <w:rPr>
          <w:sz w:val="24"/>
        </w:rPr>
      </w:pPr>
      <w:r>
        <w:rPr>
          <w:rFonts w:hint="eastAsia"/>
          <w:sz w:val="24"/>
        </w:rPr>
        <w:t>H</w:t>
      </w:r>
      <w:r>
        <w:rPr>
          <w:rFonts w:hint="eastAsia"/>
          <w:sz w:val="24"/>
          <w:vertAlign w:val="subscript"/>
        </w:rPr>
        <w:t>2</w:t>
      </w:r>
      <w:r>
        <w:rPr>
          <w:rFonts w:hint="eastAsia"/>
          <w:sz w:val="24"/>
        </w:rPr>
        <w:t>＝E×0.60%÷当年天数</w:t>
      </w:r>
    </w:p>
    <w:p>
      <w:pPr>
        <w:adjustRightInd w:val="0"/>
        <w:snapToGrid w:val="0"/>
        <w:spacing w:line="360" w:lineRule="auto"/>
        <w:ind w:firstLine="480" w:firstLineChars="200"/>
        <w:rPr>
          <w:sz w:val="24"/>
        </w:rPr>
      </w:pPr>
      <w:r>
        <w:rPr>
          <w:rFonts w:hint="eastAsia"/>
          <w:sz w:val="24"/>
        </w:rPr>
        <w:t>H</w:t>
      </w:r>
      <w:r>
        <w:rPr>
          <w:rFonts w:hint="eastAsia"/>
          <w:sz w:val="24"/>
          <w:vertAlign w:val="subscript"/>
        </w:rPr>
        <w:t>2</w:t>
      </w:r>
      <w:r>
        <w:rPr>
          <w:rFonts w:hint="eastAsia"/>
          <w:sz w:val="24"/>
        </w:rPr>
        <w:t>为每日应计提的或有管理费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投资者赎回基金份额或基金合同终止的情形发生时，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持有期内计提的或有管理费应确认为应由管理人收取的管理费。</w:t>
      </w:r>
    </w:p>
    <w:p>
      <w:pPr>
        <w:adjustRightInd w:val="0"/>
        <w:snapToGrid w:val="0"/>
        <w:spacing w:line="360" w:lineRule="auto"/>
        <w:ind w:firstLine="480" w:firstLineChars="200"/>
        <w:rPr>
          <w:sz w:val="24"/>
        </w:rPr>
      </w:pPr>
      <w:r>
        <w:rPr>
          <w:rFonts w:hint="eastAsia"/>
          <w:sz w:val="24"/>
        </w:rPr>
        <w:t>本基金每日预估计算并记录每笔基金份额的超额管理费，基金超额管理费的预估计算方法如下：</w:t>
      </w:r>
    </w:p>
    <w:p>
      <w:pPr>
        <w:adjustRightInd w:val="0"/>
        <w:snapToGrid w:val="0"/>
        <w:spacing w:line="360" w:lineRule="auto"/>
        <w:ind w:firstLine="480" w:firstLineChars="200"/>
        <w:rPr>
          <w:sz w:val="24"/>
        </w:rPr>
      </w:pPr>
      <w:r>
        <w:rPr>
          <w:rFonts w:hint="eastAsia"/>
          <w:sz w:val="24"/>
        </w:rPr>
        <w:t>H</w:t>
      </w:r>
      <w:r>
        <w:rPr>
          <w:rFonts w:hint="eastAsia"/>
          <w:sz w:val="24"/>
          <w:vertAlign w:val="subscript"/>
        </w:rPr>
        <w:t>3</w:t>
      </w:r>
      <w:r>
        <w:rPr>
          <w:rFonts w:hint="eastAsia"/>
          <w:sz w:val="24"/>
        </w:rPr>
        <w:t>＝E×0.30%÷当年天数</w:t>
      </w:r>
    </w:p>
    <w:p>
      <w:pPr>
        <w:adjustRightInd w:val="0"/>
        <w:snapToGrid w:val="0"/>
        <w:spacing w:line="360" w:lineRule="auto"/>
        <w:ind w:firstLine="480" w:firstLineChars="200"/>
        <w:rPr>
          <w:sz w:val="24"/>
        </w:rPr>
      </w:pPr>
      <w:r>
        <w:rPr>
          <w:rFonts w:hint="eastAsia"/>
          <w:sz w:val="24"/>
        </w:rPr>
        <w:t>H</w:t>
      </w:r>
      <w:r>
        <w:rPr>
          <w:rFonts w:hint="eastAsia"/>
          <w:sz w:val="24"/>
          <w:vertAlign w:val="subscript"/>
        </w:rPr>
        <w:t>3</w:t>
      </w:r>
      <w:r>
        <w:rPr>
          <w:rFonts w:hint="eastAsia"/>
          <w:sz w:val="24"/>
        </w:rPr>
        <w:t>为每日预估计算的基金超额管理费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每笔基金份额的超额管理费每日预估计算，但不从基金资产中实际计提，逐日累计。投资者赎回基金份额或基金合同终止的情形发生时，当且仅当该笔基金份额持有天数达到或超过365天，且该笔基金份额的年化收益率（R）符合下表“情形三”的收取情形，将从该笔基金份额的赎回款（或清算款）中扣除0.30%年费率的超额管理费，并随已计提的或有管理费一同确认为应由管理人收取的管理费。</w:t>
      </w:r>
    </w:p>
    <w:p>
      <w:pPr>
        <w:adjustRightInd w:val="0"/>
        <w:snapToGrid w:val="0"/>
        <w:spacing w:line="360" w:lineRule="auto"/>
        <w:ind w:firstLine="480" w:firstLineChars="200"/>
        <w:rPr>
          <w:rFonts w:ascii="宋体" w:hAnsi="宋体" w:cs="宋体"/>
          <w:sz w:val="24"/>
          <w:szCs w:val="24"/>
        </w:rPr>
      </w:pPr>
      <w:r>
        <w:rPr>
          <w:rFonts w:hint="eastAsia"/>
          <w:sz w:val="24"/>
        </w:rPr>
        <w:t>当投资者赎回基金份额或基金合同终止的情形发生时，本基金根据以下三种情形确认应实际收取的或有管理费和超额管理费：</w:t>
      </w:r>
    </w:p>
    <w:tbl>
      <w:tblPr>
        <w:tblStyle w:val="28"/>
        <w:tblW w:w="7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93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kern w:val="0"/>
                <w:sz w:val="24"/>
                <w:szCs w:val="24"/>
              </w:rPr>
            </w:pPr>
            <w:bookmarkStart w:id="84" w:name="_Hlk195865040"/>
            <w:r>
              <w:rPr>
                <w:rFonts w:hint="eastAsia" w:ascii="宋体" w:hAnsi="宋体" w:cs="宋体"/>
                <w:b/>
                <w:kern w:val="0"/>
                <w:sz w:val="24"/>
                <w:szCs w:val="24"/>
              </w:rPr>
              <w:t>收取情形</w:t>
            </w:r>
          </w:p>
        </w:tc>
        <w:tc>
          <w:tcPr>
            <w:tcW w:w="293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kern w:val="0"/>
                <w:sz w:val="24"/>
                <w:szCs w:val="24"/>
              </w:rPr>
            </w:pPr>
            <w:r>
              <w:rPr>
                <w:rFonts w:hint="eastAsia" w:ascii="宋体" w:hAnsi="宋体" w:cs="宋体"/>
                <w:b/>
                <w:kern w:val="0"/>
                <w:sz w:val="24"/>
                <w:szCs w:val="24"/>
              </w:rPr>
              <w:t>年化收益率（R）</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kern w:val="0"/>
                <w:sz w:val="24"/>
                <w:szCs w:val="24"/>
              </w:rPr>
            </w:pPr>
            <w:r>
              <w:rPr>
                <w:rFonts w:hint="eastAsia" w:ascii="宋体" w:hAnsi="宋体" w:cs="宋体"/>
                <w:b/>
                <w:kern w:val="0"/>
                <w:sz w:val="24"/>
                <w:szCs w:val="24"/>
              </w:rPr>
              <w:t>或有管理费</w:t>
            </w:r>
          </w:p>
          <w:p>
            <w:pPr>
              <w:jc w:val="center"/>
              <w:rPr>
                <w:rFonts w:ascii="宋体" w:hAnsi="宋体" w:cs="宋体"/>
                <w:b/>
                <w:kern w:val="0"/>
                <w:sz w:val="24"/>
                <w:szCs w:val="24"/>
              </w:rPr>
            </w:pPr>
            <w:r>
              <w:rPr>
                <w:rFonts w:hint="eastAsia" w:ascii="宋体" w:hAnsi="宋体" w:cs="宋体"/>
                <w:b/>
                <w:kern w:val="0"/>
                <w:sz w:val="24"/>
                <w:szCs w:val="24"/>
              </w:rPr>
              <w:t>（年费率）</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kern w:val="0"/>
                <w:sz w:val="24"/>
                <w:szCs w:val="24"/>
              </w:rPr>
            </w:pPr>
            <w:r>
              <w:rPr>
                <w:rFonts w:hint="eastAsia" w:ascii="宋体" w:hAnsi="宋体" w:cs="宋体"/>
                <w:b/>
                <w:kern w:val="0"/>
                <w:sz w:val="24"/>
                <w:szCs w:val="24"/>
              </w:rPr>
              <w:t>超额管理费</w:t>
            </w:r>
          </w:p>
          <w:p>
            <w:pPr>
              <w:jc w:val="center"/>
              <w:rPr>
                <w:rFonts w:ascii="宋体" w:hAnsi="宋体" w:cs="宋体"/>
                <w:b/>
                <w:kern w:val="0"/>
                <w:sz w:val="24"/>
                <w:szCs w:val="24"/>
              </w:rPr>
            </w:pPr>
            <w:r>
              <w:rPr>
                <w:rFonts w:hint="eastAsia" w:ascii="宋体" w:hAnsi="宋体" w:cs="宋体"/>
                <w:b/>
                <w:kern w:val="0"/>
                <w:sz w:val="24"/>
                <w:szCs w:val="24"/>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情形一</w:t>
            </w:r>
          </w:p>
        </w:tc>
        <w:tc>
          <w:tcPr>
            <w:tcW w:w="293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i/>
                <w:kern w:val="0"/>
                <w:sz w:val="24"/>
                <w:szCs w:val="24"/>
              </w:rPr>
            </w:pPr>
            <w:r>
              <w:rPr>
                <w:rFonts w:hint="eastAsia" w:ascii="宋体" w:hAnsi="宋体" w:cs="宋体"/>
                <w:kern w:val="0"/>
                <w:sz w:val="24"/>
                <w:szCs w:val="24"/>
              </w:rPr>
              <w:t>R≤R</w:t>
            </w:r>
            <w:r>
              <w:rPr>
                <w:rFonts w:hint="eastAsia" w:ascii="宋体" w:hAnsi="宋体" w:cs="宋体"/>
                <w:kern w:val="0"/>
                <w:sz w:val="24"/>
                <w:szCs w:val="24"/>
                <w:vertAlign w:val="subscript"/>
              </w:rPr>
              <w:t>b</w:t>
            </w:r>
            <w:r>
              <w:rPr>
                <w:rFonts w:hint="eastAsia" w:ascii="宋体" w:hAnsi="宋体" w:cs="宋体"/>
                <w:kern w:val="0"/>
                <w:sz w:val="24"/>
                <w:szCs w:val="24"/>
              </w:rPr>
              <w:t>-3%</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0</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情形二</w:t>
            </w:r>
          </w:p>
        </w:tc>
        <w:tc>
          <w:tcPr>
            <w:tcW w:w="293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其他情形</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0.60%</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情形三</w:t>
            </w:r>
          </w:p>
        </w:tc>
        <w:tc>
          <w:tcPr>
            <w:tcW w:w="2933" w:type="dxa"/>
            <w:tcBorders>
              <w:top w:val="single" w:color="auto" w:sz="4" w:space="0"/>
              <w:left w:val="single" w:color="auto" w:sz="4" w:space="0"/>
              <w:bottom w:val="single" w:color="auto" w:sz="4" w:space="0"/>
              <w:right w:val="single" w:color="auto" w:sz="4" w:space="0"/>
              <w:tl2br w:val="nil"/>
              <w:tr2bl w:val="nil"/>
            </w:tcBorders>
            <w:vAlign w:val="center"/>
          </w:tcPr>
          <w:p>
            <w:pPr>
              <w:spacing w:line="276" w:lineRule="auto"/>
              <w:jc w:val="center"/>
              <w:rPr>
                <w:rFonts w:ascii="宋体" w:hAnsi="宋体" w:cs="宋体"/>
                <w:b/>
                <w:kern w:val="0"/>
                <w:sz w:val="24"/>
                <w:szCs w:val="24"/>
              </w:rPr>
            </w:pPr>
            <w:r>
              <w:rPr>
                <w:rFonts w:hint="eastAsia" w:ascii="宋体" w:hAnsi="宋体" w:cs="宋体"/>
                <w:sz w:val="24"/>
                <w:szCs w:val="24"/>
              </w:rPr>
              <w:t>R＞R</w:t>
            </w:r>
            <w:r>
              <w:rPr>
                <w:rFonts w:hint="eastAsia" w:ascii="宋体" w:hAnsi="宋体" w:cs="宋体"/>
                <w:spacing w:val="-2"/>
                <w:sz w:val="24"/>
                <w:szCs w:val="24"/>
                <w:vertAlign w:val="subscript"/>
              </w:rPr>
              <w:t>b</w:t>
            </w:r>
            <w:r>
              <w:rPr>
                <w:rFonts w:hint="eastAsia" w:ascii="宋体" w:hAnsi="宋体" w:cs="宋体"/>
                <w:sz w:val="24"/>
                <w:szCs w:val="24"/>
              </w:rPr>
              <w:t>+6%，R＞0</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0.60%</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0.30%</w:t>
            </w:r>
          </w:p>
        </w:tc>
      </w:tr>
      <w:bookmarkEnd w:id="84"/>
    </w:tbl>
    <w:p>
      <w:pPr>
        <w:adjustRightInd w:val="0"/>
        <w:snapToGrid w:val="0"/>
        <w:spacing w:line="360" w:lineRule="auto"/>
        <w:ind w:firstLine="480" w:firstLineChars="200"/>
        <w:rPr>
          <w:sz w:val="24"/>
        </w:rPr>
      </w:pPr>
      <w:r>
        <w:rPr>
          <w:rFonts w:hint="eastAsia"/>
          <w:sz w:val="24"/>
        </w:rPr>
        <w:t>对于“情形三”，若拟扣除超额管理费后的年化收益率小于等于R</w:t>
      </w:r>
      <w:r>
        <w:rPr>
          <w:rFonts w:hint="eastAsia"/>
          <w:sz w:val="24"/>
          <w:vertAlign w:val="subscript"/>
        </w:rPr>
        <w:t>b</w:t>
      </w:r>
      <w:r>
        <w:rPr>
          <w:rFonts w:hint="eastAsia"/>
          <w:sz w:val="24"/>
        </w:rPr>
        <w:t>+6%，或小于等于0时，仍按1.20%年费率收取该笔基金份额的管理费，以使得该笔基金份额在扣除超额管理费后的年化收益率仍需满足本基金收取超额管理费的标准。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sz w:val="24"/>
        </w:rPr>
      </w:pPr>
      <w:r>
        <w:rPr>
          <w:rFonts w:hint="eastAsia"/>
          <w:sz w:val="24"/>
        </w:rPr>
        <w:t>每笔基金份额的年化收益率（R）计算方法如下：</w:t>
      </w:r>
    </w:p>
    <w:p>
      <w:pPr>
        <w:pStyle w:val="19"/>
      </w:pPr>
      <w:bookmarkStart w:id="85" w:name="_Hlk195865107"/>
      <w:r>
        <w:rPr>
          <w:sz w:val="21"/>
          <w:szCs w:val="24"/>
        </w:rPr>
        <w:t xml:space="preserve">    </w:t>
      </w:r>
      <w:r>
        <w:rPr>
          <w:sz w:val="21"/>
          <w:szCs w:val="24"/>
        </w:rPr>
        <w:drawing>
          <wp:inline distT="0" distB="0" distL="114300" distR="114300">
            <wp:extent cx="1455420" cy="395605"/>
            <wp:effectExtent l="0" t="0" r="762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7"/>
                    <a:stretch>
                      <a:fillRect/>
                    </a:stretch>
                  </pic:blipFill>
                  <pic:spPr>
                    <a:xfrm>
                      <a:off x="0" y="0"/>
                      <a:ext cx="1455420" cy="395605"/>
                    </a:xfrm>
                    <a:prstGeom prst="rect">
                      <a:avLst/>
                    </a:prstGeom>
                    <a:noFill/>
                    <a:ln>
                      <a:noFill/>
                    </a:ln>
                  </pic:spPr>
                </pic:pic>
              </a:graphicData>
            </a:graphic>
          </wp:inline>
        </w:drawing>
      </w:r>
    </w:p>
    <w:bookmarkEnd w:id="85"/>
    <w:p>
      <w:pPr>
        <w:adjustRightInd w:val="0"/>
        <w:snapToGrid w:val="0"/>
        <w:spacing w:line="360" w:lineRule="auto"/>
        <w:ind w:firstLine="480" w:firstLineChars="200"/>
        <w:rPr>
          <w:sz w:val="24"/>
        </w:rPr>
      </w:pPr>
      <w:r>
        <w:rPr>
          <w:rFonts w:hint="eastAsia"/>
          <w:sz w:val="24"/>
        </w:rPr>
        <w:t>拟扣除超额管理费后的年化收益率（R</w:t>
      </w:r>
      <w:r>
        <w:rPr>
          <w:rFonts w:hint="eastAsia"/>
          <w:sz w:val="24"/>
          <w:vertAlign w:val="superscript"/>
        </w:rPr>
        <w:t>*</w:t>
      </w:r>
      <w:r>
        <w:rPr>
          <w:rFonts w:hint="eastAsia"/>
          <w:sz w:val="24"/>
        </w:rPr>
        <w:t>）的计算方法如下：</w:t>
      </w:r>
    </w:p>
    <w:p>
      <w:pPr>
        <w:ind w:firstLine="480"/>
        <w:jc w:val="left"/>
        <w:rPr>
          <w:rFonts w:ascii="宋体" w:hAnsi="宋体" w:cs="宋体"/>
          <w:sz w:val="24"/>
          <w:szCs w:val="24"/>
        </w:rPr>
      </w:pPr>
      <w:bookmarkStart w:id="86" w:name="_Hlk196342196"/>
      <w:r>
        <w:rPr>
          <w:szCs w:val="24"/>
        </w:rPr>
        <w:drawing>
          <wp:inline distT="0" distB="0" distL="114300" distR="114300">
            <wp:extent cx="2186940" cy="395605"/>
            <wp:effectExtent l="0" t="0" r="7620" b="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pic:cNvPicPr>
                  </pic:nvPicPr>
                  <pic:blipFill>
                    <a:blip r:embed="rId8"/>
                    <a:stretch>
                      <a:fillRect/>
                    </a:stretch>
                  </pic:blipFill>
                  <pic:spPr>
                    <a:xfrm>
                      <a:off x="0" y="0"/>
                      <a:ext cx="2186940" cy="395605"/>
                    </a:xfrm>
                    <a:prstGeom prst="rect">
                      <a:avLst/>
                    </a:prstGeom>
                    <a:noFill/>
                    <a:ln>
                      <a:noFill/>
                    </a:ln>
                  </pic:spPr>
                </pic:pic>
              </a:graphicData>
            </a:graphic>
          </wp:inline>
        </w:drawing>
      </w:r>
    </w:p>
    <w:bookmarkEnd w:id="86"/>
    <w:p>
      <w:pPr>
        <w:adjustRightInd w:val="0"/>
        <w:snapToGrid w:val="0"/>
        <w:spacing w:line="360" w:lineRule="auto"/>
        <w:ind w:firstLine="480" w:firstLineChars="200"/>
        <w:rPr>
          <w:sz w:val="24"/>
        </w:rPr>
      </w:pPr>
      <w:r>
        <w:rPr>
          <w:rFonts w:hint="eastAsia"/>
          <w:sz w:val="24"/>
        </w:rPr>
        <w:t>R为该笔基金份额的年化收益率；R</w:t>
      </w:r>
      <w:r>
        <w:rPr>
          <w:rFonts w:hint="eastAsia"/>
          <w:sz w:val="24"/>
          <w:vertAlign w:val="subscript"/>
        </w:rPr>
        <w:t>b</w:t>
      </w:r>
      <w:r>
        <w:rPr>
          <w:rFonts w:hint="eastAsia"/>
          <w:sz w:val="24"/>
        </w:rPr>
        <w:t>为本基金业绩比较基准同期年化收益率；</w:t>
      </w:r>
    </w:p>
    <w:p>
      <w:pPr>
        <w:adjustRightInd w:val="0"/>
        <w:snapToGrid w:val="0"/>
        <w:spacing w:line="360" w:lineRule="auto"/>
        <w:ind w:firstLine="480" w:firstLineChars="200"/>
        <w:rPr>
          <w:sz w:val="24"/>
        </w:rPr>
      </w:pPr>
      <w:r>
        <w:rPr>
          <w:rFonts w:hint="eastAsia"/>
          <w:sz w:val="24"/>
        </w:rPr>
        <w:t>A为该笔基金份额赎回日或基金合同终止情形发生日的基金份额累计净值；</w:t>
      </w:r>
    </w:p>
    <w:p>
      <w:pPr>
        <w:adjustRightInd w:val="0"/>
        <w:snapToGrid w:val="0"/>
        <w:spacing w:line="360" w:lineRule="auto"/>
        <w:ind w:firstLine="480" w:firstLineChars="200"/>
        <w:rPr>
          <w:sz w:val="24"/>
        </w:rPr>
      </w:pPr>
      <w:r>
        <w:rPr>
          <w:rFonts w:hint="eastAsia"/>
          <w:sz w:val="24"/>
        </w:rPr>
        <w:t>B为该笔基金份额认购/申购日的基金份额累计净值，其中份额认购日的基金份额（累计）净值为1.00元；</w:t>
      </w:r>
    </w:p>
    <w:p>
      <w:pPr>
        <w:adjustRightInd w:val="0"/>
        <w:snapToGrid w:val="0"/>
        <w:spacing w:line="360" w:lineRule="auto"/>
        <w:ind w:firstLine="480" w:firstLineChars="200"/>
        <w:rPr>
          <w:sz w:val="24"/>
        </w:rPr>
      </w:pPr>
      <w:r>
        <w:rPr>
          <w:rFonts w:hint="eastAsia"/>
          <w:sz w:val="24"/>
        </w:rPr>
        <w:t>C为该笔基金份额认购/申购日的基金份额净值，其中份额认购日的基金份额净值为1.00元；</w:t>
      </w:r>
    </w:p>
    <w:p>
      <w:pPr>
        <w:adjustRightInd w:val="0"/>
        <w:snapToGrid w:val="0"/>
        <w:spacing w:line="360" w:lineRule="auto"/>
        <w:ind w:firstLine="480" w:firstLineChars="200"/>
        <w:rPr>
          <w:sz w:val="24"/>
        </w:rPr>
      </w:pPr>
      <w:r>
        <w:rPr>
          <w:rFonts w:hint="eastAsia"/>
          <w:sz w:val="24"/>
        </w:rPr>
        <w:t>D为基金合同生效日（针对募集期内认购的基金份额）或该笔基金份额申购确认日与赎回确认日或基金合同终止情形发生日下一工作日的间隔天数；</w:t>
      </w:r>
    </w:p>
    <w:p>
      <w:pPr>
        <w:adjustRightInd w:val="0"/>
        <w:snapToGrid w:val="0"/>
        <w:spacing w:line="360" w:lineRule="auto"/>
        <w:ind w:firstLine="480" w:firstLineChars="200"/>
        <w:rPr>
          <w:sz w:val="24"/>
        </w:rPr>
      </w:pPr>
      <w:r>
        <w:rPr>
          <w:rFonts w:hint="eastAsia"/>
          <w:sz w:val="24"/>
        </w:rPr>
        <w:t>F为该笔基金份额的份额数；</w:t>
      </w:r>
    </w:p>
    <w:p>
      <w:pPr>
        <w:adjustRightInd w:val="0"/>
        <w:snapToGrid w:val="0"/>
        <w:spacing w:line="360" w:lineRule="auto"/>
        <w:ind w:firstLine="480" w:firstLineChars="200"/>
        <w:rPr>
          <w:sz w:val="24"/>
        </w:rPr>
      </w:pPr>
      <w:r>
        <w:rPr>
          <w:rFonts w:hint="eastAsia"/>
          <w:sz w:val="24"/>
        </w:rPr>
        <w:t>M</w:t>
      </w:r>
      <w:r>
        <w:rPr>
          <w:rFonts w:hint="eastAsia"/>
          <w:sz w:val="24"/>
          <w:vertAlign w:val="subscript"/>
        </w:rPr>
        <w:t>C</w:t>
      </w:r>
      <w:r>
        <w:rPr>
          <w:rFonts w:hint="eastAsia"/>
          <w:sz w:val="24"/>
        </w:rPr>
        <w:t>为该笔基金份额持有期内累计计算的超额管理费。</w:t>
      </w:r>
    </w:p>
    <w:p>
      <w:pPr>
        <w:adjustRightInd w:val="0"/>
        <w:snapToGrid w:val="0"/>
        <w:spacing w:line="360" w:lineRule="auto"/>
        <w:ind w:firstLine="480" w:firstLineChars="200"/>
        <w:rPr>
          <w:sz w:val="24"/>
        </w:rPr>
      </w:pPr>
      <w:r>
        <w:rPr>
          <w:rFonts w:hint="eastAsia"/>
          <w:sz w:val="24"/>
        </w:rPr>
        <w:t>对于已经确认为管理人收入的或有管理费和超额管理费，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outlineLvl w:val="2"/>
        <w:rPr>
          <w:sz w:val="24"/>
        </w:rPr>
      </w:pPr>
      <w:r>
        <w:rPr>
          <w:rFonts w:hint="eastAsia"/>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本基金A类基金份额不收取销售服务费，C类基金份额的销售服务费按前一日C类基金资产净值的0.</w:t>
      </w:r>
      <w:r>
        <w:rPr>
          <w:bCs/>
          <w:sz w:val="24"/>
        </w:rPr>
        <w:t>6</w:t>
      </w:r>
      <w:r>
        <w:rPr>
          <w:rFonts w:hint="eastAsia"/>
          <w:bCs/>
          <w:sz w:val="24"/>
        </w:rPr>
        <w:t>%年费率计提。计算方法如下：</w:t>
      </w:r>
    </w:p>
    <w:p>
      <w:pPr>
        <w:adjustRightInd w:val="0"/>
        <w:snapToGrid w:val="0"/>
        <w:spacing w:line="360" w:lineRule="auto"/>
        <w:ind w:firstLine="480" w:firstLineChars="200"/>
        <w:rPr>
          <w:bCs/>
          <w:sz w:val="24"/>
        </w:rPr>
      </w:pPr>
      <w:r>
        <w:rPr>
          <w:rFonts w:hint="eastAsia"/>
          <w:bCs/>
          <w:sz w:val="24"/>
        </w:rPr>
        <w:t>H＝E×0.</w:t>
      </w:r>
      <w:r>
        <w:rPr>
          <w:bCs/>
          <w:sz w:val="24"/>
        </w:rPr>
        <w:t>6</w:t>
      </w:r>
      <w:r>
        <w:rPr>
          <w:rFonts w:hint="eastAsia"/>
          <w:bCs/>
          <w:sz w:val="24"/>
        </w:rPr>
        <w:t>%÷当年天数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outlineLvl w:val="1"/>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87" w:name="_Hlt81193394"/>
      <w:bookmarkEnd w:id="87"/>
      <w:r>
        <w:rPr>
          <w:rFonts w:hAnsi="宋体"/>
          <w:sz w:val="24"/>
          <w:szCs w:val="21"/>
        </w:rPr>
        <w:t>4、其他根据相关法律法规及中国证监会的有关规定不得列入基金费用的项目。</w:t>
      </w:r>
    </w:p>
    <w:p>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包含固定管理费、或有管理费和超额管理费），详见本招募说明书“侧袋机制”部分的规定。</w:t>
      </w:r>
    </w:p>
    <w:p>
      <w:pPr>
        <w:adjustRightInd w:val="0"/>
        <w:snapToGrid w:val="0"/>
        <w:spacing w:line="360" w:lineRule="auto"/>
        <w:ind w:firstLine="482"/>
        <w:outlineLvl w:val="1"/>
        <w:rPr>
          <w:b/>
          <w:bCs/>
          <w:sz w:val="24"/>
        </w:rPr>
      </w:pPr>
      <w:r>
        <w:rPr>
          <w:rFonts w:hint="eastAsia"/>
          <w:b/>
          <w:bCs/>
          <w:sz w:val="24"/>
        </w:rPr>
        <w:t>（五）</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8" w:name="_Toc48122015"/>
      <w:r>
        <w:rPr>
          <w:rFonts w:hint="eastAsia" w:ascii="宋体" w:hAnsi="宋体"/>
          <w:b/>
          <w:kern w:val="0"/>
          <w:sz w:val="30"/>
        </w:rPr>
        <w:t>十四、基金的会计与审计</w:t>
      </w:r>
      <w:bookmarkEnd w:id="88"/>
    </w:p>
    <w:p>
      <w:pPr>
        <w:adjustRightInd w:val="0"/>
        <w:snapToGrid w:val="0"/>
        <w:spacing w:line="360" w:lineRule="auto"/>
        <w:ind w:firstLine="482"/>
        <w:outlineLvl w:val="1"/>
        <w:rPr>
          <w:b/>
          <w:bCs/>
          <w:sz w:val="24"/>
        </w:rPr>
      </w:pPr>
      <w:bookmarkStart w:id="89" w:name="_Hlk49344167"/>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90" w:name="_Toc109537394"/>
      <w:r>
        <w:rPr>
          <w:sz w:val="24"/>
        </w:rPr>
        <w:t>3</w:t>
      </w:r>
      <w:r>
        <w:rPr>
          <w:rFonts w:hAnsi="宋体"/>
          <w:sz w:val="24"/>
        </w:rPr>
        <w:t>、</w:t>
      </w:r>
      <w:r>
        <w:rPr>
          <w:rFonts w:hAnsi="宋体"/>
          <w:sz w:val="24"/>
          <w:szCs w:val="21"/>
        </w:rPr>
        <w:t>基金核</w:t>
      </w:r>
      <w:bookmarkEnd w:id="90"/>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、基金托管人每月与基金管理人就基金的会计核算、报表编制等进行核对并以书面方式</w:t>
      </w:r>
      <w:r>
        <w:rPr>
          <w:rFonts w:hint="eastAsia"/>
          <w:bCs/>
          <w:sz w:val="24"/>
        </w:rPr>
        <w:t>或双方认可的其他方式</w:t>
      </w:r>
      <w:r>
        <w:rPr>
          <w:rFonts w:hAnsi="宋体"/>
          <w:sz w:val="24"/>
          <w:szCs w:val="18"/>
        </w:rPr>
        <w:t>确认。</w:t>
      </w:r>
    </w:p>
    <w:p>
      <w:pPr>
        <w:adjustRightInd w:val="0"/>
        <w:snapToGrid w:val="0"/>
        <w:spacing w:line="360" w:lineRule="auto"/>
        <w:ind w:firstLine="482"/>
        <w:outlineLvl w:val="1"/>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91" w:name="_Hlt4221115"/>
      <w:bookmarkEnd w:id="91"/>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2" w:name="_Toc48122016"/>
      <w:r>
        <w:rPr>
          <w:rFonts w:hint="eastAsia" w:ascii="宋体" w:hAnsi="宋体"/>
          <w:b/>
          <w:kern w:val="0"/>
          <w:sz w:val="30"/>
        </w:rPr>
        <w:t>十五、基金的信息披露</w:t>
      </w:r>
      <w:bookmarkEnd w:id="92"/>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本基金的信息披露应符合《基金法》、《运作办法》、《信息披露办法》、《流动性风险管理规定》、《基金合同》及其他有关规定。相关法律法规关于信息披露的规定发生变化时，本基金从其最新规定。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rFonts w:hint="eastAsia"/>
          <w:bCs/>
          <w:sz w:val="24"/>
        </w:rPr>
        <w:t>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基金管理人应当在中期报告和年度报告中披露固定管理费、或有管理费和超额管理费收取情况。</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（15）管理费（包含固定管理费、或有管理费和超额管理费）、托管费、销售服务费、申购费、赎回费等费用计提标准、计提方式和费率发生变更；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sz w:val="24"/>
        </w:rPr>
        <w:t>本基金可投资港股通标的股票，基金应当在季度报告、中期报告、年度报告等定期报告和招募说明书（更新）等文件中披露港股通标的股票的投资情况。法律法规或中国证监会另有规定的，从其规定。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等法律法规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9"/>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3" w:name="_Toc48122017"/>
      <w:r>
        <w:rPr>
          <w:rFonts w:hint="eastAsia" w:ascii="宋体" w:hAnsi="宋体"/>
          <w:b/>
          <w:kern w:val="0"/>
          <w:sz w:val="30"/>
        </w:rPr>
        <w:t>十六、侧袋机制</w:t>
      </w:r>
      <w:bookmarkEnd w:id="93"/>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94" w:name="_Hlk45746268"/>
      <w:r>
        <w:rPr>
          <w:rFonts w:hint="eastAsia" w:hAnsi="宋体"/>
          <w:bCs/>
          <w:sz w:val="24"/>
          <w:szCs w:val="24"/>
        </w:rPr>
        <w:t>并在</w:t>
      </w:r>
      <w:bookmarkStart w:id="95" w:name="_Hlk45746204"/>
      <w:r>
        <w:rPr>
          <w:rFonts w:hint="eastAsia" w:hAnsi="宋体"/>
          <w:bCs/>
          <w:sz w:val="24"/>
          <w:szCs w:val="24"/>
        </w:rPr>
        <w:t>五个工作日内</w:t>
      </w:r>
      <w:bookmarkEnd w:id="94"/>
      <w:bookmarkEnd w:id="95"/>
      <w:r>
        <w:rPr>
          <w:rFonts w:hint="eastAsia" w:hAnsi="宋体"/>
          <w:bCs/>
          <w:sz w:val="24"/>
          <w:szCs w:val="24"/>
        </w:rPr>
        <w:t>聘请</w:t>
      </w:r>
      <w:bookmarkStart w:id="96" w:name="_Hlk45746277"/>
      <w:r>
        <w:rPr>
          <w:rFonts w:hint="eastAsia" w:hAnsi="宋体"/>
          <w:bCs/>
          <w:sz w:val="24"/>
          <w:szCs w:val="24"/>
        </w:rPr>
        <w:t>侧袋机制启用日发表意见且</w:t>
      </w:r>
      <w:bookmarkEnd w:id="96"/>
      <w:r>
        <w:rPr>
          <w:rFonts w:hint="eastAsia" w:hAnsi="宋体"/>
          <w:bCs/>
          <w:sz w:val="24"/>
          <w:szCs w:val="24"/>
        </w:rPr>
        <w:t>符合《中华人民共和国证券法》规定的会计师事务所</w:t>
      </w:r>
      <w:bookmarkStart w:id="97" w:name="_Hlk45746299"/>
      <w:r>
        <w:rPr>
          <w:rFonts w:hint="eastAsia" w:hAnsi="宋体"/>
          <w:bCs/>
          <w:sz w:val="24"/>
          <w:szCs w:val="24"/>
        </w:rPr>
        <w:t>进行审计并披露</w:t>
      </w:r>
      <w:bookmarkEnd w:id="97"/>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w:t>
      </w:r>
      <w:r>
        <w:rPr>
          <w:rFonts w:hint="eastAsia" w:hAnsi="宋体"/>
          <w:sz w:val="24"/>
          <w:szCs w:val="21"/>
        </w:rPr>
        <w:t>（包含固定管理费、或有管理费和超额管理费）</w:t>
      </w:r>
      <w:r>
        <w:rPr>
          <w:rFonts w:hint="eastAsia" w:hAnsi="宋体"/>
          <w:bCs/>
          <w:sz w:val="24"/>
          <w:szCs w:val="24"/>
        </w:rPr>
        <w:t>、托管费等按主袋账户基金资产净值作为基数计提。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r>
        <w:rPr>
          <w:rFonts w:hint="eastAsia" w:hAnsi="宋体"/>
          <w:sz w:val="24"/>
          <w:szCs w:val="21"/>
        </w:rPr>
        <w:t>（包含固定管理费、或有管理费和超额管理费）</w:t>
      </w:r>
      <w:r>
        <w:rPr>
          <w:rFonts w:hint="eastAsia" w:hAnsi="宋体"/>
          <w:bCs/>
          <w:sz w:val="24"/>
          <w:szCs w:val="24"/>
        </w:rPr>
        <w:t>。</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98" w:name="_Hlk45747214"/>
      <w:r>
        <w:rPr>
          <w:rFonts w:hint="eastAsia" w:hAnsi="宋体"/>
          <w:bCs/>
          <w:sz w:val="24"/>
          <w:szCs w:val="24"/>
        </w:rPr>
        <w:t>会计师事务所对基金年度报告进行审计时，应对报告期内基金侧袋机制运行相关的会计核算和年度报告披露等发表审计意见。</w:t>
      </w:r>
      <w:bookmarkEnd w:id="98"/>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9" w:name="_Toc48122018"/>
      <w:r>
        <w:rPr>
          <w:rFonts w:hint="eastAsia" w:ascii="宋体" w:hAnsi="宋体"/>
          <w:b/>
          <w:kern w:val="0"/>
          <w:sz w:val="30"/>
        </w:rPr>
        <w:t>十七、风险揭示</w:t>
      </w:r>
      <w:bookmarkEnd w:id="99"/>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0" w:name="_Hlt88901012"/>
      <w:bookmarkEnd w:id="100"/>
      <w:bookmarkStart w:id="101" w:name="_Hlt91150550"/>
      <w:bookmarkEnd w:id="101"/>
      <w:bookmarkStart w:id="102" w:name="_Toc109537396"/>
      <w:r>
        <w:rPr>
          <w:rFonts w:hAnsi="宋体"/>
          <w:sz w:val="24"/>
          <w:szCs w:val="24"/>
        </w:rPr>
        <w:t>生的收益，也可能承担</w:t>
      </w:r>
      <w:bookmarkEnd w:id="102"/>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基金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3、浮动管理费模式相关风险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由于本基金在计算基金份额净值时，按前一日基金资产净值的1.20%年费率计算管理费，该费率可能高于或低于不同投资者最终适用的管理费率。在基金份额赎回或基金合同终止的情形发生时，基金投资者实际收到的赎回款项或清算款项的金额可能与按披露的基金份额净值计算的结果存在差异。投资者的实际赎回金额和清算资金以登记机构确认数据为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（3）本基金采用浮动管理费的收费模式，不代表基金管理人对基金收益的保证。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、本基金可投资创业板股票，创业板个股上市后的前五个交易日不设价格涨跌幅限制，第六个交易日开始涨跌幅限制比例为20%。</w:t>
      </w:r>
    </w:p>
    <w:p>
      <w:pPr>
        <w:widowControl/>
        <w:adjustRightInd w:val="0"/>
        <w:snapToGrid w:val="0"/>
        <w:spacing w:line="360" w:lineRule="auto"/>
        <w:ind w:firstLine="480" w:firstLineChars="200"/>
        <w:outlineLvl w:val="1"/>
        <w:rPr>
          <w:b/>
          <w:kern w:val="0"/>
          <w:sz w:val="24"/>
          <w:szCs w:val="24"/>
        </w:rPr>
      </w:pPr>
      <w:r>
        <w:rPr>
          <w:rFonts w:hAnsi="宋体"/>
          <w:kern w:val="0"/>
          <w:sz w:val="24"/>
          <w:szCs w:val="24"/>
        </w:rPr>
        <w:t>5</w:t>
      </w:r>
      <w:r>
        <w:rPr>
          <w:rFonts w:hint="eastAsia" w:hAnsi="宋体"/>
          <w:kern w:val="0"/>
          <w:sz w:val="24"/>
          <w:szCs w:val="24"/>
        </w:rPr>
        <w:t>、</w:t>
      </w:r>
      <w:r>
        <w:rPr>
          <w:rFonts w:hAnsi="宋体"/>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0" w:firstLineChars="200"/>
        <w:outlineLvl w:val="1"/>
        <w:rPr>
          <w:rFonts w:hAnsi="宋体"/>
          <w:b/>
          <w:kern w:val="0"/>
          <w:sz w:val="24"/>
          <w:szCs w:val="24"/>
        </w:rPr>
      </w:pPr>
      <w:r>
        <w:rPr>
          <w:rFonts w:hAnsi="宋体"/>
          <w:kern w:val="0"/>
          <w:sz w:val="24"/>
          <w:szCs w:val="24"/>
        </w:rPr>
        <w:t>6</w:t>
      </w:r>
      <w:r>
        <w:rPr>
          <w:rFonts w:hint="eastAsia" w:hAnsi="宋体"/>
          <w:kern w:val="0"/>
          <w:sz w:val="24"/>
          <w:szCs w:val="24"/>
        </w:rPr>
        <w:t>、</w:t>
      </w:r>
      <w:r>
        <w:rPr>
          <w:rFonts w:hAnsi="宋体"/>
          <w:kern w:val="0"/>
          <w:sz w:val="24"/>
          <w:szCs w:val="24"/>
        </w:rPr>
        <w:t>投资</w:t>
      </w:r>
      <w:r>
        <w:rPr>
          <w:rFonts w:hint="eastAsia" w:hAnsi="宋体"/>
          <w:kern w:val="0"/>
          <w:sz w:val="24"/>
          <w:szCs w:val="24"/>
        </w:rPr>
        <w:t>资产支持证券</w:t>
      </w:r>
      <w:r>
        <w:rPr>
          <w:rFonts w:hAnsi="宋体"/>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outlineLvl w:val="1"/>
        <w:rPr>
          <w:rFonts w:hAnsi="宋体"/>
          <w:kern w:val="0"/>
          <w:sz w:val="24"/>
          <w:szCs w:val="24"/>
        </w:rPr>
      </w:pPr>
      <w:r>
        <w:rPr>
          <w:rFonts w:hint="eastAsia" w:hAnsi="宋体"/>
          <w:kern w:val="0"/>
          <w:sz w:val="24"/>
          <w:szCs w:val="24"/>
        </w:rPr>
        <w:t>7、投资流通受限证券的特定风险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outlineLvl w:val="1"/>
        <w:rPr>
          <w:rFonts w:hAnsi="宋体"/>
          <w:kern w:val="0"/>
          <w:sz w:val="24"/>
          <w:szCs w:val="24"/>
        </w:rPr>
      </w:pPr>
      <w:r>
        <w:rPr>
          <w:rFonts w:hint="eastAsia" w:hAnsi="宋体"/>
          <w:kern w:val="0"/>
          <w:sz w:val="24"/>
          <w:szCs w:val="24"/>
        </w:rPr>
        <w:t>8、投资港股通标的股票的特定风险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香港联合交易所规定的相关情形时，香港联合交易所将可能停市，本基金将面临在停市期间无法进行港股通交易的风险；出现内地证券交易服务公司认定的交易异常情况时，内地证券交易服务公司将可能暂停提供部分或者全部港股通服务，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内地证券交易服务公司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（4）本基金可根据投资策略需要或不同配置地市场环境的变化，选择将部分基金资产投资于港股通标的股票或选择不将基金资产投资于港股通标的股票，基金资产并非必然投资港股通标的股票。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9、投资存托凭证的特定风险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hAnsi="宋体"/>
          <w:kern w:val="0"/>
          <w:sz w:val="24"/>
          <w:szCs w:val="24"/>
        </w:rPr>
      </w:pPr>
      <w:bookmarkStart w:id="103" w:name="_Hlk196650031"/>
      <w:r>
        <w:rPr>
          <w:rFonts w:hint="eastAsia" w:hAnsi="宋体"/>
          <w:kern w:val="0"/>
          <w:sz w:val="24"/>
          <w:szCs w:val="24"/>
        </w:rPr>
        <w:t>1</w:t>
      </w:r>
      <w:r>
        <w:rPr>
          <w:rFonts w:hAnsi="宋体"/>
          <w:kern w:val="0"/>
          <w:sz w:val="24"/>
          <w:szCs w:val="24"/>
        </w:rPr>
        <w:t>0</w:t>
      </w:r>
      <w:r>
        <w:rPr>
          <w:rFonts w:hint="eastAsia" w:hAnsi="宋体"/>
          <w:kern w:val="0"/>
          <w:sz w:val="24"/>
          <w:szCs w:val="24"/>
        </w:rPr>
        <w:t>、投资科创板股票的特定风险</w:t>
      </w:r>
    </w:p>
    <w:bookmarkEnd w:id="103"/>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（1）市场风险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科创板个股上市后的前五个交易日无涨跌停限制，其后涨跌幅限制为20%，科创板股票上市首日即可作为融资融券标的，可能导致较大的股票价格波动。</w:t>
      </w:r>
      <w:r>
        <w:rPr>
          <w:rFonts w:hAnsi="宋体"/>
          <w:kern w:val="0"/>
          <w:sz w:val="24"/>
          <w:szCs w:val="24"/>
        </w:rPr>
        <w:cr/>
      </w:r>
      <w:r>
        <w:rPr>
          <w:rFonts w:hAnsi="宋体"/>
          <w:kern w:val="0"/>
          <w:sz w:val="24"/>
          <w:szCs w:val="24"/>
        </w:rPr>
        <w:t xml:space="preserve">   </w:t>
      </w:r>
      <w:r>
        <w:rPr>
          <w:rFonts w:hint="eastAsia" w:hAnsi="宋体"/>
          <w:kern w:val="0"/>
          <w:sz w:val="24"/>
          <w:szCs w:val="24"/>
        </w:rPr>
        <w:t>（2）流动性风险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科创板整体投资门槛较高，二级市场上个人投资者参与度相对较低，机构持有个股大量流通盘导致个股流动性较差，基金组合存在无法及时变现及其他相关流动性风险。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（3）退市风险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科创板退市制度较主板更为严格，且不再设置暂停上市、恢复上市和重新上市环节，上市公司退市风险更大。</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）系统性风险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科创板企业均为市场认可度较高的科技创新企业，在企业经营及盈利模式上存在趋同，所以科创板个股相关性较高，市场表现不佳时，系统性风险将更为显著。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5</w:t>
      </w:r>
      <w:r>
        <w:rPr>
          <w:rFonts w:hint="eastAsia" w:hAnsi="宋体"/>
          <w:kern w:val="0"/>
          <w:sz w:val="24"/>
          <w:szCs w:val="24"/>
        </w:rPr>
        <w:t>）政策风险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（六）本基金法律文件风险收益特征表述与销售机构基金风险评价可能不一致的风险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（七）</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104"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105" w:name="_Toc48122019"/>
      <w:r>
        <w:rPr>
          <w:rFonts w:hint="eastAsia" w:hAnsi="宋体"/>
          <w:b/>
          <w:kern w:val="0"/>
          <w:sz w:val="30"/>
        </w:rPr>
        <w:t>十八</w:t>
      </w:r>
      <w:r>
        <w:rPr>
          <w:rFonts w:hAnsi="宋体"/>
          <w:b/>
          <w:kern w:val="0"/>
          <w:sz w:val="30"/>
        </w:rPr>
        <w:t>、基金合同的变更、终止与基金财</w:t>
      </w:r>
      <w:bookmarkEnd w:id="104"/>
      <w:r>
        <w:rPr>
          <w:rFonts w:hAnsi="宋体"/>
          <w:b/>
          <w:kern w:val="0"/>
          <w:sz w:val="30"/>
        </w:rPr>
        <w:t>产的清算</w:t>
      </w:r>
      <w:bookmarkEnd w:id="105"/>
    </w:p>
    <w:p>
      <w:pPr>
        <w:adjustRightInd w:val="0"/>
        <w:snapToGrid w:val="0"/>
        <w:spacing w:line="360" w:lineRule="auto"/>
        <w:ind w:firstLine="482"/>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3、《基金合同》约定的其他情形；</w:t>
      </w:r>
    </w:p>
    <w:p>
      <w:pPr>
        <w:adjustRightInd w:val="0"/>
        <w:snapToGrid w:val="0"/>
        <w:spacing w:line="360" w:lineRule="auto"/>
        <w:ind w:firstLine="480" w:firstLineChars="200"/>
        <w:rPr>
          <w:rFonts w:hAnsi="宋体"/>
          <w:kern w:val="0"/>
          <w:sz w:val="24"/>
        </w:rPr>
      </w:pPr>
      <w:r>
        <w:rPr>
          <w:rFonts w:hint="eastAsia" w:hAnsi="宋体"/>
          <w:kern w:val="0"/>
          <w:sz w:val="24"/>
        </w:rPr>
        <w:t>4、相关法律法规和中国证监会规定的其他情况。</w:t>
      </w:r>
    </w:p>
    <w:p>
      <w:pPr>
        <w:adjustRightInd w:val="0"/>
        <w:snapToGrid w:val="0"/>
        <w:spacing w:line="360" w:lineRule="auto"/>
        <w:ind w:firstLine="482"/>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（1）《基金合同》终止情形出现时，由基金财产清算小组统一接管基金财产；</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清算费用是指基金财产清算小组在进行基金财产清算过程中发生的所有合理费用，清算费用由基金财产清算小组优先从基金财产中支付。</w:t>
      </w:r>
    </w:p>
    <w:p>
      <w:pPr>
        <w:adjustRightInd w:val="0"/>
        <w:snapToGrid w:val="0"/>
        <w:spacing w:line="360" w:lineRule="auto"/>
        <w:ind w:firstLine="482"/>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并扣除相应的超额管理费（如涉及）。</w:t>
      </w:r>
    </w:p>
    <w:p>
      <w:pPr>
        <w:adjustRightInd w:val="0"/>
        <w:snapToGrid w:val="0"/>
        <w:spacing w:line="360" w:lineRule="auto"/>
        <w:ind w:firstLine="482"/>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6" w:name="_Toc48122020"/>
      <w:r>
        <w:rPr>
          <w:rFonts w:hint="eastAsia" w:ascii="宋体" w:hAnsi="宋体"/>
          <w:b/>
          <w:kern w:val="0"/>
          <w:sz w:val="30"/>
        </w:rPr>
        <w:t>十九、基金合同内容摘要</w:t>
      </w:r>
      <w:bookmarkEnd w:id="106"/>
    </w:p>
    <w:p>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w:t>
      </w:r>
      <w:r>
        <w:rPr>
          <w:rFonts w:hint="eastAsia"/>
          <w:bCs/>
          <w:sz w:val="24"/>
        </w:rPr>
        <w:t>（包含固定管理费、或有管理费和超额管理费）</w:t>
      </w:r>
      <w:r>
        <w:rPr>
          <w:bCs/>
          <w:sz w:val="24"/>
        </w:rPr>
        <w:t>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107" w:name="_Hlt88897298"/>
      <w:bookmarkEnd w:id="107"/>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但根据监管机构、司法机关等有权机关的要求提供，或因审计、法律等外部专业顾问提供服务需要提供的情况除外；</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（4）根据相关市场规则，为基金开设资金账户、证券账户、期货结算账户等投资所需账户，为基金办理证券交易资金清算；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（6）按规定开设基金财产的资金账户、证券账户和期货结算账户等投资所需账户，按照《基金合同》的约定，根据基金管理人的投资指令，及时办理清算、交割事宜；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pPr>
        <w:adjustRightInd w:val="0"/>
        <w:snapToGrid w:val="0"/>
        <w:spacing w:line="360" w:lineRule="auto"/>
        <w:ind w:firstLine="480" w:firstLineChars="200"/>
        <w:rPr>
          <w:bCs/>
          <w:sz w:val="24"/>
        </w:rPr>
      </w:pPr>
      <w:r>
        <w:rPr>
          <w:rFonts w:hint="eastAsia"/>
          <w:bCs/>
          <w:sz w:val="24"/>
        </w:rPr>
        <w:t>（8）复核、审查基金管理人计算的基金资产净值、各类基金份额净值、基金份额申购、赎回价格；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（12）建立并保存基金份额持有人名册；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5）调整基金管理人、基金托管人的报酬标准或提高销售服务费率；</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1）调低基金销售服务费率；</w:t>
      </w:r>
    </w:p>
    <w:p>
      <w:pPr>
        <w:adjustRightInd w:val="0"/>
        <w:snapToGrid w:val="0"/>
        <w:spacing w:line="360" w:lineRule="auto"/>
        <w:ind w:firstLine="480" w:firstLineChars="200"/>
        <w:rPr>
          <w:bCs/>
          <w:sz w:val="24"/>
        </w:rPr>
      </w:pPr>
      <w:r>
        <w:rPr>
          <w:rFonts w:hint="eastAsia"/>
          <w:bCs/>
          <w:sz w:val="24"/>
        </w:rPr>
        <w:t>2）法律法规要求增加的基金费用的收取；</w:t>
      </w:r>
    </w:p>
    <w:p>
      <w:pPr>
        <w:adjustRightInd w:val="0"/>
        <w:snapToGrid w:val="0"/>
        <w:spacing w:line="360" w:lineRule="auto"/>
        <w:ind w:firstLine="480" w:firstLineChars="20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bCs/>
          <w:sz w:val="24"/>
        </w:rPr>
      </w:pPr>
      <w:r>
        <w:rPr>
          <w:rFonts w:hint="eastAsia"/>
          <w:bCs/>
          <w:sz w:val="24"/>
        </w:rPr>
        <w:t>4）因法规政策调整而需要修订业绩比较基准或调整管理费</w:t>
      </w:r>
      <w:r>
        <w:rPr>
          <w:rFonts w:hint="eastAsia" w:hAnsi="宋体"/>
          <w:sz w:val="24"/>
          <w:szCs w:val="21"/>
        </w:rPr>
        <w:t>（包含固定管理费、或有管理费和超额管理费）</w:t>
      </w:r>
      <w:r>
        <w:rPr>
          <w:rFonts w:hint="eastAsia"/>
          <w:bCs/>
          <w:sz w:val="24"/>
        </w:rPr>
        <w:t>收取标准；</w:t>
      </w:r>
    </w:p>
    <w:p>
      <w:pPr>
        <w:adjustRightInd w:val="0"/>
        <w:snapToGrid w:val="0"/>
        <w:spacing w:line="360" w:lineRule="auto"/>
        <w:ind w:firstLine="480" w:firstLineChars="200"/>
        <w:rPr>
          <w:bCs/>
          <w:sz w:val="24"/>
        </w:rPr>
      </w:pPr>
      <w:r>
        <w:rPr>
          <w:rFonts w:hint="eastAsia"/>
          <w:bCs/>
          <w:sz w:val="24"/>
        </w:rPr>
        <w:t>5）因相应的法律法规、登记机构的相关业务规则发生变动而应当对《基金合同》进行修改；</w:t>
      </w:r>
    </w:p>
    <w:p>
      <w:pPr>
        <w:adjustRightInd w:val="0"/>
        <w:snapToGrid w:val="0"/>
        <w:spacing w:line="360" w:lineRule="auto"/>
        <w:ind w:firstLine="480" w:firstLineChars="200"/>
        <w:rPr>
          <w:bCs/>
          <w:sz w:val="24"/>
        </w:rPr>
      </w:pPr>
      <w:r>
        <w:rPr>
          <w:rFonts w:hint="eastAsia"/>
          <w:bCs/>
          <w:sz w:val="24"/>
        </w:rPr>
        <w:t>6）对《基金合同》的修改对基金份额持有人利益无实质性不利影响或修改不涉及《基金合同》当事人权利义务关系发生重大变化；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rFonts w:hint="eastAsia"/>
          <w:bCs/>
          <w:sz w:val="24"/>
        </w:rPr>
        <w:t>7）在法律法规允许的情况下，且在对现有基金份额持有人利益无实质性不利影响的前提下，在履行适当程序后，基金推出新业务或服务；</w:t>
      </w:r>
    </w:p>
    <w:p>
      <w:pPr>
        <w:adjustRightInd w:val="0"/>
        <w:snapToGrid w:val="0"/>
        <w:spacing w:line="360" w:lineRule="auto"/>
        <w:ind w:firstLine="480" w:firstLineChars="200"/>
        <w:rPr>
          <w:bCs/>
          <w:sz w:val="24"/>
        </w:rPr>
      </w:pPr>
      <w:r>
        <w:rPr>
          <w:rFonts w:hint="eastAsia"/>
          <w:bCs/>
          <w:sz w:val="24"/>
        </w:rPr>
        <w:t>8）在符合法律法规及本基金合同规定、并且对基金份额持有人利益无实质性不利影响的前提下，调整本基金份额类别的设置、对基金份额分类办法及规则进行调整；</w:t>
      </w:r>
    </w:p>
    <w:p>
      <w:pPr>
        <w:adjustRightInd w:val="0"/>
        <w:snapToGrid w:val="0"/>
        <w:spacing w:line="360" w:lineRule="auto"/>
        <w:ind w:firstLine="480" w:firstLineChars="200"/>
        <w:rPr>
          <w:bCs/>
          <w:sz w:val="24"/>
        </w:rPr>
      </w:pPr>
      <w:r>
        <w:rPr>
          <w:rFonts w:hint="eastAsia"/>
          <w:bCs/>
          <w:sz w:val="24"/>
        </w:rPr>
        <w:t>9）在不违反法律法规及对基金份额持有人利益无实质性不利影响的前提下，基金管理人、登记机构、销售机构调整有关基金认购、申购、赎回、转换、收益分配、非交易过户、转托管等业务的规则；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rFonts w:hint="eastAsia"/>
          <w:bCs/>
          <w:sz w:val="24"/>
        </w:rPr>
        <w:t>10）按照法律法规和《基金合同》规定不需召开基金份额持有人大会的其他情形。</w:t>
      </w:r>
    </w:p>
    <w:p>
      <w:pPr>
        <w:adjustRightInd w:val="0"/>
        <w:snapToGrid w:val="0"/>
        <w:spacing w:line="360" w:lineRule="auto"/>
        <w:ind w:firstLine="480" w:firstLineChars="200"/>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bCs/>
          <w:sz w:val="24"/>
        </w:rPr>
      </w:pPr>
      <w:r>
        <w:rPr>
          <w:rFonts w:hint="eastAsia"/>
          <w:bCs/>
          <w:sz w:val="24"/>
        </w:rPr>
        <w:t>5、议事内容与程序</w:t>
      </w:r>
    </w:p>
    <w:p>
      <w:pPr>
        <w:adjustRightInd w:val="0"/>
        <w:snapToGrid w:val="0"/>
        <w:spacing w:line="360" w:lineRule="auto"/>
        <w:ind w:firstLine="480" w:firstLineChars="200"/>
        <w:outlineLvl w:val="2"/>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outlineLvl w:val="2"/>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outlineLvl w:val="1"/>
        <w:rPr>
          <w:b/>
          <w:bCs/>
          <w:sz w:val="24"/>
        </w:rPr>
      </w:pPr>
      <w:r>
        <w:rPr>
          <w:rFonts w:hint="eastAsia"/>
          <w:b/>
          <w:bCs/>
          <w:sz w:val="24"/>
        </w:rPr>
        <w:t>（三）基金合同解除和终止的事由、程序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（3）《基金合同》约定的其他情形；</w:t>
      </w:r>
    </w:p>
    <w:p>
      <w:pPr>
        <w:adjustRightInd w:val="0"/>
        <w:snapToGrid w:val="0"/>
        <w:spacing w:line="360" w:lineRule="auto"/>
        <w:ind w:firstLine="480" w:firstLineChars="200"/>
        <w:rPr>
          <w:bCs/>
          <w:sz w:val="24"/>
        </w:rPr>
      </w:pPr>
      <w:r>
        <w:rPr>
          <w:rFonts w:hint="eastAsia"/>
          <w:bCs/>
          <w:sz w:val="24"/>
        </w:rPr>
        <w:t>（4）相关法律法规和中国证监会规定的其他情况。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1）《基金合同》终止情形出现时，由基金财产清算小组统一接管基金财产；</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，并扣除相应的超额管理费（如涉及）。</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outlineLvl w:val="1"/>
        <w:rPr>
          <w:b/>
          <w:bCs/>
          <w:sz w:val="24"/>
        </w:rPr>
      </w:pPr>
      <w:r>
        <w:rPr>
          <w:b/>
          <w:bCs/>
          <w:sz w:val="24"/>
        </w:rPr>
        <w:t>（四）争议</w:t>
      </w:r>
      <w:r>
        <w:rPr>
          <w:rFonts w:hint="eastAsia"/>
          <w:b/>
          <w:bCs/>
          <w:sz w:val="24"/>
        </w:rPr>
        <w:t>解决方式</w:t>
      </w:r>
    </w:p>
    <w:p>
      <w:pPr>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《基金合同》受中国法律（为本基金合同之目的，不含港澳台地区法律）管辖并从其解释。</w:t>
      </w:r>
    </w:p>
    <w:p>
      <w:pPr>
        <w:adjustRightInd w:val="0"/>
        <w:snapToGrid w:val="0"/>
        <w:spacing w:line="360" w:lineRule="auto"/>
        <w:ind w:firstLine="482"/>
        <w:outlineLvl w:val="1"/>
        <w:rPr>
          <w:b/>
          <w:bCs/>
          <w:sz w:val="24"/>
        </w:rPr>
      </w:pPr>
      <w:bookmarkStart w:id="108" w:name="_Toc523711688"/>
      <w:r>
        <w:rPr>
          <w:b/>
          <w:bCs/>
          <w:sz w:val="24"/>
        </w:rPr>
        <w:t>（五）基金合同存放地和投资者取得基金合同的方式</w:t>
      </w:r>
    </w:p>
    <w:bookmarkEnd w:id="108"/>
    <w:p>
      <w:pPr>
        <w:adjustRightInd w:val="0"/>
        <w:snapToGrid w:val="0"/>
        <w:spacing w:line="360" w:lineRule="auto"/>
        <w:ind w:firstLine="480" w:firstLineChars="200"/>
        <w:rPr>
          <w:bCs/>
          <w:sz w:val="24"/>
        </w:rPr>
      </w:pPr>
      <w:r>
        <w:rPr>
          <w:rFonts w:hint="eastAsia"/>
          <w:bCs/>
          <w:sz w:val="24"/>
        </w:rPr>
        <w:t>《基金合同》正本</w:t>
      </w:r>
      <w:r>
        <w:rPr>
          <w:bCs/>
          <w:sz w:val="24"/>
        </w:rPr>
        <w:t>一式</w:t>
      </w:r>
      <w:r>
        <w:rPr>
          <w:rFonts w:hint="eastAsia"/>
          <w:bCs/>
          <w:sz w:val="24"/>
        </w:rPr>
        <w:t>六</w:t>
      </w:r>
      <w:r>
        <w:rPr>
          <w:bCs/>
          <w:sz w:val="24"/>
        </w:rPr>
        <w:t>份</w:t>
      </w:r>
      <w:r>
        <w:rPr>
          <w:rFonts w:hint="eastAsia"/>
          <w:bCs/>
          <w:sz w:val="24"/>
        </w:rPr>
        <w:t>，除上报有关监管机构</w:t>
      </w:r>
      <w:r>
        <w:rPr>
          <w:bCs/>
          <w:sz w:val="24"/>
        </w:rPr>
        <w:t>一式</w:t>
      </w:r>
      <w:r>
        <w:rPr>
          <w:rFonts w:hint="eastAsia"/>
          <w:bCs/>
          <w:sz w:val="24"/>
        </w:rPr>
        <w:t>二</w:t>
      </w:r>
      <w:r>
        <w:rPr>
          <w:bCs/>
          <w:sz w:val="24"/>
        </w:rPr>
        <w:t>份</w:t>
      </w:r>
      <w:r>
        <w:rPr>
          <w:rFonts w:hint="eastAsia"/>
          <w:bCs/>
          <w:sz w:val="24"/>
        </w:rPr>
        <w:t>外，基金管理人、基金托管人各持有二份，每份具有同等的法律效力。</w:t>
      </w:r>
    </w:p>
    <w:p>
      <w:pPr>
        <w:adjustRightInd w:val="0"/>
        <w:snapToGrid w:val="0"/>
        <w:spacing w:line="360" w:lineRule="auto"/>
        <w:ind w:firstLine="480" w:firstLineChars="20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9" w:name="_Toc48122021"/>
      <w:r>
        <w:rPr>
          <w:rFonts w:hint="eastAsia" w:ascii="宋体" w:hAnsi="宋体"/>
          <w:b/>
          <w:kern w:val="0"/>
          <w:sz w:val="30"/>
        </w:rPr>
        <w:t>二十、托管协议的内容摘要</w:t>
      </w:r>
      <w:bookmarkEnd w:id="109"/>
    </w:p>
    <w:p>
      <w:pPr>
        <w:adjustRightInd w:val="0"/>
        <w:snapToGrid w:val="0"/>
        <w:spacing w:line="360" w:lineRule="auto"/>
        <w:ind w:firstLine="482"/>
        <w:outlineLvl w:val="1"/>
        <w:rPr>
          <w:b/>
          <w:bCs/>
          <w:sz w:val="24"/>
        </w:rPr>
      </w:pPr>
      <w:r>
        <w:rPr>
          <w:rFonts w:hint="eastAsia"/>
          <w:b/>
          <w:bCs/>
          <w:sz w:val="24"/>
        </w:rPr>
        <w:t>（一）托管协议当事人</w:t>
      </w:r>
    </w:p>
    <w:p>
      <w:pPr>
        <w:widowControl/>
        <w:adjustRightInd w:val="0"/>
        <w:snapToGrid w:val="0"/>
        <w:spacing w:line="360" w:lineRule="auto"/>
        <w:ind w:firstLine="480" w:firstLineChars="200"/>
        <w:outlineLvl w:val="2"/>
        <w:rPr>
          <w:bCs/>
          <w:sz w:val="24"/>
        </w:rPr>
      </w:pPr>
      <w:r>
        <w:rPr>
          <w:rFonts w:hint="eastAsia"/>
          <w:bCs/>
          <w:sz w:val="24"/>
        </w:rPr>
        <w:t>1、基金管理人：交银施罗德基金管理有限公司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法定代表人：张宏良</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批准设立机关及批准设立文号：中国证监会证监基金字[2005]128号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组织形式: 有限责任公司</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电话：（021）61055050</w:t>
      </w:r>
    </w:p>
    <w:p>
      <w:pPr>
        <w:widowControl/>
        <w:adjustRightInd w:val="0"/>
        <w:snapToGrid w:val="0"/>
        <w:spacing w:line="360" w:lineRule="auto"/>
        <w:ind w:firstLine="480" w:firstLineChars="200"/>
        <w:outlineLvl w:val="2"/>
        <w:rPr>
          <w:bCs/>
          <w:sz w:val="24"/>
        </w:rPr>
      </w:pPr>
      <w:r>
        <w:rPr>
          <w:rFonts w:hint="eastAsia"/>
          <w:bCs/>
          <w:sz w:val="24"/>
        </w:rPr>
        <w:t>2、基金托管人：上海浦东发展银行股份有限公司</w:t>
      </w:r>
    </w:p>
    <w:p>
      <w:pPr>
        <w:widowControl/>
        <w:adjustRightInd w:val="0"/>
        <w:snapToGrid w:val="0"/>
        <w:spacing w:line="360" w:lineRule="auto"/>
        <w:ind w:firstLine="480" w:firstLineChars="200"/>
        <w:rPr>
          <w:bCs/>
          <w:sz w:val="24"/>
        </w:rPr>
      </w:pPr>
      <w:r>
        <w:rPr>
          <w:rFonts w:hint="eastAsia"/>
          <w:bCs/>
          <w:sz w:val="24"/>
        </w:rPr>
        <w:t>住所：：上海市中山东一路12号</w:t>
      </w:r>
    </w:p>
    <w:p>
      <w:pPr>
        <w:widowControl/>
        <w:adjustRightInd w:val="0"/>
        <w:snapToGrid w:val="0"/>
        <w:spacing w:line="360" w:lineRule="auto"/>
        <w:ind w:firstLine="480" w:firstLineChars="200"/>
        <w:rPr>
          <w:bCs/>
          <w:sz w:val="24"/>
        </w:rPr>
      </w:pPr>
      <w:r>
        <w:rPr>
          <w:rFonts w:hint="eastAsia"/>
          <w:bCs/>
          <w:sz w:val="24"/>
        </w:rPr>
        <w:t>办公地址：上海博成路1388号浦银中心A栋</w:t>
      </w:r>
    </w:p>
    <w:p>
      <w:pPr>
        <w:widowControl/>
        <w:adjustRightInd w:val="0"/>
        <w:snapToGrid w:val="0"/>
        <w:spacing w:line="360" w:lineRule="auto"/>
        <w:ind w:firstLine="480" w:firstLineChars="200"/>
        <w:rPr>
          <w:bCs/>
          <w:sz w:val="24"/>
        </w:rPr>
      </w:pPr>
      <w:r>
        <w:rPr>
          <w:rFonts w:hint="eastAsia"/>
          <w:bCs/>
          <w:sz w:val="24"/>
        </w:rPr>
        <w:t>法定代表人：张为忠</w:t>
      </w:r>
    </w:p>
    <w:p>
      <w:pPr>
        <w:widowControl/>
        <w:adjustRightInd w:val="0"/>
        <w:snapToGrid w:val="0"/>
        <w:spacing w:line="360" w:lineRule="auto"/>
        <w:ind w:firstLine="480" w:firstLineChars="200"/>
        <w:rPr>
          <w:bCs/>
          <w:sz w:val="24"/>
        </w:rPr>
      </w:pPr>
      <w:r>
        <w:rPr>
          <w:rFonts w:hint="eastAsia"/>
          <w:bCs/>
          <w:sz w:val="24"/>
        </w:rPr>
        <w:t>成立日期：1992年10月19日</w:t>
      </w:r>
    </w:p>
    <w:p>
      <w:pPr>
        <w:widowControl/>
        <w:adjustRightInd w:val="0"/>
        <w:snapToGrid w:val="0"/>
        <w:spacing w:line="360" w:lineRule="auto"/>
        <w:ind w:firstLine="480" w:firstLineChars="200"/>
        <w:rPr>
          <w:bCs/>
          <w:sz w:val="24"/>
        </w:rPr>
      </w:pPr>
      <w:r>
        <w:rPr>
          <w:rFonts w:hint="eastAsia"/>
          <w:bCs/>
          <w:sz w:val="24"/>
        </w:rPr>
        <w:t>基金托管业务资格批准机关：中国证监会</w:t>
      </w:r>
    </w:p>
    <w:p>
      <w:pPr>
        <w:widowControl/>
        <w:adjustRightInd w:val="0"/>
        <w:snapToGrid w:val="0"/>
        <w:spacing w:line="360" w:lineRule="auto"/>
        <w:ind w:firstLine="480" w:firstLineChars="200"/>
        <w:rPr>
          <w:bCs/>
          <w:sz w:val="24"/>
        </w:rPr>
      </w:pPr>
      <w:r>
        <w:rPr>
          <w:rFonts w:hint="eastAsia"/>
          <w:bCs/>
          <w:sz w:val="24"/>
        </w:rPr>
        <w:t>基金托管业务资格文号：证监基金字[2003]105号</w:t>
      </w:r>
    </w:p>
    <w:p>
      <w:pPr>
        <w:widowControl/>
        <w:adjustRightInd w:val="0"/>
        <w:snapToGrid w:val="0"/>
        <w:spacing w:line="360" w:lineRule="auto"/>
        <w:ind w:firstLine="480" w:firstLineChars="200"/>
        <w:rPr>
          <w:bCs/>
          <w:sz w:val="24"/>
        </w:rPr>
      </w:pPr>
      <w:r>
        <w:rPr>
          <w:rFonts w:hint="eastAsia"/>
          <w:bCs/>
          <w:sz w:val="24"/>
        </w:rPr>
        <w:t>批准设立机关和批准设立文号：中国人民银行银复（1992）350号文</w:t>
      </w:r>
    </w:p>
    <w:p>
      <w:pPr>
        <w:widowControl/>
        <w:adjustRightInd w:val="0"/>
        <w:snapToGrid w:val="0"/>
        <w:spacing w:line="360" w:lineRule="auto"/>
        <w:ind w:firstLine="480" w:firstLineChars="200"/>
        <w:rPr>
          <w:bCs/>
          <w:sz w:val="24"/>
        </w:rPr>
      </w:pPr>
      <w:r>
        <w:rPr>
          <w:rFonts w:hint="eastAsia"/>
          <w:bCs/>
          <w:sz w:val="24"/>
        </w:rPr>
        <w:t>组织形式：股份有限公司（上市）</w:t>
      </w:r>
    </w:p>
    <w:p>
      <w:pPr>
        <w:widowControl/>
        <w:adjustRightInd w:val="0"/>
        <w:snapToGrid w:val="0"/>
        <w:spacing w:line="360" w:lineRule="auto"/>
        <w:ind w:firstLine="480" w:firstLineChars="200"/>
        <w:rPr>
          <w:bCs/>
          <w:sz w:val="24"/>
        </w:rPr>
      </w:pPr>
      <w:r>
        <w:rPr>
          <w:rFonts w:hint="eastAsia"/>
          <w:bCs/>
          <w:sz w:val="24"/>
        </w:rPr>
        <w:t>注册资本：人民币293.52亿元</w:t>
      </w:r>
    </w:p>
    <w:p>
      <w:pPr>
        <w:widowControl/>
        <w:adjustRightInd w:val="0"/>
        <w:snapToGrid w:val="0"/>
        <w:spacing w:line="360" w:lineRule="auto"/>
        <w:ind w:firstLine="480" w:firstLineChars="200"/>
        <w:rPr>
          <w:bCs/>
          <w:sz w:val="24"/>
        </w:rPr>
      </w:pPr>
      <w:r>
        <w:rPr>
          <w:rFonts w:hint="eastAsia"/>
          <w:bCs/>
          <w:sz w:val="24"/>
        </w:rPr>
        <w:t>经营期限：永久存续</w:t>
      </w:r>
    </w:p>
    <w:p>
      <w:pPr>
        <w:adjustRightInd w:val="0"/>
        <w:snapToGrid w:val="0"/>
        <w:spacing w:line="360" w:lineRule="auto"/>
        <w:ind w:firstLine="482"/>
        <w:outlineLvl w:val="1"/>
        <w:rPr>
          <w:b/>
          <w:bCs/>
          <w:sz w:val="24"/>
        </w:rPr>
      </w:pPr>
      <w:r>
        <w:rPr>
          <w:rFonts w:hint="eastAsia"/>
          <w:b/>
          <w:bCs/>
          <w:sz w:val="24"/>
        </w:rPr>
        <w:t>（二）基金托管人对基金管理人的业务监督和核查</w:t>
      </w:r>
    </w:p>
    <w:p>
      <w:pPr>
        <w:widowControl/>
        <w:adjustRightInd w:val="0"/>
        <w:snapToGrid w:val="0"/>
        <w:spacing w:line="360" w:lineRule="auto"/>
        <w:ind w:firstLine="480" w:firstLineChars="200"/>
        <w:rPr>
          <w:bCs/>
          <w:sz w:val="24"/>
        </w:rPr>
      </w:pPr>
      <w:r>
        <w:rPr>
          <w:rFonts w:hint="eastAsia"/>
          <w:bCs/>
          <w:sz w:val="24"/>
        </w:rPr>
        <w:t>1、基金托管人对基金管理人的投资行为行使监督权</w:t>
      </w:r>
    </w:p>
    <w:p>
      <w:pPr>
        <w:widowControl/>
        <w:adjustRightInd w:val="0"/>
        <w:snapToGrid w:val="0"/>
        <w:spacing w:line="360" w:lineRule="auto"/>
        <w:ind w:firstLine="480" w:firstLineChars="200"/>
        <w:rPr>
          <w:bCs/>
          <w:sz w:val="24"/>
        </w:rPr>
      </w:pPr>
      <w:r>
        <w:rPr>
          <w:rFonts w:hint="eastAsia"/>
          <w:bCs/>
          <w:sz w:val="24"/>
        </w:rPr>
        <w:t>（1）</w:t>
      </w:r>
      <w:r>
        <w:rPr>
          <w:bCs/>
          <w:sz w:val="24"/>
        </w:rPr>
        <w:t>基金托管人根据有关法律法规的规定和《基金合同》的约定，对下述基金投资范围、投资对象进行监督。</w:t>
      </w:r>
    </w:p>
    <w:p>
      <w:pPr>
        <w:widowControl/>
        <w:adjustRightInd w:val="0"/>
        <w:snapToGrid w:val="0"/>
        <w:spacing w:line="360" w:lineRule="auto"/>
        <w:ind w:firstLine="480" w:firstLineChars="200"/>
        <w:rPr>
          <w:bCs/>
          <w:sz w:val="24"/>
        </w:rPr>
      </w:pPr>
      <w:bookmarkStart w:id="110" w:name="_Hlk50019036"/>
      <w:r>
        <w:rPr>
          <w:rFonts w:hint="eastAsia"/>
          <w:bCs/>
          <w:sz w:val="24"/>
        </w:rPr>
        <w:t>本基金将投资于以下金融工具：</w:t>
      </w:r>
    </w:p>
    <w:p>
      <w:pPr>
        <w:widowControl/>
        <w:adjustRightInd w:val="0"/>
        <w:snapToGrid w:val="0"/>
        <w:spacing w:line="360" w:lineRule="auto"/>
        <w:ind w:firstLine="480" w:firstLineChars="200"/>
        <w:rPr>
          <w:bCs/>
          <w:sz w:val="24"/>
        </w:rPr>
      </w:pPr>
      <w:r>
        <w:rPr>
          <w:rFonts w:hint="eastAsia"/>
          <w:bCs/>
          <w:sz w:val="24"/>
        </w:rPr>
        <w:t>本基金的投资范围为具有良好流动性的金融工具，包括国内依法发行上市的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widowControl/>
        <w:adjustRightInd w:val="0"/>
        <w:snapToGrid w:val="0"/>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widowControl/>
        <w:adjustRightInd w:val="0"/>
        <w:snapToGrid w:val="0"/>
        <w:spacing w:line="360" w:lineRule="auto"/>
        <w:ind w:firstLine="480" w:firstLineChars="200"/>
        <w:rPr>
          <w:bCs/>
          <w:sz w:val="24"/>
        </w:rPr>
      </w:pPr>
      <w:r>
        <w:rPr>
          <w:rFonts w:hint="eastAsia"/>
          <w:bCs/>
          <w:sz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adjustRightInd w:val="0"/>
        <w:snapToGrid w:val="0"/>
        <w:spacing w:line="360" w:lineRule="auto"/>
        <w:ind w:firstLine="480" w:firstLineChars="200"/>
        <w:rPr>
          <w:bCs/>
          <w:sz w:val="24"/>
        </w:rPr>
      </w:pPr>
      <w:r>
        <w:rPr>
          <w:rFonts w:hint="eastAsia"/>
          <w:bCs/>
          <w:sz w:val="24"/>
        </w:rPr>
        <w:t>本基金不得投资于相关法律、法规、部门规章及《基金合同》禁止投资的投资工具。</w:t>
      </w:r>
    </w:p>
    <w:p>
      <w:pPr>
        <w:widowControl/>
        <w:adjustRightInd w:val="0"/>
        <w:snapToGrid w:val="0"/>
        <w:spacing w:line="360" w:lineRule="auto"/>
        <w:ind w:firstLine="480" w:firstLineChars="200"/>
        <w:rPr>
          <w:bCs/>
          <w:sz w:val="24"/>
        </w:rPr>
      </w:pPr>
      <w:r>
        <w:rPr>
          <w:rFonts w:hint="eastAsia"/>
          <w:bCs/>
          <w:sz w:val="24"/>
        </w:rPr>
        <w:t>（2）</w:t>
      </w:r>
      <w:r>
        <w:rPr>
          <w:bCs/>
          <w:sz w:val="24"/>
        </w:rPr>
        <w:t>基金托管人根据有关法律法规的规定及《基金合同》的约定对下述基金投融资比例进行监督：</w:t>
      </w:r>
    </w:p>
    <w:p>
      <w:pPr>
        <w:widowControl/>
        <w:adjustRightInd w:val="0"/>
        <w:snapToGrid w:val="0"/>
        <w:spacing w:line="360" w:lineRule="auto"/>
        <w:ind w:firstLine="480" w:firstLineChars="200"/>
        <w:rPr>
          <w:bCs/>
          <w:sz w:val="24"/>
        </w:rPr>
      </w:pPr>
      <w:r>
        <w:rPr>
          <w:rFonts w:hint="eastAsia"/>
          <w:bCs/>
          <w:sz w:val="24"/>
        </w:rPr>
        <w:t>A、</w:t>
      </w:r>
      <w:r>
        <w:rPr>
          <w:bCs/>
          <w:sz w:val="24"/>
        </w:rPr>
        <w:t>按法律法规的规定及《基金合同》的约定，本基金的投资资产配置比例为：</w:t>
      </w:r>
    </w:p>
    <w:p>
      <w:pPr>
        <w:widowControl/>
        <w:adjustRightInd w:val="0"/>
        <w:snapToGrid w:val="0"/>
        <w:spacing w:line="360" w:lineRule="auto"/>
        <w:ind w:firstLine="480" w:firstLineChars="200"/>
        <w:rPr>
          <w:bCs/>
          <w:sz w:val="24"/>
        </w:rPr>
      </w:pPr>
      <w:r>
        <w:rPr>
          <w:rFonts w:hint="eastAsia"/>
          <w:bCs/>
          <w:sz w:val="24"/>
        </w:rPr>
        <w:t>基金的投资组合比例为：股票投资（含存托凭证）占基金资产的比例为</w:t>
      </w:r>
      <w:r>
        <w:rPr>
          <w:bCs/>
          <w:sz w:val="24"/>
        </w:rPr>
        <w:t>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widowControl/>
        <w:adjustRightInd w:val="0"/>
        <w:snapToGrid w:val="0"/>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widowControl/>
        <w:adjustRightInd w:val="0"/>
        <w:snapToGrid w:val="0"/>
        <w:spacing w:line="360" w:lineRule="auto"/>
        <w:ind w:firstLine="480" w:firstLineChars="200"/>
        <w:rPr>
          <w:bCs/>
          <w:sz w:val="24"/>
        </w:rPr>
      </w:pPr>
      <w:r>
        <w:rPr>
          <w:rFonts w:hint="eastAsia"/>
          <w:bCs/>
          <w:sz w:val="24"/>
        </w:rPr>
        <w:t>因基金规模或市场变化等因素导致投资组合不符合上述规定的，基金管理人应在合理的期限内调整基金的投资组合，以符合上述比例限定。法律法规另有规定时，从其规定。</w:t>
      </w:r>
    </w:p>
    <w:p>
      <w:pPr>
        <w:widowControl/>
        <w:adjustRightInd w:val="0"/>
        <w:snapToGrid w:val="0"/>
        <w:spacing w:line="360" w:lineRule="auto"/>
        <w:ind w:firstLine="480" w:firstLineChars="200"/>
        <w:rPr>
          <w:bCs/>
          <w:sz w:val="24"/>
        </w:rPr>
      </w:pPr>
      <w:r>
        <w:rPr>
          <w:rFonts w:hint="eastAsia"/>
          <w:bCs/>
          <w:sz w:val="24"/>
        </w:rPr>
        <w:t>B、</w:t>
      </w:r>
      <w:r>
        <w:rPr>
          <w:bCs/>
          <w:sz w:val="24"/>
        </w:rPr>
        <w:t xml:space="preserve">根据法律法规的规定及《基金合同》的约定，本基金投资组合遵循以下投资限制： </w:t>
      </w:r>
    </w:p>
    <w:p>
      <w:pPr>
        <w:widowControl/>
        <w:adjustRightInd w:val="0"/>
        <w:snapToGrid w:val="0"/>
        <w:spacing w:line="360" w:lineRule="auto"/>
        <w:ind w:firstLine="480" w:firstLineChars="200"/>
        <w:rPr>
          <w:bCs/>
          <w:sz w:val="24"/>
        </w:rPr>
      </w:pPr>
      <w:r>
        <w:rPr>
          <w:bCs/>
          <w:sz w:val="24"/>
        </w:rPr>
        <w:t>1）股票投资（含存托凭证）占基金资产的比例为60%-95%，其中投资于港股通标的股票的比例占股票资产的0%-50%；</w:t>
      </w:r>
    </w:p>
    <w:p>
      <w:pPr>
        <w:widowControl/>
        <w:adjustRightInd w:val="0"/>
        <w:snapToGrid w:val="0"/>
        <w:spacing w:line="360" w:lineRule="auto"/>
        <w:ind w:firstLine="480" w:firstLineChars="200"/>
        <w:rPr>
          <w:bCs/>
          <w:sz w:val="24"/>
        </w:rPr>
      </w:pPr>
      <w:r>
        <w:rPr>
          <w:bCs/>
          <w:sz w:val="24"/>
        </w:rPr>
        <w:t>2）每个交易日日终在扣除股指期货合约需缴纳的交易保证金后，本基金持有的现金或者到期日在一年以内的政府债券的</w:t>
      </w:r>
      <w:r>
        <w:rPr>
          <w:rFonts w:hint="eastAsia"/>
          <w:bCs/>
          <w:sz w:val="24"/>
        </w:rPr>
        <w:t>比例合计不低于基金资产净值的</w:t>
      </w:r>
      <w:r>
        <w:rPr>
          <w:bCs/>
          <w:sz w:val="24"/>
        </w:rPr>
        <w:t>5%，其中现金不包括结算备付金、存出保证金、应收申购款等；</w:t>
      </w:r>
    </w:p>
    <w:p>
      <w:pPr>
        <w:widowControl/>
        <w:adjustRightInd w:val="0"/>
        <w:snapToGrid w:val="0"/>
        <w:spacing w:line="360" w:lineRule="auto"/>
        <w:ind w:firstLine="480" w:firstLineChars="200"/>
        <w:rPr>
          <w:bCs/>
          <w:sz w:val="24"/>
        </w:rPr>
      </w:pPr>
      <w:r>
        <w:rPr>
          <w:bCs/>
          <w:sz w:val="24"/>
        </w:rPr>
        <w:t>3）本基金持有一家公司发行的证券（同一家公司在内地和香港同时上市的A+H股合计计算），其市值不超过基金资产净值的10％；</w:t>
      </w:r>
    </w:p>
    <w:p>
      <w:pPr>
        <w:widowControl/>
        <w:adjustRightInd w:val="0"/>
        <w:snapToGrid w:val="0"/>
        <w:spacing w:line="360" w:lineRule="auto"/>
        <w:ind w:firstLine="480" w:firstLineChars="200"/>
        <w:rPr>
          <w:bCs/>
          <w:sz w:val="24"/>
        </w:rPr>
      </w:pPr>
      <w:r>
        <w:rPr>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widowControl/>
        <w:adjustRightInd w:val="0"/>
        <w:snapToGrid w:val="0"/>
        <w:spacing w:line="360" w:lineRule="auto"/>
        <w:ind w:firstLine="480" w:firstLineChars="200"/>
        <w:rPr>
          <w:bCs/>
          <w:sz w:val="24"/>
        </w:rPr>
      </w:pPr>
      <w:r>
        <w:rPr>
          <w:bCs/>
          <w:sz w:val="24"/>
        </w:rPr>
        <w:t>5）本基金投资于同一原始权益人的各类资产支持证券的比例，不得超过基金资产净值的10％；</w:t>
      </w:r>
    </w:p>
    <w:p>
      <w:pPr>
        <w:widowControl/>
        <w:adjustRightInd w:val="0"/>
        <w:snapToGrid w:val="0"/>
        <w:spacing w:line="360" w:lineRule="auto"/>
        <w:ind w:firstLine="480" w:firstLineChars="200"/>
        <w:rPr>
          <w:bCs/>
          <w:sz w:val="24"/>
        </w:rPr>
      </w:pPr>
      <w:r>
        <w:rPr>
          <w:bCs/>
          <w:sz w:val="24"/>
        </w:rPr>
        <w:t>6）本基金持有的全部资产支持证券，其市值不得超过基金资产净值的20％；</w:t>
      </w:r>
    </w:p>
    <w:p>
      <w:pPr>
        <w:widowControl/>
        <w:adjustRightInd w:val="0"/>
        <w:snapToGrid w:val="0"/>
        <w:spacing w:line="360" w:lineRule="auto"/>
        <w:ind w:firstLine="480" w:firstLineChars="200"/>
        <w:rPr>
          <w:bCs/>
          <w:sz w:val="24"/>
        </w:rPr>
      </w:pPr>
      <w:r>
        <w:rPr>
          <w:bCs/>
          <w:sz w:val="24"/>
        </w:rPr>
        <w:t>7）本基金持有的同一（指同一信用级别）资产支持证券的比例，不得超过该资产支持证券规模的10％；</w:t>
      </w:r>
    </w:p>
    <w:p>
      <w:pPr>
        <w:widowControl/>
        <w:adjustRightInd w:val="0"/>
        <w:snapToGrid w:val="0"/>
        <w:spacing w:line="360" w:lineRule="auto"/>
        <w:ind w:firstLine="480" w:firstLineChars="200"/>
        <w:rPr>
          <w:bCs/>
          <w:sz w:val="24"/>
        </w:rPr>
      </w:pPr>
      <w:r>
        <w:rPr>
          <w:bCs/>
          <w:sz w:val="24"/>
        </w:rPr>
        <w:t>8）本基金管理人管理的全部基金投资于同一原始权益人的各类资产支持证券，不得超过其各类资产支持证券合计规模的10％；</w:t>
      </w:r>
    </w:p>
    <w:p>
      <w:pPr>
        <w:widowControl/>
        <w:adjustRightInd w:val="0"/>
        <w:snapToGrid w:val="0"/>
        <w:spacing w:line="360" w:lineRule="auto"/>
        <w:ind w:firstLine="480" w:firstLineChars="200"/>
        <w:rPr>
          <w:bCs/>
          <w:sz w:val="24"/>
        </w:rPr>
      </w:pPr>
      <w:r>
        <w:rPr>
          <w:bCs/>
          <w:sz w:val="24"/>
        </w:rPr>
        <w:t>9）本基金应投资于信用级别评级为BBB以上（含BBB）的资产支持证券。基金持有资产支持证券期间，如果其信用等级下降、不再符合投资标准，应在评级报告发布之日起3个月内予以全部卖出；</w:t>
      </w:r>
    </w:p>
    <w:p>
      <w:pPr>
        <w:widowControl/>
        <w:adjustRightInd w:val="0"/>
        <w:snapToGrid w:val="0"/>
        <w:spacing w:line="360" w:lineRule="auto"/>
        <w:ind w:firstLine="480" w:firstLineChars="200"/>
        <w:rPr>
          <w:bCs/>
          <w:sz w:val="24"/>
        </w:rPr>
      </w:pPr>
      <w:r>
        <w:rPr>
          <w:bCs/>
          <w:sz w:val="24"/>
        </w:rPr>
        <w:t>10）基金财产参与股票发行申购，本基金所申报的金额不超过本基金的总资产，本基金所申报的股票数量不超过拟发行股票公司本次发行股票的总量；</w:t>
      </w:r>
    </w:p>
    <w:p>
      <w:pPr>
        <w:widowControl/>
        <w:adjustRightInd w:val="0"/>
        <w:snapToGrid w:val="0"/>
        <w:spacing w:line="360" w:lineRule="auto"/>
        <w:ind w:firstLine="480" w:firstLineChars="200"/>
        <w:rPr>
          <w:bCs/>
          <w:sz w:val="24"/>
        </w:rPr>
      </w:pP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bCs/>
          <w:sz w:val="24"/>
        </w:rPr>
        <w:t>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widowControl/>
        <w:adjustRightInd w:val="0"/>
        <w:snapToGrid w:val="0"/>
        <w:spacing w:line="360" w:lineRule="auto"/>
        <w:ind w:firstLine="480" w:firstLineChars="200"/>
        <w:rPr>
          <w:bCs/>
          <w:sz w:val="24"/>
        </w:rPr>
      </w:pPr>
      <w:r>
        <w:rPr>
          <w:bCs/>
          <w:sz w:val="24"/>
        </w:rPr>
        <w:t>12</w:t>
      </w:r>
      <w:r>
        <w:rPr>
          <w:rFonts w:hint="eastAsia"/>
          <w:bCs/>
          <w:sz w:val="24"/>
        </w:rPr>
        <w:t>）本基金主动投资于流动性受限资产的市值合计不得超过基金资产净值的</w:t>
      </w:r>
      <w:r>
        <w:rPr>
          <w:bCs/>
          <w:sz w:val="24"/>
        </w:rPr>
        <w:t>15%；因证券市场波动、上市公司股票停牌、基金规模变动等基金管理人之外的因素致使基金不符合该比例限制的，基金管理人不得主动新增流动性受限资产的投资；</w:t>
      </w:r>
    </w:p>
    <w:p>
      <w:pPr>
        <w:widowControl/>
        <w:adjustRightInd w:val="0"/>
        <w:snapToGrid w:val="0"/>
        <w:spacing w:line="360" w:lineRule="auto"/>
        <w:ind w:firstLine="480" w:firstLineChars="200"/>
        <w:rPr>
          <w:bCs/>
          <w:sz w:val="24"/>
        </w:rPr>
      </w:pPr>
      <w:r>
        <w:rPr>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widowControl/>
        <w:adjustRightInd w:val="0"/>
        <w:snapToGrid w:val="0"/>
        <w:spacing w:line="360" w:lineRule="auto"/>
        <w:ind w:firstLine="480" w:firstLineChars="200"/>
        <w:rPr>
          <w:bCs/>
          <w:sz w:val="24"/>
        </w:rPr>
      </w:pPr>
      <w:r>
        <w:rPr>
          <w:bCs/>
          <w:sz w:val="24"/>
        </w:rPr>
        <w:t>14</w:t>
      </w:r>
      <w:r>
        <w:rPr>
          <w:rFonts w:hint="eastAsia"/>
          <w:bCs/>
          <w:sz w:val="24"/>
        </w:rPr>
        <w:t>）本基金参与股指期货交易，则：</w:t>
      </w:r>
    </w:p>
    <w:p>
      <w:pPr>
        <w:widowControl/>
        <w:adjustRightInd w:val="0"/>
        <w:snapToGrid w:val="0"/>
        <w:spacing w:line="360" w:lineRule="auto"/>
        <w:ind w:firstLine="480" w:firstLineChars="200"/>
        <w:rPr>
          <w:bCs/>
          <w:sz w:val="24"/>
        </w:rPr>
      </w:pPr>
      <w:r>
        <w:rPr>
          <w:rFonts w:hint="eastAsia"/>
          <w:bCs/>
          <w:sz w:val="24"/>
        </w:rPr>
        <w:t>①本基金在任何交易日日终，持有的买入股指期货合约价值，不得超过基金资产净值的</w:t>
      </w:r>
      <w:r>
        <w:rPr>
          <w:bCs/>
          <w:sz w:val="24"/>
        </w:rPr>
        <w:t>10%；</w:t>
      </w:r>
    </w:p>
    <w:p>
      <w:pPr>
        <w:widowControl/>
        <w:adjustRightInd w:val="0"/>
        <w:snapToGrid w:val="0"/>
        <w:spacing w:line="360" w:lineRule="auto"/>
        <w:ind w:firstLine="480" w:firstLineChars="200"/>
        <w:rPr>
          <w:bCs/>
          <w:sz w:val="24"/>
        </w:rPr>
      </w:pPr>
      <w:r>
        <w:rPr>
          <w:rFonts w:hint="eastAsia"/>
          <w:bCs/>
          <w:sz w:val="24"/>
        </w:rPr>
        <w:t>②本基金在任何交易日日终，持有的买入股指期货合约价值与有价证券市值之和，不得超过基金资产净值的</w:t>
      </w:r>
      <w:r>
        <w:rPr>
          <w:bCs/>
          <w:sz w:val="24"/>
        </w:rPr>
        <w:t>95%。其中，有价证券指股票、债券（不含到期日在一年以内的政府债券）、资产支持证券、买入返售金融资产（不含质押式回购）等；</w:t>
      </w:r>
    </w:p>
    <w:p>
      <w:pPr>
        <w:widowControl/>
        <w:adjustRightInd w:val="0"/>
        <w:snapToGrid w:val="0"/>
        <w:spacing w:line="360" w:lineRule="auto"/>
        <w:ind w:firstLine="480" w:firstLineChars="200"/>
        <w:rPr>
          <w:bCs/>
          <w:sz w:val="24"/>
        </w:rPr>
      </w:pPr>
      <w:r>
        <w:rPr>
          <w:rFonts w:hint="eastAsia"/>
          <w:bCs/>
          <w:sz w:val="24"/>
        </w:rPr>
        <w:t>③本基金在任何交易日日终，持有的卖出股指期货合约价值不得超过基金持有的股票总市值的</w:t>
      </w:r>
      <w:r>
        <w:rPr>
          <w:bCs/>
          <w:sz w:val="24"/>
        </w:rPr>
        <w:t>20%；</w:t>
      </w:r>
    </w:p>
    <w:p>
      <w:pPr>
        <w:widowControl/>
        <w:adjustRightInd w:val="0"/>
        <w:snapToGrid w:val="0"/>
        <w:spacing w:line="360" w:lineRule="auto"/>
        <w:ind w:firstLine="480" w:firstLineChars="200"/>
        <w:rPr>
          <w:bCs/>
          <w:sz w:val="24"/>
        </w:rPr>
      </w:pPr>
      <w:r>
        <w:rPr>
          <w:rFonts w:hint="eastAsia"/>
          <w:bCs/>
          <w:sz w:val="24"/>
        </w:rPr>
        <w:t>④本基金所持有的股票市值和买入、卖出股指期货合约价值，合计（轧差计算）应当符合基金合同关于股票投资比例的有关约定；</w:t>
      </w:r>
    </w:p>
    <w:p>
      <w:pPr>
        <w:widowControl/>
        <w:adjustRightInd w:val="0"/>
        <w:snapToGrid w:val="0"/>
        <w:spacing w:line="360" w:lineRule="auto"/>
        <w:ind w:firstLine="480" w:firstLineChars="200"/>
        <w:rPr>
          <w:bCs/>
          <w:sz w:val="24"/>
        </w:rPr>
      </w:pPr>
      <w:r>
        <w:rPr>
          <w:rFonts w:hint="eastAsia"/>
          <w:bCs/>
          <w:sz w:val="24"/>
        </w:rPr>
        <w:t>⑤本基金在任何交易日内交易（不包括平仓）的股指期货合约的成交金额不得超过上一交易日基金资产净值的</w:t>
      </w:r>
      <w:r>
        <w:rPr>
          <w:bCs/>
          <w:sz w:val="24"/>
        </w:rPr>
        <w:t>20%；</w:t>
      </w:r>
    </w:p>
    <w:p>
      <w:pPr>
        <w:widowControl/>
        <w:adjustRightInd w:val="0"/>
        <w:snapToGrid w:val="0"/>
        <w:spacing w:line="360" w:lineRule="auto"/>
        <w:ind w:firstLine="480" w:firstLineChars="200"/>
        <w:rPr>
          <w:bCs/>
          <w:sz w:val="24"/>
        </w:rPr>
      </w:pPr>
      <w:r>
        <w:rPr>
          <w:bCs/>
          <w:sz w:val="24"/>
        </w:rPr>
        <w:t>15</w:t>
      </w:r>
      <w:r>
        <w:rPr>
          <w:rFonts w:hint="eastAsia"/>
          <w:bCs/>
          <w:sz w:val="24"/>
        </w:rPr>
        <w:t>）本基金资产总值不超过基金资产净值的</w:t>
      </w:r>
      <w:r>
        <w:rPr>
          <w:bCs/>
          <w:sz w:val="24"/>
        </w:rPr>
        <w:t>140%；</w:t>
      </w:r>
    </w:p>
    <w:p>
      <w:pPr>
        <w:widowControl/>
        <w:adjustRightInd w:val="0"/>
        <w:snapToGrid w:val="0"/>
        <w:spacing w:line="360" w:lineRule="auto"/>
        <w:ind w:firstLine="480" w:firstLineChars="200"/>
        <w:rPr>
          <w:bCs/>
          <w:sz w:val="24"/>
        </w:rPr>
      </w:pPr>
      <w:r>
        <w:rPr>
          <w:bCs/>
          <w:sz w:val="24"/>
        </w:rPr>
        <w:t>16</w:t>
      </w:r>
      <w:r>
        <w:rPr>
          <w:rFonts w:hint="eastAsia"/>
          <w:bCs/>
          <w:sz w:val="24"/>
        </w:rPr>
        <w:t>）本基金投资存托凭证的比例限制依照境内上市交易的股票执行；</w:t>
      </w:r>
    </w:p>
    <w:p>
      <w:pPr>
        <w:widowControl/>
        <w:adjustRightInd w:val="0"/>
        <w:snapToGrid w:val="0"/>
        <w:spacing w:line="360" w:lineRule="auto"/>
        <w:ind w:firstLine="480" w:firstLineChars="200"/>
        <w:rPr>
          <w:bCs/>
          <w:sz w:val="24"/>
        </w:rPr>
      </w:pPr>
      <w:r>
        <w:rPr>
          <w:bCs/>
          <w:sz w:val="24"/>
        </w:rPr>
        <w:t>17</w:t>
      </w:r>
      <w:r>
        <w:rPr>
          <w:rFonts w:hint="eastAsia"/>
          <w:bCs/>
          <w:sz w:val="24"/>
        </w:rPr>
        <w:t>）法律法规及中国证监会规定的和《基金合同》约定的其他投资限制。</w:t>
      </w:r>
    </w:p>
    <w:p>
      <w:pPr>
        <w:widowControl/>
        <w:adjustRightInd w:val="0"/>
        <w:snapToGrid w:val="0"/>
        <w:spacing w:line="360" w:lineRule="auto"/>
        <w:ind w:firstLine="480" w:firstLineChars="200"/>
        <w:rPr>
          <w:bCs/>
          <w:sz w:val="24"/>
        </w:rPr>
      </w:pPr>
      <w:r>
        <w:rPr>
          <w:rFonts w:hint="eastAsia"/>
          <w:bCs/>
          <w:sz w:val="24"/>
        </w:rPr>
        <w:t>除上述</w:t>
      </w:r>
      <w:r>
        <w:rPr>
          <w:bCs/>
          <w:sz w:val="24"/>
        </w:rPr>
        <w:t>2）、9）、12</w:t>
      </w:r>
      <w:r>
        <w:rPr>
          <w:rFonts w:hint="eastAsia"/>
          <w:bCs/>
          <w:sz w:val="24"/>
        </w:rPr>
        <w:t>）、</w:t>
      </w:r>
      <w:r>
        <w:rPr>
          <w:bCs/>
          <w:sz w:val="24"/>
        </w:rPr>
        <w:t>13</w:t>
      </w:r>
      <w:r>
        <w:rPr>
          <w:rFonts w:hint="eastAsia"/>
          <w:bCs/>
          <w:sz w:val="24"/>
        </w:rPr>
        <w:t>）情形之外，因证券、期货市场波动、证券发行人合并、基金规模变动等基金管理人之外的因素致使基金投资比例不符合上述规定投资比例的，基金管理人应当在</w:t>
      </w:r>
      <w:r>
        <w:rPr>
          <w:bCs/>
          <w:sz w:val="24"/>
        </w:rPr>
        <w:t>10个交易日内进行调整，但中国证监会规定的特殊情形除外。法律法规另有规定的，从其规定。</w:t>
      </w:r>
    </w:p>
    <w:p>
      <w:pPr>
        <w:widowControl/>
        <w:adjustRightInd w:val="0"/>
        <w:snapToGrid w:val="0"/>
        <w:spacing w:line="360" w:lineRule="auto"/>
        <w:ind w:firstLine="480" w:firstLineChars="200"/>
        <w:rPr>
          <w:bCs/>
          <w:sz w:val="24"/>
        </w:rPr>
      </w:pPr>
      <w:r>
        <w:rPr>
          <w:rFonts w:hint="eastAsia"/>
          <w:bCs/>
          <w:sz w:val="24"/>
        </w:rPr>
        <w:t>基金管理人应当自基金合同生效之日起</w:t>
      </w:r>
      <w:r>
        <w:rPr>
          <w:bCs/>
          <w:sz w:val="24"/>
        </w:rPr>
        <w:t>6个月内使基金的投资组合比例符合基金合同的有关约定。在上述期间内，本基金的投资范围、投资策略应当符合基金合同的约定。基金托管人对基金的投资的监督与检查自基金合同生效之日起开始。</w:t>
      </w:r>
    </w:p>
    <w:p>
      <w:pPr>
        <w:widowControl/>
        <w:adjustRightInd w:val="0"/>
        <w:snapToGrid w:val="0"/>
        <w:spacing w:line="360" w:lineRule="auto"/>
        <w:ind w:firstLine="480" w:firstLineChars="200"/>
        <w:rPr>
          <w:bCs/>
          <w:sz w:val="24"/>
        </w:rPr>
      </w:pPr>
      <w:r>
        <w:rPr>
          <w:rFonts w:hint="eastAsia"/>
          <w:bCs/>
          <w:sz w:val="24"/>
        </w:rPr>
        <w:t>法律法规或监管部门取消或者变更上述限制，如适用于本基金，基金管理人在履行适当程序后，则本基金投资不再受相关限制或以变更后的规定为准。</w:t>
      </w:r>
    </w:p>
    <w:bookmarkEnd w:id="110"/>
    <w:p>
      <w:pPr>
        <w:widowControl/>
        <w:adjustRightInd w:val="0"/>
        <w:snapToGrid w:val="0"/>
        <w:spacing w:line="360" w:lineRule="auto"/>
        <w:ind w:firstLine="480" w:firstLineChars="200"/>
        <w:rPr>
          <w:bCs/>
          <w:sz w:val="24"/>
        </w:rPr>
      </w:pPr>
      <w:r>
        <w:rPr>
          <w:rFonts w:hint="eastAsia"/>
          <w:bCs/>
          <w:sz w:val="24"/>
        </w:rPr>
        <w:t xml:space="preserve">（3）基金托管人根据有关法律法规的规定及《基金合同》的约定对下述基金投资禁止行为进行监督： </w:t>
      </w:r>
    </w:p>
    <w:p>
      <w:pPr>
        <w:widowControl/>
        <w:adjustRightInd w:val="0"/>
        <w:snapToGrid w:val="0"/>
        <w:spacing w:line="360" w:lineRule="auto"/>
        <w:ind w:firstLine="480" w:firstLineChars="200"/>
        <w:rPr>
          <w:bCs/>
          <w:sz w:val="24"/>
        </w:rPr>
      </w:pPr>
      <w:r>
        <w:rPr>
          <w:rFonts w:hint="eastAsia"/>
          <w:bCs/>
          <w:sz w:val="24"/>
        </w:rPr>
        <w:t>根据法律法规的规定及《基金合同》的约定，本基金禁止从事下列行为：</w:t>
      </w:r>
    </w:p>
    <w:p>
      <w:pPr>
        <w:widowControl/>
        <w:adjustRightInd w:val="0"/>
        <w:snapToGrid w:val="0"/>
        <w:spacing w:line="360" w:lineRule="auto"/>
        <w:ind w:firstLine="480" w:firstLineChars="200"/>
        <w:rPr>
          <w:bCs/>
          <w:sz w:val="24"/>
        </w:rPr>
      </w:pPr>
      <w:r>
        <w:rPr>
          <w:rFonts w:hint="eastAsia"/>
          <w:bCs/>
          <w:sz w:val="24"/>
        </w:rPr>
        <w:t>1）承销证券；</w:t>
      </w:r>
    </w:p>
    <w:p>
      <w:pPr>
        <w:widowControl/>
        <w:adjustRightInd w:val="0"/>
        <w:snapToGrid w:val="0"/>
        <w:spacing w:line="360" w:lineRule="auto"/>
        <w:ind w:firstLine="480" w:firstLineChars="200"/>
        <w:rPr>
          <w:bCs/>
          <w:sz w:val="24"/>
        </w:rPr>
      </w:pPr>
      <w:r>
        <w:rPr>
          <w:rFonts w:hint="eastAsia"/>
          <w:bCs/>
          <w:sz w:val="24"/>
        </w:rPr>
        <w:t>2）违反规定向他人贷款或者提供担保；</w:t>
      </w:r>
    </w:p>
    <w:p>
      <w:pPr>
        <w:widowControl/>
        <w:adjustRightInd w:val="0"/>
        <w:snapToGrid w:val="0"/>
        <w:spacing w:line="360" w:lineRule="auto"/>
        <w:ind w:firstLine="480" w:firstLineChars="200"/>
        <w:rPr>
          <w:bCs/>
          <w:sz w:val="24"/>
        </w:rPr>
      </w:pPr>
      <w:r>
        <w:rPr>
          <w:rFonts w:hint="eastAsia"/>
          <w:bCs/>
          <w:sz w:val="24"/>
        </w:rPr>
        <w:t>3）从事承担无限责任的投资；</w:t>
      </w:r>
    </w:p>
    <w:p>
      <w:pPr>
        <w:widowControl/>
        <w:adjustRightInd w:val="0"/>
        <w:snapToGrid w:val="0"/>
        <w:spacing w:line="360" w:lineRule="auto"/>
        <w:ind w:firstLine="480" w:firstLineChars="200"/>
        <w:rPr>
          <w:bCs/>
          <w:sz w:val="24"/>
        </w:rPr>
      </w:pPr>
      <w:r>
        <w:rPr>
          <w:rFonts w:hint="eastAsia"/>
          <w:bCs/>
          <w:sz w:val="24"/>
        </w:rPr>
        <w:t>4）买卖其他基金份额，但是中国证监会另有规定的除外；</w:t>
      </w:r>
    </w:p>
    <w:p>
      <w:pPr>
        <w:widowControl/>
        <w:adjustRightInd w:val="0"/>
        <w:snapToGrid w:val="0"/>
        <w:spacing w:line="360" w:lineRule="auto"/>
        <w:ind w:firstLine="480" w:firstLineChars="200"/>
        <w:rPr>
          <w:bCs/>
          <w:sz w:val="24"/>
        </w:rPr>
      </w:pPr>
      <w:r>
        <w:rPr>
          <w:rFonts w:hint="eastAsia"/>
          <w:bCs/>
          <w:sz w:val="24"/>
        </w:rPr>
        <w:t>5）向其基金管理人、基金托管人出资；</w:t>
      </w:r>
    </w:p>
    <w:p>
      <w:pPr>
        <w:widowControl/>
        <w:adjustRightInd w:val="0"/>
        <w:snapToGrid w:val="0"/>
        <w:spacing w:line="360" w:lineRule="auto"/>
        <w:ind w:firstLine="480" w:firstLineChars="200"/>
        <w:rPr>
          <w:bCs/>
          <w:sz w:val="24"/>
        </w:rPr>
      </w:pPr>
      <w:r>
        <w:rPr>
          <w:rFonts w:hint="eastAsia"/>
          <w:bCs/>
          <w:sz w:val="24"/>
        </w:rPr>
        <w:t>6）从事内幕交易、操纵证券交易价格及其他不正当的证券交易活动；</w:t>
      </w:r>
    </w:p>
    <w:p>
      <w:pPr>
        <w:widowControl/>
        <w:adjustRightInd w:val="0"/>
        <w:snapToGrid w:val="0"/>
        <w:spacing w:line="360" w:lineRule="auto"/>
        <w:ind w:firstLine="480" w:firstLineChars="200"/>
        <w:rPr>
          <w:bCs/>
          <w:sz w:val="24"/>
        </w:rPr>
      </w:pPr>
      <w:r>
        <w:rPr>
          <w:rFonts w:hint="eastAsia"/>
          <w:bCs/>
          <w:sz w:val="24"/>
        </w:rPr>
        <w:t>7）法律、行政法规和中国证监会规定禁止的其他活动。</w:t>
      </w:r>
    </w:p>
    <w:p>
      <w:pPr>
        <w:widowControl/>
        <w:adjustRightInd w:val="0"/>
        <w:snapToGrid w:val="0"/>
        <w:spacing w:line="360" w:lineRule="auto"/>
        <w:ind w:firstLine="480" w:firstLineChars="200"/>
        <w:rPr>
          <w:bCs/>
          <w:sz w:val="24"/>
        </w:rPr>
      </w:pPr>
      <w:r>
        <w:rPr>
          <w:rFonts w:hint="eastAsia"/>
          <w:bCs/>
          <w:sz w:val="24"/>
        </w:rPr>
        <w:t>如法律、行政法规或监管部门取消或变更上述禁止性规定，如适用于本基金，基金管理人在履行适当程序后，本基金可不受上述规定的限制或以变更后的规定为准。</w:t>
      </w:r>
    </w:p>
    <w:p>
      <w:pPr>
        <w:widowControl/>
        <w:adjustRightInd w:val="0"/>
        <w:snapToGrid w:val="0"/>
        <w:spacing w:line="360" w:lineRule="auto"/>
        <w:ind w:firstLine="480" w:firstLineChars="200"/>
        <w:rPr>
          <w:bCs/>
          <w:sz w:val="24"/>
        </w:rPr>
      </w:pPr>
      <w:r>
        <w:rPr>
          <w:rFonts w:hint="eastAsia"/>
          <w:bCs/>
          <w:sz w:val="24"/>
        </w:rPr>
        <w:t>（4）基金托管人依据有关法律法规的规定和《基金合同》的约定对于基金关联投资限制进行监督。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基金合同》有关于基金从事关联交易的规定，基金管理人和基金托管人事先相互提供关联方清单及关联关系（以下称“关联交易名单”）。双方有责任确保向对方提供的关联交易名单的真实性、准确性、完整性，并负责及时将更新后的名单发送给对方。名单变更后双方应及时发送对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（5）基金托管人依据有关法律法规的规定和《基金合同》的约定对基金管理人参与银行间债券市场进行监督。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基金托管人根据基金管理人提供的银行间债券市场交易对手名单进行监督。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（6）基金托管人依据有关法律法规的规定和《基金合同》的约定，对基金银行存款业务进行监督。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（7）基金托管人对基金投资流通受限证券的监督</w:t>
      </w:r>
    </w:p>
    <w:p>
      <w:pPr>
        <w:adjustRightInd w:val="0"/>
        <w:snapToGrid w:val="0"/>
        <w:spacing w:line="360" w:lineRule="auto"/>
        <w:ind w:firstLine="482"/>
        <w:rPr>
          <w:rFonts w:ascii="宋体" w:hAnsi="宋体"/>
          <w:sz w:val="24"/>
          <w:szCs w:val="24"/>
        </w:rPr>
      </w:pPr>
      <w:r>
        <w:rPr>
          <w:rFonts w:hint="eastAsia" w:ascii="宋体" w:hAnsi="宋体"/>
          <w:sz w:val="24"/>
          <w:szCs w:val="24"/>
        </w:rPr>
        <w:t>如下所指“流通受限证券”与本协议以及基金合同所指“流动性受限资产”定义存在不同。就流动性受限资产定义，请参照基金合同的“第二部分 释义”部分。</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相应责任。如因基金管理人原因导致本基金出现损失的，基金托管人不承担相应责任。</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应在基金投资非公开发行股票后按照相关法律法规规定，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2"/>
        <w:rPr>
          <w:rFonts w:ascii="宋体" w:hAnsi="宋体"/>
          <w:sz w:val="24"/>
          <w:szCs w:val="24"/>
        </w:rPr>
      </w:pPr>
      <w:r>
        <w:rPr>
          <w:rFonts w:hint="eastAsia" w:ascii="宋体" w:hAnsi="宋体"/>
          <w:sz w:val="24"/>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adjustRightInd w:val="0"/>
        <w:snapToGrid w:val="0"/>
        <w:spacing w:line="360" w:lineRule="auto"/>
        <w:ind w:firstLine="482"/>
        <w:rPr>
          <w:rFonts w:ascii="宋体" w:hAnsi="宋体"/>
          <w:sz w:val="24"/>
          <w:szCs w:val="24"/>
        </w:rPr>
      </w:pPr>
      <w:r>
        <w:rPr>
          <w:rFonts w:hint="eastAsia" w:ascii="宋体" w:hAnsi="宋体"/>
          <w:sz w:val="24"/>
          <w:szCs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pPr>
        <w:adjustRightInd w:val="0"/>
        <w:snapToGrid w:val="0"/>
        <w:spacing w:line="360" w:lineRule="auto"/>
        <w:ind w:firstLine="482"/>
        <w:rPr>
          <w:rFonts w:ascii="宋体" w:hAnsi="宋体"/>
          <w:sz w:val="24"/>
          <w:szCs w:val="24"/>
        </w:rPr>
      </w:pPr>
      <w:r>
        <w:rPr>
          <w:rFonts w:hint="eastAsia" w:ascii="宋体" w:hAnsi="宋体"/>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adjustRightInd w:val="0"/>
        <w:snapToGrid w:val="0"/>
        <w:spacing w:line="360" w:lineRule="auto"/>
        <w:ind w:firstLine="482"/>
        <w:rPr>
          <w:rFonts w:ascii="宋体" w:hAnsi="宋体"/>
          <w:sz w:val="24"/>
          <w:szCs w:val="24"/>
        </w:rPr>
      </w:pPr>
      <w:r>
        <w:rPr>
          <w:rFonts w:hint="eastAsia" w:ascii="宋体" w:hAnsi="宋体"/>
          <w:sz w:val="24"/>
          <w:szCs w:val="24"/>
        </w:rPr>
        <w:t>①中国证监会批准发行非公开发行股票的批准文件。</w:t>
      </w:r>
    </w:p>
    <w:p>
      <w:pPr>
        <w:adjustRightInd w:val="0"/>
        <w:snapToGrid w:val="0"/>
        <w:spacing w:line="360" w:lineRule="auto"/>
        <w:ind w:firstLine="482"/>
        <w:rPr>
          <w:rFonts w:ascii="宋体" w:hAnsi="宋体"/>
          <w:sz w:val="24"/>
          <w:szCs w:val="24"/>
        </w:rPr>
      </w:pPr>
      <w:r>
        <w:rPr>
          <w:rFonts w:hint="eastAsia" w:ascii="宋体" w:hAnsi="宋体"/>
          <w:sz w:val="24"/>
          <w:szCs w:val="24"/>
        </w:rPr>
        <w:t>②有关非公开发行股票的发行数量、发行价格、锁定期等发行资料。</w:t>
      </w:r>
    </w:p>
    <w:p>
      <w:pPr>
        <w:adjustRightInd w:val="0"/>
        <w:snapToGrid w:val="0"/>
        <w:spacing w:line="360" w:lineRule="auto"/>
        <w:ind w:firstLine="482"/>
        <w:rPr>
          <w:rFonts w:ascii="宋体" w:hAnsi="宋体"/>
          <w:sz w:val="24"/>
          <w:szCs w:val="24"/>
        </w:rPr>
      </w:pPr>
      <w:r>
        <w:rPr>
          <w:rFonts w:hint="eastAsia" w:ascii="宋体" w:hAnsi="宋体"/>
          <w:sz w:val="24"/>
          <w:szCs w:val="24"/>
        </w:rPr>
        <w:t>③基金拟认购的数量、价格、总成本、账面价值。</w:t>
      </w:r>
    </w:p>
    <w:p>
      <w:pPr>
        <w:adjustRightInd w:val="0"/>
        <w:snapToGrid w:val="0"/>
        <w:spacing w:line="360" w:lineRule="auto"/>
        <w:ind w:firstLine="482"/>
        <w:rPr>
          <w:rFonts w:ascii="宋体" w:hAnsi="宋体"/>
          <w:sz w:val="24"/>
          <w:szCs w:val="24"/>
        </w:rPr>
      </w:pPr>
      <w:r>
        <w:rPr>
          <w:rFonts w:hint="eastAsia" w:ascii="宋体" w:hAnsi="宋体"/>
          <w:sz w:val="24"/>
          <w:szCs w:val="24"/>
        </w:rPr>
        <w:t>④该基金投资流通受限证券的投资额度和投资比例控制。</w:t>
      </w:r>
    </w:p>
    <w:p>
      <w:pPr>
        <w:adjustRightInd w:val="0"/>
        <w:snapToGrid w:val="0"/>
        <w:spacing w:line="360" w:lineRule="auto"/>
        <w:ind w:firstLine="482"/>
        <w:rPr>
          <w:rFonts w:ascii="宋体" w:hAnsi="宋体"/>
          <w:sz w:val="24"/>
          <w:szCs w:val="24"/>
        </w:rPr>
      </w:pPr>
      <w:r>
        <w:rPr>
          <w:rFonts w:hint="eastAsia" w:ascii="宋体" w:hAnsi="宋体"/>
          <w:sz w:val="24"/>
          <w:szCs w:val="24"/>
        </w:rPr>
        <w:t>⑤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相应责任，并有权报告中国证监会。</w:t>
      </w:r>
    </w:p>
    <w:p>
      <w:pPr>
        <w:adjustRightInd w:val="0"/>
        <w:snapToGrid w:val="0"/>
        <w:spacing w:line="360" w:lineRule="auto"/>
        <w:ind w:firstLine="482"/>
        <w:rPr>
          <w:rFonts w:ascii="宋体" w:hAnsi="宋体"/>
          <w:sz w:val="24"/>
          <w:szCs w:val="24"/>
        </w:rPr>
      </w:pPr>
      <w:r>
        <w:rPr>
          <w:rFonts w:hint="eastAsia" w:ascii="宋体" w:hAnsi="宋体"/>
          <w:sz w:val="24"/>
          <w:szCs w:val="24"/>
        </w:rPr>
        <w:t>如基金管理人和基金托管人无法就上述问题达成一致，应及时上报中国证监会请求解决。基金托管人履行了本协议规定的监督职责后，不承担相应责任。</w:t>
      </w:r>
    </w:p>
    <w:p>
      <w:pPr>
        <w:adjustRightInd w:val="0"/>
        <w:snapToGrid w:val="0"/>
        <w:spacing w:line="360" w:lineRule="auto"/>
        <w:ind w:firstLine="482"/>
        <w:rPr>
          <w:rFonts w:ascii="宋体" w:hAnsi="宋体"/>
          <w:sz w:val="24"/>
          <w:szCs w:val="24"/>
        </w:rPr>
      </w:pPr>
      <w:r>
        <w:rPr>
          <w:rFonts w:hint="eastAsia" w:ascii="宋体" w:hAnsi="宋体"/>
          <w:sz w:val="24"/>
          <w:szCs w:val="24"/>
        </w:rPr>
        <w:t>⑥相关法律法规对基金投资流通受限证券有新规定的，从其规定。</w:t>
      </w:r>
    </w:p>
    <w:p>
      <w:pPr>
        <w:adjustRightInd w:val="0"/>
        <w:snapToGrid w:val="0"/>
        <w:spacing w:line="360" w:lineRule="auto"/>
        <w:ind w:firstLine="480"/>
        <w:rPr>
          <w:rFonts w:ascii="宋体" w:hAnsi="宋体"/>
          <w:sz w:val="24"/>
          <w:szCs w:val="24"/>
        </w:rPr>
      </w:pPr>
      <w:r>
        <w:rPr>
          <w:rFonts w:hint="eastAsia" w:ascii="宋体" w:hAnsi="宋体"/>
          <w:sz w:val="24"/>
          <w:szCs w:val="24"/>
        </w:rPr>
        <w:t>（8）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相应责任。如因基金管理人原因导致基金出现损失的，基金托管人不承担相应责任。</w:t>
      </w:r>
    </w:p>
    <w:p>
      <w:pPr>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pPr>
        <w:adjustRightInd w:val="0"/>
        <w:snapToGrid w:val="0"/>
        <w:spacing w:line="360" w:lineRule="auto"/>
        <w:ind w:firstLine="480"/>
        <w:rPr>
          <w:rFonts w:ascii="宋体" w:hAnsi="宋体"/>
          <w:sz w:val="24"/>
          <w:szCs w:val="24"/>
        </w:rPr>
      </w:pPr>
      <w:r>
        <w:rPr>
          <w:rFonts w:hint="eastAsia" w:ascii="宋体" w:hAnsi="宋体"/>
          <w:sz w:val="24"/>
          <w:szCs w:val="24"/>
        </w:rPr>
        <w:t>在限期内，基金托管人有权随时对通知事项进行复查，督促基金管理人改正。基金管理人对基金托管人通知的违规事项未能在限期内纠正的，基金托管人应报告中国证监会。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pPr>
        <w:adjustRightInd w:val="0"/>
        <w:snapToGrid w:val="0"/>
        <w:spacing w:line="360" w:lineRule="auto"/>
        <w:ind w:firstLine="480"/>
        <w:rPr>
          <w:rFonts w:ascii="宋体" w:hAnsi="宋体"/>
          <w:sz w:val="24"/>
          <w:szCs w:val="24"/>
        </w:rPr>
      </w:pPr>
      <w:r>
        <w:rPr>
          <w:rFonts w:hint="eastAsia" w:ascii="宋体" w:hAnsi="宋体"/>
          <w:sz w:val="24"/>
          <w:szCs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adjustRightInd w:val="0"/>
        <w:snapToGrid w:val="0"/>
        <w:spacing w:line="360" w:lineRule="auto"/>
        <w:ind w:firstLine="480"/>
        <w:rPr>
          <w:rFonts w:ascii="宋体" w:hAnsi="宋体"/>
          <w:sz w:val="24"/>
          <w:szCs w:val="24"/>
        </w:rPr>
      </w:pPr>
      <w:r>
        <w:rPr>
          <w:rFonts w:hint="eastAsia" w:ascii="宋体" w:hAnsi="宋体"/>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基金托管人发现基金管理人有重大违规行为，应立即报告中国证监会，同时通知基金管理人限期纠正。</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djustRightInd w:val="0"/>
        <w:snapToGrid w:val="0"/>
        <w:spacing w:line="360" w:lineRule="auto"/>
        <w:ind w:firstLine="482"/>
        <w:outlineLvl w:val="1"/>
        <w:rPr>
          <w:b/>
          <w:bCs/>
          <w:sz w:val="24"/>
        </w:rPr>
      </w:pPr>
      <w:r>
        <w:rPr>
          <w:rFonts w:hint="eastAsia"/>
          <w:b/>
          <w:bCs/>
          <w:sz w:val="24"/>
        </w:rPr>
        <w:t>（三）基金管理人对基金托管人的业务核查</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基金托管人应积极配合基金管理人的核查行为，包括但不限于：提交相关资料以供基金管理人核查托管财产的完整性和真实性，在规定时间内答复基金管理人并改正。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djustRightInd w:val="0"/>
        <w:snapToGrid w:val="0"/>
        <w:spacing w:line="360" w:lineRule="auto"/>
        <w:ind w:firstLine="482"/>
        <w:outlineLvl w:val="1"/>
        <w:rPr>
          <w:b/>
          <w:bCs/>
          <w:sz w:val="24"/>
        </w:rPr>
      </w:pPr>
      <w:r>
        <w:rPr>
          <w:rFonts w:hint="eastAsia"/>
          <w:b/>
          <w:bCs/>
          <w:sz w:val="24"/>
        </w:rPr>
        <w:t>（四）基金财产保管</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szCs w:val="24"/>
        </w:rPr>
        <w:t>基金财产应独立于基金管理人、基金托管人的固有财产。</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szCs w:val="24"/>
        </w:rPr>
        <w:t>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szCs w:val="24"/>
        </w:rPr>
        <w:t>基金托管人按照规定为托管的基金财产开设资金账户、证券账户、期货结算账户及投资所需其他账户。</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szCs w:val="24"/>
        </w:rPr>
        <w:t>基金托管人对所托管的不同基金财产分别设置账户，与基金托管人的其他业务和其他基金的托管业务实行严格的分账管理，确保基金财产的完整与独立。</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5</w:t>
      </w:r>
      <w:r>
        <w:rPr>
          <w:rFonts w:hint="eastAsia"/>
          <w:color w:val="0D0D0D"/>
          <w:sz w:val="24"/>
          <w:szCs w:val="24"/>
        </w:rPr>
        <w:t>）</w:t>
      </w:r>
      <w:r>
        <w:rPr>
          <w:rFonts w:hint="eastAsia" w:ascii="宋体" w:hAnsi="宋体"/>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（6）除依据法律法规和基金合同的规定外，基金托管人不得委托第三人托管基金财产。</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2、募集资金的验证</w:t>
      </w:r>
    </w:p>
    <w:p>
      <w:pPr>
        <w:adjustRightInd w:val="0"/>
        <w:snapToGrid w:val="0"/>
        <w:spacing w:line="360" w:lineRule="auto"/>
        <w:ind w:firstLine="482"/>
        <w:rPr>
          <w:rFonts w:ascii="宋体" w:hAnsi="宋体"/>
          <w:sz w:val="24"/>
          <w:szCs w:val="24"/>
        </w:rPr>
      </w:pPr>
      <w:r>
        <w:rPr>
          <w:rFonts w:hint="eastAsia" w:ascii="宋体" w:hAnsi="宋体"/>
          <w:sz w:val="24"/>
          <w:szCs w:val="24"/>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adjustRightInd w:val="0"/>
        <w:snapToGrid w:val="0"/>
        <w:spacing w:line="360" w:lineRule="auto"/>
        <w:ind w:firstLine="482"/>
        <w:rPr>
          <w:rFonts w:ascii="宋体" w:hAnsi="宋体"/>
          <w:sz w:val="24"/>
          <w:szCs w:val="24"/>
        </w:rPr>
      </w:pPr>
      <w:r>
        <w:rPr>
          <w:rFonts w:hint="eastAsia" w:ascii="宋体" w:hAnsi="宋体"/>
          <w:sz w:val="24"/>
          <w:szCs w:val="24"/>
        </w:rPr>
        <w:t>若基金募集期限届满，未能达到《基金合同》生效的条件，由基金管理人按规定办理退款事宜，基金托管人应提供充分协助。</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3、基金资产托管专户的开立和管理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以基金的名义在其营业机构开设资产托管专户（亦称托管账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一切货币收支活动，均需通过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资产托管专户的管理应符合《人民币银行结算账户管理办法》、《人民币利率管理规定》、《支付结算办法》以及银行业监督管理机构的其他有关规定。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4、基金证券账户与结算备付金账户的开设和管理</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基金托管人以基金托管人和本基金联名的方式在中国证券登记结算有限责任公司上海分公司/深圳分公司开立专门的证券账户。</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基金证券账户的开立和原始开户材料的保管由基金托管人负责，账户资产的管理和运用由基金管理人负责。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5、银行间市场债券托管和资金结算专户的开立和管理及市场准入备案</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6、其他账户的开设和管理</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szCs w:val="24"/>
        </w:rPr>
        <w:t>因业务发展而需要开立的其它账户，可以根据《基金合同》或有关法律法规的规定，经基金管理人和基金托管人协商一致后，由基金托管人负责为基金开立。新账户按有关规则使用并管理。</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szCs w:val="24"/>
        </w:rPr>
        <w:t>法律、法规等有关规定对相关账户的开立和管理另有规定的，从其规定办理。</w:t>
      </w:r>
    </w:p>
    <w:p>
      <w:pPr>
        <w:adjustRightInd w:val="0"/>
        <w:snapToGrid w:val="0"/>
        <w:spacing w:line="360" w:lineRule="auto"/>
        <w:ind w:firstLine="482"/>
        <w:outlineLvl w:val="2"/>
        <w:rPr>
          <w:rFonts w:ascii="宋体" w:hAnsi="宋体"/>
          <w:sz w:val="24"/>
          <w:szCs w:val="24"/>
        </w:rPr>
      </w:pPr>
      <w:r>
        <w:rPr>
          <w:rFonts w:ascii="宋体" w:hAnsi="宋体"/>
          <w:sz w:val="24"/>
          <w:szCs w:val="24"/>
        </w:rPr>
        <w:t>7</w:t>
      </w:r>
      <w:r>
        <w:rPr>
          <w:rFonts w:hint="eastAsia" w:ascii="宋体" w:hAnsi="宋体"/>
          <w:sz w:val="24"/>
          <w:szCs w:val="24"/>
        </w:rPr>
        <w:t>、基金投资银行存款账户的开立和管理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基金投资银行定期存款，基金管理人与基金托管人应比照相关规定，就本基金投资银行存款业务签订书面协议。</w:t>
      </w:r>
    </w:p>
    <w:p>
      <w:pPr>
        <w:adjustRightInd w:val="0"/>
        <w:snapToGrid w:val="0"/>
        <w:spacing w:line="360" w:lineRule="auto"/>
        <w:ind w:firstLine="482"/>
        <w:rPr>
          <w:rFonts w:ascii="宋体" w:hAnsi="宋体"/>
          <w:sz w:val="24"/>
          <w:szCs w:val="24"/>
        </w:rPr>
      </w:pPr>
      <w:r>
        <w:rPr>
          <w:rFonts w:hint="eastAsia" w:ascii="宋体" w:hAnsi="宋体"/>
          <w:sz w:val="24"/>
          <w:szCs w:val="24"/>
        </w:rPr>
        <w:t>存款账户必须以基金名义开立，账户名称为基金名称，存款账户开户文件上加盖预留印鉴及基金管理人公章。</w:t>
      </w:r>
    </w:p>
    <w:p>
      <w:pPr>
        <w:adjustRightInd w:val="0"/>
        <w:snapToGrid w:val="0"/>
        <w:spacing w:line="360" w:lineRule="auto"/>
        <w:ind w:firstLine="482"/>
        <w:rPr>
          <w:rFonts w:ascii="宋体" w:hAnsi="宋体"/>
          <w:sz w:val="24"/>
          <w:szCs w:val="24"/>
        </w:rPr>
      </w:pPr>
      <w:r>
        <w:rPr>
          <w:rFonts w:hint="eastAsia" w:ascii="宋体" w:hAnsi="宋体"/>
          <w:sz w:val="24"/>
          <w:szCs w:val="24"/>
        </w:rPr>
        <w:t>本基金投资银行存款时，基金管理人应当与存款银行签订具体存款协议，明确存款的类型、期限、利率、金额、账号、对账方式、支取方式、账户管理等细则。</w:t>
      </w:r>
    </w:p>
    <w:p>
      <w:pPr>
        <w:adjustRightInd w:val="0"/>
        <w:snapToGrid w:val="0"/>
        <w:spacing w:line="360" w:lineRule="auto"/>
        <w:ind w:firstLine="482"/>
        <w:rPr>
          <w:rFonts w:ascii="宋体" w:hAnsi="宋体"/>
          <w:sz w:val="24"/>
          <w:szCs w:val="24"/>
        </w:rPr>
      </w:pPr>
      <w:r>
        <w:rPr>
          <w:rFonts w:hint="eastAsia" w:ascii="宋体" w:hAnsi="宋体"/>
          <w:sz w:val="24"/>
          <w:szCs w:val="24"/>
        </w:rPr>
        <w:t>为防范特殊情况下的流动性风险，定期存款协议中应当约定提前支取条款。</w:t>
      </w:r>
    </w:p>
    <w:p>
      <w:pPr>
        <w:adjustRightInd w:val="0"/>
        <w:snapToGrid w:val="0"/>
        <w:spacing w:line="360" w:lineRule="auto"/>
        <w:ind w:firstLine="482"/>
        <w:rPr>
          <w:rFonts w:ascii="宋体" w:hAnsi="宋体"/>
          <w:sz w:val="24"/>
          <w:szCs w:val="24"/>
        </w:rPr>
      </w:pPr>
      <w:r>
        <w:rPr>
          <w:rFonts w:hint="eastAsia" w:ascii="宋体" w:hAnsi="宋体"/>
          <w:sz w:val="24"/>
          <w:szCs w:val="24"/>
        </w:rPr>
        <w:t>基金所投资定期存款存续期间，基金管理人、基金托管人应当与存款银行建立定期对账机制，确保基金银行存款业务账目及核对的真实、准确。</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8、基金财产投资的有关实物证券、银行定期存款存单等有价凭证的保管</w:t>
      </w:r>
    </w:p>
    <w:p>
      <w:pPr>
        <w:adjustRightInd w:val="0"/>
        <w:snapToGrid w:val="0"/>
        <w:spacing w:line="360" w:lineRule="auto"/>
        <w:ind w:firstLine="482"/>
        <w:rPr>
          <w:rFonts w:ascii="宋体" w:hAnsi="宋体"/>
          <w:sz w:val="24"/>
          <w:szCs w:val="24"/>
        </w:rPr>
      </w:pPr>
      <w:r>
        <w:rPr>
          <w:rFonts w:hint="eastAsia" w:ascii="宋体" w:hAnsi="宋体"/>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或保管的实物证券、银行定期存款存单对应的财产不承担保管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9、与基金财产有关的重大合同的保管</w:t>
      </w:r>
    </w:p>
    <w:p>
      <w:pPr>
        <w:adjustRightInd w:val="0"/>
        <w:snapToGrid w:val="0"/>
        <w:spacing w:line="360" w:lineRule="auto"/>
        <w:ind w:firstLine="482"/>
        <w:rPr>
          <w:rFonts w:ascii="宋体" w:hAnsi="宋体"/>
          <w:sz w:val="24"/>
          <w:szCs w:val="24"/>
        </w:rPr>
      </w:pPr>
      <w:r>
        <w:rPr>
          <w:rFonts w:hint="eastAsia" w:ascii="宋体" w:hAnsi="宋体"/>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保管期限不低于法律法规规定的最低期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对于无法取得二份以上的正本的，基金管理人应向基金托管人提供与合同原件核对一致的并加盖基金管理人公章的合同传真件或复印件，未经双方协商一致，合同原件不得转移。</w:t>
      </w:r>
    </w:p>
    <w:p>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pPr>
        <w:adjustRightInd w:val="0"/>
        <w:snapToGrid w:val="0"/>
        <w:spacing w:line="360" w:lineRule="auto"/>
        <w:ind w:firstLine="482"/>
        <w:outlineLvl w:val="2"/>
        <w:rPr>
          <w:rFonts w:ascii="宋体" w:hAnsi="宋体"/>
          <w:sz w:val="24"/>
        </w:rPr>
      </w:pPr>
      <w:r>
        <w:rPr>
          <w:rFonts w:hint="eastAsia" w:ascii="宋体" w:hAnsi="宋体"/>
          <w:sz w:val="24"/>
        </w:rPr>
        <w:t>1、基金资产净值的计算、复核的时间和程序</w:t>
      </w:r>
    </w:p>
    <w:p>
      <w:pPr>
        <w:adjustRightInd w:val="0"/>
        <w:snapToGrid w:val="0"/>
        <w:spacing w:line="360" w:lineRule="auto"/>
        <w:ind w:firstLine="482"/>
        <w:rPr>
          <w:rFonts w:ascii="宋体" w:hAnsi="宋体"/>
          <w:sz w:val="24"/>
        </w:rPr>
      </w:pPr>
      <w:r>
        <w:rPr>
          <w:rFonts w:hint="eastAsia" w:ascii="宋体" w:hAnsi="宋体"/>
          <w:sz w:val="24"/>
        </w:rPr>
        <w:t>基金资产净值是指基金资产总值减去负债后的价值。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2"/>
        <w:rPr>
          <w:rFonts w:ascii="宋体" w:hAnsi="宋体"/>
          <w:sz w:val="24"/>
        </w:rPr>
      </w:pPr>
      <w:r>
        <w:rPr>
          <w:rFonts w:hint="eastAsia" w:ascii="宋体" w:hAnsi="宋体"/>
          <w:sz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pPr>
        <w:adjustRightInd w:val="0"/>
        <w:snapToGrid w:val="0"/>
        <w:spacing w:line="360" w:lineRule="auto"/>
        <w:ind w:firstLine="482"/>
        <w:rPr>
          <w:rFonts w:ascii="宋体" w:hAnsi="宋体"/>
          <w:sz w:val="24"/>
        </w:rPr>
      </w:pPr>
      <w:r>
        <w:rPr>
          <w:rFonts w:hint="eastAsia" w:ascii="宋体" w:hAnsi="宋体"/>
          <w:sz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adjustRightInd w:val="0"/>
        <w:snapToGrid w:val="0"/>
        <w:spacing w:line="360" w:lineRule="auto"/>
        <w:ind w:firstLine="482"/>
        <w:outlineLvl w:val="2"/>
        <w:rPr>
          <w:rFonts w:ascii="宋体" w:hAnsi="宋体"/>
          <w:sz w:val="24"/>
        </w:rPr>
      </w:pPr>
      <w:r>
        <w:rPr>
          <w:rFonts w:hint="eastAsia" w:ascii="宋体" w:hAnsi="宋体"/>
          <w:sz w:val="24"/>
        </w:rPr>
        <w:t>2、基金资产估值</w:t>
      </w:r>
    </w:p>
    <w:p>
      <w:pPr>
        <w:adjustRightInd w:val="0"/>
        <w:snapToGrid w:val="0"/>
        <w:spacing w:line="360" w:lineRule="auto"/>
        <w:ind w:firstLine="482"/>
        <w:rPr>
          <w:rFonts w:ascii="宋体" w:hAnsi="宋体"/>
          <w:sz w:val="24"/>
        </w:rPr>
      </w:pPr>
      <w:r>
        <w:rPr>
          <w:rFonts w:hint="eastAsia" w:ascii="宋体" w:hAnsi="宋体"/>
          <w:sz w:val="24"/>
        </w:rPr>
        <w:t>估值原则应符合《基金合同》、《证券投资基金会计核算业务指引》及其他法律法规的规定的约定。</w:t>
      </w:r>
    </w:p>
    <w:p>
      <w:pPr>
        <w:adjustRightInd w:val="0"/>
        <w:snapToGrid w:val="0"/>
        <w:spacing w:line="360" w:lineRule="auto"/>
        <w:ind w:firstLine="482"/>
        <w:rPr>
          <w:rFonts w:ascii="宋体" w:hAnsi="宋体"/>
          <w:sz w:val="24"/>
        </w:rPr>
      </w:pPr>
      <w:r>
        <w:rPr>
          <w:rFonts w:hint="eastAsia" w:ascii="宋体" w:hAnsi="宋体"/>
          <w:sz w:val="24"/>
        </w:rPr>
        <w:t>当相关法律法规或《基金合同》规定的估值方法不能客观反映基金财产公允价值时，基金管理人可根据具体情况，并与基金托管人商定后，按最能反映公允价值的价格估值。</w:t>
      </w:r>
    </w:p>
    <w:p>
      <w:pPr>
        <w:adjustRightInd w:val="0"/>
        <w:snapToGrid w:val="0"/>
        <w:spacing w:line="360" w:lineRule="auto"/>
        <w:ind w:firstLine="482"/>
        <w:rPr>
          <w:rFonts w:ascii="宋体" w:hAnsi="宋体"/>
          <w:sz w:val="24"/>
        </w:rPr>
      </w:pPr>
      <w:r>
        <w:rPr>
          <w:rFonts w:hint="eastAsia" w:ascii="宋体" w:hAnsi="宋体"/>
          <w:sz w:val="24"/>
        </w:rPr>
        <w:t>3、实施侧袋机制期间的基金资产估值</w:t>
      </w:r>
    </w:p>
    <w:p>
      <w:pPr>
        <w:adjustRightInd w:val="0"/>
        <w:snapToGrid w:val="0"/>
        <w:spacing w:line="360" w:lineRule="auto"/>
        <w:ind w:firstLine="482"/>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adjustRightInd w:val="0"/>
        <w:snapToGrid w:val="0"/>
        <w:spacing w:line="360" w:lineRule="auto"/>
        <w:ind w:firstLine="482"/>
        <w:outlineLvl w:val="2"/>
        <w:rPr>
          <w:rFonts w:ascii="宋体" w:hAnsi="宋体"/>
          <w:sz w:val="24"/>
        </w:rPr>
      </w:pPr>
      <w:r>
        <w:rPr>
          <w:rFonts w:hint="eastAsia" w:ascii="宋体" w:hAnsi="宋体"/>
          <w:sz w:val="24"/>
        </w:rPr>
        <w:t>4、估值错误处理</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rPr>
        <w:t>当基金份额净值小数点后4位以内(含第4位)发生差错时，视为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2"/>
        <w:rPr>
          <w:rFonts w:ascii="宋体" w:hAnsi="宋体"/>
          <w:sz w:val="24"/>
        </w:rPr>
      </w:pPr>
      <w:r>
        <w:rPr>
          <w:rFonts w:hint="eastAsia"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adjustRightInd w:val="0"/>
        <w:snapToGrid w:val="0"/>
        <w:spacing w:line="360" w:lineRule="auto"/>
        <w:ind w:firstLine="482"/>
        <w:rPr>
          <w:rFonts w:ascii="宋体" w:hAnsi="宋体"/>
          <w:sz w:val="24"/>
        </w:rPr>
      </w:pPr>
      <w:r>
        <w:rPr>
          <w:rFonts w:hint="eastAsia" w:ascii="宋体" w:hAnsi="宋体"/>
          <w:sz w:val="24"/>
        </w:rPr>
        <w:t>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pPr>
        <w:adjustRightInd w:val="0"/>
        <w:snapToGrid w:val="0"/>
        <w:spacing w:line="360" w:lineRule="auto"/>
        <w:ind w:firstLine="482"/>
        <w:rPr>
          <w:rFonts w:ascii="宋体" w:hAnsi="宋体"/>
          <w:sz w:val="24"/>
        </w:rPr>
      </w:pPr>
      <w:r>
        <w:rPr>
          <w:rFonts w:hint="eastAsia"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adjustRightInd w:val="0"/>
        <w:snapToGrid w:val="0"/>
        <w:spacing w:line="360" w:lineRule="auto"/>
        <w:ind w:firstLine="482"/>
        <w:rPr>
          <w:rFonts w:ascii="宋体" w:hAnsi="宋体"/>
          <w:sz w:val="24"/>
        </w:rPr>
      </w:pPr>
      <w:r>
        <w:rPr>
          <w:rFonts w:hint="eastAsia" w:ascii="宋体" w:hAnsi="宋体"/>
          <w:sz w:val="24"/>
        </w:rPr>
        <w:t>4）由于基金管理人提供的信息错误（包括但不限于基金申购或赎回金额等），导致基金份额净值计算错误而引起的基金份额持有人和基金财产的损失，由基金管理人负责赔付。</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rPr>
        <w:t>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rPr>
        <w:t>基金管理人和基金托管人由于各自技术系统设置而产生的净值计算尾差，以基金管理人计算结果为准。</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5</w:t>
      </w:r>
      <w:r>
        <w:rPr>
          <w:rFonts w:hint="eastAsia"/>
          <w:color w:val="0D0D0D"/>
          <w:sz w:val="24"/>
          <w:szCs w:val="24"/>
        </w:rPr>
        <w:t>）</w:t>
      </w:r>
      <w:r>
        <w:rPr>
          <w:rFonts w:hint="eastAsia" w:ascii="宋体" w:hAnsi="宋体"/>
          <w:sz w:val="24"/>
        </w:rPr>
        <w:t>前述内容如法律法规或者监管部门另有规定的，从其规定。如果行业另有通行做法，双方当事人应本着平等和保护基金份额持有人利益的原则进行协商。</w:t>
      </w:r>
    </w:p>
    <w:p>
      <w:pPr>
        <w:adjustRightInd w:val="0"/>
        <w:snapToGrid w:val="0"/>
        <w:spacing w:line="360" w:lineRule="auto"/>
        <w:ind w:firstLine="482"/>
        <w:outlineLvl w:val="2"/>
        <w:rPr>
          <w:rFonts w:ascii="宋体" w:hAnsi="宋体"/>
          <w:sz w:val="24"/>
        </w:rPr>
      </w:pPr>
      <w:r>
        <w:rPr>
          <w:rFonts w:hint="eastAsia" w:ascii="宋体" w:hAnsi="宋体"/>
          <w:sz w:val="24"/>
        </w:rPr>
        <w:t>5、暂停估值的情形</w:t>
      </w:r>
    </w:p>
    <w:p>
      <w:pPr>
        <w:adjustRightInd w:val="0"/>
        <w:snapToGrid w:val="0"/>
        <w:spacing w:line="360" w:lineRule="auto"/>
        <w:ind w:firstLine="482"/>
        <w:rPr>
          <w:rFonts w:ascii="宋体" w:hAnsi="宋体"/>
          <w:sz w:val="24"/>
        </w:rPr>
      </w:pPr>
      <w:r>
        <w:rPr>
          <w:rFonts w:hint="eastAsia"/>
          <w:color w:val="0D0D0D"/>
          <w:sz w:val="24"/>
          <w:szCs w:val="24"/>
        </w:rPr>
        <w:t>（1）</w:t>
      </w:r>
      <w:r>
        <w:rPr>
          <w:rFonts w:hint="eastAsia" w:ascii="宋体" w:hAnsi="宋体"/>
          <w:sz w:val="24"/>
        </w:rPr>
        <w:t>基金投资所涉及的证券、期货交易市场遇法定节假日或因其他原因暂停营业时；</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rPr>
        <w:t>因不可抗力致使基金管理人、基金托管人无法准确评估基金资产价值时；</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rPr>
        <w:t>当特定资产占前一估值日基金资产净值50%以上的，经与基金托管人协商确认后，基金管理人应当暂停估值；</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rPr>
        <w:t xml:space="preserve"> 法律法规、中国证监会和《基金合同》认定的其他情形。</w:t>
      </w:r>
    </w:p>
    <w:p>
      <w:pPr>
        <w:adjustRightInd w:val="0"/>
        <w:snapToGrid w:val="0"/>
        <w:spacing w:line="360" w:lineRule="auto"/>
        <w:ind w:firstLine="482"/>
        <w:outlineLvl w:val="2"/>
        <w:rPr>
          <w:rFonts w:ascii="宋体" w:hAnsi="宋体"/>
          <w:sz w:val="24"/>
        </w:rPr>
      </w:pPr>
      <w:r>
        <w:rPr>
          <w:rFonts w:hint="eastAsia" w:ascii="宋体" w:hAnsi="宋体"/>
          <w:sz w:val="24"/>
        </w:rPr>
        <w:t>6、基金账册的建立</w:t>
      </w:r>
    </w:p>
    <w:p>
      <w:pPr>
        <w:adjustRightInd w:val="0"/>
        <w:snapToGrid w:val="0"/>
        <w:spacing w:line="360" w:lineRule="auto"/>
        <w:ind w:firstLine="482"/>
        <w:rPr>
          <w:rFonts w:ascii="宋体" w:hAnsi="宋体"/>
          <w:sz w:val="24"/>
        </w:rPr>
      </w:pPr>
      <w:r>
        <w:rPr>
          <w:rFonts w:hint="eastAsia"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adjustRightInd w:val="0"/>
        <w:snapToGrid w:val="0"/>
        <w:spacing w:line="360" w:lineRule="auto"/>
        <w:ind w:firstLine="482"/>
        <w:rPr>
          <w:rFonts w:ascii="宋体" w:hAnsi="宋体"/>
          <w:sz w:val="24"/>
        </w:rPr>
      </w:pPr>
      <w:r>
        <w:rPr>
          <w:rFonts w:hint="eastAsia"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adjustRightInd w:val="0"/>
        <w:snapToGrid w:val="0"/>
        <w:spacing w:line="360" w:lineRule="auto"/>
        <w:ind w:firstLine="482"/>
        <w:outlineLvl w:val="2"/>
        <w:rPr>
          <w:rFonts w:ascii="宋体" w:hAnsi="宋体"/>
          <w:sz w:val="24"/>
        </w:rPr>
      </w:pPr>
      <w:r>
        <w:rPr>
          <w:rFonts w:hint="eastAsia" w:ascii="宋体" w:hAnsi="宋体"/>
          <w:sz w:val="24"/>
        </w:rPr>
        <w:t>7、基金定期报告、基金招募说明书的编制和复核</w:t>
      </w:r>
    </w:p>
    <w:p>
      <w:pPr>
        <w:adjustRightInd w:val="0"/>
        <w:snapToGrid w:val="0"/>
        <w:spacing w:line="360" w:lineRule="auto"/>
        <w:ind w:firstLine="482"/>
        <w:rPr>
          <w:rFonts w:ascii="宋体" w:hAnsi="宋体"/>
          <w:sz w:val="24"/>
        </w:rPr>
      </w:pPr>
      <w:r>
        <w:rPr>
          <w:rFonts w:hint="eastAsia" w:ascii="宋体" w:hAnsi="宋体"/>
          <w:sz w:val="24"/>
        </w:rPr>
        <w:t>基金财务报表由基金管理人和基金托管人每月分别独立编制。月度报表的编制，应于每月终了后5个工作日内完成。</w:t>
      </w:r>
    </w:p>
    <w:p>
      <w:pPr>
        <w:adjustRightInd w:val="0"/>
        <w:snapToGrid w:val="0"/>
        <w:spacing w:line="360" w:lineRule="auto"/>
        <w:ind w:firstLine="482"/>
        <w:rPr>
          <w:rFonts w:ascii="宋体" w:hAnsi="宋体"/>
          <w:sz w:val="24"/>
        </w:rPr>
      </w:pPr>
      <w:r>
        <w:rPr>
          <w:rFonts w:hint="eastAsia" w:ascii="宋体" w:hAnsi="宋体"/>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基金合同生效不足2个月的，基金管理人可以不编制当期季度报告、中期报告或者年度报告。</w:t>
      </w:r>
    </w:p>
    <w:p>
      <w:pPr>
        <w:adjustRightInd w:val="0"/>
        <w:snapToGrid w:val="0"/>
        <w:spacing w:line="360" w:lineRule="auto"/>
        <w:ind w:firstLine="482"/>
        <w:rPr>
          <w:rFonts w:ascii="宋体" w:hAnsi="宋体"/>
          <w:sz w:val="24"/>
        </w:rPr>
      </w:pPr>
      <w:r>
        <w:rPr>
          <w:rFonts w:hint="eastAsia" w:ascii="宋体" w:hAnsi="宋体"/>
          <w:sz w:val="24"/>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pPr>
        <w:adjustRightInd w:val="0"/>
        <w:snapToGrid w:val="0"/>
        <w:spacing w:line="360" w:lineRule="auto"/>
        <w:ind w:firstLine="482"/>
        <w:rPr>
          <w:rFonts w:ascii="宋体" w:hAnsi="宋体"/>
          <w:sz w:val="24"/>
        </w:rPr>
      </w:pPr>
      <w:r>
        <w:rPr>
          <w:rFonts w:hint="eastAsia" w:ascii="宋体" w:hAnsi="宋体"/>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pPr>
        <w:adjustRightInd w:val="0"/>
        <w:snapToGrid w:val="0"/>
        <w:spacing w:line="360" w:lineRule="auto"/>
        <w:ind w:firstLine="482"/>
        <w:rPr>
          <w:rFonts w:ascii="宋体" w:hAnsi="宋体"/>
          <w:sz w:val="24"/>
        </w:rPr>
      </w:pPr>
      <w:r>
        <w:rPr>
          <w:rFonts w:hint="eastAsia" w:ascii="宋体" w:hAnsi="宋体"/>
          <w:sz w:val="24"/>
        </w:rPr>
        <w:t>基金托管人在对财务会计报告、中期报告或年度报告复核完毕后，需盖章确认或出具相应的复核确认书，以备有权机构对相关文件审核时提示。</w:t>
      </w:r>
    </w:p>
    <w:p>
      <w:pPr>
        <w:adjustRightInd w:val="0"/>
        <w:snapToGrid w:val="0"/>
        <w:spacing w:line="360" w:lineRule="auto"/>
        <w:ind w:firstLine="482"/>
        <w:outlineLvl w:val="1"/>
        <w:rPr>
          <w:b/>
          <w:bCs/>
          <w:sz w:val="24"/>
        </w:rPr>
      </w:pPr>
      <w:r>
        <w:rPr>
          <w:b/>
          <w:bCs/>
          <w:sz w:val="24"/>
        </w:rPr>
        <w:t>（六）基金份额持有人名册的保管</w:t>
      </w:r>
    </w:p>
    <w:p>
      <w:pPr>
        <w:adjustRightInd w:val="0"/>
        <w:snapToGrid w:val="0"/>
        <w:spacing w:line="360" w:lineRule="auto"/>
        <w:ind w:firstLine="482"/>
        <w:rPr>
          <w:rFonts w:ascii="宋体" w:hAnsi="宋体"/>
          <w:kern w:val="0"/>
          <w:sz w:val="24"/>
        </w:rPr>
      </w:pPr>
      <w:r>
        <w:rPr>
          <w:rFonts w:hint="eastAsia" w:ascii="宋体" w:hAnsi="宋体"/>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adjustRightInd w:val="0"/>
        <w:snapToGrid w:val="0"/>
        <w:spacing w:line="360" w:lineRule="auto"/>
        <w:ind w:firstLine="482"/>
        <w:rPr>
          <w:rFonts w:ascii="宋体" w:hAnsi="宋体"/>
          <w:kern w:val="0"/>
          <w:sz w:val="24"/>
        </w:rPr>
      </w:pPr>
      <w:r>
        <w:rPr>
          <w:rFonts w:hint="eastAsia" w:ascii="宋体" w:hAnsi="宋体"/>
          <w:kern w:val="0"/>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pPr>
        <w:adjustRightInd w:val="0"/>
        <w:snapToGrid w:val="0"/>
        <w:spacing w:line="360" w:lineRule="auto"/>
        <w:ind w:firstLine="480" w:firstLineChars="200"/>
        <w:rPr>
          <w:rFonts w:ascii="宋体" w:hAnsi="宋体"/>
          <w:strike/>
          <w:kern w:val="0"/>
          <w:sz w:val="24"/>
        </w:rPr>
      </w:pPr>
      <w:r>
        <w:rPr>
          <w:rFonts w:hint="eastAsia" w:ascii="宋体" w:hAnsi="宋体"/>
          <w:kern w:val="0"/>
          <w:sz w:val="24"/>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adjustRightInd w:val="0"/>
        <w:snapToGrid w:val="0"/>
        <w:spacing w:line="360" w:lineRule="auto"/>
        <w:ind w:firstLine="482"/>
        <w:outlineLvl w:val="1"/>
        <w:rPr>
          <w:b/>
          <w:bCs/>
          <w:sz w:val="24"/>
        </w:rPr>
      </w:pPr>
      <w:r>
        <w:rPr>
          <w:b/>
          <w:bCs/>
          <w:sz w:val="24"/>
        </w:rPr>
        <w:t>（七）争议解决方式</w:t>
      </w:r>
    </w:p>
    <w:p>
      <w:pPr>
        <w:adjustRightInd w:val="0"/>
        <w:snapToGrid w:val="0"/>
        <w:spacing w:line="360" w:lineRule="auto"/>
        <w:ind w:firstLine="482"/>
        <w:rPr>
          <w:rFonts w:ascii="宋体" w:hAnsi="宋体"/>
          <w:color w:val="0D0D0D"/>
          <w:sz w:val="24"/>
          <w:szCs w:val="24"/>
        </w:rPr>
      </w:pPr>
      <w:r>
        <w:rPr>
          <w:rFonts w:hint="eastAsia" w:ascii="宋体" w:hAnsi="宋体"/>
          <w:color w:val="0D0D0D"/>
          <w:sz w:val="24"/>
          <w:szCs w:val="24"/>
        </w:rPr>
        <w:t>1、本协议适用中华人民共和国法律（为本协议之目的，在此不包括香港、澳门特别行政区和台湾地区法律），并从其解释。</w:t>
      </w:r>
    </w:p>
    <w:p>
      <w:pPr>
        <w:adjustRightInd w:val="0"/>
        <w:snapToGrid w:val="0"/>
        <w:spacing w:line="360" w:lineRule="auto"/>
        <w:ind w:firstLine="482"/>
        <w:rPr>
          <w:rFonts w:ascii="宋体" w:hAnsi="宋体"/>
          <w:color w:val="0D0D0D"/>
          <w:sz w:val="24"/>
          <w:szCs w:val="24"/>
        </w:rPr>
      </w:pPr>
      <w:r>
        <w:rPr>
          <w:rFonts w:hint="eastAsia" w:ascii="宋体" w:hAnsi="宋体"/>
          <w:color w:val="0D0D0D"/>
          <w:sz w:val="24"/>
          <w:szCs w:val="24"/>
        </w:rPr>
        <w:t>2、双方当事人同意，因本协议而产生的或与本协议有关的一切争议，除经友好协商可以解决的，任何一方均有权将争议提交上海国际经济贸易仲裁委员会，根据该会届时有效的仲裁规则进行仲裁，仲裁的地点在上海市，仲裁裁决是终局性的并对双方均有约束力，除非仲裁裁决另有规定，仲裁费用由败诉方承担。</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争议处理期间，双方当事人应恪守基金管理人和基金托管人职责，继续忠实、勤勉、尽责地履行《基金合同》和本托管协议规定的义务，维护基金份额持有人的合法权益。</w:t>
      </w:r>
    </w:p>
    <w:p>
      <w:pPr>
        <w:adjustRightInd w:val="0"/>
        <w:snapToGrid w:val="0"/>
        <w:spacing w:line="360" w:lineRule="auto"/>
        <w:ind w:firstLine="482" w:firstLineChars="200"/>
        <w:outlineLvl w:val="1"/>
        <w:rPr>
          <w:rFonts w:ascii="宋体" w:hAnsi="宋体"/>
          <w:b/>
          <w:kern w:val="0"/>
          <w:sz w:val="24"/>
          <w:szCs w:val="24"/>
        </w:rPr>
      </w:pPr>
      <w:r>
        <w:rPr>
          <w:rFonts w:ascii="宋体" w:hAnsi="宋体"/>
          <w:b/>
          <w:kern w:val="0"/>
          <w:sz w:val="24"/>
          <w:szCs w:val="24"/>
        </w:rPr>
        <w:t>（八）托管协议</w:t>
      </w:r>
      <w:r>
        <w:rPr>
          <w:rFonts w:hint="eastAsia" w:ascii="宋体" w:hAnsi="宋体"/>
          <w:b/>
          <w:kern w:val="0"/>
          <w:sz w:val="24"/>
          <w:szCs w:val="24"/>
        </w:rPr>
        <w:t>的变更、终止与基金财产的清算</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1、托管协议的变更与终止</w:t>
      </w:r>
    </w:p>
    <w:p>
      <w:pPr>
        <w:adjustRightInd w:val="0"/>
        <w:snapToGrid w:val="0"/>
        <w:spacing w:line="360" w:lineRule="auto"/>
        <w:ind w:firstLine="480" w:firstLineChars="200"/>
        <w:rPr>
          <w:color w:val="0D0D0D"/>
          <w:sz w:val="24"/>
          <w:szCs w:val="24"/>
        </w:rPr>
      </w:pPr>
      <w:r>
        <w:rPr>
          <w:rFonts w:hint="eastAsia"/>
          <w:color w:val="0D0D0D"/>
          <w:sz w:val="24"/>
          <w:szCs w:val="24"/>
        </w:rPr>
        <w:t>（1）托管协议的变更程序</w:t>
      </w:r>
    </w:p>
    <w:p>
      <w:pPr>
        <w:adjustRightInd w:val="0"/>
        <w:snapToGrid w:val="0"/>
        <w:spacing w:line="360" w:lineRule="auto"/>
        <w:ind w:firstLine="480" w:firstLineChars="200"/>
        <w:rPr>
          <w:color w:val="0D0D0D"/>
          <w:sz w:val="24"/>
          <w:szCs w:val="24"/>
        </w:rPr>
      </w:pPr>
      <w:r>
        <w:rPr>
          <w:rFonts w:hint="eastAsia"/>
          <w:color w:val="0D0D0D"/>
          <w:sz w:val="24"/>
          <w:szCs w:val="24"/>
        </w:rPr>
        <w:t>本协议双方当事人经协商一致，可以对协议的内容进行变更。变更后的托管协议，其内容不得与《基金合同》的规定有任何冲突，基金托管协议的变更按规定报中国证监会备案。</w:t>
      </w:r>
    </w:p>
    <w:p>
      <w:pPr>
        <w:adjustRightInd w:val="0"/>
        <w:snapToGrid w:val="0"/>
        <w:spacing w:line="360" w:lineRule="auto"/>
        <w:ind w:firstLine="480" w:firstLineChars="200"/>
        <w:rPr>
          <w:color w:val="0D0D0D"/>
          <w:sz w:val="24"/>
          <w:szCs w:val="24"/>
        </w:rPr>
      </w:pPr>
      <w:r>
        <w:rPr>
          <w:rFonts w:hint="eastAsia"/>
          <w:color w:val="0D0D0D"/>
          <w:sz w:val="24"/>
          <w:szCs w:val="24"/>
        </w:rPr>
        <w:t>（2）基金托管协议终止的情形</w:t>
      </w:r>
    </w:p>
    <w:p>
      <w:pPr>
        <w:adjustRightInd w:val="0"/>
        <w:snapToGrid w:val="0"/>
        <w:spacing w:line="360" w:lineRule="auto"/>
        <w:ind w:firstLine="480" w:firstLineChars="200"/>
        <w:rPr>
          <w:color w:val="0D0D0D"/>
          <w:sz w:val="24"/>
          <w:szCs w:val="24"/>
        </w:rPr>
      </w:pPr>
      <w:r>
        <w:rPr>
          <w:rFonts w:hint="eastAsia"/>
          <w:color w:val="0D0D0D"/>
          <w:sz w:val="24"/>
          <w:szCs w:val="24"/>
        </w:rPr>
        <w:t>发生以下情况，本托管协议终止：</w:t>
      </w:r>
    </w:p>
    <w:p>
      <w:pPr>
        <w:adjustRightInd w:val="0"/>
        <w:snapToGrid w:val="0"/>
        <w:spacing w:line="360" w:lineRule="auto"/>
        <w:ind w:firstLine="480" w:firstLineChars="200"/>
        <w:rPr>
          <w:color w:val="0D0D0D"/>
          <w:sz w:val="24"/>
          <w:szCs w:val="24"/>
        </w:rPr>
      </w:pPr>
      <w:r>
        <w:rPr>
          <w:rFonts w:hint="eastAsia"/>
          <w:color w:val="0D0D0D"/>
          <w:sz w:val="24"/>
          <w:szCs w:val="24"/>
        </w:rPr>
        <w:t>1）《基金合同》终止；</w:t>
      </w:r>
    </w:p>
    <w:p>
      <w:pPr>
        <w:adjustRightInd w:val="0"/>
        <w:snapToGrid w:val="0"/>
        <w:spacing w:line="360" w:lineRule="auto"/>
        <w:ind w:firstLine="480" w:firstLineChars="200"/>
        <w:rPr>
          <w:color w:val="0D0D0D"/>
          <w:sz w:val="24"/>
          <w:szCs w:val="24"/>
        </w:rPr>
      </w:pPr>
      <w:r>
        <w:rPr>
          <w:rFonts w:hint="eastAsia"/>
          <w:color w:val="0D0D0D"/>
          <w:sz w:val="24"/>
          <w:szCs w:val="24"/>
        </w:rPr>
        <w:t>2）基金托管人解散、依法被撤销、破产或有其他基金托管人接管基金资产；</w:t>
      </w:r>
    </w:p>
    <w:p>
      <w:pPr>
        <w:adjustRightInd w:val="0"/>
        <w:snapToGrid w:val="0"/>
        <w:spacing w:line="360" w:lineRule="auto"/>
        <w:ind w:firstLine="480" w:firstLineChars="200"/>
        <w:rPr>
          <w:color w:val="0D0D0D"/>
          <w:sz w:val="24"/>
          <w:szCs w:val="24"/>
        </w:rPr>
      </w:pPr>
      <w:r>
        <w:rPr>
          <w:rFonts w:hint="eastAsia"/>
          <w:color w:val="0D0D0D"/>
          <w:sz w:val="24"/>
          <w:szCs w:val="24"/>
        </w:rPr>
        <w:t>3）基金管理人解散、依法被撤销、破产或有其他基金管理人接管基金管理权；</w:t>
      </w:r>
    </w:p>
    <w:p>
      <w:pPr>
        <w:adjustRightInd w:val="0"/>
        <w:snapToGrid w:val="0"/>
        <w:spacing w:line="360" w:lineRule="auto"/>
        <w:ind w:firstLine="480" w:firstLineChars="200"/>
        <w:rPr>
          <w:color w:val="0D0D0D"/>
          <w:sz w:val="24"/>
          <w:szCs w:val="24"/>
        </w:rPr>
      </w:pPr>
      <w:r>
        <w:rPr>
          <w:rFonts w:hint="eastAsia"/>
          <w:color w:val="0D0D0D"/>
          <w:sz w:val="24"/>
          <w:szCs w:val="24"/>
        </w:rPr>
        <w:t>4）发生法律法规或《基金合同》规定的终止事项。</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2、基金财产的清算</w:t>
      </w:r>
    </w:p>
    <w:p>
      <w:pPr>
        <w:adjustRightInd w:val="0"/>
        <w:snapToGrid w:val="0"/>
        <w:spacing w:line="360" w:lineRule="auto"/>
        <w:ind w:firstLine="480" w:firstLineChars="200"/>
        <w:rPr>
          <w:color w:val="0D0D0D"/>
          <w:sz w:val="24"/>
          <w:szCs w:val="24"/>
        </w:rPr>
      </w:pPr>
      <w:r>
        <w:rPr>
          <w:rFonts w:hint="eastAsia"/>
          <w:color w:val="0D0D0D"/>
          <w:sz w:val="24"/>
          <w:szCs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2</w:t>
      </w:r>
      <w:r>
        <w:rPr>
          <w:rFonts w:hint="eastAsia"/>
          <w:color w:val="0D0D0D"/>
          <w:sz w:val="24"/>
          <w:szCs w:val="24"/>
        </w:rPr>
        <w:t>）在基金财产清算小组接管基金财产之前，基金管理人和基金托管人应按照《基金合同》和本托管协议的规定继续履行保护基金财产安全的职责。</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3</w:t>
      </w:r>
      <w:r>
        <w:rPr>
          <w:rFonts w:hint="eastAsia"/>
          <w:color w:val="0D0D0D"/>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4</w:t>
      </w:r>
      <w:r>
        <w:rPr>
          <w:rFonts w:hint="eastAsia"/>
          <w:color w:val="0D0D0D"/>
          <w:sz w:val="24"/>
          <w:szCs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5</w:t>
      </w:r>
      <w:r>
        <w:rPr>
          <w:rFonts w:hint="eastAsia"/>
          <w:color w:val="0D0D0D"/>
          <w:sz w:val="24"/>
          <w:szCs w:val="24"/>
        </w:rPr>
        <w:t>）基金财产清算程序：</w:t>
      </w:r>
      <w:r>
        <w:rPr>
          <w:rFonts w:hint="eastAsia"/>
          <w:color w:val="0D0D0D"/>
          <w:sz w:val="24"/>
          <w:szCs w:val="24"/>
        </w:rPr>
        <w:tab/>
      </w:r>
    </w:p>
    <w:p>
      <w:pPr>
        <w:adjustRightInd w:val="0"/>
        <w:snapToGrid w:val="0"/>
        <w:spacing w:line="360" w:lineRule="auto"/>
        <w:ind w:firstLine="480" w:firstLineChars="200"/>
        <w:rPr>
          <w:color w:val="0D0D0D"/>
          <w:sz w:val="24"/>
          <w:szCs w:val="24"/>
        </w:rPr>
      </w:pPr>
      <w:r>
        <w:rPr>
          <w:rFonts w:hint="eastAsia"/>
          <w:color w:val="0D0D0D"/>
          <w:sz w:val="24"/>
          <w:szCs w:val="24"/>
        </w:rPr>
        <w:t>1）《基金合同》终止情形出现时，由基金财产清算小组统一接管基金财产；</w:t>
      </w:r>
    </w:p>
    <w:p>
      <w:pPr>
        <w:adjustRightInd w:val="0"/>
        <w:snapToGrid w:val="0"/>
        <w:spacing w:line="360" w:lineRule="auto"/>
        <w:ind w:firstLine="480" w:firstLineChars="200"/>
        <w:rPr>
          <w:color w:val="0D0D0D"/>
          <w:sz w:val="24"/>
          <w:szCs w:val="24"/>
        </w:rPr>
      </w:pPr>
      <w:r>
        <w:rPr>
          <w:rFonts w:hint="eastAsia"/>
          <w:color w:val="0D0D0D"/>
          <w:sz w:val="24"/>
          <w:szCs w:val="24"/>
        </w:rPr>
        <w:t>2）对基金财产和债权债务进行清理和确认；</w:t>
      </w:r>
    </w:p>
    <w:p>
      <w:pPr>
        <w:adjustRightInd w:val="0"/>
        <w:snapToGrid w:val="0"/>
        <w:spacing w:line="360" w:lineRule="auto"/>
        <w:ind w:firstLine="480" w:firstLineChars="200"/>
        <w:rPr>
          <w:color w:val="0D0D0D"/>
          <w:sz w:val="24"/>
          <w:szCs w:val="24"/>
        </w:rPr>
      </w:pPr>
      <w:r>
        <w:rPr>
          <w:rFonts w:hint="eastAsia"/>
          <w:color w:val="0D0D0D"/>
          <w:sz w:val="24"/>
          <w:szCs w:val="24"/>
        </w:rPr>
        <w:t>3）对基金财产进行估值和变现；</w:t>
      </w:r>
    </w:p>
    <w:p>
      <w:pPr>
        <w:adjustRightInd w:val="0"/>
        <w:snapToGrid w:val="0"/>
        <w:spacing w:line="360" w:lineRule="auto"/>
        <w:ind w:firstLine="480" w:firstLineChars="200"/>
        <w:rPr>
          <w:color w:val="0D0D0D"/>
          <w:sz w:val="24"/>
          <w:szCs w:val="24"/>
        </w:rPr>
      </w:pPr>
      <w:r>
        <w:rPr>
          <w:rFonts w:hint="eastAsia"/>
          <w:color w:val="0D0D0D"/>
          <w:sz w:val="24"/>
          <w:szCs w:val="24"/>
        </w:rPr>
        <w:t>4）制作清算报告；</w:t>
      </w:r>
    </w:p>
    <w:p>
      <w:pPr>
        <w:adjustRightInd w:val="0"/>
        <w:snapToGrid w:val="0"/>
        <w:spacing w:line="360" w:lineRule="auto"/>
        <w:ind w:firstLine="480" w:firstLineChars="200"/>
        <w:rPr>
          <w:color w:val="0D0D0D"/>
          <w:sz w:val="24"/>
          <w:szCs w:val="24"/>
        </w:rPr>
      </w:pPr>
      <w:r>
        <w:rPr>
          <w:rFonts w:hint="eastAsia"/>
          <w:color w:val="0D0D0D"/>
          <w:sz w:val="24"/>
          <w:szCs w:val="24"/>
        </w:rPr>
        <w:t>5）聘请会计师事务所对清算报告进行外部审计，聘请律师事务所对清算报告出具法律意见书；</w:t>
      </w:r>
    </w:p>
    <w:p>
      <w:pPr>
        <w:adjustRightInd w:val="0"/>
        <w:snapToGrid w:val="0"/>
        <w:spacing w:line="360" w:lineRule="auto"/>
        <w:ind w:firstLine="480" w:firstLineChars="200"/>
        <w:rPr>
          <w:color w:val="0D0D0D"/>
          <w:sz w:val="24"/>
          <w:szCs w:val="24"/>
        </w:rPr>
      </w:pPr>
      <w:r>
        <w:rPr>
          <w:rFonts w:hint="eastAsia"/>
          <w:color w:val="0D0D0D"/>
          <w:sz w:val="24"/>
          <w:szCs w:val="24"/>
        </w:rPr>
        <w:t>6）将清算报告报中国证监会备案并公告；</w:t>
      </w:r>
    </w:p>
    <w:p>
      <w:pPr>
        <w:adjustRightInd w:val="0"/>
        <w:snapToGrid w:val="0"/>
        <w:spacing w:line="360" w:lineRule="auto"/>
        <w:ind w:firstLine="480" w:firstLineChars="200"/>
        <w:rPr>
          <w:color w:val="0D0D0D"/>
          <w:sz w:val="24"/>
          <w:szCs w:val="24"/>
        </w:rPr>
      </w:pPr>
      <w:r>
        <w:rPr>
          <w:rFonts w:hint="eastAsia"/>
          <w:color w:val="0D0D0D"/>
          <w:sz w:val="24"/>
          <w:szCs w:val="24"/>
        </w:rPr>
        <w:t>7）对基金剩余财产进行分配。</w:t>
      </w:r>
    </w:p>
    <w:p>
      <w:pPr>
        <w:adjustRightInd w:val="0"/>
        <w:snapToGrid w:val="0"/>
        <w:spacing w:line="360" w:lineRule="auto"/>
        <w:ind w:firstLine="480" w:firstLineChars="200"/>
        <w:rPr>
          <w:color w:val="0D0D0D"/>
          <w:sz w:val="24"/>
          <w:szCs w:val="24"/>
        </w:rPr>
      </w:pPr>
      <w:r>
        <w:rPr>
          <w:rFonts w:hint="eastAsia"/>
          <w:color w:val="0D0D0D"/>
          <w:sz w:val="24"/>
          <w:szCs w:val="24"/>
        </w:rPr>
        <w:t>基金财产清算的期限为6个月，但因本基金所持证券的流动性受到限制而不能及时变现的，清算期限相应顺延。</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6</w:t>
      </w:r>
      <w:r>
        <w:rPr>
          <w:rFonts w:hint="eastAsia"/>
          <w:color w:val="0D0D0D"/>
          <w:sz w:val="24"/>
          <w:szCs w:val="24"/>
        </w:rPr>
        <w:t>）清算费用</w:t>
      </w:r>
    </w:p>
    <w:p>
      <w:pPr>
        <w:adjustRightInd w:val="0"/>
        <w:snapToGrid w:val="0"/>
        <w:spacing w:line="360" w:lineRule="auto"/>
        <w:ind w:firstLine="480" w:firstLineChars="200"/>
        <w:rPr>
          <w:color w:val="0D0D0D"/>
          <w:sz w:val="24"/>
          <w:szCs w:val="24"/>
        </w:rPr>
      </w:pPr>
      <w:r>
        <w:rPr>
          <w:rFonts w:hint="eastAsia"/>
          <w:color w:val="0D0D0D"/>
          <w:sz w:val="24"/>
          <w:szCs w:val="24"/>
        </w:rPr>
        <w:t>清算费用是指基金财产清算小组在进行基金财产清算过程中发生的所有合理费用，清算费用由基金财产清算小组优先从基金财产中支付。</w:t>
      </w:r>
    </w:p>
    <w:p>
      <w:pPr>
        <w:adjustRightInd w:val="0"/>
        <w:snapToGrid w:val="0"/>
        <w:spacing w:line="360" w:lineRule="auto"/>
        <w:ind w:firstLine="480" w:firstLineChars="200"/>
        <w:rPr>
          <w:color w:val="0D0D0D"/>
          <w:sz w:val="24"/>
          <w:szCs w:val="24"/>
        </w:rPr>
      </w:pPr>
      <w:r>
        <w:rPr>
          <w:rFonts w:hint="eastAsia"/>
          <w:color w:val="0D0D0D"/>
          <w:sz w:val="24"/>
          <w:szCs w:val="24"/>
        </w:rPr>
        <w:t>（7）基金财产按下列顺序清偿：</w:t>
      </w:r>
    </w:p>
    <w:p>
      <w:pPr>
        <w:adjustRightInd w:val="0"/>
        <w:snapToGrid w:val="0"/>
        <w:spacing w:line="360" w:lineRule="auto"/>
        <w:ind w:firstLine="480" w:firstLineChars="200"/>
        <w:rPr>
          <w:color w:val="0D0D0D"/>
          <w:sz w:val="24"/>
          <w:szCs w:val="24"/>
        </w:rPr>
      </w:pPr>
      <w:r>
        <w:rPr>
          <w:rFonts w:hint="eastAsia"/>
          <w:color w:val="0D0D0D"/>
          <w:sz w:val="24"/>
          <w:szCs w:val="24"/>
        </w:rPr>
        <w:t>1）支付清算费用；</w:t>
      </w:r>
    </w:p>
    <w:p>
      <w:pPr>
        <w:adjustRightInd w:val="0"/>
        <w:snapToGrid w:val="0"/>
        <w:spacing w:line="360" w:lineRule="auto"/>
        <w:ind w:firstLine="480" w:firstLineChars="200"/>
        <w:rPr>
          <w:color w:val="0D0D0D"/>
          <w:sz w:val="24"/>
          <w:szCs w:val="24"/>
        </w:rPr>
      </w:pPr>
      <w:r>
        <w:rPr>
          <w:color w:val="0D0D0D"/>
          <w:sz w:val="24"/>
          <w:szCs w:val="24"/>
        </w:rPr>
        <w:t>2</w:t>
      </w:r>
      <w:r>
        <w:rPr>
          <w:rFonts w:hint="eastAsia"/>
          <w:color w:val="0D0D0D"/>
          <w:sz w:val="24"/>
          <w:szCs w:val="24"/>
        </w:rPr>
        <w:t>）交纳所欠税款；</w:t>
      </w:r>
    </w:p>
    <w:p>
      <w:pPr>
        <w:adjustRightInd w:val="0"/>
        <w:snapToGrid w:val="0"/>
        <w:spacing w:line="360" w:lineRule="auto"/>
        <w:ind w:firstLine="480" w:firstLineChars="200"/>
        <w:rPr>
          <w:color w:val="0D0D0D"/>
          <w:sz w:val="24"/>
          <w:szCs w:val="24"/>
        </w:rPr>
      </w:pPr>
      <w:r>
        <w:rPr>
          <w:color w:val="0D0D0D"/>
          <w:sz w:val="24"/>
          <w:szCs w:val="24"/>
        </w:rPr>
        <w:t>3</w:t>
      </w:r>
      <w:r>
        <w:rPr>
          <w:rFonts w:hint="eastAsia"/>
          <w:color w:val="0D0D0D"/>
          <w:sz w:val="24"/>
          <w:szCs w:val="24"/>
        </w:rPr>
        <w:t>）清偿基金债务；</w:t>
      </w:r>
    </w:p>
    <w:p>
      <w:pPr>
        <w:adjustRightInd w:val="0"/>
        <w:snapToGrid w:val="0"/>
        <w:spacing w:line="360" w:lineRule="auto"/>
        <w:ind w:firstLine="480" w:firstLineChars="200"/>
        <w:rPr>
          <w:color w:val="0D0D0D"/>
          <w:sz w:val="24"/>
          <w:szCs w:val="24"/>
        </w:rPr>
      </w:pPr>
      <w:r>
        <w:rPr>
          <w:color w:val="0D0D0D"/>
          <w:sz w:val="24"/>
          <w:szCs w:val="24"/>
        </w:rPr>
        <w:t>4</w:t>
      </w:r>
      <w:r>
        <w:rPr>
          <w:rFonts w:hint="eastAsia"/>
          <w:color w:val="0D0D0D"/>
          <w:sz w:val="24"/>
          <w:szCs w:val="24"/>
        </w:rPr>
        <w:t>）按基金份额持有人持有的基金份额比例进行分配。</w:t>
      </w:r>
    </w:p>
    <w:p>
      <w:pPr>
        <w:adjustRightInd w:val="0"/>
        <w:snapToGrid w:val="0"/>
        <w:spacing w:line="360" w:lineRule="auto"/>
        <w:ind w:firstLine="480" w:firstLineChars="200"/>
        <w:rPr>
          <w:color w:val="0D0D0D"/>
          <w:sz w:val="24"/>
          <w:szCs w:val="24"/>
        </w:rPr>
      </w:pPr>
      <w:r>
        <w:rPr>
          <w:rFonts w:hint="eastAsia"/>
          <w:color w:val="0D0D0D"/>
          <w:sz w:val="24"/>
          <w:szCs w:val="24"/>
        </w:rPr>
        <w:t>基金财产未按前款1)－3)项规定清偿前，不分配给基金份额持有人。</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3、基金财产清算的公告</w:t>
      </w:r>
    </w:p>
    <w:p>
      <w:pPr>
        <w:adjustRightInd w:val="0"/>
        <w:snapToGrid w:val="0"/>
        <w:spacing w:line="360" w:lineRule="auto"/>
        <w:ind w:firstLine="480" w:firstLineChars="200"/>
        <w:rPr>
          <w:color w:val="0D0D0D"/>
          <w:sz w:val="24"/>
          <w:szCs w:val="24"/>
        </w:rPr>
      </w:pPr>
      <w:r>
        <w:rPr>
          <w:rFonts w:hint="eastAsia"/>
          <w:color w:val="0D0D0D"/>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4、基金财产清算账册及文件的保存</w:t>
      </w:r>
    </w:p>
    <w:p>
      <w:pPr>
        <w:adjustRightInd w:val="0"/>
        <w:snapToGrid w:val="0"/>
        <w:spacing w:line="360" w:lineRule="auto"/>
        <w:ind w:firstLine="480" w:firstLineChars="200"/>
        <w:rPr>
          <w:rFonts w:ascii="宋体" w:hAnsi="宋体"/>
          <w:sz w:val="24"/>
        </w:rPr>
      </w:pPr>
      <w:r>
        <w:rPr>
          <w:rFonts w:hint="eastAsia"/>
          <w:color w:val="0D0D0D"/>
          <w:sz w:val="24"/>
          <w:szCs w:val="24"/>
        </w:rPr>
        <w:t>基金财产清算账册及有关文件由基金托管人保存不低于法律法规规定的最低期限</w:t>
      </w:r>
      <w:r>
        <w:rPr>
          <w:rFonts w:hint="eastAsia" w:ascii="宋体" w:hAnsi="宋体"/>
          <w:sz w:val="24"/>
        </w:rPr>
        <w:t>。</w:t>
      </w:r>
    </w:p>
    <w:p>
      <w:pPr>
        <w:rPr>
          <w:rFonts w:ascii="宋体" w:hAnsi="宋体"/>
          <w:sz w:val="24"/>
        </w:rPr>
      </w:pPr>
      <w:r>
        <w:rPr>
          <w:rFonts w:hint="eastAsia" w:ascii="宋体" w:hAnsi="宋体"/>
          <w:sz w:val="24"/>
        </w:rPr>
        <w:br w:type="page"/>
      </w:r>
    </w:p>
    <w:p>
      <w:pPr>
        <w:adjustRightInd w:val="0"/>
        <w:snapToGrid w:val="0"/>
        <w:spacing w:line="360" w:lineRule="auto"/>
        <w:ind w:firstLine="480" w:firstLineChars="200"/>
        <w:rPr>
          <w:rFonts w:ascii="宋体" w:hAnsi="宋体"/>
          <w:sz w:val="24"/>
        </w:rPr>
      </w:pPr>
    </w:p>
    <w:p>
      <w:pPr>
        <w:widowControl/>
        <w:jc w:val="center"/>
        <w:outlineLvl w:val="0"/>
        <w:rPr>
          <w:b/>
          <w:bCs/>
          <w:sz w:val="30"/>
        </w:rPr>
      </w:pPr>
      <w:bookmarkStart w:id="111" w:name="_Toc48122022"/>
      <w:r>
        <w:rPr>
          <w:b/>
          <w:bCs/>
          <w:sz w:val="30"/>
        </w:rPr>
        <w:t>二十一、对基金份额持有人的服务</w:t>
      </w:r>
      <w:bookmarkEnd w:id="111"/>
    </w:p>
    <w:p>
      <w:pPr>
        <w:widowControl/>
        <w:adjustRightInd w:val="0"/>
        <w:snapToGrid w:val="0"/>
        <w:spacing w:line="360" w:lineRule="auto"/>
        <w:ind w:firstLine="480" w:firstLineChars="200"/>
        <w:rPr>
          <w:rFonts w:hAnsi="宋体"/>
          <w:kern w:val="0"/>
          <w:sz w:val="24"/>
          <w:szCs w:val="24"/>
        </w:rPr>
      </w:pPr>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w:t>
      </w:r>
      <w:r>
        <w:rPr>
          <w:rFonts w:hint="eastAsia" w:hAnsi="宋体"/>
          <w:b/>
          <w:kern w:val="0"/>
          <w:sz w:val="24"/>
        </w:rPr>
        <w:t>四</w:t>
      </w:r>
      <w:r>
        <w:rPr>
          <w:rFonts w:hAnsi="宋体"/>
          <w:b/>
          <w:kern w:val="0"/>
          <w:sz w:val="24"/>
        </w:rPr>
        <w:t>）定期定额投资计划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12" w:name="OLE_LINK11"/>
      <w:r>
        <w:rPr>
          <w:kern w:val="0"/>
          <w:sz w:val="24"/>
        </w:rPr>
        <w:t>管理人可通过销售机构为投资人提供定期定额投资的服务。通过定期定额</w:t>
      </w:r>
      <w:bookmarkEnd w:id="112"/>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（五）如本招募说明书存在任何您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3" w:name="_Toc48122023"/>
      <w:r>
        <w:rPr>
          <w:rFonts w:hint="eastAsia" w:ascii="宋体" w:hAnsi="宋体"/>
          <w:b/>
          <w:kern w:val="0"/>
          <w:sz w:val="30"/>
        </w:rPr>
        <w:t>二十二、其他应披露事项</w:t>
      </w:r>
      <w:bookmarkEnd w:id="113"/>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4" w:name="_Toc48122024"/>
      <w:r>
        <w:rPr>
          <w:rFonts w:hint="eastAsia" w:ascii="宋体" w:hAnsi="宋体"/>
          <w:b/>
          <w:kern w:val="0"/>
          <w:sz w:val="30"/>
        </w:rPr>
        <w:t>二十三、招募说明书的存放及查阅方式</w:t>
      </w:r>
      <w:bookmarkEnd w:id="114"/>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15" w:name="_Toc109537401"/>
      <w:r>
        <w:rPr>
          <w:rFonts w:ascii="宋体" w:hAnsi="宋体"/>
          <w:kern w:val="0"/>
          <w:sz w:val="24"/>
        </w:rPr>
        <w:t>间内取得上述文件复制件</w:t>
      </w:r>
      <w:bookmarkEnd w:id="115"/>
      <w:r>
        <w:rPr>
          <w:rFonts w:ascii="宋体" w:hAnsi="宋体"/>
          <w:kern w:val="0"/>
          <w:sz w:val="24"/>
        </w:rPr>
        <w:t>或复印件。对投资人按此种方式所获得的文件及其复印件，基金管理人和基金托管人</w:t>
      </w:r>
      <w:bookmarkStart w:id="116" w:name="_Toc109537402"/>
      <w:r>
        <w:rPr>
          <w:rFonts w:ascii="宋体" w:hAnsi="宋体"/>
          <w:kern w:val="0"/>
          <w:sz w:val="24"/>
        </w:rPr>
        <w:t>保证文本的内容与所公告的内容完全一</w:t>
      </w:r>
      <w:bookmarkEnd w:id="116"/>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7" w:name="_Toc48122025"/>
      <w:r>
        <w:rPr>
          <w:rFonts w:hint="eastAsia" w:ascii="宋体" w:hAnsi="宋体"/>
          <w:b/>
          <w:kern w:val="0"/>
          <w:sz w:val="30"/>
        </w:rPr>
        <w:t>二十四、备查文件</w:t>
      </w:r>
      <w:bookmarkEnd w:id="117"/>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瑞安</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瑞安</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瑞安</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w:t>
      </w:r>
      <w:r>
        <w:rPr>
          <w:rFonts w:hint="eastAsia" w:ascii="宋体" w:hAnsi="宋体"/>
          <w:kern w:val="0"/>
          <w:sz w:val="24"/>
        </w:rPr>
        <w:t>瑞安</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3</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交银施罗德瑞安混合型证券投资基金招募说明书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83E"/>
    <w:rsid w:val="00025D7E"/>
    <w:rsid w:val="00026566"/>
    <w:rsid w:val="0003244B"/>
    <w:rsid w:val="00032B65"/>
    <w:rsid w:val="00032ED5"/>
    <w:rsid w:val="00033D71"/>
    <w:rsid w:val="00034F61"/>
    <w:rsid w:val="0003520D"/>
    <w:rsid w:val="00035769"/>
    <w:rsid w:val="0003639E"/>
    <w:rsid w:val="00037275"/>
    <w:rsid w:val="000376EB"/>
    <w:rsid w:val="00041E92"/>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4367"/>
    <w:rsid w:val="00055357"/>
    <w:rsid w:val="000563F7"/>
    <w:rsid w:val="00056533"/>
    <w:rsid w:val="0005668A"/>
    <w:rsid w:val="00057796"/>
    <w:rsid w:val="00061974"/>
    <w:rsid w:val="00061F72"/>
    <w:rsid w:val="00062891"/>
    <w:rsid w:val="000635F3"/>
    <w:rsid w:val="00065B95"/>
    <w:rsid w:val="000663E4"/>
    <w:rsid w:val="0006649F"/>
    <w:rsid w:val="00066B5D"/>
    <w:rsid w:val="0006727E"/>
    <w:rsid w:val="0006731B"/>
    <w:rsid w:val="00067AC9"/>
    <w:rsid w:val="00070905"/>
    <w:rsid w:val="0007099B"/>
    <w:rsid w:val="00070FCE"/>
    <w:rsid w:val="00071F2F"/>
    <w:rsid w:val="00072162"/>
    <w:rsid w:val="0007227C"/>
    <w:rsid w:val="00072525"/>
    <w:rsid w:val="00072BF3"/>
    <w:rsid w:val="00073820"/>
    <w:rsid w:val="00073EE0"/>
    <w:rsid w:val="0007459F"/>
    <w:rsid w:val="000746DA"/>
    <w:rsid w:val="00074E2E"/>
    <w:rsid w:val="00075DD9"/>
    <w:rsid w:val="000766E4"/>
    <w:rsid w:val="00080148"/>
    <w:rsid w:val="0008018D"/>
    <w:rsid w:val="000808ED"/>
    <w:rsid w:val="000816D0"/>
    <w:rsid w:val="00081717"/>
    <w:rsid w:val="00081904"/>
    <w:rsid w:val="000825D3"/>
    <w:rsid w:val="00082AB1"/>
    <w:rsid w:val="00082BA8"/>
    <w:rsid w:val="00084506"/>
    <w:rsid w:val="00084CED"/>
    <w:rsid w:val="0008593A"/>
    <w:rsid w:val="000866EF"/>
    <w:rsid w:val="00087169"/>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0CF9"/>
    <w:rsid w:val="000A1DC7"/>
    <w:rsid w:val="000A21D3"/>
    <w:rsid w:val="000A2FD3"/>
    <w:rsid w:val="000A3044"/>
    <w:rsid w:val="000A365C"/>
    <w:rsid w:val="000A36E6"/>
    <w:rsid w:val="000A3CA6"/>
    <w:rsid w:val="000A3FB4"/>
    <w:rsid w:val="000A553E"/>
    <w:rsid w:val="000A775B"/>
    <w:rsid w:val="000B07CA"/>
    <w:rsid w:val="000B086A"/>
    <w:rsid w:val="000B1A18"/>
    <w:rsid w:val="000B26A8"/>
    <w:rsid w:val="000B3D39"/>
    <w:rsid w:val="000B4C2D"/>
    <w:rsid w:val="000B4FB6"/>
    <w:rsid w:val="000B6967"/>
    <w:rsid w:val="000B78FB"/>
    <w:rsid w:val="000C0148"/>
    <w:rsid w:val="000C1A8D"/>
    <w:rsid w:val="000C2295"/>
    <w:rsid w:val="000C2DD2"/>
    <w:rsid w:val="000C2E07"/>
    <w:rsid w:val="000C3B4C"/>
    <w:rsid w:val="000C4E01"/>
    <w:rsid w:val="000C650A"/>
    <w:rsid w:val="000C7711"/>
    <w:rsid w:val="000C7F7F"/>
    <w:rsid w:val="000D0D52"/>
    <w:rsid w:val="000D0ED3"/>
    <w:rsid w:val="000D1375"/>
    <w:rsid w:val="000D37C6"/>
    <w:rsid w:val="000D3A89"/>
    <w:rsid w:val="000D49D5"/>
    <w:rsid w:val="000D52A6"/>
    <w:rsid w:val="000D5329"/>
    <w:rsid w:val="000D55B0"/>
    <w:rsid w:val="000D5EB3"/>
    <w:rsid w:val="000D6B73"/>
    <w:rsid w:val="000D76D1"/>
    <w:rsid w:val="000E03C3"/>
    <w:rsid w:val="000E1BE0"/>
    <w:rsid w:val="000E32F8"/>
    <w:rsid w:val="000E3675"/>
    <w:rsid w:val="000E3794"/>
    <w:rsid w:val="000E3A6B"/>
    <w:rsid w:val="000E3F89"/>
    <w:rsid w:val="000E4049"/>
    <w:rsid w:val="000E4073"/>
    <w:rsid w:val="000E410D"/>
    <w:rsid w:val="000E456C"/>
    <w:rsid w:val="000E53EB"/>
    <w:rsid w:val="000E57A1"/>
    <w:rsid w:val="000F1899"/>
    <w:rsid w:val="000F2783"/>
    <w:rsid w:val="000F5072"/>
    <w:rsid w:val="000F525A"/>
    <w:rsid w:val="000F5363"/>
    <w:rsid w:val="000F603F"/>
    <w:rsid w:val="000F6855"/>
    <w:rsid w:val="000F7635"/>
    <w:rsid w:val="00100052"/>
    <w:rsid w:val="001005E7"/>
    <w:rsid w:val="0010062F"/>
    <w:rsid w:val="00100DB6"/>
    <w:rsid w:val="00100FB6"/>
    <w:rsid w:val="00101BCD"/>
    <w:rsid w:val="00101D6B"/>
    <w:rsid w:val="00101DDD"/>
    <w:rsid w:val="00102F17"/>
    <w:rsid w:val="001032A4"/>
    <w:rsid w:val="0010389E"/>
    <w:rsid w:val="00103B2F"/>
    <w:rsid w:val="00104092"/>
    <w:rsid w:val="00105E2F"/>
    <w:rsid w:val="00106936"/>
    <w:rsid w:val="00106E70"/>
    <w:rsid w:val="00107C20"/>
    <w:rsid w:val="00107D4B"/>
    <w:rsid w:val="00107D54"/>
    <w:rsid w:val="00107EED"/>
    <w:rsid w:val="001110CF"/>
    <w:rsid w:val="00111562"/>
    <w:rsid w:val="00111801"/>
    <w:rsid w:val="0011248F"/>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3D21"/>
    <w:rsid w:val="00134304"/>
    <w:rsid w:val="001347F3"/>
    <w:rsid w:val="00135C0D"/>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CDE"/>
    <w:rsid w:val="001577C7"/>
    <w:rsid w:val="00157AAF"/>
    <w:rsid w:val="00160163"/>
    <w:rsid w:val="001623B0"/>
    <w:rsid w:val="001629C9"/>
    <w:rsid w:val="001629DE"/>
    <w:rsid w:val="001648AA"/>
    <w:rsid w:val="001651A4"/>
    <w:rsid w:val="00165F32"/>
    <w:rsid w:val="00166E4B"/>
    <w:rsid w:val="00166E76"/>
    <w:rsid w:val="00167015"/>
    <w:rsid w:val="001670ED"/>
    <w:rsid w:val="0017072D"/>
    <w:rsid w:val="001723A3"/>
    <w:rsid w:val="00172632"/>
    <w:rsid w:val="00172A27"/>
    <w:rsid w:val="00172E25"/>
    <w:rsid w:val="00172E34"/>
    <w:rsid w:val="00172FA0"/>
    <w:rsid w:val="001732A9"/>
    <w:rsid w:val="001735DD"/>
    <w:rsid w:val="00174853"/>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AA9"/>
    <w:rsid w:val="00191CCD"/>
    <w:rsid w:val="0019213F"/>
    <w:rsid w:val="001923D6"/>
    <w:rsid w:val="001937E8"/>
    <w:rsid w:val="00193A52"/>
    <w:rsid w:val="001940CA"/>
    <w:rsid w:val="0019505F"/>
    <w:rsid w:val="00195AEF"/>
    <w:rsid w:val="001961EE"/>
    <w:rsid w:val="0019658D"/>
    <w:rsid w:val="0019719A"/>
    <w:rsid w:val="001978C7"/>
    <w:rsid w:val="001A1652"/>
    <w:rsid w:val="001A191E"/>
    <w:rsid w:val="001A2DD1"/>
    <w:rsid w:val="001A3878"/>
    <w:rsid w:val="001A39CE"/>
    <w:rsid w:val="001A401D"/>
    <w:rsid w:val="001A49AE"/>
    <w:rsid w:val="001A57CF"/>
    <w:rsid w:val="001A58FE"/>
    <w:rsid w:val="001A63B8"/>
    <w:rsid w:val="001B0D8E"/>
    <w:rsid w:val="001B2567"/>
    <w:rsid w:val="001B30C8"/>
    <w:rsid w:val="001B33A8"/>
    <w:rsid w:val="001B4357"/>
    <w:rsid w:val="001B468A"/>
    <w:rsid w:val="001B46A1"/>
    <w:rsid w:val="001B480D"/>
    <w:rsid w:val="001B5948"/>
    <w:rsid w:val="001B63A2"/>
    <w:rsid w:val="001B65BB"/>
    <w:rsid w:val="001B77C4"/>
    <w:rsid w:val="001B7CA2"/>
    <w:rsid w:val="001C3484"/>
    <w:rsid w:val="001C3695"/>
    <w:rsid w:val="001C3EAB"/>
    <w:rsid w:val="001C52A7"/>
    <w:rsid w:val="001C5648"/>
    <w:rsid w:val="001C5BF4"/>
    <w:rsid w:val="001C5EC3"/>
    <w:rsid w:val="001C651B"/>
    <w:rsid w:val="001C735A"/>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F046C"/>
    <w:rsid w:val="001F103E"/>
    <w:rsid w:val="001F1BCF"/>
    <w:rsid w:val="001F231A"/>
    <w:rsid w:val="001F267C"/>
    <w:rsid w:val="001F2812"/>
    <w:rsid w:val="001F28DB"/>
    <w:rsid w:val="001F3D5E"/>
    <w:rsid w:val="001F4DF7"/>
    <w:rsid w:val="001F4EDB"/>
    <w:rsid w:val="001F52BC"/>
    <w:rsid w:val="001F6638"/>
    <w:rsid w:val="001F6E63"/>
    <w:rsid w:val="00200729"/>
    <w:rsid w:val="0020102F"/>
    <w:rsid w:val="00201882"/>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9B0"/>
    <w:rsid w:val="00222DC0"/>
    <w:rsid w:val="002233A2"/>
    <w:rsid w:val="00223DD8"/>
    <w:rsid w:val="0022464C"/>
    <w:rsid w:val="00225114"/>
    <w:rsid w:val="0022586B"/>
    <w:rsid w:val="00226E99"/>
    <w:rsid w:val="00227112"/>
    <w:rsid w:val="0022796A"/>
    <w:rsid w:val="00227971"/>
    <w:rsid w:val="0023033A"/>
    <w:rsid w:val="002339A6"/>
    <w:rsid w:val="002344C9"/>
    <w:rsid w:val="00234677"/>
    <w:rsid w:val="00235005"/>
    <w:rsid w:val="0023502A"/>
    <w:rsid w:val="002363AE"/>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77"/>
    <w:rsid w:val="002517FA"/>
    <w:rsid w:val="002519BA"/>
    <w:rsid w:val="0025234F"/>
    <w:rsid w:val="00253250"/>
    <w:rsid w:val="0025340B"/>
    <w:rsid w:val="002535F7"/>
    <w:rsid w:val="00253CD8"/>
    <w:rsid w:val="002551F1"/>
    <w:rsid w:val="002553F3"/>
    <w:rsid w:val="00256021"/>
    <w:rsid w:val="002564B8"/>
    <w:rsid w:val="00256ACE"/>
    <w:rsid w:val="0025795A"/>
    <w:rsid w:val="00261278"/>
    <w:rsid w:val="0026254E"/>
    <w:rsid w:val="002635EC"/>
    <w:rsid w:val="00264191"/>
    <w:rsid w:val="00264AD1"/>
    <w:rsid w:val="00265A1F"/>
    <w:rsid w:val="00265FD2"/>
    <w:rsid w:val="002661A3"/>
    <w:rsid w:val="00266ACE"/>
    <w:rsid w:val="00266B21"/>
    <w:rsid w:val="00272220"/>
    <w:rsid w:val="002724C0"/>
    <w:rsid w:val="00272795"/>
    <w:rsid w:val="00273181"/>
    <w:rsid w:val="00274DB0"/>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79EB"/>
    <w:rsid w:val="002A1944"/>
    <w:rsid w:val="002A25B1"/>
    <w:rsid w:val="002A2657"/>
    <w:rsid w:val="002A30AC"/>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269B"/>
    <w:rsid w:val="002C3B98"/>
    <w:rsid w:val="002C4278"/>
    <w:rsid w:val="002C6411"/>
    <w:rsid w:val="002C6AD4"/>
    <w:rsid w:val="002C77BA"/>
    <w:rsid w:val="002C7A89"/>
    <w:rsid w:val="002D17E5"/>
    <w:rsid w:val="002D193A"/>
    <w:rsid w:val="002D19CB"/>
    <w:rsid w:val="002D1D28"/>
    <w:rsid w:val="002D2527"/>
    <w:rsid w:val="002D355B"/>
    <w:rsid w:val="002D4CAA"/>
    <w:rsid w:val="002D53B5"/>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3B9A"/>
    <w:rsid w:val="003143D5"/>
    <w:rsid w:val="0031526E"/>
    <w:rsid w:val="00316510"/>
    <w:rsid w:val="003166AE"/>
    <w:rsid w:val="00316DA0"/>
    <w:rsid w:val="00316FC1"/>
    <w:rsid w:val="00320B50"/>
    <w:rsid w:val="003221C1"/>
    <w:rsid w:val="00322B67"/>
    <w:rsid w:val="00322DA4"/>
    <w:rsid w:val="00323072"/>
    <w:rsid w:val="00323779"/>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701"/>
    <w:rsid w:val="003447A5"/>
    <w:rsid w:val="00344829"/>
    <w:rsid w:val="00344A3B"/>
    <w:rsid w:val="00345DE5"/>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2A1"/>
    <w:rsid w:val="00372916"/>
    <w:rsid w:val="00372DAB"/>
    <w:rsid w:val="00372E5D"/>
    <w:rsid w:val="00372E9D"/>
    <w:rsid w:val="0037356F"/>
    <w:rsid w:val="003745A7"/>
    <w:rsid w:val="00374ABC"/>
    <w:rsid w:val="003750FA"/>
    <w:rsid w:val="00375104"/>
    <w:rsid w:val="00375A29"/>
    <w:rsid w:val="00375DCF"/>
    <w:rsid w:val="00375ECD"/>
    <w:rsid w:val="0037714B"/>
    <w:rsid w:val="003775BF"/>
    <w:rsid w:val="00380592"/>
    <w:rsid w:val="003805DF"/>
    <w:rsid w:val="00380AF9"/>
    <w:rsid w:val="00380F4B"/>
    <w:rsid w:val="00381452"/>
    <w:rsid w:val="0038287E"/>
    <w:rsid w:val="00383134"/>
    <w:rsid w:val="00384AEF"/>
    <w:rsid w:val="00384D22"/>
    <w:rsid w:val="00385221"/>
    <w:rsid w:val="003859DF"/>
    <w:rsid w:val="00385C62"/>
    <w:rsid w:val="00385CDC"/>
    <w:rsid w:val="0038695A"/>
    <w:rsid w:val="003874B9"/>
    <w:rsid w:val="00387671"/>
    <w:rsid w:val="00387ABE"/>
    <w:rsid w:val="003909E2"/>
    <w:rsid w:val="00391677"/>
    <w:rsid w:val="003921C4"/>
    <w:rsid w:val="00392C8E"/>
    <w:rsid w:val="003931C6"/>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6B78"/>
    <w:rsid w:val="003B7286"/>
    <w:rsid w:val="003C048E"/>
    <w:rsid w:val="003C0901"/>
    <w:rsid w:val="003C0ED9"/>
    <w:rsid w:val="003C0F87"/>
    <w:rsid w:val="003C2778"/>
    <w:rsid w:val="003C2DAE"/>
    <w:rsid w:val="003C2E24"/>
    <w:rsid w:val="003C354F"/>
    <w:rsid w:val="003C44DB"/>
    <w:rsid w:val="003C4D79"/>
    <w:rsid w:val="003C6226"/>
    <w:rsid w:val="003C7623"/>
    <w:rsid w:val="003D0009"/>
    <w:rsid w:val="003D08F8"/>
    <w:rsid w:val="003D0EF7"/>
    <w:rsid w:val="003D1A34"/>
    <w:rsid w:val="003D1D93"/>
    <w:rsid w:val="003D381F"/>
    <w:rsid w:val="003D5261"/>
    <w:rsid w:val="003D5457"/>
    <w:rsid w:val="003D54ED"/>
    <w:rsid w:val="003D5728"/>
    <w:rsid w:val="003D5A80"/>
    <w:rsid w:val="003D7221"/>
    <w:rsid w:val="003E03BB"/>
    <w:rsid w:val="003E1676"/>
    <w:rsid w:val="003E1CAC"/>
    <w:rsid w:val="003E2863"/>
    <w:rsid w:val="003E33E0"/>
    <w:rsid w:val="003E44F3"/>
    <w:rsid w:val="003E47F7"/>
    <w:rsid w:val="003E5507"/>
    <w:rsid w:val="003E5FEA"/>
    <w:rsid w:val="003E63B2"/>
    <w:rsid w:val="003E6434"/>
    <w:rsid w:val="003E6C43"/>
    <w:rsid w:val="003F0623"/>
    <w:rsid w:val="003F0BB2"/>
    <w:rsid w:val="003F0BCA"/>
    <w:rsid w:val="003F0EB4"/>
    <w:rsid w:val="003F14E9"/>
    <w:rsid w:val="003F3D73"/>
    <w:rsid w:val="003F4168"/>
    <w:rsid w:val="003F416E"/>
    <w:rsid w:val="003F5225"/>
    <w:rsid w:val="003F54A3"/>
    <w:rsid w:val="003F6A96"/>
    <w:rsid w:val="003F6DDA"/>
    <w:rsid w:val="003F6DDC"/>
    <w:rsid w:val="003F71DE"/>
    <w:rsid w:val="003F7771"/>
    <w:rsid w:val="003F7C6A"/>
    <w:rsid w:val="00400425"/>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3DC6"/>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90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03A2"/>
    <w:rsid w:val="0046105A"/>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1A4"/>
    <w:rsid w:val="00471F0A"/>
    <w:rsid w:val="0047277B"/>
    <w:rsid w:val="00472839"/>
    <w:rsid w:val="00473C4C"/>
    <w:rsid w:val="00473F40"/>
    <w:rsid w:val="004742B0"/>
    <w:rsid w:val="00476370"/>
    <w:rsid w:val="00482082"/>
    <w:rsid w:val="004843FF"/>
    <w:rsid w:val="00485CB4"/>
    <w:rsid w:val="0048650E"/>
    <w:rsid w:val="00486983"/>
    <w:rsid w:val="00486AEC"/>
    <w:rsid w:val="00487F1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2829"/>
    <w:rsid w:val="004B2CD5"/>
    <w:rsid w:val="004B35FB"/>
    <w:rsid w:val="004B3EF9"/>
    <w:rsid w:val="004B4A08"/>
    <w:rsid w:val="004B550D"/>
    <w:rsid w:val="004B7AAA"/>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0A8"/>
    <w:rsid w:val="004E365D"/>
    <w:rsid w:val="004E47B0"/>
    <w:rsid w:val="004E5302"/>
    <w:rsid w:val="004E592A"/>
    <w:rsid w:val="004E66D9"/>
    <w:rsid w:val="004E6CFB"/>
    <w:rsid w:val="004E708A"/>
    <w:rsid w:val="004E70DF"/>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0E18"/>
    <w:rsid w:val="005019DC"/>
    <w:rsid w:val="00501C88"/>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4DD4"/>
    <w:rsid w:val="005158B6"/>
    <w:rsid w:val="00515D02"/>
    <w:rsid w:val="005176CA"/>
    <w:rsid w:val="00517AF3"/>
    <w:rsid w:val="005204D3"/>
    <w:rsid w:val="0052156C"/>
    <w:rsid w:val="00522DD9"/>
    <w:rsid w:val="00522E7B"/>
    <w:rsid w:val="0052347F"/>
    <w:rsid w:val="005243A5"/>
    <w:rsid w:val="00526D70"/>
    <w:rsid w:val="00530A28"/>
    <w:rsid w:val="00531600"/>
    <w:rsid w:val="00531CA1"/>
    <w:rsid w:val="0053310F"/>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5394"/>
    <w:rsid w:val="00547CBE"/>
    <w:rsid w:val="0055062D"/>
    <w:rsid w:val="00550BC2"/>
    <w:rsid w:val="00551290"/>
    <w:rsid w:val="00551870"/>
    <w:rsid w:val="00552A56"/>
    <w:rsid w:val="00552FC3"/>
    <w:rsid w:val="00552FD0"/>
    <w:rsid w:val="00553106"/>
    <w:rsid w:val="00553F17"/>
    <w:rsid w:val="00554639"/>
    <w:rsid w:val="00554C85"/>
    <w:rsid w:val="005550E5"/>
    <w:rsid w:val="0055516B"/>
    <w:rsid w:val="005552C2"/>
    <w:rsid w:val="00555764"/>
    <w:rsid w:val="00555F2C"/>
    <w:rsid w:val="005565C9"/>
    <w:rsid w:val="00556A03"/>
    <w:rsid w:val="00557087"/>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36"/>
    <w:rsid w:val="005732A2"/>
    <w:rsid w:val="0057377B"/>
    <w:rsid w:val="00573904"/>
    <w:rsid w:val="00574190"/>
    <w:rsid w:val="00574893"/>
    <w:rsid w:val="00575FD9"/>
    <w:rsid w:val="0057709D"/>
    <w:rsid w:val="005778A7"/>
    <w:rsid w:val="0058033F"/>
    <w:rsid w:val="00582518"/>
    <w:rsid w:val="005829DC"/>
    <w:rsid w:val="00583F3A"/>
    <w:rsid w:val="00584D64"/>
    <w:rsid w:val="00585772"/>
    <w:rsid w:val="005857B3"/>
    <w:rsid w:val="0058672E"/>
    <w:rsid w:val="0058765F"/>
    <w:rsid w:val="0059002B"/>
    <w:rsid w:val="005906B2"/>
    <w:rsid w:val="005907BE"/>
    <w:rsid w:val="0059094D"/>
    <w:rsid w:val="00590956"/>
    <w:rsid w:val="005914C2"/>
    <w:rsid w:val="00592EA6"/>
    <w:rsid w:val="0059426B"/>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A7A"/>
    <w:rsid w:val="005D5D38"/>
    <w:rsid w:val="005D5E21"/>
    <w:rsid w:val="005D6586"/>
    <w:rsid w:val="005D7F7E"/>
    <w:rsid w:val="005E114F"/>
    <w:rsid w:val="005E23A3"/>
    <w:rsid w:val="005E23C6"/>
    <w:rsid w:val="005E4189"/>
    <w:rsid w:val="005E4237"/>
    <w:rsid w:val="005E4D0A"/>
    <w:rsid w:val="005E5BAA"/>
    <w:rsid w:val="005E672A"/>
    <w:rsid w:val="005E6C6B"/>
    <w:rsid w:val="005F0530"/>
    <w:rsid w:val="005F1A0A"/>
    <w:rsid w:val="005F2CE0"/>
    <w:rsid w:val="005F3A68"/>
    <w:rsid w:val="005F3BD1"/>
    <w:rsid w:val="005F3BDB"/>
    <w:rsid w:val="005F4BC5"/>
    <w:rsid w:val="005F4D9E"/>
    <w:rsid w:val="005F505B"/>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3C44"/>
    <w:rsid w:val="0062463B"/>
    <w:rsid w:val="00624A86"/>
    <w:rsid w:val="006257FC"/>
    <w:rsid w:val="00626415"/>
    <w:rsid w:val="00626C74"/>
    <w:rsid w:val="00626E14"/>
    <w:rsid w:val="00627D7E"/>
    <w:rsid w:val="00630233"/>
    <w:rsid w:val="00630B14"/>
    <w:rsid w:val="00632217"/>
    <w:rsid w:val="006336B5"/>
    <w:rsid w:val="006342EB"/>
    <w:rsid w:val="0063466A"/>
    <w:rsid w:val="00634A6B"/>
    <w:rsid w:val="0063532E"/>
    <w:rsid w:val="0063638D"/>
    <w:rsid w:val="00636B31"/>
    <w:rsid w:val="0064002B"/>
    <w:rsid w:val="0064179F"/>
    <w:rsid w:val="006423D5"/>
    <w:rsid w:val="00642CA9"/>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4D6"/>
    <w:rsid w:val="00655AEC"/>
    <w:rsid w:val="00655BE9"/>
    <w:rsid w:val="00655FDD"/>
    <w:rsid w:val="00657EB0"/>
    <w:rsid w:val="00660F7D"/>
    <w:rsid w:val="0066106E"/>
    <w:rsid w:val="006615DA"/>
    <w:rsid w:val="006618D8"/>
    <w:rsid w:val="006621AB"/>
    <w:rsid w:val="0066311F"/>
    <w:rsid w:val="00663EA5"/>
    <w:rsid w:val="00663FAA"/>
    <w:rsid w:val="0066474C"/>
    <w:rsid w:val="00665BB1"/>
    <w:rsid w:val="00665BEB"/>
    <w:rsid w:val="00666A5B"/>
    <w:rsid w:val="00666AB3"/>
    <w:rsid w:val="006674A2"/>
    <w:rsid w:val="00667F13"/>
    <w:rsid w:val="0067087C"/>
    <w:rsid w:val="00670F48"/>
    <w:rsid w:val="00671603"/>
    <w:rsid w:val="0067415B"/>
    <w:rsid w:val="006744F8"/>
    <w:rsid w:val="00675DC1"/>
    <w:rsid w:val="00680CB7"/>
    <w:rsid w:val="006811F4"/>
    <w:rsid w:val="00681610"/>
    <w:rsid w:val="00681FB1"/>
    <w:rsid w:val="00682FDA"/>
    <w:rsid w:val="006837D9"/>
    <w:rsid w:val="0068511A"/>
    <w:rsid w:val="0068614B"/>
    <w:rsid w:val="006861DF"/>
    <w:rsid w:val="00687099"/>
    <w:rsid w:val="00687317"/>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759"/>
    <w:rsid w:val="00695B1F"/>
    <w:rsid w:val="00695F84"/>
    <w:rsid w:val="00696172"/>
    <w:rsid w:val="006972ED"/>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2E3F"/>
    <w:rsid w:val="006F3EB0"/>
    <w:rsid w:val="006F4975"/>
    <w:rsid w:val="006F4E34"/>
    <w:rsid w:val="006F538A"/>
    <w:rsid w:val="006F576D"/>
    <w:rsid w:val="006F5A07"/>
    <w:rsid w:val="006F6440"/>
    <w:rsid w:val="0070029F"/>
    <w:rsid w:val="00700FE8"/>
    <w:rsid w:val="007012B3"/>
    <w:rsid w:val="007023A3"/>
    <w:rsid w:val="00702BB7"/>
    <w:rsid w:val="00703C5F"/>
    <w:rsid w:val="007051FF"/>
    <w:rsid w:val="0070599E"/>
    <w:rsid w:val="00705F08"/>
    <w:rsid w:val="00706531"/>
    <w:rsid w:val="0070663B"/>
    <w:rsid w:val="00706AA1"/>
    <w:rsid w:val="00706E7C"/>
    <w:rsid w:val="0070769C"/>
    <w:rsid w:val="00707BDA"/>
    <w:rsid w:val="0071075F"/>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1BC8"/>
    <w:rsid w:val="00731BD2"/>
    <w:rsid w:val="007320EA"/>
    <w:rsid w:val="007337DC"/>
    <w:rsid w:val="007347DE"/>
    <w:rsid w:val="00735259"/>
    <w:rsid w:val="00735D1E"/>
    <w:rsid w:val="00736156"/>
    <w:rsid w:val="00736301"/>
    <w:rsid w:val="0073641B"/>
    <w:rsid w:val="00736743"/>
    <w:rsid w:val="00736F61"/>
    <w:rsid w:val="007405DF"/>
    <w:rsid w:val="00740FC0"/>
    <w:rsid w:val="00741040"/>
    <w:rsid w:val="00741F61"/>
    <w:rsid w:val="00742EA7"/>
    <w:rsid w:val="00743099"/>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1D8"/>
    <w:rsid w:val="00757019"/>
    <w:rsid w:val="007572CC"/>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3A46"/>
    <w:rsid w:val="0077427F"/>
    <w:rsid w:val="007745F5"/>
    <w:rsid w:val="00775D35"/>
    <w:rsid w:val="007766F4"/>
    <w:rsid w:val="00777A67"/>
    <w:rsid w:val="0078022D"/>
    <w:rsid w:val="00782355"/>
    <w:rsid w:val="007826AD"/>
    <w:rsid w:val="00783313"/>
    <w:rsid w:val="00783C52"/>
    <w:rsid w:val="00785158"/>
    <w:rsid w:val="007867E8"/>
    <w:rsid w:val="007868EC"/>
    <w:rsid w:val="00786C14"/>
    <w:rsid w:val="00786E0E"/>
    <w:rsid w:val="007875DD"/>
    <w:rsid w:val="00790DE4"/>
    <w:rsid w:val="00790E3F"/>
    <w:rsid w:val="00791EA5"/>
    <w:rsid w:val="00792185"/>
    <w:rsid w:val="007929A8"/>
    <w:rsid w:val="00792D39"/>
    <w:rsid w:val="00793126"/>
    <w:rsid w:val="0079319F"/>
    <w:rsid w:val="007937F7"/>
    <w:rsid w:val="00793A49"/>
    <w:rsid w:val="00793F2F"/>
    <w:rsid w:val="007945B3"/>
    <w:rsid w:val="00795E0C"/>
    <w:rsid w:val="00795EB8"/>
    <w:rsid w:val="007960FA"/>
    <w:rsid w:val="007967CF"/>
    <w:rsid w:val="007A1A8E"/>
    <w:rsid w:val="007A3220"/>
    <w:rsid w:val="007A32D9"/>
    <w:rsid w:val="007A3D6D"/>
    <w:rsid w:val="007A3F9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2E52"/>
    <w:rsid w:val="007B45A6"/>
    <w:rsid w:val="007B4935"/>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2D16"/>
    <w:rsid w:val="007D34CA"/>
    <w:rsid w:val="007D4016"/>
    <w:rsid w:val="007D4397"/>
    <w:rsid w:val="007D44A5"/>
    <w:rsid w:val="007D4786"/>
    <w:rsid w:val="007D63A9"/>
    <w:rsid w:val="007D679D"/>
    <w:rsid w:val="007D6863"/>
    <w:rsid w:val="007D78E3"/>
    <w:rsid w:val="007E004E"/>
    <w:rsid w:val="007E053E"/>
    <w:rsid w:val="007E0C0D"/>
    <w:rsid w:val="007E0EC6"/>
    <w:rsid w:val="007E0ED1"/>
    <w:rsid w:val="007E1C5A"/>
    <w:rsid w:val="007E1C84"/>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491D"/>
    <w:rsid w:val="007F554C"/>
    <w:rsid w:val="007F6178"/>
    <w:rsid w:val="007F72D0"/>
    <w:rsid w:val="007F7A67"/>
    <w:rsid w:val="00800FB7"/>
    <w:rsid w:val="00800FEF"/>
    <w:rsid w:val="00801694"/>
    <w:rsid w:val="00801FF2"/>
    <w:rsid w:val="00802335"/>
    <w:rsid w:val="0080244C"/>
    <w:rsid w:val="00802616"/>
    <w:rsid w:val="00802901"/>
    <w:rsid w:val="00802B1A"/>
    <w:rsid w:val="00803291"/>
    <w:rsid w:val="008034A0"/>
    <w:rsid w:val="00804079"/>
    <w:rsid w:val="0080472B"/>
    <w:rsid w:val="008048F0"/>
    <w:rsid w:val="00806A8D"/>
    <w:rsid w:val="00810770"/>
    <w:rsid w:val="00810C57"/>
    <w:rsid w:val="00812530"/>
    <w:rsid w:val="00813E21"/>
    <w:rsid w:val="00814089"/>
    <w:rsid w:val="008144C5"/>
    <w:rsid w:val="00814E15"/>
    <w:rsid w:val="00815D36"/>
    <w:rsid w:val="00816291"/>
    <w:rsid w:val="00817689"/>
    <w:rsid w:val="008178D3"/>
    <w:rsid w:val="00821779"/>
    <w:rsid w:val="0082285D"/>
    <w:rsid w:val="00822FB3"/>
    <w:rsid w:val="0082331F"/>
    <w:rsid w:val="00823DAC"/>
    <w:rsid w:val="008245F5"/>
    <w:rsid w:val="0082493F"/>
    <w:rsid w:val="00824C78"/>
    <w:rsid w:val="008264FD"/>
    <w:rsid w:val="00826C9B"/>
    <w:rsid w:val="00827184"/>
    <w:rsid w:val="0082751E"/>
    <w:rsid w:val="00827733"/>
    <w:rsid w:val="00827B78"/>
    <w:rsid w:val="00827DAA"/>
    <w:rsid w:val="008302D0"/>
    <w:rsid w:val="00831027"/>
    <w:rsid w:val="00833A06"/>
    <w:rsid w:val="00834F62"/>
    <w:rsid w:val="00835298"/>
    <w:rsid w:val="008359F4"/>
    <w:rsid w:val="00836205"/>
    <w:rsid w:val="00836272"/>
    <w:rsid w:val="008363F4"/>
    <w:rsid w:val="00836C67"/>
    <w:rsid w:val="00840261"/>
    <w:rsid w:val="00840A02"/>
    <w:rsid w:val="00840CBE"/>
    <w:rsid w:val="00840FFD"/>
    <w:rsid w:val="00841356"/>
    <w:rsid w:val="0084140C"/>
    <w:rsid w:val="008420CC"/>
    <w:rsid w:val="00842CAD"/>
    <w:rsid w:val="00842E10"/>
    <w:rsid w:val="00842F1A"/>
    <w:rsid w:val="0084333E"/>
    <w:rsid w:val="008433DA"/>
    <w:rsid w:val="00844263"/>
    <w:rsid w:val="008445DA"/>
    <w:rsid w:val="00844886"/>
    <w:rsid w:val="00844FE8"/>
    <w:rsid w:val="00845910"/>
    <w:rsid w:val="0084592E"/>
    <w:rsid w:val="00846FED"/>
    <w:rsid w:val="008475AC"/>
    <w:rsid w:val="00847B3F"/>
    <w:rsid w:val="00850D31"/>
    <w:rsid w:val="0085161C"/>
    <w:rsid w:val="00851999"/>
    <w:rsid w:val="00851A7D"/>
    <w:rsid w:val="00851F67"/>
    <w:rsid w:val="00851FF5"/>
    <w:rsid w:val="00853D16"/>
    <w:rsid w:val="00854185"/>
    <w:rsid w:val="008543A1"/>
    <w:rsid w:val="00854F1C"/>
    <w:rsid w:val="00856AA0"/>
    <w:rsid w:val="00856C51"/>
    <w:rsid w:val="00856DCD"/>
    <w:rsid w:val="00857A8E"/>
    <w:rsid w:val="00857D2C"/>
    <w:rsid w:val="00860534"/>
    <w:rsid w:val="0086069E"/>
    <w:rsid w:val="00861213"/>
    <w:rsid w:val="00861580"/>
    <w:rsid w:val="00861F57"/>
    <w:rsid w:val="00862C3D"/>
    <w:rsid w:val="0086454A"/>
    <w:rsid w:val="00864858"/>
    <w:rsid w:val="008653A5"/>
    <w:rsid w:val="00865690"/>
    <w:rsid w:val="00870343"/>
    <w:rsid w:val="00870BF4"/>
    <w:rsid w:val="00872066"/>
    <w:rsid w:val="00872620"/>
    <w:rsid w:val="00873F21"/>
    <w:rsid w:val="00874F17"/>
    <w:rsid w:val="00875AB6"/>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977B2"/>
    <w:rsid w:val="008A061B"/>
    <w:rsid w:val="008A2915"/>
    <w:rsid w:val="008A2B9F"/>
    <w:rsid w:val="008A302A"/>
    <w:rsid w:val="008A3387"/>
    <w:rsid w:val="008A3D1E"/>
    <w:rsid w:val="008A5275"/>
    <w:rsid w:val="008A6943"/>
    <w:rsid w:val="008B0B9D"/>
    <w:rsid w:val="008B4DBE"/>
    <w:rsid w:val="008B4EF3"/>
    <w:rsid w:val="008B5E6E"/>
    <w:rsid w:val="008B6E82"/>
    <w:rsid w:val="008B7A5D"/>
    <w:rsid w:val="008B7EBB"/>
    <w:rsid w:val="008C08C9"/>
    <w:rsid w:val="008C14F3"/>
    <w:rsid w:val="008C3274"/>
    <w:rsid w:val="008C32A7"/>
    <w:rsid w:val="008C3356"/>
    <w:rsid w:val="008C35AD"/>
    <w:rsid w:val="008C41CA"/>
    <w:rsid w:val="008C430B"/>
    <w:rsid w:val="008C44A1"/>
    <w:rsid w:val="008C47AB"/>
    <w:rsid w:val="008C4BE2"/>
    <w:rsid w:val="008C4DFF"/>
    <w:rsid w:val="008C55B3"/>
    <w:rsid w:val="008C56D8"/>
    <w:rsid w:val="008C780B"/>
    <w:rsid w:val="008C7D49"/>
    <w:rsid w:val="008D02E0"/>
    <w:rsid w:val="008D0349"/>
    <w:rsid w:val="008D0B42"/>
    <w:rsid w:val="008D0F82"/>
    <w:rsid w:val="008D2C09"/>
    <w:rsid w:val="008D319B"/>
    <w:rsid w:val="008D35A3"/>
    <w:rsid w:val="008D3A2B"/>
    <w:rsid w:val="008D3BDC"/>
    <w:rsid w:val="008D4293"/>
    <w:rsid w:val="008D484D"/>
    <w:rsid w:val="008D59D5"/>
    <w:rsid w:val="008D5FB4"/>
    <w:rsid w:val="008D6167"/>
    <w:rsid w:val="008D6179"/>
    <w:rsid w:val="008E0605"/>
    <w:rsid w:val="008E1A59"/>
    <w:rsid w:val="008E4285"/>
    <w:rsid w:val="008E57BE"/>
    <w:rsid w:val="008E5973"/>
    <w:rsid w:val="008E5AD7"/>
    <w:rsid w:val="008E5C7F"/>
    <w:rsid w:val="008E5CFF"/>
    <w:rsid w:val="008E648E"/>
    <w:rsid w:val="008E6EB2"/>
    <w:rsid w:val="008E7213"/>
    <w:rsid w:val="008E7649"/>
    <w:rsid w:val="008F0327"/>
    <w:rsid w:val="008F11E1"/>
    <w:rsid w:val="008F1CC2"/>
    <w:rsid w:val="008F216B"/>
    <w:rsid w:val="008F2CA9"/>
    <w:rsid w:val="008F3689"/>
    <w:rsid w:val="008F3866"/>
    <w:rsid w:val="008F41B8"/>
    <w:rsid w:val="008F494C"/>
    <w:rsid w:val="008F4DE2"/>
    <w:rsid w:val="008F55C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C3C"/>
    <w:rsid w:val="00907F7D"/>
    <w:rsid w:val="00912550"/>
    <w:rsid w:val="00912F7B"/>
    <w:rsid w:val="00913A29"/>
    <w:rsid w:val="0091449E"/>
    <w:rsid w:val="009145E2"/>
    <w:rsid w:val="00914FFD"/>
    <w:rsid w:val="0091642C"/>
    <w:rsid w:val="009166E5"/>
    <w:rsid w:val="00917019"/>
    <w:rsid w:val="00917398"/>
    <w:rsid w:val="0091747B"/>
    <w:rsid w:val="00917AF0"/>
    <w:rsid w:val="00921510"/>
    <w:rsid w:val="00921F1B"/>
    <w:rsid w:val="0092212C"/>
    <w:rsid w:val="00922324"/>
    <w:rsid w:val="009227B3"/>
    <w:rsid w:val="00923433"/>
    <w:rsid w:val="00923AE5"/>
    <w:rsid w:val="009242BD"/>
    <w:rsid w:val="00925609"/>
    <w:rsid w:val="00925BCC"/>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506D"/>
    <w:rsid w:val="00956AB6"/>
    <w:rsid w:val="009570F1"/>
    <w:rsid w:val="009571A5"/>
    <w:rsid w:val="00957E9F"/>
    <w:rsid w:val="009606FC"/>
    <w:rsid w:val="00960781"/>
    <w:rsid w:val="00960B05"/>
    <w:rsid w:val="0096290E"/>
    <w:rsid w:val="00962AEA"/>
    <w:rsid w:val="00962C78"/>
    <w:rsid w:val="0096420F"/>
    <w:rsid w:val="00964438"/>
    <w:rsid w:val="00965FEE"/>
    <w:rsid w:val="0096662A"/>
    <w:rsid w:val="009666A9"/>
    <w:rsid w:val="0096689D"/>
    <w:rsid w:val="009669CE"/>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66D2"/>
    <w:rsid w:val="00986E16"/>
    <w:rsid w:val="00987842"/>
    <w:rsid w:val="0099090C"/>
    <w:rsid w:val="00991A13"/>
    <w:rsid w:val="00992C1D"/>
    <w:rsid w:val="0099382D"/>
    <w:rsid w:val="009956EE"/>
    <w:rsid w:val="00995F4A"/>
    <w:rsid w:val="00996727"/>
    <w:rsid w:val="009968F4"/>
    <w:rsid w:val="009969D8"/>
    <w:rsid w:val="00997DAE"/>
    <w:rsid w:val="009A06AF"/>
    <w:rsid w:val="009A10BE"/>
    <w:rsid w:val="009A1660"/>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939"/>
    <w:rsid w:val="009C1C4F"/>
    <w:rsid w:val="009C1D6F"/>
    <w:rsid w:val="009C27C2"/>
    <w:rsid w:val="009C3318"/>
    <w:rsid w:val="009C3468"/>
    <w:rsid w:val="009C364D"/>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180"/>
    <w:rsid w:val="009E4F2B"/>
    <w:rsid w:val="009E7A88"/>
    <w:rsid w:val="009F057F"/>
    <w:rsid w:val="009F14E8"/>
    <w:rsid w:val="009F1F21"/>
    <w:rsid w:val="009F2DE9"/>
    <w:rsid w:val="009F2E3E"/>
    <w:rsid w:val="009F2E6E"/>
    <w:rsid w:val="009F2F79"/>
    <w:rsid w:val="009F3094"/>
    <w:rsid w:val="009F384E"/>
    <w:rsid w:val="009F40F3"/>
    <w:rsid w:val="009F494E"/>
    <w:rsid w:val="009F5613"/>
    <w:rsid w:val="009F5982"/>
    <w:rsid w:val="009F6DF8"/>
    <w:rsid w:val="009F7417"/>
    <w:rsid w:val="009F78F8"/>
    <w:rsid w:val="00A0085F"/>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5767"/>
    <w:rsid w:val="00A25A37"/>
    <w:rsid w:val="00A266F4"/>
    <w:rsid w:val="00A26CD4"/>
    <w:rsid w:val="00A27360"/>
    <w:rsid w:val="00A30308"/>
    <w:rsid w:val="00A30CE1"/>
    <w:rsid w:val="00A31184"/>
    <w:rsid w:val="00A31A5A"/>
    <w:rsid w:val="00A31FEB"/>
    <w:rsid w:val="00A32067"/>
    <w:rsid w:val="00A32D93"/>
    <w:rsid w:val="00A333B7"/>
    <w:rsid w:val="00A3346B"/>
    <w:rsid w:val="00A33AFD"/>
    <w:rsid w:val="00A33FEC"/>
    <w:rsid w:val="00A34D66"/>
    <w:rsid w:val="00A35636"/>
    <w:rsid w:val="00A372ED"/>
    <w:rsid w:val="00A379AC"/>
    <w:rsid w:val="00A4012E"/>
    <w:rsid w:val="00A40665"/>
    <w:rsid w:val="00A40BA6"/>
    <w:rsid w:val="00A43CB0"/>
    <w:rsid w:val="00A44A3C"/>
    <w:rsid w:val="00A44DE5"/>
    <w:rsid w:val="00A450C8"/>
    <w:rsid w:val="00A457AE"/>
    <w:rsid w:val="00A45D3B"/>
    <w:rsid w:val="00A46AE1"/>
    <w:rsid w:val="00A47447"/>
    <w:rsid w:val="00A47AC5"/>
    <w:rsid w:val="00A47CCA"/>
    <w:rsid w:val="00A50977"/>
    <w:rsid w:val="00A50FA4"/>
    <w:rsid w:val="00A5104A"/>
    <w:rsid w:val="00A5152F"/>
    <w:rsid w:val="00A51D39"/>
    <w:rsid w:val="00A522B5"/>
    <w:rsid w:val="00A5239C"/>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0D0"/>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69D2"/>
    <w:rsid w:val="00A872BA"/>
    <w:rsid w:val="00A878EB"/>
    <w:rsid w:val="00A904C5"/>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0AC9"/>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2E58"/>
    <w:rsid w:val="00AE3ED2"/>
    <w:rsid w:val="00AE408C"/>
    <w:rsid w:val="00AE4378"/>
    <w:rsid w:val="00AE499C"/>
    <w:rsid w:val="00AE5C22"/>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5FFC"/>
    <w:rsid w:val="00B06260"/>
    <w:rsid w:val="00B06A38"/>
    <w:rsid w:val="00B07069"/>
    <w:rsid w:val="00B073D5"/>
    <w:rsid w:val="00B128E2"/>
    <w:rsid w:val="00B1303D"/>
    <w:rsid w:val="00B15CA2"/>
    <w:rsid w:val="00B16080"/>
    <w:rsid w:val="00B16313"/>
    <w:rsid w:val="00B16C63"/>
    <w:rsid w:val="00B204AE"/>
    <w:rsid w:val="00B20E02"/>
    <w:rsid w:val="00B21A7B"/>
    <w:rsid w:val="00B21BAC"/>
    <w:rsid w:val="00B21DE1"/>
    <w:rsid w:val="00B2294C"/>
    <w:rsid w:val="00B22951"/>
    <w:rsid w:val="00B22E33"/>
    <w:rsid w:val="00B2384B"/>
    <w:rsid w:val="00B248AC"/>
    <w:rsid w:val="00B2630A"/>
    <w:rsid w:val="00B26448"/>
    <w:rsid w:val="00B27A66"/>
    <w:rsid w:val="00B322DF"/>
    <w:rsid w:val="00B325D4"/>
    <w:rsid w:val="00B3463E"/>
    <w:rsid w:val="00B352D1"/>
    <w:rsid w:val="00B36727"/>
    <w:rsid w:val="00B36EF1"/>
    <w:rsid w:val="00B3700E"/>
    <w:rsid w:val="00B370EF"/>
    <w:rsid w:val="00B4085C"/>
    <w:rsid w:val="00B411A7"/>
    <w:rsid w:val="00B41977"/>
    <w:rsid w:val="00B41F96"/>
    <w:rsid w:val="00B430E7"/>
    <w:rsid w:val="00B43360"/>
    <w:rsid w:val="00B44032"/>
    <w:rsid w:val="00B44DEE"/>
    <w:rsid w:val="00B45190"/>
    <w:rsid w:val="00B45283"/>
    <w:rsid w:val="00B45981"/>
    <w:rsid w:val="00B465BD"/>
    <w:rsid w:val="00B47E88"/>
    <w:rsid w:val="00B503E6"/>
    <w:rsid w:val="00B52F38"/>
    <w:rsid w:val="00B55077"/>
    <w:rsid w:val="00B553C3"/>
    <w:rsid w:val="00B55824"/>
    <w:rsid w:val="00B56A7E"/>
    <w:rsid w:val="00B57DCF"/>
    <w:rsid w:val="00B57DDC"/>
    <w:rsid w:val="00B636B6"/>
    <w:rsid w:val="00B64865"/>
    <w:rsid w:val="00B65E77"/>
    <w:rsid w:val="00B674E1"/>
    <w:rsid w:val="00B67BE8"/>
    <w:rsid w:val="00B67DAF"/>
    <w:rsid w:val="00B67EF2"/>
    <w:rsid w:val="00B70622"/>
    <w:rsid w:val="00B70FCC"/>
    <w:rsid w:val="00B7113B"/>
    <w:rsid w:val="00B71C8B"/>
    <w:rsid w:val="00B72629"/>
    <w:rsid w:val="00B726EB"/>
    <w:rsid w:val="00B736A3"/>
    <w:rsid w:val="00B7397A"/>
    <w:rsid w:val="00B73E12"/>
    <w:rsid w:val="00B748FC"/>
    <w:rsid w:val="00B74F98"/>
    <w:rsid w:val="00B75485"/>
    <w:rsid w:val="00B76542"/>
    <w:rsid w:val="00B76F56"/>
    <w:rsid w:val="00B772DC"/>
    <w:rsid w:val="00B77495"/>
    <w:rsid w:val="00B77584"/>
    <w:rsid w:val="00B809ED"/>
    <w:rsid w:val="00B80D70"/>
    <w:rsid w:val="00B81433"/>
    <w:rsid w:val="00B81793"/>
    <w:rsid w:val="00B8196F"/>
    <w:rsid w:val="00B8225E"/>
    <w:rsid w:val="00B82710"/>
    <w:rsid w:val="00B82766"/>
    <w:rsid w:val="00B82D23"/>
    <w:rsid w:val="00B83455"/>
    <w:rsid w:val="00B84E21"/>
    <w:rsid w:val="00B8669F"/>
    <w:rsid w:val="00B866CD"/>
    <w:rsid w:val="00B868EF"/>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3FFE"/>
    <w:rsid w:val="00BA414E"/>
    <w:rsid w:val="00BA4DAC"/>
    <w:rsid w:val="00BA67A5"/>
    <w:rsid w:val="00BA7EF2"/>
    <w:rsid w:val="00BB0619"/>
    <w:rsid w:val="00BB094A"/>
    <w:rsid w:val="00BB09F8"/>
    <w:rsid w:val="00BB0B91"/>
    <w:rsid w:val="00BB23E5"/>
    <w:rsid w:val="00BB2D18"/>
    <w:rsid w:val="00BB3B73"/>
    <w:rsid w:val="00BB4AE7"/>
    <w:rsid w:val="00BB4F39"/>
    <w:rsid w:val="00BB4FB7"/>
    <w:rsid w:val="00BB5179"/>
    <w:rsid w:val="00BB544F"/>
    <w:rsid w:val="00BB71FF"/>
    <w:rsid w:val="00BC0184"/>
    <w:rsid w:val="00BC1063"/>
    <w:rsid w:val="00BC10BF"/>
    <w:rsid w:val="00BC1303"/>
    <w:rsid w:val="00BC3B23"/>
    <w:rsid w:val="00BC4DBC"/>
    <w:rsid w:val="00BC59BD"/>
    <w:rsid w:val="00BC7181"/>
    <w:rsid w:val="00BC7ECA"/>
    <w:rsid w:val="00BD00B8"/>
    <w:rsid w:val="00BD05EF"/>
    <w:rsid w:val="00BD07B0"/>
    <w:rsid w:val="00BD0B3B"/>
    <w:rsid w:val="00BD0D9C"/>
    <w:rsid w:val="00BD0FC2"/>
    <w:rsid w:val="00BD3F02"/>
    <w:rsid w:val="00BD4638"/>
    <w:rsid w:val="00BD486A"/>
    <w:rsid w:val="00BD4DE7"/>
    <w:rsid w:val="00BD5A9C"/>
    <w:rsid w:val="00BD772E"/>
    <w:rsid w:val="00BD7B69"/>
    <w:rsid w:val="00BE0AF5"/>
    <w:rsid w:val="00BE2206"/>
    <w:rsid w:val="00BE2601"/>
    <w:rsid w:val="00BE304E"/>
    <w:rsid w:val="00BE36CD"/>
    <w:rsid w:val="00BE3C37"/>
    <w:rsid w:val="00BE3C45"/>
    <w:rsid w:val="00BE3C5B"/>
    <w:rsid w:val="00BE41F4"/>
    <w:rsid w:val="00BE47E9"/>
    <w:rsid w:val="00BE4CB7"/>
    <w:rsid w:val="00BE5578"/>
    <w:rsid w:val="00BE71CB"/>
    <w:rsid w:val="00BE7375"/>
    <w:rsid w:val="00BE7C20"/>
    <w:rsid w:val="00BE7FBE"/>
    <w:rsid w:val="00BF03A0"/>
    <w:rsid w:val="00BF088A"/>
    <w:rsid w:val="00BF0F73"/>
    <w:rsid w:val="00BF14FB"/>
    <w:rsid w:val="00BF2028"/>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9B2"/>
    <w:rsid w:val="00C11963"/>
    <w:rsid w:val="00C1263B"/>
    <w:rsid w:val="00C1329C"/>
    <w:rsid w:val="00C13671"/>
    <w:rsid w:val="00C139D5"/>
    <w:rsid w:val="00C13C02"/>
    <w:rsid w:val="00C13C48"/>
    <w:rsid w:val="00C1553E"/>
    <w:rsid w:val="00C158DD"/>
    <w:rsid w:val="00C16291"/>
    <w:rsid w:val="00C16C2D"/>
    <w:rsid w:val="00C171B2"/>
    <w:rsid w:val="00C1765E"/>
    <w:rsid w:val="00C176E9"/>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72DC"/>
    <w:rsid w:val="00C37CB0"/>
    <w:rsid w:val="00C4081D"/>
    <w:rsid w:val="00C414B5"/>
    <w:rsid w:val="00C41B54"/>
    <w:rsid w:val="00C423FE"/>
    <w:rsid w:val="00C43FD1"/>
    <w:rsid w:val="00C450B8"/>
    <w:rsid w:val="00C455EB"/>
    <w:rsid w:val="00C46539"/>
    <w:rsid w:val="00C46685"/>
    <w:rsid w:val="00C46D9E"/>
    <w:rsid w:val="00C4703F"/>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79B"/>
    <w:rsid w:val="00C60C8C"/>
    <w:rsid w:val="00C61E34"/>
    <w:rsid w:val="00C621FA"/>
    <w:rsid w:val="00C636AF"/>
    <w:rsid w:val="00C6413A"/>
    <w:rsid w:val="00C643E7"/>
    <w:rsid w:val="00C64C16"/>
    <w:rsid w:val="00C65558"/>
    <w:rsid w:val="00C65D0B"/>
    <w:rsid w:val="00C66A76"/>
    <w:rsid w:val="00C67508"/>
    <w:rsid w:val="00C70E50"/>
    <w:rsid w:val="00C729E5"/>
    <w:rsid w:val="00C73A63"/>
    <w:rsid w:val="00C73C4C"/>
    <w:rsid w:val="00C7451C"/>
    <w:rsid w:val="00C748D5"/>
    <w:rsid w:val="00C75204"/>
    <w:rsid w:val="00C765DA"/>
    <w:rsid w:val="00C773CC"/>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C57"/>
    <w:rsid w:val="00CE33A0"/>
    <w:rsid w:val="00CE3484"/>
    <w:rsid w:val="00CE42D0"/>
    <w:rsid w:val="00CE4729"/>
    <w:rsid w:val="00CE6A0A"/>
    <w:rsid w:val="00CE6F05"/>
    <w:rsid w:val="00CF0594"/>
    <w:rsid w:val="00CF1C61"/>
    <w:rsid w:val="00CF1E73"/>
    <w:rsid w:val="00CF269F"/>
    <w:rsid w:val="00CF2735"/>
    <w:rsid w:val="00CF28B5"/>
    <w:rsid w:val="00CF3309"/>
    <w:rsid w:val="00CF3784"/>
    <w:rsid w:val="00CF4950"/>
    <w:rsid w:val="00CF5041"/>
    <w:rsid w:val="00CF6B92"/>
    <w:rsid w:val="00CF7667"/>
    <w:rsid w:val="00CF7EC5"/>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70B"/>
    <w:rsid w:val="00D13089"/>
    <w:rsid w:val="00D142B7"/>
    <w:rsid w:val="00D14393"/>
    <w:rsid w:val="00D14E23"/>
    <w:rsid w:val="00D15497"/>
    <w:rsid w:val="00D154BF"/>
    <w:rsid w:val="00D15A96"/>
    <w:rsid w:val="00D15B43"/>
    <w:rsid w:val="00D16449"/>
    <w:rsid w:val="00D178D3"/>
    <w:rsid w:val="00D2155A"/>
    <w:rsid w:val="00D22043"/>
    <w:rsid w:val="00D23C32"/>
    <w:rsid w:val="00D23D35"/>
    <w:rsid w:val="00D2435A"/>
    <w:rsid w:val="00D24A5E"/>
    <w:rsid w:val="00D24C6A"/>
    <w:rsid w:val="00D251FA"/>
    <w:rsid w:val="00D2594A"/>
    <w:rsid w:val="00D27021"/>
    <w:rsid w:val="00D273F2"/>
    <w:rsid w:val="00D30B76"/>
    <w:rsid w:val="00D31076"/>
    <w:rsid w:val="00D31412"/>
    <w:rsid w:val="00D31414"/>
    <w:rsid w:val="00D3199E"/>
    <w:rsid w:val="00D32A2D"/>
    <w:rsid w:val="00D33790"/>
    <w:rsid w:val="00D33CFE"/>
    <w:rsid w:val="00D35E8B"/>
    <w:rsid w:val="00D3601A"/>
    <w:rsid w:val="00D3608D"/>
    <w:rsid w:val="00D36C25"/>
    <w:rsid w:val="00D3771F"/>
    <w:rsid w:val="00D379EF"/>
    <w:rsid w:val="00D37FAB"/>
    <w:rsid w:val="00D40709"/>
    <w:rsid w:val="00D41FCE"/>
    <w:rsid w:val="00D422C4"/>
    <w:rsid w:val="00D4283C"/>
    <w:rsid w:val="00D431EA"/>
    <w:rsid w:val="00D46FC3"/>
    <w:rsid w:val="00D47749"/>
    <w:rsid w:val="00D47AFA"/>
    <w:rsid w:val="00D51887"/>
    <w:rsid w:val="00D5262B"/>
    <w:rsid w:val="00D52CF2"/>
    <w:rsid w:val="00D53368"/>
    <w:rsid w:val="00D535B9"/>
    <w:rsid w:val="00D53D55"/>
    <w:rsid w:val="00D551BB"/>
    <w:rsid w:val="00D55B36"/>
    <w:rsid w:val="00D566F5"/>
    <w:rsid w:val="00D611E2"/>
    <w:rsid w:val="00D6121A"/>
    <w:rsid w:val="00D635EB"/>
    <w:rsid w:val="00D64358"/>
    <w:rsid w:val="00D6489B"/>
    <w:rsid w:val="00D64BC4"/>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345"/>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4A"/>
    <w:rsid w:val="00DA5F54"/>
    <w:rsid w:val="00DA7EA2"/>
    <w:rsid w:val="00DB0999"/>
    <w:rsid w:val="00DB0FA2"/>
    <w:rsid w:val="00DB1D80"/>
    <w:rsid w:val="00DB1F56"/>
    <w:rsid w:val="00DB2204"/>
    <w:rsid w:val="00DB22EE"/>
    <w:rsid w:val="00DB272A"/>
    <w:rsid w:val="00DB3F2E"/>
    <w:rsid w:val="00DB429A"/>
    <w:rsid w:val="00DB5713"/>
    <w:rsid w:val="00DC0905"/>
    <w:rsid w:val="00DC122F"/>
    <w:rsid w:val="00DC2BAE"/>
    <w:rsid w:val="00DC2D80"/>
    <w:rsid w:val="00DC2E5F"/>
    <w:rsid w:val="00DC3323"/>
    <w:rsid w:val="00DC34F0"/>
    <w:rsid w:val="00DC516A"/>
    <w:rsid w:val="00DC5A19"/>
    <w:rsid w:val="00DC6263"/>
    <w:rsid w:val="00DC7C4C"/>
    <w:rsid w:val="00DD04EC"/>
    <w:rsid w:val="00DD0508"/>
    <w:rsid w:val="00DD099C"/>
    <w:rsid w:val="00DD0A1A"/>
    <w:rsid w:val="00DD1444"/>
    <w:rsid w:val="00DD2240"/>
    <w:rsid w:val="00DD31ED"/>
    <w:rsid w:val="00DD3AAC"/>
    <w:rsid w:val="00DD446A"/>
    <w:rsid w:val="00DD4512"/>
    <w:rsid w:val="00DD45C1"/>
    <w:rsid w:val="00DD4734"/>
    <w:rsid w:val="00DD48A7"/>
    <w:rsid w:val="00DD4C5F"/>
    <w:rsid w:val="00DD6F66"/>
    <w:rsid w:val="00DE0279"/>
    <w:rsid w:val="00DE2175"/>
    <w:rsid w:val="00DE3979"/>
    <w:rsid w:val="00DE4720"/>
    <w:rsid w:val="00DE4E18"/>
    <w:rsid w:val="00DE5090"/>
    <w:rsid w:val="00DE57B7"/>
    <w:rsid w:val="00DE5A6D"/>
    <w:rsid w:val="00DE628B"/>
    <w:rsid w:val="00DE6322"/>
    <w:rsid w:val="00DE7250"/>
    <w:rsid w:val="00DE745A"/>
    <w:rsid w:val="00DE7FBB"/>
    <w:rsid w:val="00DF013D"/>
    <w:rsid w:val="00DF0356"/>
    <w:rsid w:val="00DF0A63"/>
    <w:rsid w:val="00DF1093"/>
    <w:rsid w:val="00DF1252"/>
    <w:rsid w:val="00DF1C55"/>
    <w:rsid w:val="00DF3540"/>
    <w:rsid w:val="00DF3A1D"/>
    <w:rsid w:val="00DF5570"/>
    <w:rsid w:val="00DF580A"/>
    <w:rsid w:val="00DF59BE"/>
    <w:rsid w:val="00DF5E16"/>
    <w:rsid w:val="00DF5E88"/>
    <w:rsid w:val="00DF63B6"/>
    <w:rsid w:val="00DF6733"/>
    <w:rsid w:val="00E00466"/>
    <w:rsid w:val="00E00770"/>
    <w:rsid w:val="00E00DB6"/>
    <w:rsid w:val="00E00E9B"/>
    <w:rsid w:val="00E03677"/>
    <w:rsid w:val="00E03A2F"/>
    <w:rsid w:val="00E03E90"/>
    <w:rsid w:val="00E03F2E"/>
    <w:rsid w:val="00E0470C"/>
    <w:rsid w:val="00E04C10"/>
    <w:rsid w:val="00E0621C"/>
    <w:rsid w:val="00E07AA6"/>
    <w:rsid w:val="00E102EC"/>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2750D"/>
    <w:rsid w:val="00E30B03"/>
    <w:rsid w:val="00E312C1"/>
    <w:rsid w:val="00E3153C"/>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2F8D"/>
    <w:rsid w:val="00E43424"/>
    <w:rsid w:val="00E43CF8"/>
    <w:rsid w:val="00E43EED"/>
    <w:rsid w:val="00E442AA"/>
    <w:rsid w:val="00E45BBE"/>
    <w:rsid w:val="00E46472"/>
    <w:rsid w:val="00E466A2"/>
    <w:rsid w:val="00E47853"/>
    <w:rsid w:val="00E47EA0"/>
    <w:rsid w:val="00E501D3"/>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5E"/>
    <w:rsid w:val="00E6377B"/>
    <w:rsid w:val="00E64FBC"/>
    <w:rsid w:val="00E654C0"/>
    <w:rsid w:val="00E66087"/>
    <w:rsid w:val="00E67F75"/>
    <w:rsid w:val="00E7010D"/>
    <w:rsid w:val="00E7041A"/>
    <w:rsid w:val="00E70691"/>
    <w:rsid w:val="00E7078C"/>
    <w:rsid w:val="00E70A78"/>
    <w:rsid w:val="00E718AC"/>
    <w:rsid w:val="00E71A64"/>
    <w:rsid w:val="00E71EE2"/>
    <w:rsid w:val="00E72992"/>
    <w:rsid w:val="00E72EF2"/>
    <w:rsid w:val="00E73428"/>
    <w:rsid w:val="00E735AC"/>
    <w:rsid w:val="00E737CA"/>
    <w:rsid w:val="00E74A06"/>
    <w:rsid w:val="00E74ACA"/>
    <w:rsid w:val="00E7619B"/>
    <w:rsid w:val="00E765D0"/>
    <w:rsid w:val="00E7674A"/>
    <w:rsid w:val="00E77AA8"/>
    <w:rsid w:val="00E8065F"/>
    <w:rsid w:val="00E81A9C"/>
    <w:rsid w:val="00E82420"/>
    <w:rsid w:val="00E829DF"/>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3CB7"/>
    <w:rsid w:val="00EB4C37"/>
    <w:rsid w:val="00EB4D22"/>
    <w:rsid w:val="00EB5A67"/>
    <w:rsid w:val="00EB6B22"/>
    <w:rsid w:val="00EB744A"/>
    <w:rsid w:val="00EB78E0"/>
    <w:rsid w:val="00EB7D34"/>
    <w:rsid w:val="00EC1698"/>
    <w:rsid w:val="00EC17C9"/>
    <w:rsid w:val="00EC1F35"/>
    <w:rsid w:val="00EC3F68"/>
    <w:rsid w:val="00EC447E"/>
    <w:rsid w:val="00EC4CFD"/>
    <w:rsid w:val="00EC52CA"/>
    <w:rsid w:val="00EC5CDC"/>
    <w:rsid w:val="00EC5E09"/>
    <w:rsid w:val="00EC70FF"/>
    <w:rsid w:val="00EC7B59"/>
    <w:rsid w:val="00ED0181"/>
    <w:rsid w:val="00ED099E"/>
    <w:rsid w:val="00ED0A7C"/>
    <w:rsid w:val="00ED2F51"/>
    <w:rsid w:val="00ED2FA8"/>
    <w:rsid w:val="00ED3825"/>
    <w:rsid w:val="00ED3B38"/>
    <w:rsid w:val="00ED4537"/>
    <w:rsid w:val="00ED528B"/>
    <w:rsid w:val="00ED5322"/>
    <w:rsid w:val="00ED5679"/>
    <w:rsid w:val="00ED5998"/>
    <w:rsid w:val="00ED5F98"/>
    <w:rsid w:val="00ED62BD"/>
    <w:rsid w:val="00ED7B82"/>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7E8"/>
    <w:rsid w:val="00EE790C"/>
    <w:rsid w:val="00EF0042"/>
    <w:rsid w:val="00EF04CD"/>
    <w:rsid w:val="00EF0A71"/>
    <w:rsid w:val="00EF1570"/>
    <w:rsid w:val="00EF26F8"/>
    <w:rsid w:val="00EF2A6B"/>
    <w:rsid w:val="00EF34AA"/>
    <w:rsid w:val="00EF3FB5"/>
    <w:rsid w:val="00EF5A20"/>
    <w:rsid w:val="00EF5FD9"/>
    <w:rsid w:val="00EF656E"/>
    <w:rsid w:val="00EF6B4D"/>
    <w:rsid w:val="00EF797C"/>
    <w:rsid w:val="00F00549"/>
    <w:rsid w:val="00F0103C"/>
    <w:rsid w:val="00F013AE"/>
    <w:rsid w:val="00F01FAA"/>
    <w:rsid w:val="00F021E3"/>
    <w:rsid w:val="00F0245B"/>
    <w:rsid w:val="00F03026"/>
    <w:rsid w:val="00F04591"/>
    <w:rsid w:val="00F053DA"/>
    <w:rsid w:val="00F056A1"/>
    <w:rsid w:val="00F05AB1"/>
    <w:rsid w:val="00F05E54"/>
    <w:rsid w:val="00F06388"/>
    <w:rsid w:val="00F0674A"/>
    <w:rsid w:val="00F0680F"/>
    <w:rsid w:val="00F075A2"/>
    <w:rsid w:val="00F10872"/>
    <w:rsid w:val="00F11162"/>
    <w:rsid w:val="00F11244"/>
    <w:rsid w:val="00F11E2C"/>
    <w:rsid w:val="00F12245"/>
    <w:rsid w:val="00F125A7"/>
    <w:rsid w:val="00F127FB"/>
    <w:rsid w:val="00F129D2"/>
    <w:rsid w:val="00F129E8"/>
    <w:rsid w:val="00F12A2F"/>
    <w:rsid w:val="00F12EF3"/>
    <w:rsid w:val="00F13B2B"/>
    <w:rsid w:val="00F13CEA"/>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744"/>
    <w:rsid w:val="00F4154F"/>
    <w:rsid w:val="00F41935"/>
    <w:rsid w:val="00F4315F"/>
    <w:rsid w:val="00F45029"/>
    <w:rsid w:val="00F4531F"/>
    <w:rsid w:val="00F46411"/>
    <w:rsid w:val="00F46D01"/>
    <w:rsid w:val="00F46EC7"/>
    <w:rsid w:val="00F4770C"/>
    <w:rsid w:val="00F47BB4"/>
    <w:rsid w:val="00F47E16"/>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1817"/>
    <w:rsid w:val="00F72477"/>
    <w:rsid w:val="00F73403"/>
    <w:rsid w:val="00F75937"/>
    <w:rsid w:val="00F761F5"/>
    <w:rsid w:val="00F773B5"/>
    <w:rsid w:val="00F77AF8"/>
    <w:rsid w:val="00F77B02"/>
    <w:rsid w:val="00F77B96"/>
    <w:rsid w:val="00F77E47"/>
    <w:rsid w:val="00F77E9D"/>
    <w:rsid w:val="00F806D0"/>
    <w:rsid w:val="00F80DEF"/>
    <w:rsid w:val="00F80FA2"/>
    <w:rsid w:val="00F81713"/>
    <w:rsid w:val="00F81B74"/>
    <w:rsid w:val="00F82600"/>
    <w:rsid w:val="00F82613"/>
    <w:rsid w:val="00F831B2"/>
    <w:rsid w:val="00F84B69"/>
    <w:rsid w:val="00F84EF1"/>
    <w:rsid w:val="00F8591E"/>
    <w:rsid w:val="00F86646"/>
    <w:rsid w:val="00F86FBB"/>
    <w:rsid w:val="00F87930"/>
    <w:rsid w:val="00F9038C"/>
    <w:rsid w:val="00F9087F"/>
    <w:rsid w:val="00F91184"/>
    <w:rsid w:val="00F9139B"/>
    <w:rsid w:val="00F916DB"/>
    <w:rsid w:val="00F91843"/>
    <w:rsid w:val="00F91B79"/>
    <w:rsid w:val="00F92B5B"/>
    <w:rsid w:val="00F92D84"/>
    <w:rsid w:val="00F9417B"/>
    <w:rsid w:val="00F942D1"/>
    <w:rsid w:val="00F94A47"/>
    <w:rsid w:val="00F94D75"/>
    <w:rsid w:val="00F953C6"/>
    <w:rsid w:val="00F9644C"/>
    <w:rsid w:val="00F96638"/>
    <w:rsid w:val="00FA02B5"/>
    <w:rsid w:val="00FA0A5B"/>
    <w:rsid w:val="00FA0CEB"/>
    <w:rsid w:val="00FA1253"/>
    <w:rsid w:val="00FA12BE"/>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D8D"/>
    <w:rsid w:val="00FB5898"/>
    <w:rsid w:val="00FB5A2E"/>
    <w:rsid w:val="00FB5C28"/>
    <w:rsid w:val="00FB6CD6"/>
    <w:rsid w:val="00FB702A"/>
    <w:rsid w:val="00FB732E"/>
    <w:rsid w:val="00FB7412"/>
    <w:rsid w:val="00FB7F72"/>
    <w:rsid w:val="00FC0092"/>
    <w:rsid w:val="00FC0874"/>
    <w:rsid w:val="00FC0DC2"/>
    <w:rsid w:val="00FC3966"/>
    <w:rsid w:val="00FC3D1D"/>
    <w:rsid w:val="00FC3E5D"/>
    <w:rsid w:val="00FC49AB"/>
    <w:rsid w:val="00FC59D9"/>
    <w:rsid w:val="00FC6879"/>
    <w:rsid w:val="00FC6EE3"/>
    <w:rsid w:val="00FC7025"/>
    <w:rsid w:val="00FC7B08"/>
    <w:rsid w:val="00FD2BCD"/>
    <w:rsid w:val="00FD37C1"/>
    <w:rsid w:val="00FD430F"/>
    <w:rsid w:val="00FD4523"/>
    <w:rsid w:val="00FD5CEE"/>
    <w:rsid w:val="00FD62A1"/>
    <w:rsid w:val="00FE01F5"/>
    <w:rsid w:val="00FE051B"/>
    <w:rsid w:val="00FE0A9E"/>
    <w:rsid w:val="00FE1934"/>
    <w:rsid w:val="00FE2904"/>
    <w:rsid w:val="00FE2C11"/>
    <w:rsid w:val="00FE3068"/>
    <w:rsid w:val="00FE31FC"/>
    <w:rsid w:val="00FE4074"/>
    <w:rsid w:val="00FE4EAF"/>
    <w:rsid w:val="00FE5107"/>
    <w:rsid w:val="00FE5338"/>
    <w:rsid w:val="00FE5605"/>
    <w:rsid w:val="00FE5B92"/>
    <w:rsid w:val="00FE6072"/>
    <w:rsid w:val="00FE6711"/>
    <w:rsid w:val="00FE6D0F"/>
    <w:rsid w:val="00FE7C56"/>
    <w:rsid w:val="00FE7F02"/>
    <w:rsid w:val="00FF0E6F"/>
    <w:rsid w:val="00FF110E"/>
    <w:rsid w:val="00FF13DE"/>
    <w:rsid w:val="00FF1437"/>
    <w:rsid w:val="00FF16AB"/>
    <w:rsid w:val="00FF1749"/>
    <w:rsid w:val="00FF1944"/>
    <w:rsid w:val="00FF21C1"/>
    <w:rsid w:val="00FF40FD"/>
    <w:rsid w:val="00FF4695"/>
    <w:rsid w:val="00FF48B5"/>
    <w:rsid w:val="00FF5776"/>
    <w:rsid w:val="00FF5EC7"/>
    <w:rsid w:val="048764DD"/>
    <w:rsid w:val="04E6066F"/>
    <w:rsid w:val="05910BF1"/>
    <w:rsid w:val="09852594"/>
    <w:rsid w:val="09C00782"/>
    <w:rsid w:val="0B571924"/>
    <w:rsid w:val="0C251DC3"/>
    <w:rsid w:val="0D1246EC"/>
    <w:rsid w:val="0D4E4639"/>
    <w:rsid w:val="0DB142A5"/>
    <w:rsid w:val="0E291FDB"/>
    <w:rsid w:val="0ECF5EFA"/>
    <w:rsid w:val="18D311FD"/>
    <w:rsid w:val="1C530364"/>
    <w:rsid w:val="246205E8"/>
    <w:rsid w:val="24C00275"/>
    <w:rsid w:val="267A30A7"/>
    <w:rsid w:val="27672D9D"/>
    <w:rsid w:val="2C176CEA"/>
    <w:rsid w:val="2CDD08C1"/>
    <w:rsid w:val="2D245E58"/>
    <w:rsid w:val="2D881790"/>
    <w:rsid w:val="2F38492B"/>
    <w:rsid w:val="2F832C16"/>
    <w:rsid w:val="322E119F"/>
    <w:rsid w:val="32916BA4"/>
    <w:rsid w:val="32A933BB"/>
    <w:rsid w:val="33FF0399"/>
    <w:rsid w:val="34F0095A"/>
    <w:rsid w:val="3BF31B74"/>
    <w:rsid w:val="3C01034C"/>
    <w:rsid w:val="3CF466C5"/>
    <w:rsid w:val="3F1C6CDA"/>
    <w:rsid w:val="3F737AAD"/>
    <w:rsid w:val="3FA63F5A"/>
    <w:rsid w:val="404A06A9"/>
    <w:rsid w:val="425460E8"/>
    <w:rsid w:val="44AE2DCF"/>
    <w:rsid w:val="489B36B6"/>
    <w:rsid w:val="4D3662C0"/>
    <w:rsid w:val="5020111E"/>
    <w:rsid w:val="50223592"/>
    <w:rsid w:val="51226D28"/>
    <w:rsid w:val="51F170C6"/>
    <w:rsid w:val="532278B2"/>
    <w:rsid w:val="55786700"/>
    <w:rsid w:val="563E2ACB"/>
    <w:rsid w:val="564F24E2"/>
    <w:rsid w:val="59DD37FD"/>
    <w:rsid w:val="5AFA32A6"/>
    <w:rsid w:val="5D43732A"/>
    <w:rsid w:val="5EE3196D"/>
    <w:rsid w:val="610007D1"/>
    <w:rsid w:val="612E2BEB"/>
    <w:rsid w:val="61FF3C77"/>
    <w:rsid w:val="635D0434"/>
    <w:rsid w:val="63D329D3"/>
    <w:rsid w:val="6624061D"/>
    <w:rsid w:val="664724DD"/>
    <w:rsid w:val="6B7A1D69"/>
    <w:rsid w:val="6C772485"/>
    <w:rsid w:val="6CDE5364"/>
    <w:rsid w:val="6DB96758"/>
    <w:rsid w:val="6EBA79B8"/>
    <w:rsid w:val="6F204DBD"/>
    <w:rsid w:val="6F5D419E"/>
    <w:rsid w:val="7011565C"/>
    <w:rsid w:val="72810CBF"/>
    <w:rsid w:val="73AFED9A"/>
    <w:rsid w:val="76EC11F4"/>
    <w:rsid w:val="790F1F7D"/>
    <w:rsid w:val="7A601C5E"/>
    <w:rsid w:val="7B802519"/>
    <w:rsid w:val="7BCC4C09"/>
    <w:rsid w:val="7D4A6961"/>
    <w:rsid w:val="7F993CD5"/>
    <w:rsid w:val="A9FED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65"/>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字符"/>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1"/>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字符"/>
    <w:link w:val="20"/>
    <w:qFormat/>
    <w:uiPriority w:val="99"/>
    <w:rPr>
      <w:kern w:val="2"/>
      <w:sz w:val="18"/>
    </w:rPr>
  </w:style>
  <w:style w:type="paragraph" w:customStyle="1" w:styleId="58">
    <w:name w:val="Char1"/>
    <w:basedOn w:val="1"/>
    <w:qFormat/>
    <w:uiPriority w:val="0"/>
  </w:style>
  <w:style w:type="character" w:customStyle="1" w:styleId="59">
    <w:name w:val="文档结构图 字符"/>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字符"/>
    <w:link w:val="17"/>
    <w:semiHidden/>
    <w:qFormat/>
    <w:uiPriority w:val="99"/>
    <w:rPr>
      <w:kern w:val="2"/>
      <w:sz w:val="21"/>
    </w:rPr>
  </w:style>
  <w:style w:type="character" w:customStyle="1" w:styleId="64">
    <w:name w:val="批注文字 Char"/>
    <w:qFormat/>
    <w:uiPriority w:val="0"/>
    <w:rPr>
      <w:kern w:val="2"/>
      <w:sz w:val="21"/>
    </w:rPr>
  </w:style>
  <w:style w:type="character" w:customStyle="1" w:styleId="65">
    <w:name w:val="批注文字 字符1"/>
    <w:basedOn w:val="29"/>
    <w:link w:val="13"/>
    <w:qFormat/>
    <w:uiPriority w:val="0"/>
    <w:rPr>
      <w:kern w:val="2"/>
      <w:sz w:val="21"/>
    </w:rPr>
  </w:style>
  <w:style w:type="character" w:customStyle="1" w:styleId="66">
    <w:name w:val="批注文字 字符"/>
    <w:basedOn w:val="29"/>
    <w:qFormat/>
    <w:uiPriority w:val="0"/>
    <w:rPr>
      <w:kern w:val="2"/>
      <w:sz w:val="21"/>
    </w:rPr>
  </w:style>
  <w:style w:type="paragraph" w:customStyle="1" w:styleId="67">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145</Pages>
  <Words>15199</Words>
  <Characters>86635</Characters>
  <Lines>721</Lines>
  <Paragraphs>203</Paragraphs>
  <TotalTime>403</TotalTime>
  <ScaleCrop>false</ScaleCrop>
  <LinksUpToDate>false</LinksUpToDate>
  <CharactersWithSpaces>101631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2025-04-27T09:08:00Z</dcterms:created>
  <dc:creator>张敏峻</dc:creator>
  <cp:lastModifiedBy>喻秋燕</cp:lastModifiedBy>
  <cp:lastPrinted>2019-12-02T10:12:00Z</cp:lastPrinted>
  <dcterms:modified xsi:type="dcterms:W3CDTF">2025-05-23T11:25:05Z</dcterms:modified>
  <dc:title>招募说明书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CF2E8FCFC4704B2D97BE3CC6F9DBF83E</vt:lpwstr>
  </property>
</Properties>
</file>