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8472DB" w:rsidP="00EC573F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73FE4">
        <w:rPr>
          <w:rFonts w:eastAsiaTheme="minorEastAsia" w:hAnsiTheme="minorEastAsia"/>
          <w:b/>
          <w:kern w:val="0"/>
          <w:sz w:val="30"/>
          <w:szCs w:val="30"/>
        </w:rPr>
        <w:t>优势行业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</w:t>
      </w:r>
      <w:r w:rsidR="00BC6495">
        <w:rPr>
          <w:rFonts w:eastAsiaTheme="minorEastAsia" w:hAnsiTheme="minorEastAsia" w:hint="eastAsia"/>
          <w:b/>
          <w:kern w:val="0"/>
          <w:sz w:val="30"/>
          <w:szCs w:val="30"/>
        </w:rPr>
        <w:t>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置混合型证券投资基金</w:t>
      </w:r>
      <w:r w:rsidR="00EA7608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CE6DD8">
        <w:rPr>
          <w:rFonts w:eastAsiaTheme="minorEastAsia" w:hAnsiTheme="minorEastAsia" w:hint="eastAsia"/>
          <w:b/>
          <w:kern w:val="0"/>
          <w:sz w:val="30"/>
          <w:szCs w:val="30"/>
        </w:rPr>
        <w:t>（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转换转入、定期定额投资</w:t>
      </w:r>
      <w:r w:rsidR="00CE6DD8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A27E28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Pr="00567DDA">
        <w:rPr>
          <w:rFonts w:eastAsiaTheme="minorEastAsia"/>
          <w:b/>
          <w:bCs/>
          <w:sz w:val="24"/>
          <w:szCs w:val="24"/>
        </w:rPr>
        <w:t>20</w:t>
      </w:r>
      <w:r w:rsidR="00CE6DD8">
        <w:rPr>
          <w:rFonts w:eastAsiaTheme="minorEastAsia"/>
          <w:b/>
          <w:bCs/>
          <w:sz w:val="24"/>
          <w:szCs w:val="24"/>
        </w:rPr>
        <w:t>2</w:t>
      </w:r>
      <w:r w:rsidR="00BA2E4B">
        <w:rPr>
          <w:rFonts w:eastAsiaTheme="minorEastAsia"/>
          <w:b/>
          <w:bCs/>
          <w:sz w:val="24"/>
          <w:szCs w:val="24"/>
        </w:rPr>
        <w:t>4</w:t>
      </w:r>
      <w:r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BA2E4B">
        <w:rPr>
          <w:rFonts w:eastAsiaTheme="minorEastAsia"/>
          <w:b/>
          <w:bCs/>
          <w:sz w:val="24"/>
          <w:szCs w:val="24"/>
        </w:rPr>
        <w:t>10</w:t>
      </w:r>
      <w:r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C4435E">
        <w:rPr>
          <w:rFonts w:eastAsiaTheme="minorEastAsia"/>
          <w:b/>
          <w:bCs/>
          <w:sz w:val="24"/>
          <w:szCs w:val="24"/>
        </w:rPr>
        <w:t>1</w:t>
      </w:r>
      <w:r w:rsidR="00BA2E4B">
        <w:rPr>
          <w:rFonts w:eastAsiaTheme="minorEastAsia"/>
          <w:b/>
          <w:bCs/>
          <w:sz w:val="24"/>
          <w:szCs w:val="24"/>
        </w:rPr>
        <w:t>6</w:t>
      </w:r>
      <w:r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2910"/>
        <w:gridCol w:w="2977"/>
      </w:tblGrid>
      <w:tr w:rsidR="00D327FA" w:rsidRPr="00567DDA" w:rsidTr="00BC6495">
        <w:trPr>
          <w:jc w:val="center"/>
        </w:trPr>
        <w:tc>
          <w:tcPr>
            <w:tcW w:w="2743" w:type="dxa"/>
          </w:tcPr>
          <w:p w:rsidR="00D327FA" w:rsidRPr="00567DDA" w:rsidRDefault="00D327FA" w:rsidP="00BC6495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887" w:type="dxa"/>
            <w:gridSpan w:val="2"/>
            <w:vAlign w:val="center"/>
          </w:tcPr>
          <w:p w:rsidR="00D327FA" w:rsidRPr="00567DDA" w:rsidRDefault="008472DB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:rsidTr="00BC6495">
        <w:trPr>
          <w:jc w:val="center"/>
        </w:trPr>
        <w:tc>
          <w:tcPr>
            <w:tcW w:w="2743" w:type="dxa"/>
          </w:tcPr>
          <w:p w:rsidR="00D327FA" w:rsidRPr="00567DDA" w:rsidRDefault="00D327FA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887" w:type="dxa"/>
            <w:gridSpan w:val="2"/>
            <w:vAlign w:val="center"/>
          </w:tcPr>
          <w:p w:rsidR="00D327FA" w:rsidRPr="00567DDA" w:rsidRDefault="008472DB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BC6495">
        <w:trPr>
          <w:jc w:val="center"/>
        </w:trPr>
        <w:tc>
          <w:tcPr>
            <w:tcW w:w="2743" w:type="dxa"/>
          </w:tcPr>
          <w:p w:rsidR="00D327FA" w:rsidRPr="00567DDA" w:rsidRDefault="00D327FA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887" w:type="dxa"/>
            <w:gridSpan w:val="2"/>
            <w:vAlign w:val="center"/>
          </w:tcPr>
          <w:p w:rsidR="00D327FA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519</w:t>
            </w:r>
            <w:r w:rsidR="00473FE4">
              <w:rPr>
                <w:rFonts w:eastAsiaTheme="minorEastAsia" w:hint="eastAsia"/>
                <w:sz w:val="24"/>
                <w:szCs w:val="24"/>
              </w:rPr>
              <w:t>697</w:t>
            </w:r>
          </w:p>
        </w:tc>
      </w:tr>
      <w:tr w:rsidR="008472DB" w:rsidRPr="00567DDA" w:rsidTr="00BC6495">
        <w:trPr>
          <w:jc w:val="center"/>
        </w:trPr>
        <w:tc>
          <w:tcPr>
            <w:tcW w:w="2743" w:type="dxa"/>
          </w:tcPr>
          <w:p w:rsidR="008472DB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887" w:type="dxa"/>
            <w:gridSpan w:val="2"/>
            <w:vAlign w:val="center"/>
          </w:tcPr>
          <w:p w:rsidR="008472DB" w:rsidRPr="00567DDA" w:rsidRDefault="008472DB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BC6495">
        <w:trPr>
          <w:jc w:val="center"/>
        </w:trPr>
        <w:tc>
          <w:tcPr>
            <w:tcW w:w="2743" w:type="dxa"/>
          </w:tcPr>
          <w:p w:rsidR="008472DB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887" w:type="dxa"/>
            <w:gridSpan w:val="2"/>
            <w:vAlign w:val="center"/>
          </w:tcPr>
          <w:p w:rsidR="008472DB" w:rsidRPr="00567DDA" w:rsidRDefault="008472DB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:rsidTr="00BC6495">
        <w:trPr>
          <w:trHeight w:val="349"/>
          <w:jc w:val="center"/>
        </w:trPr>
        <w:tc>
          <w:tcPr>
            <w:tcW w:w="2743" w:type="dxa"/>
            <w:vMerge w:val="restart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EA7608" w:rsidP="009273B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7A101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9273B9"/>
        </w:tc>
        <w:tc>
          <w:tcPr>
            <w:tcW w:w="2910" w:type="dxa"/>
          </w:tcPr>
          <w:p w:rsidR="00C569C3" w:rsidRPr="00567DDA" w:rsidRDefault="00EA7608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 w:hint="eastAsia"/>
                <w:sz w:val="24"/>
                <w:szCs w:val="24"/>
              </w:rPr>
              <w:t>2</w:t>
            </w:r>
            <w:r w:rsidR="00731ADE">
              <w:rPr>
                <w:rFonts w:eastAsiaTheme="minorEastAsia"/>
                <w:sz w:val="24"/>
                <w:szCs w:val="24"/>
              </w:rPr>
              <w:t>4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731ADE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731ADE">
              <w:rPr>
                <w:rFonts w:eastAsiaTheme="minorEastAsia"/>
                <w:sz w:val="24"/>
                <w:szCs w:val="24"/>
              </w:rPr>
              <w:t>17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BC6495">
        <w:trPr>
          <w:trHeight w:val="283"/>
          <w:jc w:val="center"/>
        </w:trPr>
        <w:tc>
          <w:tcPr>
            <w:tcW w:w="2743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C569C3" w:rsidRPr="00567DDA" w:rsidRDefault="00EA7608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大额转换转入日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/>
                <w:sz w:val="24"/>
                <w:szCs w:val="24"/>
              </w:rPr>
              <w:t>2</w:t>
            </w:r>
            <w:r w:rsidR="00731ADE">
              <w:rPr>
                <w:rFonts w:eastAsiaTheme="minorEastAsia"/>
                <w:sz w:val="24"/>
                <w:szCs w:val="24"/>
              </w:rPr>
              <w:t>4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731ADE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731ADE">
              <w:rPr>
                <w:rFonts w:eastAsiaTheme="minorEastAsia"/>
                <w:sz w:val="24"/>
                <w:szCs w:val="24"/>
              </w:rPr>
              <w:t>17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BC6495">
        <w:trPr>
          <w:jc w:val="center"/>
        </w:trPr>
        <w:tc>
          <w:tcPr>
            <w:tcW w:w="2743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C569C3" w:rsidRPr="00567DDA" w:rsidRDefault="00EA7608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/>
                <w:sz w:val="24"/>
                <w:szCs w:val="24"/>
              </w:rPr>
              <w:t>2</w:t>
            </w:r>
            <w:r w:rsidR="00731ADE">
              <w:rPr>
                <w:rFonts w:eastAsiaTheme="minorEastAsia"/>
                <w:sz w:val="24"/>
                <w:szCs w:val="24"/>
              </w:rPr>
              <w:t>4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731ADE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731ADE">
              <w:rPr>
                <w:rFonts w:eastAsiaTheme="minorEastAsia"/>
                <w:sz w:val="24"/>
                <w:szCs w:val="24"/>
              </w:rPr>
              <w:t>17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BC6495">
        <w:trPr>
          <w:jc w:val="center"/>
        </w:trPr>
        <w:tc>
          <w:tcPr>
            <w:tcW w:w="2743" w:type="dxa"/>
            <w:vMerge/>
          </w:tcPr>
          <w:p w:rsidR="00567DDA" w:rsidRPr="00567DDA" w:rsidRDefault="00567DDA"/>
        </w:tc>
        <w:tc>
          <w:tcPr>
            <w:tcW w:w="2910" w:type="dxa"/>
          </w:tcPr>
          <w:p w:rsidR="00567DDA" w:rsidRPr="00567DDA" w:rsidRDefault="00EA760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大额申购（转换转入、定期定额投资）</w:t>
            </w:r>
            <w:r w:rsidR="009273B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2977" w:type="dxa"/>
            <w:vAlign w:val="center"/>
          </w:tcPr>
          <w:p w:rsidR="00567DDA" w:rsidRPr="00567DDA" w:rsidRDefault="00C4435E">
            <w:pPr>
              <w:rPr>
                <w:rFonts w:eastAsiaTheme="minorEastAsia"/>
                <w:sz w:val="24"/>
                <w:szCs w:val="24"/>
              </w:rPr>
            </w:pPr>
            <w:r w:rsidRPr="00C4435E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本基金管理人考虑之前限制大额申购（转换转入、定期定额投资）业务的因素对基金资产运作的影响已经减弱，为满足广大投资者的投资需求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 w:rsidP="00A424EA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lastRenderedPageBreak/>
        <w:t>特此公告。</w:t>
      </w:r>
    </w:p>
    <w:p w:rsidR="00364C2A" w:rsidRPr="00567DDA" w:rsidRDefault="00855674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74" w:rsidRDefault="00855674" w:rsidP="00D327FA">
      <w:r>
        <w:separator/>
      </w:r>
    </w:p>
  </w:endnote>
  <w:endnote w:type="continuationSeparator" w:id="0">
    <w:p w:rsidR="00855674" w:rsidRDefault="0085567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74" w:rsidRDefault="00855674" w:rsidP="00D327FA">
      <w:r>
        <w:separator/>
      </w:r>
    </w:p>
  </w:footnote>
  <w:footnote w:type="continuationSeparator" w:id="0">
    <w:p w:rsidR="00855674" w:rsidRDefault="0085567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2E"/>
    <w:rsid w:val="000118C4"/>
    <w:rsid w:val="000411A5"/>
    <w:rsid w:val="00041353"/>
    <w:rsid w:val="000453EE"/>
    <w:rsid w:val="00095A80"/>
    <w:rsid w:val="000D472C"/>
    <w:rsid w:val="000E4CBF"/>
    <w:rsid w:val="000F55E1"/>
    <w:rsid w:val="00100891"/>
    <w:rsid w:val="0010605A"/>
    <w:rsid w:val="0013025A"/>
    <w:rsid w:val="00160DAE"/>
    <w:rsid w:val="00172472"/>
    <w:rsid w:val="00180DA3"/>
    <w:rsid w:val="001905D1"/>
    <w:rsid w:val="001931C8"/>
    <w:rsid w:val="001B4F9F"/>
    <w:rsid w:val="001C7FCF"/>
    <w:rsid w:val="001D1A79"/>
    <w:rsid w:val="001D3B58"/>
    <w:rsid w:val="002241A8"/>
    <w:rsid w:val="00245724"/>
    <w:rsid w:val="00250538"/>
    <w:rsid w:val="00285347"/>
    <w:rsid w:val="002935EF"/>
    <w:rsid w:val="0029459B"/>
    <w:rsid w:val="00297148"/>
    <w:rsid w:val="002A6277"/>
    <w:rsid w:val="002B3273"/>
    <w:rsid w:val="002F58F7"/>
    <w:rsid w:val="002F7241"/>
    <w:rsid w:val="00327DA7"/>
    <w:rsid w:val="0033476C"/>
    <w:rsid w:val="0036784E"/>
    <w:rsid w:val="003D0DCF"/>
    <w:rsid w:val="003D3818"/>
    <w:rsid w:val="003E7801"/>
    <w:rsid w:val="00402952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F2DBE"/>
    <w:rsid w:val="00603A93"/>
    <w:rsid w:val="0060575E"/>
    <w:rsid w:val="00633C51"/>
    <w:rsid w:val="00646522"/>
    <w:rsid w:val="00663031"/>
    <w:rsid w:val="006821D6"/>
    <w:rsid w:val="006836A7"/>
    <w:rsid w:val="006A0A5E"/>
    <w:rsid w:val="006A0E81"/>
    <w:rsid w:val="006E6038"/>
    <w:rsid w:val="0071283E"/>
    <w:rsid w:val="00731ADE"/>
    <w:rsid w:val="0073228C"/>
    <w:rsid w:val="00753E39"/>
    <w:rsid w:val="00762FED"/>
    <w:rsid w:val="00770DB7"/>
    <w:rsid w:val="00782ED1"/>
    <w:rsid w:val="007A101E"/>
    <w:rsid w:val="007B0250"/>
    <w:rsid w:val="007B1D31"/>
    <w:rsid w:val="007F5184"/>
    <w:rsid w:val="008472DB"/>
    <w:rsid w:val="00855674"/>
    <w:rsid w:val="008712F5"/>
    <w:rsid w:val="008D65EE"/>
    <w:rsid w:val="008D6773"/>
    <w:rsid w:val="008E28BE"/>
    <w:rsid w:val="009273B9"/>
    <w:rsid w:val="00956B0F"/>
    <w:rsid w:val="00981679"/>
    <w:rsid w:val="009C5858"/>
    <w:rsid w:val="009F1490"/>
    <w:rsid w:val="00A2638C"/>
    <w:rsid w:val="00A27E28"/>
    <w:rsid w:val="00A424EA"/>
    <w:rsid w:val="00A428CE"/>
    <w:rsid w:val="00A5414E"/>
    <w:rsid w:val="00A5703A"/>
    <w:rsid w:val="00A72D57"/>
    <w:rsid w:val="00AC0E51"/>
    <w:rsid w:val="00AD2E44"/>
    <w:rsid w:val="00AD7BDD"/>
    <w:rsid w:val="00AF024E"/>
    <w:rsid w:val="00B101F7"/>
    <w:rsid w:val="00B13FDA"/>
    <w:rsid w:val="00B872E5"/>
    <w:rsid w:val="00B878BE"/>
    <w:rsid w:val="00BA2E4B"/>
    <w:rsid w:val="00BC6495"/>
    <w:rsid w:val="00BD545A"/>
    <w:rsid w:val="00BD601B"/>
    <w:rsid w:val="00C2161F"/>
    <w:rsid w:val="00C34655"/>
    <w:rsid w:val="00C4435E"/>
    <w:rsid w:val="00C569C3"/>
    <w:rsid w:val="00C70EDA"/>
    <w:rsid w:val="00C864DF"/>
    <w:rsid w:val="00CB227B"/>
    <w:rsid w:val="00CD74DC"/>
    <w:rsid w:val="00CE6DD8"/>
    <w:rsid w:val="00D114B7"/>
    <w:rsid w:val="00D1480F"/>
    <w:rsid w:val="00D16189"/>
    <w:rsid w:val="00D27EC7"/>
    <w:rsid w:val="00D327FA"/>
    <w:rsid w:val="00D73A8B"/>
    <w:rsid w:val="00D95A18"/>
    <w:rsid w:val="00DD22A8"/>
    <w:rsid w:val="00E211C3"/>
    <w:rsid w:val="00E3565A"/>
    <w:rsid w:val="00E36B7E"/>
    <w:rsid w:val="00E63200"/>
    <w:rsid w:val="00E7140D"/>
    <w:rsid w:val="00E714AE"/>
    <w:rsid w:val="00E830A4"/>
    <w:rsid w:val="00EA7608"/>
    <w:rsid w:val="00EB68F1"/>
    <w:rsid w:val="00EC573F"/>
    <w:rsid w:val="00EE1823"/>
    <w:rsid w:val="00F065E2"/>
    <w:rsid w:val="00F15B17"/>
    <w:rsid w:val="00F40DDA"/>
    <w:rsid w:val="00F64447"/>
    <w:rsid w:val="00FA245C"/>
    <w:rsid w:val="00FA28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22C72-F1CB-41C1-8E40-D10A2563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E211C3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王子晴</cp:lastModifiedBy>
  <cp:revision>108</cp:revision>
  <dcterms:created xsi:type="dcterms:W3CDTF">2013-07-19T07:53:00Z</dcterms:created>
  <dcterms:modified xsi:type="dcterms:W3CDTF">2024-10-15T07:13:00Z</dcterms:modified>
</cp:coreProperties>
</file>