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4802" w14:textId="77777777" w:rsidR="00367445" w:rsidRPr="00EB07BC" w:rsidRDefault="00367445">
      <w:pPr>
        <w:rPr>
          <w:sz w:val="32"/>
        </w:rPr>
      </w:pPr>
    </w:p>
    <w:p w14:paraId="41A6638C" w14:textId="77777777" w:rsidR="00367445" w:rsidRPr="00EB07BC" w:rsidRDefault="00367445">
      <w:pPr>
        <w:rPr>
          <w:sz w:val="32"/>
        </w:rPr>
      </w:pPr>
    </w:p>
    <w:p w14:paraId="2745BE23" w14:textId="77777777" w:rsidR="00367445" w:rsidRPr="00EB07BC" w:rsidRDefault="00367445">
      <w:pPr>
        <w:rPr>
          <w:sz w:val="32"/>
        </w:rPr>
      </w:pPr>
    </w:p>
    <w:p w14:paraId="399C1B1C" w14:textId="0433755E" w:rsidR="00367445" w:rsidRPr="00EB07BC" w:rsidRDefault="002D5702">
      <w:pPr>
        <w:jc w:val="center"/>
        <w:rPr>
          <w:sz w:val="32"/>
        </w:rPr>
      </w:pPr>
      <w:r>
        <w:rPr>
          <w:noProof/>
        </w:rPr>
        <w:drawing>
          <wp:inline distT="0" distB="0" distL="0" distR="0" wp14:anchorId="0B6D435F" wp14:editId="5402A2FC">
            <wp:extent cx="4341495" cy="57277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1495" cy="572770"/>
                    </a:xfrm>
                    <a:prstGeom prst="rect">
                      <a:avLst/>
                    </a:prstGeom>
                    <a:noFill/>
                    <a:ln>
                      <a:noFill/>
                    </a:ln>
                  </pic:spPr>
                </pic:pic>
              </a:graphicData>
            </a:graphic>
          </wp:inline>
        </w:drawing>
      </w:r>
    </w:p>
    <w:p w14:paraId="34C8C535" w14:textId="77777777" w:rsidR="001F702C" w:rsidRDefault="001F702C">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15425966" w14:textId="77777777" w:rsidR="001F702C" w:rsidRDefault="001F702C">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D6C5B0C" w14:textId="77777777" w:rsidR="001F702C" w:rsidRDefault="00BD18A1">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交银施罗德中债</w:t>
      </w:r>
      <w:r>
        <w:rPr>
          <w:rFonts w:ascii="Times New Roman" w:hAnsi="Times New Roman"/>
          <w:b/>
          <w:spacing w:val="2"/>
          <w:w w:val="99"/>
          <w:kern w:val="0"/>
          <w:position w:val="-4"/>
          <w:sz w:val="44"/>
          <w:szCs w:val="44"/>
        </w:rPr>
        <w:t>1-3</w:t>
      </w:r>
      <w:r>
        <w:rPr>
          <w:rFonts w:ascii="Times New Roman" w:hAnsi="Times New Roman"/>
          <w:b/>
          <w:spacing w:val="2"/>
          <w:w w:val="99"/>
          <w:kern w:val="0"/>
          <w:position w:val="-4"/>
          <w:sz w:val="44"/>
          <w:szCs w:val="44"/>
        </w:rPr>
        <w:t>年农发行债券指数证券投资基金</w:t>
      </w:r>
    </w:p>
    <w:p w14:paraId="30EDAFA8" w14:textId="77777777" w:rsidR="001F702C" w:rsidRDefault="00BD18A1">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297880C5" w14:textId="068A6D7B" w:rsidR="001F702C" w:rsidRDefault="00BD18A1">
      <w:pPr>
        <w:snapToGrid w:val="0"/>
        <w:spacing w:line="360" w:lineRule="auto"/>
        <w:jc w:val="center"/>
        <w:rPr>
          <w:rFonts w:ascii="宋体" w:hAnsi="宋体"/>
          <w:b/>
          <w:sz w:val="30"/>
          <w:szCs w:val="30"/>
        </w:rPr>
      </w:pPr>
      <w:r>
        <w:rPr>
          <w:rFonts w:ascii="Times New Roman" w:hAnsi="Times New Roman"/>
          <w:b/>
          <w:color w:val="000000"/>
          <w:sz w:val="32"/>
          <w:szCs w:val="32"/>
        </w:rPr>
        <w:t>(</w:t>
      </w:r>
      <w:r w:rsidR="003F3DD0">
        <w:rPr>
          <w:rFonts w:ascii="Times New Roman" w:hAnsi="Times New Roman"/>
          <w:b/>
          <w:color w:val="000000"/>
          <w:sz w:val="32"/>
          <w:szCs w:val="32"/>
        </w:rPr>
        <w:t>202</w:t>
      </w:r>
      <w:r w:rsidR="005C42C4">
        <w:rPr>
          <w:rFonts w:ascii="Times New Roman" w:hAnsi="Times New Roman"/>
          <w:b/>
          <w:color w:val="000000"/>
          <w:sz w:val="32"/>
          <w:szCs w:val="32"/>
        </w:rPr>
        <w:t>3</w:t>
      </w:r>
      <w:r>
        <w:rPr>
          <w:rFonts w:ascii="Times New Roman" w:hAnsi="Times New Roman"/>
          <w:b/>
          <w:color w:val="000000"/>
          <w:sz w:val="32"/>
          <w:szCs w:val="32"/>
        </w:rPr>
        <w:t>年</w:t>
      </w:r>
      <w:r w:rsidR="003F3DD0">
        <w:rPr>
          <w:rFonts w:ascii="Times New Roman" w:hAnsi="Times New Roman"/>
          <w:b/>
          <w:color w:val="000000"/>
          <w:sz w:val="32"/>
          <w:szCs w:val="32"/>
        </w:rPr>
        <w:t>第</w:t>
      </w:r>
      <w:r w:rsidR="005C42C4">
        <w:rPr>
          <w:rFonts w:ascii="Times New Roman" w:hAnsi="Times New Roman"/>
          <w:b/>
          <w:color w:val="000000"/>
          <w:sz w:val="32"/>
          <w:szCs w:val="32"/>
        </w:rPr>
        <w:t>3</w:t>
      </w:r>
      <w:r>
        <w:rPr>
          <w:rFonts w:ascii="Times New Roman" w:hAnsi="Times New Roman"/>
          <w:b/>
          <w:color w:val="000000"/>
          <w:sz w:val="32"/>
          <w:szCs w:val="32"/>
        </w:rPr>
        <w:t>号</w:t>
      </w:r>
      <w:r>
        <w:rPr>
          <w:rFonts w:ascii="Times New Roman" w:hAnsi="Times New Roman"/>
          <w:b/>
          <w:color w:val="000000"/>
          <w:sz w:val="32"/>
          <w:szCs w:val="32"/>
        </w:rPr>
        <w:t>)</w:t>
      </w:r>
    </w:p>
    <w:p w14:paraId="0EF0DD03"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95B6E97"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3AE8107"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898D224"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9C29ECC"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A52CB48"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54D5475" w14:textId="77777777" w:rsidR="001F702C" w:rsidRDefault="00BD18A1">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62ADFB65" w14:textId="77777777" w:rsidR="001F702C" w:rsidRDefault="00BD18A1">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基金托管人：中国光大银行股份有限公司</w:t>
      </w:r>
    </w:p>
    <w:p w14:paraId="47924B4D"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25F9B3E"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8D3844C" w14:textId="0796B565" w:rsidR="001F702C" w:rsidRDefault="003F3DD0">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5C42C4">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5C42C4">
        <w:rPr>
          <w:rFonts w:ascii="Times New Roman" w:hAnsi="Times New Roman" w:hint="eastAsia"/>
          <w:b/>
          <w:spacing w:val="2"/>
          <w:w w:val="99"/>
          <w:kern w:val="0"/>
          <w:sz w:val="28"/>
          <w:szCs w:val="32"/>
        </w:rPr>
        <w:t>十二</w:t>
      </w:r>
      <w:r>
        <w:rPr>
          <w:rFonts w:ascii="Times New Roman" w:hAnsi="Times New Roman"/>
          <w:b/>
          <w:spacing w:val="2"/>
          <w:w w:val="99"/>
          <w:kern w:val="0"/>
          <w:sz w:val="28"/>
          <w:szCs w:val="32"/>
        </w:rPr>
        <w:t>月</w:t>
      </w:r>
    </w:p>
    <w:p w14:paraId="25872B3B" w14:textId="77777777" w:rsidR="001F702C" w:rsidRDefault="001F702C">
      <w:pPr>
        <w:autoSpaceDE w:val="0"/>
        <w:autoSpaceDN w:val="0"/>
        <w:adjustRightInd w:val="0"/>
        <w:snapToGrid w:val="0"/>
        <w:spacing w:line="360" w:lineRule="auto"/>
        <w:ind w:left="1347" w:rightChars="6" w:right="13"/>
        <w:rPr>
          <w:rFonts w:ascii="宋体" w:hAnsi="宋体"/>
          <w:kern w:val="0"/>
          <w:sz w:val="32"/>
          <w:szCs w:val="32"/>
        </w:rPr>
        <w:sectPr w:rsidR="001F702C">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4D92452F" w14:textId="77777777" w:rsidR="001F702C" w:rsidRDefault="00BD18A1">
      <w:pPr>
        <w:pStyle w:val="1"/>
        <w:snapToGrid w:val="0"/>
        <w:spacing w:beforeLines="0" w:before="240" w:after="240"/>
        <w:rPr>
          <w:rFonts w:ascii="宋体" w:hAnsi="宋体"/>
          <w:kern w:val="0"/>
        </w:rPr>
      </w:pPr>
      <w:bookmarkStart w:id="0" w:name="_Toc324920538"/>
      <w:bookmarkStart w:id="1" w:name="_Toc496884613"/>
      <w:bookmarkStart w:id="2" w:name="_Toc140049404"/>
      <w:r>
        <w:rPr>
          <w:rFonts w:ascii="Times New Roman" w:hAnsi="Times New Roman"/>
          <w:kern w:val="0"/>
        </w:rPr>
        <w:lastRenderedPageBreak/>
        <w:t>重要提示</w:t>
      </w:r>
      <w:bookmarkEnd w:id="0"/>
      <w:bookmarkEnd w:id="1"/>
      <w:bookmarkEnd w:id="2"/>
    </w:p>
    <w:p w14:paraId="7F74F23D"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交银施罗德中债</w:t>
      </w:r>
      <w:r>
        <w:rPr>
          <w:rFonts w:ascii="Times New Roman" w:hAnsi="Times New Roman"/>
          <w:kern w:val="0"/>
          <w:sz w:val="24"/>
        </w:rPr>
        <w:t>1-3</w:t>
      </w:r>
      <w:r>
        <w:rPr>
          <w:rFonts w:ascii="Times New Roman" w:hAnsi="Times New Roman"/>
          <w:kern w:val="0"/>
          <w:sz w:val="24"/>
        </w:rPr>
        <w:t>年农发行债券指数证券投资基金（以下简称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14</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2018</w:t>
      </w:r>
      <w:r>
        <w:rPr>
          <w:rFonts w:ascii="Times New Roman" w:hAnsi="Times New Roman"/>
          <w:kern w:val="0"/>
          <w:sz w:val="24"/>
        </w:rPr>
        <w:t>】</w:t>
      </w:r>
      <w:r>
        <w:rPr>
          <w:rFonts w:ascii="Times New Roman" w:hAnsi="Times New Roman"/>
          <w:kern w:val="0"/>
          <w:sz w:val="24"/>
        </w:rPr>
        <w:t>1856</w:t>
      </w:r>
      <w:r>
        <w:rPr>
          <w:rFonts w:ascii="Times New Roman" w:hAnsi="Times New Roman"/>
          <w:kern w:val="0"/>
          <w:sz w:val="24"/>
        </w:rPr>
        <w:t>号文准予募集注册。本</w:t>
      </w:r>
      <w:proofErr w:type="gramStart"/>
      <w:r>
        <w:rPr>
          <w:rFonts w:ascii="Times New Roman" w:hAnsi="Times New Roman"/>
          <w:kern w:val="0"/>
          <w:sz w:val="24"/>
        </w:rPr>
        <w:t>基金基金</w:t>
      </w:r>
      <w:proofErr w:type="gramEnd"/>
      <w:r>
        <w:rPr>
          <w:rFonts w:ascii="Times New Roman" w:hAnsi="Times New Roman"/>
          <w:kern w:val="0"/>
          <w:sz w:val="24"/>
        </w:rPr>
        <w:t>合同于</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23</w:t>
      </w:r>
      <w:r>
        <w:rPr>
          <w:rFonts w:ascii="Times New Roman" w:hAnsi="Times New Roman"/>
          <w:kern w:val="0"/>
          <w:sz w:val="24"/>
        </w:rPr>
        <w:t>日正式生效。</w:t>
      </w:r>
    </w:p>
    <w:p w14:paraId="447E0A04"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实质性判断或保证，也不表明投资于本基金没有风险。中国证监会不对基金的投资价值及市场前景等</w:t>
      </w:r>
      <w:proofErr w:type="gramStart"/>
      <w:r>
        <w:rPr>
          <w:rFonts w:ascii="Times New Roman" w:hAnsi="Times New Roman"/>
          <w:kern w:val="0"/>
          <w:sz w:val="24"/>
        </w:rPr>
        <w:t>作出</w:t>
      </w:r>
      <w:proofErr w:type="gramEnd"/>
      <w:r>
        <w:rPr>
          <w:rFonts w:ascii="Times New Roman" w:hAnsi="Times New Roman"/>
          <w:kern w:val="0"/>
          <w:sz w:val="24"/>
        </w:rPr>
        <w:t>实质性判断或者保证。</w:t>
      </w:r>
    </w:p>
    <w:p w14:paraId="32531F09"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9DA5F1B"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w:t>
      </w:r>
      <w:proofErr w:type="gramStart"/>
      <w:r>
        <w:rPr>
          <w:rFonts w:ascii="Times New Roman" w:hAnsi="Times New Roman"/>
          <w:kern w:val="0"/>
          <w:sz w:val="24"/>
        </w:rPr>
        <w:t>侧袋机制</w:t>
      </w:r>
      <w:proofErr w:type="gramEnd"/>
      <w:r>
        <w:rPr>
          <w:rFonts w:ascii="Times New Roman" w:hAnsi="Times New Roman"/>
          <w:kern w:val="0"/>
          <w:sz w:val="24"/>
        </w:rPr>
        <w:t>时的特定风险）；交易对手违约风险；本基金投资策略所特有的指数</w:t>
      </w:r>
      <w:proofErr w:type="gramStart"/>
      <w:r>
        <w:rPr>
          <w:rFonts w:ascii="Times New Roman" w:hAnsi="Times New Roman"/>
          <w:kern w:val="0"/>
          <w:sz w:val="24"/>
        </w:rPr>
        <w:t>化投资</w:t>
      </w:r>
      <w:proofErr w:type="gramEnd"/>
      <w:r>
        <w:rPr>
          <w:rFonts w:ascii="Times New Roman" w:hAnsi="Times New Roman"/>
          <w:kern w:val="0"/>
          <w:sz w:val="24"/>
        </w:rPr>
        <w:t>风险；本基金的特有风险；连续六十个工作日出现基金份额持有人数量不满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万元情形时基金管理人将依基金合同约定提前终止基金合同的风险；其他风险等等。其中指数</w:t>
      </w:r>
      <w:proofErr w:type="gramStart"/>
      <w:r>
        <w:rPr>
          <w:rFonts w:ascii="Times New Roman" w:hAnsi="Times New Roman"/>
          <w:kern w:val="0"/>
          <w:sz w:val="24"/>
        </w:rPr>
        <w:t>化投资</w:t>
      </w:r>
      <w:proofErr w:type="gramEnd"/>
      <w:r>
        <w:rPr>
          <w:rFonts w:ascii="Times New Roman" w:hAnsi="Times New Roman"/>
          <w:kern w:val="0"/>
          <w:sz w:val="24"/>
        </w:rPr>
        <w:t>风险主要包括：标的指数回报与债券市场平均回报偏离的风险、标的指数下跌的风险、基金跟踪偏离风险、标的指数变更的风险、标的指数计算出错的风险、跟踪误差控制未达约定目标的风险、指数编制机构停止服务的风险、成份</w:t>
      </w:r>
      <w:proofErr w:type="gramStart"/>
      <w:r>
        <w:rPr>
          <w:rFonts w:ascii="Times New Roman" w:hAnsi="Times New Roman"/>
          <w:kern w:val="0"/>
          <w:sz w:val="24"/>
        </w:rPr>
        <w:t>券</w:t>
      </w:r>
      <w:proofErr w:type="gramEnd"/>
      <w:r>
        <w:rPr>
          <w:rFonts w:ascii="Times New Roman" w:hAnsi="Times New Roman"/>
          <w:kern w:val="0"/>
          <w:sz w:val="24"/>
        </w:rPr>
        <w:t>停牌或违约的风险等。</w:t>
      </w:r>
    </w:p>
    <w:p w14:paraId="097F698D"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p w14:paraId="7800F86C"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本基金为指数基金，投资者投资于本基金面临跟踪误差控制未达约定目标、指数编制机构停止服务、成份</w:t>
      </w:r>
      <w:proofErr w:type="gramStart"/>
      <w:r>
        <w:rPr>
          <w:rFonts w:ascii="Times New Roman" w:hAnsi="Times New Roman"/>
          <w:kern w:val="0"/>
          <w:sz w:val="24"/>
        </w:rPr>
        <w:t>券</w:t>
      </w:r>
      <w:proofErr w:type="gramEnd"/>
      <w:r>
        <w:rPr>
          <w:rFonts w:ascii="Times New Roman" w:hAnsi="Times New Roman"/>
          <w:kern w:val="0"/>
          <w:sz w:val="24"/>
        </w:rPr>
        <w:t>停牌或违约等潜在风险。</w:t>
      </w:r>
    </w:p>
    <w:p w14:paraId="58473BE6"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本基金标的指数为中债</w:t>
      </w:r>
      <w:r>
        <w:rPr>
          <w:rFonts w:ascii="Times New Roman" w:hAnsi="Times New Roman"/>
          <w:kern w:val="0"/>
          <w:sz w:val="24"/>
        </w:rPr>
        <w:t>-1-3</w:t>
      </w:r>
      <w:r>
        <w:rPr>
          <w:rFonts w:ascii="Times New Roman" w:hAnsi="Times New Roman"/>
          <w:kern w:val="0"/>
          <w:sz w:val="24"/>
        </w:rPr>
        <w:t>年农发行债券指数。</w:t>
      </w:r>
    </w:p>
    <w:p w14:paraId="3FD1B95A"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1</w:t>
      </w:r>
      <w:r>
        <w:rPr>
          <w:rFonts w:ascii="Times New Roman" w:hAnsi="Times New Roman"/>
          <w:kern w:val="0"/>
          <w:sz w:val="24"/>
        </w:rPr>
        <w:t>、选样空间</w:t>
      </w:r>
    </w:p>
    <w:p w14:paraId="6BC08084"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成份</w:t>
      </w:r>
      <w:proofErr w:type="gramStart"/>
      <w:r>
        <w:rPr>
          <w:rFonts w:ascii="Times New Roman" w:hAnsi="Times New Roman"/>
          <w:kern w:val="0"/>
          <w:sz w:val="24"/>
        </w:rPr>
        <w:t>券</w:t>
      </w:r>
      <w:proofErr w:type="gramEnd"/>
      <w:r>
        <w:rPr>
          <w:rFonts w:ascii="Times New Roman" w:hAnsi="Times New Roman"/>
          <w:kern w:val="0"/>
          <w:sz w:val="24"/>
        </w:rPr>
        <w:t>包括中国农业发展银行在境内公开发行且上市流通的待偿期</w:t>
      </w:r>
      <w:r>
        <w:rPr>
          <w:rFonts w:ascii="Times New Roman" w:hAnsi="Times New Roman"/>
          <w:kern w:val="0"/>
          <w:sz w:val="24"/>
        </w:rPr>
        <w:t>0.5</w:t>
      </w:r>
      <w:r>
        <w:rPr>
          <w:rFonts w:ascii="Times New Roman" w:hAnsi="Times New Roman"/>
          <w:kern w:val="0"/>
          <w:sz w:val="24"/>
        </w:rPr>
        <w:t>至</w:t>
      </w:r>
      <w:r>
        <w:rPr>
          <w:rFonts w:ascii="Times New Roman" w:hAnsi="Times New Roman"/>
          <w:kern w:val="0"/>
          <w:sz w:val="24"/>
        </w:rPr>
        <w:t>3</w:t>
      </w:r>
      <w:r>
        <w:rPr>
          <w:rFonts w:ascii="Times New Roman" w:hAnsi="Times New Roman"/>
          <w:kern w:val="0"/>
          <w:sz w:val="24"/>
        </w:rPr>
        <w:t>年（包含</w:t>
      </w:r>
      <w:r>
        <w:rPr>
          <w:rFonts w:ascii="Times New Roman" w:hAnsi="Times New Roman"/>
          <w:kern w:val="0"/>
          <w:sz w:val="24"/>
        </w:rPr>
        <w:t>0.5</w:t>
      </w:r>
      <w:r>
        <w:rPr>
          <w:rFonts w:ascii="Times New Roman" w:hAnsi="Times New Roman"/>
          <w:kern w:val="0"/>
          <w:sz w:val="24"/>
        </w:rPr>
        <w:t>年和</w:t>
      </w:r>
      <w:r>
        <w:rPr>
          <w:rFonts w:ascii="Times New Roman" w:hAnsi="Times New Roman"/>
          <w:kern w:val="0"/>
          <w:sz w:val="24"/>
        </w:rPr>
        <w:t>3</w:t>
      </w:r>
      <w:r>
        <w:rPr>
          <w:rFonts w:ascii="Times New Roman" w:hAnsi="Times New Roman"/>
          <w:kern w:val="0"/>
          <w:sz w:val="24"/>
        </w:rPr>
        <w:t>年）的政策性银行债。</w:t>
      </w:r>
    </w:p>
    <w:p w14:paraId="530F4B74"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w:t>
      </w:r>
      <w:r>
        <w:rPr>
          <w:rFonts w:ascii="Times New Roman" w:hAnsi="Times New Roman"/>
          <w:kern w:val="0"/>
          <w:sz w:val="24"/>
        </w:rPr>
        <w:t>、选样方法</w:t>
      </w:r>
    </w:p>
    <w:p w14:paraId="0CCE7297"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2.1.</w:t>
      </w:r>
      <w:r>
        <w:rPr>
          <w:rFonts w:ascii="Times New Roman" w:hAnsi="Times New Roman"/>
          <w:kern w:val="0"/>
          <w:sz w:val="24"/>
        </w:rPr>
        <w:t>债券种类</w:t>
      </w:r>
    </w:p>
    <w:p w14:paraId="670ECF56"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政策性银行债、扶贫专项金融债。</w:t>
      </w:r>
    </w:p>
    <w:p w14:paraId="3E351732"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2.2.</w:t>
      </w:r>
      <w:r>
        <w:rPr>
          <w:rFonts w:ascii="Times New Roman" w:hAnsi="Times New Roman"/>
          <w:kern w:val="0"/>
          <w:sz w:val="24"/>
        </w:rPr>
        <w:t>发行人</w:t>
      </w:r>
    </w:p>
    <w:p w14:paraId="15C7A3CC"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中国农业发展银行。</w:t>
      </w:r>
    </w:p>
    <w:p w14:paraId="26E3794A"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2.3.</w:t>
      </w:r>
      <w:r>
        <w:rPr>
          <w:rFonts w:ascii="Times New Roman" w:hAnsi="Times New Roman"/>
          <w:kern w:val="0"/>
          <w:sz w:val="24"/>
        </w:rPr>
        <w:t>上市地点</w:t>
      </w:r>
    </w:p>
    <w:p w14:paraId="7FB0DDDA"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全国银行间债券市场、上海证券交易所、深圳证券交易所。</w:t>
      </w:r>
    </w:p>
    <w:p w14:paraId="3F3BE975"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2.4.</w:t>
      </w:r>
      <w:r>
        <w:rPr>
          <w:rFonts w:ascii="Times New Roman" w:hAnsi="Times New Roman"/>
          <w:kern w:val="0"/>
          <w:sz w:val="24"/>
        </w:rPr>
        <w:t>托管余额</w:t>
      </w:r>
      <w:r>
        <w:rPr>
          <w:rFonts w:ascii="Times New Roman" w:hAnsi="Times New Roman"/>
          <w:kern w:val="0"/>
          <w:sz w:val="24"/>
        </w:rPr>
        <w:t>/</w:t>
      </w:r>
      <w:r>
        <w:rPr>
          <w:rFonts w:ascii="Times New Roman" w:hAnsi="Times New Roman"/>
          <w:kern w:val="0"/>
          <w:sz w:val="24"/>
        </w:rPr>
        <w:t>发行量</w:t>
      </w:r>
    </w:p>
    <w:p w14:paraId="787811AE"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无限制。</w:t>
      </w:r>
    </w:p>
    <w:p w14:paraId="314B3ACB"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2.5.</w:t>
      </w:r>
      <w:r>
        <w:rPr>
          <w:rFonts w:ascii="Times New Roman" w:hAnsi="Times New Roman"/>
          <w:kern w:val="0"/>
          <w:sz w:val="24"/>
        </w:rPr>
        <w:t>债券剩余期限</w:t>
      </w:r>
    </w:p>
    <w:p w14:paraId="2E1B5DE1"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0.5</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年（包含</w:t>
      </w:r>
      <w:r>
        <w:rPr>
          <w:rFonts w:ascii="Times New Roman" w:hAnsi="Times New Roman"/>
          <w:kern w:val="0"/>
          <w:sz w:val="24"/>
        </w:rPr>
        <w:t>0.5</w:t>
      </w:r>
      <w:r>
        <w:rPr>
          <w:rFonts w:ascii="Times New Roman" w:hAnsi="Times New Roman"/>
          <w:kern w:val="0"/>
          <w:sz w:val="24"/>
        </w:rPr>
        <w:t>年和</w:t>
      </w:r>
      <w:r>
        <w:rPr>
          <w:rFonts w:ascii="Times New Roman" w:hAnsi="Times New Roman"/>
          <w:kern w:val="0"/>
          <w:sz w:val="24"/>
        </w:rPr>
        <w:t>3</w:t>
      </w:r>
      <w:r>
        <w:rPr>
          <w:rFonts w:ascii="Times New Roman" w:hAnsi="Times New Roman"/>
          <w:kern w:val="0"/>
          <w:sz w:val="24"/>
        </w:rPr>
        <w:t>年），</w:t>
      </w:r>
      <w:proofErr w:type="gramStart"/>
      <w:r>
        <w:rPr>
          <w:rFonts w:ascii="Times New Roman" w:hAnsi="Times New Roman"/>
          <w:kern w:val="0"/>
          <w:sz w:val="24"/>
        </w:rPr>
        <w:t>含权债剩余</w:t>
      </w:r>
      <w:proofErr w:type="gramEnd"/>
      <w:r>
        <w:rPr>
          <w:rFonts w:ascii="Times New Roman" w:hAnsi="Times New Roman"/>
          <w:kern w:val="0"/>
          <w:sz w:val="24"/>
        </w:rPr>
        <w:t>期限按计算日中债估值推荐方向选取。</w:t>
      </w:r>
    </w:p>
    <w:p w14:paraId="6AED5C4C"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2.6.</w:t>
      </w:r>
      <w:r>
        <w:rPr>
          <w:rFonts w:ascii="Times New Roman" w:hAnsi="Times New Roman"/>
          <w:kern w:val="0"/>
          <w:sz w:val="24"/>
        </w:rPr>
        <w:t>债券币种</w:t>
      </w:r>
    </w:p>
    <w:p w14:paraId="2EFACE77"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人民币。</w:t>
      </w:r>
    </w:p>
    <w:p w14:paraId="66CF72A3"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2.7.</w:t>
      </w:r>
      <w:r>
        <w:rPr>
          <w:rFonts w:ascii="Times New Roman" w:hAnsi="Times New Roman"/>
          <w:kern w:val="0"/>
          <w:sz w:val="24"/>
        </w:rPr>
        <w:t>付息方式</w:t>
      </w:r>
    </w:p>
    <w:p w14:paraId="3F6DB507"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附息式固定利率。</w:t>
      </w:r>
    </w:p>
    <w:p w14:paraId="6EC690E7"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2.8.</w:t>
      </w:r>
      <w:r>
        <w:rPr>
          <w:rFonts w:ascii="Times New Roman" w:hAnsi="Times New Roman"/>
          <w:kern w:val="0"/>
          <w:sz w:val="24"/>
        </w:rPr>
        <w:t>上市期限</w:t>
      </w:r>
    </w:p>
    <w:p w14:paraId="52B1D312"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无限制。</w:t>
      </w:r>
    </w:p>
    <w:p w14:paraId="0AFB3BC6"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2.9.</w:t>
      </w:r>
      <w:r>
        <w:rPr>
          <w:rFonts w:ascii="Times New Roman" w:hAnsi="Times New Roman"/>
          <w:kern w:val="0"/>
          <w:sz w:val="24"/>
        </w:rPr>
        <w:t>含权债</w:t>
      </w:r>
    </w:p>
    <w:p w14:paraId="6330D36C"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包含</w:t>
      </w:r>
      <w:proofErr w:type="gramStart"/>
      <w:r>
        <w:rPr>
          <w:rFonts w:ascii="Times New Roman" w:hAnsi="Times New Roman"/>
          <w:kern w:val="0"/>
          <w:sz w:val="24"/>
        </w:rPr>
        <w:t>含</w:t>
      </w:r>
      <w:proofErr w:type="gramEnd"/>
      <w:r>
        <w:rPr>
          <w:rFonts w:ascii="Times New Roman" w:hAnsi="Times New Roman"/>
          <w:kern w:val="0"/>
          <w:sz w:val="24"/>
        </w:rPr>
        <w:t>权债。</w:t>
      </w:r>
    </w:p>
    <w:p w14:paraId="632BD4C9"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有关标的指数具体编制方案详见中国债券信息网，网址：</w:t>
      </w:r>
      <w:r>
        <w:rPr>
          <w:rFonts w:ascii="Times New Roman" w:hAnsi="Times New Roman"/>
          <w:kern w:val="0"/>
          <w:sz w:val="24"/>
        </w:rPr>
        <w:t>https://www.chinabond.com.cn/</w:t>
      </w:r>
      <w:r>
        <w:rPr>
          <w:rFonts w:ascii="Times New Roman" w:hAnsi="Times New Roman"/>
          <w:kern w:val="0"/>
          <w:sz w:val="24"/>
        </w:rPr>
        <w:t>。</w:t>
      </w:r>
    </w:p>
    <w:p w14:paraId="238F1B35"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投资有风险，投资人在投资本基金前应认真阅读本基金的招募说明书和基金合同、基金产品资料概要等信息披露文件，自主判断基金的投资价值，自主</w:t>
      </w:r>
      <w:proofErr w:type="gramStart"/>
      <w:r>
        <w:rPr>
          <w:rFonts w:ascii="Times New Roman" w:hAnsi="Times New Roman"/>
          <w:kern w:val="0"/>
          <w:sz w:val="24"/>
        </w:rPr>
        <w:t>作出</w:t>
      </w:r>
      <w:proofErr w:type="gramEnd"/>
      <w:r>
        <w:rPr>
          <w:rFonts w:ascii="Times New Roman" w:hAnsi="Times New Roman"/>
          <w:kern w:val="0"/>
          <w:sz w:val="24"/>
        </w:rPr>
        <w:lastRenderedPageBreak/>
        <w:t>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w:t>
      </w:r>
      <w:proofErr w:type="gramStart"/>
      <w:r>
        <w:rPr>
          <w:rFonts w:ascii="Times New Roman" w:hAnsi="Times New Roman"/>
          <w:kern w:val="0"/>
          <w:sz w:val="24"/>
        </w:rPr>
        <w:t>作出</w:t>
      </w:r>
      <w:proofErr w:type="gramEnd"/>
      <w:r>
        <w:rPr>
          <w:rFonts w:ascii="Times New Roman" w:hAnsi="Times New Roman"/>
          <w:kern w:val="0"/>
          <w:sz w:val="24"/>
        </w:rPr>
        <w:t>投资决策后，基金运营状况与基金净值变化引致的投资风险，由投资者自行负责。</w:t>
      </w:r>
    </w:p>
    <w:p w14:paraId="44138138"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3B510754" w14:textId="6C1125AD" w:rsidR="001F702C" w:rsidRDefault="003F3DD0">
      <w:pPr>
        <w:autoSpaceDE w:val="0"/>
        <w:autoSpaceDN w:val="0"/>
        <w:adjustRightInd w:val="0"/>
        <w:snapToGrid w:val="0"/>
        <w:spacing w:line="360" w:lineRule="auto"/>
        <w:ind w:leftChars="50" w:left="105" w:firstLineChars="200" w:firstLine="480"/>
        <w:rPr>
          <w:rFonts w:ascii="宋体" w:hAnsi="宋体"/>
          <w:kern w:val="0"/>
          <w:sz w:val="24"/>
        </w:rPr>
      </w:pPr>
      <w:r w:rsidRPr="00156651">
        <w:rPr>
          <w:rFonts w:ascii="Times New Roman" w:hAnsi="Times New Roman" w:hint="eastAsia"/>
          <w:kern w:val="0"/>
          <w:sz w:val="24"/>
        </w:rPr>
        <w:t>本次更新招募说明书主要对本基金增设</w:t>
      </w:r>
      <w:r>
        <w:rPr>
          <w:rFonts w:ascii="Times New Roman" w:hAnsi="Times New Roman"/>
          <w:kern w:val="0"/>
          <w:sz w:val="24"/>
        </w:rPr>
        <w:t>D</w:t>
      </w:r>
      <w:r w:rsidRPr="00156651">
        <w:rPr>
          <w:rFonts w:ascii="Times New Roman" w:hAnsi="Times New Roman" w:hint="eastAsia"/>
          <w:kern w:val="0"/>
          <w:sz w:val="24"/>
        </w:rPr>
        <w:t>类基金份额</w:t>
      </w:r>
      <w:r>
        <w:rPr>
          <w:rFonts w:ascii="Times New Roman" w:hAnsi="Times New Roman" w:hint="eastAsia"/>
          <w:kern w:val="0"/>
          <w:sz w:val="24"/>
        </w:rPr>
        <w:t>的</w:t>
      </w:r>
      <w:r w:rsidRPr="00156651">
        <w:rPr>
          <w:rFonts w:ascii="Times New Roman" w:hAnsi="Times New Roman" w:hint="eastAsia"/>
          <w:kern w:val="0"/>
          <w:sz w:val="24"/>
        </w:rPr>
        <w:t>相关信息进行更新，前述内容更新截止日为</w:t>
      </w:r>
      <w:r>
        <w:rPr>
          <w:rFonts w:ascii="Times New Roman" w:hAnsi="Times New Roman" w:hint="eastAsia"/>
          <w:kern w:val="0"/>
          <w:sz w:val="24"/>
        </w:rPr>
        <w:t>20</w:t>
      </w:r>
      <w:r w:rsidR="00A80D3E">
        <w:rPr>
          <w:rFonts w:ascii="Times New Roman" w:hAnsi="Times New Roman"/>
          <w:kern w:val="0"/>
          <w:sz w:val="24"/>
        </w:rPr>
        <w:t>2</w:t>
      </w:r>
      <w:r w:rsidR="00B35671">
        <w:rPr>
          <w:rFonts w:ascii="Times New Roman" w:hAnsi="Times New Roman"/>
          <w:kern w:val="0"/>
          <w:sz w:val="24"/>
        </w:rPr>
        <w:t>3</w:t>
      </w:r>
      <w:r w:rsidRPr="00156651">
        <w:rPr>
          <w:rFonts w:ascii="Times New Roman" w:hAnsi="Times New Roman" w:hint="eastAsia"/>
          <w:kern w:val="0"/>
          <w:sz w:val="24"/>
        </w:rPr>
        <w:t>年</w:t>
      </w:r>
      <w:r w:rsidR="00B35671">
        <w:rPr>
          <w:rFonts w:ascii="Times New Roman" w:hAnsi="Times New Roman"/>
          <w:kern w:val="0"/>
          <w:sz w:val="24"/>
        </w:rPr>
        <w:t>12</w:t>
      </w:r>
      <w:r w:rsidRPr="00156651">
        <w:rPr>
          <w:rFonts w:ascii="Times New Roman" w:hAnsi="Times New Roman" w:hint="eastAsia"/>
          <w:kern w:val="0"/>
          <w:sz w:val="24"/>
        </w:rPr>
        <w:t>月</w:t>
      </w:r>
      <w:r w:rsidR="00B35671">
        <w:rPr>
          <w:rFonts w:ascii="Times New Roman" w:hAnsi="Times New Roman" w:hint="eastAsia"/>
          <w:kern w:val="0"/>
          <w:sz w:val="24"/>
        </w:rPr>
        <w:t>1</w:t>
      </w:r>
      <w:r w:rsidR="00B35671">
        <w:rPr>
          <w:rFonts w:ascii="Times New Roman" w:hAnsi="Times New Roman"/>
          <w:kern w:val="0"/>
          <w:sz w:val="24"/>
        </w:rPr>
        <w:t>4</w:t>
      </w:r>
      <w:r w:rsidRPr="00156651">
        <w:rPr>
          <w:rFonts w:ascii="Times New Roman" w:hAnsi="Times New Roman" w:hint="eastAsia"/>
          <w:kern w:val="0"/>
          <w:sz w:val="24"/>
        </w:rPr>
        <w:t>日</w:t>
      </w:r>
      <w:r>
        <w:rPr>
          <w:rFonts w:ascii="Times New Roman" w:hAnsi="Times New Roman" w:hint="eastAsia"/>
          <w:kern w:val="0"/>
          <w:sz w:val="24"/>
        </w:rPr>
        <w:t>，</w:t>
      </w:r>
      <w:r w:rsidRPr="00156651">
        <w:rPr>
          <w:rFonts w:ascii="Times New Roman" w:hAnsi="Times New Roman" w:hint="eastAsia"/>
          <w:kern w:val="0"/>
          <w:sz w:val="24"/>
        </w:rPr>
        <w:t>除非另有说明，</w:t>
      </w:r>
      <w:r w:rsidR="00BD18A1">
        <w:rPr>
          <w:rFonts w:ascii="Times New Roman" w:hAnsi="Times New Roman"/>
          <w:kern w:val="0"/>
          <w:sz w:val="24"/>
        </w:rPr>
        <w:t>本招募说明书</w:t>
      </w:r>
      <w:r>
        <w:rPr>
          <w:rFonts w:ascii="Times New Roman" w:hAnsi="Times New Roman" w:hint="eastAsia"/>
          <w:kern w:val="0"/>
          <w:sz w:val="24"/>
        </w:rPr>
        <w:t>其他</w:t>
      </w:r>
      <w:r w:rsidR="00BD18A1">
        <w:rPr>
          <w:rFonts w:ascii="Times New Roman" w:hAnsi="Times New Roman"/>
          <w:kern w:val="0"/>
          <w:sz w:val="24"/>
        </w:rPr>
        <w:t>所载内容截止日为</w:t>
      </w:r>
      <w:r w:rsidR="00BD18A1">
        <w:rPr>
          <w:rFonts w:ascii="Times New Roman" w:hAnsi="Times New Roman"/>
          <w:kern w:val="0"/>
          <w:sz w:val="24"/>
        </w:rPr>
        <w:t>2023</w:t>
      </w:r>
      <w:r w:rsidR="00BD18A1">
        <w:rPr>
          <w:rFonts w:ascii="Times New Roman" w:hAnsi="Times New Roman"/>
          <w:kern w:val="0"/>
          <w:sz w:val="24"/>
        </w:rPr>
        <w:t>年</w:t>
      </w:r>
      <w:r w:rsidR="00BD18A1">
        <w:rPr>
          <w:rFonts w:ascii="Times New Roman" w:hAnsi="Times New Roman"/>
          <w:kern w:val="0"/>
          <w:sz w:val="24"/>
        </w:rPr>
        <w:t>06</w:t>
      </w:r>
      <w:r w:rsidR="00BD18A1">
        <w:rPr>
          <w:rFonts w:ascii="Times New Roman" w:hAnsi="Times New Roman"/>
          <w:kern w:val="0"/>
          <w:sz w:val="24"/>
        </w:rPr>
        <w:t>月</w:t>
      </w:r>
      <w:r w:rsidR="00BD18A1">
        <w:rPr>
          <w:rFonts w:ascii="Times New Roman" w:hAnsi="Times New Roman"/>
          <w:kern w:val="0"/>
          <w:sz w:val="24"/>
        </w:rPr>
        <w:t>21</w:t>
      </w:r>
      <w:r w:rsidR="00BD18A1">
        <w:rPr>
          <w:rFonts w:ascii="Times New Roman" w:hAnsi="Times New Roman"/>
          <w:kern w:val="0"/>
          <w:sz w:val="24"/>
        </w:rPr>
        <w:t>日，有关财务数据和净值表现截止日为</w:t>
      </w:r>
      <w:r w:rsidR="00BD18A1">
        <w:rPr>
          <w:rFonts w:ascii="Times New Roman" w:hAnsi="Times New Roman"/>
          <w:kern w:val="0"/>
          <w:sz w:val="24"/>
        </w:rPr>
        <w:t>2023</w:t>
      </w:r>
      <w:r w:rsidR="00BD18A1">
        <w:rPr>
          <w:rFonts w:ascii="Times New Roman" w:hAnsi="Times New Roman"/>
          <w:kern w:val="0"/>
          <w:sz w:val="24"/>
        </w:rPr>
        <w:t>年</w:t>
      </w:r>
      <w:r w:rsidR="00BD18A1">
        <w:rPr>
          <w:rFonts w:ascii="Times New Roman" w:hAnsi="Times New Roman"/>
          <w:kern w:val="0"/>
          <w:sz w:val="24"/>
        </w:rPr>
        <w:t>03</w:t>
      </w:r>
      <w:r w:rsidR="00BD18A1">
        <w:rPr>
          <w:rFonts w:ascii="Times New Roman" w:hAnsi="Times New Roman"/>
          <w:kern w:val="0"/>
          <w:sz w:val="24"/>
        </w:rPr>
        <w:t>月</w:t>
      </w:r>
      <w:r w:rsidR="00BD18A1">
        <w:rPr>
          <w:rFonts w:ascii="Times New Roman" w:hAnsi="Times New Roman"/>
          <w:kern w:val="0"/>
          <w:sz w:val="24"/>
        </w:rPr>
        <w:t>31</w:t>
      </w:r>
      <w:r w:rsidR="00BD18A1">
        <w:rPr>
          <w:rFonts w:ascii="Times New Roman" w:hAnsi="Times New Roman"/>
          <w:kern w:val="0"/>
          <w:sz w:val="24"/>
        </w:rPr>
        <w:t>日。本招募说明书所载的财务数据未经审计。</w:t>
      </w:r>
    </w:p>
    <w:p w14:paraId="2E92EE05" w14:textId="77777777" w:rsidR="001F702C" w:rsidRDefault="001F702C">
      <w:pPr>
        <w:autoSpaceDE w:val="0"/>
        <w:autoSpaceDN w:val="0"/>
        <w:adjustRightInd w:val="0"/>
        <w:snapToGrid w:val="0"/>
        <w:spacing w:before="51" w:line="360" w:lineRule="auto"/>
        <w:ind w:left="120" w:rightChars="6" w:right="13" w:firstLine="480"/>
        <w:rPr>
          <w:rFonts w:ascii="宋体" w:hAnsi="宋体"/>
          <w:kern w:val="0"/>
          <w:szCs w:val="24"/>
        </w:rPr>
        <w:sectPr w:rsidR="001F702C">
          <w:headerReference w:type="default" r:id="rId13"/>
          <w:pgSz w:w="11920" w:h="16840"/>
          <w:pgMar w:top="1440" w:right="1680" w:bottom="280" w:left="1680" w:header="0" w:footer="1073" w:gutter="0"/>
          <w:pgNumType w:start="1"/>
          <w:cols w:space="720"/>
        </w:sectPr>
      </w:pPr>
    </w:p>
    <w:p w14:paraId="55C1FAC0" w14:textId="77777777" w:rsidR="00E45C2C" w:rsidRPr="00E45C2C" w:rsidRDefault="00BD18A1" w:rsidP="00E45C2C">
      <w:pPr>
        <w:pStyle w:val="af3"/>
        <w:snapToGrid w:val="0"/>
        <w:spacing w:after="240" w:line="360" w:lineRule="auto"/>
        <w:jc w:val="center"/>
        <w:rPr>
          <w:rFonts w:ascii="宋体" w:hAnsi="宋体"/>
          <w:noProof/>
          <w:sz w:val="24"/>
        </w:rPr>
      </w:pPr>
      <w:r w:rsidRPr="00E45C2C">
        <w:rPr>
          <w:rFonts w:ascii="宋体" w:hAnsi="宋体"/>
          <w:color w:val="000000"/>
          <w:position w:val="-4"/>
          <w:sz w:val="24"/>
          <w:szCs w:val="30"/>
        </w:rPr>
        <w:lastRenderedPageBreak/>
        <w:t>目</w:t>
      </w:r>
      <w:r w:rsidRPr="00E45C2C">
        <w:rPr>
          <w:rFonts w:ascii="宋体" w:hAnsi="宋体"/>
          <w:color w:val="000000"/>
          <w:position w:val="-4"/>
          <w:sz w:val="24"/>
          <w:szCs w:val="30"/>
        </w:rPr>
        <w:tab/>
        <w:t>录</w:t>
      </w:r>
      <w:r w:rsidR="00E45C2C" w:rsidRPr="00E45C2C">
        <w:rPr>
          <w:rFonts w:ascii="宋体" w:hAnsi="宋体"/>
          <w:color w:val="000000"/>
          <w:position w:val="-4"/>
          <w:sz w:val="24"/>
          <w:szCs w:val="30"/>
        </w:rPr>
        <w:fldChar w:fldCharType="begin"/>
      </w:r>
      <w:r w:rsidR="00E45C2C" w:rsidRPr="00E45C2C">
        <w:rPr>
          <w:rFonts w:ascii="宋体" w:hAnsi="宋体"/>
          <w:color w:val="000000"/>
          <w:position w:val="-4"/>
          <w:sz w:val="24"/>
          <w:szCs w:val="30"/>
        </w:rPr>
        <w:instrText xml:space="preserve"> TOC \o "1-3" \f - \h \t "-1" </w:instrText>
      </w:r>
      <w:r w:rsidR="00E45C2C" w:rsidRPr="00E45C2C">
        <w:rPr>
          <w:rFonts w:ascii="宋体" w:hAnsi="宋体"/>
          <w:color w:val="000000"/>
          <w:position w:val="-4"/>
          <w:sz w:val="24"/>
          <w:szCs w:val="30"/>
        </w:rPr>
        <w:fldChar w:fldCharType="separate"/>
      </w:r>
    </w:p>
    <w:p w14:paraId="0DBD75CA" w14:textId="2446802B" w:rsidR="00E45C2C" w:rsidRPr="005F64F1" w:rsidRDefault="00E56D57" w:rsidP="00E45C2C">
      <w:pPr>
        <w:pStyle w:val="11"/>
        <w:tabs>
          <w:tab w:val="right" w:leader="dot" w:pos="8550"/>
        </w:tabs>
        <w:spacing w:line="360" w:lineRule="auto"/>
        <w:rPr>
          <w:rFonts w:ascii="宋体" w:hAnsi="宋体"/>
          <w:noProof/>
          <w:sz w:val="24"/>
        </w:rPr>
      </w:pPr>
      <w:hyperlink w:anchor="_Toc140049404" w:history="1">
        <w:r w:rsidR="00E45C2C" w:rsidRPr="00E45C2C">
          <w:rPr>
            <w:rStyle w:val="af0"/>
            <w:rFonts w:ascii="宋体" w:hAnsi="宋体" w:hint="eastAsia"/>
            <w:noProof/>
            <w:kern w:val="0"/>
            <w:sz w:val="24"/>
          </w:rPr>
          <w:t>重要提示</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_Toc140049404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w:t>
        </w:r>
        <w:r w:rsidR="00E45C2C" w:rsidRPr="00E45C2C">
          <w:rPr>
            <w:rFonts w:ascii="宋体" w:hAnsi="宋体"/>
            <w:noProof/>
            <w:sz w:val="24"/>
          </w:rPr>
          <w:fldChar w:fldCharType="end"/>
        </w:r>
      </w:hyperlink>
    </w:p>
    <w:p w14:paraId="385C7849" w14:textId="528BB450" w:rsidR="00E45C2C" w:rsidRPr="005F64F1" w:rsidRDefault="00E56D57" w:rsidP="00E45C2C">
      <w:pPr>
        <w:pStyle w:val="11"/>
        <w:tabs>
          <w:tab w:val="right" w:leader="dot" w:pos="8550"/>
        </w:tabs>
        <w:spacing w:line="360" w:lineRule="auto"/>
        <w:rPr>
          <w:rFonts w:ascii="宋体" w:hAnsi="宋体"/>
          <w:noProof/>
          <w:sz w:val="24"/>
        </w:rPr>
      </w:pPr>
      <w:hyperlink w:anchor="_Toc140049405" w:history="1">
        <w:r w:rsidR="00E45C2C" w:rsidRPr="00E45C2C">
          <w:rPr>
            <w:rStyle w:val="af0"/>
            <w:rFonts w:ascii="宋体" w:hAnsi="宋体" w:hint="eastAsia"/>
            <w:noProof/>
            <w:sz w:val="24"/>
          </w:rPr>
          <w:t>一、绪言</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_Toc140049405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5</w:t>
        </w:r>
        <w:r w:rsidR="00E45C2C" w:rsidRPr="00E45C2C">
          <w:rPr>
            <w:rFonts w:ascii="宋体" w:hAnsi="宋体"/>
            <w:noProof/>
            <w:sz w:val="24"/>
          </w:rPr>
          <w:fldChar w:fldCharType="end"/>
        </w:r>
      </w:hyperlink>
    </w:p>
    <w:p w14:paraId="4E7F614F" w14:textId="5FB26E7F" w:rsidR="00E45C2C" w:rsidRPr="005F64F1" w:rsidRDefault="00E56D57" w:rsidP="00E45C2C">
      <w:pPr>
        <w:pStyle w:val="11"/>
        <w:tabs>
          <w:tab w:val="right" w:leader="dot" w:pos="8550"/>
        </w:tabs>
        <w:spacing w:line="360" w:lineRule="auto"/>
        <w:rPr>
          <w:rFonts w:ascii="宋体" w:hAnsi="宋体"/>
          <w:noProof/>
          <w:sz w:val="24"/>
        </w:rPr>
      </w:pPr>
      <w:hyperlink w:anchor="_Toc140049406" w:history="1">
        <w:r w:rsidR="00E45C2C" w:rsidRPr="00E45C2C">
          <w:rPr>
            <w:rStyle w:val="af0"/>
            <w:rFonts w:ascii="宋体" w:hAnsi="宋体" w:hint="eastAsia"/>
            <w:noProof/>
            <w:sz w:val="24"/>
          </w:rPr>
          <w:t>二、释义</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_Toc140049406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6</w:t>
        </w:r>
        <w:r w:rsidR="00E45C2C" w:rsidRPr="00E45C2C">
          <w:rPr>
            <w:rFonts w:ascii="宋体" w:hAnsi="宋体"/>
            <w:noProof/>
            <w:sz w:val="24"/>
          </w:rPr>
          <w:fldChar w:fldCharType="end"/>
        </w:r>
      </w:hyperlink>
    </w:p>
    <w:p w14:paraId="07C4F6E8" w14:textId="1F080961" w:rsidR="00E45C2C" w:rsidRPr="005F64F1" w:rsidRDefault="00E56D57" w:rsidP="00E45C2C">
      <w:pPr>
        <w:pStyle w:val="11"/>
        <w:tabs>
          <w:tab w:val="right" w:leader="dot" w:pos="8550"/>
        </w:tabs>
        <w:spacing w:line="360" w:lineRule="auto"/>
        <w:rPr>
          <w:rFonts w:ascii="宋体" w:hAnsi="宋体"/>
          <w:noProof/>
          <w:sz w:val="24"/>
        </w:rPr>
      </w:pPr>
      <w:hyperlink w:anchor="_Toc140049407" w:history="1">
        <w:r w:rsidR="00E45C2C" w:rsidRPr="00E45C2C">
          <w:rPr>
            <w:rStyle w:val="af0"/>
            <w:rFonts w:ascii="宋体" w:hAnsi="宋体" w:hint="eastAsia"/>
            <w:noProof/>
            <w:sz w:val="24"/>
          </w:rPr>
          <w:t>三、基金管理人</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_Toc140049407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11</w:t>
        </w:r>
        <w:r w:rsidR="00E45C2C" w:rsidRPr="00E45C2C">
          <w:rPr>
            <w:rFonts w:ascii="宋体" w:hAnsi="宋体"/>
            <w:noProof/>
            <w:sz w:val="24"/>
          </w:rPr>
          <w:fldChar w:fldCharType="end"/>
        </w:r>
      </w:hyperlink>
    </w:p>
    <w:p w14:paraId="2A40E8A4" w14:textId="376A8787" w:rsidR="00E45C2C" w:rsidRPr="005F64F1" w:rsidRDefault="00E56D57" w:rsidP="00E45C2C">
      <w:pPr>
        <w:pStyle w:val="11"/>
        <w:tabs>
          <w:tab w:val="right" w:leader="dot" w:pos="8550"/>
        </w:tabs>
        <w:spacing w:line="360" w:lineRule="auto"/>
        <w:rPr>
          <w:rFonts w:ascii="宋体" w:hAnsi="宋体"/>
          <w:noProof/>
          <w:sz w:val="24"/>
        </w:rPr>
      </w:pPr>
      <w:hyperlink w:anchor="_Toc140049408" w:history="1">
        <w:r w:rsidR="00E45C2C" w:rsidRPr="00E45C2C">
          <w:rPr>
            <w:rStyle w:val="af0"/>
            <w:rFonts w:ascii="宋体" w:hAnsi="宋体" w:hint="eastAsia"/>
            <w:noProof/>
            <w:sz w:val="24"/>
          </w:rPr>
          <w:t>四、基金托管人</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_Toc140049408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19</w:t>
        </w:r>
        <w:r w:rsidR="00E45C2C" w:rsidRPr="00E45C2C">
          <w:rPr>
            <w:rFonts w:ascii="宋体" w:hAnsi="宋体"/>
            <w:noProof/>
            <w:sz w:val="24"/>
          </w:rPr>
          <w:fldChar w:fldCharType="end"/>
        </w:r>
      </w:hyperlink>
    </w:p>
    <w:p w14:paraId="1729A490" w14:textId="7376ED6A" w:rsidR="00E45C2C" w:rsidRPr="005F64F1" w:rsidRDefault="00E56D57" w:rsidP="00E45C2C">
      <w:pPr>
        <w:pStyle w:val="11"/>
        <w:tabs>
          <w:tab w:val="right" w:leader="dot" w:pos="8550"/>
        </w:tabs>
        <w:spacing w:line="360" w:lineRule="auto"/>
        <w:rPr>
          <w:rFonts w:ascii="宋体" w:hAnsi="宋体"/>
          <w:noProof/>
          <w:sz w:val="24"/>
        </w:rPr>
      </w:pPr>
      <w:hyperlink w:anchor="_Toc140049409" w:history="1">
        <w:r w:rsidR="00E45C2C" w:rsidRPr="00E45C2C">
          <w:rPr>
            <w:rStyle w:val="af0"/>
            <w:rFonts w:ascii="宋体" w:hAnsi="宋体" w:hint="eastAsia"/>
            <w:noProof/>
            <w:sz w:val="24"/>
          </w:rPr>
          <w:t>五、相关服务机构</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_Toc140049409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22</w:t>
        </w:r>
        <w:r w:rsidR="00E45C2C" w:rsidRPr="00E45C2C">
          <w:rPr>
            <w:rFonts w:ascii="宋体" w:hAnsi="宋体"/>
            <w:noProof/>
            <w:sz w:val="24"/>
          </w:rPr>
          <w:fldChar w:fldCharType="end"/>
        </w:r>
      </w:hyperlink>
    </w:p>
    <w:p w14:paraId="339AD8A4" w14:textId="1CE3113D" w:rsidR="00E45C2C" w:rsidRPr="005F64F1" w:rsidRDefault="00E56D57" w:rsidP="00E45C2C">
      <w:pPr>
        <w:pStyle w:val="11"/>
        <w:tabs>
          <w:tab w:val="right" w:leader="dot" w:pos="8550"/>
        </w:tabs>
        <w:spacing w:line="360" w:lineRule="auto"/>
        <w:rPr>
          <w:rFonts w:ascii="宋体" w:hAnsi="宋体"/>
          <w:noProof/>
          <w:sz w:val="24"/>
        </w:rPr>
      </w:pPr>
      <w:hyperlink w:anchor="_Toc140049410" w:history="1">
        <w:r w:rsidR="00E45C2C" w:rsidRPr="00E45C2C">
          <w:rPr>
            <w:rStyle w:val="af0"/>
            <w:rFonts w:ascii="宋体" w:hAnsi="宋体" w:hint="eastAsia"/>
            <w:noProof/>
            <w:sz w:val="24"/>
          </w:rPr>
          <w:t>六、基金的募集</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_Toc140049410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35</w:t>
        </w:r>
        <w:r w:rsidR="00E45C2C" w:rsidRPr="00E45C2C">
          <w:rPr>
            <w:rFonts w:ascii="宋体" w:hAnsi="宋体"/>
            <w:noProof/>
            <w:sz w:val="24"/>
          </w:rPr>
          <w:fldChar w:fldCharType="end"/>
        </w:r>
      </w:hyperlink>
    </w:p>
    <w:p w14:paraId="5675EB7C" w14:textId="187AE287" w:rsidR="00E45C2C" w:rsidRPr="005F64F1" w:rsidRDefault="00E56D57" w:rsidP="00E45C2C">
      <w:pPr>
        <w:pStyle w:val="11"/>
        <w:tabs>
          <w:tab w:val="right" w:leader="dot" w:pos="8550"/>
        </w:tabs>
        <w:spacing w:line="360" w:lineRule="auto"/>
        <w:rPr>
          <w:rFonts w:ascii="宋体" w:hAnsi="宋体"/>
          <w:noProof/>
          <w:sz w:val="24"/>
        </w:rPr>
      </w:pPr>
      <w:hyperlink w:anchor="_Toc140049411" w:history="1">
        <w:r w:rsidR="00E45C2C" w:rsidRPr="00E45C2C">
          <w:rPr>
            <w:rStyle w:val="af0"/>
            <w:rFonts w:ascii="宋体" w:hAnsi="宋体" w:hint="eastAsia"/>
            <w:noProof/>
            <w:sz w:val="24"/>
          </w:rPr>
          <w:t>七、基金合同的生效</w:t>
        </w:r>
        <w:bookmarkStart w:id="3" w:name="_GoBack"/>
        <w:bookmarkEnd w:id="3"/>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_Toc140049411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36</w:t>
        </w:r>
        <w:r w:rsidR="00E45C2C" w:rsidRPr="00E45C2C">
          <w:rPr>
            <w:rFonts w:ascii="宋体" w:hAnsi="宋体"/>
            <w:noProof/>
            <w:sz w:val="24"/>
          </w:rPr>
          <w:fldChar w:fldCharType="end"/>
        </w:r>
      </w:hyperlink>
    </w:p>
    <w:p w14:paraId="04D7E112" w14:textId="7AB5BE8A" w:rsidR="00E45C2C" w:rsidRPr="005F64F1" w:rsidRDefault="00E56D57" w:rsidP="00E45C2C">
      <w:pPr>
        <w:pStyle w:val="11"/>
        <w:tabs>
          <w:tab w:val="right" w:leader="dot" w:pos="8550"/>
        </w:tabs>
        <w:spacing w:line="360" w:lineRule="auto"/>
        <w:rPr>
          <w:rFonts w:ascii="宋体" w:hAnsi="宋体"/>
          <w:noProof/>
          <w:sz w:val="24"/>
        </w:rPr>
      </w:pPr>
      <w:hyperlink w:anchor="_Toc140049412" w:history="1">
        <w:r w:rsidR="00E45C2C" w:rsidRPr="00E45C2C">
          <w:rPr>
            <w:rStyle w:val="af0"/>
            <w:rFonts w:ascii="宋体" w:hAnsi="宋体" w:hint="eastAsia"/>
            <w:noProof/>
            <w:sz w:val="24"/>
          </w:rPr>
          <w:t>八、基金份额的申购与赎回</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_Toc140049412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37</w:t>
        </w:r>
        <w:r w:rsidR="00E45C2C" w:rsidRPr="00E45C2C">
          <w:rPr>
            <w:rFonts w:ascii="宋体" w:hAnsi="宋体"/>
            <w:noProof/>
            <w:sz w:val="24"/>
          </w:rPr>
          <w:fldChar w:fldCharType="end"/>
        </w:r>
      </w:hyperlink>
    </w:p>
    <w:p w14:paraId="68E22E07" w14:textId="7A896662" w:rsidR="00E45C2C" w:rsidRPr="005F64F1" w:rsidRDefault="00E56D57" w:rsidP="00E45C2C">
      <w:pPr>
        <w:pStyle w:val="11"/>
        <w:tabs>
          <w:tab w:val="right" w:leader="dot" w:pos="8550"/>
        </w:tabs>
        <w:spacing w:line="360" w:lineRule="auto"/>
        <w:rPr>
          <w:rFonts w:ascii="宋体" w:hAnsi="宋体"/>
          <w:noProof/>
          <w:sz w:val="24"/>
        </w:rPr>
      </w:pPr>
      <w:hyperlink w:anchor="_Toc140049413" w:history="1">
        <w:r w:rsidR="00E45C2C" w:rsidRPr="00E45C2C">
          <w:rPr>
            <w:rStyle w:val="af0"/>
            <w:rFonts w:ascii="宋体" w:hAnsi="宋体" w:hint="eastAsia"/>
            <w:noProof/>
            <w:sz w:val="24"/>
          </w:rPr>
          <w:t>九、基金的转换</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_Toc140049413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52</w:t>
        </w:r>
        <w:r w:rsidR="00E45C2C" w:rsidRPr="00E45C2C">
          <w:rPr>
            <w:rFonts w:ascii="宋体" w:hAnsi="宋体"/>
            <w:noProof/>
            <w:sz w:val="24"/>
          </w:rPr>
          <w:fldChar w:fldCharType="end"/>
        </w:r>
      </w:hyperlink>
    </w:p>
    <w:p w14:paraId="480CAF1D" w14:textId="6548B113" w:rsidR="00E45C2C" w:rsidRPr="005F64F1" w:rsidRDefault="00E56D57" w:rsidP="00E45C2C">
      <w:pPr>
        <w:pStyle w:val="11"/>
        <w:tabs>
          <w:tab w:val="right" w:leader="dot" w:pos="8550"/>
        </w:tabs>
        <w:spacing w:line="360" w:lineRule="auto"/>
        <w:rPr>
          <w:rFonts w:ascii="宋体" w:hAnsi="宋体"/>
          <w:noProof/>
          <w:sz w:val="24"/>
        </w:rPr>
      </w:pPr>
      <w:hyperlink w:anchor="_Toc140049414" w:history="1">
        <w:r w:rsidR="00E45C2C" w:rsidRPr="00E45C2C">
          <w:rPr>
            <w:rStyle w:val="af0"/>
            <w:rFonts w:ascii="宋体" w:hAnsi="宋体" w:hint="eastAsia"/>
            <w:noProof/>
            <w:sz w:val="24"/>
          </w:rPr>
          <w:t>十、基金的投资</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_Toc140049414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59</w:t>
        </w:r>
        <w:r w:rsidR="00E45C2C" w:rsidRPr="00E45C2C">
          <w:rPr>
            <w:rFonts w:ascii="宋体" w:hAnsi="宋体"/>
            <w:noProof/>
            <w:sz w:val="24"/>
          </w:rPr>
          <w:fldChar w:fldCharType="end"/>
        </w:r>
      </w:hyperlink>
    </w:p>
    <w:p w14:paraId="29A6CCF2" w14:textId="3BB11801" w:rsidR="00E45C2C" w:rsidRPr="005F64F1" w:rsidRDefault="00E56D57" w:rsidP="00E45C2C">
      <w:pPr>
        <w:pStyle w:val="11"/>
        <w:tabs>
          <w:tab w:val="right" w:leader="dot" w:pos="8550"/>
        </w:tabs>
        <w:spacing w:line="360" w:lineRule="auto"/>
        <w:rPr>
          <w:rFonts w:ascii="宋体" w:hAnsi="宋体"/>
          <w:noProof/>
          <w:sz w:val="24"/>
        </w:rPr>
      </w:pPr>
      <w:hyperlink w:anchor="_Toc140049415" w:history="1">
        <w:r w:rsidR="00E45C2C" w:rsidRPr="00E45C2C">
          <w:rPr>
            <w:rStyle w:val="af0"/>
            <w:rFonts w:ascii="宋体" w:hAnsi="宋体" w:hint="eastAsia"/>
            <w:noProof/>
            <w:sz w:val="24"/>
          </w:rPr>
          <w:t>十一、基金的业绩</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_Toc140049415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68</w:t>
        </w:r>
        <w:r w:rsidR="00E45C2C" w:rsidRPr="00E45C2C">
          <w:rPr>
            <w:rFonts w:ascii="宋体" w:hAnsi="宋体"/>
            <w:noProof/>
            <w:sz w:val="24"/>
          </w:rPr>
          <w:fldChar w:fldCharType="end"/>
        </w:r>
      </w:hyperlink>
    </w:p>
    <w:p w14:paraId="7F11187B" w14:textId="67A77955" w:rsidR="00E45C2C" w:rsidRPr="005F64F1" w:rsidRDefault="00E56D57" w:rsidP="00E45C2C">
      <w:pPr>
        <w:pStyle w:val="11"/>
        <w:tabs>
          <w:tab w:val="right" w:leader="dot" w:pos="8550"/>
        </w:tabs>
        <w:spacing w:line="360" w:lineRule="auto"/>
        <w:rPr>
          <w:rFonts w:ascii="宋体" w:hAnsi="宋体"/>
          <w:noProof/>
          <w:sz w:val="24"/>
        </w:rPr>
      </w:pPr>
      <w:hyperlink w:anchor="_Toc140049416" w:history="1">
        <w:r w:rsidR="00E45C2C" w:rsidRPr="00E45C2C">
          <w:rPr>
            <w:rStyle w:val="af0"/>
            <w:rFonts w:ascii="宋体" w:hAnsi="宋体" w:hint="eastAsia"/>
            <w:noProof/>
            <w:sz w:val="24"/>
          </w:rPr>
          <w:t>十二、基金的财产</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_Toc140049416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71</w:t>
        </w:r>
        <w:r w:rsidR="00E45C2C" w:rsidRPr="00E45C2C">
          <w:rPr>
            <w:rFonts w:ascii="宋体" w:hAnsi="宋体"/>
            <w:noProof/>
            <w:sz w:val="24"/>
          </w:rPr>
          <w:fldChar w:fldCharType="end"/>
        </w:r>
      </w:hyperlink>
    </w:p>
    <w:p w14:paraId="4DE52C35" w14:textId="576DD980" w:rsidR="00E45C2C" w:rsidRPr="005F64F1" w:rsidRDefault="00E56D57" w:rsidP="00E45C2C">
      <w:pPr>
        <w:pStyle w:val="11"/>
        <w:tabs>
          <w:tab w:val="right" w:leader="dot" w:pos="8550"/>
        </w:tabs>
        <w:spacing w:line="360" w:lineRule="auto"/>
        <w:rPr>
          <w:rFonts w:ascii="宋体" w:hAnsi="宋体"/>
          <w:noProof/>
          <w:sz w:val="24"/>
        </w:rPr>
      </w:pPr>
      <w:hyperlink w:anchor="_Toc140049417" w:history="1">
        <w:r w:rsidR="00E45C2C" w:rsidRPr="00E45C2C">
          <w:rPr>
            <w:rStyle w:val="af0"/>
            <w:rFonts w:ascii="宋体" w:hAnsi="宋体" w:hint="eastAsia"/>
            <w:noProof/>
            <w:sz w:val="24"/>
          </w:rPr>
          <w:t>十三、基金资产的估值</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_Toc140049417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72</w:t>
        </w:r>
        <w:r w:rsidR="00E45C2C" w:rsidRPr="00E45C2C">
          <w:rPr>
            <w:rFonts w:ascii="宋体" w:hAnsi="宋体"/>
            <w:noProof/>
            <w:sz w:val="24"/>
          </w:rPr>
          <w:fldChar w:fldCharType="end"/>
        </w:r>
      </w:hyperlink>
    </w:p>
    <w:p w14:paraId="6BDDBB1A" w14:textId="50D939EA" w:rsidR="00E45C2C" w:rsidRPr="005F64F1" w:rsidRDefault="00E56D57" w:rsidP="00E45C2C">
      <w:pPr>
        <w:pStyle w:val="11"/>
        <w:tabs>
          <w:tab w:val="right" w:leader="dot" w:pos="8550"/>
        </w:tabs>
        <w:spacing w:line="360" w:lineRule="auto"/>
        <w:rPr>
          <w:rFonts w:ascii="宋体" w:hAnsi="宋体"/>
          <w:noProof/>
          <w:sz w:val="24"/>
        </w:rPr>
      </w:pPr>
      <w:hyperlink w:anchor="_Toc140049418" w:history="1">
        <w:r w:rsidR="00E45C2C" w:rsidRPr="00E45C2C">
          <w:rPr>
            <w:rStyle w:val="af0"/>
            <w:rFonts w:ascii="宋体" w:hAnsi="宋体" w:hint="eastAsia"/>
            <w:noProof/>
            <w:sz w:val="24"/>
          </w:rPr>
          <w:t>十四、基金收益与分配</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_Toc140049418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77</w:t>
        </w:r>
        <w:r w:rsidR="00E45C2C" w:rsidRPr="00E45C2C">
          <w:rPr>
            <w:rFonts w:ascii="宋体" w:hAnsi="宋体"/>
            <w:noProof/>
            <w:sz w:val="24"/>
          </w:rPr>
          <w:fldChar w:fldCharType="end"/>
        </w:r>
      </w:hyperlink>
    </w:p>
    <w:p w14:paraId="345FCA15" w14:textId="375339E3" w:rsidR="00E45C2C" w:rsidRPr="005F64F1" w:rsidRDefault="00E56D57" w:rsidP="00E45C2C">
      <w:pPr>
        <w:pStyle w:val="11"/>
        <w:tabs>
          <w:tab w:val="right" w:leader="dot" w:pos="8550"/>
        </w:tabs>
        <w:spacing w:line="360" w:lineRule="auto"/>
        <w:rPr>
          <w:rFonts w:ascii="宋体" w:hAnsi="宋体"/>
          <w:noProof/>
          <w:sz w:val="24"/>
        </w:rPr>
      </w:pPr>
      <w:hyperlink w:anchor="_Toc140049419" w:history="1">
        <w:r w:rsidR="00E45C2C" w:rsidRPr="00E45C2C">
          <w:rPr>
            <w:rStyle w:val="af0"/>
            <w:rFonts w:ascii="宋体" w:hAnsi="宋体" w:hint="eastAsia"/>
            <w:noProof/>
            <w:sz w:val="24"/>
          </w:rPr>
          <w:t>十五、基金的费用与税收</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_Toc140049419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79</w:t>
        </w:r>
        <w:r w:rsidR="00E45C2C" w:rsidRPr="00E45C2C">
          <w:rPr>
            <w:rFonts w:ascii="宋体" w:hAnsi="宋体"/>
            <w:noProof/>
            <w:sz w:val="24"/>
          </w:rPr>
          <w:fldChar w:fldCharType="end"/>
        </w:r>
      </w:hyperlink>
    </w:p>
    <w:p w14:paraId="59D8685C" w14:textId="7D275915" w:rsidR="00E45C2C" w:rsidRPr="005F64F1" w:rsidRDefault="00E56D57" w:rsidP="00E45C2C">
      <w:pPr>
        <w:pStyle w:val="11"/>
        <w:tabs>
          <w:tab w:val="right" w:leader="dot" w:pos="8550"/>
        </w:tabs>
        <w:spacing w:line="360" w:lineRule="auto"/>
        <w:rPr>
          <w:rFonts w:ascii="宋体" w:hAnsi="宋体"/>
          <w:noProof/>
          <w:sz w:val="24"/>
        </w:rPr>
      </w:pPr>
      <w:hyperlink w:anchor="_Toc140049420" w:history="1">
        <w:r w:rsidR="00E45C2C" w:rsidRPr="00E45C2C">
          <w:rPr>
            <w:rStyle w:val="af0"/>
            <w:rFonts w:ascii="宋体" w:hAnsi="宋体" w:hint="eastAsia"/>
            <w:noProof/>
            <w:sz w:val="24"/>
          </w:rPr>
          <w:t>十六、基金的会计与审计</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_Toc140049420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83</w:t>
        </w:r>
        <w:r w:rsidR="00E45C2C" w:rsidRPr="00E45C2C">
          <w:rPr>
            <w:rFonts w:ascii="宋体" w:hAnsi="宋体"/>
            <w:noProof/>
            <w:sz w:val="24"/>
          </w:rPr>
          <w:fldChar w:fldCharType="end"/>
        </w:r>
      </w:hyperlink>
    </w:p>
    <w:p w14:paraId="5E287E5E" w14:textId="654AA7A4" w:rsidR="00E45C2C" w:rsidRPr="005F64F1" w:rsidRDefault="00E56D57" w:rsidP="00E45C2C">
      <w:pPr>
        <w:pStyle w:val="11"/>
        <w:tabs>
          <w:tab w:val="right" w:leader="dot" w:pos="8550"/>
        </w:tabs>
        <w:spacing w:line="360" w:lineRule="auto"/>
        <w:rPr>
          <w:rFonts w:ascii="宋体" w:hAnsi="宋体"/>
          <w:noProof/>
          <w:sz w:val="24"/>
        </w:rPr>
      </w:pPr>
      <w:hyperlink w:anchor="_Toc140049421" w:history="1">
        <w:r w:rsidR="00E45C2C" w:rsidRPr="00E45C2C">
          <w:rPr>
            <w:rStyle w:val="af0"/>
            <w:rFonts w:ascii="宋体" w:hAnsi="宋体" w:hint="eastAsia"/>
            <w:noProof/>
            <w:sz w:val="24"/>
          </w:rPr>
          <w:t>十七、基金的信息披露</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_Toc140049421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84</w:t>
        </w:r>
        <w:r w:rsidR="00E45C2C" w:rsidRPr="00E45C2C">
          <w:rPr>
            <w:rFonts w:ascii="宋体" w:hAnsi="宋体"/>
            <w:noProof/>
            <w:sz w:val="24"/>
          </w:rPr>
          <w:fldChar w:fldCharType="end"/>
        </w:r>
      </w:hyperlink>
    </w:p>
    <w:p w14:paraId="5284BA08" w14:textId="4468BEDB" w:rsidR="00E45C2C" w:rsidRPr="005F64F1" w:rsidRDefault="00E56D57" w:rsidP="00E45C2C">
      <w:pPr>
        <w:pStyle w:val="11"/>
        <w:tabs>
          <w:tab w:val="right" w:leader="dot" w:pos="8550"/>
        </w:tabs>
        <w:spacing w:line="360" w:lineRule="auto"/>
        <w:rPr>
          <w:rFonts w:ascii="宋体" w:hAnsi="宋体"/>
          <w:noProof/>
          <w:sz w:val="24"/>
        </w:rPr>
      </w:pPr>
      <w:hyperlink w:anchor="_Toc140049422" w:history="1">
        <w:r w:rsidR="00E45C2C" w:rsidRPr="00E45C2C">
          <w:rPr>
            <w:rStyle w:val="af0"/>
            <w:rFonts w:ascii="宋体" w:hAnsi="宋体" w:hint="eastAsia"/>
            <w:noProof/>
            <w:sz w:val="24"/>
          </w:rPr>
          <w:t>十八、侧袋机制</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_Toc140049422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90</w:t>
        </w:r>
        <w:r w:rsidR="00E45C2C" w:rsidRPr="00E45C2C">
          <w:rPr>
            <w:rFonts w:ascii="宋体" w:hAnsi="宋体"/>
            <w:noProof/>
            <w:sz w:val="24"/>
          </w:rPr>
          <w:fldChar w:fldCharType="end"/>
        </w:r>
      </w:hyperlink>
    </w:p>
    <w:p w14:paraId="48E1B599" w14:textId="567129C2" w:rsidR="00E45C2C" w:rsidRPr="005F64F1" w:rsidRDefault="00E56D57" w:rsidP="00E45C2C">
      <w:pPr>
        <w:pStyle w:val="11"/>
        <w:tabs>
          <w:tab w:val="right" w:leader="dot" w:pos="8550"/>
        </w:tabs>
        <w:spacing w:line="360" w:lineRule="auto"/>
        <w:rPr>
          <w:rFonts w:ascii="宋体" w:hAnsi="宋体"/>
          <w:noProof/>
          <w:sz w:val="24"/>
        </w:rPr>
      </w:pPr>
      <w:hyperlink w:anchor="_Toc140049423" w:history="1">
        <w:r w:rsidR="00E45C2C" w:rsidRPr="00E45C2C">
          <w:rPr>
            <w:rStyle w:val="af0"/>
            <w:rFonts w:ascii="宋体" w:hAnsi="宋体" w:hint="eastAsia"/>
            <w:noProof/>
            <w:sz w:val="24"/>
          </w:rPr>
          <w:t>十九、风险揭示</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_Toc140049423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93</w:t>
        </w:r>
        <w:r w:rsidR="00E45C2C" w:rsidRPr="00E45C2C">
          <w:rPr>
            <w:rFonts w:ascii="宋体" w:hAnsi="宋体"/>
            <w:noProof/>
            <w:sz w:val="24"/>
          </w:rPr>
          <w:fldChar w:fldCharType="end"/>
        </w:r>
      </w:hyperlink>
    </w:p>
    <w:p w14:paraId="16008F9E" w14:textId="49A0A092" w:rsidR="00E45C2C" w:rsidRPr="005F64F1" w:rsidRDefault="00E56D57" w:rsidP="00E45C2C">
      <w:pPr>
        <w:pStyle w:val="11"/>
        <w:tabs>
          <w:tab w:val="right" w:leader="dot" w:pos="8550"/>
        </w:tabs>
        <w:spacing w:line="360" w:lineRule="auto"/>
        <w:rPr>
          <w:rFonts w:ascii="宋体" w:hAnsi="宋体"/>
          <w:noProof/>
          <w:sz w:val="24"/>
        </w:rPr>
      </w:pPr>
      <w:hyperlink w:anchor="_Toc140049424" w:history="1">
        <w:r w:rsidR="00E45C2C" w:rsidRPr="00E45C2C">
          <w:rPr>
            <w:rStyle w:val="af0"/>
            <w:rFonts w:ascii="宋体" w:hAnsi="宋体" w:hint="eastAsia"/>
            <w:noProof/>
            <w:sz w:val="24"/>
          </w:rPr>
          <w:t>二十、基金合同的变更、终止与基金财产的清算</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_Toc140049424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101</w:t>
        </w:r>
        <w:r w:rsidR="00E45C2C" w:rsidRPr="00E45C2C">
          <w:rPr>
            <w:rFonts w:ascii="宋体" w:hAnsi="宋体"/>
            <w:noProof/>
            <w:sz w:val="24"/>
          </w:rPr>
          <w:fldChar w:fldCharType="end"/>
        </w:r>
      </w:hyperlink>
    </w:p>
    <w:p w14:paraId="2E925C7E" w14:textId="50A5423B" w:rsidR="00E45C2C" w:rsidRPr="005F64F1" w:rsidRDefault="00E56D57" w:rsidP="00E45C2C">
      <w:pPr>
        <w:pStyle w:val="11"/>
        <w:tabs>
          <w:tab w:val="right" w:leader="dot" w:pos="8550"/>
        </w:tabs>
        <w:spacing w:line="360" w:lineRule="auto"/>
        <w:rPr>
          <w:rFonts w:ascii="宋体" w:hAnsi="宋体"/>
          <w:noProof/>
          <w:sz w:val="24"/>
        </w:rPr>
      </w:pPr>
      <w:hyperlink w:anchor="_Toc140049425" w:history="1">
        <w:r w:rsidR="00E45C2C" w:rsidRPr="00E45C2C">
          <w:rPr>
            <w:rStyle w:val="af0"/>
            <w:rFonts w:ascii="宋体" w:hAnsi="宋体" w:hint="eastAsia"/>
            <w:noProof/>
            <w:sz w:val="24"/>
          </w:rPr>
          <w:t>二十一、基金合同内容摘要</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_Toc140049425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103</w:t>
        </w:r>
        <w:r w:rsidR="00E45C2C" w:rsidRPr="00E45C2C">
          <w:rPr>
            <w:rFonts w:ascii="宋体" w:hAnsi="宋体"/>
            <w:noProof/>
            <w:sz w:val="24"/>
          </w:rPr>
          <w:fldChar w:fldCharType="end"/>
        </w:r>
      </w:hyperlink>
    </w:p>
    <w:p w14:paraId="3FF31B2D" w14:textId="339FDC51" w:rsidR="00E45C2C" w:rsidRPr="005F64F1" w:rsidRDefault="00E56D57" w:rsidP="00E45C2C">
      <w:pPr>
        <w:pStyle w:val="11"/>
        <w:tabs>
          <w:tab w:val="right" w:leader="dot" w:pos="8550"/>
        </w:tabs>
        <w:spacing w:line="360" w:lineRule="auto"/>
        <w:rPr>
          <w:rFonts w:ascii="宋体" w:hAnsi="宋体"/>
          <w:noProof/>
          <w:sz w:val="24"/>
        </w:rPr>
      </w:pPr>
      <w:hyperlink w:anchor="_Toc140049426" w:history="1">
        <w:r w:rsidR="00E45C2C" w:rsidRPr="00E45C2C">
          <w:rPr>
            <w:rStyle w:val="af0"/>
            <w:rFonts w:ascii="宋体" w:hAnsi="宋体" w:hint="eastAsia"/>
            <w:noProof/>
            <w:sz w:val="24"/>
          </w:rPr>
          <w:t>二十二、托管协议的内容摘要</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_Toc140049426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120</w:t>
        </w:r>
        <w:r w:rsidR="00E45C2C" w:rsidRPr="00E45C2C">
          <w:rPr>
            <w:rFonts w:ascii="宋体" w:hAnsi="宋体"/>
            <w:noProof/>
            <w:sz w:val="24"/>
          </w:rPr>
          <w:fldChar w:fldCharType="end"/>
        </w:r>
      </w:hyperlink>
    </w:p>
    <w:p w14:paraId="6C66592C" w14:textId="07633790" w:rsidR="00E45C2C" w:rsidRPr="005F64F1" w:rsidRDefault="00E56D57" w:rsidP="00E45C2C">
      <w:pPr>
        <w:pStyle w:val="11"/>
        <w:tabs>
          <w:tab w:val="right" w:leader="dot" w:pos="8550"/>
        </w:tabs>
        <w:spacing w:line="360" w:lineRule="auto"/>
        <w:rPr>
          <w:rFonts w:ascii="宋体" w:hAnsi="宋体"/>
          <w:noProof/>
          <w:sz w:val="24"/>
        </w:rPr>
      </w:pPr>
      <w:hyperlink w:anchor="_Toc140049427" w:history="1">
        <w:r w:rsidR="00E45C2C" w:rsidRPr="00E45C2C">
          <w:rPr>
            <w:rStyle w:val="af0"/>
            <w:rFonts w:ascii="宋体" w:hAnsi="宋体" w:hint="eastAsia"/>
            <w:noProof/>
            <w:sz w:val="24"/>
          </w:rPr>
          <w:t>二十三、对基金份额持有人的服务</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_Toc140049427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130</w:t>
        </w:r>
        <w:r w:rsidR="00E45C2C" w:rsidRPr="00E45C2C">
          <w:rPr>
            <w:rFonts w:ascii="宋体" w:hAnsi="宋体"/>
            <w:noProof/>
            <w:sz w:val="24"/>
          </w:rPr>
          <w:fldChar w:fldCharType="end"/>
        </w:r>
      </w:hyperlink>
    </w:p>
    <w:p w14:paraId="2D77E64B" w14:textId="7EAD5BEB" w:rsidR="00E45C2C" w:rsidRPr="005F64F1" w:rsidRDefault="00E56D57" w:rsidP="00E45C2C">
      <w:pPr>
        <w:pStyle w:val="11"/>
        <w:tabs>
          <w:tab w:val="right" w:leader="dot" w:pos="8550"/>
        </w:tabs>
        <w:spacing w:line="360" w:lineRule="auto"/>
        <w:rPr>
          <w:rFonts w:ascii="宋体" w:hAnsi="宋体"/>
          <w:noProof/>
          <w:sz w:val="24"/>
        </w:rPr>
      </w:pPr>
      <w:hyperlink w:anchor="_Toc140049428" w:history="1">
        <w:r w:rsidR="00E45C2C" w:rsidRPr="00E45C2C">
          <w:rPr>
            <w:rStyle w:val="af0"/>
            <w:rFonts w:ascii="宋体" w:hAnsi="宋体" w:hint="eastAsia"/>
            <w:noProof/>
            <w:sz w:val="24"/>
          </w:rPr>
          <w:t>二十四、其他应披露事项</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_Toc140049428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132</w:t>
        </w:r>
        <w:r w:rsidR="00E45C2C" w:rsidRPr="00E45C2C">
          <w:rPr>
            <w:rFonts w:ascii="宋体" w:hAnsi="宋体"/>
            <w:noProof/>
            <w:sz w:val="24"/>
          </w:rPr>
          <w:fldChar w:fldCharType="end"/>
        </w:r>
      </w:hyperlink>
    </w:p>
    <w:p w14:paraId="6BCAA814" w14:textId="6B26FE6F" w:rsidR="00E45C2C" w:rsidRPr="005F64F1" w:rsidRDefault="00E56D57" w:rsidP="00E45C2C">
      <w:pPr>
        <w:pStyle w:val="11"/>
        <w:tabs>
          <w:tab w:val="right" w:leader="dot" w:pos="8550"/>
        </w:tabs>
        <w:spacing w:line="360" w:lineRule="auto"/>
        <w:rPr>
          <w:rFonts w:ascii="宋体" w:hAnsi="宋体"/>
          <w:noProof/>
          <w:sz w:val="24"/>
        </w:rPr>
      </w:pPr>
      <w:hyperlink w:anchor="_Toc140049429" w:history="1">
        <w:r w:rsidR="00E45C2C" w:rsidRPr="00E45C2C">
          <w:rPr>
            <w:rStyle w:val="af0"/>
            <w:rFonts w:ascii="宋体" w:hAnsi="宋体" w:hint="eastAsia"/>
            <w:noProof/>
            <w:sz w:val="24"/>
          </w:rPr>
          <w:t>二十五、招募说明书的存放及查阅方式</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_Toc140049429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136</w:t>
        </w:r>
        <w:r w:rsidR="00E45C2C" w:rsidRPr="00E45C2C">
          <w:rPr>
            <w:rFonts w:ascii="宋体" w:hAnsi="宋体"/>
            <w:noProof/>
            <w:sz w:val="24"/>
          </w:rPr>
          <w:fldChar w:fldCharType="end"/>
        </w:r>
      </w:hyperlink>
    </w:p>
    <w:p w14:paraId="589F097D" w14:textId="4F821E2B" w:rsidR="00E45C2C" w:rsidRPr="005F64F1" w:rsidRDefault="00E56D57" w:rsidP="00E45C2C">
      <w:pPr>
        <w:pStyle w:val="11"/>
        <w:tabs>
          <w:tab w:val="right" w:leader="dot" w:pos="8550"/>
        </w:tabs>
        <w:spacing w:line="360" w:lineRule="auto"/>
        <w:rPr>
          <w:rFonts w:ascii="宋体" w:hAnsi="宋体"/>
          <w:noProof/>
          <w:sz w:val="24"/>
        </w:rPr>
      </w:pPr>
      <w:hyperlink w:anchor="_Toc140049430" w:history="1">
        <w:r w:rsidR="00E45C2C" w:rsidRPr="00E45C2C">
          <w:rPr>
            <w:rStyle w:val="af0"/>
            <w:rFonts w:ascii="宋体" w:hAnsi="宋体" w:hint="eastAsia"/>
            <w:noProof/>
            <w:sz w:val="24"/>
          </w:rPr>
          <w:t>二十六、备查文件</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_Toc140049430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137</w:t>
        </w:r>
        <w:r w:rsidR="00E45C2C" w:rsidRPr="00E45C2C">
          <w:rPr>
            <w:rFonts w:ascii="宋体" w:hAnsi="宋体"/>
            <w:noProof/>
            <w:sz w:val="24"/>
          </w:rPr>
          <w:fldChar w:fldCharType="end"/>
        </w:r>
      </w:hyperlink>
    </w:p>
    <w:p w14:paraId="5F2FECE1" w14:textId="1E2C495B" w:rsidR="001F702C" w:rsidRDefault="00E45C2C" w:rsidP="00171AF4">
      <w:pPr>
        <w:pStyle w:val="af3"/>
        <w:snapToGrid w:val="0"/>
        <w:spacing w:after="240" w:line="360" w:lineRule="auto"/>
        <w:jc w:val="center"/>
        <w:sectPr w:rsidR="001F702C">
          <w:pgSz w:w="11920" w:h="16840"/>
          <w:pgMar w:top="1480" w:right="1680" w:bottom="280" w:left="1680" w:header="0" w:footer="1073" w:gutter="0"/>
          <w:cols w:space="720"/>
        </w:sectPr>
      </w:pPr>
      <w:r w:rsidRPr="00E45C2C">
        <w:rPr>
          <w:rFonts w:ascii="宋体" w:hAnsi="宋体"/>
          <w:color w:val="000000"/>
          <w:position w:val="-4"/>
          <w:sz w:val="24"/>
          <w:szCs w:val="30"/>
        </w:rPr>
        <w:fldChar w:fldCharType="end"/>
      </w:r>
    </w:p>
    <w:p w14:paraId="4C9F6A33" w14:textId="77777777" w:rsidR="001F702C" w:rsidRDefault="00BD18A1">
      <w:pPr>
        <w:pStyle w:val="1"/>
        <w:snapToGrid w:val="0"/>
        <w:spacing w:beforeLines="0" w:before="240" w:after="240"/>
        <w:rPr>
          <w:rFonts w:ascii="宋体" w:hAnsi="宋体"/>
          <w:szCs w:val="30"/>
        </w:rPr>
      </w:pPr>
      <w:bookmarkStart w:id="4" w:name="_Toc140049405"/>
      <w:r>
        <w:rPr>
          <w:rFonts w:ascii="Times New Roman" w:hAnsi="Times New Roman"/>
          <w:sz w:val="30"/>
        </w:rPr>
        <w:lastRenderedPageBreak/>
        <w:t>一、绪言</w:t>
      </w:r>
      <w:bookmarkEnd w:id="4"/>
    </w:p>
    <w:p w14:paraId="1ABA070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中债1-3年农发行债券指数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公开募集证券投资基金运作指引第3号——指数基金指引》（以下简称“《指数基金指引》”）和其他相关法律法规的规定以及《交银施罗德中债1-3年农发行债券指数证券投资基金基金合同》（以下简称“基金合同”）编写。</w:t>
      </w:r>
    </w:p>
    <w:p w14:paraId="6DACBC4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6C10C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w:t>
      </w:r>
      <w:proofErr w:type="gramStart"/>
      <w:r>
        <w:rPr>
          <w:rFonts w:ascii="宋体" w:hAnsi="宋体"/>
          <w:sz w:val="24"/>
        </w:rPr>
        <w:t>投资人自依基金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71A8FA3"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1050D06" w14:textId="77777777" w:rsidR="001F702C" w:rsidRDefault="00BD18A1">
      <w:pPr>
        <w:pStyle w:val="1"/>
        <w:snapToGrid w:val="0"/>
        <w:spacing w:beforeLines="0" w:before="240" w:after="240"/>
        <w:rPr>
          <w:rFonts w:ascii="宋体" w:hAnsi="宋体"/>
          <w:szCs w:val="30"/>
        </w:rPr>
      </w:pPr>
      <w:bookmarkStart w:id="5" w:name="_Toc140049406"/>
      <w:r>
        <w:rPr>
          <w:rFonts w:ascii="Times New Roman" w:hAnsi="Times New Roman"/>
          <w:sz w:val="30"/>
        </w:rPr>
        <w:lastRenderedPageBreak/>
        <w:t>二、释义</w:t>
      </w:r>
      <w:bookmarkEnd w:id="5"/>
    </w:p>
    <w:p w14:paraId="59D16A7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51EEDF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1、基金或本基金：指交银施罗德中债1-3年农发行债券指数证券投资基金</w:t>
      </w:r>
    </w:p>
    <w:p w14:paraId="540404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391AB9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3、基金托管人或本基金托管人：指中国光大银行股份有限公司</w:t>
      </w:r>
    </w:p>
    <w:p w14:paraId="5145E93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4、基金合同或《基金合同》：指《交银施罗德中债1-3年农发行债券指数证券投资基金基金合同》及对基金合同的任何有效修订和补充</w:t>
      </w:r>
    </w:p>
    <w:p w14:paraId="020FF6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5、托管协议：指基金管理人与基金托管人就本基金签订之《交银施罗德中债1-3年农发行债券指数证券投资基金托管协议》及对该托管协议的任何有效修订和补充</w:t>
      </w:r>
    </w:p>
    <w:p w14:paraId="397B4BC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6、招募说明书、本招募说明书或《招募说明书》：指《交银施罗德中债1-3年农发行债券指数证券投资基金招募说明书》及其更新</w:t>
      </w:r>
    </w:p>
    <w:p w14:paraId="4A169A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7、基金份额发售公告：指《交银施罗德中债1-3年农发行债券指数证券投资基金基金份额发售公告》</w:t>
      </w:r>
    </w:p>
    <w:p w14:paraId="603B0AC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8、基金产品资料概要：指《交银施罗德中债1-3年农发行债券指数证券投资基金基金产品资料概要》及其更新</w:t>
      </w:r>
    </w:p>
    <w:p w14:paraId="5419E8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00ED36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27426E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14:paraId="3AA0732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386E809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0248D65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 2017年8月31日颁布、同年10月1日实施的《公开募集开放式证券投资基金流动性风险管理规定》及颁布机关对其不时做出的修订</w:t>
      </w:r>
    </w:p>
    <w:p w14:paraId="3F5275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15、《指数基金指引》：指中国证监会2021年1月22日颁布、同年2月1日实施的《公开募集证券投资基金运作指引第3号——指数基金指引》及颁布机关对其不时做出的修订</w:t>
      </w:r>
    </w:p>
    <w:p w14:paraId="596A2A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16、流动性受限资产：指由于法律法规、监管、合同或操作障碍等原因无法以合理价格予以变现的资产，包括但不限于到期日在10个交易日以上的逆回购与银行定期存款（</w:t>
      </w:r>
      <w:proofErr w:type="gramStart"/>
      <w:r>
        <w:rPr>
          <w:rFonts w:ascii="宋体" w:hAnsi="宋体"/>
          <w:sz w:val="24"/>
        </w:rPr>
        <w:t>含协议</w:t>
      </w:r>
      <w:proofErr w:type="gramEnd"/>
      <w:r>
        <w:rPr>
          <w:rFonts w:ascii="宋体" w:hAnsi="宋体"/>
          <w:sz w:val="24"/>
        </w:rPr>
        <w:t>约定有条件提前支取的银行存款）、资产支持证券、因发行人债务违约无法进行转让或交易的债券等</w:t>
      </w:r>
    </w:p>
    <w:p w14:paraId="58E08A6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3929DED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18、中国证监会：指中国证券监督管理委员会</w:t>
      </w:r>
    </w:p>
    <w:p w14:paraId="1656C7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19、银行业监督管理机构：指中国人民银行和/或中国银行保险监督管理委员会</w:t>
      </w:r>
    </w:p>
    <w:p w14:paraId="1A1D56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20、基金合同当事人：指受基金合同约束，根据基金合同享有权利并承担义务的法律主体，包括基金管理人、基金托管人和基金份额持有人</w:t>
      </w:r>
    </w:p>
    <w:p w14:paraId="728FC7E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21、个人投资者：指依据有关法律法规规定可投资于证券投资基金的自然人</w:t>
      </w:r>
    </w:p>
    <w:p w14:paraId="10F4DC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22、机构投资者：指依法可以投资证券投资基金的、在中华人民共和国境内合法登记并存续或经有关政府部门批准设立并存续的企业法人、事业法人、社会团体或其他组织</w:t>
      </w:r>
    </w:p>
    <w:p w14:paraId="1CABF28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23、合格境外机构投资者：指符合《合格境外机构投资者境内证券投资管理办法》及相关法律法规规定可以投资于在中国境内依法募集的证券投资基金的中国境外的机构投资者</w:t>
      </w:r>
    </w:p>
    <w:p w14:paraId="0B8360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24、人民币合格境外机构投资者：指按照《人民币合格境外机构投资者境内证券投资试点办法》及相关法律法规规定，运用来自境外的人民币资金进行中国境内证券投资的境外机构投资者</w:t>
      </w:r>
    </w:p>
    <w:p w14:paraId="4A0AE7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25、投资人或投资者：指个人投资者、机构投资者、合格境外机构投资者和人民币合格境外机构投资者以及法律法规或中国证监会允许购买证券投资基金的其他投资人的合称</w:t>
      </w:r>
    </w:p>
    <w:p w14:paraId="1F6C08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26、基金份额持有人：指依基金合同和招募说明书合法取得基金份额的投资人</w:t>
      </w:r>
    </w:p>
    <w:p w14:paraId="0E7BE85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27、基金销售业务：指基金管理人或销售机构宣传推介基金，发售基金份额，办理基金份额的申购、赎回、转换、转托管及定期定额投资等业务</w:t>
      </w:r>
    </w:p>
    <w:p w14:paraId="428DA4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28、销售机构：指交银施罗德基金管理有限公司以及符合《销售办法》和中国证监会规定的其他条件，取得基金销售业务资格并与基金管理人签订了基金销售服务协议，办理基金销售业务的机构</w:t>
      </w:r>
    </w:p>
    <w:p w14:paraId="4EE515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sz w:val="24"/>
        </w:rPr>
        <w:t>非交易</w:t>
      </w:r>
      <w:proofErr w:type="gramEnd"/>
      <w:r>
        <w:rPr>
          <w:rFonts w:ascii="宋体" w:hAnsi="宋体"/>
          <w:sz w:val="24"/>
        </w:rPr>
        <w:t>过户等</w:t>
      </w:r>
    </w:p>
    <w:p w14:paraId="4576050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30、登记机构：</w:t>
      </w:r>
      <w:proofErr w:type="gramStart"/>
      <w:r>
        <w:rPr>
          <w:rFonts w:ascii="宋体" w:hAnsi="宋体"/>
          <w:sz w:val="24"/>
        </w:rPr>
        <w:t>指办理</w:t>
      </w:r>
      <w:proofErr w:type="gramEnd"/>
      <w:r>
        <w:rPr>
          <w:rFonts w:ascii="宋体" w:hAnsi="宋体"/>
          <w:sz w:val="24"/>
        </w:rPr>
        <w:t>登记业务的机构。基金的登记机构为交银施罗德基金管理有限公司或接受交银施罗德基金管理有限公司委托办理登记业务的机构</w:t>
      </w:r>
    </w:p>
    <w:p w14:paraId="5BAB7BE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31、基金账户：指登记机构为投资人开立的、记录其持有的、基金管理人所管理的基金份额余额及其变动情况的账户</w:t>
      </w:r>
    </w:p>
    <w:p w14:paraId="5CBCA2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32、基金交易账户：指销售机构为投资人开立的、记录投资人通过该销售机构办理认购、申购、赎回、转换、定期定额投资及转托管等业务而引起的基金份额变动及结余情况的账户</w:t>
      </w:r>
    </w:p>
    <w:p w14:paraId="4BC475A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33、基金合同生效日：指基金募集达到法律法规规定及基金合同规定的条件，基金管理人向中国证监会办理基金备案手续完毕，并获得中国证监会书面确认的日期</w:t>
      </w:r>
    </w:p>
    <w:p w14:paraId="4AE19F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34、基金合同终止日：指基金合同规定的基金合同终止事由出现后，基金财产清算完毕，清算结果报中国证监会备案并予以公告的日期</w:t>
      </w:r>
    </w:p>
    <w:p w14:paraId="4CB178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35、基金募集期：指自基金份额发售之日起至发售结束之日止的期间，最长不得超过3个月</w:t>
      </w:r>
    </w:p>
    <w:p w14:paraId="4F712F0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36、存续期：指基金合同生效至终止之间的不定期期限</w:t>
      </w:r>
    </w:p>
    <w:p w14:paraId="442596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37、工作日：指上海证券交易所、深圳证券交易所的正常交易日</w:t>
      </w:r>
    </w:p>
    <w:p w14:paraId="70FF21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38、T日：指销售机构在规定时间受理投资人申购、赎回或其他业务申请的开放日</w:t>
      </w:r>
    </w:p>
    <w:p w14:paraId="06B50D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39、T+n日：指自T日起第n</w:t>
      </w:r>
      <w:proofErr w:type="gramStart"/>
      <w:r>
        <w:rPr>
          <w:rFonts w:ascii="宋体" w:hAnsi="宋体"/>
          <w:sz w:val="24"/>
        </w:rPr>
        <w:t>个</w:t>
      </w:r>
      <w:proofErr w:type="gramEnd"/>
      <w:r>
        <w:rPr>
          <w:rFonts w:ascii="宋体" w:hAnsi="宋体"/>
          <w:sz w:val="24"/>
        </w:rPr>
        <w:t>工作日(不包含T日)</w:t>
      </w:r>
    </w:p>
    <w:p w14:paraId="6AD6DE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40、开放日：指为投资人办理基金份额申购、赎回或其他业务的工作日</w:t>
      </w:r>
    </w:p>
    <w:p w14:paraId="5014590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41、开放时间：指开放日基金接受申购、赎回或其他交易的时间段</w:t>
      </w:r>
    </w:p>
    <w:p w14:paraId="37A82E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42、《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A0C86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43、认购：指在基金募集期内，投资人根据基金合同和招募说明书的规定申请购买基金份额的行为</w:t>
      </w:r>
    </w:p>
    <w:p w14:paraId="5D9161A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44、申购：指基金合同生效后，投资人根据基金合同和招募说明书的规定申请购买基金份额的行为</w:t>
      </w:r>
    </w:p>
    <w:p w14:paraId="2D5B11A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45、赎回：指基金合同生效后，基金份额持有人按基金合同和招募说明书规定的条件要求将基金份额兑换为现金的行为</w:t>
      </w:r>
    </w:p>
    <w:p w14:paraId="19C084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46、销售服务费：指从基金资产中计提的，用于本基金市场推广、销售以及基金份额持有人服务的费用</w:t>
      </w:r>
    </w:p>
    <w:p w14:paraId="099DF2D4" w14:textId="22860D91"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47、基金份额类别：指本基金根据认购/申购费用、销售服务费</w:t>
      </w:r>
      <w:r w:rsidR="00384D70" w:rsidRPr="003118F1">
        <w:rPr>
          <w:rFonts w:hAnsi="宋体" w:hint="eastAsia"/>
          <w:bCs/>
          <w:sz w:val="24"/>
        </w:rPr>
        <w:t>收取标准和</w:t>
      </w:r>
      <w:r>
        <w:rPr>
          <w:rFonts w:ascii="宋体" w:hAnsi="宋体"/>
          <w:sz w:val="24"/>
        </w:rPr>
        <w:t>收取方式的不同，将基金份额分为不同的类别。在投资人认购/申购时收取认购/申购费用、赎回时收取赎回费用的，称为A类基金份额，在投资人认购/申购时不收取认购/申购费用、赎回时收取赎回费用，并从本类别基金资产中计</w:t>
      </w:r>
      <w:proofErr w:type="gramStart"/>
      <w:r>
        <w:rPr>
          <w:rFonts w:ascii="宋体" w:hAnsi="宋体"/>
          <w:sz w:val="24"/>
        </w:rPr>
        <w:t>提销售</w:t>
      </w:r>
      <w:proofErr w:type="gramEnd"/>
      <w:r>
        <w:rPr>
          <w:rFonts w:ascii="宋体" w:hAnsi="宋体"/>
          <w:sz w:val="24"/>
        </w:rPr>
        <w:t>服务费的，称为C类基金份额</w:t>
      </w:r>
      <w:r w:rsidR="00CF37AC" w:rsidRPr="00CF37AC">
        <w:rPr>
          <w:rFonts w:ascii="宋体" w:hAnsi="宋体" w:hint="eastAsia"/>
          <w:sz w:val="24"/>
        </w:rPr>
        <w:t>；在投资人申购时收取申购费用、赎回时收取赎回费</w:t>
      </w:r>
      <w:r w:rsidR="005D4911">
        <w:rPr>
          <w:rFonts w:ascii="宋体" w:hAnsi="宋体" w:hint="eastAsia"/>
          <w:sz w:val="24"/>
        </w:rPr>
        <w:t>用</w:t>
      </w:r>
      <w:r w:rsidR="00CF37AC" w:rsidRPr="00CF37AC">
        <w:rPr>
          <w:rFonts w:ascii="宋体" w:hAnsi="宋体" w:hint="eastAsia"/>
          <w:sz w:val="24"/>
        </w:rPr>
        <w:t>的，称为D</w:t>
      </w:r>
      <w:r w:rsidR="00CF37AC">
        <w:rPr>
          <w:rFonts w:ascii="宋体" w:hAnsi="宋体" w:hint="eastAsia"/>
          <w:sz w:val="24"/>
        </w:rPr>
        <w:t>类基金份额</w:t>
      </w:r>
      <w:r w:rsidR="005D4911" w:rsidRPr="005D4911">
        <w:rPr>
          <w:rFonts w:ascii="宋体" w:hAnsi="宋体" w:hint="eastAsia"/>
          <w:sz w:val="24"/>
        </w:rPr>
        <w:t>，A类基金份额与D类基金份额设置不同的申购费</w:t>
      </w:r>
      <w:r w:rsidR="0086767A">
        <w:rPr>
          <w:rFonts w:hAnsi="宋体" w:hint="eastAsia"/>
          <w:bCs/>
          <w:sz w:val="24"/>
        </w:rPr>
        <w:t>、赎回费</w:t>
      </w:r>
      <w:r w:rsidR="005D4911" w:rsidRPr="005D4911">
        <w:rPr>
          <w:rFonts w:ascii="宋体" w:hAnsi="宋体" w:hint="eastAsia"/>
          <w:sz w:val="24"/>
        </w:rPr>
        <w:t>收取标准</w:t>
      </w:r>
    </w:p>
    <w:p w14:paraId="0B795A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48、基金转换：指基金份额持有人按照基金合同和基金管理人届时有效公告规定的条件，申请将其持有基金管理人管理的、某一基金的基金份额转换为基金管理人管理的其他</w:t>
      </w:r>
      <w:proofErr w:type="gramStart"/>
      <w:r>
        <w:rPr>
          <w:rFonts w:ascii="宋体" w:hAnsi="宋体"/>
          <w:sz w:val="24"/>
        </w:rPr>
        <w:t>基金基金</w:t>
      </w:r>
      <w:proofErr w:type="gramEnd"/>
      <w:r>
        <w:rPr>
          <w:rFonts w:ascii="宋体" w:hAnsi="宋体"/>
          <w:sz w:val="24"/>
        </w:rPr>
        <w:t>份额的行为</w:t>
      </w:r>
    </w:p>
    <w:p w14:paraId="49881BA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49、转托管：指基金份额持有人在本基金的不同销售机构之间实施的变更所持基金份额销售机构的操作</w:t>
      </w:r>
    </w:p>
    <w:p w14:paraId="059A67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F8E21C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5AB1DEF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52、元：指人民币元</w:t>
      </w:r>
    </w:p>
    <w:p w14:paraId="74C3EBF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53、基金收益：指基金投资所得债券利息、买卖证券价差、银行存款利息、已实现的其他合法收入及因运用基金财产带来的成本和费用的节约</w:t>
      </w:r>
    </w:p>
    <w:p w14:paraId="1B3F75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54、基金资产总值：指基金拥有的各类有价证券、银行存款本息、基金应收申购款及其他资产的价值总和</w:t>
      </w:r>
    </w:p>
    <w:p w14:paraId="6C8DD6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55、基金资产净值：指基金资产总值减去基金负债后的价值</w:t>
      </w:r>
    </w:p>
    <w:p w14:paraId="186227C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56、基金份额净值：指计算日基金资产净值除以计算日基金份额总数</w:t>
      </w:r>
    </w:p>
    <w:p w14:paraId="089CC9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57、基金资产估值：指计算评估基金资产和负债的价值，以确定基金资产净值和基金份额净值的过程</w:t>
      </w:r>
    </w:p>
    <w:p w14:paraId="01FC1B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58、指定媒介：指中国证监会指定的用以进行信息披露的全国性报刊及指定互联网网站（包括基金管理人网站、基金托管人网站、中国证监会基金电子披露网站）等媒介</w:t>
      </w:r>
    </w:p>
    <w:p w14:paraId="3FC2C3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w:t>
      </w:r>
      <w:proofErr w:type="gramStart"/>
      <w:r>
        <w:rPr>
          <w:rFonts w:ascii="宋体" w:hAnsi="宋体"/>
          <w:sz w:val="24"/>
        </w:rPr>
        <w:t>侧袋机制</w:t>
      </w:r>
      <w:proofErr w:type="gramEnd"/>
      <w:r>
        <w:rPr>
          <w:rFonts w:ascii="宋体" w:hAnsi="宋体"/>
          <w:sz w:val="24"/>
        </w:rPr>
        <w:t>：指将基金投资组合中的特定资产从原有账户分离至一个专门账户进行处置清算，目的在于有效隔离并化解风险，确保投资者得到公平对待，属于流动性风险管理工具。</w:t>
      </w:r>
      <w:proofErr w:type="gramStart"/>
      <w:r>
        <w:rPr>
          <w:rFonts w:ascii="宋体" w:hAnsi="宋体"/>
          <w:sz w:val="24"/>
        </w:rPr>
        <w:t>侧袋机制</w:t>
      </w:r>
      <w:proofErr w:type="gramEnd"/>
      <w:r>
        <w:rPr>
          <w:rFonts w:ascii="宋体" w:hAnsi="宋体"/>
          <w:sz w:val="24"/>
        </w:rPr>
        <w:t>实施期间，原有账户称为主袋账户，专门账户</w:t>
      </w:r>
      <w:proofErr w:type="gramStart"/>
      <w:r>
        <w:rPr>
          <w:rFonts w:ascii="宋体" w:hAnsi="宋体"/>
          <w:sz w:val="24"/>
        </w:rPr>
        <w:t>称为侧袋账户</w:t>
      </w:r>
      <w:proofErr w:type="gramEnd"/>
    </w:p>
    <w:p w14:paraId="2DDEDB9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60、特定资产：包括：（一）无可参考的活跃市场价格且采用估值技术</w:t>
      </w:r>
      <w:proofErr w:type="gramStart"/>
      <w:r>
        <w:rPr>
          <w:rFonts w:ascii="宋体" w:hAnsi="宋体"/>
          <w:sz w:val="24"/>
        </w:rPr>
        <w:t>仍导致</w:t>
      </w:r>
      <w:proofErr w:type="gramEnd"/>
      <w:r>
        <w:rPr>
          <w:rFonts w:ascii="宋体" w:hAnsi="宋体"/>
          <w:sz w:val="24"/>
        </w:rPr>
        <w:t>公允价值存在重大不确定性的资产；（二）</w:t>
      </w:r>
      <w:proofErr w:type="gramStart"/>
      <w:r>
        <w:rPr>
          <w:rFonts w:ascii="宋体" w:hAnsi="宋体"/>
          <w:sz w:val="24"/>
        </w:rPr>
        <w:t>按摊余成本</w:t>
      </w:r>
      <w:proofErr w:type="gramEnd"/>
      <w:r>
        <w:rPr>
          <w:rFonts w:ascii="宋体" w:hAnsi="宋体"/>
          <w:sz w:val="24"/>
        </w:rPr>
        <w:t>计量且计提资产减值</w:t>
      </w:r>
      <w:proofErr w:type="gramStart"/>
      <w:r>
        <w:rPr>
          <w:rFonts w:ascii="宋体" w:hAnsi="宋体"/>
          <w:sz w:val="24"/>
        </w:rPr>
        <w:t>准备仍导致</w:t>
      </w:r>
      <w:proofErr w:type="gramEnd"/>
      <w:r>
        <w:rPr>
          <w:rFonts w:ascii="宋体" w:hAnsi="宋体"/>
          <w:sz w:val="24"/>
        </w:rPr>
        <w:t>资产价值存在重大不确定性的资产；（三）其他资产价值存在重大不确定性的资产</w:t>
      </w:r>
    </w:p>
    <w:p w14:paraId="599AA5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61、不可抗力：指基金合同当事人不能预见、不能避免且不能克服的客观事件</w:t>
      </w:r>
    </w:p>
    <w:p w14:paraId="1CCC903F"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EC68BD0" w14:textId="77777777" w:rsidR="001F702C" w:rsidRDefault="00BD18A1">
      <w:pPr>
        <w:pStyle w:val="1"/>
        <w:snapToGrid w:val="0"/>
        <w:spacing w:beforeLines="0" w:before="240" w:after="240"/>
        <w:rPr>
          <w:rFonts w:ascii="宋体" w:hAnsi="宋体"/>
          <w:szCs w:val="30"/>
        </w:rPr>
      </w:pPr>
      <w:bookmarkStart w:id="6" w:name="_Toc140049407"/>
      <w:r>
        <w:rPr>
          <w:rFonts w:ascii="Times New Roman" w:hAnsi="Times New Roman"/>
          <w:sz w:val="30"/>
        </w:rPr>
        <w:lastRenderedPageBreak/>
        <w:t>三、基金管理人</w:t>
      </w:r>
      <w:bookmarkEnd w:id="6"/>
    </w:p>
    <w:p w14:paraId="51EE9CF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4A090A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57EE18C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43876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6514190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4F10BD0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0311BD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070721C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7A80B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4DA04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7AF334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5F34B4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03F60A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w:t>
      </w:r>
      <w:proofErr w:type="gramStart"/>
      <w:r>
        <w:rPr>
          <w:rFonts w:ascii="宋体" w:hAnsi="宋体"/>
          <w:sz w:val="24"/>
        </w:rPr>
        <w:t>监基金字</w:t>
      </w:r>
      <w:proofErr w:type="gramEnd"/>
      <w:r>
        <w:rPr>
          <w:rFonts w:ascii="宋体" w:hAnsi="宋体"/>
          <w:sz w:val="24"/>
        </w:rPr>
        <w:t>[2005]128号文批准设立。公司股权结构如下：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1F702C" w14:paraId="55D3772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0FD952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6B4F21E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1F702C" w14:paraId="12ED68C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C8DDE1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98D0B0A"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1F702C" w14:paraId="08A5CA2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8DA8F7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3BD850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1F702C" w14:paraId="0F6B9DB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B499EE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262B2A1"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2E8F07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208957B6"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1、基金管理人董事会成员</w:t>
      </w:r>
    </w:p>
    <w:p w14:paraId="4FF6AEAB"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597AFE3"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童洁萍女士，董事，硕士。现任交通银行总行个人金融业务部副总经理。历任交通银行南京分行个人金融业务部副高级经理、江苏省分行个人金融业务部副总经理、总经理、玄武支行行长。</w:t>
      </w:r>
    </w:p>
    <w:p w14:paraId="6743622B"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王贤家先生，董事，学士。现任交通银行总行风险管理部/</w:t>
      </w:r>
      <w:proofErr w:type="gramStart"/>
      <w:r w:rsidRPr="00EB17D2">
        <w:rPr>
          <w:rFonts w:ascii="宋体" w:hAnsi="宋体" w:hint="eastAsia"/>
          <w:sz w:val="24"/>
        </w:rPr>
        <w:t>内控案防</w:t>
      </w:r>
      <w:proofErr w:type="gramEnd"/>
      <w:r w:rsidRPr="00EB17D2">
        <w:rPr>
          <w:rFonts w:ascii="宋体" w:hAnsi="宋体" w:hint="eastAsia"/>
          <w:sz w:val="24"/>
        </w:rPr>
        <w:t>办副总经理。历任交通银行总行国际业务部外汇资金处交易员、澳门分行资金部主管、总行</w:t>
      </w:r>
      <w:r w:rsidRPr="00EB17D2">
        <w:rPr>
          <w:rFonts w:ascii="宋体" w:hAnsi="宋体" w:hint="eastAsia"/>
          <w:sz w:val="24"/>
        </w:rPr>
        <w:lastRenderedPageBreak/>
        <w:t>金融市场部债券投资部副高级经理、外汇交易部高级经理。</w:t>
      </w:r>
    </w:p>
    <w:p w14:paraId="1F19E922"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谢卫先生，董事，总经理，博士，高级经济师，第十、十一、十二届民盟中央委员、第十一、十二、十三届全国政协委员。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0118B34"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杜伟麒（Chris Durack）先生，董事，硕士。现任施罗德投资亚太区行政总裁。历任施罗德投资澳大利亚董事</w:t>
      </w:r>
      <w:proofErr w:type="gramStart"/>
      <w:r w:rsidRPr="00EB17D2">
        <w:rPr>
          <w:rFonts w:ascii="宋体" w:hAnsi="宋体" w:hint="eastAsia"/>
          <w:sz w:val="24"/>
        </w:rPr>
        <w:t>兼产品</w:t>
      </w:r>
      <w:proofErr w:type="gramEnd"/>
      <w:r w:rsidRPr="00EB17D2">
        <w:rPr>
          <w:rFonts w:ascii="宋体" w:hAnsi="宋体" w:hint="eastAsia"/>
          <w:sz w:val="24"/>
        </w:rPr>
        <w:t>及分销主管、香港行政总裁兼亚太区机构业务主管、澳大利亚行政总裁兼亚太区联席主管等职。</w:t>
      </w:r>
    </w:p>
    <w:p w14:paraId="7C161929"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76D040D6"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郝爱群女士，独立董事，学士。历任人民银行稽核司副处长、处长，合作司调研员，</w:t>
      </w:r>
      <w:proofErr w:type="gramStart"/>
      <w:r w:rsidRPr="00EB17D2">
        <w:rPr>
          <w:rFonts w:ascii="宋体" w:hAnsi="宋体" w:hint="eastAsia"/>
          <w:sz w:val="24"/>
        </w:rPr>
        <w:t>非银司副</w:t>
      </w:r>
      <w:proofErr w:type="gramEnd"/>
      <w:r w:rsidRPr="00EB17D2">
        <w:rPr>
          <w:rFonts w:ascii="宋体" w:hAnsi="宋体" w:hint="eastAsia"/>
          <w:sz w:val="24"/>
        </w:rPr>
        <w:t>巡视员、副司长，银监会</w:t>
      </w:r>
      <w:proofErr w:type="gramStart"/>
      <w:r w:rsidRPr="00EB17D2">
        <w:rPr>
          <w:rFonts w:ascii="宋体" w:hAnsi="宋体" w:hint="eastAsia"/>
          <w:sz w:val="24"/>
        </w:rPr>
        <w:t>非银部副</w:t>
      </w:r>
      <w:proofErr w:type="gramEnd"/>
      <w:r w:rsidRPr="00EB17D2">
        <w:rPr>
          <w:rFonts w:ascii="宋体" w:hAnsi="宋体" w:hint="eastAsia"/>
          <w:sz w:val="24"/>
        </w:rPr>
        <w:t>主任，银行监管一部副主任、巡视员，汇金公司派出董事。</w:t>
      </w:r>
    </w:p>
    <w:p w14:paraId="2E545731"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张子学先生，独立董事，博士。现任中国政法</w:t>
      </w:r>
      <w:proofErr w:type="gramStart"/>
      <w:r w:rsidRPr="00EB17D2">
        <w:rPr>
          <w:rFonts w:ascii="宋体" w:hAnsi="宋体" w:hint="eastAsia"/>
          <w:sz w:val="24"/>
        </w:rPr>
        <w:t>大学民商经济</w:t>
      </w:r>
      <w:proofErr w:type="gramEnd"/>
      <w:r w:rsidRPr="00EB17D2">
        <w:rPr>
          <w:rFonts w:ascii="宋体" w:hAnsi="宋体" w:hint="eastAsia"/>
          <w:sz w:val="24"/>
        </w:rPr>
        <w:t>法学院教授，兼任基金业协会自律监察委员会委员。历任证监会办公厅副处长、上市公司</w:t>
      </w:r>
      <w:proofErr w:type="gramStart"/>
      <w:r w:rsidRPr="00EB17D2">
        <w:rPr>
          <w:rFonts w:ascii="宋体" w:hAnsi="宋体" w:hint="eastAsia"/>
          <w:sz w:val="24"/>
        </w:rPr>
        <w:t>监管部</w:t>
      </w:r>
      <w:proofErr w:type="gramEnd"/>
      <w:r w:rsidRPr="00EB17D2">
        <w:rPr>
          <w:rFonts w:ascii="宋体" w:hAnsi="宋体" w:hint="eastAsia"/>
          <w:sz w:val="24"/>
        </w:rPr>
        <w:t>处长、行政处罚委员会专职委员、副主任审理员，兼任证监会上市公司并购重组审核委员会委员、行政复议委员会委员。</w:t>
      </w:r>
    </w:p>
    <w:p w14:paraId="74A1B99B"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黎建强先生，独立董事，博士，教育部长</w:t>
      </w:r>
      <w:proofErr w:type="gramStart"/>
      <w:r w:rsidRPr="00EB17D2">
        <w:rPr>
          <w:rFonts w:ascii="宋体" w:hAnsi="宋体" w:hint="eastAsia"/>
          <w:sz w:val="24"/>
        </w:rPr>
        <w:t>江学者</w:t>
      </w:r>
      <w:proofErr w:type="gramEnd"/>
      <w:r w:rsidRPr="00EB17D2">
        <w:rPr>
          <w:rFonts w:ascii="宋体" w:hAnsi="宋体" w:hint="eastAsia"/>
          <w:sz w:val="24"/>
        </w:rPr>
        <w:t>讲座教授。现任香港大学工业工程系荣誉教授，亚洲风险</w:t>
      </w:r>
      <w:proofErr w:type="gramStart"/>
      <w:r w:rsidRPr="00EB17D2">
        <w:rPr>
          <w:rFonts w:ascii="宋体" w:hAnsi="宋体" w:hint="eastAsia"/>
          <w:sz w:val="24"/>
        </w:rPr>
        <w:t>及危机</w:t>
      </w:r>
      <w:proofErr w:type="gramEnd"/>
      <w:r w:rsidRPr="00EB17D2">
        <w:rPr>
          <w:rFonts w:ascii="宋体" w:hAnsi="宋体" w:hint="eastAsia"/>
          <w:sz w:val="24"/>
        </w:rPr>
        <w:t>管理协会主席，兼任深交所上市的中联重科集团独立非执行董事。历任香港城市大学管理科学讲座教授，湖南省政协委员并兼任湖南大学工商管理学院院长。</w:t>
      </w:r>
    </w:p>
    <w:p w14:paraId="7B5A6218"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2、基金管理人监事会成员</w:t>
      </w:r>
    </w:p>
    <w:p w14:paraId="55723D69"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1AAAC761"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lastRenderedPageBreak/>
        <w:t>林凯珊女士，监事，硕士。现任施罗德投资管理（香港）有限公司中国内地及中国香港法律部主管。历任香港证券及期货事务监察委员会发牌科经理、的</w:t>
      </w:r>
      <w:proofErr w:type="gramStart"/>
      <w:r w:rsidRPr="00EB17D2">
        <w:rPr>
          <w:rFonts w:ascii="宋体" w:hAnsi="宋体" w:hint="eastAsia"/>
          <w:sz w:val="24"/>
        </w:rPr>
        <w:t>近律师</w:t>
      </w:r>
      <w:proofErr w:type="gramEnd"/>
      <w:r w:rsidRPr="00EB17D2">
        <w:rPr>
          <w:rFonts w:ascii="宋体" w:hAnsi="宋体" w:hint="eastAsia"/>
          <w:sz w:val="24"/>
        </w:rPr>
        <w:t>行律师。</w:t>
      </w:r>
    </w:p>
    <w:p w14:paraId="24AF8CBC"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7DB6E07C"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黄伟峰先生，监事，硕士。现任交银施罗德基金管理有限公司高级专家、市场总监。历任平安人寿保险公司上海分公司行政督导、营销管理经理，交银施罗德基金管理有限公司行政部总经理助理、西部营销中心总经理、机构理财部（上海）总经理</w:t>
      </w:r>
      <w:proofErr w:type="gramStart"/>
      <w:r w:rsidRPr="00EB17D2">
        <w:rPr>
          <w:rFonts w:ascii="宋体" w:hAnsi="宋体" w:hint="eastAsia"/>
          <w:sz w:val="24"/>
        </w:rPr>
        <w:t>兼产品</w:t>
      </w:r>
      <w:proofErr w:type="gramEnd"/>
      <w:r w:rsidRPr="00EB17D2">
        <w:rPr>
          <w:rFonts w:ascii="宋体" w:hAnsi="宋体" w:hint="eastAsia"/>
          <w:sz w:val="24"/>
        </w:rPr>
        <w:t>开发部总经理。</w:t>
      </w:r>
    </w:p>
    <w:p w14:paraId="6BCEED3B"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3、基金管理人高级管理人员</w:t>
      </w:r>
    </w:p>
    <w:p w14:paraId="7C6FD7C2"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谢卫先生，总经理。简历同上。</w:t>
      </w:r>
    </w:p>
    <w:p w14:paraId="69B519E5"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63AF6019"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sidRPr="00EB17D2">
        <w:rPr>
          <w:rFonts w:ascii="宋体" w:hAnsi="宋体" w:hint="eastAsia"/>
          <w:sz w:val="24"/>
        </w:rPr>
        <w:t>风控副</w:t>
      </w:r>
      <w:proofErr w:type="gramEnd"/>
      <w:r w:rsidRPr="00EB17D2">
        <w:rPr>
          <w:rFonts w:ascii="宋体" w:hAnsi="宋体" w:hint="eastAsia"/>
          <w:sz w:val="24"/>
        </w:rPr>
        <w:t>总监、投资运营总监。</w:t>
      </w:r>
    </w:p>
    <w:p w14:paraId="7D6D0A50" w14:textId="77777777" w:rsidR="00EB17D2" w:rsidRDefault="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2C51099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w:t>
      </w:r>
      <w:proofErr w:type="gramStart"/>
      <w:r>
        <w:rPr>
          <w:rFonts w:ascii="宋体" w:hAnsi="宋体"/>
          <w:sz w:val="24"/>
        </w:rPr>
        <w:t>基金基金</w:t>
      </w:r>
      <w:proofErr w:type="gramEnd"/>
      <w:r>
        <w:rPr>
          <w:rFonts w:ascii="宋体" w:hAnsi="宋体"/>
          <w:sz w:val="24"/>
        </w:rPr>
        <w:t>经理</w:t>
      </w:r>
    </w:p>
    <w:p w14:paraId="3BE8CD14" w14:textId="4B4D905C" w:rsidR="001F702C" w:rsidRDefault="00BD18A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季参平先生:基金经理。美国密歇根大学金融工程硕士、对外经济贸易大学经济学学士，1</w:t>
      </w:r>
      <w:r w:rsidR="00325884">
        <w:rPr>
          <w:rFonts w:ascii="宋体" w:hAnsi="宋体"/>
          <w:sz w:val="24"/>
        </w:rPr>
        <w:t>1</w:t>
      </w:r>
      <w:r>
        <w:rPr>
          <w:rFonts w:ascii="宋体" w:hAnsi="宋体"/>
          <w:sz w:val="24"/>
        </w:rPr>
        <w:t>年金融行业从业经验。2012年至2017年任瑞士银行外汇和利率交易员、联席董事。2017年加入交银施罗德基金管理有限公司，现任固定收益</w:t>
      </w:r>
      <w:proofErr w:type="gramStart"/>
      <w:r>
        <w:rPr>
          <w:rFonts w:ascii="宋体" w:hAnsi="宋体"/>
          <w:sz w:val="24"/>
        </w:rPr>
        <w:t>部基金</w:t>
      </w:r>
      <w:proofErr w:type="gramEnd"/>
      <w:r>
        <w:rPr>
          <w:rFonts w:ascii="宋体" w:hAnsi="宋体"/>
          <w:sz w:val="24"/>
        </w:rPr>
        <w:t>经理。曾</w:t>
      </w:r>
      <w:proofErr w:type="gramStart"/>
      <w:r>
        <w:rPr>
          <w:rFonts w:ascii="宋体" w:hAnsi="宋体"/>
          <w:sz w:val="24"/>
        </w:rPr>
        <w:t>任基金</w:t>
      </w:r>
      <w:proofErr w:type="gramEnd"/>
      <w:r>
        <w:rPr>
          <w:rFonts w:ascii="宋体" w:hAnsi="宋体"/>
          <w:sz w:val="24"/>
        </w:rPr>
        <w:t>经理助理。</w:t>
      </w:r>
      <w:proofErr w:type="gramStart"/>
      <w:r>
        <w:rPr>
          <w:rFonts w:ascii="宋体" w:hAnsi="宋体"/>
          <w:sz w:val="24"/>
        </w:rPr>
        <w:t>曾任交银</w:t>
      </w:r>
      <w:proofErr w:type="gramEnd"/>
      <w:r>
        <w:rPr>
          <w:rFonts w:ascii="宋体" w:hAnsi="宋体"/>
          <w:sz w:val="24"/>
        </w:rPr>
        <w:t>施罗德天运宝货币市场基金(2019年07月26日至2019年09月18日)</w:t>
      </w:r>
      <w:r w:rsidR="00DD135E">
        <w:rPr>
          <w:rFonts w:ascii="宋体" w:hAnsi="宋体"/>
          <w:sz w:val="24"/>
        </w:rPr>
        <w:t>、交银施罗德中债1-3年政策性金融</w:t>
      </w:r>
      <w:proofErr w:type="gramStart"/>
      <w:r w:rsidR="00DD135E">
        <w:rPr>
          <w:rFonts w:ascii="宋体" w:hAnsi="宋体"/>
          <w:sz w:val="24"/>
        </w:rPr>
        <w:t>债指数</w:t>
      </w:r>
      <w:proofErr w:type="gramEnd"/>
      <w:r w:rsidR="00DD135E">
        <w:rPr>
          <w:rFonts w:ascii="宋体" w:hAnsi="宋体"/>
          <w:sz w:val="24"/>
        </w:rPr>
        <w:t>证券投资基金(2020年08月20日至</w:t>
      </w:r>
      <w:r w:rsidR="00332B13">
        <w:rPr>
          <w:rFonts w:ascii="宋体" w:hAnsi="宋体" w:hint="eastAsia"/>
          <w:sz w:val="24"/>
        </w:rPr>
        <w:t>2</w:t>
      </w:r>
      <w:r w:rsidR="00332B13">
        <w:rPr>
          <w:rFonts w:ascii="宋体" w:hAnsi="宋体"/>
          <w:sz w:val="24"/>
        </w:rPr>
        <w:t>023</w:t>
      </w:r>
      <w:r w:rsidR="00332B13">
        <w:rPr>
          <w:rFonts w:ascii="宋体" w:hAnsi="宋体" w:hint="eastAsia"/>
          <w:sz w:val="24"/>
        </w:rPr>
        <w:t>年0</w:t>
      </w:r>
      <w:r w:rsidR="00332B13">
        <w:rPr>
          <w:rFonts w:ascii="宋体" w:hAnsi="宋体"/>
          <w:sz w:val="24"/>
        </w:rPr>
        <w:t>8</w:t>
      </w:r>
      <w:r w:rsidR="00332B13">
        <w:rPr>
          <w:rFonts w:ascii="宋体" w:hAnsi="宋体" w:hint="eastAsia"/>
          <w:sz w:val="24"/>
        </w:rPr>
        <w:t>月</w:t>
      </w:r>
      <w:r w:rsidR="00332B13">
        <w:rPr>
          <w:rFonts w:ascii="宋体" w:hAnsi="宋体"/>
          <w:sz w:val="24"/>
        </w:rPr>
        <w:t>30</w:t>
      </w:r>
      <w:r w:rsidR="00332B13">
        <w:rPr>
          <w:rFonts w:ascii="宋体" w:hAnsi="宋体" w:hint="eastAsia"/>
          <w:sz w:val="24"/>
        </w:rPr>
        <w:t>日</w:t>
      </w:r>
      <w:r w:rsidR="00DD135E">
        <w:rPr>
          <w:rFonts w:ascii="宋体" w:hAnsi="宋体"/>
          <w:sz w:val="24"/>
        </w:rPr>
        <w:t>)、交银施罗德中债1-5年政策性金融</w:t>
      </w:r>
      <w:proofErr w:type="gramStart"/>
      <w:r w:rsidR="00DD135E">
        <w:rPr>
          <w:rFonts w:ascii="宋体" w:hAnsi="宋体"/>
          <w:sz w:val="24"/>
        </w:rPr>
        <w:t>债指数</w:t>
      </w:r>
      <w:proofErr w:type="gramEnd"/>
      <w:r w:rsidR="00DD135E">
        <w:rPr>
          <w:rFonts w:ascii="宋体" w:hAnsi="宋体"/>
          <w:sz w:val="24"/>
        </w:rPr>
        <w:t>证券投资基</w:t>
      </w:r>
      <w:r w:rsidR="00DD135E">
        <w:rPr>
          <w:rFonts w:ascii="宋体" w:hAnsi="宋体"/>
          <w:sz w:val="24"/>
        </w:rPr>
        <w:lastRenderedPageBreak/>
        <w:t>金(2022年06月08日至</w:t>
      </w:r>
      <w:r w:rsidR="000544F9" w:rsidRPr="000544F9">
        <w:rPr>
          <w:rFonts w:ascii="宋体" w:hAnsi="宋体" w:hint="eastAsia"/>
          <w:sz w:val="24"/>
        </w:rPr>
        <w:t>2023年11月15日</w:t>
      </w:r>
      <w:r w:rsidR="00DD135E">
        <w:rPr>
          <w:rFonts w:ascii="宋体" w:hAnsi="宋体"/>
          <w:sz w:val="24"/>
        </w:rPr>
        <w:t>)</w:t>
      </w:r>
      <w:r>
        <w:rPr>
          <w:rFonts w:ascii="宋体" w:hAnsi="宋体"/>
          <w:sz w:val="24"/>
        </w:rPr>
        <w:t>的基金经理。现任交银施罗德现金宝货币市场基金(2019年07月26日至今)、交银施罗德天</w:t>
      </w:r>
      <w:proofErr w:type="gramStart"/>
      <w:r>
        <w:rPr>
          <w:rFonts w:ascii="宋体" w:hAnsi="宋体"/>
          <w:sz w:val="24"/>
        </w:rPr>
        <w:t>鑫</w:t>
      </w:r>
      <w:proofErr w:type="gramEnd"/>
      <w:r>
        <w:rPr>
          <w:rFonts w:ascii="宋体" w:hAnsi="宋体"/>
          <w:sz w:val="24"/>
        </w:rPr>
        <w:t>宝货币市场基金(2019年07月26日至今)、交银施罗德货币市场证券投资基金(2019年07月26日至今)、交银施罗德裕</w:t>
      </w:r>
      <w:proofErr w:type="gramStart"/>
      <w:r>
        <w:rPr>
          <w:rFonts w:ascii="宋体" w:hAnsi="宋体"/>
          <w:sz w:val="24"/>
        </w:rPr>
        <w:t>通纯债</w:t>
      </w:r>
      <w:proofErr w:type="gramEnd"/>
      <w:r>
        <w:rPr>
          <w:rFonts w:ascii="宋体" w:hAnsi="宋体"/>
          <w:sz w:val="24"/>
        </w:rPr>
        <w:t>债券型证券投资基金(2019年10月12日至今)、交银施罗德裕</w:t>
      </w:r>
      <w:proofErr w:type="gramStart"/>
      <w:r>
        <w:rPr>
          <w:rFonts w:ascii="宋体" w:hAnsi="宋体"/>
          <w:sz w:val="24"/>
        </w:rPr>
        <w:t>祥纯债</w:t>
      </w:r>
      <w:proofErr w:type="gramEnd"/>
      <w:r>
        <w:rPr>
          <w:rFonts w:ascii="宋体" w:hAnsi="宋体"/>
          <w:sz w:val="24"/>
        </w:rPr>
        <w:t>债券型证券投资基金(2020年07月09日至今)、交银施罗德中债1-3年农发行债券指数证券投资基金(2021年08月19日至今)、交银施罗德丰润收益债券型证券投资基金(2021年08月19日至今)、交银施罗德裕</w:t>
      </w:r>
      <w:proofErr w:type="gramStart"/>
      <w:r>
        <w:rPr>
          <w:rFonts w:ascii="宋体" w:hAnsi="宋体"/>
          <w:sz w:val="24"/>
        </w:rPr>
        <w:t>景纯债</w:t>
      </w:r>
      <w:proofErr w:type="gramEnd"/>
      <w:r>
        <w:rPr>
          <w:rFonts w:ascii="宋体" w:hAnsi="宋体"/>
          <w:sz w:val="24"/>
        </w:rPr>
        <w:t>一年定期开放债券型证券投资基金(2021年09月09日至今)、交银施罗德</w:t>
      </w:r>
      <w:proofErr w:type="gramStart"/>
      <w:r>
        <w:rPr>
          <w:rFonts w:ascii="宋体" w:hAnsi="宋体"/>
          <w:sz w:val="24"/>
        </w:rPr>
        <w:t>裕道纯债</w:t>
      </w:r>
      <w:proofErr w:type="gramEnd"/>
      <w:r>
        <w:rPr>
          <w:rFonts w:ascii="宋体" w:hAnsi="宋体"/>
          <w:sz w:val="24"/>
        </w:rPr>
        <w:t>一年定期开放债券型发起式证券投资基金(2022年03月29日至今)的基金经理。</w:t>
      </w:r>
    </w:p>
    <w:p w14:paraId="6D104417" w14:textId="27B3CD52"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张顺晨女士:基金经理</w:t>
      </w:r>
      <w:r w:rsidR="00325884">
        <w:rPr>
          <w:rFonts w:ascii="宋体" w:hAnsi="宋体" w:hint="eastAsia"/>
          <w:sz w:val="24"/>
        </w:rPr>
        <w:t>。</w:t>
      </w:r>
      <w:r>
        <w:rPr>
          <w:rFonts w:ascii="宋体" w:hAnsi="宋体"/>
          <w:sz w:val="24"/>
        </w:rPr>
        <w:t>上海财经大学金融学博士。2016年至2017年任国金证券研究所研究员。2017年加入交银施罗德基金管理有限公司，历任固定收益部研究员，基金经理助理。现任交银施罗德增利债券证券投资基金(2023年06月09日至今)、交银施罗德裕泰两年定期开放债券型证券投资基金(2023年06月09日至今)、交银施罗德</w:t>
      </w:r>
      <w:proofErr w:type="gramStart"/>
      <w:r>
        <w:rPr>
          <w:rFonts w:ascii="宋体" w:hAnsi="宋体"/>
          <w:sz w:val="24"/>
        </w:rPr>
        <w:t>裕坤纯债</w:t>
      </w:r>
      <w:proofErr w:type="gramEnd"/>
      <w:r>
        <w:rPr>
          <w:rFonts w:ascii="宋体" w:hAnsi="宋体"/>
          <w:sz w:val="24"/>
        </w:rPr>
        <w:t>一年定期开放债券型发起式证券投资基金(2023年06月09日至今)、交银施罗德</w:t>
      </w:r>
      <w:proofErr w:type="gramStart"/>
      <w:r>
        <w:rPr>
          <w:rFonts w:ascii="宋体" w:hAnsi="宋体"/>
          <w:sz w:val="24"/>
        </w:rPr>
        <w:t>裕如纯债债券</w:t>
      </w:r>
      <w:proofErr w:type="gramEnd"/>
      <w:r>
        <w:rPr>
          <w:rFonts w:ascii="宋体" w:hAnsi="宋体"/>
          <w:sz w:val="24"/>
        </w:rPr>
        <w:t>型证券投资基金(2023年06月09日至今)、交银施罗德</w:t>
      </w:r>
      <w:proofErr w:type="gramStart"/>
      <w:r>
        <w:rPr>
          <w:rFonts w:ascii="宋体" w:hAnsi="宋体"/>
          <w:sz w:val="24"/>
        </w:rPr>
        <w:t>鑫</w:t>
      </w:r>
      <w:proofErr w:type="gramEnd"/>
      <w:r>
        <w:rPr>
          <w:rFonts w:ascii="宋体" w:hAnsi="宋体"/>
          <w:sz w:val="24"/>
        </w:rPr>
        <w:t>选回报混合型证券投资基金(2023年06月09日至今)、交银施罗德裕</w:t>
      </w:r>
      <w:proofErr w:type="gramStart"/>
      <w:r>
        <w:rPr>
          <w:rFonts w:ascii="宋体" w:hAnsi="宋体"/>
          <w:sz w:val="24"/>
        </w:rPr>
        <w:t>景纯债</w:t>
      </w:r>
      <w:proofErr w:type="gramEnd"/>
      <w:r>
        <w:rPr>
          <w:rFonts w:ascii="宋体" w:hAnsi="宋体"/>
          <w:sz w:val="24"/>
        </w:rPr>
        <w:t>一年定期开放债券型证券投资基金(2023年06月09日至今)、交银施罗德中债1-3年农发行债券指数证券投资基金(2023年06月09日至今)</w:t>
      </w:r>
      <w:r w:rsidR="00EB183E">
        <w:rPr>
          <w:rFonts w:ascii="宋体" w:hAnsi="宋体"/>
          <w:sz w:val="24"/>
        </w:rPr>
        <w:t>、交银施罗德中债1-3年政策性金融</w:t>
      </w:r>
      <w:proofErr w:type="gramStart"/>
      <w:r w:rsidR="00EB183E">
        <w:rPr>
          <w:rFonts w:ascii="宋体" w:hAnsi="宋体"/>
          <w:sz w:val="24"/>
        </w:rPr>
        <w:t>债指数</w:t>
      </w:r>
      <w:proofErr w:type="gramEnd"/>
      <w:r w:rsidR="00EB183E">
        <w:rPr>
          <w:rFonts w:ascii="宋体" w:hAnsi="宋体"/>
          <w:sz w:val="24"/>
        </w:rPr>
        <w:t>证券投资基金(</w:t>
      </w:r>
      <w:r w:rsidR="000C6E28">
        <w:rPr>
          <w:rFonts w:ascii="宋体" w:hAnsi="宋体" w:hint="eastAsia"/>
          <w:sz w:val="24"/>
        </w:rPr>
        <w:t>2</w:t>
      </w:r>
      <w:r w:rsidR="000C6E28">
        <w:rPr>
          <w:rFonts w:ascii="宋体" w:hAnsi="宋体"/>
          <w:sz w:val="24"/>
        </w:rPr>
        <w:t>023</w:t>
      </w:r>
      <w:r w:rsidR="000C6E28">
        <w:rPr>
          <w:rFonts w:ascii="宋体" w:hAnsi="宋体" w:hint="eastAsia"/>
          <w:sz w:val="24"/>
        </w:rPr>
        <w:t>年0</w:t>
      </w:r>
      <w:r w:rsidR="000C6E28">
        <w:rPr>
          <w:rFonts w:ascii="宋体" w:hAnsi="宋体"/>
          <w:sz w:val="24"/>
        </w:rPr>
        <w:t>8</w:t>
      </w:r>
      <w:r w:rsidR="000C6E28">
        <w:rPr>
          <w:rFonts w:ascii="宋体" w:hAnsi="宋体" w:hint="eastAsia"/>
          <w:sz w:val="24"/>
        </w:rPr>
        <w:t>月2</w:t>
      </w:r>
      <w:r w:rsidR="000C6E28">
        <w:rPr>
          <w:rFonts w:ascii="宋体" w:hAnsi="宋体"/>
          <w:sz w:val="24"/>
        </w:rPr>
        <w:t>3</w:t>
      </w:r>
      <w:r w:rsidR="000C6E28">
        <w:rPr>
          <w:rFonts w:ascii="宋体" w:hAnsi="宋体" w:hint="eastAsia"/>
          <w:sz w:val="24"/>
        </w:rPr>
        <w:t>至今</w:t>
      </w:r>
      <w:r w:rsidR="00EB183E">
        <w:rPr>
          <w:rFonts w:ascii="宋体" w:hAnsi="宋体"/>
          <w:sz w:val="24"/>
        </w:rPr>
        <w:t>)</w:t>
      </w:r>
      <w:r>
        <w:rPr>
          <w:rFonts w:ascii="宋体" w:hAnsi="宋体"/>
          <w:sz w:val="24"/>
        </w:rPr>
        <w:t>的基金经理。</w:t>
      </w:r>
    </w:p>
    <w:p w14:paraId="24111FA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3FF899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魏玉敏女士(2019年01月23日至2021年12月16日)。</w:t>
      </w:r>
    </w:p>
    <w:p w14:paraId="3F2938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2B594B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1BB73CB4" w14:textId="79A7FF8C"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5FA077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2A1030E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4A3113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57C0C3E1" w14:textId="2DA374E8"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w:t>
      </w:r>
      <w:r w:rsidR="0037431D">
        <w:rPr>
          <w:rFonts w:ascii="宋体" w:hAnsi="宋体"/>
          <w:sz w:val="24"/>
        </w:rPr>
        <w:t>202</w:t>
      </w:r>
      <w:r w:rsidR="00EA2E81">
        <w:rPr>
          <w:rFonts w:ascii="宋体" w:hAnsi="宋体"/>
          <w:sz w:val="24"/>
        </w:rPr>
        <w:t>3</w:t>
      </w:r>
      <w:r>
        <w:rPr>
          <w:rFonts w:ascii="宋体" w:hAnsi="宋体"/>
          <w:sz w:val="24"/>
        </w:rPr>
        <w:t>年</w:t>
      </w:r>
      <w:r w:rsidR="00EA2E81">
        <w:rPr>
          <w:rFonts w:ascii="宋体" w:hAnsi="宋体"/>
          <w:sz w:val="24"/>
        </w:rPr>
        <w:t>12</w:t>
      </w:r>
      <w:r>
        <w:rPr>
          <w:rFonts w:ascii="宋体" w:hAnsi="宋体"/>
          <w:sz w:val="24"/>
        </w:rPr>
        <w:t>月</w:t>
      </w:r>
      <w:r w:rsidR="00EA2E81">
        <w:rPr>
          <w:rFonts w:ascii="宋体" w:hAnsi="宋体"/>
          <w:sz w:val="24"/>
        </w:rPr>
        <w:t>14</w:t>
      </w:r>
      <w:r>
        <w:rPr>
          <w:rFonts w:ascii="宋体" w:hAnsi="宋体"/>
          <w:sz w:val="24"/>
        </w:rPr>
        <w:t>日，期后变动（如有）敬请关注基金管理人发布的相关公告。</w:t>
      </w:r>
    </w:p>
    <w:p w14:paraId="19277A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1A95A8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1、依法募集资金，办理或者委托经中国证监会认定的其他机构办理基金份额的发售、申购、赎回和登记事宜；</w:t>
      </w:r>
    </w:p>
    <w:p w14:paraId="7A6A32D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572D172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77DE24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201B2F9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4DFCA3E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70294AD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7B28AC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627897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4759ABB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561CB87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26DD56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145862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1DC7826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09E32C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6B2A08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469EE8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595A75A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7E618D2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7F70A4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1F6C36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（6）泄露因职务便利获取的未公开信息、利用该信息从事或者明示、暗示他人从事相关的交易活动；</w:t>
      </w:r>
    </w:p>
    <w:p w14:paraId="157E6D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（7）玩忽职守，不按照规定履行职责；</w:t>
      </w:r>
    </w:p>
    <w:p w14:paraId="2E4CCE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（8）法律、行政法规和中国证监会禁止的其他行为。</w:t>
      </w:r>
    </w:p>
    <w:p w14:paraId="538F93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3、基金管理人承诺严格遵守基金合同，并承诺建立健全内部控制制度，采取有效措施，防止违反基金合同行为的发生；</w:t>
      </w:r>
    </w:p>
    <w:p w14:paraId="4612FF3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61D4A4D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35C47BC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4DCCAF6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4071A17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624B27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782A82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11DE29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12F345F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19D10C6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3D65B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517AAC6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6A342A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6E3C529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1B3A1A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1F0D81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643AA2E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3887EE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1E2FBD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BE4F88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（1）董事会</w:t>
      </w:r>
    </w:p>
    <w:p w14:paraId="6A1ED8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3C6D9D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542D211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625BD8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14:paraId="78861DD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t>性审议；对公司资产与基金资产的经营进行评估。</w:t>
      </w:r>
    </w:p>
    <w:p w14:paraId="4C32FA4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5AB91C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A97E9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00D9097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214DC55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3F989F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5D18CD2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1B82526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宋体" w:hAnsi="宋体"/>
          <w:sz w:val="24"/>
        </w:rPr>
        <w:t>规</w:t>
      </w:r>
      <w:proofErr w:type="gramEnd"/>
      <w:r>
        <w:rPr>
          <w:rFonts w:ascii="宋体" w:hAnsi="宋体"/>
          <w:sz w:val="24"/>
        </w:rPr>
        <w:t>经营目标。</w:t>
      </w:r>
    </w:p>
    <w:p w14:paraId="719F934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w:t>
      </w:r>
      <w:proofErr w:type="gramStart"/>
      <w:r>
        <w:rPr>
          <w:rFonts w:ascii="宋体" w:hAnsi="宋体"/>
          <w:sz w:val="24"/>
        </w:rPr>
        <w:t>规</w:t>
      </w:r>
      <w:proofErr w:type="gramEnd"/>
      <w:r>
        <w:rPr>
          <w:rFonts w:ascii="宋体" w:hAnsi="宋体"/>
          <w:sz w:val="24"/>
        </w:rPr>
        <w:t>部</w:t>
      </w:r>
    </w:p>
    <w:p w14:paraId="11E1F98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w:t>
      </w:r>
      <w:proofErr w:type="gramStart"/>
      <w:r>
        <w:rPr>
          <w:rFonts w:ascii="宋体" w:hAnsi="宋体"/>
          <w:sz w:val="24"/>
        </w:rPr>
        <w:t>规</w:t>
      </w:r>
      <w:proofErr w:type="gramEnd"/>
      <w:r>
        <w:rPr>
          <w:rFonts w:ascii="宋体" w:hAnsi="宋体"/>
          <w:sz w:val="24"/>
        </w:rPr>
        <w:t>部负责公司的法律、合</w:t>
      </w:r>
      <w:proofErr w:type="gramStart"/>
      <w:r>
        <w:rPr>
          <w:rFonts w:ascii="宋体" w:hAnsi="宋体"/>
          <w:sz w:val="24"/>
        </w:rPr>
        <w:t>规</w:t>
      </w:r>
      <w:proofErr w:type="gramEnd"/>
      <w:r>
        <w:rPr>
          <w:rFonts w:ascii="宋体" w:hAnsi="宋体"/>
          <w:sz w:val="24"/>
        </w:rPr>
        <w:t>事务及协调实施信息披露事务，依法维护公司合法权益，评估并处理公司运营中发生的法律、合</w:t>
      </w:r>
      <w:proofErr w:type="gramStart"/>
      <w:r>
        <w:rPr>
          <w:rFonts w:ascii="宋体" w:hAnsi="宋体"/>
          <w:sz w:val="24"/>
        </w:rPr>
        <w:t>规</w:t>
      </w:r>
      <w:proofErr w:type="gramEnd"/>
      <w:r>
        <w:rPr>
          <w:rFonts w:ascii="宋体" w:hAnsi="宋体"/>
          <w:sz w:val="24"/>
        </w:rPr>
        <w:t>及信息披露相关问题，及时向公司管理层及全体员工传达法规及监管要求。</w:t>
      </w:r>
    </w:p>
    <w:p w14:paraId="252EE8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（9）业务部门</w:t>
      </w:r>
    </w:p>
    <w:p w14:paraId="139DD14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28737F1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71E07D4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4C3430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0939ED0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0E47C26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71FA73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30331C3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33CE48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0BB9193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14:paraId="5708A83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02296AD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09F5A54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2FD2A4C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3F09680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66E82F5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746D0281"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5061044" w14:textId="77777777" w:rsidR="001F702C" w:rsidRDefault="00BD18A1">
      <w:pPr>
        <w:pStyle w:val="1"/>
        <w:snapToGrid w:val="0"/>
        <w:spacing w:beforeLines="0" w:before="240" w:after="240"/>
        <w:rPr>
          <w:rFonts w:ascii="宋体" w:hAnsi="宋体"/>
          <w:szCs w:val="30"/>
        </w:rPr>
      </w:pPr>
      <w:bookmarkStart w:id="7" w:name="_Toc140049408"/>
      <w:r>
        <w:rPr>
          <w:rFonts w:ascii="Times New Roman" w:hAnsi="Times New Roman"/>
          <w:sz w:val="30"/>
        </w:rPr>
        <w:lastRenderedPageBreak/>
        <w:t>四、基金托管人</w:t>
      </w:r>
      <w:bookmarkEnd w:id="7"/>
    </w:p>
    <w:p w14:paraId="24AACEDB"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47CE6C5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551F3C1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名称：中国光大银行股份有限公司</w:t>
      </w:r>
    </w:p>
    <w:p w14:paraId="2A5038A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住所及办公地址：北京市西城区太平桥大街25 号、甲25 号中国光大中心</w:t>
      </w:r>
    </w:p>
    <w:p w14:paraId="629B699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成立日期：1992年6月18日</w:t>
      </w:r>
    </w:p>
    <w:p w14:paraId="7F2F96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批准设立机关和批准设立文号：国务院、国函[1992]7号</w:t>
      </w:r>
    </w:p>
    <w:p w14:paraId="5FA537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60579FE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注册资本：466.79095亿元人民币</w:t>
      </w:r>
    </w:p>
    <w:p w14:paraId="1C9D55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法定代表人：王江</w:t>
      </w:r>
    </w:p>
    <w:p w14:paraId="5ADC62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w:t>
      </w:r>
      <w:proofErr w:type="gramStart"/>
      <w:r>
        <w:rPr>
          <w:rFonts w:ascii="宋体" w:hAnsi="宋体"/>
          <w:sz w:val="24"/>
        </w:rPr>
        <w:t>证监基字</w:t>
      </w:r>
      <w:proofErr w:type="gramEnd"/>
      <w:r>
        <w:rPr>
          <w:rFonts w:ascii="宋体" w:hAnsi="宋体"/>
          <w:sz w:val="24"/>
        </w:rPr>
        <w:t>【2002】75号</w:t>
      </w:r>
    </w:p>
    <w:p w14:paraId="53B2F2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资产托管部总经理：李守靖</w:t>
      </w:r>
    </w:p>
    <w:p w14:paraId="12FE54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 63636363</w:t>
      </w:r>
    </w:p>
    <w:p w14:paraId="41F579D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 63639132</w:t>
      </w:r>
    </w:p>
    <w:p w14:paraId="01504C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00874C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14:paraId="617EDDD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董事长王江先生，自2022年8月起任本行董事长、2022年3月起任本行党委书记。现任中国光大集团股份公司党委书记、董事长，兼任中国光大集团股份公司党校校长、中国光大集团有限公司董事长。曾任中国建设银行山东省分行信贷风险管理处副处长，山东省德州市分行行长，山东省分行党委副书记、副行长，湖北省分行党委书记、行长，上海市分行党委书记、行长；交通银行党委委员、副行长；江苏省副省长；中国银行党委副书记、副董事长、行长；中国建设银行党委副书记、副董事长、行长。获经济学博士学位。第十三届全国人大代表，第十四届全国政协委员。</w:t>
      </w:r>
    </w:p>
    <w:p w14:paraId="5B11F5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王志恒先生，自2023年3月起任本行执行董事、行长，2022年12月起任本行党委副书记。现任中国光大集团股份公司党委委员、执行董事。曾任中国银行总行公司业务部公司规划处副处长，总行人力资源部主管、副总经理，广东省分行党委委员、副行长，青海省分行党委书记、行长，总行党委组织部部长、人力资源部总经理，北京市分行党委书记、行长，总行党委委员、副行长。获经济学硕士学</w:t>
      </w:r>
      <w:r>
        <w:rPr>
          <w:rFonts w:ascii="宋体" w:hAnsi="宋体"/>
          <w:sz w:val="24"/>
        </w:rPr>
        <w:lastRenderedPageBreak/>
        <w:t>位，经济师。</w:t>
      </w:r>
    </w:p>
    <w:p w14:paraId="5AF7D6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资产托管部总经理李守靖先生，曾任中国光大银行海口分行部门总经理，行长助理，副行长；中国光大银行南宁分行副行长（主持工作）、行长。现任中国光大银行资产托管部总经理。</w:t>
      </w:r>
    </w:p>
    <w:p w14:paraId="70E90E7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3、证券投资基金托管情况</w:t>
      </w:r>
    </w:p>
    <w:p w14:paraId="37DC343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2023年6月30日，中国光大银行股份有限公司托管公开募集证券投资基金共314只，托管基金资产规模6351.28亿元。同时，开展了证券公司资产管理计划、基金公司客户资产管理计划、职业年金、企业年金、QDII、QFII、银行理财、保险债权投资计划等资产的托管及信托公司资金信托计划、产业投资基金、股权基金等产品的保管业务。</w:t>
      </w:r>
    </w:p>
    <w:p w14:paraId="15CCAF5A"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（二）基金托管人的内部控制制度</w:t>
      </w:r>
    </w:p>
    <w:p w14:paraId="686FC3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229C60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6439DC8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2、内部控制的原则</w:t>
      </w:r>
    </w:p>
    <w:p w14:paraId="1ACE1B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（1）全面性原则。内部控制必须渗透到基金托管业务的各个操作环节，覆盖所有的岗位，不留任何死角。</w:t>
      </w:r>
    </w:p>
    <w:p w14:paraId="6FF882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（2）预防性原则。树立“预防为主”的管理理念，从风险发生的源头加强内部控制，防患于未然，尽量避免业务操作中各种问题的产生。</w:t>
      </w:r>
    </w:p>
    <w:p w14:paraId="2BA9B1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（3）及时性原则。建立健全各项规章制度，采取有效措施加强内部控制。发现问题，及时处理，堵塞漏洞。</w:t>
      </w:r>
    </w:p>
    <w:p w14:paraId="2818177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（4）独立性原则。基金托管业务内部控制机构独立于基金托管业务执行机构，业务操作人员和内控人员分开，以保证内控机构的工作不受干扰。</w:t>
      </w:r>
    </w:p>
    <w:p w14:paraId="3F48F6F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3、内部控制组织结构</w:t>
      </w:r>
    </w:p>
    <w:p w14:paraId="6D37273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w:t>
      </w:r>
      <w:r>
        <w:rPr>
          <w:rFonts w:ascii="宋体" w:hAnsi="宋体"/>
          <w:sz w:val="24"/>
        </w:rPr>
        <w:lastRenderedPageBreak/>
        <w:t>控督察体系，设立了投资监督与内控合</w:t>
      </w:r>
      <w:proofErr w:type="gramStart"/>
      <w:r>
        <w:rPr>
          <w:rFonts w:ascii="宋体" w:hAnsi="宋体"/>
          <w:sz w:val="24"/>
        </w:rPr>
        <w:t>规</w:t>
      </w:r>
      <w:proofErr w:type="gramEnd"/>
      <w:r>
        <w:rPr>
          <w:rFonts w:ascii="宋体" w:hAnsi="宋体"/>
          <w:sz w:val="24"/>
        </w:rPr>
        <w:t>处，负责证券投资基金托管业务的内控管理。</w:t>
      </w:r>
    </w:p>
    <w:p w14:paraId="77E744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4、内部控制制度</w:t>
      </w:r>
    </w:p>
    <w:p w14:paraId="7E4A9A6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光大银行股份有限公司资产托管部自成立以来严格遵照《基金法》、《中华人民共和国商业银行法》、《信息披露管理办法》、《运作办法》、《销售办法》等法律、法规的要求，并根据相关法律法规制订、完善了《中国光大银行证券投资基金托管业务内部控制规定》、《中国光大银行资产托管部保密规定》等十余项规章制度和实施细则，将风险控制落实到每一个工作环节。中国光大银行资产托管部以控制和防范基金托管业务风险为主线，在重要岗位（基金清算、基金核算、投资监督）还建立了安全保密区，安装了录像监视系统和录音监听系统，以保障基金信息的安全。</w:t>
      </w:r>
    </w:p>
    <w:p w14:paraId="0F11FE1E"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14:paraId="404E8E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和基金合同等的要求，基金托管人主要通过定性和定量相结合、事前监督和事后控制相结合、技术与人工监督相结合等方式方法，对基金投资范围、投资组合比例每日进行监督；同时，对基金管理人就基金资产净值的计算、基金管理人和基金托管人报酬的计提和支付、基金收益分配、基金费用支付等行为的合法性、合</w:t>
      </w:r>
      <w:proofErr w:type="gramStart"/>
      <w:r>
        <w:rPr>
          <w:rFonts w:ascii="宋体" w:hAnsi="宋体"/>
          <w:sz w:val="24"/>
        </w:rPr>
        <w:t>规</w:t>
      </w:r>
      <w:proofErr w:type="gramEnd"/>
      <w:r>
        <w:rPr>
          <w:rFonts w:ascii="宋体" w:hAnsi="宋体"/>
          <w:sz w:val="24"/>
        </w:rPr>
        <w:t>性进行监督和核查。</w:t>
      </w:r>
    </w:p>
    <w:p w14:paraId="20B426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违反法律、法规和基金合同等规定的行为，及时以邮件、电话或书面等形式通知基金管理人限期纠正，基金管理人收到通知后应及时核对确认并以邮件或书面形式对基金托管人发出回函。在限期内，基金托管人有权随时对通知事项进行复查。基金管理人对基金托管人通知的违规事项未能在限期内纠正的，基金托管人应报告中国证监会。</w:t>
      </w:r>
    </w:p>
    <w:p w14:paraId="3A40B853"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EC10AE" w14:textId="77777777" w:rsidR="001F702C" w:rsidRDefault="00BD18A1">
      <w:pPr>
        <w:pStyle w:val="1"/>
        <w:snapToGrid w:val="0"/>
        <w:spacing w:beforeLines="0" w:before="240" w:after="240"/>
        <w:rPr>
          <w:rFonts w:ascii="宋体" w:hAnsi="宋体"/>
          <w:szCs w:val="30"/>
        </w:rPr>
      </w:pPr>
      <w:bookmarkStart w:id="8" w:name="_Toc140049409"/>
      <w:r>
        <w:rPr>
          <w:rFonts w:ascii="Times New Roman" w:hAnsi="Times New Roman"/>
          <w:sz w:val="30"/>
        </w:rPr>
        <w:lastRenderedPageBreak/>
        <w:t>五、相关服务机构</w:t>
      </w:r>
      <w:bookmarkEnd w:id="8"/>
    </w:p>
    <w:p w14:paraId="7E48DC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4C4C368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22D5F6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本基金直销机构为基金管理人直销柜台以及基金管理人的网上直销交易平台（网站及手机APP，下同）。</w:t>
      </w:r>
    </w:p>
    <w:p w14:paraId="056CAA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34D8698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D55F6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15E8FE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26819F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55DA9C0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EA1C9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5FB5B2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8906C1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378ED0F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CF49409" w14:textId="2E708910"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个人投资者可以通过基金管理人网上直销交易平台办理开户、本基金的申购、赎回、转换以及A类基金份额</w:t>
      </w:r>
      <w:r w:rsidR="009B698D">
        <w:rPr>
          <w:rFonts w:ascii="宋体" w:hAnsi="宋体" w:hint="eastAsia"/>
          <w:sz w:val="24"/>
        </w:rPr>
        <w:t>和D类基金份额</w:t>
      </w:r>
      <w:r>
        <w:rPr>
          <w:rFonts w:ascii="宋体" w:hAnsi="宋体"/>
          <w:sz w:val="24"/>
        </w:rPr>
        <w:t>的定期定额投资等业务，具体交易细则请参阅基金管理人网站。</w:t>
      </w:r>
    </w:p>
    <w:p w14:paraId="4DE00F7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27BDF4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39436D52" w14:textId="77777777" w:rsidR="009B698D" w:rsidRDefault="009B698D" w:rsidP="009B698D">
      <w:pPr>
        <w:autoSpaceDE w:val="0"/>
        <w:autoSpaceDN w:val="0"/>
        <w:adjustRightInd w:val="0"/>
        <w:snapToGrid w:val="0"/>
        <w:spacing w:line="360" w:lineRule="auto"/>
        <w:ind w:firstLineChars="200" w:firstLine="480"/>
        <w:jc w:val="left"/>
        <w:rPr>
          <w:rFonts w:ascii="宋体" w:hAnsi="宋体"/>
          <w:sz w:val="24"/>
        </w:rPr>
      </w:pPr>
      <w:r w:rsidRPr="002D387B">
        <w:rPr>
          <w:rFonts w:ascii="宋体" w:hAnsi="宋体" w:hint="eastAsia"/>
          <w:sz w:val="24"/>
        </w:rPr>
        <w:t>本基金A类基金份额和C类基金份额除直销机构外的其他销售机构：</w:t>
      </w:r>
    </w:p>
    <w:p w14:paraId="3D65AC5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0090C10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新区银</w:t>
      </w:r>
      <w:proofErr w:type="gramEnd"/>
      <w:r>
        <w:rPr>
          <w:rFonts w:ascii="宋体" w:hAnsi="宋体"/>
          <w:sz w:val="24"/>
        </w:rPr>
        <w:t>城中路188号</w:t>
      </w:r>
    </w:p>
    <w:p w14:paraId="4C4ABB7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新区银</w:t>
      </w:r>
      <w:proofErr w:type="gramEnd"/>
      <w:r>
        <w:rPr>
          <w:rFonts w:ascii="宋体" w:hAnsi="宋体"/>
          <w:sz w:val="24"/>
        </w:rPr>
        <w:t>城中路188号</w:t>
      </w:r>
    </w:p>
    <w:p w14:paraId="6A073A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325CE7A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312F6AE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0325D2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5D0D22E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5BFFEF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网址：www.bankcomm.com</w:t>
      </w:r>
    </w:p>
    <w:p w14:paraId="049E6E3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（2）名称：平安银行股份有限公司</w:t>
      </w:r>
    </w:p>
    <w:p w14:paraId="4CF66A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2456FD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383F797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14:paraId="7622A60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2A498E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62F16FA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635570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5FCC8A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44EA14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（3）名称：宁波银行股份有限公司</w:t>
      </w:r>
    </w:p>
    <w:p w14:paraId="632E226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7BEA4F8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66FB1D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4A986DE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54BCE94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胡技勋</w:t>
      </w:r>
      <w:proofErr w:type="gramEnd"/>
    </w:p>
    <w:p w14:paraId="6E4DD84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3B6FF2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50C304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（4）名称：招商银行股份有限公司</w:t>
      </w:r>
    </w:p>
    <w:p w14:paraId="64976F5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209808B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03925A3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209B1F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7A1774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70E845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19B270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6D830A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573F82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（5）名称：兴业银行股份有限公司</w:t>
      </w:r>
    </w:p>
    <w:p w14:paraId="3A87B8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14:paraId="03CDFFE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新区银</w:t>
      </w:r>
      <w:proofErr w:type="gramEnd"/>
      <w:r>
        <w:rPr>
          <w:rFonts w:ascii="宋体" w:hAnsi="宋体"/>
          <w:sz w:val="24"/>
        </w:rPr>
        <w:t>城路 167 号兴业银行大厦</w:t>
      </w:r>
    </w:p>
    <w:p w14:paraId="10DF871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法定代表人：吕家进</w:t>
      </w:r>
    </w:p>
    <w:p w14:paraId="6A4EDB2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14:paraId="6E39E71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14:paraId="3E63569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14:paraId="03FDB4C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14:paraId="370DDD1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（6）名称：东方财富证券股份有限公司</w:t>
      </w:r>
    </w:p>
    <w:p w14:paraId="29E678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14:paraId="09A29C8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14:paraId="3E5BF6D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14:paraId="691912A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14:paraId="01EDA9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14:paraId="159022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14:paraId="55756E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14:paraId="152BC1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14:paraId="4AB965D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（7）名称：广发证券股份有限公司</w:t>
      </w:r>
    </w:p>
    <w:p w14:paraId="458413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76DA3F3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w:t>
      </w:r>
      <w:proofErr w:type="gramStart"/>
      <w:r>
        <w:rPr>
          <w:rFonts w:ascii="宋体" w:hAnsi="宋体"/>
          <w:sz w:val="24"/>
        </w:rPr>
        <w:t>马场路</w:t>
      </w:r>
      <w:proofErr w:type="gramEnd"/>
      <w:r>
        <w:rPr>
          <w:rFonts w:ascii="宋体" w:hAnsi="宋体"/>
          <w:sz w:val="24"/>
        </w:rPr>
        <w:t>26号广发证券大厦</w:t>
      </w:r>
    </w:p>
    <w:p w14:paraId="2DB90F9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2F987E4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08325D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0F42E89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马梦洁</w:t>
      </w:r>
      <w:proofErr w:type="gramEnd"/>
    </w:p>
    <w:p w14:paraId="14E2976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53D7A9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1382243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（8）名称：海通证券股份有限公司</w:t>
      </w:r>
    </w:p>
    <w:p w14:paraId="02B488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62EE48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6A63E7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15A8B92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04D33D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36D7CE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1026DD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客户服务电话：95553或拨打各城市营业网点咨询电话</w:t>
      </w:r>
    </w:p>
    <w:p w14:paraId="3E0D72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24F0D5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（9）名称：华西证券股份有限公司</w:t>
      </w:r>
    </w:p>
    <w:p w14:paraId="462B472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055518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2CAC140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6089F96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2831FD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20E80D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01633FC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5791CF3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0FC848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（10）名称：上海基</w:t>
      </w:r>
      <w:proofErr w:type="gramStart"/>
      <w:r>
        <w:rPr>
          <w:rFonts w:ascii="宋体" w:hAnsi="宋体"/>
          <w:sz w:val="24"/>
        </w:rPr>
        <w:t>煜</w:t>
      </w:r>
      <w:proofErr w:type="gramEnd"/>
      <w:r>
        <w:rPr>
          <w:rFonts w:ascii="宋体" w:hAnsi="宋体"/>
          <w:sz w:val="24"/>
        </w:rPr>
        <w:t>基金销售有限公司</w:t>
      </w:r>
    </w:p>
    <w:p w14:paraId="1187C20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202C0C3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54DC98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2DDC0B1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6DA30E7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236E7D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60DD703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2A2633F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16A534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（11）名称：北京汇成基金销售有限公司</w:t>
      </w:r>
    </w:p>
    <w:p w14:paraId="5ACD607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13FB12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w:t>
      </w:r>
      <w:proofErr w:type="gramStart"/>
      <w:r>
        <w:rPr>
          <w:rFonts w:ascii="宋体" w:hAnsi="宋体"/>
          <w:sz w:val="24"/>
        </w:rPr>
        <w:t>环球财讯中心</w:t>
      </w:r>
      <w:proofErr w:type="gramEnd"/>
      <w:r>
        <w:rPr>
          <w:rFonts w:ascii="宋体" w:hAnsi="宋体"/>
          <w:sz w:val="24"/>
        </w:rPr>
        <w:t>D座4层401-2</w:t>
      </w:r>
    </w:p>
    <w:p w14:paraId="2207141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049B840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5D243B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51F8A65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4B12906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2239B0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1A2A9CD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（12）名称：中证金牛（北京）投资咨询有限公司</w:t>
      </w:r>
    </w:p>
    <w:p w14:paraId="6FD033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215D734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w:t>
      </w:r>
      <w:proofErr w:type="gramStart"/>
      <w:r>
        <w:rPr>
          <w:rFonts w:ascii="宋体" w:hAnsi="宋体"/>
          <w:sz w:val="24"/>
        </w:rPr>
        <w:t>环球财讯中心</w:t>
      </w:r>
      <w:proofErr w:type="gramEnd"/>
      <w:r>
        <w:rPr>
          <w:rFonts w:ascii="宋体" w:hAnsi="宋体"/>
          <w:sz w:val="24"/>
        </w:rPr>
        <w:t>A座5层</w:t>
      </w:r>
    </w:p>
    <w:p w14:paraId="191C962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78B93F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75D2131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1733FF7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联系人： </w:t>
      </w:r>
      <w:proofErr w:type="gramStart"/>
      <w:r>
        <w:rPr>
          <w:rFonts w:ascii="宋体" w:hAnsi="宋体"/>
          <w:sz w:val="24"/>
        </w:rPr>
        <w:t>孟汉霄</w:t>
      </w:r>
      <w:proofErr w:type="gramEnd"/>
    </w:p>
    <w:p w14:paraId="40DBB6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47F01A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6146BE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（13）名称：大连</w:t>
      </w:r>
      <w:proofErr w:type="gramStart"/>
      <w:r>
        <w:rPr>
          <w:rFonts w:ascii="宋体" w:hAnsi="宋体"/>
          <w:sz w:val="24"/>
        </w:rPr>
        <w:t>网金基金</w:t>
      </w:r>
      <w:proofErr w:type="gramEnd"/>
      <w:r>
        <w:rPr>
          <w:rFonts w:ascii="宋体" w:hAnsi="宋体"/>
          <w:sz w:val="24"/>
        </w:rPr>
        <w:t>销售有限公司</w:t>
      </w:r>
    </w:p>
    <w:p w14:paraId="71FBE0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66E45C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61C2102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6CF2CAE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395F3A9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1556922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35310AC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35783C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60AC650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（14）名称：北京肯特瑞基金销售有限公司</w:t>
      </w:r>
    </w:p>
    <w:p w14:paraId="50AC881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05EDF6A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w:t>
      </w:r>
      <w:proofErr w:type="gramStart"/>
      <w:r>
        <w:rPr>
          <w:rFonts w:ascii="宋体" w:hAnsi="宋体"/>
          <w:sz w:val="24"/>
        </w:rPr>
        <w:t>经济技术开发区科创十一</w:t>
      </w:r>
      <w:proofErr w:type="gramEnd"/>
      <w:r>
        <w:rPr>
          <w:rFonts w:ascii="宋体" w:hAnsi="宋体"/>
          <w:sz w:val="24"/>
        </w:rPr>
        <w:t>街18号院京东集团总部A座15层</w:t>
      </w:r>
    </w:p>
    <w:p w14:paraId="151C61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7CC6D72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7338B46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616EC1E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711131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3B9B53E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50EE448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（15）名称：奕丰基金销售有限公司</w:t>
      </w:r>
    </w:p>
    <w:p w14:paraId="5FC865D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w:t>
      </w:r>
      <w:r>
        <w:rPr>
          <w:rFonts w:ascii="宋体" w:hAnsi="宋体"/>
          <w:sz w:val="24"/>
        </w:rPr>
        <w:lastRenderedPageBreak/>
        <w:t>书有限公司）</w:t>
      </w:r>
    </w:p>
    <w:p w14:paraId="25F868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45DAB1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71CF10C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2FC4BB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29506F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0DCD89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21265B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5795FD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（16）名称：上海天天基金销售有限公司</w:t>
      </w:r>
    </w:p>
    <w:p w14:paraId="3027A1C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7B751F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573B3A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162CF4A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55B399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661542C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58AFC6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6A679FC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246906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（17）名称：上海陆金</w:t>
      </w:r>
      <w:proofErr w:type="gramStart"/>
      <w:r>
        <w:rPr>
          <w:rFonts w:ascii="宋体" w:hAnsi="宋体"/>
          <w:sz w:val="24"/>
        </w:rPr>
        <w:t>所资产</w:t>
      </w:r>
      <w:proofErr w:type="gramEnd"/>
      <w:r>
        <w:rPr>
          <w:rFonts w:ascii="宋体" w:hAnsi="宋体"/>
          <w:sz w:val="24"/>
        </w:rPr>
        <w:t>管理有限公司</w:t>
      </w:r>
    </w:p>
    <w:p w14:paraId="6C18527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7C2093F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08D96AF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17E8249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3FCFD56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233A742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宁博宇</w:t>
      </w:r>
      <w:proofErr w:type="gramEnd"/>
    </w:p>
    <w:p w14:paraId="1487150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1D3E4F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7A81EC7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（18）名称：珠海盈米财富管理有限公司</w:t>
      </w:r>
    </w:p>
    <w:p w14:paraId="655A742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5A2759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w:t>
      </w:r>
      <w:proofErr w:type="gramStart"/>
      <w:r>
        <w:rPr>
          <w:rFonts w:ascii="宋体" w:hAnsi="宋体"/>
          <w:sz w:val="24"/>
        </w:rPr>
        <w:t>琶</w:t>
      </w:r>
      <w:proofErr w:type="gramEnd"/>
      <w:r>
        <w:rPr>
          <w:rFonts w:ascii="宋体" w:hAnsi="宋体"/>
          <w:sz w:val="24"/>
        </w:rPr>
        <w:t>洲大道东1号保利国际广场南塔12楼B1201-1203</w:t>
      </w:r>
    </w:p>
    <w:p w14:paraId="32AA390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475B3A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电话：（020）89629099</w:t>
      </w:r>
    </w:p>
    <w:p w14:paraId="11D5BE1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4FEACF0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w:t>
      </w:r>
      <w:proofErr w:type="gramStart"/>
      <w:r>
        <w:rPr>
          <w:rFonts w:ascii="宋体" w:hAnsi="宋体"/>
          <w:sz w:val="24"/>
        </w:rPr>
        <w:t>嫦</w:t>
      </w:r>
      <w:proofErr w:type="gramEnd"/>
    </w:p>
    <w:p w14:paraId="7E1502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07091D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03CFD87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（19）名称：上海好买基金销售有限公司</w:t>
      </w:r>
    </w:p>
    <w:p w14:paraId="57AFFC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156899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68CE80A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552A8AC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5C1A63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7B7997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02AD60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505BE2F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（20）名称：北京度小满基金销售有限公司</w:t>
      </w:r>
    </w:p>
    <w:p w14:paraId="701E2C9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w:t>
      </w:r>
      <w:proofErr w:type="gramStart"/>
      <w:r>
        <w:rPr>
          <w:rFonts w:ascii="宋体" w:hAnsi="宋体"/>
          <w:sz w:val="24"/>
        </w:rPr>
        <w:t>地十街</w:t>
      </w:r>
      <w:proofErr w:type="gramEnd"/>
      <w:r>
        <w:rPr>
          <w:rFonts w:ascii="宋体" w:hAnsi="宋体"/>
          <w:sz w:val="24"/>
        </w:rPr>
        <w:t>10号1幢1层101</w:t>
      </w:r>
    </w:p>
    <w:p w14:paraId="50A1830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w:t>
      </w:r>
      <w:proofErr w:type="gramStart"/>
      <w:r>
        <w:rPr>
          <w:rFonts w:ascii="宋体" w:hAnsi="宋体"/>
          <w:sz w:val="24"/>
        </w:rPr>
        <w:t>奎</w:t>
      </w:r>
      <w:proofErr w:type="gramEnd"/>
      <w:r>
        <w:rPr>
          <w:rFonts w:ascii="宋体" w:hAnsi="宋体"/>
          <w:sz w:val="24"/>
        </w:rPr>
        <w:t>科大厦</w:t>
      </w:r>
    </w:p>
    <w:p w14:paraId="5F2DA6F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756C689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5AF54E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0FD2A3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1EE98F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012883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0A369C8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（21）名称：诺亚正行(上海)基金销售投资顾问有限公司</w:t>
      </w:r>
    </w:p>
    <w:p w14:paraId="6C1F8E6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11A6127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2B1E4A3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441155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6809FA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61DEA2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350E200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79EFD0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网址：www.noah-fund.com</w:t>
      </w:r>
    </w:p>
    <w:p w14:paraId="002F4E9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（22）名称：北京中</w:t>
      </w:r>
      <w:proofErr w:type="gramStart"/>
      <w:r>
        <w:rPr>
          <w:rFonts w:ascii="宋体" w:hAnsi="宋体"/>
          <w:sz w:val="24"/>
        </w:rPr>
        <w:t>植基金</w:t>
      </w:r>
      <w:proofErr w:type="gramEnd"/>
      <w:r>
        <w:rPr>
          <w:rFonts w:ascii="宋体" w:hAnsi="宋体"/>
          <w:sz w:val="24"/>
        </w:rPr>
        <w:t>销售有限公司</w:t>
      </w:r>
    </w:p>
    <w:p w14:paraId="31E6FB1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053C052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w:t>
      </w:r>
      <w:proofErr w:type="gramStart"/>
      <w:r>
        <w:rPr>
          <w:rFonts w:ascii="宋体" w:hAnsi="宋体"/>
          <w:sz w:val="24"/>
        </w:rPr>
        <w:t>嘉盛中心</w:t>
      </w:r>
      <w:proofErr w:type="gramEnd"/>
      <w:r>
        <w:rPr>
          <w:rFonts w:ascii="宋体" w:hAnsi="宋体"/>
          <w:sz w:val="24"/>
        </w:rPr>
        <w:t>30层3001室</w:t>
      </w:r>
    </w:p>
    <w:p w14:paraId="6A9DFF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4A5199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3767E3E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279DF5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71EA67E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48A0BA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592063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w:t>
      </w:r>
      <w:proofErr w:type="gramStart"/>
      <w:r>
        <w:rPr>
          <w:rFonts w:ascii="宋体" w:hAnsi="宋体"/>
          <w:sz w:val="24"/>
        </w:rPr>
        <w:t>腾安基金</w:t>
      </w:r>
      <w:proofErr w:type="gramEnd"/>
      <w:r>
        <w:rPr>
          <w:rFonts w:ascii="宋体" w:hAnsi="宋体"/>
          <w:sz w:val="24"/>
        </w:rPr>
        <w:t>销售（深圳）有限公司</w:t>
      </w:r>
    </w:p>
    <w:p w14:paraId="4A9F71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61D7D04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w:t>
      </w:r>
      <w:proofErr w:type="gramStart"/>
      <w:r>
        <w:rPr>
          <w:rFonts w:ascii="宋体" w:hAnsi="宋体"/>
          <w:sz w:val="24"/>
        </w:rPr>
        <w:t>33号腾讯滨海</w:t>
      </w:r>
      <w:proofErr w:type="gramEnd"/>
      <w:r>
        <w:rPr>
          <w:rFonts w:ascii="宋体" w:hAnsi="宋体"/>
          <w:sz w:val="24"/>
        </w:rPr>
        <w:t>大厦</w:t>
      </w:r>
    </w:p>
    <w:p w14:paraId="2F5E58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516FB0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44D6400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6A6469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294060D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25D01D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（24）名称：上海挖财金融信息服务有限公司</w:t>
      </w:r>
    </w:p>
    <w:p w14:paraId="3C10570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59E8BE0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50CEFB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2F9C82C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22514B6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23C6A3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166B2F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290457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269F9D7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（25）名称：南京苏宁基金销售有限公司</w:t>
      </w:r>
    </w:p>
    <w:p w14:paraId="546948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6616229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办公地址：南京市玄武区苏宁大道1-5号</w:t>
      </w:r>
    </w:p>
    <w:p w14:paraId="7A3AAD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38318B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5FB981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6AB1BE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3FF31FE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6D1B22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4515DC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（26）名称：上海联泰基金销售有限公司</w:t>
      </w:r>
    </w:p>
    <w:p w14:paraId="72B0F8E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0A4946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3818F6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30A89F3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4FF017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48B90D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凌秋艳</w:t>
      </w:r>
      <w:proofErr w:type="gramEnd"/>
    </w:p>
    <w:p w14:paraId="7E47CF1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23E1E0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2B6DB13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（27）名称：上海万得基金销售有限公司</w:t>
      </w:r>
    </w:p>
    <w:p w14:paraId="2A345F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363AC7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08008D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184A64E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790DB23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1D7A6F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7D0AB58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1EE3D11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24DA3F2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（28）名称：北京新</w:t>
      </w:r>
      <w:proofErr w:type="gramStart"/>
      <w:r>
        <w:rPr>
          <w:rFonts w:ascii="宋体" w:hAnsi="宋体"/>
          <w:sz w:val="24"/>
        </w:rPr>
        <w:t>浪仓石基金</w:t>
      </w:r>
      <w:proofErr w:type="gramEnd"/>
      <w:r>
        <w:rPr>
          <w:rFonts w:ascii="宋体" w:hAnsi="宋体"/>
          <w:sz w:val="24"/>
        </w:rPr>
        <w:t>销售有限公司</w:t>
      </w:r>
    </w:p>
    <w:p w14:paraId="63B540B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3B8070E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4977AE7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法定代表人：李昭琛</w:t>
      </w:r>
    </w:p>
    <w:p w14:paraId="0F6C40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46F4513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25DC5A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1179C7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07EE1A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546B50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（29）名称：北京</w:t>
      </w:r>
      <w:proofErr w:type="gramStart"/>
      <w:r>
        <w:rPr>
          <w:rFonts w:ascii="宋体" w:hAnsi="宋体"/>
          <w:sz w:val="24"/>
        </w:rPr>
        <w:t>创金启富基金</w:t>
      </w:r>
      <w:proofErr w:type="gramEnd"/>
      <w:r>
        <w:rPr>
          <w:rFonts w:ascii="宋体" w:hAnsi="宋体"/>
          <w:sz w:val="24"/>
        </w:rPr>
        <w:t>销售有限公司</w:t>
      </w:r>
    </w:p>
    <w:p w14:paraId="33EDB3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w:t>
      </w:r>
      <w:proofErr w:type="gramStart"/>
      <w:r>
        <w:rPr>
          <w:rFonts w:ascii="宋体" w:hAnsi="宋体"/>
          <w:sz w:val="24"/>
        </w:rPr>
        <w:t>水大厦</w:t>
      </w:r>
      <w:proofErr w:type="gramEnd"/>
      <w:r>
        <w:rPr>
          <w:rFonts w:ascii="宋体" w:hAnsi="宋体"/>
          <w:sz w:val="24"/>
        </w:rPr>
        <w:t>215A</w:t>
      </w:r>
    </w:p>
    <w:p w14:paraId="41182A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572CC8B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6C1CDA7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29F5D3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56C898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6887CD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3CDD56C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1255DCE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（30）名称：浙江同花</w:t>
      </w:r>
      <w:proofErr w:type="gramStart"/>
      <w:r>
        <w:rPr>
          <w:rFonts w:ascii="宋体" w:hAnsi="宋体"/>
          <w:sz w:val="24"/>
        </w:rPr>
        <w:t>顺基金</w:t>
      </w:r>
      <w:proofErr w:type="gramEnd"/>
      <w:r>
        <w:rPr>
          <w:rFonts w:ascii="宋体" w:hAnsi="宋体"/>
          <w:sz w:val="24"/>
        </w:rPr>
        <w:t>销售有限公司</w:t>
      </w:r>
    </w:p>
    <w:p w14:paraId="0308DCB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06074A6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w:t>
      </w:r>
      <w:proofErr w:type="gramStart"/>
      <w:r>
        <w:rPr>
          <w:rFonts w:ascii="宋体" w:hAnsi="宋体"/>
          <w:sz w:val="24"/>
        </w:rPr>
        <w:t>翠柏路</w:t>
      </w:r>
      <w:proofErr w:type="gramEnd"/>
      <w:r>
        <w:rPr>
          <w:rFonts w:ascii="宋体" w:hAnsi="宋体"/>
          <w:sz w:val="24"/>
        </w:rPr>
        <w:t>7号电子商务产业园2号楼 2楼</w:t>
      </w:r>
    </w:p>
    <w:p w14:paraId="60BEB5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凌</w:t>
      </w:r>
      <w:proofErr w:type="gramEnd"/>
      <w:r>
        <w:rPr>
          <w:rFonts w:ascii="宋体" w:hAnsi="宋体"/>
          <w:sz w:val="24"/>
        </w:rPr>
        <w:t>顺平</w:t>
      </w:r>
    </w:p>
    <w:p w14:paraId="0F4E7CA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5110BFE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0A9FB5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2C101C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010F01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37B9224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（31）名称：上海</w:t>
      </w:r>
      <w:proofErr w:type="gramStart"/>
      <w:r>
        <w:rPr>
          <w:rFonts w:ascii="宋体" w:hAnsi="宋体"/>
          <w:sz w:val="24"/>
        </w:rPr>
        <w:t>钜</w:t>
      </w:r>
      <w:proofErr w:type="gramEnd"/>
      <w:r>
        <w:rPr>
          <w:rFonts w:ascii="宋体" w:hAnsi="宋体"/>
          <w:sz w:val="24"/>
        </w:rPr>
        <w:t>派</w:t>
      </w:r>
      <w:proofErr w:type="gramStart"/>
      <w:r>
        <w:rPr>
          <w:rFonts w:ascii="宋体" w:hAnsi="宋体"/>
          <w:sz w:val="24"/>
        </w:rPr>
        <w:t>钰茂基金</w:t>
      </w:r>
      <w:proofErr w:type="gramEnd"/>
      <w:r>
        <w:rPr>
          <w:rFonts w:ascii="宋体" w:hAnsi="宋体"/>
          <w:sz w:val="24"/>
        </w:rPr>
        <w:t>销售有限公司</w:t>
      </w:r>
    </w:p>
    <w:p w14:paraId="5464E00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3CF330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w:t>
      </w:r>
      <w:proofErr w:type="gramStart"/>
      <w:r>
        <w:rPr>
          <w:rFonts w:ascii="宋体" w:hAnsi="宋体"/>
          <w:sz w:val="24"/>
        </w:rPr>
        <w:t>弄中庚</w:t>
      </w:r>
      <w:proofErr w:type="gramEnd"/>
      <w:r>
        <w:rPr>
          <w:rFonts w:ascii="宋体" w:hAnsi="宋体"/>
          <w:sz w:val="24"/>
        </w:rPr>
        <w:t>环球创意中心T2栋9层</w:t>
      </w:r>
    </w:p>
    <w:p w14:paraId="5898950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洪思夷</w:t>
      </w:r>
      <w:proofErr w:type="gramEnd"/>
    </w:p>
    <w:p w14:paraId="709A61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6DA4B0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w:t>
      </w:r>
      <w:proofErr w:type="gramStart"/>
      <w:r>
        <w:rPr>
          <w:rFonts w:ascii="宋体" w:hAnsi="宋体"/>
          <w:sz w:val="24"/>
        </w:rPr>
        <w:t>世</w:t>
      </w:r>
      <w:proofErr w:type="gramEnd"/>
      <w:r>
        <w:rPr>
          <w:rFonts w:ascii="宋体" w:hAnsi="宋体"/>
          <w:sz w:val="24"/>
        </w:rPr>
        <w:t>之</w:t>
      </w:r>
    </w:p>
    <w:p w14:paraId="620C8A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客户服务电话：400-021-2428</w:t>
      </w:r>
    </w:p>
    <w:p w14:paraId="163BC52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0E063A9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（32）名称：蚂蚁（杭州）基金销售有限公司</w:t>
      </w:r>
    </w:p>
    <w:p w14:paraId="20025DC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w:t>
      </w:r>
      <w:proofErr w:type="gramStart"/>
      <w:r>
        <w:rPr>
          <w:rFonts w:ascii="宋体" w:hAnsi="宋体"/>
          <w:sz w:val="24"/>
        </w:rPr>
        <w:t>一</w:t>
      </w:r>
      <w:proofErr w:type="gramEnd"/>
      <w:r>
        <w:rPr>
          <w:rFonts w:ascii="宋体" w:hAnsi="宋体"/>
          <w:sz w:val="24"/>
        </w:rPr>
        <w:t>西路969号3幢5层599室</w:t>
      </w:r>
    </w:p>
    <w:p w14:paraId="15D4EB4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24537F1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323EEC2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32F6250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27F752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561F84F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（33）名称：济安财富（北京）基金销售有限公司</w:t>
      </w:r>
    </w:p>
    <w:p w14:paraId="123BCC2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1B1382E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5692B5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555C50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5175E67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3317549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2115449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47F5AB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36C7DC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（34）名称：嘉实财富管理有限公司</w:t>
      </w:r>
    </w:p>
    <w:p w14:paraId="2C6792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新区世纪</w:t>
      </w:r>
      <w:proofErr w:type="gramEnd"/>
      <w:r>
        <w:rPr>
          <w:rFonts w:ascii="宋体" w:hAnsi="宋体"/>
          <w:sz w:val="24"/>
        </w:rPr>
        <w:t>大道8号上海国金中心办公楼二期53层5312-15单元</w:t>
      </w:r>
    </w:p>
    <w:p w14:paraId="1C62C7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14844F8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32EAD7B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7663394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5798A3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15CE992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31D61A9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7DC656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（35）名称：博时财富基金销售有限公司</w:t>
      </w:r>
    </w:p>
    <w:p w14:paraId="3CE17E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14:paraId="31B6666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14:paraId="3D8333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法定代表人：王德英</w:t>
      </w:r>
    </w:p>
    <w:p w14:paraId="6D5C2E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14:paraId="046A7B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14:paraId="041E0F2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14:paraId="1038CE9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14:paraId="6E598A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14:paraId="1684D1CC" w14:textId="77777777" w:rsidR="009B698D" w:rsidRDefault="009B698D" w:rsidP="009B698D">
      <w:pPr>
        <w:autoSpaceDE w:val="0"/>
        <w:autoSpaceDN w:val="0"/>
        <w:adjustRightInd w:val="0"/>
        <w:snapToGrid w:val="0"/>
        <w:spacing w:line="360" w:lineRule="auto"/>
        <w:ind w:firstLineChars="200" w:firstLine="480"/>
        <w:jc w:val="left"/>
        <w:rPr>
          <w:rFonts w:ascii="宋体" w:hAnsi="宋体"/>
          <w:sz w:val="24"/>
        </w:rPr>
      </w:pPr>
      <w:r w:rsidRPr="001B36AC">
        <w:rPr>
          <w:rFonts w:ascii="宋体" w:hAnsi="宋体" w:hint="eastAsia"/>
          <w:sz w:val="24"/>
        </w:rPr>
        <w:t>本基金D</w:t>
      </w:r>
      <w:r>
        <w:rPr>
          <w:rFonts w:ascii="宋体" w:hAnsi="宋体" w:hint="eastAsia"/>
          <w:sz w:val="24"/>
        </w:rPr>
        <w:t>类基金份额暂仅</w:t>
      </w:r>
      <w:r w:rsidRPr="001B36AC">
        <w:rPr>
          <w:rFonts w:ascii="宋体" w:hAnsi="宋体" w:hint="eastAsia"/>
          <w:sz w:val="24"/>
        </w:rPr>
        <w:t>通过直销机构销售。</w:t>
      </w:r>
    </w:p>
    <w:p w14:paraId="7C2C24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14:paraId="446E7F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（二）注册登记机构</w:t>
      </w:r>
    </w:p>
    <w:p w14:paraId="5E1E277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45DC01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241F4CD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5FD4C1C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0019F28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7E7A616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37F7EBB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3D1A82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3D03C8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5424F6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6BEDE7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20CF8B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5538E9C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036D64D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16C255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384423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291EC6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1CB57B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794FC5D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w:t>
      </w:r>
      <w:proofErr w:type="gramStart"/>
      <w:r>
        <w:rPr>
          <w:rFonts w:ascii="宋体" w:hAnsi="宋体"/>
          <w:sz w:val="24"/>
        </w:rPr>
        <w:t>星展银行</w:t>
      </w:r>
      <w:proofErr w:type="gramEnd"/>
      <w:r>
        <w:rPr>
          <w:rFonts w:ascii="宋体" w:hAnsi="宋体"/>
          <w:sz w:val="24"/>
        </w:rPr>
        <w:t>大厦507单元01室</w:t>
      </w:r>
    </w:p>
    <w:p w14:paraId="0466FD3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办公地址：中国上海市浦东</w:t>
      </w:r>
      <w:proofErr w:type="gramStart"/>
      <w:r>
        <w:rPr>
          <w:rFonts w:ascii="宋体" w:hAnsi="宋体"/>
          <w:sz w:val="24"/>
        </w:rPr>
        <w:t>新区东育路</w:t>
      </w:r>
      <w:proofErr w:type="gramEnd"/>
      <w:r>
        <w:rPr>
          <w:rFonts w:ascii="宋体" w:hAnsi="宋体"/>
          <w:sz w:val="24"/>
        </w:rPr>
        <w:t>588号前</w:t>
      </w:r>
      <w:proofErr w:type="gramStart"/>
      <w:r>
        <w:rPr>
          <w:rFonts w:ascii="宋体" w:hAnsi="宋体"/>
          <w:sz w:val="24"/>
        </w:rPr>
        <w:t>滩中心</w:t>
      </w:r>
      <w:proofErr w:type="gramEnd"/>
      <w:r>
        <w:rPr>
          <w:rFonts w:ascii="宋体" w:hAnsi="宋体"/>
          <w:sz w:val="24"/>
        </w:rPr>
        <w:t>42楼</w:t>
      </w:r>
    </w:p>
    <w:p w14:paraId="7E0BF9F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2C818F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0170337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4873082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金诗涛</w:t>
      </w:r>
      <w:proofErr w:type="gramEnd"/>
    </w:p>
    <w:p w14:paraId="000C117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w:t>
      </w:r>
      <w:proofErr w:type="gramStart"/>
      <w:r>
        <w:rPr>
          <w:rFonts w:ascii="宋体" w:hAnsi="宋体"/>
          <w:sz w:val="24"/>
        </w:rPr>
        <w:t>金诗涛</w:t>
      </w:r>
      <w:proofErr w:type="gramEnd"/>
    </w:p>
    <w:p w14:paraId="6A07C77E"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77D19DF" w14:textId="77777777" w:rsidR="001F702C" w:rsidRDefault="00BD18A1">
      <w:pPr>
        <w:pStyle w:val="1"/>
        <w:snapToGrid w:val="0"/>
        <w:spacing w:beforeLines="0" w:before="240" w:after="240"/>
        <w:rPr>
          <w:rFonts w:ascii="宋体" w:hAnsi="宋体"/>
          <w:szCs w:val="30"/>
        </w:rPr>
      </w:pPr>
      <w:bookmarkStart w:id="9" w:name="_Toc140049410"/>
      <w:r>
        <w:rPr>
          <w:rFonts w:ascii="Times New Roman" w:hAnsi="Times New Roman"/>
          <w:sz w:val="30"/>
        </w:rPr>
        <w:lastRenderedPageBreak/>
        <w:t>六、基金的募集</w:t>
      </w:r>
      <w:bookmarkEnd w:id="9"/>
    </w:p>
    <w:p w14:paraId="2556531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本基金由基金管理人依照《基金法》、《运作办法》、《销售办法》、基金合同及其他有关规定，并经中国证监会2018年11月14日证监许可[2018]1856号文准予募集注册。</w:t>
      </w:r>
    </w:p>
    <w:p w14:paraId="7BBF1D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本基金为契约型开放式债券型证券投资基金。基金的存续期间为不定期。</w:t>
      </w:r>
    </w:p>
    <w:p w14:paraId="6DDBD0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24E91AB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本基金自2019年1月7日起至2019年1月18日进行发售，本基金设立募集期共募集份基金10,205,490,746.33份额，有效认购户数为316户。</w:t>
      </w:r>
    </w:p>
    <w:p w14:paraId="1DB1886A"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ECB0002" w14:textId="77777777" w:rsidR="001F702C" w:rsidRDefault="00BD18A1">
      <w:pPr>
        <w:pStyle w:val="1"/>
        <w:snapToGrid w:val="0"/>
        <w:spacing w:beforeLines="0" w:before="240" w:after="240"/>
        <w:rPr>
          <w:rFonts w:ascii="宋体" w:hAnsi="宋体"/>
          <w:szCs w:val="30"/>
        </w:rPr>
      </w:pPr>
      <w:bookmarkStart w:id="10" w:name="_Toc140049411"/>
      <w:r>
        <w:rPr>
          <w:rFonts w:ascii="Times New Roman" w:hAnsi="Times New Roman"/>
          <w:sz w:val="30"/>
        </w:rPr>
        <w:lastRenderedPageBreak/>
        <w:t>七、基金合同的生效</w:t>
      </w:r>
      <w:bookmarkEnd w:id="10"/>
    </w:p>
    <w:p w14:paraId="0CCC1A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根据有关规定，本基金满足基金合同生效条件，基金合同已于2019年1月23日正式生效。自基金合同生效之日起，本基金管理人正式开始管理本基金。</w:t>
      </w:r>
    </w:p>
    <w:p w14:paraId="0D2A2E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向中国证监会报告并提前终止基金合同，不需召开基金份额持有人大会。</w:t>
      </w:r>
    </w:p>
    <w:p w14:paraId="265187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20B4C466"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1DF35C6" w14:textId="77777777" w:rsidR="001F702C" w:rsidRDefault="00BD18A1">
      <w:pPr>
        <w:pStyle w:val="1"/>
        <w:snapToGrid w:val="0"/>
        <w:spacing w:beforeLines="0" w:before="240" w:after="240"/>
        <w:rPr>
          <w:rFonts w:ascii="宋体" w:hAnsi="宋体"/>
          <w:szCs w:val="30"/>
        </w:rPr>
      </w:pPr>
      <w:bookmarkStart w:id="11" w:name="_Toc140049412"/>
      <w:r>
        <w:rPr>
          <w:rFonts w:ascii="Times New Roman" w:hAnsi="Times New Roman"/>
          <w:sz w:val="30"/>
        </w:rPr>
        <w:lastRenderedPageBreak/>
        <w:t>八、基金份额的申购与赎回</w:t>
      </w:r>
      <w:bookmarkEnd w:id="11"/>
    </w:p>
    <w:p w14:paraId="7B1EDA06"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14:paraId="699F04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14695C8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290F696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4F4C78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3AE208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A23408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057022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9F070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58194DF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DD111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38868B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1CAF723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14:paraId="11BDDA9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3B786DB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1615AD3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58A214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5D0BB5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管理人或其指定的销售机构开通电话、传真或网上等交易方式，投资人可以通过上述方式进行申购与赎回。</w:t>
      </w:r>
    </w:p>
    <w:p w14:paraId="253B108E"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14:paraId="65F6CC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481B138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51C84F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0CAEE7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304C106C" w14:textId="41E99AD5" w:rsidR="003D6F23" w:rsidRDefault="00BD18A1" w:rsidP="003D6F2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3D6F23" w:rsidRPr="00944F9C">
        <w:rPr>
          <w:rFonts w:ascii="宋体" w:hAnsi="宋体" w:hint="eastAsia"/>
          <w:sz w:val="24"/>
        </w:rPr>
        <w:t>A类基金份额</w:t>
      </w:r>
      <w:r w:rsidR="003D6F23">
        <w:rPr>
          <w:rFonts w:ascii="宋体" w:hAnsi="宋体" w:hint="eastAsia"/>
          <w:sz w:val="24"/>
        </w:rPr>
        <w:t>和</w:t>
      </w:r>
      <w:r w:rsidR="003D6F23">
        <w:rPr>
          <w:rFonts w:ascii="宋体" w:hAnsi="宋体"/>
          <w:sz w:val="24"/>
        </w:rPr>
        <w:t>C</w:t>
      </w:r>
      <w:r w:rsidR="003D6F23" w:rsidRPr="00A65A0C">
        <w:rPr>
          <w:rFonts w:ascii="宋体" w:hAnsi="宋体" w:hint="eastAsia"/>
          <w:sz w:val="24"/>
        </w:rPr>
        <w:t>类基金份额</w:t>
      </w:r>
      <w:r>
        <w:rPr>
          <w:rFonts w:ascii="宋体" w:hAnsi="宋体"/>
          <w:sz w:val="24"/>
        </w:rPr>
        <w:t>已于2019年2月26日起开放申购、赎回业务。</w:t>
      </w:r>
    </w:p>
    <w:p w14:paraId="179C72F7" w14:textId="1FBF446E" w:rsidR="003D6F23" w:rsidRDefault="003D6F23" w:rsidP="003D6F23">
      <w:pPr>
        <w:autoSpaceDE w:val="0"/>
        <w:autoSpaceDN w:val="0"/>
        <w:adjustRightInd w:val="0"/>
        <w:snapToGrid w:val="0"/>
        <w:spacing w:line="360" w:lineRule="auto"/>
        <w:ind w:firstLineChars="200" w:firstLine="480"/>
        <w:jc w:val="left"/>
        <w:rPr>
          <w:rFonts w:ascii="宋体" w:hAnsi="宋体"/>
          <w:szCs w:val="24"/>
        </w:rPr>
      </w:pPr>
      <w:r w:rsidRPr="00A9408D">
        <w:rPr>
          <w:rFonts w:ascii="宋体" w:hAnsi="宋体" w:hint="eastAsia"/>
          <w:sz w:val="24"/>
        </w:rPr>
        <w:t>本基金</w:t>
      </w:r>
      <w:r>
        <w:rPr>
          <w:rFonts w:ascii="宋体" w:hAnsi="宋体"/>
          <w:sz w:val="24"/>
        </w:rPr>
        <w:t>D</w:t>
      </w:r>
      <w:r w:rsidRPr="00A9408D">
        <w:rPr>
          <w:rFonts w:ascii="宋体" w:hAnsi="宋体" w:hint="eastAsia"/>
          <w:sz w:val="24"/>
        </w:rPr>
        <w:t>类基金份额于</w:t>
      </w:r>
      <w:r>
        <w:rPr>
          <w:rFonts w:ascii="宋体" w:hAnsi="宋体"/>
          <w:sz w:val="24"/>
        </w:rPr>
        <w:t>202</w:t>
      </w:r>
      <w:r w:rsidR="001A3A72">
        <w:rPr>
          <w:rFonts w:ascii="宋体" w:hAnsi="宋体"/>
          <w:sz w:val="24"/>
        </w:rPr>
        <w:t>3</w:t>
      </w:r>
      <w:r w:rsidRPr="00A9408D">
        <w:rPr>
          <w:rFonts w:ascii="宋体" w:hAnsi="宋体"/>
          <w:sz w:val="24"/>
        </w:rPr>
        <w:t>年</w:t>
      </w:r>
      <w:r w:rsidR="001A3A72">
        <w:rPr>
          <w:rFonts w:ascii="宋体" w:hAnsi="宋体"/>
          <w:sz w:val="24"/>
        </w:rPr>
        <w:t>12</w:t>
      </w:r>
      <w:r w:rsidRPr="00A9408D">
        <w:rPr>
          <w:rFonts w:ascii="宋体" w:hAnsi="宋体" w:hint="eastAsia"/>
          <w:sz w:val="24"/>
        </w:rPr>
        <w:t>月</w:t>
      </w:r>
      <w:r w:rsidR="001A3A72">
        <w:rPr>
          <w:rFonts w:ascii="宋体" w:hAnsi="宋体"/>
          <w:sz w:val="24"/>
        </w:rPr>
        <w:t>15</w:t>
      </w:r>
      <w:r w:rsidRPr="00A9408D">
        <w:rPr>
          <w:rFonts w:ascii="宋体" w:hAnsi="宋体" w:hint="eastAsia"/>
          <w:sz w:val="24"/>
        </w:rPr>
        <w:t>日起开放申购、赎回业务。</w:t>
      </w:r>
    </w:p>
    <w:p w14:paraId="1605B5A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sz w:val="24"/>
        </w:rPr>
        <w:t>且登记</w:t>
      </w:r>
      <w:proofErr w:type="gramEnd"/>
      <w:r>
        <w:rPr>
          <w:rFonts w:ascii="宋体" w:hAnsi="宋体"/>
          <w:sz w:val="24"/>
        </w:rPr>
        <w:t>机构确认接受的，其基金份额申购、赎回或转换价格为下一开放日基金份额申购、赎回或转换的价格。</w:t>
      </w:r>
    </w:p>
    <w:p w14:paraId="7417205C"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（三）申购与赎回的原则</w:t>
      </w:r>
    </w:p>
    <w:p w14:paraId="36414E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027E9E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4EA33A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67002D6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CDBD2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681A831A"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14:paraId="5C2461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7AB2AD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w:t>
      </w:r>
      <w:r>
        <w:rPr>
          <w:rFonts w:ascii="宋体" w:hAnsi="宋体"/>
          <w:sz w:val="24"/>
        </w:rPr>
        <w:lastRenderedPageBreak/>
        <w:t>受申购申请的最低金额为单笔1元，如果销售机构业务规则规定的最低单笔申购金额高于1元，以该销售机构的规定为准。</w:t>
      </w:r>
    </w:p>
    <w:p w14:paraId="33AF953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71FCB0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0613D30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3、最低余额的限制</w:t>
      </w:r>
    </w:p>
    <w:p w14:paraId="419404F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每个工作日投资人在单个交易账户的本基金份额余额少于1份时，若当日该账户同时有基金份额减少类业务（如赎回、转换出等）被确认，</w:t>
      </w:r>
      <w:proofErr w:type="gramStart"/>
      <w:r>
        <w:rPr>
          <w:rFonts w:ascii="宋体" w:hAnsi="宋体"/>
          <w:sz w:val="24"/>
        </w:rPr>
        <w:t>则基金</w:t>
      </w:r>
      <w:proofErr w:type="gramEnd"/>
      <w:r>
        <w:rPr>
          <w:rFonts w:ascii="宋体" w:hAnsi="宋体"/>
          <w:sz w:val="24"/>
        </w:rPr>
        <w:t>管理人有权将投资人在该账户的本基金份额一次性全部赎回。</w:t>
      </w:r>
    </w:p>
    <w:p w14:paraId="668F6BD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基金管理人届时发布的相关公告。</w:t>
      </w:r>
    </w:p>
    <w:p w14:paraId="272A12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余额的数量限制等，基金管理人必须在调整实施前依照《信息披露办法》的有关规定在指定媒介上刊登公告并报中国证监会备案。</w:t>
      </w:r>
    </w:p>
    <w:p w14:paraId="140D9222"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14:paraId="67ABDA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46EEEF6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7636D5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1C6615B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135C046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w:t>
      </w:r>
      <w:proofErr w:type="gramStart"/>
      <w:r>
        <w:rPr>
          <w:rFonts w:ascii="宋体" w:hAnsi="宋体"/>
          <w:sz w:val="24"/>
        </w:rPr>
        <w:t>回申请</w:t>
      </w:r>
      <w:proofErr w:type="gramEnd"/>
      <w:r>
        <w:rPr>
          <w:rFonts w:ascii="宋体" w:hAnsi="宋体"/>
          <w:sz w:val="24"/>
        </w:rPr>
        <w:t>成功后，基金管理人将在T＋7日（包括该日）内支付赎回款项。在发生巨额赎回或基金合同载明的其他暂停赎回或延缓支付赎回款项的情形时，款项的支付办法参照基金合同有关条款处理。</w:t>
      </w:r>
    </w:p>
    <w:p w14:paraId="4C2154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3、申购和赎回申请的确认</w:t>
      </w:r>
    </w:p>
    <w:p w14:paraId="35AB33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03F05EE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377491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E0ABB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4CCC7B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5B9E8B4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6C52B88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3C7EE02D"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14:paraId="6A6AE8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2253370C" w14:textId="72C8A9B1"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w:t>
      </w:r>
      <w:proofErr w:type="gramStart"/>
      <w:r>
        <w:rPr>
          <w:rFonts w:ascii="宋体" w:hAnsi="宋体"/>
          <w:sz w:val="24"/>
        </w:rPr>
        <w:t>基金基金</w:t>
      </w:r>
      <w:proofErr w:type="gramEnd"/>
      <w:r>
        <w:rPr>
          <w:rFonts w:ascii="宋体" w:hAnsi="宋体"/>
          <w:sz w:val="24"/>
        </w:rPr>
        <w:t>份额分为A类基金份额</w:t>
      </w:r>
      <w:r w:rsidR="00770924">
        <w:rPr>
          <w:rFonts w:ascii="宋体" w:hAnsi="宋体" w:hint="eastAsia"/>
          <w:sz w:val="24"/>
        </w:rPr>
        <w:t>、</w:t>
      </w:r>
      <w:r>
        <w:rPr>
          <w:rFonts w:ascii="宋体" w:hAnsi="宋体"/>
          <w:sz w:val="24"/>
        </w:rPr>
        <w:t>C类基金份额</w:t>
      </w:r>
      <w:r w:rsidR="00770924" w:rsidRPr="00770924">
        <w:rPr>
          <w:rFonts w:ascii="宋体" w:hAnsi="宋体" w:hint="eastAsia"/>
          <w:sz w:val="24"/>
        </w:rPr>
        <w:t>和D类基金份额</w:t>
      </w:r>
      <w:r>
        <w:rPr>
          <w:rFonts w:ascii="宋体" w:hAnsi="宋体"/>
          <w:sz w:val="24"/>
        </w:rPr>
        <w:t>。投资人申购A类基金份额</w:t>
      </w:r>
      <w:r w:rsidR="00770924" w:rsidRPr="00770924">
        <w:rPr>
          <w:rFonts w:ascii="宋体" w:hAnsi="宋体" w:hint="eastAsia"/>
          <w:sz w:val="24"/>
        </w:rPr>
        <w:t>或D类基金份额</w:t>
      </w:r>
      <w:r>
        <w:rPr>
          <w:rFonts w:ascii="宋体" w:hAnsi="宋体"/>
          <w:sz w:val="24"/>
        </w:rPr>
        <w:t>在申购时支付申购费用、赎回时收取赎回费用，申购C类基金份额不支付申购费用、赎回时收取赎回费用，并从该类别基金资产中计</w:t>
      </w:r>
      <w:proofErr w:type="gramStart"/>
      <w:r>
        <w:rPr>
          <w:rFonts w:ascii="宋体" w:hAnsi="宋体"/>
          <w:sz w:val="24"/>
        </w:rPr>
        <w:t>提销售</w:t>
      </w:r>
      <w:proofErr w:type="gramEnd"/>
      <w:r>
        <w:rPr>
          <w:rFonts w:ascii="宋体" w:hAnsi="宋体"/>
          <w:sz w:val="24"/>
        </w:rPr>
        <w:t>服务费。</w:t>
      </w:r>
    </w:p>
    <w:p w14:paraId="6D73822D" w14:textId="1722DB19"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CA45DA" w:rsidRPr="00CA45DA">
        <w:rPr>
          <w:rFonts w:ascii="宋体" w:hAnsi="宋体" w:hint="eastAsia"/>
          <w:sz w:val="24"/>
        </w:rPr>
        <w:t>和D类基金份额</w:t>
      </w:r>
      <w:r>
        <w:rPr>
          <w:rFonts w:ascii="宋体" w:hAnsi="宋体"/>
          <w:sz w:val="24"/>
        </w:rPr>
        <w:t>的申购费用由</w:t>
      </w:r>
      <w:r w:rsidR="00CA45DA">
        <w:rPr>
          <w:rFonts w:ascii="宋体" w:hAnsi="宋体" w:hint="eastAsia"/>
          <w:sz w:val="24"/>
        </w:rPr>
        <w:t>该</w:t>
      </w:r>
      <w:r>
        <w:rPr>
          <w:rFonts w:ascii="宋体" w:hAnsi="宋体"/>
          <w:sz w:val="24"/>
        </w:rPr>
        <w:t>类基金份额申购人承担，不列入基金财产，主要用于本基金的市场推广、销售、登记等各项费用。</w:t>
      </w:r>
    </w:p>
    <w:p w14:paraId="0355E8BE" w14:textId="6E84341F"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w:t>
      </w:r>
      <w:r w:rsidR="00890EA4" w:rsidRPr="00AD594D">
        <w:rPr>
          <w:rFonts w:ascii="宋体" w:hAnsi="宋体" w:hint="eastAsia"/>
          <w:sz w:val="24"/>
        </w:rPr>
        <w:t>A类基金份额和D类基金份额</w:t>
      </w:r>
      <w:r>
        <w:rPr>
          <w:rFonts w:ascii="宋体" w:hAnsi="宋体"/>
          <w:sz w:val="24"/>
        </w:rPr>
        <w:t>申购费用按每笔</w:t>
      </w:r>
      <w:r w:rsidR="002C3ED8">
        <w:rPr>
          <w:rFonts w:ascii="宋体" w:hAnsi="宋体" w:hint="eastAsia"/>
          <w:sz w:val="24"/>
        </w:rPr>
        <w:t>该类</w:t>
      </w:r>
      <w:r w:rsidR="002C3ED8">
        <w:rPr>
          <w:rFonts w:ascii="宋体" w:hAnsi="宋体" w:hint="eastAsia"/>
          <w:sz w:val="24"/>
        </w:rPr>
        <w:lastRenderedPageBreak/>
        <w:t>基金份额</w:t>
      </w:r>
      <w:r>
        <w:rPr>
          <w:rFonts w:ascii="宋体" w:hAnsi="宋体"/>
          <w:sz w:val="24"/>
        </w:rPr>
        <w:t>申购申请单独计算。</w:t>
      </w:r>
    </w:p>
    <w:p w14:paraId="11CE862F" w14:textId="60552496"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1F702C" w14:paraId="27077648" w14:textId="77777777" w:rsidTr="00C34248">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3AFE85A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515A239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0A1371F5" w14:textId="601BEE41"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1F702C" w14:paraId="4951E136" w14:textId="77777777" w:rsidTr="00C3424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4517D6C"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5458D3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7846A5C1"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1F702C" w14:paraId="32CDA44B" w14:textId="77777777" w:rsidTr="00C3424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539B772"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23F80A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9378A9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1F702C" w14:paraId="21FB7E26" w14:textId="77777777" w:rsidTr="00C3424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624A35F"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69C29F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003846A"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1F702C" w14:paraId="532D4E06" w14:textId="77777777" w:rsidTr="00C3424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8232EA7"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8C1A2D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790A59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1F702C" w14:paraId="0D30B2E6" w14:textId="77777777" w:rsidTr="00C3424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C17108D"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BE2B8E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3DD55C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681E468D" w14:textId="77777777" w:rsidR="00C34248" w:rsidRDefault="00C34248" w:rsidP="00C3424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C34248" w14:paraId="15BABA63" w14:textId="77777777" w:rsidTr="0036744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358E971B" w14:textId="77777777" w:rsidR="00C34248" w:rsidRDefault="00C34248"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3A47A72C" w14:textId="77777777" w:rsidR="00C34248" w:rsidRDefault="00C34248"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69E51DF2" w14:textId="5D7B98AB" w:rsidR="00C34248" w:rsidRDefault="00C34248"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类基金份额申购费率</w:t>
            </w:r>
          </w:p>
        </w:tc>
      </w:tr>
      <w:tr w:rsidR="00C34248" w14:paraId="100A83F2"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78D29E7" w14:textId="77777777" w:rsidR="00C34248" w:rsidRDefault="00C34248"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D8D56C3" w14:textId="77777777" w:rsidR="00C34248" w:rsidRDefault="00C34248"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72465A7E" w14:textId="310E05E3" w:rsidR="00C34248" w:rsidRDefault="00C34248"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0.9%</w:t>
            </w:r>
          </w:p>
        </w:tc>
      </w:tr>
      <w:tr w:rsidR="00C34248" w14:paraId="5F98FB09"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E748B3D" w14:textId="77777777" w:rsidR="00C34248" w:rsidRDefault="00C34248"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80EA96E" w14:textId="77777777" w:rsidR="00C34248" w:rsidRDefault="00C34248"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586CDFB" w14:textId="18F8C988" w:rsidR="00C34248" w:rsidRDefault="00C34248"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0.7%</w:t>
            </w:r>
          </w:p>
        </w:tc>
      </w:tr>
      <w:tr w:rsidR="00C34248" w14:paraId="16DE58D7"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AE374D8" w14:textId="77777777" w:rsidR="00C34248" w:rsidRDefault="00C34248"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3063D83" w14:textId="77777777" w:rsidR="00C34248" w:rsidRDefault="00C34248"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172A986" w14:textId="1A67BA45" w:rsidR="00C34248" w:rsidRDefault="00C34248"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C34248" w14:paraId="412CBC8E"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B02FDCE" w14:textId="77777777" w:rsidR="00C34248" w:rsidRDefault="00C34248"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CCFAF89" w14:textId="77777777" w:rsidR="00C34248" w:rsidRDefault="00C34248"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68E0397" w14:textId="4FDFC277" w:rsidR="00C34248" w:rsidRDefault="00C34248"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C34248" w14:paraId="5649261A"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C4A616F" w14:textId="77777777" w:rsidR="00C34248" w:rsidRDefault="00C34248"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C88D4F5" w14:textId="77777777" w:rsidR="00C34248" w:rsidRDefault="00C34248"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285EC21A" w14:textId="7B0BD6B8" w:rsidR="00C34248" w:rsidRDefault="00C34248"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14:paraId="204BE1EC" w14:textId="591987E8"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w:t>
      </w:r>
      <w:r w:rsidR="00437B56">
        <w:rPr>
          <w:rFonts w:ascii="宋体" w:hAnsi="宋体" w:hint="eastAsia"/>
          <w:sz w:val="24"/>
        </w:rPr>
        <w:t>或D类基金份额</w:t>
      </w:r>
      <w:r>
        <w:rPr>
          <w:rFonts w:ascii="宋体" w:hAnsi="宋体"/>
          <w:sz w:val="24"/>
        </w:rPr>
        <w:t>的投资人因红利自动再投资而产生的A类基金份额</w:t>
      </w:r>
      <w:r w:rsidR="00437B56">
        <w:rPr>
          <w:rFonts w:ascii="宋体" w:hAnsi="宋体" w:hint="eastAsia"/>
          <w:sz w:val="24"/>
        </w:rPr>
        <w:t>或D类基金份额</w:t>
      </w:r>
      <w:r>
        <w:rPr>
          <w:rFonts w:ascii="宋体" w:hAnsi="宋体"/>
          <w:sz w:val="24"/>
        </w:rPr>
        <w:t>，不收取相应的申购费用。</w:t>
      </w:r>
    </w:p>
    <w:p w14:paraId="1A26CF56" w14:textId="23AE3FB0"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w:t>
      </w:r>
      <w:r w:rsidR="004635B8">
        <w:rPr>
          <w:rFonts w:ascii="宋体" w:hAnsi="宋体" w:hint="eastAsia"/>
          <w:sz w:val="24"/>
        </w:rPr>
        <w:t>或D类基金份额</w:t>
      </w:r>
      <w:r>
        <w:rPr>
          <w:rFonts w:ascii="宋体" w:hAnsi="宋体"/>
          <w:sz w:val="24"/>
        </w:rPr>
        <w:t>的养老金客户实施特定申购费率。</w:t>
      </w:r>
    </w:p>
    <w:p w14:paraId="5DECDD5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62F487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5A0425B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6C2701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2F6A70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216E4D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1FAFC3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14:paraId="34EDE53F" w14:textId="18E87194"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1F702C" w14:paraId="70D89C38" w14:textId="77777777" w:rsidTr="00885FB9">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2580606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48FE2F7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5A6F09D2" w14:textId="51419536"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1F702C" w14:paraId="11DC0084" w14:textId="77777777" w:rsidTr="00885FB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0EE15DE"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8C9B38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3CF804C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1F702C" w14:paraId="1E1532BE" w14:textId="77777777" w:rsidTr="00885FB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00C8099"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AAE53B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CCE36B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1F702C" w14:paraId="0546DB21" w14:textId="77777777" w:rsidTr="00885FB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E4861F7"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9E30A6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61240A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1F702C" w14:paraId="14EF1F25" w14:textId="77777777" w:rsidTr="00885FB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A5124A8"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5F8063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712526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1F702C" w14:paraId="31AAFD99" w14:textId="77777777" w:rsidTr="00885FB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48A8211"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0ACA5C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A60E12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3BD15BC1" w14:textId="77777777" w:rsidR="00885FB9" w:rsidRDefault="00885FB9" w:rsidP="00885FB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通过基金管理人直销柜台申购本基金D类基金份额的养老金客户特定申购费率如下表：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885FB9" w14:paraId="634CD11F" w14:textId="77777777" w:rsidTr="0036744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477413C6" w14:textId="77777777" w:rsidR="00885FB9" w:rsidRDefault="00885FB9"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4B276D1B" w14:textId="77777777" w:rsidR="00885FB9" w:rsidRDefault="00885FB9"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4291829E" w14:textId="647F4AAB" w:rsidR="00885FB9" w:rsidRDefault="00885FB9" w:rsidP="00367445">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D</w:t>
            </w:r>
            <w:r>
              <w:rPr>
                <w:rFonts w:ascii="Times New Roman" w:hAnsi="Times New Roman"/>
                <w:color w:val="000000"/>
                <w:kern w:val="0"/>
                <w:sz w:val="25"/>
                <w:szCs w:val="24"/>
              </w:rPr>
              <w:t>类基金份额特定申购费率</w:t>
            </w:r>
          </w:p>
        </w:tc>
      </w:tr>
      <w:tr w:rsidR="00885FB9" w14:paraId="0F0FF6BB"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4FF776B" w14:textId="77777777" w:rsidR="00885FB9" w:rsidRDefault="00885FB9"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794FF97" w14:textId="77777777" w:rsidR="00885FB9" w:rsidRDefault="00885FB9"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1A1E14C8" w14:textId="7546C401" w:rsidR="00885FB9" w:rsidRDefault="00885FB9"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885FB9" w14:paraId="6281F0CC"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2790EA4" w14:textId="77777777" w:rsidR="00885FB9" w:rsidRDefault="00885FB9"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93397F3" w14:textId="77777777" w:rsidR="00885FB9" w:rsidRDefault="00885FB9"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B590E2F" w14:textId="53E7CA02" w:rsidR="00885FB9" w:rsidRDefault="00885FB9"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0.21%</w:t>
            </w:r>
          </w:p>
        </w:tc>
      </w:tr>
      <w:tr w:rsidR="00885FB9" w14:paraId="1BD4BAED"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DFFA624" w14:textId="77777777" w:rsidR="00885FB9" w:rsidRDefault="00885FB9"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395795C" w14:textId="77777777" w:rsidR="00885FB9" w:rsidRDefault="00885FB9"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85DA6CC" w14:textId="2774807A" w:rsidR="00885FB9" w:rsidRDefault="00885FB9"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885FB9" w14:paraId="45DBD2E2"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B13CF45" w14:textId="77777777" w:rsidR="00885FB9" w:rsidRDefault="00885FB9"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203543F" w14:textId="77777777" w:rsidR="00885FB9" w:rsidRDefault="00885FB9"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4C3C7FB" w14:textId="181DD1AA" w:rsidR="00885FB9" w:rsidRDefault="00885FB9"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rsidR="00885FB9" w14:paraId="3AEB699F"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D35F4C1" w14:textId="77777777" w:rsidR="00885FB9" w:rsidRDefault="00885FB9"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9FB62FC" w14:textId="77777777" w:rsidR="00885FB9" w:rsidRDefault="00885FB9"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C113356" w14:textId="6CA56670" w:rsidR="00885FB9" w:rsidRDefault="00885FB9"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14:paraId="6EC63BE6" w14:textId="77777777" w:rsidR="00524D70" w:rsidRDefault="00524D70" w:rsidP="00524D7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14:paraId="3AF2B522" w14:textId="77777777" w:rsidR="00672C26" w:rsidRDefault="00672C26" w:rsidP="00672C26">
      <w:pPr>
        <w:autoSpaceDE w:val="0"/>
        <w:autoSpaceDN w:val="0"/>
        <w:snapToGrid w:val="0"/>
        <w:spacing w:line="360" w:lineRule="auto"/>
        <w:ind w:firstLine="480"/>
        <w:jc w:val="left"/>
        <w:rPr>
          <w:rFonts w:ascii="宋体" w:hAnsi="宋体"/>
          <w:kern w:val="0"/>
          <w:szCs w:val="21"/>
        </w:rPr>
      </w:pPr>
      <w:r>
        <w:rPr>
          <w:rFonts w:hint="eastAsia"/>
          <w:sz w:val="24"/>
          <w:szCs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51B3573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68267DF3" w14:textId="003961B4"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w:t>
      </w:r>
      <w:r w:rsidR="00D258D9">
        <w:rPr>
          <w:rFonts w:ascii="宋体" w:hAnsi="宋体" w:hint="eastAsia"/>
          <w:sz w:val="24"/>
        </w:rPr>
        <w:t>、</w:t>
      </w:r>
      <w:r>
        <w:rPr>
          <w:rFonts w:ascii="宋体" w:hAnsi="宋体"/>
          <w:sz w:val="24"/>
        </w:rPr>
        <w:t>C类基金份额</w:t>
      </w:r>
      <w:r w:rsidR="00D258D9">
        <w:rPr>
          <w:rFonts w:ascii="宋体" w:hAnsi="宋体" w:hint="eastAsia"/>
          <w:sz w:val="24"/>
        </w:rPr>
        <w:t>或D类基金份额</w:t>
      </w:r>
      <w:r>
        <w:rPr>
          <w:rFonts w:ascii="宋体" w:hAnsi="宋体"/>
          <w:sz w:val="24"/>
        </w:rPr>
        <w:t>收取赎回费用，该费用随基金份额的持有时间递减。本基金A类基金份额</w:t>
      </w:r>
      <w:r w:rsidR="00D258D9">
        <w:rPr>
          <w:rFonts w:ascii="宋体" w:hAnsi="宋体" w:hint="eastAsia"/>
          <w:sz w:val="24"/>
        </w:rPr>
        <w:t>、</w:t>
      </w:r>
      <w:r>
        <w:rPr>
          <w:rFonts w:ascii="宋体" w:hAnsi="宋体"/>
          <w:sz w:val="24"/>
        </w:rPr>
        <w:t>C类基金份额</w:t>
      </w:r>
      <w:r w:rsidR="00D258D9">
        <w:rPr>
          <w:rFonts w:ascii="宋体" w:hAnsi="宋体" w:hint="eastAsia"/>
          <w:sz w:val="24"/>
        </w:rPr>
        <w:t>和D类基金份额</w:t>
      </w:r>
      <w:r>
        <w:rPr>
          <w:rFonts w:ascii="宋体" w:hAnsi="宋体"/>
          <w:sz w:val="24"/>
        </w:rPr>
        <w:t>的赎回费用由该类基金份额赎回人承担，对于持续持有期间少于7天的投资人收取的赎回费全额计入基金财产，对于持续持有期间大于等于7天的投资人收取的赎回费总额的25%应</w:t>
      </w:r>
      <w:proofErr w:type="gramStart"/>
      <w:r>
        <w:rPr>
          <w:rFonts w:ascii="宋体" w:hAnsi="宋体"/>
          <w:sz w:val="24"/>
        </w:rPr>
        <w:t>归基金</w:t>
      </w:r>
      <w:proofErr w:type="gramEnd"/>
      <w:r>
        <w:rPr>
          <w:rFonts w:ascii="宋体" w:hAnsi="宋体"/>
          <w:sz w:val="24"/>
        </w:rPr>
        <w:t>财产，其余用于支付登记费和其他必要的手续费。</w:t>
      </w:r>
    </w:p>
    <w:p w14:paraId="27BAB55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1F702C" w14:paraId="073F40EF"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0CC5B58"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7AD91F6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7696837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1F702C" w14:paraId="4669B0F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0AAC14E"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1C694D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4A47FAB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1F702C" w14:paraId="7B9305C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FB7E5CD"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CF7C80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38C1BD9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1F702C" w14:paraId="4FA7CEA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25248F0"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9C4F35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14:paraId="53B7DD0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3B0C15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1F702C" w14:paraId="2810D7B7" w14:textId="77777777" w:rsidTr="00211BAE">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5EF57E5E"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0AFDC7A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44E1DE1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1F702C" w14:paraId="02098269" w14:textId="77777777" w:rsidTr="00211BAE">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9306165" w14:textId="77777777" w:rsidR="001F702C" w:rsidRDefault="001F702C">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015385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2143" w:type="pct"/>
            <w:tcBorders>
              <w:top w:val="single" w:sz="4" w:space="0" w:color="auto"/>
              <w:left w:val="single" w:sz="4" w:space="0" w:color="auto"/>
              <w:bottom w:val="single" w:sz="4" w:space="0" w:color="auto"/>
              <w:right w:val="single" w:sz="4" w:space="0" w:color="auto"/>
            </w:tcBorders>
            <w:vAlign w:val="center"/>
          </w:tcPr>
          <w:p w14:paraId="091EEA2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1F702C" w14:paraId="42729C5A" w14:textId="77777777" w:rsidTr="00211BAE">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1DC9803" w14:textId="77777777" w:rsidR="001F702C" w:rsidRDefault="001F702C">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6C088D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2143" w:type="pct"/>
            <w:tcBorders>
              <w:top w:val="single" w:sz="4" w:space="0" w:color="auto"/>
              <w:left w:val="single" w:sz="4" w:space="0" w:color="auto"/>
              <w:bottom w:val="single" w:sz="4" w:space="0" w:color="auto"/>
              <w:right w:val="single" w:sz="4" w:space="0" w:color="auto"/>
            </w:tcBorders>
            <w:vAlign w:val="center"/>
          </w:tcPr>
          <w:p w14:paraId="634E0069"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1F702C" w14:paraId="0B20A7CD" w14:textId="77777777" w:rsidTr="00211BAE">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1E50B3A" w14:textId="77777777" w:rsidR="001F702C" w:rsidRDefault="001F702C">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AEC847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2143" w:type="pct"/>
            <w:tcBorders>
              <w:top w:val="single" w:sz="4" w:space="0" w:color="auto"/>
              <w:left w:val="single" w:sz="4" w:space="0" w:color="auto"/>
              <w:bottom w:val="single" w:sz="4" w:space="0" w:color="auto"/>
              <w:right w:val="single" w:sz="4" w:space="0" w:color="auto"/>
            </w:tcBorders>
            <w:vAlign w:val="center"/>
          </w:tcPr>
          <w:p w14:paraId="2EA1AAC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19BB82C6" w14:textId="77777777" w:rsidR="00211BAE" w:rsidRDefault="00211BAE" w:rsidP="00211BA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211BAE" w14:paraId="41A3EB47" w14:textId="77777777" w:rsidTr="0036744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4994A578" w14:textId="77777777" w:rsidR="00211BAE" w:rsidRDefault="00211BAE"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669CC7A1" w14:textId="77777777" w:rsidR="00211BAE" w:rsidRDefault="00211BAE"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27A35FEE" w14:textId="77777777" w:rsidR="00211BAE" w:rsidRDefault="00211BAE"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211BAE" w14:paraId="4F539B8E"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885D703" w14:textId="77777777" w:rsidR="00211BAE" w:rsidRDefault="00211BAE" w:rsidP="00367445">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1966E39" w14:textId="77777777" w:rsidR="00211BAE" w:rsidRDefault="00211BAE"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130F5C46" w14:textId="77777777" w:rsidR="00211BAE" w:rsidRDefault="00211BAE"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211BAE" w14:paraId="61699B76"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5838448" w14:textId="77777777" w:rsidR="00211BAE" w:rsidRDefault="00211BAE" w:rsidP="00367445">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1769500" w14:textId="77777777" w:rsidR="00211BAE" w:rsidRDefault="00211BAE"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日（含）以上</w:t>
            </w:r>
          </w:p>
        </w:tc>
        <w:tc>
          <w:tcPr>
            <w:tcW w:w="2143" w:type="pct"/>
            <w:tcBorders>
              <w:top w:val="single" w:sz="4" w:space="0" w:color="auto"/>
              <w:left w:val="single" w:sz="4" w:space="0" w:color="auto"/>
              <w:bottom w:val="single" w:sz="4" w:space="0" w:color="auto"/>
              <w:right w:val="single" w:sz="4" w:space="0" w:color="auto"/>
            </w:tcBorders>
            <w:vAlign w:val="center"/>
          </w:tcPr>
          <w:p w14:paraId="2D3EE87C" w14:textId="77777777" w:rsidR="00211BAE" w:rsidRDefault="00211BAE"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ED2165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14:paraId="5CB03A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6FD3A9B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14:paraId="2621C478"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14:paraId="787AE91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1E4BF0DE" w14:textId="3465F388"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w:t>
      </w:r>
      <w:r w:rsidR="0075473C">
        <w:rPr>
          <w:rFonts w:ascii="宋体" w:hAnsi="宋体" w:hint="eastAsia"/>
          <w:sz w:val="24"/>
        </w:rPr>
        <w:t>、</w:t>
      </w:r>
      <w:r>
        <w:rPr>
          <w:rFonts w:ascii="宋体" w:hAnsi="宋体"/>
          <w:sz w:val="24"/>
        </w:rPr>
        <w:t>C类基金份额</w:t>
      </w:r>
      <w:r w:rsidR="0075473C">
        <w:rPr>
          <w:rFonts w:ascii="宋体" w:hAnsi="宋体" w:hint="eastAsia"/>
          <w:sz w:val="24"/>
        </w:rPr>
        <w:t>或D类基金份额</w:t>
      </w:r>
      <w:r>
        <w:rPr>
          <w:rFonts w:ascii="宋体" w:hAnsi="宋体"/>
          <w:sz w:val="24"/>
        </w:rPr>
        <w:t>的有效份额为净申购金额除以当日该类基金份额的基金份额净值，有效份额单位为份，申购份额计算结果按四舍五入方法，保留到小数点后2位，由此产生的收益或损失由基金财产承担。</w:t>
      </w:r>
    </w:p>
    <w:p w14:paraId="62643768" w14:textId="463C8AA3"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w:t>
      </w:r>
      <w:r w:rsidR="0075473C">
        <w:rPr>
          <w:rFonts w:ascii="宋体" w:hAnsi="宋体" w:hint="eastAsia"/>
          <w:sz w:val="24"/>
        </w:rPr>
        <w:t>、</w:t>
      </w:r>
      <w:r>
        <w:rPr>
          <w:rFonts w:ascii="宋体" w:hAnsi="宋体"/>
          <w:sz w:val="24"/>
        </w:rPr>
        <w:t>C类基金份额</w:t>
      </w:r>
      <w:r w:rsidR="0075473C">
        <w:rPr>
          <w:rFonts w:ascii="宋体" w:hAnsi="宋体" w:hint="eastAsia"/>
          <w:sz w:val="24"/>
        </w:rPr>
        <w:t>和D类基金份额</w:t>
      </w:r>
      <w:r>
        <w:rPr>
          <w:rFonts w:ascii="宋体" w:hAnsi="宋体"/>
          <w:sz w:val="24"/>
        </w:rPr>
        <w:t>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39AE8A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78140FB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34AAED9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1C6990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18C9EB8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155E12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5507245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（注：对于适用固定金额申购费用的申购，申购费用＝固定申购费用金额）</w:t>
      </w:r>
    </w:p>
    <w:p w14:paraId="0E0A1F4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14:paraId="355FDD49" w14:textId="1B9F7C76"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sidR="00687D92">
        <w:rPr>
          <w:rFonts w:ascii="宋体" w:hAnsi="宋体" w:hint="eastAsia"/>
          <w:sz w:val="24"/>
        </w:rPr>
        <w:t>一</w:t>
      </w:r>
      <w:proofErr w:type="gramEnd"/>
      <w:r>
        <w:rPr>
          <w:rFonts w:ascii="宋体" w:hAnsi="宋体"/>
          <w:sz w:val="24"/>
        </w:rPr>
        <w:t>：某投资者（非养老金客户）投资100,000元申购本基金的A类基金份额，假设申购当日A类基金份额净值为1.0400元，申购费率为0.8%，则其可得到的申购份额为：</w:t>
      </w:r>
    </w:p>
    <w:p w14:paraId="39B90D3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0B3CCC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3685C11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444CCBC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5132248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即：某投资者（非养老金客户）投资100,000元申购本基金的A类基金份额，假设申购当日A类基金份额净值为1.0400元，则其可得到95,390.72份A类基金份额。</w:t>
      </w:r>
    </w:p>
    <w:p w14:paraId="0BB102DA" w14:textId="6F3C808C"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687D92">
        <w:rPr>
          <w:rFonts w:ascii="宋体" w:hAnsi="宋体" w:hint="eastAsia"/>
          <w:sz w:val="24"/>
        </w:rPr>
        <w:t>二</w:t>
      </w:r>
      <w:r>
        <w:rPr>
          <w:rFonts w:ascii="宋体" w:hAnsi="宋体"/>
          <w:sz w:val="24"/>
        </w:rPr>
        <w:t>：某养老金客户投资1</w:t>
      </w:r>
      <w:r w:rsidR="00BE06B2">
        <w:rPr>
          <w:rFonts w:ascii="宋体" w:hAnsi="宋体"/>
          <w:sz w:val="24"/>
        </w:rPr>
        <w:t>,</w:t>
      </w:r>
      <w:r w:rsidR="00BE06B2">
        <w:rPr>
          <w:rFonts w:ascii="宋体" w:hAnsi="宋体" w:hint="eastAsia"/>
          <w:sz w:val="24"/>
        </w:rPr>
        <w:t>0</w:t>
      </w:r>
      <w:r>
        <w:rPr>
          <w:rFonts w:ascii="宋体" w:hAnsi="宋体"/>
          <w:sz w:val="24"/>
        </w:rPr>
        <w:t>00,000元通过基金管理人的直销柜台申购本基金的A类基金份额，假设申购当日A类基金份额净值为1.0400元，申购费率为0.</w:t>
      </w:r>
      <w:r w:rsidR="0019451E">
        <w:rPr>
          <w:rFonts w:ascii="宋体" w:hAnsi="宋体"/>
          <w:sz w:val="24"/>
        </w:rPr>
        <w:t>10</w:t>
      </w:r>
      <w:r>
        <w:rPr>
          <w:rFonts w:ascii="宋体" w:hAnsi="宋体"/>
          <w:sz w:val="24"/>
        </w:rPr>
        <w:t>%，则其可得到的申购份额为：</w:t>
      </w:r>
    </w:p>
    <w:p w14:paraId="20C71F91" w14:textId="4546BB81"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w:t>
      </w:r>
      <w:r w:rsidR="00BE06B2">
        <w:rPr>
          <w:rFonts w:ascii="宋体" w:hAnsi="宋体" w:hint="eastAsia"/>
          <w:sz w:val="24"/>
        </w:rPr>
        <w:t>,</w:t>
      </w:r>
      <w:r w:rsidR="00BE06B2">
        <w:rPr>
          <w:rFonts w:ascii="宋体" w:hAnsi="宋体"/>
          <w:sz w:val="24"/>
        </w:rPr>
        <w:t>0</w:t>
      </w:r>
      <w:r>
        <w:rPr>
          <w:rFonts w:ascii="宋体" w:hAnsi="宋体"/>
          <w:sz w:val="24"/>
        </w:rPr>
        <w:t>00,000元</w:t>
      </w:r>
    </w:p>
    <w:p w14:paraId="1212C443" w14:textId="7E3799C5"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w:t>
      </w:r>
      <w:r w:rsidR="00BE06B2">
        <w:rPr>
          <w:rFonts w:ascii="宋体" w:hAnsi="宋体"/>
          <w:sz w:val="24"/>
        </w:rPr>
        <w:t>,0</w:t>
      </w:r>
      <w:r>
        <w:rPr>
          <w:rFonts w:ascii="宋体" w:hAnsi="宋体"/>
          <w:sz w:val="24"/>
        </w:rPr>
        <w:t>00,000/（1+0.</w:t>
      </w:r>
      <w:r w:rsidR="0019451E">
        <w:rPr>
          <w:rFonts w:ascii="宋体" w:hAnsi="宋体"/>
          <w:sz w:val="24"/>
        </w:rPr>
        <w:t>10</w:t>
      </w:r>
      <w:r>
        <w:rPr>
          <w:rFonts w:ascii="宋体" w:hAnsi="宋体"/>
          <w:sz w:val="24"/>
        </w:rPr>
        <w:t>%）=</w:t>
      </w:r>
      <w:r w:rsidR="0019451E" w:rsidRPr="0019451E">
        <w:rPr>
          <w:rFonts w:ascii="宋体" w:hAnsi="宋体"/>
          <w:sz w:val="24"/>
        </w:rPr>
        <w:t xml:space="preserve">999,001.00 </w:t>
      </w:r>
      <w:r>
        <w:rPr>
          <w:rFonts w:ascii="宋体" w:hAnsi="宋体"/>
          <w:sz w:val="24"/>
        </w:rPr>
        <w:t>元</w:t>
      </w:r>
    </w:p>
    <w:p w14:paraId="74FFF5DC" w14:textId="144D5C75"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w:t>
      </w:r>
      <w:r w:rsidR="00BE06B2">
        <w:rPr>
          <w:rFonts w:ascii="宋体" w:hAnsi="宋体"/>
          <w:sz w:val="24"/>
        </w:rPr>
        <w:t>,0</w:t>
      </w:r>
      <w:r>
        <w:rPr>
          <w:rFonts w:ascii="宋体" w:hAnsi="宋体"/>
          <w:sz w:val="24"/>
        </w:rPr>
        <w:t>00,000-</w:t>
      </w:r>
      <w:r w:rsidR="0019451E" w:rsidRPr="0019451E">
        <w:rPr>
          <w:rFonts w:ascii="宋体" w:hAnsi="宋体"/>
          <w:sz w:val="24"/>
        </w:rPr>
        <w:t>999,001.00</w:t>
      </w:r>
      <w:r>
        <w:rPr>
          <w:rFonts w:ascii="宋体" w:hAnsi="宋体"/>
          <w:sz w:val="24"/>
        </w:rPr>
        <w:t>=</w:t>
      </w:r>
      <w:r w:rsidR="0019451E">
        <w:rPr>
          <w:rFonts w:ascii="宋体" w:hAnsi="宋体"/>
          <w:sz w:val="24"/>
        </w:rPr>
        <w:t>999.00</w:t>
      </w:r>
      <w:r>
        <w:rPr>
          <w:rFonts w:ascii="宋体" w:hAnsi="宋体"/>
          <w:sz w:val="24"/>
        </w:rPr>
        <w:t>元</w:t>
      </w:r>
    </w:p>
    <w:p w14:paraId="1A87E99E" w14:textId="23FDB555"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w:t>
      </w:r>
      <w:r w:rsidR="00BE06B2">
        <w:rPr>
          <w:rFonts w:ascii="宋体" w:hAnsi="宋体"/>
          <w:sz w:val="24"/>
        </w:rPr>
        <w:t>,0</w:t>
      </w:r>
      <w:r>
        <w:rPr>
          <w:rFonts w:ascii="宋体" w:hAnsi="宋体"/>
          <w:sz w:val="24"/>
        </w:rPr>
        <w:t>00,000-</w:t>
      </w:r>
      <w:r w:rsidR="0019451E">
        <w:rPr>
          <w:rFonts w:ascii="宋体" w:hAnsi="宋体"/>
          <w:sz w:val="24"/>
        </w:rPr>
        <w:t>999.00</w:t>
      </w:r>
      <w:r>
        <w:rPr>
          <w:rFonts w:ascii="宋体" w:hAnsi="宋体"/>
          <w:sz w:val="24"/>
        </w:rPr>
        <w:t>）/1.0400=</w:t>
      </w:r>
      <w:r w:rsidR="0019451E">
        <w:rPr>
          <w:rFonts w:ascii="宋体" w:hAnsi="宋体"/>
          <w:sz w:val="24"/>
        </w:rPr>
        <w:t>960,577.88</w:t>
      </w:r>
      <w:r>
        <w:rPr>
          <w:rFonts w:ascii="宋体" w:hAnsi="宋体"/>
          <w:sz w:val="24"/>
        </w:rPr>
        <w:t>份</w:t>
      </w:r>
    </w:p>
    <w:p w14:paraId="6B1A0D11" w14:textId="57223A32"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w:t>
      </w:r>
      <w:r w:rsidR="00BE06B2">
        <w:rPr>
          <w:rFonts w:ascii="宋体" w:hAnsi="宋体"/>
          <w:sz w:val="24"/>
        </w:rPr>
        <w:t>,0</w:t>
      </w:r>
      <w:r>
        <w:rPr>
          <w:rFonts w:ascii="宋体" w:hAnsi="宋体"/>
          <w:sz w:val="24"/>
        </w:rPr>
        <w:t>00,000元通过基金管理人的直销柜台申购本基金的A类基金份额，假设申购当日A类基金份额净值为1.0400元，则其可得到</w:t>
      </w:r>
      <w:r w:rsidR="0019451E">
        <w:rPr>
          <w:rFonts w:ascii="宋体" w:hAnsi="宋体"/>
          <w:sz w:val="24"/>
        </w:rPr>
        <w:t>960,577.88</w:t>
      </w:r>
      <w:r>
        <w:rPr>
          <w:rFonts w:ascii="宋体" w:hAnsi="宋体"/>
          <w:sz w:val="24"/>
        </w:rPr>
        <w:t>份A类基金份额。</w:t>
      </w:r>
    </w:p>
    <w:p w14:paraId="617427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40213F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568A2C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0DCDD1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2BF59CCE" w14:textId="571F7278"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BE06B2">
        <w:rPr>
          <w:rFonts w:ascii="宋体" w:hAnsi="宋体" w:hint="eastAsia"/>
          <w:sz w:val="24"/>
        </w:rPr>
        <w:t>三</w:t>
      </w:r>
      <w:r>
        <w:rPr>
          <w:rFonts w:ascii="宋体" w:hAnsi="宋体"/>
          <w:sz w:val="24"/>
        </w:rPr>
        <w:t>：某投资者投资100,000元申购本基金的C类基金份额，假设申购当日C类基金份额净值为1.0400元，则其可得到的申购份额为：</w:t>
      </w:r>
    </w:p>
    <w:p w14:paraId="088D58B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3190273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700D6266"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（3）D类基金份额的申购</w:t>
      </w:r>
    </w:p>
    <w:p w14:paraId="4C84E7C1"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w:t>
      </w:r>
      <w:r>
        <w:rPr>
          <w:rFonts w:ascii="宋体" w:hAnsi="宋体" w:hint="eastAsia"/>
          <w:sz w:val="24"/>
        </w:rPr>
        <w:t>D</w:t>
      </w:r>
      <w:r>
        <w:rPr>
          <w:rFonts w:ascii="宋体" w:hAnsi="宋体"/>
          <w:sz w:val="24"/>
        </w:rPr>
        <w:t>类基金份额，则申购份额的计算方法如下：</w:t>
      </w:r>
    </w:p>
    <w:p w14:paraId="21BBA4F7"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36B46701"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41E071F2"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5A802FEC"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02BB56DE"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680025DD" w14:textId="2A4510F4"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1F3C2F" w:rsidRPr="001F3C2F">
        <w:rPr>
          <w:rFonts w:ascii="宋体" w:hAnsi="宋体" w:hint="eastAsia"/>
          <w:sz w:val="24"/>
        </w:rPr>
        <w:t>净申购金额</w:t>
      </w:r>
      <w:r>
        <w:rPr>
          <w:rFonts w:ascii="宋体" w:hAnsi="宋体"/>
          <w:sz w:val="24"/>
        </w:rPr>
        <w:t>/T日</w:t>
      </w:r>
      <w:r>
        <w:rPr>
          <w:rFonts w:ascii="宋体" w:hAnsi="宋体" w:hint="eastAsia"/>
          <w:sz w:val="24"/>
        </w:rPr>
        <w:t>D</w:t>
      </w:r>
      <w:r>
        <w:rPr>
          <w:rFonts w:ascii="宋体" w:hAnsi="宋体"/>
          <w:sz w:val="24"/>
        </w:rPr>
        <w:t>类基金份额净值</w:t>
      </w:r>
    </w:p>
    <w:p w14:paraId="68B9775C" w14:textId="25602DEC"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四</w:t>
      </w:r>
      <w:r>
        <w:rPr>
          <w:rFonts w:ascii="宋体" w:hAnsi="宋体"/>
          <w:sz w:val="24"/>
        </w:rPr>
        <w:t>：某投资者（非养老金客户）投资100,000元申购本基金的D类基金份额，假设申购当日D类基金份额净值为1.0400元，申购费率为0.9%，则其可得到的申购份额为：</w:t>
      </w:r>
    </w:p>
    <w:p w14:paraId="2E2500BB"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5C99C685" w14:textId="1A8498DB"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净申购金额=100,000/（1+0.9%）=</w:t>
      </w:r>
      <w:r w:rsidRPr="00BE06B2">
        <w:rPr>
          <w:rFonts w:ascii="宋体" w:hAnsi="宋体"/>
          <w:sz w:val="24"/>
        </w:rPr>
        <w:t>99,108.03</w:t>
      </w:r>
      <w:r>
        <w:rPr>
          <w:rFonts w:ascii="宋体" w:hAnsi="宋体"/>
          <w:sz w:val="24"/>
        </w:rPr>
        <w:t>元</w:t>
      </w:r>
    </w:p>
    <w:p w14:paraId="1261CC30" w14:textId="2BBE0D43"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w:t>
      </w:r>
      <w:r w:rsidRPr="00BE06B2">
        <w:rPr>
          <w:rFonts w:ascii="宋体" w:hAnsi="宋体"/>
          <w:sz w:val="24"/>
        </w:rPr>
        <w:t>99,108.03</w:t>
      </w:r>
      <w:r>
        <w:rPr>
          <w:rFonts w:ascii="宋体" w:hAnsi="宋体"/>
          <w:sz w:val="24"/>
        </w:rPr>
        <w:t>=</w:t>
      </w:r>
      <w:r w:rsidRPr="00BE06B2">
        <w:rPr>
          <w:rFonts w:ascii="宋体" w:hAnsi="宋体"/>
          <w:sz w:val="24"/>
        </w:rPr>
        <w:t>891.97</w:t>
      </w:r>
      <w:r>
        <w:rPr>
          <w:rFonts w:ascii="宋体" w:hAnsi="宋体"/>
          <w:sz w:val="24"/>
        </w:rPr>
        <w:t>元</w:t>
      </w:r>
    </w:p>
    <w:p w14:paraId="4CE3082E" w14:textId="0BFCDC81"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1F3C2F" w:rsidRPr="001F3C2F">
        <w:rPr>
          <w:rFonts w:ascii="宋体" w:hAnsi="宋体"/>
          <w:sz w:val="24"/>
        </w:rPr>
        <w:t>99,108.03</w:t>
      </w:r>
      <w:r>
        <w:rPr>
          <w:rFonts w:ascii="宋体" w:hAnsi="宋体"/>
          <w:sz w:val="24"/>
        </w:rPr>
        <w:t>/1.0400=</w:t>
      </w:r>
      <w:r w:rsidRPr="00BE06B2">
        <w:rPr>
          <w:rFonts w:ascii="宋体" w:hAnsi="宋体"/>
          <w:sz w:val="24"/>
        </w:rPr>
        <w:t>95,296.18</w:t>
      </w:r>
      <w:r>
        <w:rPr>
          <w:rFonts w:ascii="宋体" w:hAnsi="宋体"/>
          <w:sz w:val="24"/>
        </w:rPr>
        <w:t>份</w:t>
      </w:r>
    </w:p>
    <w:p w14:paraId="3CBDB623" w14:textId="37F1E988"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sidR="003A7C28">
        <w:rPr>
          <w:rFonts w:ascii="宋体" w:hAnsi="宋体" w:hint="eastAsia"/>
          <w:sz w:val="24"/>
        </w:rPr>
        <w:t>D类基金份额</w:t>
      </w:r>
      <w:r>
        <w:rPr>
          <w:rFonts w:ascii="宋体" w:hAnsi="宋体"/>
          <w:sz w:val="24"/>
        </w:rPr>
        <w:t>，假设申购当日</w:t>
      </w:r>
      <w:r>
        <w:rPr>
          <w:rFonts w:ascii="宋体" w:hAnsi="宋体" w:hint="eastAsia"/>
          <w:sz w:val="24"/>
        </w:rPr>
        <w:t>D</w:t>
      </w:r>
      <w:r>
        <w:rPr>
          <w:rFonts w:ascii="宋体" w:hAnsi="宋体"/>
          <w:sz w:val="24"/>
        </w:rPr>
        <w:t>类基金份额净值为1.0400元，则其可得到</w:t>
      </w:r>
      <w:r w:rsidRPr="00BE06B2">
        <w:rPr>
          <w:rFonts w:ascii="宋体" w:hAnsi="宋体"/>
          <w:sz w:val="24"/>
        </w:rPr>
        <w:t>95,296.18</w:t>
      </w:r>
      <w:r>
        <w:rPr>
          <w:rFonts w:ascii="宋体" w:hAnsi="宋体"/>
          <w:sz w:val="24"/>
        </w:rPr>
        <w:t>份D类基金份额。</w:t>
      </w:r>
    </w:p>
    <w:p w14:paraId="550125FE" w14:textId="1663B1AD"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五</w:t>
      </w:r>
      <w:r>
        <w:rPr>
          <w:rFonts w:ascii="宋体" w:hAnsi="宋体"/>
          <w:sz w:val="24"/>
        </w:rPr>
        <w:t>：某养老金客户投资1</w:t>
      </w:r>
      <w:r w:rsidR="00002090">
        <w:rPr>
          <w:rFonts w:ascii="宋体" w:hAnsi="宋体"/>
          <w:sz w:val="24"/>
        </w:rPr>
        <w:t>,0</w:t>
      </w:r>
      <w:r>
        <w:rPr>
          <w:rFonts w:ascii="宋体" w:hAnsi="宋体"/>
          <w:sz w:val="24"/>
        </w:rPr>
        <w:t>00,000元通过基金管理人的直销柜台申购本基金的D类基金份额，假设申购当日D类基金份额净值为1.0400元，申购费率为0.1</w:t>
      </w:r>
      <w:r w:rsidR="00002090">
        <w:rPr>
          <w:rFonts w:ascii="宋体" w:hAnsi="宋体"/>
          <w:sz w:val="24"/>
        </w:rPr>
        <w:t>2</w:t>
      </w:r>
      <w:r>
        <w:rPr>
          <w:rFonts w:ascii="宋体" w:hAnsi="宋体"/>
          <w:sz w:val="24"/>
        </w:rPr>
        <w:t>%，则其可得到的申购份额为：</w:t>
      </w:r>
    </w:p>
    <w:p w14:paraId="281B73D7" w14:textId="28B95D65"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w:t>
      </w:r>
      <w:r w:rsidR="00002090">
        <w:rPr>
          <w:rFonts w:ascii="宋体" w:hAnsi="宋体"/>
          <w:sz w:val="24"/>
        </w:rPr>
        <w:t>,0</w:t>
      </w:r>
      <w:r>
        <w:rPr>
          <w:rFonts w:ascii="宋体" w:hAnsi="宋体"/>
          <w:sz w:val="24"/>
        </w:rPr>
        <w:t>00,000元</w:t>
      </w:r>
    </w:p>
    <w:p w14:paraId="4037CE88" w14:textId="63039805"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w:t>
      </w:r>
      <w:r w:rsidR="00002090">
        <w:rPr>
          <w:rFonts w:ascii="宋体" w:hAnsi="宋体"/>
          <w:sz w:val="24"/>
        </w:rPr>
        <w:t>,0</w:t>
      </w:r>
      <w:r>
        <w:rPr>
          <w:rFonts w:ascii="宋体" w:hAnsi="宋体"/>
          <w:sz w:val="24"/>
        </w:rPr>
        <w:t>00,000/（1+0.1</w:t>
      </w:r>
      <w:r w:rsidR="00002090">
        <w:rPr>
          <w:rFonts w:ascii="宋体" w:hAnsi="宋体"/>
          <w:sz w:val="24"/>
        </w:rPr>
        <w:t>2</w:t>
      </w:r>
      <w:r>
        <w:rPr>
          <w:rFonts w:ascii="宋体" w:hAnsi="宋体"/>
          <w:sz w:val="24"/>
        </w:rPr>
        <w:t>%）=</w:t>
      </w:r>
      <w:r w:rsidR="00002090" w:rsidRPr="00002090">
        <w:rPr>
          <w:rFonts w:ascii="宋体" w:hAnsi="宋体"/>
          <w:sz w:val="24"/>
        </w:rPr>
        <w:t>998,801.44</w:t>
      </w:r>
      <w:r>
        <w:rPr>
          <w:rFonts w:ascii="宋体" w:hAnsi="宋体"/>
          <w:sz w:val="24"/>
        </w:rPr>
        <w:t>元</w:t>
      </w:r>
    </w:p>
    <w:p w14:paraId="37FAFF90" w14:textId="6FCE4192"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w:t>
      </w:r>
      <w:r w:rsidR="00002090">
        <w:rPr>
          <w:rFonts w:ascii="宋体" w:hAnsi="宋体"/>
          <w:sz w:val="24"/>
        </w:rPr>
        <w:t>,0</w:t>
      </w:r>
      <w:r>
        <w:rPr>
          <w:rFonts w:ascii="宋体" w:hAnsi="宋体"/>
          <w:sz w:val="24"/>
        </w:rPr>
        <w:t>00,000-</w:t>
      </w:r>
      <w:r w:rsidR="00002090" w:rsidRPr="00002090">
        <w:rPr>
          <w:rFonts w:ascii="宋体" w:hAnsi="宋体"/>
          <w:sz w:val="24"/>
        </w:rPr>
        <w:t>998,801.44</w:t>
      </w:r>
      <w:r>
        <w:rPr>
          <w:rFonts w:ascii="宋体" w:hAnsi="宋体"/>
          <w:sz w:val="24"/>
        </w:rPr>
        <w:t>=</w:t>
      </w:r>
      <w:r w:rsidR="00002090" w:rsidRPr="00002090">
        <w:rPr>
          <w:rFonts w:ascii="宋体" w:hAnsi="宋体"/>
          <w:sz w:val="24"/>
        </w:rPr>
        <w:t>1,198.56</w:t>
      </w:r>
      <w:r>
        <w:rPr>
          <w:rFonts w:ascii="宋体" w:hAnsi="宋体"/>
          <w:sz w:val="24"/>
        </w:rPr>
        <w:t>元</w:t>
      </w:r>
    </w:p>
    <w:p w14:paraId="332B0E15" w14:textId="17AECD1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w:t>
      </w:r>
      <w:r w:rsidR="00002090">
        <w:rPr>
          <w:rFonts w:ascii="宋体" w:hAnsi="宋体"/>
          <w:sz w:val="24"/>
        </w:rPr>
        <w:t>,0</w:t>
      </w:r>
      <w:r>
        <w:rPr>
          <w:rFonts w:ascii="宋体" w:hAnsi="宋体"/>
          <w:sz w:val="24"/>
        </w:rPr>
        <w:t>00,000-</w:t>
      </w:r>
      <w:r w:rsidR="00002090" w:rsidRPr="00002090">
        <w:rPr>
          <w:rFonts w:ascii="宋体" w:hAnsi="宋体"/>
          <w:sz w:val="24"/>
        </w:rPr>
        <w:t>1,198.56</w:t>
      </w:r>
      <w:r>
        <w:rPr>
          <w:rFonts w:ascii="宋体" w:hAnsi="宋体"/>
          <w:sz w:val="24"/>
        </w:rPr>
        <w:t>）/1.0400=</w:t>
      </w:r>
      <w:r w:rsidR="00002090" w:rsidRPr="00002090">
        <w:rPr>
          <w:rFonts w:ascii="宋体" w:hAnsi="宋体"/>
          <w:sz w:val="24"/>
        </w:rPr>
        <w:t>960,386.00</w:t>
      </w:r>
      <w:r>
        <w:rPr>
          <w:rFonts w:ascii="宋体" w:hAnsi="宋体"/>
          <w:sz w:val="24"/>
        </w:rPr>
        <w:t>份</w:t>
      </w:r>
    </w:p>
    <w:p w14:paraId="15C7FC25" w14:textId="41D5099B" w:rsidR="00BE06B2" w:rsidRPr="00C5414D"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w:t>
      </w:r>
      <w:r w:rsidR="00002090">
        <w:rPr>
          <w:rFonts w:ascii="宋体" w:hAnsi="宋体"/>
          <w:sz w:val="24"/>
        </w:rPr>
        <w:t>,0</w:t>
      </w:r>
      <w:r>
        <w:rPr>
          <w:rFonts w:ascii="宋体" w:hAnsi="宋体"/>
          <w:sz w:val="24"/>
        </w:rPr>
        <w:t>00,000元通过基金管理人的直销柜台申购本基金的</w:t>
      </w:r>
      <w:r>
        <w:rPr>
          <w:rFonts w:ascii="宋体" w:hAnsi="宋体" w:hint="eastAsia"/>
          <w:sz w:val="24"/>
        </w:rPr>
        <w:t>D</w:t>
      </w:r>
      <w:r>
        <w:rPr>
          <w:rFonts w:ascii="宋体" w:hAnsi="宋体"/>
          <w:sz w:val="24"/>
        </w:rPr>
        <w:t>类基金份额，假设申购当日D类基金份额净值为1.0400元，则其可得到</w:t>
      </w:r>
      <w:r w:rsidR="00002090" w:rsidRPr="00002090">
        <w:rPr>
          <w:rFonts w:ascii="宋体" w:hAnsi="宋体"/>
          <w:sz w:val="24"/>
        </w:rPr>
        <w:t>960,386.00</w:t>
      </w:r>
      <w:r>
        <w:rPr>
          <w:rFonts w:ascii="宋体" w:hAnsi="宋体"/>
          <w:sz w:val="24"/>
        </w:rPr>
        <w:t>份D类基金份额。</w:t>
      </w:r>
    </w:p>
    <w:p w14:paraId="023D233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7E7C3A88" w14:textId="5698C844"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E23FBA">
        <w:rPr>
          <w:rFonts w:ascii="宋体" w:hAnsi="宋体" w:hint="eastAsia"/>
          <w:sz w:val="24"/>
        </w:rPr>
        <w:t>、</w:t>
      </w:r>
      <w:r>
        <w:rPr>
          <w:rFonts w:ascii="宋体" w:hAnsi="宋体"/>
          <w:sz w:val="24"/>
        </w:rPr>
        <w:t>C类基金份额</w:t>
      </w:r>
      <w:r w:rsidR="00E23FBA">
        <w:rPr>
          <w:rFonts w:ascii="宋体" w:hAnsi="宋体" w:hint="eastAsia"/>
          <w:sz w:val="24"/>
        </w:rPr>
        <w:t>或D类基金份额</w:t>
      </w:r>
      <w:r>
        <w:rPr>
          <w:rFonts w:ascii="宋体" w:hAnsi="宋体"/>
          <w:sz w:val="24"/>
        </w:rPr>
        <w:t>的赎回金额为按实际确认的有效赎</w:t>
      </w:r>
      <w:r>
        <w:rPr>
          <w:rFonts w:ascii="宋体" w:hAnsi="宋体"/>
          <w:sz w:val="24"/>
        </w:rPr>
        <w:lastRenderedPageBreak/>
        <w:t>回份额乘以当日该类基金份额的基金份额净值并扣除相应的费用（如有），赎回金额单位为元，计算结果保留到小数点后两位，第三位四舍五入，由此产生的收益或损失由基金财产承担。</w:t>
      </w:r>
    </w:p>
    <w:p w14:paraId="7EDE7FE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38DD7B2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23C9CCCD" w14:textId="3E47CBF1"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w:t>
      </w:r>
      <w:r w:rsidR="005C7D3F">
        <w:rPr>
          <w:rFonts w:ascii="宋体" w:hAnsi="宋体" w:hint="eastAsia"/>
          <w:sz w:val="24"/>
        </w:rPr>
        <w:t>回</w:t>
      </w:r>
      <w:r>
        <w:rPr>
          <w:rFonts w:ascii="宋体" w:hAnsi="宋体"/>
          <w:sz w:val="24"/>
        </w:rPr>
        <w:t>份额×T日A类基金份额净值×赎回费率</w:t>
      </w:r>
    </w:p>
    <w:p w14:paraId="0FC29B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37C905B7" w14:textId="6367C453"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EF6FB1">
        <w:rPr>
          <w:rFonts w:ascii="宋体" w:hAnsi="宋体" w:hint="eastAsia"/>
          <w:sz w:val="24"/>
        </w:rPr>
        <w:t>六</w:t>
      </w:r>
      <w:r>
        <w:rPr>
          <w:rFonts w:ascii="宋体" w:hAnsi="宋体"/>
          <w:sz w:val="24"/>
        </w:rPr>
        <w:t>：某投资者在持有期限为20天时赎回100,000份A类基金份额，对应的赎回费率为0.1%，假设赎回当日A类基金份额净值是1.0160元，则其可得到的赎回金额为：</w:t>
      </w:r>
    </w:p>
    <w:p w14:paraId="35ECFF9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60153F7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2A3046E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即：投资者在持有期限为20天时赎回100,000份A类基金份额，对应的赎回费率为0.1%，假设赎回当日A类基金份额净值是1.0160元，则其可得到的赎回金额为101,498.40元。</w:t>
      </w:r>
    </w:p>
    <w:p w14:paraId="191D6FE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195BA6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6C15EA9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1FD4FE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492C4482" w14:textId="1EE393F3"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706D5">
        <w:rPr>
          <w:rFonts w:ascii="宋体" w:hAnsi="宋体" w:hint="eastAsia"/>
          <w:sz w:val="24"/>
        </w:rPr>
        <w:t>七</w:t>
      </w:r>
      <w:r>
        <w:rPr>
          <w:rFonts w:ascii="宋体" w:hAnsi="宋体"/>
          <w:sz w:val="24"/>
        </w:rPr>
        <w:t>：某投资者在持有期限为20天时赎回100,000份C类基金份额，对应的赎回费率为0.1%，假设赎回当日C类基金份额净值是1.0160元，则其可得到的赎回金额为：</w:t>
      </w:r>
    </w:p>
    <w:p w14:paraId="424D11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219535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741F7A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即：投资者在持有期限为20天时赎回100,000份C类基金份额，对应的赎回费率为0.1%，假设赎回当日C类基金份额净值是1.0160元，则其可得到的赎回金额为101,498.40元。</w:t>
      </w:r>
    </w:p>
    <w:p w14:paraId="3EC09BB7"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（3）D类基金份额的赎回</w:t>
      </w:r>
    </w:p>
    <w:p w14:paraId="7E2293AB"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投资者赎回D类基金份额，赎回金额的计算方法如下：</w:t>
      </w:r>
    </w:p>
    <w:p w14:paraId="0F87FF4F"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赎回费用=赎回份额×T日D类基金份额净值×赎回费率</w:t>
      </w:r>
    </w:p>
    <w:p w14:paraId="6F5A3AA9"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赎回金额=赎回份额×T日D类基金份额净值-赎回费用</w:t>
      </w:r>
    </w:p>
    <w:p w14:paraId="738951BD"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八</w:t>
      </w:r>
      <w:r>
        <w:rPr>
          <w:rFonts w:ascii="宋体" w:hAnsi="宋体"/>
          <w:sz w:val="24"/>
        </w:rPr>
        <w:t>：某投资者赎回100,000份D类基金份额，持有期限为10日，对应的赎回费率为0，假设赎回当日D类基金份额净值是1.0160元，则其可得到的赎回金额为：</w:t>
      </w:r>
    </w:p>
    <w:p w14:paraId="7611B2AC"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赎回费用=100,000×1.0160×0＝0.00元</w:t>
      </w:r>
    </w:p>
    <w:p w14:paraId="200069CC"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赎回金额=100,000×1.0160-0.00＝101,600.00元</w:t>
      </w:r>
    </w:p>
    <w:p w14:paraId="4AE76D95"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即：投资者赎回100,000份D类基金份额，持有期限为10日，对应的赎回费率为0，假设赎回当日D类基金份额净值是1.0160元，则其可得到的赎回金额为101,600.00元。</w:t>
      </w:r>
    </w:p>
    <w:p w14:paraId="76AC36A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7B891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0EA4AC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32029AB8" w14:textId="77777777" w:rsidR="007D5E78" w:rsidRPr="005331D9" w:rsidRDefault="007D5E78" w:rsidP="007D5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D类基金份额净值＝D类基金份额的基金资产净值总额/发行在外的D类基金份额总数</w:t>
      </w:r>
    </w:p>
    <w:p w14:paraId="5E815531" w14:textId="1BAF850E"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本基金T日的基金份额净值在当天收市后计算，并在T＋1日（包括该日）内公告。遇特殊情况，经中国证监会同意，可以适当延迟计算或公告。本基金A类基金份额</w:t>
      </w:r>
      <w:r w:rsidR="007D5E78">
        <w:rPr>
          <w:rFonts w:ascii="宋体" w:hAnsi="宋体" w:hint="eastAsia"/>
          <w:sz w:val="24"/>
        </w:rPr>
        <w:t>、</w:t>
      </w:r>
      <w:r>
        <w:rPr>
          <w:rFonts w:ascii="宋体" w:hAnsi="宋体"/>
          <w:sz w:val="24"/>
        </w:rPr>
        <w:t>C类基金份额</w:t>
      </w:r>
      <w:r w:rsidR="007D5E78">
        <w:rPr>
          <w:rFonts w:ascii="宋体" w:hAnsi="宋体" w:hint="eastAsia"/>
          <w:sz w:val="24"/>
        </w:rPr>
        <w:t>和D类基金份额</w:t>
      </w:r>
      <w:r>
        <w:rPr>
          <w:rFonts w:ascii="宋体" w:hAnsi="宋体"/>
          <w:sz w:val="24"/>
        </w:rPr>
        <w:t>的基金份额净值的计算，</w:t>
      </w:r>
      <w:r w:rsidR="007D5E78">
        <w:rPr>
          <w:rFonts w:ascii="宋体" w:hAnsi="宋体" w:hint="eastAsia"/>
          <w:sz w:val="24"/>
        </w:rPr>
        <w:t>均</w:t>
      </w:r>
      <w:r>
        <w:rPr>
          <w:rFonts w:ascii="宋体" w:hAnsi="宋体"/>
          <w:sz w:val="24"/>
        </w:rPr>
        <w:t>保留到小数点后4位，小数点后第5位四舍五入，由此误差产生的收益或损失由基金财产承担。</w:t>
      </w:r>
    </w:p>
    <w:p w14:paraId="22AE2BAB"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（八）拒绝或暂停申购的情形</w:t>
      </w:r>
    </w:p>
    <w:p w14:paraId="0ECE040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107E6B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5CE05C8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264A7F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1316F1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723ECDD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5、基金资产规模过大，使基金管理人无法找到合适的投资品种，或其他可能对基金业绩产生负面影响，或出现其他损害现有基金份额持有人利益的情形。</w:t>
      </w:r>
    </w:p>
    <w:p w14:paraId="6E6BED2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w:t>
      </w:r>
      <w:r>
        <w:rPr>
          <w:rFonts w:ascii="宋体" w:hAnsi="宋体"/>
          <w:sz w:val="24"/>
        </w:rPr>
        <w:lastRenderedPageBreak/>
        <w:t>机构的异常情况导致基金销售系统、基金销售支付结算系统、基金注册登记系统或基金会计系统无法正常运行。</w:t>
      </w:r>
    </w:p>
    <w:p w14:paraId="3D76AE3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7、基金管理人接受某笔或者某些申购申请有可能导致单一投资者持有基金份额的比例超过50%，或者变相规避50%集中度的。出现上述情形时，基金管理人有权将上述申购申请全部或部分确认失败。</w:t>
      </w:r>
    </w:p>
    <w:p w14:paraId="0D05555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公允价值存在重大不确定性时，经与基金托管人协商确认后，基金管理人应当暂停接受申购申请。</w:t>
      </w:r>
    </w:p>
    <w:p w14:paraId="20A86FC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78D613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发生上述第1、2、3、5、6、8、9项暂停申购情形之一</w:t>
      </w:r>
      <w:proofErr w:type="gramStart"/>
      <w:r>
        <w:rPr>
          <w:rFonts w:ascii="宋体" w:hAnsi="宋体"/>
          <w:sz w:val="24"/>
        </w:rPr>
        <w:t>且基金</w:t>
      </w:r>
      <w:proofErr w:type="gramEnd"/>
      <w:r>
        <w:rPr>
          <w:rFonts w:ascii="宋体" w:hAnsi="宋体"/>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47AFF054"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w:t>
      </w:r>
    </w:p>
    <w:p w14:paraId="43A3A1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777992A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0DFC41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216C78B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595F2BC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331ED5A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5、发生继续接受赎回申请将损害现有基金份额持有人利益的情形时，可暂停接受投资人的赎回申请。</w:t>
      </w:r>
    </w:p>
    <w:p w14:paraId="40F6F3C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5CF410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公允价值存在重大不确定性时，经与基金托管人协商确认后，基金管理人应当延缓支付赎回款项或暂停接受基金赎回申请。</w:t>
      </w:r>
    </w:p>
    <w:p w14:paraId="1A17055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8、基金合同约定、法律法规规定或中国证监会认定的其他情形。</w:t>
      </w:r>
    </w:p>
    <w:p w14:paraId="003430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w:t>
      </w:r>
      <w:proofErr w:type="gramStart"/>
      <w:r>
        <w:rPr>
          <w:rFonts w:ascii="宋体" w:hAnsi="宋体"/>
          <w:sz w:val="24"/>
        </w:rPr>
        <w:t>且基金</w:t>
      </w:r>
      <w:proofErr w:type="gramEnd"/>
      <w:r>
        <w:rPr>
          <w:rFonts w:ascii="宋体" w:hAnsi="宋体"/>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6D43AE2E"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14:paraId="587E0C6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76ADBC3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021AF8D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5FC99F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5501AF4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3CAE7902" w14:textId="0172D4FE"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w:t>
      </w:r>
      <w:r w:rsidR="00D57DD9">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0C651460" w14:textId="0495DC2F"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w:t>
      </w:r>
      <w:r>
        <w:rPr>
          <w:rFonts w:ascii="宋体" w:hAnsi="宋体"/>
          <w:sz w:val="24"/>
        </w:rPr>
        <w:lastRenderedPageBreak/>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1CCB67C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4258893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5994F9F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当发生上述巨额赎回并延期办理时，基金管理人应当通过邮寄、传真、刊登公告或者通知销售机构代为告知等方式在3个交易日内通知基金份额持有人，说明有关处理方法，并在2日内在指定媒介上刊登公告。</w:t>
      </w:r>
    </w:p>
    <w:p w14:paraId="434663A7"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14:paraId="7E69DF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3EA57A94" w14:textId="1CDED922"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w:t>
      </w:r>
      <w:r w:rsidR="004F30E9">
        <w:rPr>
          <w:rFonts w:ascii="宋体" w:hAnsi="宋体" w:hint="eastAsia"/>
          <w:sz w:val="24"/>
        </w:rPr>
        <w:t>各类基金份额</w:t>
      </w:r>
      <w:r>
        <w:rPr>
          <w:rFonts w:ascii="宋体" w:hAnsi="宋体"/>
          <w:sz w:val="24"/>
        </w:rPr>
        <w:t>的基金份额净值。</w:t>
      </w:r>
    </w:p>
    <w:p w14:paraId="6D5C56C1"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w:t>
      </w:r>
      <w:proofErr w:type="gramStart"/>
      <w:r w:rsidRPr="00BB248E">
        <w:rPr>
          <w:rFonts w:ascii="宋体" w:hAnsi="宋体" w:hint="eastAsia"/>
          <w:b/>
          <w:kern w:val="0"/>
          <w:sz w:val="24"/>
        </w:rPr>
        <w:t>非交易</w:t>
      </w:r>
      <w:proofErr w:type="gramEnd"/>
      <w:r w:rsidRPr="00BB248E">
        <w:rPr>
          <w:rFonts w:ascii="宋体" w:hAnsi="宋体" w:hint="eastAsia"/>
          <w:b/>
          <w:kern w:val="0"/>
          <w:sz w:val="24"/>
        </w:rPr>
        <w:t>过户</w:t>
      </w:r>
    </w:p>
    <w:p w14:paraId="0A7925E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w:t>
      </w:r>
      <w:proofErr w:type="gramStart"/>
      <w:r>
        <w:rPr>
          <w:rFonts w:ascii="宋体" w:hAnsi="宋体"/>
          <w:sz w:val="24"/>
        </w:rPr>
        <w:t>非交易</w:t>
      </w:r>
      <w:proofErr w:type="gramEnd"/>
      <w:r>
        <w:rPr>
          <w:rFonts w:ascii="宋体" w:hAnsi="宋体"/>
          <w:sz w:val="24"/>
        </w:rPr>
        <w:t>过户是指基金登记机构受理继承、捐赠和司法强制执行等情形而产生的</w:t>
      </w:r>
      <w:proofErr w:type="gramStart"/>
      <w:r>
        <w:rPr>
          <w:rFonts w:ascii="宋体" w:hAnsi="宋体"/>
          <w:sz w:val="24"/>
        </w:rPr>
        <w:t>非交易</w:t>
      </w:r>
      <w:proofErr w:type="gramEnd"/>
      <w:r>
        <w:rPr>
          <w:rFonts w:ascii="宋体" w:hAnsi="宋体"/>
          <w:sz w:val="24"/>
        </w:rPr>
        <w:t>过户以及登记机构认可、符合法律法规的其它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份额的投资人。</w:t>
      </w:r>
    </w:p>
    <w:p w14:paraId="64AF9E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捐赠指</w:t>
      </w:r>
      <w:proofErr w:type="gramEnd"/>
      <w:r>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过户必须提供基金登记机构要求提供的相关资料，对于符合条件的</w:t>
      </w:r>
      <w:proofErr w:type="gramStart"/>
      <w:r>
        <w:rPr>
          <w:rFonts w:ascii="宋体" w:hAnsi="宋体"/>
          <w:sz w:val="24"/>
        </w:rPr>
        <w:t>非交易过户申请按</w:t>
      </w:r>
      <w:proofErr w:type="gramEnd"/>
      <w:r>
        <w:rPr>
          <w:rFonts w:ascii="宋体" w:hAnsi="宋体"/>
          <w:sz w:val="24"/>
        </w:rPr>
        <w:t>基金登记机构的规定办理，并按基金登记机构规定的标准收费。</w:t>
      </w:r>
    </w:p>
    <w:p w14:paraId="40692BEC"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（十三）基金的转托管</w:t>
      </w:r>
    </w:p>
    <w:p w14:paraId="1DC6DB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w:t>
      </w:r>
      <w:r>
        <w:rPr>
          <w:rFonts w:ascii="宋体" w:hAnsi="宋体"/>
          <w:sz w:val="24"/>
        </w:rPr>
        <w:lastRenderedPageBreak/>
        <w:t>售机构可以按照规定的标准收取转托管费。</w:t>
      </w:r>
    </w:p>
    <w:p w14:paraId="70D4CF0E"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（十四）定期定额投资计划</w:t>
      </w:r>
    </w:p>
    <w:p w14:paraId="2F1832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4E56B11E" w14:textId="3F0C53EE"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本基金2021年4月20日刊登公告自2021年4月21日起开通</w:t>
      </w:r>
      <w:r w:rsidR="00865528" w:rsidRPr="00865528">
        <w:rPr>
          <w:rFonts w:ascii="宋体" w:hAnsi="宋体" w:hint="eastAsia"/>
          <w:sz w:val="24"/>
        </w:rPr>
        <w:t>A类基金份额的</w:t>
      </w:r>
      <w:r>
        <w:rPr>
          <w:rFonts w:ascii="宋体" w:hAnsi="宋体"/>
          <w:sz w:val="24"/>
        </w:rPr>
        <w:t>定期定额投资计划业务</w:t>
      </w:r>
      <w:r w:rsidR="00071822" w:rsidRPr="00F60062">
        <w:rPr>
          <w:rFonts w:ascii="宋体" w:hAnsi="宋体" w:hint="eastAsia"/>
          <w:sz w:val="24"/>
        </w:rPr>
        <w:t>，本基金202</w:t>
      </w:r>
      <w:r w:rsidR="00071822">
        <w:rPr>
          <w:rFonts w:ascii="宋体" w:hAnsi="宋体"/>
          <w:sz w:val="24"/>
        </w:rPr>
        <w:t>3</w:t>
      </w:r>
      <w:r w:rsidR="00071822" w:rsidRPr="00F60062">
        <w:rPr>
          <w:rFonts w:ascii="宋体" w:hAnsi="宋体" w:hint="eastAsia"/>
          <w:sz w:val="24"/>
        </w:rPr>
        <w:t>年</w:t>
      </w:r>
      <w:r w:rsidR="006C570A">
        <w:rPr>
          <w:rFonts w:ascii="宋体" w:hAnsi="宋体"/>
          <w:sz w:val="24"/>
        </w:rPr>
        <w:t>12</w:t>
      </w:r>
      <w:r w:rsidR="00071822" w:rsidRPr="00F60062">
        <w:rPr>
          <w:rFonts w:ascii="宋体" w:hAnsi="宋体" w:hint="eastAsia"/>
          <w:sz w:val="24"/>
        </w:rPr>
        <w:t>月</w:t>
      </w:r>
      <w:r w:rsidR="006C570A">
        <w:rPr>
          <w:rFonts w:ascii="宋体" w:hAnsi="宋体" w:hint="eastAsia"/>
          <w:sz w:val="24"/>
        </w:rPr>
        <w:t>1</w:t>
      </w:r>
      <w:r w:rsidR="006C570A">
        <w:rPr>
          <w:rFonts w:ascii="宋体" w:hAnsi="宋体"/>
          <w:sz w:val="24"/>
        </w:rPr>
        <w:t>4</w:t>
      </w:r>
      <w:r w:rsidR="00071822" w:rsidRPr="00F60062">
        <w:rPr>
          <w:rFonts w:ascii="宋体" w:hAnsi="宋体" w:hint="eastAsia"/>
          <w:sz w:val="24"/>
        </w:rPr>
        <w:t>日刊登公告自202</w:t>
      </w:r>
      <w:r w:rsidR="00071822">
        <w:rPr>
          <w:rFonts w:ascii="宋体" w:hAnsi="宋体"/>
          <w:sz w:val="24"/>
        </w:rPr>
        <w:t>3</w:t>
      </w:r>
      <w:r w:rsidR="00071822" w:rsidRPr="00F60062">
        <w:rPr>
          <w:rFonts w:ascii="宋体" w:hAnsi="宋体" w:hint="eastAsia"/>
          <w:sz w:val="24"/>
        </w:rPr>
        <w:t>年</w:t>
      </w:r>
      <w:r w:rsidR="006C570A">
        <w:rPr>
          <w:rFonts w:ascii="宋体" w:hAnsi="宋体"/>
          <w:sz w:val="24"/>
        </w:rPr>
        <w:t>12</w:t>
      </w:r>
      <w:r w:rsidR="00071822" w:rsidRPr="00F60062">
        <w:rPr>
          <w:rFonts w:ascii="宋体" w:hAnsi="宋体" w:hint="eastAsia"/>
          <w:sz w:val="24"/>
        </w:rPr>
        <w:t>月</w:t>
      </w:r>
      <w:r w:rsidR="006C570A">
        <w:rPr>
          <w:rFonts w:ascii="宋体" w:hAnsi="宋体" w:hint="eastAsia"/>
          <w:sz w:val="24"/>
        </w:rPr>
        <w:t>1</w:t>
      </w:r>
      <w:r w:rsidR="006C570A">
        <w:rPr>
          <w:rFonts w:ascii="宋体" w:hAnsi="宋体"/>
          <w:sz w:val="24"/>
        </w:rPr>
        <w:t>5</w:t>
      </w:r>
      <w:r w:rsidR="00071822" w:rsidRPr="00F60062">
        <w:rPr>
          <w:rFonts w:ascii="宋体" w:hAnsi="宋体" w:hint="eastAsia"/>
          <w:sz w:val="24"/>
        </w:rPr>
        <w:t>日起增设</w:t>
      </w:r>
      <w:r w:rsidR="00071822">
        <w:rPr>
          <w:rFonts w:ascii="宋体" w:hAnsi="宋体"/>
          <w:sz w:val="24"/>
        </w:rPr>
        <w:t>D</w:t>
      </w:r>
      <w:r w:rsidR="00071822" w:rsidRPr="00F60062">
        <w:rPr>
          <w:rFonts w:ascii="宋体" w:hAnsi="宋体" w:hint="eastAsia"/>
          <w:sz w:val="24"/>
        </w:rPr>
        <w:t>类基金份额并开通</w:t>
      </w:r>
      <w:r w:rsidR="00071822">
        <w:rPr>
          <w:rFonts w:ascii="宋体" w:hAnsi="宋体"/>
          <w:sz w:val="24"/>
        </w:rPr>
        <w:t>D</w:t>
      </w:r>
      <w:r w:rsidR="00071822" w:rsidRPr="00F60062">
        <w:rPr>
          <w:rFonts w:ascii="宋体" w:hAnsi="宋体" w:hint="eastAsia"/>
          <w:sz w:val="24"/>
        </w:rPr>
        <w:t>类基金份额的定期定额投资计划业务</w:t>
      </w:r>
      <w:r>
        <w:rPr>
          <w:rFonts w:ascii="宋体" w:hAnsi="宋体"/>
          <w:sz w:val="24"/>
        </w:rPr>
        <w:t>，具体开通销售机构名单和业务规则参见相关公告。</w:t>
      </w:r>
    </w:p>
    <w:p w14:paraId="6ED5AA75"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（十五）基金份额的冻结和解冻</w:t>
      </w:r>
    </w:p>
    <w:p w14:paraId="15F92D3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13474675"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（十六）基金份额的转让</w:t>
      </w:r>
    </w:p>
    <w:p w14:paraId="3066BCF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06B1322"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（十七）实施</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期间本基金的申购与赎回</w:t>
      </w:r>
    </w:p>
    <w:p w14:paraId="56C9F84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的，本基金的申购和赎回安排详见本招募说明书“侧袋机制”部分的规定或相关公告。</w:t>
      </w:r>
    </w:p>
    <w:p w14:paraId="1D46E8F4"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（十八）其他业务</w:t>
      </w:r>
    </w:p>
    <w:p w14:paraId="4463A9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E72997D"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D77193D" w14:textId="77777777" w:rsidR="001F702C" w:rsidRDefault="00BD18A1">
      <w:pPr>
        <w:pStyle w:val="1"/>
        <w:snapToGrid w:val="0"/>
        <w:spacing w:beforeLines="0" w:before="240" w:after="240"/>
        <w:rPr>
          <w:rFonts w:ascii="宋体" w:hAnsi="宋体"/>
          <w:szCs w:val="30"/>
        </w:rPr>
      </w:pPr>
      <w:bookmarkStart w:id="12" w:name="_Toc140049413"/>
      <w:r>
        <w:rPr>
          <w:rFonts w:ascii="Times New Roman" w:hAnsi="Times New Roman"/>
          <w:sz w:val="30"/>
        </w:rPr>
        <w:lastRenderedPageBreak/>
        <w:t>九、基金的转换</w:t>
      </w:r>
      <w:bookmarkEnd w:id="12"/>
    </w:p>
    <w:p w14:paraId="6D102847"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14:paraId="1FE613F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5897F0F9"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14:paraId="580453ED" w14:textId="2CA4F909"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本基金2021年12月18日刊登公告自2021年12月22日起开放</w:t>
      </w:r>
      <w:r w:rsidR="00CA5D95" w:rsidRPr="00F60062">
        <w:rPr>
          <w:rFonts w:ascii="宋体" w:hAnsi="宋体" w:hint="eastAsia"/>
          <w:sz w:val="24"/>
        </w:rPr>
        <w:t>A类基金份额</w:t>
      </w:r>
      <w:r w:rsidR="00CA5D95">
        <w:rPr>
          <w:rFonts w:ascii="宋体" w:hAnsi="宋体" w:hint="eastAsia"/>
          <w:sz w:val="24"/>
        </w:rPr>
        <w:t>和</w:t>
      </w:r>
      <w:r w:rsidR="00CA5D95">
        <w:rPr>
          <w:rFonts w:ascii="宋体" w:hAnsi="宋体"/>
          <w:sz w:val="24"/>
        </w:rPr>
        <w:t>C</w:t>
      </w:r>
      <w:r w:rsidR="00CA5D95" w:rsidRPr="00FF0EDE">
        <w:rPr>
          <w:rFonts w:ascii="宋体" w:hAnsi="宋体" w:hint="eastAsia"/>
          <w:sz w:val="24"/>
        </w:rPr>
        <w:t>类基金份额</w:t>
      </w:r>
      <w:r w:rsidR="00CA5D95">
        <w:rPr>
          <w:rFonts w:ascii="宋体" w:hAnsi="宋体" w:hint="eastAsia"/>
          <w:sz w:val="24"/>
        </w:rPr>
        <w:t>的</w:t>
      </w:r>
      <w:r>
        <w:rPr>
          <w:rFonts w:ascii="宋体" w:hAnsi="宋体"/>
          <w:sz w:val="24"/>
        </w:rPr>
        <w:t>日常转换业务</w:t>
      </w:r>
      <w:r w:rsidR="00CA5D95" w:rsidRPr="00CA5D95">
        <w:rPr>
          <w:rFonts w:ascii="宋体" w:hAnsi="宋体" w:hint="eastAsia"/>
          <w:sz w:val="24"/>
        </w:rPr>
        <w:t>，本基金</w:t>
      </w:r>
      <w:r w:rsidR="00CA5D95">
        <w:rPr>
          <w:rFonts w:ascii="宋体" w:hAnsi="宋体" w:hint="eastAsia"/>
          <w:sz w:val="24"/>
        </w:rPr>
        <w:t>202</w:t>
      </w:r>
      <w:r w:rsidR="006C570A">
        <w:rPr>
          <w:rFonts w:ascii="宋体" w:hAnsi="宋体"/>
          <w:sz w:val="24"/>
        </w:rPr>
        <w:t>3</w:t>
      </w:r>
      <w:r w:rsidR="00CA5D95" w:rsidRPr="00CA5D95">
        <w:rPr>
          <w:rFonts w:ascii="宋体" w:hAnsi="宋体" w:hint="eastAsia"/>
          <w:sz w:val="24"/>
        </w:rPr>
        <w:t>年</w:t>
      </w:r>
      <w:r w:rsidR="006C570A">
        <w:rPr>
          <w:rFonts w:ascii="宋体" w:hAnsi="宋体"/>
          <w:sz w:val="24"/>
        </w:rPr>
        <w:t>12</w:t>
      </w:r>
      <w:r w:rsidR="00CA5D95" w:rsidRPr="00CA5D95">
        <w:rPr>
          <w:rFonts w:ascii="宋体" w:hAnsi="宋体" w:hint="eastAsia"/>
          <w:sz w:val="24"/>
        </w:rPr>
        <w:t>月</w:t>
      </w:r>
      <w:r w:rsidR="006C570A">
        <w:rPr>
          <w:rFonts w:ascii="宋体" w:hAnsi="宋体" w:hint="eastAsia"/>
          <w:sz w:val="24"/>
        </w:rPr>
        <w:t>1</w:t>
      </w:r>
      <w:r w:rsidR="006C570A">
        <w:rPr>
          <w:rFonts w:ascii="宋体" w:hAnsi="宋体"/>
          <w:sz w:val="24"/>
        </w:rPr>
        <w:t>4</w:t>
      </w:r>
      <w:r w:rsidR="00CA5D95" w:rsidRPr="00CA5D95">
        <w:rPr>
          <w:rFonts w:ascii="宋体" w:hAnsi="宋体" w:hint="eastAsia"/>
          <w:sz w:val="24"/>
        </w:rPr>
        <w:t>日刊登公告自</w:t>
      </w:r>
      <w:r w:rsidR="00CA5D95">
        <w:rPr>
          <w:rFonts w:ascii="宋体" w:hAnsi="宋体" w:hint="eastAsia"/>
          <w:sz w:val="24"/>
        </w:rPr>
        <w:t>202</w:t>
      </w:r>
      <w:r w:rsidR="006C570A">
        <w:rPr>
          <w:rFonts w:ascii="宋体" w:hAnsi="宋体"/>
          <w:sz w:val="24"/>
        </w:rPr>
        <w:t>3</w:t>
      </w:r>
      <w:r w:rsidR="00CA5D95" w:rsidRPr="00CA5D95">
        <w:rPr>
          <w:rFonts w:ascii="宋体" w:hAnsi="宋体" w:hint="eastAsia"/>
          <w:sz w:val="24"/>
        </w:rPr>
        <w:t>年</w:t>
      </w:r>
      <w:r w:rsidR="006C570A">
        <w:rPr>
          <w:rFonts w:ascii="宋体" w:hAnsi="宋体"/>
          <w:sz w:val="24"/>
        </w:rPr>
        <w:t>12</w:t>
      </w:r>
      <w:r w:rsidR="00CA5D95" w:rsidRPr="00CA5D95">
        <w:rPr>
          <w:rFonts w:ascii="宋体" w:hAnsi="宋体" w:hint="eastAsia"/>
          <w:sz w:val="24"/>
        </w:rPr>
        <w:t>月</w:t>
      </w:r>
      <w:r w:rsidR="006C570A">
        <w:rPr>
          <w:rFonts w:ascii="宋体" w:hAnsi="宋体" w:hint="eastAsia"/>
          <w:sz w:val="24"/>
        </w:rPr>
        <w:t>1</w:t>
      </w:r>
      <w:r w:rsidR="006C570A">
        <w:rPr>
          <w:rFonts w:ascii="宋体" w:hAnsi="宋体"/>
          <w:sz w:val="24"/>
        </w:rPr>
        <w:t>5</w:t>
      </w:r>
      <w:r w:rsidR="00CA5D95" w:rsidRPr="00CA5D95">
        <w:rPr>
          <w:rFonts w:ascii="宋体" w:hAnsi="宋体" w:hint="eastAsia"/>
          <w:sz w:val="24"/>
        </w:rPr>
        <w:t>日起增设D类基金份额并开通D类基金份额的日常转换业务</w:t>
      </w:r>
      <w:r>
        <w:rPr>
          <w:rFonts w:ascii="宋体" w:hAnsi="宋体"/>
          <w:sz w:val="24"/>
        </w:rPr>
        <w:t>。</w:t>
      </w:r>
    </w:p>
    <w:p w14:paraId="391492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653C65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91BBDD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184F1862"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14:paraId="2D6726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6935CC8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4FF49F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768B61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5C24A7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0535EA91"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（四）基金转换的数额限制</w:t>
      </w:r>
    </w:p>
    <w:p w14:paraId="007464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14:paraId="0C364E6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1A6AA1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w:t>
      </w:r>
      <w:proofErr w:type="gramStart"/>
      <w:r>
        <w:rPr>
          <w:rFonts w:ascii="宋体" w:hAnsi="宋体"/>
          <w:sz w:val="24"/>
        </w:rPr>
        <w:t>基金基金</w:t>
      </w:r>
      <w:proofErr w:type="gramEnd"/>
      <w:r>
        <w:rPr>
          <w:rFonts w:ascii="宋体" w:hAnsi="宋体"/>
          <w:sz w:val="24"/>
        </w:rPr>
        <w:t>份额余额少于该基金的最低保留余额时，若当日该账户同时有该基金的基金份额减少类业务（如赎回、转换出等）被确认，基金管理人有权将投资人在该账户保留的该</w:t>
      </w:r>
      <w:proofErr w:type="gramStart"/>
      <w:r>
        <w:rPr>
          <w:rFonts w:ascii="宋体" w:hAnsi="宋体"/>
          <w:sz w:val="24"/>
        </w:rPr>
        <w:t>基金基金</w:t>
      </w:r>
      <w:proofErr w:type="gramEnd"/>
      <w:r>
        <w:rPr>
          <w:rFonts w:ascii="宋体" w:hAnsi="宋体"/>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07D11FA1"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14:paraId="7CB708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14BB5D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72F36A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7F5275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197D38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w:t>
      </w:r>
      <w:proofErr w:type="gramStart"/>
      <w:r>
        <w:rPr>
          <w:rFonts w:ascii="宋体" w:hAnsi="宋体"/>
          <w:sz w:val="24"/>
        </w:rPr>
        <w:t>遇固定</w:t>
      </w:r>
      <w:proofErr w:type="gramEnd"/>
      <w:r>
        <w:rPr>
          <w:rFonts w:ascii="宋体" w:hAnsi="宋体"/>
          <w:sz w:val="24"/>
        </w:rPr>
        <w:t>费用，则按实际产生补差费用收取。</w:t>
      </w:r>
    </w:p>
    <w:p w14:paraId="73E2AF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5A852E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w:t>
      </w:r>
      <w:r>
        <w:rPr>
          <w:rFonts w:ascii="宋体" w:hAnsi="宋体"/>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424C755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0A3D680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0CC0E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6、本基金管理人可以根据法律法规及基金合同的规定对上述转换费用收费方式和费率进行调整，并应于调整后的收费方式和费率实施前依照《信息披露办法》的有关规定在中国证监会指定媒介上公告。</w:t>
      </w:r>
    </w:p>
    <w:p w14:paraId="5F600ABC"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14:paraId="0288C6B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543BE3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18982AC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20ACC60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1F355F1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5D8EEFA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4F8D50E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7B66A4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2BB584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6D9E874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14:paraId="75B973D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14:paraId="669D8AB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：某投资者持有交</w:t>
      </w:r>
      <w:proofErr w:type="gramStart"/>
      <w:r>
        <w:rPr>
          <w:rFonts w:ascii="宋体" w:hAnsi="宋体"/>
          <w:sz w:val="24"/>
        </w:rPr>
        <w:t>银趋势</w:t>
      </w:r>
      <w:proofErr w:type="gramEnd"/>
      <w:r>
        <w:rPr>
          <w:rFonts w:ascii="宋体" w:hAnsi="宋体"/>
          <w:sz w:val="24"/>
        </w:rPr>
        <w:t>前端收费模式的A类基金份额100,000份，持有期半年，转换申请当日交</w:t>
      </w:r>
      <w:proofErr w:type="gramStart"/>
      <w:r>
        <w:rPr>
          <w:rFonts w:ascii="宋体" w:hAnsi="宋体"/>
          <w:sz w:val="24"/>
        </w:rPr>
        <w:t>银趋势</w:t>
      </w:r>
      <w:proofErr w:type="gramEnd"/>
      <w:r>
        <w:rPr>
          <w:rFonts w:ascii="宋体" w:hAnsi="宋体"/>
          <w:sz w:val="24"/>
        </w:rPr>
        <w:t>的A类基金份额净值为1.0100元，交</w:t>
      </w:r>
      <w:proofErr w:type="gramStart"/>
      <w:r>
        <w:rPr>
          <w:rFonts w:ascii="宋体" w:hAnsi="宋体"/>
          <w:sz w:val="24"/>
        </w:rPr>
        <w:t>银成长</w:t>
      </w:r>
      <w:proofErr w:type="gramEnd"/>
      <w:r>
        <w:rPr>
          <w:rFonts w:ascii="宋体" w:hAnsi="宋体"/>
          <w:sz w:val="24"/>
        </w:rPr>
        <w:t>的基金份额净值为2.2700元。若该投资者将100,000份交</w:t>
      </w:r>
      <w:proofErr w:type="gramStart"/>
      <w:r>
        <w:rPr>
          <w:rFonts w:ascii="宋体" w:hAnsi="宋体"/>
          <w:sz w:val="24"/>
        </w:rPr>
        <w:t>银趋势</w:t>
      </w:r>
      <w:proofErr w:type="gramEnd"/>
      <w:r>
        <w:rPr>
          <w:rFonts w:ascii="宋体" w:hAnsi="宋体"/>
          <w:sz w:val="24"/>
        </w:rPr>
        <w:t>前端A类基金份额转换为交</w:t>
      </w:r>
      <w:proofErr w:type="gramStart"/>
      <w:r>
        <w:rPr>
          <w:rFonts w:ascii="宋体" w:hAnsi="宋体"/>
          <w:sz w:val="24"/>
        </w:rPr>
        <w:t>银成长</w:t>
      </w:r>
      <w:proofErr w:type="gramEnd"/>
      <w:r>
        <w:rPr>
          <w:rFonts w:ascii="宋体" w:hAnsi="宋体"/>
          <w:sz w:val="24"/>
        </w:rPr>
        <w:t>前端基金份额，则转入交</w:t>
      </w:r>
      <w:proofErr w:type="gramStart"/>
      <w:r>
        <w:rPr>
          <w:rFonts w:ascii="宋体" w:hAnsi="宋体"/>
          <w:sz w:val="24"/>
        </w:rPr>
        <w:t>银成长</w:t>
      </w:r>
      <w:proofErr w:type="gramEnd"/>
      <w:r>
        <w:rPr>
          <w:rFonts w:ascii="宋体" w:hAnsi="宋体"/>
          <w:sz w:val="24"/>
        </w:rPr>
        <w:t>确认的基金份额为：</w:t>
      </w:r>
    </w:p>
    <w:p w14:paraId="44DF94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505796E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4B44DE8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2C19CD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74E382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570279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w:t>
      </w:r>
      <w:proofErr w:type="gramStart"/>
      <w:r>
        <w:rPr>
          <w:rFonts w:ascii="宋体" w:hAnsi="宋体"/>
          <w:sz w:val="24"/>
        </w:rPr>
        <w:t>银趋势</w:t>
      </w:r>
      <w:proofErr w:type="gramEnd"/>
      <w:r>
        <w:rPr>
          <w:rFonts w:ascii="宋体" w:hAnsi="宋体"/>
          <w:sz w:val="24"/>
        </w:rPr>
        <w:t>的A类基金份额净值为1.0100元。若该投资者将1,000,000份交银增利A类基金份额转换为交</w:t>
      </w:r>
      <w:proofErr w:type="gramStart"/>
      <w:r>
        <w:rPr>
          <w:rFonts w:ascii="宋体" w:hAnsi="宋体"/>
          <w:sz w:val="24"/>
        </w:rPr>
        <w:t>银趋势</w:t>
      </w:r>
      <w:proofErr w:type="gramEnd"/>
      <w:r>
        <w:rPr>
          <w:rFonts w:ascii="宋体" w:hAnsi="宋体"/>
          <w:sz w:val="24"/>
        </w:rPr>
        <w:t>前端A类基金份额，则转入交</w:t>
      </w:r>
      <w:proofErr w:type="gramStart"/>
      <w:r>
        <w:rPr>
          <w:rFonts w:ascii="宋体" w:hAnsi="宋体"/>
          <w:sz w:val="24"/>
        </w:rPr>
        <w:t>银趋势</w:t>
      </w:r>
      <w:proofErr w:type="gramEnd"/>
      <w:r>
        <w:rPr>
          <w:rFonts w:ascii="宋体" w:hAnsi="宋体"/>
          <w:sz w:val="24"/>
        </w:rPr>
        <w:t>确认的A类基金份额为：</w:t>
      </w:r>
    </w:p>
    <w:p w14:paraId="14FD33D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50BAAC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2472CC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630C6E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6EFA6C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182E6E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485EF5F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7E0EBF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16DA2E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4B2842B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629520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0E0FB86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w:t>
      </w:r>
      <w:proofErr w:type="gramStart"/>
      <w:r>
        <w:rPr>
          <w:rFonts w:ascii="宋体" w:hAnsi="宋体"/>
          <w:sz w:val="24"/>
        </w:rPr>
        <w:t>银货币A级基金</w:t>
      </w:r>
      <w:proofErr w:type="gramEnd"/>
      <w:r>
        <w:rPr>
          <w:rFonts w:ascii="宋体" w:hAnsi="宋体"/>
          <w:sz w:val="24"/>
        </w:rPr>
        <w:t>份额100,000份，该100,000份基金份额</w:t>
      </w:r>
      <w:r>
        <w:rPr>
          <w:rFonts w:ascii="宋体" w:hAnsi="宋体"/>
          <w:sz w:val="24"/>
        </w:rPr>
        <w:lastRenderedPageBreak/>
        <w:t>未结转的</w:t>
      </w:r>
      <w:proofErr w:type="gramStart"/>
      <w:r>
        <w:rPr>
          <w:rFonts w:ascii="宋体" w:hAnsi="宋体"/>
          <w:sz w:val="24"/>
        </w:rPr>
        <w:t>待支付</w:t>
      </w:r>
      <w:proofErr w:type="gramEnd"/>
      <w:r>
        <w:rPr>
          <w:rFonts w:ascii="宋体" w:hAnsi="宋体"/>
          <w:sz w:val="24"/>
        </w:rPr>
        <w:t>收益为61.52元，转换申请当日交银增利A类基金份额净值为1.2700元，交</w:t>
      </w:r>
      <w:proofErr w:type="gramStart"/>
      <w:r>
        <w:rPr>
          <w:rFonts w:ascii="宋体" w:hAnsi="宋体"/>
          <w:sz w:val="24"/>
        </w:rPr>
        <w:t>银货币</w:t>
      </w:r>
      <w:proofErr w:type="gramEnd"/>
      <w:r>
        <w:rPr>
          <w:rFonts w:ascii="宋体" w:hAnsi="宋体"/>
          <w:sz w:val="24"/>
        </w:rPr>
        <w:t>的基金份额净值为1.00元。若该投资者将100,000份交</w:t>
      </w:r>
      <w:proofErr w:type="gramStart"/>
      <w:r>
        <w:rPr>
          <w:rFonts w:ascii="宋体" w:hAnsi="宋体"/>
          <w:sz w:val="24"/>
        </w:rPr>
        <w:t>银货币A级基金</w:t>
      </w:r>
      <w:proofErr w:type="gramEnd"/>
      <w:r>
        <w:rPr>
          <w:rFonts w:ascii="宋体" w:hAnsi="宋体"/>
          <w:sz w:val="24"/>
        </w:rPr>
        <w:t>份额转换为交银增利A类基金份额，则转入确认的交银增利A类基金份额为：</w:t>
      </w:r>
    </w:p>
    <w:p w14:paraId="0C219A0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001E3C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2F3C70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7D27F3E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00C48C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0F5F60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58FE3BA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2C430DD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237681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144AD6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161BF4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497A4B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739C608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14:paraId="5130A6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14:paraId="525DA21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w:t>
      </w:r>
      <w:proofErr w:type="gramStart"/>
      <w:r>
        <w:rPr>
          <w:rFonts w:ascii="宋体" w:hAnsi="宋体"/>
          <w:sz w:val="24"/>
        </w:rPr>
        <w:t>银主题</w:t>
      </w:r>
      <w:proofErr w:type="gramEnd"/>
      <w:r>
        <w:rPr>
          <w:rFonts w:ascii="宋体" w:hAnsi="宋体"/>
          <w:sz w:val="24"/>
        </w:rPr>
        <w:t>后端收费模式的A类基金份额100,000份，持有期一年半，转换申请当日交</w:t>
      </w:r>
      <w:proofErr w:type="gramStart"/>
      <w:r>
        <w:rPr>
          <w:rFonts w:ascii="宋体" w:hAnsi="宋体"/>
          <w:sz w:val="24"/>
        </w:rPr>
        <w:t>银主题</w:t>
      </w:r>
      <w:proofErr w:type="gramEnd"/>
      <w:r>
        <w:rPr>
          <w:rFonts w:ascii="宋体" w:hAnsi="宋体"/>
          <w:sz w:val="24"/>
        </w:rPr>
        <w:t>的A类基金份额净值为1.2500元，交银稳健的基金份额净值为2.2700元。若该投资者将100,000份交</w:t>
      </w:r>
      <w:proofErr w:type="gramStart"/>
      <w:r>
        <w:rPr>
          <w:rFonts w:ascii="宋体" w:hAnsi="宋体"/>
          <w:sz w:val="24"/>
        </w:rPr>
        <w:t>银主题</w:t>
      </w:r>
      <w:proofErr w:type="gramEnd"/>
      <w:r>
        <w:rPr>
          <w:rFonts w:ascii="宋体" w:hAnsi="宋体"/>
          <w:sz w:val="24"/>
        </w:rPr>
        <w:t>后端A类基金份额转换为交银稳健后端基金份额，则转入交银稳健确认的基金份额为：</w:t>
      </w:r>
    </w:p>
    <w:p w14:paraId="6D2161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34AE9D3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29D345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2929304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2C2EAC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1592E8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例六：某投资者持有交银先锋后端收费模式的A类基金份额100,000份，持有期一年半，转换申请当日交银先锋的A类基金份额净值为1.2500元，交</w:t>
      </w:r>
      <w:proofErr w:type="gramStart"/>
      <w:r>
        <w:rPr>
          <w:rFonts w:ascii="宋体" w:hAnsi="宋体"/>
          <w:sz w:val="24"/>
        </w:rPr>
        <w:t>银货币</w:t>
      </w:r>
      <w:proofErr w:type="gramEnd"/>
      <w:r>
        <w:rPr>
          <w:rFonts w:ascii="宋体" w:hAnsi="宋体"/>
          <w:sz w:val="24"/>
        </w:rPr>
        <w:t>的基金份额净值为1.00元。若该投资者将100,000份交银先锋后端A类基金份额转换为交银货币，则转入交</w:t>
      </w:r>
      <w:proofErr w:type="gramStart"/>
      <w:r>
        <w:rPr>
          <w:rFonts w:ascii="宋体" w:hAnsi="宋体"/>
          <w:sz w:val="24"/>
        </w:rPr>
        <w:t>银货币</w:t>
      </w:r>
      <w:proofErr w:type="gramEnd"/>
      <w:r>
        <w:rPr>
          <w:rFonts w:ascii="宋体" w:hAnsi="宋体"/>
          <w:sz w:val="24"/>
        </w:rPr>
        <w:t>的基金份额为：</w:t>
      </w:r>
    </w:p>
    <w:p w14:paraId="3FEF04E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F9C73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400BB8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1CB8CDF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78C266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54D0161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4DEB84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5F59863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087F07E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0C5F28E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39B0BC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4C357B8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w:t>
      </w:r>
      <w:proofErr w:type="gramStart"/>
      <w:r>
        <w:rPr>
          <w:rFonts w:ascii="宋体" w:hAnsi="宋体"/>
          <w:sz w:val="24"/>
        </w:rPr>
        <w:t>银货币A级基金</w:t>
      </w:r>
      <w:proofErr w:type="gramEnd"/>
      <w:r>
        <w:rPr>
          <w:rFonts w:ascii="宋体" w:hAnsi="宋体"/>
          <w:sz w:val="24"/>
        </w:rPr>
        <w:t>份额100,000份，该100,000份基金份额未结转的</w:t>
      </w:r>
      <w:proofErr w:type="gramStart"/>
      <w:r>
        <w:rPr>
          <w:rFonts w:ascii="宋体" w:hAnsi="宋体"/>
          <w:sz w:val="24"/>
        </w:rPr>
        <w:t>待支付</w:t>
      </w:r>
      <w:proofErr w:type="gramEnd"/>
      <w:r>
        <w:rPr>
          <w:rFonts w:ascii="宋体" w:hAnsi="宋体"/>
          <w:sz w:val="24"/>
        </w:rPr>
        <w:t>收益为61.52元，转换申请当日交银增利B类基金份额净值为1.2700元，交</w:t>
      </w:r>
      <w:proofErr w:type="gramStart"/>
      <w:r>
        <w:rPr>
          <w:rFonts w:ascii="宋体" w:hAnsi="宋体"/>
          <w:sz w:val="24"/>
        </w:rPr>
        <w:t>银货币</w:t>
      </w:r>
      <w:proofErr w:type="gramEnd"/>
      <w:r>
        <w:rPr>
          <w:rFonts w:ascii="宋体" w:hAnsi="宋体"/>
          <w:sz w:val="24"/>
        </w:rPr>
        <w:t>的基金份额净值为1.00元。若该投资者将100,000份交</w:t>
      </w:r>
      <w:proofErr w:type="gramStart"/>
      <w:r>
        <w:rPr>
          <w:rFonts w:ascii="宋体" w:hAnsi="宋体"/>
          <w:sz w:val="24"/>
        </w:rPr>
        <w:t>银货币A级基金</w:t>
      </w:r>
      <w:proofErr w:type="gramEnd"/>
      <w:r>
        <w:rPr>
          <w:rFonts w:ascii="宋体" w:hAnsi="宋体"/>
          <w:sz w:val="24"/>
        </w:rPr>
        <w:t>份额转换为交银增利B类基金份额，则转入确认的交银增利B类基金份额为：</w:t>
      </w:r>
    </w:p>
    <w:p w14:paraId="3AD1509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0B0DD3E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C8701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5263FBC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60C017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44461787"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14:paraId="50016B6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w:t>
      </w:r>
      <w:r>
        <w:rPr>
          <w:rFonts w:ascii="宋体" w:hAnsi="宋体"/>
          <w:sz w:val="24"/>
        </w:rPr>
        <w:lastRenderedPageBreak/>
        <w:t>理基金转换业务时，转出方的基金必须处于可赎回状态，转入方的基金必须处于可申购状态。</w:t>
      </w:r>
    </w:p>
    <w:p w14:paraId="61818A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41AC6DE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w:t>
      </w:r>
      <w:proofErr w:type="gramStart"/>
      <w:r>
        <w:rPr>
          <w:rFonts w:ascii="宋体" w:hAnsi="宋体"/>
          <w:sz w:val="24"/>
        </w:rPr>
        <w:t>固定价</w:t>
      </w:r>
      <w:proofErr w:type="gramEnd"/>
      <w:r>
        <w:rPr>
          <w:rFonts w:ascii="宋体" w:hAnsi="宋体"/>
          <w:sz w:val="24"/>
        </w:rPr>
        <w:t>1.00元）。</w:t>
      </w:r>
    </w:p>
    <w:p w14:paraId="0F002E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w:t>
      </w:r>
      <w:proofErr w:type="gramStart"/>
      <w:r>
        <w:rPr>
          <w:rFonts w:ascii="宋体" w:hAnsi="宋体"/>
          <w:sz w:val="24"/>
        </w:rPr>
        <w:t>待支付</w:t>
      </w:r>
      <w:proofErr w:type="gramEnd"/>
      <w:r>
        <w:rPr>
          <w:rFonts w:ascii="宋体" w:hAnsi="宋体"/>
          <w:sz w:val="24"/>
        </w:rPr>
        <w:t>收益，该收益将一并计入转出金额并折算为转入基金的基金份额，但收益部分不收取转换费用。</w:t>
      </w:r>
    </w:p>
    <w:p w14:paraId="15121A1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727ED2D8"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14:paraId="066B8C0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66E891A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w:t>
      </w:r>
      <w:proofErr w:type="gramStart"/>
      <w:r>
        <w:rPr>
          <w:rFonts w:ascii="宋体" w:hAnsi="宋体"/>
          <w:sz w:val="24"/>
        </w:rPr>
        <w:t>申请总</w:t>
      </w:r>
      <w:proofErr w:type="gramEnd"/>
      <w:r>
        <w:rPr>
          <w:rFonts w:ascii="宋体" w:hAnsi="宋体"/>
          <w:sz w:val="24"/>
        </w:rPr>
        <w:t>份额加上基金转换中转出</w:t>
      </w:r>
      <w:proofErr w:type="gramStart"/>
      <w:r>
        <w:rPr>
          <w:rFonts w:ascii="宋体" w:hAnsi="宋体"/>
          <w:sz w:val="24"/>
        </w:rPr>
        <w:t>申请总</w:t>
      </w:r>
      <w:proofErr w:type="gramEnd"/>
      <w:r>
        <w:rPr>
          <w:rFonts w:ascii="宋体" w:hAnsi="宋体"/>
          <w:sz w:val="24"/>
        </w:rPr>
        <w:t>份额扣除申购</w:t>
      </w:r>
      <w:proofErr w:type="gramStart"/>
      <w:r>
        <w:rPr>
          <w:rFonts w:ascii="宋体" w:hAnsi="宋体"/>
          <w:sz w:val="24"/>
        </w:rPr>
        <w:t>申请总</w:t>
      </w:r>
      <w:proofErr w:type="gramEnd"/>
      <w:r>
        <w:rPr>
          <w:rFonts w:ascii="宋体" w:hAnsi="宋体"/>
          <w:sz w:val="24"/>
        </w:rPr>
        <w:t>份额及基金转换中转入</w:t>
      </w:r>
      <w:proofErr w:type="gramStart"/>
      <w:r>
        <w:rPr>
          <w:rFonts w:ascii="宋体" w:hAnsi="宋体"/>
          <w:sz w:val="24"/>
        </w:rPr>
        <w:t>申请总</w:t>
      </w:r>
      <w:proofErr w:type="gramEnd"/>
      <w:r>
        <w:rPr>
          <w:rFonts w:ascii="宋体" w:hAnsi="宋体"/>
          <w:sz w:val="24"/>
        </w:rPr>
        <w:t>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0327D590"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38A365" w14:textId="77777777" w:rsidR="001F702C" w:rsidRDefault="00BD18A1">
      <w:pPr>
        <w:pStyle w:val="1"/>
        <w:snapToGrid w:val="0"/>
        <w:spacing w:beforeLines="0" w:before="240" w:after="240"/>
        <w:rPr>
          <w:rFonts w:ascii="宋体" w:hAnsi="宋体"/>
          <w:szCs w:val="30"/>
        </w:rPr>
      </w:pPr>
      <w:bookmarkStart w:id="13" w:name="_Toc140049414"/>
      <w:r>
        <w:rPr>
          <w:rFonts w:ascii="Times New Roman" w:hAnsi="Times New Roman"/>
          <w:sz w:val="30"/>
        </w:rPr>
        <w:lastRenderedPageBreak/>
        <w:t>十、基金的投资</w:t>
      </w:r>
      <w:bookmarkEnd w:id="13"/>
    </w:p>
    <w:p w14:paraId="59E128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2DD684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本基金通过指数化投资，争取在扣除各项费用之前获得与标的指数相似的总回报，追求跟踪偏离度及跟踪误差的最小化。</w:t>
      </w:r>
    </w:p>
    <w:p w14:paraId="19A0413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33F3CB7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w:t>
      </w:r>
    </w:p>
    <w:p w14:paraId="2AD1ED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527DDF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本基金的投资组合比例为：本基金投资于债券资产的比例不低于基金资产的80%，其中标的指数成份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的比例不低于本基金非现金基金资产的80%；每个交易日日终，现金或到期日在一年以内的政府债券的投资比例合计不低于基金资产净值的5%，其中现金不包括结算备付金、存出保证金、应收申购款等。</w:t>
      </w:r>
    </w:p>
    <w:p w14:paraId="41E5F5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2E13297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（三）投资标的指数</w:t>
      </w:r>
    </w:p>
    <w:p w14:paraId="30298C7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中债-1-3年农发行债券指数</w:t>
      </w:r>
    </w:p>
    <w:p w14:paraId="44FECF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w:t>
      </w:r>
      <w:proofErr w:type="gramStart"/>
      <w:r>
        <w:rPr>
          <w:rFonts w:ascii="宋体" w:hAnsi="宋体"/>
          <w:sz w:val="24"/>
        </w:rPr>
        <w:t>券</w:t>
      </w:r>
      <w:proofErr w:type="gramEnd"/>
      <w:r>
        <w:rPr>
          <w:rFonts w:ascii="宋体" w:hAnsi="宋体"/>
          <w:sz w:val="24"/>
        </w:rPr>
        <w:t>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14:paraId="7E5EED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自指数</w:t>
      </w:r>
      <w:proofErr w:type="gramEnd"/>
      <w:r>
        <w:rPr>
          <w:rFonts w:ascii="宋体" w:hAnsi="宋体"/>
          <w:sz w:val="24"/>
        </w:rPr>
        <w:t>编制机构停止标的指数的编制及发布</w:t>
      </w:r>
      <w:proofErr w:type="gramStart"/>
      <w:r>
        <w:rPr>
          <w:rFonts w:ascii="宋体" w:hAnsi="宋体"/>
          <w:sz w:val="24"/>
        </w:rPr>
        <w:t>至解决</w:t>
      </w:r>
      <w:proofErr w:type="gramEnd"/>
      <w:r>
        <w:rPr>
          <w:rFonts w:ascii="宋体" w:hAnsi="宋体"/>
          <w:sz w:val="24"/>
        </w:rPr>
        <w:t>方案确定期间，基金管理人应按照指数编制机构提供的最近一个交易日的指数信息遵循基金份额持有人利益优先原则维持基金投资运作。</w:t>
      </w:r>
    </w:p>
    <w:p w14:paraId="1AD006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标的指数发生变更，基金业绩比较基准随之变更，由基金管理人根据标</w:t>
      </w:r>
      <w:r>
        <w:rPr>
          <w:rFonts w:ascii="宋体" w:hAnsi="宋体"/>
          <w:sz w:val="24"/>
        </w:rPr>
        <w:lastRenderedPageBreak/>
        <w:t>的指数变更情形履行对应适当程序，并在调整实施前依照《信息披露办法》的有关规定在中国证监会指定媒介上刊登公告。</w:t>
      </w:r>
    </w:p>
    <w:p w14:paraId="399ACB6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（四）投资策略</w:t>
      </w:r>
    </w:p>
    <w:p w14:paraId="027A90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本基金为指数基金，主要采用抽样复制和动态最优化的方法，投资于标的指数中具有代表性和流动性的成份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，或选择非成份</w:t>
      </w:r>
      <w:proofErr w:type="gramStart"/>
      <w:r>
        <w:rPr>
          <w:rFonts w:ascii="宋体" w:hAnsi="宋体"/>
          <w:sz w:val="24"/>
        </w:rPr>
        <w:t>券</w:t>
      </w:r>
      <w:proofErr w:type="gramEnd"/>
      <w:r>
        <w:rPr>
          <w:rFonts w:ascii="宋体" w:hAnsi="宋体"/>
          <w:sz w:val="24"/>
        </w:rPr>
        <w:t>作为替代，构造与标的指数风险收益特征相似的资产组合，以实现对标的指数的有效跟踪。</w:t>
      </w:r>
    </w:p>
    <w:p w14:paraId="3308526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在正常市场情况下，本基金力争追求日均跟踪偏离度的绝对值不超过0.35%，</w:t>
      </w:r>
      <w:proofErr w:type="gramStart"/>
      <w:r>
        <w:rPr>
          <w:rFonts w:ascii="宋体" w:hAnsi="宋体"/>
          <w:sz w:val="24"/>
        </w:rPr>
        <w:t>将年化跟踪误差</w:t>
      </w:r>
      <w:proofErr w:type="gramEnd"/>
      <w:r>
        <w:rPr>
          <w:rFonts w:ascii="宋体" w:hAnsi="宋体"/>
          <w:sz w:val="24"/>
        </w:rPr>
        <w:t>控制在4%以内。如因标的指数编制规则调整等其他原因，导致基金跟踪偏离度和跟踪误差超过了上述范围，基金管理人应采取合理措施，避免跟踪误差进一步扩大。</w:t>
      </w:r>
    </w:p>
    <w:p w14:paraId="614E29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1、债券指数</w:t>
      </w:r>
      <w:proofErr w:type="gramStart"/>
      <w:r>
        <w:rPr>
          <w:rFonts w:ascii="宋体" w:hAnsi="宋体"/>
          <w:sz w:val="24"/>
        </w:rPr>
        <w:t>化投资</w:t>
      </w:r>
      <w:proofErr w:type="gramEnd"/>
      <w:r>
        <w:rPr>
          <w:rFonts w:ascii="宋体" w:hAnsi="宋体"/>
          <w:sz w:val="24"/>
        </w:rPr>
        <w:t>策略</w:t>
      </w:r>
    </w:p>
    <w:p w14:paraId="0EA6EC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（1）债券投资组合的构建策略</w:t>
      </w:r>
    </w:p>
    <w:p w14:paraId="34D45F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构建投资组合的过程主要分为三步：划分债券层级、筛选目标组合成份</w:t>
      </w:r>
      <w:proofErr w:type="gramStart"/>
      <w:r>
        <w:rPr>
          <w:rFonts w:ascii="宋体" w:hAnsi="宋体"/>
          <w:sz w:val="24"/>
        </w:rPr>
        <w:t>券</w:t>
      </w:r>
      <w:proofErr w:type="gramEnd"/>
      <w:r>
        <w:rPr>
          <w:rFonts w:ascii="宋体" w:hAnsi="宋体"/>
          <w:sz w:val="24"/>
        </w:rPr>
        <w:t>和逐步调整建仓。</w:t>
      </w:r>
    </w:p>
    <w:p w14:paraId="5250755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①划分债券层级</w:t>
      </w:r>
    </w:p>
    <w:p w14:paraId="73B2FDE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本基金根据债券的剩余期限将标的指数成份</w:t>
      </w:r>
      <w:proofErr w:type="gramStart"/>
      <w:r>
        <w:rPr>
          <w:rFonts w:ascii="宋体" w:hAnsi="宋体"/>
          <w:sz w:val="24"/>
        </w:rPr>
        <w:t>券</w:t>
      </w:r>
      <w:proofErr w:type="gramEnd"/>
      <w:r>
        <w:rPr>
          <w:rFonts w:ascii="宋体" w:hAnsi="宋体"/>
          <w:sz w:val="24"/>
        </w:rPr>
        <w:t>划分层级，按照分层抽样的原理，确定各层级成份</w:t>
      </w:r>
      <w:proofErr w:type="gramStart"/>
      <w:r>
        <w:rPr>
          <w:rFonts w:ascii="宋体" w:hAnsi="宋体"/>
          <w:sz w:val="24"/>
        </w:rPr>
        <w:t>券</w:t>
      </w:r>
      <w:proofErr w:type="gramEnd"/>
      <w:r>
        <w:rPr>
          <w:rFonts w:ascii="宋体" w:hAnsi="宋体"/>
          <w:sz w:val="24"/>
        </w:rPr>
        <w:t>及其权重。</w:t>
      </w:r>
    </w:p>
    <w:p w14:paraId="34C3323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②筛选目标组合成份</w:t>
      </w:r>
      <w:proofErr w:type="gramStart"/>
      <w:r>
        <w:rPr>
          <w:rFonts w:ascii="宋体" w:hAnsi="宋体"/>
          <w:sz w:val="24"/>
        </w:rPr>
        <w:t>券</w:t>
      </w:r>
      <w:proofErr w:type="gramEnd"/>
    </w:p>
    <w:p w14:paraId="3F6AB49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分层完成后，本基金在各层级成份</w:t>
      </w:r>
      <w:proofErr w:type="gramStart"/>
      <w:r>
        <w:rPr>
          <w:rFonts w:ascii="宋体" w:hAnsi="宋体"/>
          <w:sz w:val="24"/>
        </w:rPr>
        <w:t>券</w:t>
      </w:r>
      <w:proofErr w:type="gramEnd"/>
      <w:r>
        <w:rPr>
          <w:rFonts w:ascii="宋体" w:hAnsi="宋体"/>
          <w:sz w:val="24"/>
        </w:rPr>
        <w:t>内利用动态最优化或随机抽样等方法筛选出与各层级总体风险收益特征（例如久期、凸性等）相近的且流动性较好（主要考虑发行规模、日均成交金额、期间成交天数等指标）的</w:t>
      </w:r>
      <w:proofErr w:type="gramStart"/>
      <w:r>
        <w:rPr>
          <w:rFonts w:ascii="宋体" w:hAnsi="宋体"/>
          <w:sz w:val="24"/>
        </w:rPr>
        <w:t>个券</w:t>
      </w:r>
      <w:proofErr w:type="gramEnd"/>
      <w:r>
        <w:rPr>
          <w:rFonts w:ascii="宋体" w:hAnsi="宋体"/>
          <w:sz w:val="24"/>
        </w:rPr>
        <w:t>组合，或部分投资于非成份</w:t>
      </w:r>
      <w:proofErr w:type="gramStart"/>
      <w:r>
        <w:rPr>
          <w:rFonts w:ascii="宋体" w:hAnsi="宋体"/>
          <w:sz w:val="24"/>
        </w:rPr>
        <w:t>券</w:t>
      </w:r>
      <w:proofErr w:type="gramEnd"/>
      <w:r>
        <w:rPr>
          <w:rFonts w:ascii="宋体" w:hAnsi="宋体"/>
          <w:sz w:val="24"/>
        </w:rPr>
        <w:t>，以更好的实现对标的指数的跟踪。</w:t>
      </w:r>
    </w:p>
    <w:p w14:paraId="7B9FA0D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③逐步建仓</w:t>
      </w:r>
    </w:p>
    <w:p w14:paraId="35E9F5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本基金将根据实际的市场流动性情况和投资机会逐步建仓。</w:t>
      </w:r>
    </w:p>
    <w:p w14:paraId="6B728B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（2）债券投资组合的调整策略</w:t>
      </w:r>
    </w:p>
    <w:p w14:paraId="245B42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①定期调整</w:t>
      </w:r>
    </w:p>
    <w:p w14:paraId="5C0BEAF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基金管理人将每月评估投资组合整体以及各层级债券与标的指数的偏离情 </w:t>
      </w:r>
      <w:proofErr w:type="gramStart"/>
      <w:r>
        <w:rPr>
          <w:rFonts w:ascii="宋体" w:hAnsi="宋体"/>
          <w:sz w:val="24"/>
        </w:rPr>
        <w:t>况</w:t>
      </w:r>
      <w:proofErr w:type="gramEnd"/>
      <w:r>
        <w:rPr>
          <w:rFonts w:ascii="宋体" w:hAnsi="宋体"/>
          <w:sz w:val="24"/>
        </w:rPr>
        <w:t>，定期对投资组合进行调整，以确保总体特征与标的指数相似，并缩小跟踪误差。</w:t>
      </w:r>
    </w:p>
    <w:p w14:paraId="5042529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②不定期调整</w:t>
      </w:r>
    </w:p>
    <w:p w14:paraId="1B670F3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当发生较大的申购赎回、组合中债券派息、债券到期以及市场波动剧烈等情况，导致投资组合与标的指数出现偏离，本基金将综合考虑市场流动性、交易成本、偏离程度等因素，对投资组合进行不定期的动态调整以缩小跟踪误差。</w:t>
      </w:r>
    </w:p>
    <w:p w14:paraId="5BBECEA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2、其他投资策略</w:t>
      </w:r>
    </w:p>
    <w:p w14:paraId="420B90B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了在一定程度上弥补基金费用，基金管理人还可以在控制风险的前提下，使用其他投资策略。未来，随着市场的发展和基金管理运作的需要，基金管理人可以在不改变投资目标的前提下，遵循法律法规的规定并履行适当程序后，相应调整或更新投资策略，并在招募说明书更新中公告。</w:t>
      </w:r>
    </w:p>
    <w:p w14:paraId="50BAF24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（五）投资限制</w:t>
      </w:r>
    </w:p>
    <w:p w14:paraId="2EEE54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082EAA9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01536F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（1）本基金投资于债券资产的比例不低于基金资产的80%，其中标的指数成份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的比例不低于本基金非现金基金资产的80%；</w:t>
      </w:r>
    </w:p>
    <w:p w14:paraId="78E372E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（2）每个交易日日终，保持不低于基金资产净值5%的现金或者到期日在一年以内的政府债券，其中现金不包括结算备付金、存出保证金、应收申购款等；</w:t>
      </w:r>
    </w:p>
    <w:p w14:paraId="48BC3C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（3）本基金进入全国银行间同业市场进行债券回购的资金余额不得超过基金资产净值的40%；本基金在全国银行间同业市场中的债券回购最长期限为1 年，债券回购到期后不得展期；</w:t>
      </w:r>
    </w:p>
    <w:p w14:paraId="78724F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（4）本基金的基金资产总值不得超过基金资产净值的140%；</w:t>
      </w:r>
    </w:p>
    <w:p w14:paraId="546ABB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1DA4A7C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14:paraId="50C44D3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（7）法律法规及中国证监会规定的和《基金合同》约定的其他投资限制。</w:t>
      </w:r>
    </w:p>
    <w:p w14:paraId="15D2F0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5）、（6）项外，因证券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584E129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62C9FA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38F566E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39790C8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73E2466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4AB389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649F806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560D3C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54E6CC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354E8E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21BCEE1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6807717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00983B5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B296E6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2F7CE0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（六）业绩比较基准</w:t>
      </w:r>
    </w:p>
    <w:p w14:paraId="64CAC73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中债-1-3年农发行债券指数收益率*95%+银行活期存款利率（税后）*5%</w:t>
      </w:r>
    </w:p>
    <w:p w14:paraId="52494F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w:t>
      </w:r>
      <w:proofErr w:type="gramStart"/>
      <w:r>
        <w:rPr>
          <w:rFonts w:ascii="宋体" w:hAnsi="宋体"/>
          <w:sz w:val="24"/>
        </w:rPr>
        <w:t>券</w:t>
      </w:r>
      <w:proofErr w:type="gramEnd"/>
      <w:r>
        <w:rPr>
          <w:rFonts w:ascii="宋体" w:hAnsi="宋体"/>
          <w:sz w:val="24"/>
        </w:rPr>
        <w:t>价格波动等指数编制方法变动之外的因素致使标的指数不符合要求的情形）、指数编制机构退出等情形，基金</w:t>
      </w:r>
      <w:r>
        <w:rPr>
          <w:rFonts w:ascii="宋体" w:hAnsi="宋体"/>
          <w:sz w:val="24"/>
        </w:rPr>
        <w:lastRenderedPageBreak/>
        <w:t>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14:paraId="6178657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自指数</w:t>
      </w:r>
      <w:proofErr w:type="gramEnd"/>
      <w:r>
        <w:rPr>
          <w:rFonts w:ascii="宋体" w:hAnsi="宋体"/>
          <w:sz w:val="24"/>
        </w:rPr>
        <w:t>编制机构停止标的指数的编制及发布</w:t>
      </w:r>
      <w:proofErr w:type="gramStart"/>
      <w:r>
        <w:rPr>
          <w:rFonts w:ascii="宋体" w:hAnsi="宋体"/>
          <w:sz w:val="24"/>
        </w:rPr>
        <w:t>至解决</w:t>
      </w:r>
      <w:proofErr w:type="gramEnd"/>
      <w:r>
        <w:rPr>
          <w:rFonts w:ascii="宋体" w:hAnsi="宋体"/>
          <w:sz w:val="24"/>
        </w:rPr>
        <w:t>方案确定期间，基金管理人应按照指数编制机构提供的最近一个交易日的指数信息遵循基金份额持有人利益优先原则维持基金投资运作。</w:t>
      </w:r>
    </w:p>
    <w:p w14:paraId="62D90C1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标的指数发生变更，基金业绩比较基准随之变更，由基金管理人根据标的指数变更情形履行对应适当程序，并在调整实施前依照《信息披露办法》的有关规定在中国证监会指定媒介上刊登公告。</w:t>
      </w:r>
    </w:p>
    <w:p w14:paraId="3BB1153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（七）风险收益特征</w:t>
      </w:r>
    </w:p>
    <w:p w14:paraId="138695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p w14:paraId="2D24F8A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（八）基金管理人代表基金行使债权人权利的处理原则及方法</w:t>
      </w:r>
    </w:p>
    <w:p w14:paraId="7E63E6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5998238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14:paraId="3C989C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45C945F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w:t>
      </w:r>
      <w:proofErr w:type="gramStart"/>
      <w:r>
        <w:rPr>
          <w:rFonts w:ascii="宋体" w:hAnsi="宋体"/>
          <w:sz w:val="24"/>
        </w:rPr>
        <w:t>侧袋机制</w:t>
      </w:r>
      <w:proofErr w:type="gramEnd"/>
      <w:r>
        <w:rPr>
          <w:rFonts w:ascii="宋体" w:hAnsi="宋体"/>
          <w:sz w:val="24"/>
        </w:rPr>
        <w:t>的实施和投资运作安排</w:t>
      </w:r>
    </w:p>
    <w:p w14:paraId="558D864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14:paraId="3164DC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实施期间，本部分约定的投资组合比例、投资策略、组合限制、业绩比较基准、风险收益特征等约定仅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w:t>
      </w:r>
    </w:p>
    <w:p w14:paraId="0574DFB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的实施条件、实施程序、运作安排、投资安排、特定资产的处置变现和支付等对投资者权益有重大影响的事项详见本招募说明书“侧袋机制”部分的规定。</w:t>
      </w:r>
    </w:p>
    <w:p w14:paraId="6FB6DA3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（十）基金投资组合报告</w:t>
      </w:r>
    </w:p>
    <w:p w14:paraId="54DDC0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5A253C7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基金托管人中国光大银行股份有限公司根据本基金合同规定，于2023年04月20日复核了本报告中的财务指标、净值表现和投资组合报告等内容，保证复核内容不存在虚假记载、误导性陈述或者重大遗漏。</w:t>
      </w:r>
    </w:p>
    <w:p w14:paraId="618DFD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本报告期自2023年01月01日起至03月31日止。本报告财务资料未经审计师审计。</w:t>
      </w:r>
    </w:p>
    <w:p w14:paraId="1F3DF2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F702C" w14:paraId="04F7B9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685C7D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551838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331051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1A9C9B1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F702C" w14:paraId="4B2675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8E50F1"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4C3FD9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0DE3C9F2"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6C6FEB6"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306B0A2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895E14"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9EADFB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029516AC"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C9377E3"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2A4D25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72082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2AEEB8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1B8D5D9A"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94C9718"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2A3E1A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A07DF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40C4FC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475C8AC9"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7,449,792,380.74</w:t>
            </w:r>
          </w:p>
        </w:tc>
        <w:tc>
          <w:tcPr>
            <w:tcW w:w="400" w:type="pct"/>
            <w:tcBorders>
              <w:top w:val="single" w:sz="4" w:space="0" w:color="auto"/>
              <w:left w:val="single" w:sz="4" w:space="0" w:color="auto"/>
              <w:bottom w:val="single" w:sz="4" w:space="0" w:color="auto"/>
              <w:right w:val="single" w:sz="4" w:space="0" w:color="auto"/>
            </w:tcBorders>
            <w:vAlign w:val="center"/>
          </w:tcPr>
          <w:p w14:paraId="44451B88"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98.11</w:t>
            </w:r>
          </w:p>
        </w:tc>
      </w:tr>
      <w:tr w:rsidR="001F702C" w14:paraId="146C29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88C8A0"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98573B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4FB552A1"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7,449,792,380.74</w:t>
            </w:r>
          </w:p>
        </w:tc>
        <w:tc>
          <w:tcPr>
            <w:tcW w:w="400" w:type="pct"/>
            <w:tcBorders>
              <w:top w:val="single" w:sz="4" w:space="0" w:color="auto"/>
              <w:left w:val="single" w:sz="4" w:space="0" w:color="auto"/>
              <w:bottom w:val="single" w:sz="4" w:space="0" w:color="auto"/>
              <w:right w:val="single" w:sz="4" w:space="0" w:color="auto"/>
            </w:tcBorders>
            <w:vAlign w:val="center"/>
          </w:tcPr>
          <w:p w14:paraId="7A2FBCD5"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98.11</w:t>
            </w:r>
          </w:p>
        </w:tc>
      </w:tr>
      <w:tr w:rsidR="001F702C" w14:paraId="52CC2A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7259EA"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1F01CB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738A1628"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380E489"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3C90ED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9385F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F87401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22B30A8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9A791CB"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4015F7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FF3E71"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10B49A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w:t>
            </w:r>
            <w:proofErr w:type="gramStart"/>
            <w:r>
              <w:rPr>
                <w:rFonts w:ascii="Times New Roman" w:hAnsi="Times New Roman"/>
                <w:color w:val="000000"/>
                <w:kern w:val="0"/>
                <w:sz w:val="25"/>
                <w:szCs w:val="24"/>
              </w:rPr>
              <w:t>品投资</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69151B8D"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9CEDD8A"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4094EBF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D28F0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9C522A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ACE71B3"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CECB97F"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66E3CE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2D50BA"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17EBBE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55FC2A18"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5E7C0FF"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53E773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688E0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21C7C0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79CFE7B2"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1,047,338.74</w:t>
            </w:r>
          </w:p>
        </w:tc>
        <w:tc>
          <w:tcPr>
            <w:tcW w:w="400" w:type="pct"/>
            <w:tcBorders>
              <w:top w:val="single" w:sz="4" w:space="0" w:color="auto"/>
              <w:left w:val="single" w:sz="4" w:space="0" w:color="auto"/>
              <w:bottom w:val="single" w:sz="4" w:space="0" w:color="auto"/>
              <w:right w:val="single" w:sz="4" w:space="0" w:color="auto"/>
            </w:tcBorders>
            <w:vAlign w:val="center"/>
          </w:tcPr>
          <w:p w14:paraId="37F883DD"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1F702C" w14:paraId="7C763D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543F5E"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80FFCC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2861FD7F"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142,244,397.16</w:t>
            </w:r>
          </w:p>
        </w:tc>
        <w:tc>
          <w:tcPr>
            <w:tcW w:w="400" w:type="pct"/>
            <w:tcBorders>
              <w:top w:val="single" w:sz="4" w:space="0" w:color="auto"/>
              <w:left w:val="single" w:sz="4" w:space="0" w:color="auto"/>
              <w:bottom w:val="single" w:sz="4" w:space="0" w:color="auto"/>
              <w:right w:val="single" w:sz="4" w:space="0" w:color="auto"/>
            </w:tcBorders>
            <w:vAlign w:val="center"/>
          </w:tcPr>
          <w:p w14:paraId="5246AD61"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1.87</w:t>
            </w:r>
          </w:p>
        </w:tc>
      </w:tr>
      <w:tr w:rsidR="001F702C" w14:paraId="031E1E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251A59"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D70C28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59E40BC9"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7,593,084,116.64</w:t>
            </w:r>
          </w:p>
        </w:tc>
        <w:tc>
          <w:tcPr>
            <w:tcW w:w="400" w:type="pct"/>
            <w:tcBorders>
              <w:top w:val="single" w:sz="4" w:space="0" w:color="auto"/>
              <w:left w:val="single" w:sz="4" w:space="0" w:color="auto"/>
              <w:bottom w:val="single" w:sz="4" w:space="0" w:color="auto"/>
              <w:right w:val="single" w:sz="4" w:space="0" w:color="auto"/>
            </w:tcBorders>
            <w:vAlign w:val="center"/>
          </w:tcPr>
          <w:p w14:paraId="1CA50E31"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3573D80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38334F5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2376F8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61F56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1B36A73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AB8DF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416E0BD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35C83D0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DDAD3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F702C" w14:paraId="46B99B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EE9C21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8C7A2E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DC15AB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DC341A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F702C" w14:paraId="0CCD2C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84BC89"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441C40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7A0984AC"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100,508,453.04</w:t>
            </w:r>
          </w:p>
        </w:tc>
        <w:tc>
          <w:tcPr>
            <w:tcW w:w="400" w:type="pct"/>
            <w:tcBorders>
              <w:top w:val="single" w:sz="4" w:space="0" w:color="auto"/>
              <w:left w:val="single" w:sz="4" w:space="0" w:color="auto"/>
              <w:bottom w:val="single" w:sz="4" w:space="0" w:color="auto"/>
              <w:right w:val="single" w:sz="4" w:space="0" w:color="auto"/>
            </w:tcBorders>
            <w:vAlign w:val="center"/>
          </w:tcPr>
          <w:p w14:paraId="5A33B5AA"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1.42</w:t>
            </w:r>
          </w:p>
        </w:tc>
      </w:tr>
      <w:tr w:rsidR="001F702C" w14:paraId="0990F9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285A6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520637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06942AAB"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D358735"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51C985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B08C2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4FD486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23CF4C8B"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7,349,283,927.70</w:t>
            </w:r>
          </w:p>
        </w:tc>
        <w:tc>
          <w:tcPr>
            <w:tcW w:w="400" w:type="pct"/>
            <w:tcBorders>
              <w:top w:val="single" w:sz="4" w:space="0" w:color="auto"/>
              <w:left w:val="single" w:sz="4" w:space="0" w:color="auto"/>
              <w:bottom w:val="single" w:sz="4" w:space="0" w:color="auto"/>
              <w:right w:val="single" w:sz="4" w:space="0" w:color="auto"/>
            </w:tcBorders>
            <w:vAlign w:val="center"/>
          </w:tcPr>
          <w:p w14:paraId="62B84204"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103.67</w:t>
            </w:r>
          </w:p>
        </w:tc>
      </w:tr>
      <w:tr w:rsidR="001F702C" w14:paraId="54E6D9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0A7E89"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CA518C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04B436F4"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7,349,283,927.70</w:t>
            </w:r>
          </w:p>
        </w:tc>
        <w:tc>
          <w:tcPr>
            <w:tcW w:w="400" w:type="pct"/>
            <w:tcBorders>
              <w:top w:val="single" w:sz="4" w:space="0" w:color="auto"/>
              <w:left w:val="single" w:sz="4" w:space="0" w:color="auto"/>
              <w:bottom w:val="single" w:sz="4" w:space="0" w:color="auto"/>
              <w:right w:val="single" w:sz="4" w:space="0" w:color="auto"/>
            </w:tcBorders>
            <w:vAlign w:val="center"/>
          </w:tcPr>
          <w:p w14:paraId="10ACEC03"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103.67</w:t>
            </w:r>
          </w:p>
        </w:tc>
      </w:tr>
      <w:tr w:rsidR="001F702C" w14:paraId="1CB6919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32D5F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44870F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5A2207E5"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695D26D"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7E38C9A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FB25B8"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7E2C69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w:t>
            </w:r>
            <w:proofErr w:type="gramStart"/>
            <w:r>
              <w:rPr>
                <w:rFonts w:ascii="Times New Roman" w:hAnsi="Times New Roman"/>
                <w:color w:val="000000"/>
                <w:kern w:val="0"/>
                <w:sz w:val="25"/>
                <w:szCs w:val="24"/>
              </w:rPr>
              <w:t>券</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71E9FC13"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87867F4"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1A3CA0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9C75C9"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45F9EB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6358FEF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83A28D0"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10EDAC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EC38D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B4DEBA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5755FAB9"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880669F"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0A6669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F86F01"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DC7291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1C804C3F"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0F9CE2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6E0104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F05AC8"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0D7563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2013CDAB"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2C5EC25"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7E95F4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2249F9"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67CA81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749D4B2"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7,449,792,380.74</w:t>
            </w:r>
          </w:p>
        </w:tc>
        <w:tc>
          <w:tcPr>
            <w:tcW w:w="400" w:type="pct"/>
            <w:tcBorders>
              <w:top w:val="single" w:sz="4" w:space="0" w:color="auto"/>
              <w:left w:val="single" w:sz="4" w:space="0" w:color="auto"/>
              <w:bottom w:val="single" w:sz="4" w:space="0" w:color="auto"/>
              <w:right w:val="single" w:sz="4" w:space="0" w:color="auto"/>
            </w:tcBorders>
            <w:vAlign w:val="center"/>
          </w:tcPr>
          <w:p w14:paraId="7671960A"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105.09</w:t>
            </w:r>
          </w:p>
        </w:tc>
      </w:tr>
    </w:tbl>
    <w:p w14:paraId="59D63C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12"/>
        <w:gridCol w:w="1594"/>
        <w:gridCol w:w="1594"/>
        <w:gridCol w:w="1595"/>
        <w:gridCol w:w="1760"/>
        <w:gridCol w:w="1595"/>
      </w:tblGrid>
      <w:tr w:rsidR="001F702C" w14:paraId="08644F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AD4F76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724B7B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6A893EA"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C3F46D5"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28D368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E71375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F702C" w14:paraId="6DBD7C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38C4B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BDE8B8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180401</w:t>
            </w:r>
          </w:p>
        </w:tc>
        <w:tc>
          <w:tcPr>
            <w:tcW w:w="750" w:type="pct"/>
            <w:tcBorders>
              <w:top w:val="single" w:sz="4" w:space="0" w:color="auto"/>
              <w:left w:val="single" w:sz="4" w:space="0" w:color="auto"/>
              <w:bottom w:val="single" w:sz="4" w:space="0" w:color="auto"/>
              <w:right w:val="single" w:sz="4" w:space="0" w:color="auto"/>
            </w:tcBorders>
            <w:vAlign w:val="center"/>
          </w:tcPr>
          <w:p w14:paraId="439B699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农发</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3C2FDFB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12,100,000</w:t>
            </w:r>
          </w:p>
        </w:tc>
        <w:tc>
          <w:tcPr>
            <w:tcW w:w="750" w:type="pct"/>
            <w:tcBorders>
              <w:top w:val="single" w:sz="4" w:space="0" w:color="auto"/>
              <w:left w:val="single" w:sz="4" w:space="0" w:color="auto"/>
              <w:bottom w:val="single" w:sz="4" w:space="0" w:color="auto"/>
              <w:right w:val="single" w:sz="4" w:space="0" w:color="auto"/>
            </w:tcBorders>
            <w:vAlign w:val="center"/>
          </w:tcPr>
          <w:p w14:paraId="13A638FD"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1,273,257,142.47</w:t>
            </w:r>
          </w:p>
        </w:tc>
        <w:tc>
          <w:tcPr>
            <w:tcW w:w="750" w:type="pct"/>
            <w:tcBorders>
              <w:top w:val="single" w:sz="4" w:space="0" w:color="auto"/>
              <w:left w:val="single" w:sz="4" w:space="0" w:color="auto"/>
              <w:bottom w:val="single" w:sz="4" w:space="0" w:color="auto"/>
              <w:right w:val="single" w:sz="4" w:space="0" w:color="auto"/>
            </w:tcBorders>
            <w:vAlign w:val="center"/>
          </w:tcPr>
          <w:p w14:paraId="6AE4FCA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17.96</w:t>
            </w:r>
          </w:p>
        </w:tc>
      </w:tr>
      <w:tr w:rsidR="001F702C" w14:paraId="28C6558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4E6E1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0E1A225"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220403</w:t>
            </w:r>
          </w:p>
        </w:tc>
        <w:tc>
          <w:tcPr>
            <w:tcW w:w="750" w:type="pct"/>
            <w:tcBorders>
              <w:top w:val="single" w:sz="4" w:space="0" w:color="auto"/>
              <w:left w:val="single" w:sz="4" w:space="0" w:color="auto"/>
              <w:bottom w:val="single" w:sz="4" w:space="0" w:color="auto"/>
              <w:right w:val="single" w:sz="4" w:space="0" w:color="auto"/>
            </w:tcBorders>
            <w:vAlign w:val="center"/>
          </w:tcPr>
          <w:p w14:paraId="1B165E1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4423E9D3"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11,800,000</w:t>
            </w:r>
          </w:p>
        </w:tc>
        <w:tc>
          <w:tcPr>
            <w:tcW w:w="750" w:type="pct"/>
            <w:tcBorders>
              <w:top w:val="single" w:sz="4" w:space="0" w:color="auto"/>
              <w:left w:val="single" w:sz="4" w:space="0" w:color="auto"/>
              <w:bottom w:val="single" w:sz="4" w:space="0" w:color="auto"/>
              <w:right w:val="single" w:sz="4" w:space="0" w:color="auto"/>
            </w:tcBorders>
            <w:vAlign w:val="center"/>
          </w:tcPr>
          <w:p w14:paraId="30CE2536"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1,182,289,393.44</w:t>
            </w:r>
          </w:p>
        </w:tc>
        <w:tc>
          <w:tcPr>
            <w:tcW w:w="750" w:type="pct"/>
            <w:tcBorders>
              <w:top w:val="single" w:sz="4" w:space="0" w:color="auto"/>
              <w:left w:val="single" w:sz="4" w:space="0" w:color="auto"/>
              <w:bottom w:val="single" w:sz="4" w:space="0" w:color="auto"/>
              <w:right w:val="single" w:sz="4" w:space="0" w:color="auto"/>
            </w:tcBorders>
            <w:vAlign w:val="center"/>
          </w:tcPr>
          <w:p w14:paraId="6F764F1F"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16.68</w:t>
            </w:r>
          </w:p>
        </w:tc>
      </w:tr>
      <w:tr w:rsidR="001F702C" w14:paraId="429ED0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CC83F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FEEBB9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190409</w:t>
            </w:r>
          </w:p>
        </w:tc>
        <w:tc>
          <w:tcPr>
            <w:tcW w:w="750" w:type="pct"/>
            <w:tcBorders>
              <w:top w:val="single" w:sz="4" w:space="0" w:color="auto"/>
              <w:left w:val="single" w:sz="4" w:space="0" w:color="auto"/>
              <w:bottom w:val="single" w:sz="4" w:space="0" w:color="auto"/>
              <w:right w:val="single" w:sz="4" w:space="0" w:color="auto"/>
            </w:tcBorders>
            <w:vAlign w:val="center"/>
          </w:tcPr>
          <w:p w14:paraId="149EB605"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农发</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14:paraId="27B99976"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8,200,000</w:t>
            </w:r>
          </w:p>
        </w:tc>
        <w:tc>
          <w:tcPr>
            <w:tcW w:w="750" w:type="pct"/>
            <w:tcBorders>
              <w:top w:val="single" w:sz="4" w:space="0" w:color="auto"/>
              <w:left w:val="single" w:sz="4" w:space="0" w:color="auto"/>
              <w:bottom w:val="single" w:sz="4" w:space="0" w:color="auto"/>
              <w:right w:val="single" w:sz="4" w:space="0" w:color="auto"/>
            </w:tcBorders>
            <w:vAlign w:val="center"/>
          </w:tcPr>
          <w:p w14:paraId="16410DD3"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844,695,479.45</w:t>
            </w:r>
          </w:p>
        </w:tc>
        <w:tc>
          <w:tcPr>
            <w:tcW w:w="750" w:type="pct"/>
            <w:tcBorders>
              <w:top w:val="single" w:sz="4" w:space="0" w:color="auto"/>
              <w:left w:val="single" w:sz="4" w:space="0" w:color="auto"/>
              <w:bottom w:val="single" w:sz="4" w:space="0" w:color="auto"/>
              <w:right w:val="single" w:sz="4" w:space="0" w:color="auto"/>
            </w:tcBorders>
            <w:vAlign w:val="center"/>
          </w:tcPr>
          <w:p w14:paraId="58BC15D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11.92</w:t>
            </w:r>
          </w:p>
        </w:tc>
      </w:tr>
      <w:tr w:rsidR="001F702C" w14:paraId="4D5843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A4CD2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A5F083E"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092218005</w:t>
            </w:r>
          </w:p>
        </w:tc>
        <w:tc>
          <w:tcPr>
            <w:tcW w:w="750" w:type="pct"/>
            <w:tcBorders>
              <w:top w:val="single" w:sz="4" w:space="0" w:color="auto"/>
              <w:left w:val="single" w:sz="4" w:space="0" w:color="auto"/>
              <w:bottom w:val="single" w:sz="4" w:space="0" w:color="auto"/>
              <w:right w:val="single" w:sz="4" w:space="0" w:color="auto"/>
            </w:tcBorders>
            <w:vAlign w:val="center"/>
          </w:tcPr>
          <w:p w14:paraId="7ACBF96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proofErr w:type="gramStart"/>
            <w:r>
              <w:rPr>
                <w:rFonts w:ascii="Times New Roman" w:hAnsi="Times New Roman"/>
                <w:color w:val="000000"/>
                <w:kern w:val="0"/>
                <w:sz w:val="25"/>
                <w:szCs w:val="24"/>
              </w:rPr>
              <w:t>农发清发</w:t>
            </w:r>
            <w:proofErr w:type="gramEnd"/>
            <w:r>
              <w:rPr>
                <w:rFonts w:ascii="Times New Roman" w:hAnsi="Times New Roman"/>
                <w:color w:val="000000"/>
                <w:kern w:val="0"/>
                <w:sz w:val="25"/>
                <w:szCs w:val="24"/>
              </w:rPr>
              <w:t>05</w:t>
            </w:r>
          </w:p>
        </w:tc>
        <w:tc>
          <w:tcPr>
            <w:tcW w:w="750" w:type="pct"/>
            <w:tcBorders>
              <w:top w:val="single" w:sz="4" w:space="0" w:color="auto"/>
              <w:left w:val="single" w:sz="4" w:space="0" w:color="auto"/>
              <w:bottom w:val="single" w:sz="4" w:space="0" w:color="auto"/>
              <w:right w:val="single" w:sz="4" w:space="0" w:color="auto"/>
            </w:tcBorders>
            <w:vAlign w:val="center"/>
          </w:tcPr>
          <w:p w14:paraId="7E2BDE2C"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7,500,000</w:t>
            </w:r>
          </w:p>
        </w:tc>
        <w:tc>
          <w:tcPr>
            <w:tcW w:w="750" w:type="pct"/>
            <w:tcBorders>
              <w:top w:val="single" w:sz="4" w:space="0" w:color="auto"/>
              <w:left w:val="single" w:sz="4" w:space="0" w:color="auto"/>
              <w:bottom w:val="single" w:sz="4" w:space="0" w:color="auto"/>
              <w:right w:val="single" w:sz="4" w:space="0" w:color="auto"/>
            </w:tcBorders>
            <w:vAlign w:val="center"/>
          </w:tcPr>
          <w:p w14:paraId="73F744A1"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752,755,479.45</w:t>
            </w:r>
          </w:p>
        </w:tc>
        <w:tc>
          <w:tcPr>
            <w:tcW w:w="750" w:type="pct"/>
            <w:tcBorders>
              <w:top w:val="single" w:sz="4" w:space="0" w:color="auto"/>
              <w:left w:val="single" w:sz="4" w:space="0" w:color="auto"/>
              <w:bottom w:val="single" w:sz="4" w:space="0" w:color="auto"/>
              <w:right w:val="single" w:sz="4" w:space="0" w:color="auto"/>
            </w:tcBorders>
            <w:vAlign w:val="center"/>
          </w:tcPr>
          <w:p w14:paraId="7010BE0F"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10.62</w:t>
            </w:r>
          </w:p>
        </w:tc>
      </w:tr>
      <w:tr w:rsidR="001F702C" w14:paraId="052C35E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132DD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0D15795"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210406</w:t>
            </w:r>
          </w:p>
        </w:tc>
        <w:tc>
          <w:tcPr>
            <w:tcW w:w="750" w:type="pct"/>
            <w:tcBorders>
              <w:top w:val="single" w:sz="4" w:space="0" w:color="auto"/>
              <w:left w:val="single" w:sz="4" w:space="0" w:color="auto"/>
              <w:bottom w:val="single" w:sz="4" w:space="0" w:color="auto"/>
              <w:right w:val="single" w:sz="4" w:space="0" w:color="auto"/>
            </w:tcBorders>
            <w:vAlign w:val="center"/>
          </w:tcPr>
          <w:p w14:paraId="0A19D2D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农发</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14:paraId="1BBB12B2"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7,000,000</w:t>
            </w:r>
          </w:p>
        </w:tc>
        <w:tc>
          <w:tcPr>
            <w:tcW w:w="750" w:type="pct"/>
            <w:tcBorders>
              <w:top w:val="single" w:sz="4" w:space="0" w:color="auto"/>
              <w:left w:val="single" w:sz="4" w:space="0" w:color="auto"/>
              <w:bottom w:val="single" w:sz="4" w:space="0" w:color="auto"/>
              <w:right w:val="single" w:sz="4" w:space="0" w:color="auto"/>
            </w:tcBorders>
            <w:vAlign w:val="center"/>
          </w:tcPr>
          <w:p w14:paraId="72C90928"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716,342,027.40</w:t>
            </w:r>
          </w:p>
        </w:tc>
        <w:tc>
          <w:tcPr>
            <w:tcW w:w="750" w:type="pct"/>
            <w:tcBorders>
              <w:top w:val="single" w:sz="4" w:space="0" w:color="auto"/>
              <w:left w:val="single" w:sz="4" w:space="0" w:color="auto"/>
              <w:bottom w:val="single" w:sz="4" w:space="0" w:color="auto"/>
              <w:right w:val="single" w:sz="4" w:space="0" w:color="auto"/>
            </w:tcBorders>
            <w:vAlign w:val="center"/>
          </w:tcPr>
          <w:p w14:paraId="25714336"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10.10</w:t>
            </w:r>
          </w:p>
        </w:tc>
      </w:tr>
    </w:tbl>
    <w:p w14:paraId="0C1BA2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注：|序号：1 |债券代码：180401 |债券名称：18农发01 |数量：12,100,000 |公允价值：1,273,257,142.47 |占基金净资产比例：17.96%　|序号：2 |债券代码：220403 |债券名称：22农发03 |数量：11,800,000 |公允价值：1,182,289,393.44 |占基金净资产比例：16.68%　|序号：3 |债券代码：190409 |债券名称：19农发09 |数量：8,200,000 |公允价值：844,695,479.45 |占基金净资产比例：11.92%　|序号：4 |债券代码：092218005 |债券名称：22</w:t>
      </w:r>
      <w:proofErr w:type="gramStart"/>
      <w:r>
        <w:rPr>
          <w:rFonts w:ascii="宋体" w:hAnsi="宋体"/>
          <w:sz w:val="24"/>
        </w:rPr>
        <w:t>农发清发</w:t>
      </w:r>
      <w:proofErr w:type="gramEnd"/>
      <w:r>
        <w:rPr>
          <w:rFonts w:ascii="宋体" w:hAnsi="宋体"/>
          <w:sz w:val="24"/>
        </w:rPr>
        <w:t>05 |数量：7,500,000 |公允价值：752,755,479.45 |占基金净资产比例：10.62%　|序号：5 |债券代码：210406 |债券名称：21农发06 |数量：7,000,000 |公允价值：716,342,027.40 |占基金净资产比例：10.10%　|序号：6 |债券代码：190404 |债券名称：19农发04 |数量：6,500,000 |公允价值：679,709,986.30 |占基金净资产比例：9.59%　|序号：7 |债券代码：220406 |债券名称：22农发06 |数量：</w:t>
      </w:r>
      <w:r>
        <w:rPr>
          <w:rFonts w:ascii="宋体" w:hAnsi="宋体"/>
          <w:sz w:val="24"/>
        </w:rPr>
        <w:lastRenderedPageBreak/>
        <w:t>5,800,000 |公允价值：587,427,030.14 |占基金净资产比例：8.29%　|序号：8 |债券代码：200405 |债券名称：20农发05 |数量：4,400,000 |公允价值：446,382,410.96 |占基金净资产比例：6.30%　|序号：9 |债券代码：150405 |债券名称：15农发05 |数量：3,500,000 |公允价值：360,181,260.27 |占基金净资产比例：5.08%　|序号：10 |债券代码：220411 |债券名称：22农发11 |数量：2,000,000 |公允价值：201,145,534.25 |占基金净资产比例：2.84%　|序号：11 |债券代码：220408 |债券名称：22农发08 |数量：1,700,000 |公允价值：171,190,465.75 |占基金净资产比例：2.41%　|序号：12 |债券代码：230004 |债券名称：23附息国债04 |数量：1,000,000 |公允价值：100,508,453.04 |占基金净资产比例：1.42%　|序号：13 |债券代码：180411 |债券名称：18农发11 |数量：500,000 |公允价值：52,457,123.29 |占基金净资产比例：0.74%　|序号：14 |债券代码：092218003 |债券名称：22</w:t>
      </w:r>
      <w:proofErr w:type="gramStart"/>
      <w:r>
        <w:rPr>
          <w:rFonts w:ascii="宋体" w:hAnsi="宋体"/>
          <w:sz w:val="24"/>
        </w:rPr>
        <w:t>农发清发</w:t>
      </w:r>
      <w:proofErr w:type="gramEnd"/>
      <w:r>
        <w:rPr>
          <w:rFonts w:ascii="宋体" w:hAnsi="宋体"/>
          <w:sz w:val="24"/>
        </w:rPr>
        <w:t>03 |数量：500,000 |公允价值：50,842,547.95 |占基金净资产比例：0.72%　|序号：15 |债券代码：092118101 |债券名称：21</w:t>
      </w:r>
      <w:proofErr w:type="gramStart"/>
      <w:r>
        <w:rPr>
          <w:rFonts w:ascii="宋体" w:hAnsi="宋体"/>
          <w:sz w:val="24"/>
        </w:rPr>
        <w:t>农发清发</w:t>
      </w:r>
      <w:proofErr w:type="gramEnd"/>
      <w:r>
        <w:rPr>
          <w:rFonts w:ascii="宋体" w:hAnsi="宋体"/>
          <w:sz w:val="24"/>
        </w:rPr>
        <w:t>101 |数量：300,000 |公允价值：30,608,046.58 |占基金净资产比例：0.43%</w:t>
      </w:r>
    </w:p>
    <w:p w14:paraId="1B2C3CD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0B275B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FF1E5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7E0624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CB405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314474E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A4523C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397B223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43DBD7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3DD41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3A30A0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683326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223126E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2AE606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10、投资组合报告附注</w:t>
      </w:r>
    </w:p>
    <w:p w14:paraId="06B647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19D2CD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4719B09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3F97CF7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3DFE0C4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1F702C" w14:paraId="671FED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62AAF2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E8F3CF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1821E37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1F702C" w14:paraId="3D0B24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ECD398"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E7E435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7CEA2144"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3456DF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887F1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27F757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4EC9F20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142,185,607.39</w:t>
            </w:r>
          </w:p>
        </w:tc>
      </w:tr>
      <w:tr w:rsidR="001F702C" w14:paraId="5D53472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C1178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1B0D41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17C435DE"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58BF23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DCDA1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9A8608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2B8CEF25"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5F908D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CE372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D25F94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34D80DA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58,789.77</w:t>
            </w:r>
          </w:p>
        </w:tc>
      </w:tr>
      <w:tr w:rsidR="001F702C" w14:paraId="6A61B24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9D761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EC786F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4792EB82"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4D16F6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00C4F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5908DD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259E8311"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259ECF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03DEFE"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08E6A3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728CFBA5"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142,244,397.16</w:t>
            </w:r>
          </w:p>
        </w:tc>
      </w:tr>
    </w:tbl>
    <w:p w14:paraId="589D39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22A77C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E648A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w:t>
      </w:r>
      <w:proofErr w:type="gramStart"/>
      <w:r>
        <w:rPr>
          <w:rFonts w:ascii="宋体" w:hAnsi="宋体"/>
          <w:sz w:val="24"/>
        </w:rPr>
        <w:t>期末前</w:t>
      </w:r>
      <w:proofErr w:type="gramEnd"/>
      <w:r>
        <w:rPr>
          <w:rFonts w:ascii="宋体" w:hAnsi="宋体"/>
          <w:sz w:val="24"/>
        </w:rPr>
        <w:t>十名股票中存在流通受限情况的说明</w:t>
      </w:r>
    </w:p>
    <w:p w14:paraId="42186C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E018DE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5CAD2B7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7A691A37"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D1FB3B5" w14:textId="77777777" w:rsidR="001F702C" w:rsidRDefault="00BD18A1">
      <w:pPr>
        <w:pStyle w:val="1"/>
        <w:snapToGrid w:val="0"/>
        <w:spacing w:beforeLines="0" w:before="240" w:after="240"/>
        <w:rPr>
          <w:rFonts w:ascii="宋体" w:hAnsi="宋体"/>
          <w:szCs w:val="30"/>
        </w:rPr>
      </w:pPr>
      <w:bookmarkStart w:id="14" w:name="_Toc140049415"/>
      <w:r>
        <w:rPr>
          <w:rFonts w:ascii="Times New Roman" w:hAnsi="Times New Roman"/>
          <w:sz w:val="30"/>
        </w:rPr>
        <w:lastRenderedPageBreak/>
        <w:t>十一、基金的业绩</w:t>
      </w:r>
      <w:bookmarkEnd w:id="14"/>
    </w:p>
    <w:p w14:paraId="343DE6D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14:paraId="45CCC56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BBCF1D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1、本报告</w:t>
      </w:r>
      <w:proofErr w:type="gramStart"/>
      <w:r>
        <w:rPr>
          <w:rFonts w:ascii="宋体" w:hAnsi="宋体"/>
          <w:sz w:val="24"/>
        </w:rPr>
        <w:t>期基金</w:t>
      </w:r>
      <w:proofErr w:type="gramEnd"/>
      <w:r>
        <w:rPr>
          <w:rFonts w:ascii="宋体" w:hAnsi="宋体"/>
          <w:sz w:val="24"/>
        </w:rPr>
        <w:t>份额净值增长率及其与同期业绩比较基准收益率的比较</w:t>
      </w:r>
    </w:p>
    <w:p w14:paraId="7A9638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（1）交银中债1-3年农发</w:t>
      </w:r>
      <w:proofErr w:type="gramStart"/>
      <w:r>
        <w:rPr>
          <w:rFonts w:ascii="宋体" w:hAnsi="宋体"/>
          <w:sz w:val="24"/>
        </w:rPr>
        <w:t>债指数</w:t>
      </w:r>
      <w:proofErr w:type="gramEnd"/>
      <w:r>
        <w:rPr>
          <w:rFonts w:ascii="宋体" w:hAnsi="宋体"/>
          <w:sz w:val="24"/>
        </w:rPr>
        <w:t>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1F702C" w14:paraId="1D12FA4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00E8BD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791839F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317541E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7A6E0E29"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6B22338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1A1FACF8"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C3B615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1F702C" w14:paraId="3E58D26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C17AF2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33A6A08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c>
          <w:tcPr>
            <w:tcW w:w="750" w:type="pct"/>
            <w:tcBorders>
              <w:top w:val="single" w:sz="4" w:space="0" w:color="auto"/>
              <w:left w:val="single" w:sz="4" w:space="0" w:color="auto"/>
              <w:bottom w:val="single" w:sz="4" w:space="0" w:color="auto"/>
              <w:right w:val="single" w:sz="4" w:space="0" w:color="auto"/>
            </w:tcBorders>
            <w:vAlign w:val="center"/>
          </w:tcPr>
          <w:p w14:paraId="1A69AB4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62DC477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14:paraId="37AD779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14D0D46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1.49%</w:t>
            </w:r>
          </w:p>
        </w:tc>
        <w:tc>
          <w:tcPr>
            <w:tcW w:w="750" w:type="pct"/>
            <w:tcBorders>
              <w:top w:val="single" w:sz="4" w:space="0" w:color="auto"/>
              <w:left w:val="single" w:sz="4" w:space="0" w:color="auto"/>
              <w:bottom w:val="single" w:sz="4" w:space="0" w:color="auto"/>
              <w:right w:val="single" w:sz="4" w:space="0" w:color="auto"/>
            </w:tcBorders>
            <w:vAlign w:val="center"/>
          </w:tcPr>
          <w:p w14:paraId="2A70A43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r>
      <w:tr w:rsidR="001F702C" w14:paraId="284AAD8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08CC65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3A2847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2.53%</w:t>
            </w:r>
          </w:p>
        </w:tc>
        <w:tc>
          <w:tcPr>
            <w:tcW w:w="750" w:type="pct"/>
            <w:tcBorders>
              <w:top w:val="single" w:sz="4" w:space="0" w:color="auto"/>
              <w:left w:val="single" w:sz="4" w:space="0" w:color="auto"/>
              <w:bottom w:val="single" w:sz="4" w:space="0" w:color="auto"/>
              <w:right w:val="single" w:sz="4" w:space="0" w:color="auto"/>
            </w:tcBorders>
            <w:vAlign w:val="center"/>
          </w:tcPr>
          <w:p w14:paraId="6CBFFF2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CAB562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14:paraId="7415D76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04F4BF0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3.51%</w:t>
            </w:r>
          </w:p>
        </w:tc>
        <w:tc>
          <w:tcPr>
            <w:tcW w:w="750" w:type="pct"/>
            <w:tcBorders>
              <w:top w:val="single" w:sz="4" w:space="0" w:color="auto"/>
              <w:left w:val="single" w:sz="4" w:space="0" w:color="auto"/>
              <w:bottom w:val="single" w:sz="4" w:space="0" w:color="auto"/>
              <w:right w:val="single" w:sz="4" w:space="0" w:color="auto"/>
            </w:tcBorders>
            <w:vAlign w:val="center"/>
          </w:tcPr>
          <w:p w14:paraId="3C51C6F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1F702C" w14:paraId="2B16065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3EFC59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07B4E5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3.61%</w:t>
            </w:r>
          </w:p>
        </w:tc>
        <w:tc>
          <w:tcPr>
            <w:tcW w:w="750" w:type="pct"/>
            <w:tcBorders>
              <w:top w:val="single" w:sz="4" w:space="0" w:color="auto"/>
              <w:left w:val="single" w:sz="4" w:space="0" w:color="auto"/>
              <w:bottom w:val="single" w:sz="4" w:space="0" w:color="auto"/>
              <w:right w:val="single" w:sz="4" w:space="0" w:color="auto"/>
            </w:tcBorders>
            <w:vAlign w:val="center"/>
          </w:tcPr>
          <w:p w14:paraId="0579A42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269AE3E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F26D5B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2FE08B9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3.56%</w:t>
            </w:r>
          </w:p>
        </w:tc>
        <w:tc>
          <w:tcPr>
            <w:tcW w:w="750" w:type="pct"/>
            <w:tcBorders>
              <w:top w:val="single" w:sz="4" w:space="0" w:color="auto"/>
              <w:left w:val="single" w:sz="4" w:space="0" w:color="auto"/>
              <w:bottom w:val="single" w:sz="4" w:space="0" w:color="auto"/>
              <w:right w:val="single" w:sz="4" w:space="0" w:color="auto"/>
            </w:tcBorders>
            <w:vAlign w:val="center"/>
          </w:tcPr>
          <w:p w14:paraId="5457103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1F702C" w14:paraId="4AB6B79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6FD205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7CDF44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2.51%</w:t>
            </w:r>
          </w:p>
        </w:tc>
        <w:tc>
          <w:tcPr>
            <w:tcW w:w="750" w:type="pct"/>
            <w:tcBorders>
              <w:top w:val="single" w:sz="4" w:space="0" w:color="auto"/>
              <w:left w:val="single" w:sz="4" w:space="0" w:color="auto"/>
              <w:bottom w:val="single" w:sz="4" w:space="0" w:color="auto"/>
              <w:right w:val="single" w:sz="4" w:space="0" w:color="auto"/>
            </w:tcBorders>
            <w:vAlign w:val="center"/>
          </w:tcPr>
          <w:p w14:paraId="7320553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3A72765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5432297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236E8A5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3.51%</w:t>
            </w:r>
          </w:p>
        </w:tc>
        <w:tc>
          <w:tcPr>
            <w:tcW w:w="750" w:type="pct"/>
            <w:tcBorders>
              <w:top w:val="single" w:sz="4" w:space="0" w:color="auto"/>
              <w:left w:val="single" w:sz="4" w:space="0" w:color="auto"/>
              <w:bottom w:val="single" w:sz="4" w:space="0" w:color="auto"/>
              <w:right w:val="single" w:sz="4" w:space="0" w:color="auto"/>
            </w:tcBorders>
            <w:vAlign w:val="center"/>
          </w:tcPr>
          <w:p w14:paraId="62BEBF1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1F702C" w14:paraId="0F0B16F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EAEFA7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9CABD4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3.09%</w:t>
            </w:r>
          </w:p>
        </w:tc>
        <w:tc>
          <w:tcPr>
            <w:tcW w:w="750" w:type="pct"/>
            <w:tcBorders>
              <w:top w:val="single" w:sz="4" w:space="0" w:color="auto"/>
              <w:left w:val="single" w:sz="4" w:space="0" w:color="auto"/>
              <w:bottom w:val="single" w:sz="4" w:space="0" w:color="auto"/>
              <w:right w:val="single" w:sz="4" w:space="0" w:color="auto"/>
            </w:tcBorders>
            <w:vAlign w:val="center"/>
          </w:tcPr>
          <w:p w14:paraId="71CC532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469E59C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43E70F1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239EEF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3.04%</w:t>
            </w:r>
          </w:p>
        </w:tc>
        <w:tc>
          <w:tcPr>
            <w:tcW w:w="750" w:type="pct"/>
            <w:tcBorders>
              <w:top w:val="single" w:sz="4" w:space="0" w:color="auto"/>
              <w:left w:val="single" w:sz="4" w:space="0" w:color="auto"/>
              <w:bottom w:val="single" w:sz="4" w:space="0" w:color="auto"/>
              <w:right w:val="single" w:sz="4" w:space="0" w:color="auto"/>
            </w:tcBorders>
            <w:vAlign w:val="center"/>
          </w:tcPr>
          <w:p w14:paraId="53917A3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bl>
    <w:p w14:paraId="377D641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w:t>
      </w:r>
      <w:proofErr w:type="gramStart"/>
      <w:r>
        <w:rPr>
          <w:rFonts w:ascii="宋体" w:hAnsi="宋体"/>
          <w:sz w:val="24"/>
        </w:rPr>
        <w:t>基金基金</w:t>
      </w:r>
      <w:proofErr w:type="gramEnd"/>
      <w:r>
        <w:rPr>
          <w:rFonts w:ascii="宋体" w:hAnsi="宋体"/>
          <w:sz w:val="24"/>
        </w:rPr>
        <w:t>合同生效日为2019年1月23日，本基金的业绩比较基准为“中债-1-3年农发行债券指数收益率*95%+银行活期存款利率（税后）*5%”。</w:t>
      </w:r>
    </w:p>
    <w:p w14:paraId="6075961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（2）交银中债1-3年农发</w:t>
      </w:r>
      <w:proofErr w:type="gramStart"/>
      <w:r>
        <w:rPr>
          <w:rFonts w:ascii="宋体" w:hAnsi="宋体"/>
          <w:sz w:val="24"/>
        </w:rPr>
        <w:t>债指数</w:t>
      </w:r>
      <w:proofErr w:type="gramEnd"/>
      <w:r>
        <w:rPr>
          <w:rFonts w:ascii="宋体" w:hAnsi="宋体"/>
          <w:sz w:val="24"/>
        </w:rPr>
        <w:t>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1F702C" w14:paraId="3D9944E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A0B614C"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41A066E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4198213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043EA2B5"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71F4B2EC"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5380F84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5C18F0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1F702C" w14:paraId="24644AF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BF53CB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4A2625E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0.60%</w:t>
            </w:r>
          </w:p>
        </w:tc>
        <w:tc>
          <w:tcPr>
            <w:tcW w:w="750" w:type="pct"/>
            <w:tcBorders>
              <w:top w:val="single" w:sz="4" w:space="0" w:color="auto"/>
              <w:left w:val="single" w:sz="4" w:space="0" w:color="auto"/>
              <w:bottom w:val="single" w:sz="4" w:space="0" w:color="auto"/>
              <w:right w:val="single" w:sz="4" w:space="0" w:color="auto"/>
            </w:tcBorders>
            <w:vAlign w:val="center"/>
          </w:tcPr>
          <w:p w14:paraId="34899D7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1E6B743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14:paraId="1B56377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559B007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1.61%</w:t>
            </w:r>
          </w:p>
        </w:tc>
        <w:tc>
          <w:tcPr>
            <w:tcW w:w="750" w:type="pct"/>
            <w:tcBorders>
              <w:top w:val="single" w:sz="4" w:space="0" w:color="auto"/>
              <w:left w:val="single" w:sz="4" w:space="0" w:color="auto"/>
              <w:bottom w:val="single" w:sz="4" w:space="0" w:color="auto"/>
              <w:right w:val="single" w:sz="4" w:space="0" w:color="auto"/>
            </w:tcBorders>
            <w:vAlign w:val="center"/>
          </w:tcPr>
          <w:p w14:paraId="366D911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1F702C" w14:paraId="360EA2B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69BD7B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年度（自基金份额类别首次确认起至</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3B065D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13FF6C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3DEBB61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14:paraId="16B5836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4C7DA66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c>
          <w:tcPr>
            <w:tcW w:w="750" w:type="pct"/>
            <w:tcBorders>
              <w:top w:val="single" w:sz="4" w:space="0" w:color="auto"/>
              <w:left w:val="single" w:sz="4" w:space="0" w:color="auto"/>
              <w:bottom w:val="single" w:sz="4" w:space="0" w:color="auto"/>
              <w:right w:val="single" w:sz="4" w:space="0" w:color="auto"/>
            </w:tcBorders>
            <w:vAlign w:val="center"/>
          </w:tcPr>
          <w:p w14:paraId="0B64D36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bl>
    <w:p w14:paraId="6A84CB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注：本基金的业绩比较基准为“中债-1-3年农发行债券指数收益率*95%+银行活期存款利率（税后）*5%”。</w:t>
      </w:r>
    </w:p>
    <w:p w14:paraId="037FCDD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w:t>
      </w:r>
      <w:r>
        <w:rPr>
          <w:rFonts w:ascii="宋体" w:hAnsi="宋体"/>
          <w:sz w:val="24"/>
        </w:rPr>
        <w:lastRenderedPageBreak/>
        <w:t>准收益率变动的比较</w:t>
      </w:r>
    </w:p>
    <w:p w14:paraId="59093B06" w14:textId="77777777" w:rsidR="001F702C" w:rsidRDefault="00BD18A1">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交银施罗德中债1-3年农发行债券指数证券投资基金</w:t>
      </w:r>
    </w:p>
    <w:p w14:paraId="522A47AB" w14:textId="77777777" w:rsidR="001F702C" w:rsidRDefault="00BD18A1">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3B0C59F1" w14:textId="77777777" w:rsidR="001F702C" w:rsidRDefault="00BD18A1">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（2019年1月23日至2023年03月31日）</w:t>
      </w:r>
    </w:p>
    <w:p w14:paraId="63E33ED3" w14:textId="77777777" w:rsidR="001F702C" w:rsidRDefault="00D471D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w:t>
      </w:r>
      <w:r w:rsidR="00BD18A1">
        <w:rPr>
          <w:rFonts w:ascii="宋体" w:hAnsi="宋体"/>
          <w:sz w:val="24"/>
        </w:rPr>
        <w:t>1</w:t>
      </w:r>
      <w:r>
        <w:rPr>
          <w:rFonts w:ascii="宋体" w:hAnsi="宋体" w:hint="eastAsia"/>
          <w:sz w:val="24"/>
        </w:rPr>
        <w:t>）</w:t>
      </w:r>
      <w:r w:rsidR="00BD18A1">
        <w:rPr>
          <w:rFonts w:ascii="宋体" w:hAnsi="宋体"/>
          <w:sz w:val="24"/>
        </w:rPr>
        <w:t>交银中债1-3年农发</w:t>
      </w:r>
      <w:proofErr w:type="gramStart"/>
      <w:r w:rsidR="00BD18A1">
        <w:rPr>
          <w:rFonts w:ascii="宋体" w:hAnsi="宋体"/>
          <w:sz w:val="24"/>
        </w:rPr>
        <w:t>债指数</w:t>
      </w:r>
      <w:proofErr w:type="gramEnd"/>
      <w:r w:rsidR="00BD18A1">
        <w:rPr>
          <w:rFonts w:ascii="宋体" w:hAnsi="宋体"/>
          <w:sz w:val="24"/>
        </w:rPr>
        <w:t>A</w:t>
      </w:r>
    </w:p>
    <w:p w14:paraId="1FEE2169" w14:textId="4A344107" w:rsidR="001F702C" w:rsidRDefault="002D5702">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79BE52F9" wp14:editId="6A228AD0">
            <wp:extent cx="5581650" cy="341122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411220"/>
                    </a:xfrm>
                    <a:prstGeom prst="rect">
                      <a:avLst/>
                    </a:prstGeom>
                    <a:noFill/>
                    <a:ln>
                      <a:noFill/>
                    </a:ln>
                  </pic:spPr>
                </pic:pic>
              </a:graphicData>
            </a:graphic>
          </wp:inline>
        </w:drawing>
      </w:r>
    </w:p>
    <w:p w14:paraId="0D847D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（2）交银中债1-3年农发</w:t>
      </w:r>
      <w:proofErr w:type="gramStart"/>
      <w:r>
        <w:rPr>
          <w:rFonts w:ascii="宋体" w:hAnsi="宋体"/>
          <w:sz w:val="24"/>
        </w:rPr>
        <w:t>债指数</w:t>
      </w:r>
      <w:proofErr w:type="gramEnd"/>
      <w:r>
        <w:rPr>
          <w:rFonts w:ascii="宋体" w:hAnsi="宋体"/>
          <w:sz w:val="24"/>
        </w:rPr>
        <w:t>C</w:t>
      </w:r>
    </w:p>
    <w:p w14:paraId="2EC324DB" w14:textId="7FB62606" w:rsidR="001F702C" w:rsidRDefault="002D5702">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158214E5" wp14:editId="6C4A76A2">
            <wp:extent cx="5581650" cy="341122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3411220"/>
                    </a:xfrm>
                    <a:prstGeom prst="rect">
                      <a:avLst/>
                    </a:prstGeom>
                    <a:noFill/>
                    <a:ln>
                      <a:noFill/>
                    </a:ln>
                  </pic:spPr>
                </pic:pic>
              </a:graphicData>
            </a:graphic>
          </wp:inline>
        </w:drawing>
      </w:r>
    </w:p>
    <w:p w14:paraId="0F69A2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注：1、本基金建仓期为自基金合同生效日起的6个月。截至建仓期结束，本基金各项资产配置比例符合基金合同及招募说明书有关投资比例的约定。</w:t>
      </w:r>
    </w:p>
    <w:p w14:paraId="628DCF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2、本基金自2022年9月8日起，开始销售C类份额，投资者提交的申购申请于2022年9月9日被确认并将有效份额登记在册。</w:t>
      </w:r>
    </w:p>
    <w:p w14:paraId="755EE20D"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4130A87" w14:textId="77777777" w:rsidR="001F702C" w:rsidRDefault="00BD18A1">
      <w:pPr>
        <w:pStyle w:val="1"/>
        <w:snapToGrid w:val="0"/>
        <w:spacing w:beforeLines="0" w:before="240" w:after="240"/>
        <w:rPr>
          <w:rFonts w:ascii="宋体" w:hAnsi="宋体"/>
          <w:szCs w:val="30"/>
        </w:rPr>
      </w:pPr>
      <w:bookmarkStart w:id="15" w:name="_Toc140049416"/>
      <w:r>
        <w:rPr>
          <w:rFonts w:ascii="Times New Roman" w:hAnsi="Times New Roman"/>
          <w:sz w:val="30"/>
        </w:rPr>
        <w:lastRenderedPageBreak/>
        <w:t>十二、基金的财产</w:t>
      </w:r>
      <w:bookmarkEnd w:id="15"/>
    </w:p>
    <w:p w14:paraId="7987B5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665D4F5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24B907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696C5B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7CF846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5BB7B9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25E313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629256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sz w:val="24"/>
        </w:rPr>
        <w:t>律法规</w:t>
      </w:r>
      <w:proofErr w:type="gramEnd"/>
      <w:r>
        <w:rPr>
          <w:rFonts w:ascii="宋体" w:hAnsi="宋体"/>
          <w:sz w:val="24"/>
        </w:rPr>
        <w:t>和《基金合同》的规定处分外，基金财产不得被处分。</w:t>
      </w:r>
    </w:p>
    <w:p w14:paraId="231433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sz w:val="24"/>
        </w:rPr>
        <w:t>抵销</w:t>
      </w:r>
      <w:proofErr w:type="gramEnd"/>
      <w:r>
        <w:rPr>
          <w:rFonts w:ascii="宋体" w:hAnsi="宋体"/>
          <w:sz w:val="24"/>
        </w:rPr>
        <w:t>；基金管理人管理运作不同基金的基金财产所产生的债权债务不得相互</w:t>
      </w:r>
      <w:proofErr w:type="gramStart"/>
      <w:r>
        <w:rPr>
          <w:rFonts w:ascii="宋体" w:hAnsi="宋体"/>
          <w:sz w:val="24"/>
        </w:rPr>
        <w:t>抵销</w:t>
      </w:r>
      <w:proofErr w:type="gramEnd"/>
      <w:r>
        <w:rPr>
          <w:rFonts w:ascii="宋体" w:hAnsi="宋体"/>
          <w:sz w:val="24"/>
        </w:rPr>
        <w:t>。非因基金财产本身承担的债务，不得对基金财产强制执行。</w:t>
      </w:r>
    </w:p>
    <w:p w14:paraId="5900952B"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667730F" w14:textId="77777777" w:rsidR="001F702C" w:rsidRDefault="00BD18A1">
      <w:pPr>
        <w:pStyle w:val="1"/>
        <w:snapToGrid w:val="0"/>
        <w:spacing w:beforeLines="0" w:before="240" w:after="240"/>
        <w:rPr>
          <w:rFonts w:ascii="宋体" w:hAnsi="宋体"/>
          <w:szCs w:val="30"/>
        </w:rPr>
      </w:pPr>
      <w:bookmarkStart w:id="16" w:name="_Toc140049417"/>
      <w:r>
        <w:rPr>
          <w:rFonts w:ascii="Times New Roman" w:hAnsi="Times New Roman"/>
          <w:sz w:val="30"/>
        </w:rPr>
        <w:lastRenderedPageBreak/>
        <w:t>十三、基金资产的估值</w:t>
      </w:r>
      <w:bookmarkEnd w:id="16"/>
    </w:p>
    <w:p w14:paraId="49B5B12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5A5A39E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w:t>
      </w:r>
      <w:proofErr w:type="gramStart"/>
      <w:r>
        <w:rPr>
          <w:rFonts w:ascii="宋体" w:hAnsi="宋体"/>
          <w:sz w:val="24"/>
        </w:rPr>
        <w:t>非交易</w:t>
      </w:r>
      <w:proofErr w:type="gramEnd"/>
      <w:r>
        <w:rPr>
          <w:rFonts w:ascii="宋体" w:hAnsi="宋体"/>
          <w:sz w:val="24"/>
        </w:rPr>
        <w:t>日。</w:t>
      </w:r>
    </w:p>
    <w:p w14:paraId="526C1B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18715D8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14:paraId="501D06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14:paraId="047C8D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本基金所持有的投资品种，按如下原则进行估值：</w:t>
      </w:r>
    </w:p>
    <w:p w14:paraId="3947EE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178E88D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5224A42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14:paraId="62B961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（1）首次公开发行未上市的债券，采用估值技术确定公允价值，在估值技术难以可靠计量公允价值的情况下，按成本估值。</w:t>
      </w:r>
    </w:p>
    <w:p w14:paraId="7CE8D6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B730F7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825E0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4、存款的估值方法</w:t>
      </w:r>
    </w:p>
    <w:p w14:paraId="401296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持有的银行定期存款或通知存款以本金列示，按协议或合同利率逐日确认利息收入。</w:t>
      </w:r>
    </w:p>
    <w:p w14:paraId="241A91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5、本基金可以采用第三方估值机构按照上述公允价值确定原则提供的估值价格数据。</w:t>
      </w:r>
    </w:p>
    <w:p w14:paraId="2A5578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14:paraId="2BEFDD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7、当发生大额申购或赎回情形时，基金管理人可以对本基金采用摆动定价机制，以确保基金估值的公平性。</w:t>
      </w:r>
    </w:p>
    <w:p w14:paraId="2C0482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8、相关法律法规以及监管部门有强制规定的，从其规定。如有新增事项，按国家最新规定估值。</w:t>
      </w:r>
    </w:p>
    <w:p w14:paraId="440B83B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8C88B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0AAD10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14:paraId="04223D1C" w14:textId="2314CBDB"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14:paraId="308F11C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基金管理人于每个工作日计算各类基金份额的基金资产净值及基金份额净值，并按规定公告。如遇特殊情况，经中国证监会同意，可以适当延迟计算或公告。</w:t>
      </w:r>
    </w:p>
    <w:p w14:paraId="7BAA828B" w14:textId="775BE43C"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proofErr w:type="gramStart"/>
      <w:r>
        <w:rPr>
          <w:rFonts w:ascii="宋体" w:hAnsi="宋体"/>
          <w:sz w:val="24"/>
        </w:rPr>
        <w:t>应每个</w:t>
      </w:r>
      <w:proofErr w:type="gramEnd"/>
      <w:r>
        <w:rPr>
          <w:rFonts w:ascii="宋体" w:hAnsi="宋体"/>
          <w:sz w:val="24"/>
        </w:rPr>
        <w:t>工作日对基金资产估值，但基金管理人根据法律法规或基金合同的规定暂停估值时除外。基金管理人每个工作日对基金资产估值后，将</w:t>
      </w:r>
      <w:r w:rsidR="00367445">
        <w:rPr>
          <w:rFonts w:ascii="宋体" w:hAnsi="宋体" w:hint="eastAsia"/>
          <w:sz w:val="24"/>
        </w:rPr>
        <w:t>各类</w:t>
      </w:r>
      <w:r>
        <w:rPr>
          <w:rFonts w:ascii="宋体" w:hAnsi="宋体"/>
          <w:sz w:val="24"/>
        </w:rPr>
        <w:t>基金份额净值结果发送基金托管人，经基金托管人复核无误后，由基金管理人依据基金合同和相关法律法规的规定对外公布。</w:t>
      </w:r>
    </w:p>
    <w:p w14:paraId="575EFA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（五）估值错误的处理</w:t>
      </w:r>
    </w:p>
    <w:p w14:paraId="71C15D6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w:t>
      </w:r>
      <w:r>
        <w:rPr>
          <w:rFonts w:ascii="宋体" w:hAnsi="宋体"/>
          <w:sz w:val="24"/>
        </w:rPr>
        <w:lastRenderedPageBreak/>
        <w:t>准确性、及时性。当基金份额净值小数点后第4位以内（含第4位）发生估值错误时，视为基金份额净值错误。</w:t>
      </w:r>
    </w:p>
    <w:p w14:paraId="222A43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4A6FD0C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3EA9ECE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7F1A4F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2C51A1A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52B3069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910ABE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4FA020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D1633E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67D30FC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w:t>
      </w:r>
      <w:r>
        <w:rPr>
          <w:rFonts w:ascii="宋体" w:hAnsi="宋体"/>
          <w:sz w:val="24"/>
        </w:rPr>
        <w:lastRenderedPageBreak/>
        <w:t>和超过其实际损失的差额部分支付给估值错误责任方。</w:t>
      </w:r>
    </w:p>
    <w:p w14:paraId="2711D2E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71D416C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707A684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22FEFD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2B57A5C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5C7E9BE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002FCF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452503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381455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7F14321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44D212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4A29996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38EEA8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（六）暂停估值的情形</w:t>
      </w:r>
    </w:p>
    <w:p w14:paraId="36D597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3B25B06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2FEE62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674E29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3C905D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（七）基金净值的确认</w:t>
      </w:r>
    </w:p>
    <w:p w14:paraId="0964AE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w:t>
      </w:r>
      <w:r>
        <w:rPr>
          <w:rFonts w:ascii="宋体" w:hAnsi="宋体"/>
          <w:sz w:val="24"/>
        </w:rPr>
        <w:lastRenderedPageBreak/>
        <w:t>托管人对净值计算结果复核确认后发送给基金管理人，由基金管理人依据基金合同和相关法律法规的规定对基金净值予以公布。</w:t>
      </w:r>
    </w:p>
    <w:p w14:paraId="7695827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14:paraId="60BC01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1、基金管理人或基金托管人按估值方法的第6项进行估值时，所造成的误差不作为基金资产估值错误处理。</w:t>
      </w:r>
    </w:p>
    <w:p w14:paraId="279924E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928E68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（九）实施</w:t>
      </w:r>
      <w:proofErr w:type="gramStart"/>
      <w:r>
        <w:rPr>
          <w:rFonts w:ascii="宋体" w:hAnsi="宋体"/>
          <w:sz w:val="24"/>
        </w:rPr>
        <w:t>侧袋机制</w:t>
      </w:r>
      <w:proofErr w:type="gramEnd"/>
      <w:r>
        <w:rPr>
          <w:rFonts w:ascii="宋体" w:hAnsi="宋体"/>
          <w:sz w:val="24"/>
        </w:rPr>
        <w:t>期间的基金资产估值</w:t>
      </w:r>
    </w:p>
    <w:p w14:paraId="7121204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的，应根据本部分的约定</w:t>
      </w:r>
      <w:proofErr w:type="gramStart"/>
      <w:r>
        <w:rPr>
          <w:rFonts w:ascii="宋体" w:hAnsi="宋体"/>
          <w:sz w:val="24"/>
        </w:rPr>
        <w:t>对主袋账户</w:t>
      </w:r>
      <w:proofErr w:type="gramEnd"/>
      <w:r>
        <w:rPr>
          <w:rFonts w:ascii="宋体" w:hAnsi="宋体"/>
          <w:sz w:val="24"/>
        </w:rPr>
        <w:t>资产进行估值并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r w:rsidRPr="00BB248E">
        <w:rPr>
          <w:rFonts w:ascii="宋体" w:hAnsi="宋体" w:hint="eastAsia"/>
          <w:b/>
          <w:kern w:val="0"/>
          <w:sz w:val="24"/>
        </w:rPr>
        <w:t>。</w:t>
      </w:r>
    </w:p>
    <w:p w14:paraId="1EE17149"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9C3B74A" w14:textId="77777777" w:rsidR="001F702C" w:rsidRDefault="00BD18A1">
      <w:pPr>
        <w:pStyle w:val="1"/>
        <w:snapToGrid w:val="0"/>
        <w:spacing w:beforeLines="0" w:before="240" w:after="240"/>
        <w:rPr>
          <w:rFonts w:ascii="宋体" w:hAnsi="宋体"/>
          <w:szCs w:val="30"/>
        </w:rPr>
      </w:pPr>
      <w:bookmarkStart w:id="17" w:name="_Toc140049418"/>
      <w:r>
        <w:rPr>
          <w:rFonts w:ascii="Times New Roman" w:hAnsi="Times New Roman"/>
          <w:sz w:val="30"/>
        </w:rPr>
        <w:lastRenderedPageBreak/>
        <w:t>十四、基金收益与分配</w:t>
      </w:r>
      <w:bookmarkEnd w:id="17"/>
    </w:p>
    <w:p w14:paraId="745B6D7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728286E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147E39B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4977F2D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19AB52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5C9B4837" w14:textId="6380570A"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w:t>
      </w:r>
      <w:r w:rsidR="00367445" w:rsidRPr="00EC2A62">
        <w:rPr>
          <w:rFonts w:ascii="宋体" w:hAnsi="宋体" w:hint="eastAsia"/>
          <w:sz w:val="24"/>
        </w:rPr>
        <w:t>和D类基金份额</w:t>
      </w:r>
      <w:r>
        <w:rPr>
          <w:rFonts w:ascii="宋体" w:hAnsi="宋体"/>
          <w:sz w:val="24"/>
        </w:rPr>
        <w:t>不收取销售服务费，C类基金份额收取销售服务费，各基金份额类别对应的可供分配利润将有所不同；本基金同一基金份额类别的每一基金份额享有同等分配权；</w:t>
      </w:r>
    </w:p>
    <w:p w14:paraId="4C2E487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2、在符合有关基金分红条件的前提下，基金管理人可以根据实际情况进行收益分配，具体分配方案以公告为准，</w:t>
      </w:r>
      <w:proofErr w:type="gramStart"/>
      <w:r>
        <w:rPr>
          <w:rFonts w:ascii="宋体" w:hAnsi="宋体"/>
          <w:sz w:val="24"/>
        </w:rPr>
        <w:t>若基金</w:t>
      </w:r>
      <w:proofErr w:type="gramEnd"/>
      <w:r>
        <w:rPr>
          <w:rFonts w:ascii="宋体" w:hAnsi="宋体"/>
          <w:sz w:val="24"/>
        </w:rPr>
        <w:t>合同生效不满3个月可不进行收益分配；</w:t>
      </w:r>
    </w:p>
    <w:p w14:paraId="269DBE17" w14:textId="56FCB0FE"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w:t>
      </w:r>
      <w:r w:rsidR="004C03B6" w:rsidRPr="00A22ACB">
        <w:rPr>
          <w:rFonts w:hint="eastAsia"/>
          <w:bCs/>
          <w:sz w:val="24"/>
        </w:rPr>
        <w:t>相应类别的</w:t>
      </w:r>
      <w:r>
        <w:rPr>
          <w:rFonts w:ascii="宋体" w:hAnsi="宋体"/>
          <w:sz w:val="24"/>
        </w:rPr>
        <w:t>基金份额进行再投资；若投资者不选择，本基金默认的收益分配方式是现金分红；基金份额持有人可对其持有的A类基金份额</w:t>
      </w:r>
      <w:r w:rsidR="00367445">
        <w:rPr>
          <w:rFonts w:ascii="宋体" w:hAnsi="宋体" w:hint="eastAsia"/>
          <w:sz w:val="24"/>
        </w:rPr>
        <w:t>、</w:t>
      </w:r>
      <w:r>
        <w:rPr>
          <w:rFonts w:ascii="宋体" w:hAnsi="宋体"/>
          <w:sz w:val="24"/>
        </w:rPr>
        <w:t>C类基金份额</w:t>
      </w:r>
      <w:r w:rsidR="00367445" w:rsidRPr="00EC2A62">
        <w:rPr>
          <w:rFonts w:ascii="宋体" w:hAnsi="宋体" w:hint="eastAsia"/>
          <w:sz w:val="24"/>
        </w:rPr>
        <w:t>和D类基金份额</w:t>
      </w:r>
      <w:r>
        <w:rPr>
          <w:rFonts w:ascii="宋体" w:hAnsi="宋体"/>
          <w:sz w:val="24"/>
        </w:rPr>
        <w:t>分别选择不同的收益分配方式；</w:t>
      </w:r>
    </w:p>
    <w:p w14:paraId="0C924430" w14:textId="6FDD67C6"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4、基金收益分配后任一类基金份额净值不能低于面值，即基金收益分配基准日的任一类基金份额净值减去该类每单位基金份额收益分配金额后不能低于面值；</w:t>
      </w:r>
    </w:p>
    <w:p w14:paraId="624E920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5、法律法规或监管机构另有规定的，从其规定。</w:t>
      </w:r>
    </w:p>
    <w:p w14:paraId="7B44A69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13B750A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7A9E35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227AC5A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5AFDBC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w:t>
      </w:r>
      <w:proofErr w:type="gramStart"/>
      <w:r>
        <w:rPr>
          <w:rFonts w:ascii="宋体" w:hAnsi="宋体"/>
          <w:sz w:val="24"/>
        </w:rPr>
        <w:t>日距离</w:t>
      </w:r>
      <w:proofErr w:type="gramEnd"/>
      <w:r>
        <w:rPr>
          <w:rFonts w:ascii="宋体" w:hAnsi="宋体"/>
          <w:sz w:val="24"/>
        </w:rPr>
        <w:t>收益分配基准日（即可供分配利润计算截止日）的时间不得超过15个工作日。</w:t>
      </w:r>
    </w:p>
    <w:p w14:paraId="5327591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14:paraId="2791A10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18DC0D1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相应类别的基金份额。红利再投资的计算方法，依照《业务规则》执行。</w:t>
      </w:r>
    </w:p>
    <w:p w14:paraId="4CEF33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0F91D1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681257C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22BE62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w:t>
      </w:r>
      <w:proofErr w:type="gramStart"/>
      <w:r>
        <w:rPr>
          <w:rFonts w:ascii="宋体" w:hAnsi="宋体"/>
          <w:sz w:val="24"/>
        </w:rPr>
        <w:t>侧袋机制</w:t>
      </w:r>
      <w:proofErr w:type="gramEnd"/>
      <w:r>
        <w:rPr>
          <w:rFonts w:ascii="宋体" w:hAnsi="宋体"/>
          <w:sz w:val="24"/>
        </w:rPr>
        <w:t>期间的收益分配</w:t>
      </w:r>
    </w:p>
    <w:p w14:paraId="7CD4E5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侧袋账户</w:t>
      </w:r>
      <w:proofErr w:type="gramEnd"/>
      <w:r>
        <w:rPr>
          <w:rFonts w:ascii="宋体" w:hAnsi="宋体"/>
          <w:sz w:val="24"/>
        </w:rPr>
        <w:t>不进行收益分配。</w:t>
      </w:r>
    </w:p>
    <w:p w14:paraId="0E817AAA"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84B896D" w14:textId="77777777" w:rsidR="001F702C" w:rsidRDefault="00BD18A1">
      <w:pPr>
        <w:pStyle w:val="1"/>
        <w:snapToGrid w:val="0"/>
        <w:spacing w:beforeLines="0" w:before="240" w:after="240"/>
        <w:rPr>
          <w:rFonts w:ascii="宋体" w:hAnsi="宋体"/>
          <w:szCs w:val="30"/>
        </w:rPr>
      </w:pPr>
      <w:bookmarkStart w:id="18" w:name="_Toc140049419"/>
      <w:r>
        <w:rPr>
          <w:rFonts w:ascii="Times New Roman" w:hAnsi="Times New Roman"/>
          <w:sz w:val="30"/>
        </w:rPr>
        <w:lastRenderedPageBreak/>
        <w:t>十五、基金的费用与税收</w:t>
      </w:r>
      <w:bookmarkEnd w:id="18"/>
    </w:p>
    <w:p w14:paraId="24E3E0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553700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A0C335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011ABCD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3、指数许可使用费；</w:t>
      </w:r>
    </w:p>
    <w:p w14:paraId="79CC5AD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4、《基金合同》生效后与基金相关的信息披露费用；</w:t>
      </w:r>
    </w:p>
    <w:p w14:paraId="2FC54A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5、《基金合同》生效后与基金相关的会计师费、律师费、仲裁费和诉讼费；</w:t>
      </w:r>
    </w:p>
    <w:p w14:paraId="3EB90A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6、基金份额持有人大会费用；</w:t>
      </w:r>
    </w:p>
    <w:p w14:paraId="5BD409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7、基金的证券交易费用；</w:t>
      </w:r>
    </w:p>
    <w:p w14:paraId="7081D2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8、基金的银行汇划费用；</w:t>
      </w:r>
    </w:p>
    <w:p w14:paraId="3F7C46B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9、基金的开户费用、账户维护费用；</w:t>
      </w:r>
    </w:p>
    <w:p w14:paraId="1DB184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10、本基金从C类基金份额的基金财产中计提的销售服务费；</w:t>
      </w:r>
    </w:p>
    <w:p w14:paraId="3E2FD2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11、按照国家有关规定和《基金合同》约定，可以在基金财产中列支的其他费用。</w:t>
      </w:r>
    </w:p>
    <w:p w14:paraId="4BA0F1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78534F6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2F1B177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D60D8D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本基金的管理费按前一日基金资产净值的0.15%年费率计提。管理费的计算方法如下：</w:t>
      </w:r>
    </w:p>
    <w:p w14:paraId="476CC14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H＝E×0.15%÷当年天数</w:t>
      </w:r>
    </w:p>
    <w:p w14:paraId="323F613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44822D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511BB7D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逐日累计至每月月末，按月支付，由基金管理人于次月首日起5个工作日内向基金托管人发送基金管理费划款指令，基金托管人复核后从基金财产中一次性支付给基金管理人。若遇法定节假日、休息日或不可抗力致使无法按时支付的，支付日期顺延。</w:t>
      </w:r>
    </w:p>
    <w:p w14:paraId="2F67D57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3D744E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本基金的托管费按前一日基金资产净值的0.05%年费率计提。托管费的计算方法如下：</w:t>
      </w:r>
    </w:p>
    <w:p w14:paraId="31ECE2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H＝E×0.05%÷当年天数</w:t>
      </w:r>
    </w:p>
    <w:p w14:paraId="67BFCBC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43F86F9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2CDE1B2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逐日累计至每月月末，按月支付，由基金管理人于次月首日起5个工作日内向基金托管人发送基金托管费划款指令，基金托管人复核后从基金财产中一次性支取。若遇法定节假日、休息日或不可抗力致使无法按时支付的，支付日期顺延。</w:t>
      </w:r>
    </w:p>
    <w:p w14:paraId="5FC5319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（3）指数许可使用费</w:t>
      </w:r>
    </w:p>
    <w:p w14:paraId="2B0D2A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作为指数基金，需根据与标的指数许可方签署的指数许可使用协议的约定向标的指数许可方支付指数许可使用费。在通常情况下，指数许可使用费按前一日的基金资产净值所适应的年度费率计提。指数许可使用费每日计算，逐日累计。</w:t>
      </w:r>
    </w:p>
    <w:tbl>
      <w:tblPr>
        <w:tblW w:w="5000" w:type="pct"/>
        <w:tblCellMar>
          <w:left w:w="0" w:type="dxa"/>
          <w:right w:w="0" w:type="dxa"/>
        </w:tblCellMar>
        <w:tblLook w:val="0000" w:firstRow="0" w:lastRow="0" w:firstColumn="0" w:lastColumn="0" w:noHBand="0" w:noVBand="0"/>
      </w:tblPr>
      <w:tblGrid>
        <w:gridCol w:w="1544"/>
        <w:gridCol w:w="4634"/>
        <w:gridCol w:w="2472"/>
      </w:tblGrid>
      <w:tr w:rsidR="001F702C" w14:paraId="1BE6DE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2741B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基金资产季度平均净值</w:t>
            </w:r>
          </w:p>
        </w:tc>
        <w:tc>
          <w:tcPr>
            <w:tcW w:w="750" w:type="pct"/>
            <w:tcBorders>
              <w:top w:val="single" w:sz="4" w:space="0" w:color="auto"/>
              <w:left w:val="single" w:sz="4" w:space="0" w:color="auto"/>
              <w:bottom w:val="single" w:sz="4" w:space="0" w:color="auto"/>
              <w:right w:val="single" w:sz="4" w:space="0" w:color="auto"/>
            </w:tcBorders>
            <w:vAlign w:val="center"/>
          </w:tcPr>
          <w:p w14:paraId="0411BE9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季度费率</w:t>
            </w:r>
          </w:p>
        </w:tc>
        <w:tc>
          <w:tcPr>
            <w:tcW w:w="400" w:type="pct"/>
            <w:tcBorders>
              <w:top w:val="single" w:sz="4" w:space="0" w:color="auto"/>
              <w:left w:val="single" w:sz="4" w:space="0" w:color="auto"/>
              <w:bottom w:val="single" w:sz="4" w:space="0" w:color="auto"/>
              <w:right w:val="single" w:sz="4" w:space="0" w:color="auto"/>
            </w:tcBorders>
            <w:vAlign w:val="center"/>
          </w:tcPr>
          <w:p w14:paraId="37C8580E"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年度费率</w:t>
            </w:r>
          </w:p>
        </w:tc>
      </w:tr>
      <w:tr w:rsidR="001F702C" w14:paraId="02F236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EC6D8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r>
              <w:rPr>
                <w:rFonts w:ascii="Times New Roman" w:hAnsi="Times New Roman"/>
                <w:color w:val="000000"/>
                <w:kern w:val="0"/>
                <w:sz w:val="25"/>
                <w:szCs w:val="24"/>
              </w:rPr>
              <w:t>亿人民币以下（不包括</w:t>
            </w:r>
            <w:r>
              <w:rPr>
                <w:rFonts w:ascii="Times New Roman" w:hAnsi="Times New Roman"/>
                <w:color w:val="000000"/>
                <w:kern w:val="0"/>
                <w:sz w:val="25"/>
                <w:szCs w:val="24"/>
              </w:rPr>
              <w:t>10</w:t>
            </w:r>
            <w:r>
              <w:rPr>
                <w:rFonts w:ascii="Times New Roman" w:hAnsi="Times New Roman"/>
                <w:color w:val="000000"/>
                <w:kern w:val="0"/>
                <w:sz w:val="25"/>
                <w:szCs w:val="24"/>
              </w:rPr>
              <w:t>亿人民币整）</w:t>
            </w:r>
          </w:p>
        </w:tc>
        <w:tc>
          <w:tcPr>
            <w:tcW w:w="750" w:type="pct"/>
            <w:tcBorders>
              <w:top w:val="single" w:sz="4" w:space="0" w:color="auto"/>
              <w:left w:val="single" w:sz="4" w:space="0" w:color="auto"/>
              <w:bottom w:val="single" w:sz="4" w:space="0" w:color="auto"/>
              <w:right w:val="single" w:sz="4" w:space="0" w:color="auto"/>
            </w:tcBorders>
            <w:vAlign w:val="center"/>
          </w:tcPr>
          <w:p w14:paraId="43317C5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 bp</w:t>
            </w:r>
          </w:p>
        </w:tc>
        <w:tc>
          <w:tcPr>
            <w:tcW w:w="400" w:type="pct"/>
            <w:tcBorders>
              <w:top w:val="single" w:sz="4" w:space="0" w:color="auto"/>
              <w:left w:val="single" w:sz="4" w:space="0" w:color="auto"/>
              <w:bottom w:val="single" w:sz="4" w:space="0" w:color="auto"/>
              <w:right w:val="single" w:sz="4" w:space="0" w:color="auto"/>
            </w:tcBorders>
            <w:vAlign w:val="center"/>
          </w:tcPr>
          <w:p w14:paraId="5C7B582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4bp</w:t>
            </w:r>
          </w:p>
        </w:tc>
      </w:tr>
      <w:tr w:rsidR="001F702C" w14:paraId="293F6C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160E6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r>
              <w:rPr>
                <w:rFonts w:ascii="Times New Roman" w:hAnsi="Times New Roman"/>
                <w:color w:val="000000"/>
                <w:kern w:val="0"/>
                <w:sz w:val="25"/>
                <w:szCs w:val="24"/>
              </w:rPr>
              <w:t>亿</w:t>
            </w:r>
            <w:r>
              <w:rPr>
                <w:rFonts w:ascii="Times New Roman" w:hAnsi="Times New Roman"/>
                <w:color w:val="000000"/>
                <w:kern w:val="0"/>
                <w:sz w:val="25"/>
                <w:szCs w:val="24"/>
              </w:rPr>
              <w:t>-20</w:t>
            </w:r>
            <w:r>
              <w:rPr>
                <w:rFonts w:ascii="Times New Roman" w:hAnsi="Times New Roman"/>
                <w:color w:val="000000"/>
                <w:kern w:val="0"/>
                <w:sz w:val="25"/>
                <w:szCs w:val="24"/>
              </w:rPr>
              <w:t>亿人民币之间（包括</w:t>
            </w:r>
            <w:r>
              <w:rPr>
                <w:rFonts w:ascii="Times New Roman" w:hAnsi="Times New Roman"/>
                <w:color w:val="000000"/>
                <w:kern w:val="0"/>
                <w:sz w:val="25"/>
                <w:szCs w:val="24"/>
              </w:rPr>
              <w:t>10</w:t>
            </w:r>
            <w:r>
              <w:rPr>
                <w:rFonts w:ascii="Times New Roman" w:hAnsi="Times New Roman"/>
                <w:color w:val="000000"/>
                <w:kern w:val="0"/>
                <w:sz w:val="25"/>
                <w:szCs w:val="24"/>
              </w:rPr>
              <w:t>亿人民币整，不包括</w:t>
            </w:r>
            <w:r>
              <w:rPr>
                <w:rFonts w:ascii="Times New Roman" w:hAnsi="Times New Roman"/>
                <w:color w:val="000000"/>
                <w:kern w:val="0"/>
                <w:sz w:val="25"/>
                <w:szCs w:val="24"/>
              </w:rPr>
              <w:t>20</w:t>
            </w:r>
            <w:r>
              <w:rPr>
                <w:rFonts w:ascii="Times New Roman" w:hAnsi="Times New Roman"/>
                <w:color w:val="000000"/>
                <w:kern w:val="0"/>
                <w:sz w:val="25"/>
                <w:szCs w:val="24"/>
              </w:rPr>
              <w:t>亿人民币整）</w:t>
            </w:r>
          </w:p>
        </w:tc>
        <w:tc>
          <w:tcPr>
            <w:tcW w:w="750" w:type="pct"/>
            <w:tcBorders>
              <w:top w:val="single" w:sz="4" w:space="0" w:color="auto"/>
              <w:left w:val="single" w:sz="4" w:space="0" w:color="auto"/>
              <w:bottom w:val="single" w:sz="4" w:space="0" w:color="auto"/>
              <w:right w:val="single" w:sz="4" w:space="0" w:color="auto"/>
            </w:tcBorders>
            <w:vAlign w:val="center"/>
          </w:tcPr>
          <w:p w14:paraId="66346BE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0.75 bp</w:t>
            </w:r>
          </w:p>
        </w:tc>
        <w:tc>
          <w:tcPr>
            <w:tcW w:w="400" w:type="pct"/>
            <w:tcBorders>
              <w:top w:val="single" w:sz="4" w:space="0" w:color="auto"/>
              <w:left w:val="single" w:sz="4" w:space="0" w:color="auto"/>
              <w:bottom w:val="single" w:sz="4" w:space="0" w:color="auto"/>
              <w:right w:val="single" w:sz="4" w:space="0" w:color="auto"/>
            </w:tcBorders>
            <w:vAlign w:val="center"/>
          </w:tcPr>
          <w:p w14:paraId="041B600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 bp</w:t>
            </w:r>
          </w:p>
        </w:tc>
      </w:tr>
      <w:tr w:rsidR="001F702C" w14:paraId="69C0272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1FCB3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超过</w:t>
            </w:r>
            <w:r>
              <w:rPr>
                <w:rFonts w:ascii="Times New Roman" w:hAnsi="Times New Roman"/>
                <w:color w:val="000000"/>
                <w:kern w:val="0"/>
                <w:sz w:val="25"/>
                <w:szCs w:val="24"/>
              </w:rPr>
              <w:t>20</w:t>
            </w:r>
            <w:r>
              <w:rPr>
                <w:rFonts w:ascii="Times New Roman" w:hAnsi="Times New Roman"/>
                <w:color w:val="000000"/>
                <w:kern w:val="0"/>
                <w:sz w:val="25"/>
                <w:szCs w:val="24"/>
              </w:rPr>
              <w:t>亿人民币（包括</w:t>
            </w:r>
            <w:r>
              <w:rPr>
                <w:rFonts w:ascii="Times New Roman" w:hAnsi="Times New Roman"/>
                <w:color w:val="000000"/>
                <w:kern w:val="0"/>
                <w:sz w:val="25"/>
                <w:szCs w:val="24"/>
              </w:rPr>
              <w:t>20</w:t>
            </w:r>
            <w:r>
              <w:rPr>
                <w:rFonts w:ascii="Times New Roman" w:hAnsi="Times New Roman"/>
                <w:color w:val="000000"/>
                <w:kern w:val="0"/>
                <w:sz w:val="25"/>
                <w:szCs w:val="24"/>
              </w:rPr>
              <w:t>亿人民币整）</w:t>
            </w:r>
          </w:p>
        </w:tc>
        <w:tc>
          <w:tcPr>
            <w:tcW w:w="750" w:type="pct"/>
            <w:tcBorders>
              <w:top w:val="single" w:sz="4" w:space="0" w:color="auto"/>
              <w:left w:val="single" w:sz="4" w:space="0" w:color="auto"/>
              <w:bottom w:val="single" w:sz="4" w:space="0" w:color="auto"/>
              <w:right w:val="single" w:sz="4" w:space="0" w:color="auto"/>
            </w:tcBorders>
            <w:vAlign w:val="center"/>
          </w:tcPr>
          <w:p w14:paraId="3BC4D1A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0.625 bp</w:t>
            </w:r>
          </w:p>
        </w:tc>
        <w:tc>
          <w:tcPr>
            <w:tcW w:w="400" w:type="pct"/>
            <w:tcBorders>
              <w:top w:val="single" w:sz="4" w:space="0" w:color="auto"/>
              <w:left w:val="single" w:sz="4" w:space="0" w:color="auto"/>
              <w:bottom w:val="single" w:sz="4" w:space="0" w:color="auto"/>
              <w:right w:val="single" w:sz="4" w:space="0" w:color="auto"/>
            </w:tcBorders>
            <w:vAlign w:val="center"/>
          </w:tcPr>
          <w:p w14:paraId="08ACD6F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2.5bp</w:t>
            </w:r>
          </w:p>
        </w:tc>
      </w:tr>
    </w:tbl>
    <w:p w14:paraId="0BAB30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注：1bp=基本点数=1/10,000=0.01%</w:t>
      </w:r>
    </w:p>
    <w:p w14:paraId="417B16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当基金季度平均净值规模在10亿元以下（不包括10亿元），指数许可使用费按前一日的基金资产净值的0.04%的年费率计提。计算方法如下：</w:t>
      </w:r>
    </w:p>
    <w:p w14:paraId="2A26FF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H=E×0.04%÷当年天数</w:t>
      </w:r>
    </w:p>
    <w:p w14:paraId="35195F5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H为每日应计提的指数许可使用费</w:t>
      </w:r>
    </w:p>
    <w:p w14:paraId="296B19D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0CCC394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当基金季度平均净值规模在10亿元至20亿元（包括10亿元，不包括20亿元），指数许可使用费按前一日的基金资产净值的0.03%的年费率计提。计算方法如下：</w:t>
      </w:r>
    </w:p>
    <w:p w14:paraId="11BD6A2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H=E×0.03%÷当年天数</w:t>
      </w:r>
    </w:p>
    <w:p w14:paraId="2A9D1C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H为每日应计提的指数许可使用费</w:t>
      </w:r>
    </w:p>
    <w:p w14:paraId="685F04A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20426A2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当基金季度平均净值规模在20亿元以上（包括20亿元），指数许可使用费按前一日的基金资产净值的0.025%的年费率计提。计算方法如下：</w:t>
      </w:r>
    </w:p>
    <w:p w14:paraId="2EEF8B8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H=E×0.025%÷当年天数</w:t>
      </w:r>
    </w:p>
    <w:p w14:paraId="36C86B5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H为每日应计提的指数许可使用费</w:t>
      </w:r>
    </w:p>
    <w:p w14:paraId="41CAFCB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234EBC7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基金合同生效后指数许可使用费计费时间从《基金合同》生效日的后一日开始计算；基金成立的首个季度费用按照《基金合同》生效日所在季度剩余自然日计提。</w:t>
      </w:r>
    </w:p>
    <w:p w14:paraId="1EA131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基金合同生效后指数许可使用费的支付方式为每季支付一次，自《基金合同》生效日的后一日起，由基金管理人向基金托管人发送划付指令，经基金托管人复核后于每年1 月，4 月，7 月，10 月的前十个工作日内向标的指数许可方支付上一季度的基金合同生效后指数许可使用费。</w:t>
      </w:r>
    </w:p>
    <w:p w14:paraId="28EDD59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若标的指数许可方与基金管理人对指数许可使用费的费率及支付方式另有约定的，从其最新约定。</w:t>
      </w:r>
    </w:p>
    <w:p w14:paraId="472770D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（4）C类基金份额的销售服务费</w:t>
      </w:r>
    </w:p>
    <w:p w14:paraId="4F2105C1" w14:textId="660492C6"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w:t>
      </w:r>
      <w:r w:rsidR="00376874" w:rsidRPr="00376874">
        <w:rPr>
          <w:rFonts w:ascii="宋体" w:hAnsi="宋体" w:hint="eastAsia"/>
          <w:sz w:val="24"/>
        </w:rPr>
        <w:t>和D类基金份额</w:t>
      </w:r>
      <w:r>
        <w:rPr>
          <w:rFonts w:ascii="宋体" w:hAnsi="宋体"/>
          <w:sz w:val="24"/>
        </w:rPr>
        <w:t>不收取销售服务费，C类基金份额的销售服务费按前一日C类基金资产净值的0.1%年费率计提。计算方法如下：</w:t>
      </w:r>
    </w:p>
    <w:p w14:paraId="40E69D8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6A36D4E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54939CD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3DF4603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逐日累计至每月月末，按月支付，由基金管理人于次月首日起5个工作日内向基金托管人发送划款指令，由基金托管人复核后从基金财产中一次性支付给基金管理人，由基金管理人代付给销售机构。若遇法定节假日、休息日或不可抗力致使无法按时支付的，支付日期顺延。</w:t>
      </w:r>
    </w:p>
    <w:p w14:paraId="631BC05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3AAFE4A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（5）上述“（一）基金费用的种类”中第4－9项、第11项费用，根据有关法</w:t>
      </w:r>
      <w:r>
        <w:rPr>
          <w:rFonts w:ascii="宋体" w:hAnsi="宋体"/>
          <w:sz w:val="24"/>
        </w:rPr>
        <w:lastRenderedPageBreak/>
        <w:t>规及相应协议规定，按费用实际支出金额列入当期费用，由基金托管人从基金财产中支付。</w:t>
      </w:r>
    </w:p>
    <w:p w14:paraId="08E413A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30D34CA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353092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236133A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6307697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2E65748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05348D1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4C15F66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019AFD6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31F90BE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3A4B47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751464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p>
    <w:p w14:paraId="2A63200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w:t>
      </w:r>
      <w:proofErr w:type="gramStart"/>
      <w:r>
        <w:rPr>
          <w:rFonts w:ascii="宋体" w:hAnsi="宋体"/>
          <w:sz w:val="24"/>
        </w:rPr>
        <w:t>侧袋机制</w:t>
      </w:r>
      <w:proofErr w:type="gramEnd"/>
      <w:r>
        <w:rPr>
          <w:rFonts w:ascii="宋体" w:hAnsi="宋体"/>
          <w:sz w:val="24"/>
        </w:rPr>
        <w:t>期间的基金费用</w:t>
      </w:r>
    </w:p>
    <w:p w14:paraId="37D0E1C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与侧袋账户</w:t>
      </w:r>
      <w:proofErr w:type="gramEnd"/>
      <w:r>
        <w:rPr>
          <w:rFonts w:ascii="宋体" w:hAnsi="宋体"/>
          <w:sz w:val="24"/>
        </w:rPr>
        <w:t>有关的费用可以</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账户资产变现后方可列支，有关费用可酌情收取或减免，但不得收取管理费，详见本招募说明书“侧袋机制”部分的规定。</w:t>
      </w:r>
    </w:p>
    <w:p w14:paraId="6373117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50730C6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68B0A2E3"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B65D0E1" w14:textId="77777777" w:rsidR="001F702C" w:rsidRDefault="00BD18A1">
      <w:pPr>
        <w:pStyle w:val="1"/>
        <w:snapToGrid w:val="0"/>
        <w:spacing w:beforeLines="0" w:before="240" w:after="240"/>
        <w:rPr>
          <w:rFonts w:ascii="宋体" w:hAnsi="宋体"/>
          <w:szCs w:val="30"/>
        </w:rPr>
      </w:pPr>
      <w:bookmarkStart w:id="19" w:name="_Toc140049420"/>
      <w:r>
        <w:rPr>
          <w:rFonts w:ascii="Times New Roman" w:hAnsi="Times New Roman"/>
          <w:sz w:val="30"/>
        </w:rPr>
        <w:lastRenderedPageBreak/>
        <w:t>十六、基金的会计与审计</w:t>
      </w:r>
      <w:bookmarkEnd w:id="19"/>
    </w:p>
    <w:p w14:paraId="6C0B2F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042D84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613787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14:paraId="2A5DF9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7231006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5CE9EA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14DEC41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4115ED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015132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231044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14:paraId="4214253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19E4EDD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7E85F386"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3DC5D61" w14:textId="77777777" w:rsidR="001F702C" w:rsidRDefault="00BD18A1">
      <w:pPr>
        <w:pStyle w:val="1"/>
        <w:snapToGrid w:val="0"/>
        <w:spacing w:beforeLines="0" w:before="240" w:after="240"/>
        <w:rPr>
          <w:rFonts w:ascii="宋体" w:hAnsi="宋体"/>
          <w:szCs w:val="30"/>
        </w:rPr>
      </w:pPr>
      <w:bookmarkStart w:id="20" w:name="_Toc140049421"/>
      <w:r>
        <w:rPr>
          <w:rFonts w:ascii="Times New Roman" w:hAnsi="Times New Roman"/>
          <w:sz w:val="30"/>
        </w:rPr>
        <w:lastRenderedPageBreak/>
        <w:t>十七、基金的信息披露</w:t>
      </w:r>
      <w:bookmarkEnd w:id="20"/>
    </w:p>
    <w:p w14:paraId="67F73C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14:paraId="12CFB1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44C924D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7396CD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7B5D5EE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480FBE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1F12FA8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36227E7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45A582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78F4772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558B183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542CA6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500643D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1B6516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1023AB9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437A70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4B4B59B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24BC9F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7330DDC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4B8BE4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2E68C9C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511367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0063AA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0A999B8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41F165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64C978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202B9EC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4477C18A" w14:textId="56F2BFB1"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《基金合同》生效后，在开始办理基金份额申购或者赎回前，基金管理人应当至少每周在指定网站分别披露一次A类基金份额和C类基金份额所对应的基金份额净值和基金份额累计净值。</w:t>
      </w:r>
    </w:p>
    <w:p w14:paraId="4148A546" w14:textId="371EF0D1"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在开始办理基金份额申购或者赎回后，基金管理人应当在不晚于每个开放日的次日，通过指定网站、基金销售机构网站或者营业网点分别披露开放日的A类基金份额</w:t>
      </w:r>
      <w:r w:rsidR="00376874">
        <w:rPr>
          <w:rFonts w:ascii="宋体" w:hAnsi="宋体" w:hint="eastAsia"/>
          <w:sz w:val="24"/>
        </w:rPr>
        <w:t>、</w:t>
      </w:r>
      <w:r>
        <w:rPr>
          <w:rFonts w:ascii="宋体" w:hAnsi="宋体"/>
          <w:sz w:val="24"/>
        </w:rPr>
        <w:t>C类基金份额</w:t>
      </w:r>
      <w:r w:rsidR="00376874">
        <w:rPr>
          <w:rFonts w:ascii="宋体" w:hAnsi="宋体" w:hint="eastAsia"/>
          <w:sz w:val="24"/>
        </w:rPr>
        <w:t>和D类基金份额</w:t>
      </w:r>
      <w:r>
        <w:rPr>
          <w:rFonts w:ascii="宋体" w:hAnsi="宋体"/>
          <w:sz w:val="24"/>
        </w:rPr>
        <w:t>所对应的基金份额净值和基金份额累计净值。</w:t>
      </w:r>
    </w:p>
    <w:p w14:paraId="1AF9359D" w14:textId="39095506"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基金管理人应当在不晚于半年度和年度最后一日的次日，在指定网站披露半年度和年度最后一日的A类基金份额</w:t>
      </w:r>
      <w:r w:rsidR="00376874">
        <w:rPr>
          <w:rFonts w:ascii="宋体" w:hAnsi="宋体" w:hint="eastAsia"/>
          <w:sz w:val="24"/>
        </w:rPr>
        <w:t>、</w:t>
      </w:r>
      <w:r>
        <w:rPr>
          <w:rFonts w:ascii="宋体" w:hAnsi="宋体"/>
          <w:sz w:val="24"/>
        </w:rPr>
        <w:t>C类基金份额</w:t>
      </w:r>
      <w:r w:rsidR="00376874">
        <w:rPr>
          <w:rFonts w:ascii="宋体" w:hAnsi="宋体" w:hint="eastAsia"/>
          <w:sz w:val="24"/>
        </w:rPr>
        <w:t>和D类基金份额</w:t>
      </w:r>
      <w:r>
        <w:rPr>
          <w:rFonts w:ascii="宋体" w:hAnsi="宋体"/>
          <w:sz w:val="24"/>
        </w:rPr>
        <w:t>所对应的基金份额净值和基金份额累计净值。</w:t>
      </w:r>
    </w:p>
    <w:p w14:paraId="658A90F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0FE73D4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w:t>
      </w:r>
      <w:proofErr w:type="gramStart"/>
      <w:r>
        <w:rPr>
          <w:rFonts w:ascii="宋体" w:hAnsi="宋体"/>
          <w:sz w:val="24"/>
        </w:rPr>
        <w:t>明基金</w:t>
      </w:r>
      <w:proofErr w:type="gramEnd"/>
      <w:r>
        <w:rPr>
          <w:rFonts w:ascii="宋体" w:hAnsi="宋体"/>
          <w:sz w:val="24"/>
        </w:rPr>
        <w:t>份额申购、赎回价格的计算方式及有关申购、赎回费率，并保证投资者能够在基金销售机构网站或营业网点查阅或者复制前述信息资料。</w:t>
      </w:r>
    </w:p>
    <w:p w14:paraId="35268A7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229A972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FA575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298D408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2AF1343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026CEC2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7ACB3F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2781DB9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3BD2D35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220207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w:t>
      </w:r>
      <w:r>
        <w:rPr>
          <w:rFonts w:ascii="宋体" w:hAnsi="宋体"/>
          <w:sz w:val="24"/>
        </w:rPr>
        <w:lastRenderedPageBreak/>
        <w:t>重大影响的下列事件：</w:t>
      </w:r>
    </w:p>
    <w:p w14:paraId="42DFAB6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19BF8D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64ACBC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51DAF40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57D07A4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73EF9F1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4AB69F5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5B0B241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557396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4E52AC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54B56B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4ED739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31CE035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762DC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36B6AC8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1906B9E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32167F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2417CEE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406983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（19）本基金连续发生巨额赎回并暂停接受赎回申请或延缓支付赎回款项；</w:t>
      </w:r>
    </w:p>
    <w:p w14:paraId="2AF15FE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08F90F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55CF329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08D4692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57D1D92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28846F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（25）基金信息披露义务人认为可能对基金份额持有人权益或者基金份额的价格产生重大影响的其他事项或中国证监会规定的其他事项。</w:t>
      </w:r>
    </w:p>
    <w:p w14:paraId="7BB871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6DF58FA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0955F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7D7102E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73897C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7C675C8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14:paraId="24556E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w:t>
      </w:r>
      <w:proofErr w:type="gramStart"/>
      <w:r>
        <w:rPr>
          <w:rFonts w:ascii="宋体" w:hAnsi="宋体"/>
          <w:sz w:val="24"/>
        </w:rPr>
        <w:t>作出</w:t>
      </w:r>
      <w:proofErr w:type="gramEnd"/>
      <w:r>
        <w:rPr>
          <w:rFonts w:ascii="宋体" w:hAnsi="宋体"/>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7C69D06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11、实施</w:t>
      </w:r>
      <w:proofErr w:type="gramStart"/>
      <w:r>
        <w:rPr>
          <w:rFonts w:ascii="宋体" w:hAnsi="宋体"/>
          <w:sz w:val="24"/>
        </w:rPr>
        <w:t>侧袋机制</w:t>
      </w:r>
      <w:proofErr w:type="gramEnd"/>
      <w:r>
        <w:rPr>
          <w:rFonts w:ascii="宋体" w:hAnsi="宋体"/>
          <w:sz w:val="24"/>
        </w:rPr>
        <w:t>期间的信息披露</w:t>
      </w:r>
    </w:p>
    <w:p w14:paraId="026E3B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的，相关信息披露义务人应当根据法律法规、基金合同和招募说明书的规定进行信息披露，详见本招募说明书“侧袋机制”部分的规定。</w:t>
      </w:r>
    </w:p>
    <w:p w14:paraId="59F6C6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12、中国证监会规定的其他信息。</w:t>
      </w:r>
    </w:p>
    <w:p w14:paraId="6B3B842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654A23F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w:t>
      </w:r>
      <w:r>
        <w:rPr>
          <w:rFonts w:ascii="宋体" w:hAnsi="宋体"/>
          <w:sz w:val="24"/>
        </w:rPr>
        <w:lastRenderedPageBreak/>
        <w:t>级管理人员负责管理信息披露事务。</w:t>
      </w:r>
    </w:p>
    <w:p w14:paraId="685273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3E12B0A6" w14:textId="67D37659"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297EC4">
        <w:rPr>
          <w:rFonts w:ascii="宋体" w:hAnsi="宋体" w:hint="eastAsia"/>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6E0FAE7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AA5D79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74D72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7131A2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823E57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34268D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4614F27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14:paraId="2CA6C547"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4EB0CE9" w14:textId="77777777" w:rsidR="001F702C" w:rsidRDefault="00BD18A1">
      <w:pPr>
        <w:pStyle w:val="1"/>
        <w:snapToGrid w:val="0"/>
        <w:spacing w:beforeLines="0" w:before="240" w:after="240"/>
        <w:rPr>
          <w:rFonts w:ascii="宋体" w:hAnsi="宋体"/>
          <w:szCs w:val="30"/>
        </w:rPr>
      </w:pPr>
      <w:bookmarkStart w:id="21" w:name="_Toc140049422"/>
      <w:r>
        <w:rPr>
          <w:rFonts w:ascii="Times New Roman" w:hAnsi="Times New Roman"/>
          <w:sz w:val="30"/>
        </w:rPr>
        <w:lastRenderedPageBreak/>
        <w:t>十八、</w:t>
      </w:r>
      <w:proofErr w:type="gramStart"/>
      <w:r>
        <w:rPr>
          <w:rFonts w:ascii="Times New Roman" w:hAnsi="Times New Roman"/>
          <w:sz w:val="30"/>
        </w:rPr>
        <w:t>侧袋机制</w:t>
      </w:r>
      <w:bookmarkEnd w:id="21"/>
      <w:proofErr w:type="gramEnd"/>
    </w:p>
    <w:p w14:paraId="185B1180"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的实施条件</w:t>
      </w:r>
    </w:p>
    <w:p w14:paraId="78BB209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14:paraId="3DDDE0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w:t>
      </w:r>
      <w:proofErr w:type="gramStart"/>
      <w:r>
        <w:rPr>
          <w:rFonts w:ascii="宋体" w:hAnsi="宋体"/>
          <w:sz w:val="24"/>
        </w:rPr>
        <w:t>侧袋机制</w:t>
      </w:r>
      <w:proofErr w:type="gramEnd"/>
      <w:r>
        <w:rPr>
          <w:rFonts w:ascii="宋体" w:hAnsi="宋体"/>
          <w:sz w:val="24"/>
        </w:rPr>
        <w:t>后及时发布临时公告，并在五个工作日内聘请</w:t>
      </w:r>
      <w:proofErr w:type="gramStart"/>
      <w:r>
        <w:rPr>
          <w:rFonts w:ascii="宋体" w:hAnsi="宋体"/>
          <w:sz w:val="24"/>
        </w:rPr>
        <w:t>侧袋机制</w:t>
      </w:r>
      <w:proofErr w:type="gramEnd"/>
      <w:r>
        <w:rPr>
          <w:rFonts w:ascii="宋体" w:hAnsi="宋体"/>
          <w:sz w:val="24"/>
        </w:rPr>
        <w:t>启用日发表意见且符合《中华人民共和国证券法》规定的会计师事务所进行审计并披露专项审计意见。</w:t>
      </w:r>
    </w:p>
    <w:p w14:paraId="03EB158C"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期间基金份额的申购与赎回</w:t>
      </w:r>
    </w:p>
    <w:p w14:paraId="6CA656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w:t>
      </w:r>
      <w:proofErr w:type="gramStart"/>
      <w:r>
        <w:rPr>
          <w:rFonts w:ascii="宋体" w:hAnsi="宋体"/>
          <w:sz w:val="24"/>
        </w:rPr>
        <w:t>侧袋机制</w:t>
      </w:r>
      <w:proofErr w:type="gramEnd"/>
      <w:r>
        <w:rPr>
          <w:rFonts w:ascii="宋体" w:hAnsi="宋体"/>
          <w:sz w:val="24"/>
        </w:rPr>
        <w:t>当日，基金登记机构以基金份额持有人的原有账户份额为基础，确认</w:t>
      </w:r>
      <w:proofErr w:type="gramStart"/>
      <w:r>
        <w:rPr>
          <w:rFonts w:ascii="宋体" w:hAnsi="宋体"/>
          <w:sz w:val="24"/>
        </w:rPr>
        <w:t>相应侧袋账户</w:t>
      </w:r>
      <w:proofErr w:type="gramEnd"/>
      <w:r>
        <w:rPr>
          <w:rFonts w:ascii="宋体" w:hAnsi="宋体"/>
          <w:sz w:val="24"/>
        </w:rPr>
        <w:t>基金份额持有人名册和份额；当日收到的申购申请，按照启用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的主袋账户</w:t>
      </w:r>
      <w:proofErr w:type="gramEnd"/>
      <w:r>
        <w:rPr>
          <w:rFonts w:ascii="宋体" w:hAnsi="宋体"/>
          <w:sz w:val="24"/>
        </w:rPr>
        <w:t>份额办理；当日收到的赎回申请，仅</w:t>
      </w:r>
      <w:proofErr w:type="gramStart"/>
      <w:r>
        <w:rPr>
          <w:rFonts w:ascii="宋体" w:hAnsi="宋体"/>
          <w:sz w:val="24"/>
        </w:rPr>
        <w:t>办理主袋账户</w:t>
      </w:r>
      <w:proofErr w:type="gramEnd"/>
      <w:r>
        <w:rPr>
          <w:rFonts w:ascii="宋体" w:hAnsi="宋体"/>
          <w:sz w:val="24"/>
        </w:rPr>
        <w:t>的赎回申请并支付赎回款项。</w:t>
      </w:r>
    </w:p>
    <w:p w14:paraId="443E3C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w:t>
      </w:r>
      <w:proofErr w:type="gramStart"/>
      <w:r>
        <w:rPr>
          <w:rFonts w:ascii="宋体" w:hAnsi="宋体"/>
          <w:sz w:val="24"/>
        </w:rPr>
        <w:t>侧袋机制</w:t>
      </w:r>
      <w:proofErr w:type="gramEnd"/>
      <w:r>
        <w:rPr>
          <w:rFonts w:ascii="宋体" w:hAnsi="宋体"/>
          <w:sz w:val="24"/>
        </w:rPr>
        <w:t>期间，基金管理人不</w:t>
      </w:r>
      <w:proofErr w:type="gramStart"/>
      <w:r>
        <w:rPr>
          <w:rFonts w:ascii="宋体" w:hAnsi="宋体"/>
          <w:sz w:val="24"/>
        </w:rPr>
        <w:t>办理侧袋账户</w:t>
      </w:r>
      <w:proofErr w:type="gramEnd"/>
      <w:r>
        <w:rPr>
          <w:rFonts w:ascii="宋体" w:hAnsi="宋体"/>
          <w:sz w:val="24"/>
        </w:rPr>
        <w:t>份额的申购、赎回和转换；同时，基金管理人按照基金合同和招募说明书的约定</w:t>
      </w:r>
      <w:proofErr w:type="gramStart"/>
      <w:r>
        <w:rPr>
          <w:rFonts w:ascii="宋体" w:hAnsi="宋体"/>
          <w:sz w:val="24"/>
        </w:rPr>
        <w:t>办理主袋账户</w:t>
      </w:r>
      <w:proofErr w:type="gramEnd"/>
      <w:r>
        <w:rPr>
          <w:rFonts w:ascii="宋体" w:hAnsi="宋体"/>
          <w:sz w:val="24"/>
        </w:rPr>
        <w:t>份额的赎回，并</w:t>
      </w:r>
      <w:proofErr w:type="gramStart"/>
      <w:r>
        <w:rPr>
          <w:rFonts w:ascii="宋体" w:hAnsi="宋体"/>
          <w:sz w:val="24"/>
        </w:rPr>
        <w:t>根据主袋账户</w:t>
      </w:r>
      <w:proofErr w:type="gramEnd"/>
      <w:r>
        <w:rPr>
          <w:rFonts w:ascii="宋体" w:hAnsi="宋体"/>
          <w:sz w:val="24"/>
        </w:rPr>
        <w:t>运作情况确定是否暂停申购。</w:t>
      </w:r>
    </w:p>
    <w:p w14:paraId="22A025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w:t>
      </w:r>
      <w:proofErr w:type="gramStart"/>
      <w:r>
        <w:rPr>
          <w:rFonts w:ascii="宋体" w:hAnsi="宋体"/>
          <w:sz w:val="24"/>
        </w:rPr>
        <w:t>按照主袋账户</w:t>
      </w:r>
      <w:proofErr w:type="gramEnd"/>
      <w:r>
        <w:rPr>
          <w:rFonts w:ascii="宋体" w:hAnsi="宋体"/>
          <w:sz w:val="24"/>
        </w:rPr>
        <w:t>的份额净值</w:t>
      </w:r>
      <w:proofErr w:type="gramStart"/>
      <w:r>
        <w:rPr>
          <w:rFonts w:ascii="宋体" w:hAnsi="宋体"/>
          <w:sz w:val="24"/>
        </w:rPr>
        <w:t>办理主袋账户</w:t>
      </w:r>
      <w:proofErr w:type="gramEnd"/>
      <w:r>
        <w:rPr>
          <w:rFonts w:ascii="宋体" w:hAnsi="宋体"/>
          <w:sz w:val="24"/>
        </w:rPr>
        <w:t>份额的申购和赎回外，本招募说明书“基金份额的申购与赎回”部分的申购、赎回规定</w:t>
      </w:r>
      <w:proofErr w:type="gramStart"/>
      <w:r>
        <w:rPr>
          <w:rFonts w:ascii="宋体" w:hAnsi="宋体"/>
          <w:sz w:val="24"/>
        </w:rPr>
        <w:t>适用于主袋账户</w:t>
      </w:r>
      <w:proofErr w:type="gramEnd"/>
      <w:r>
        <w:rPr>
          <w:rFonts w:ascii="宋体" w:hAnsi="宋体"/>
          <w:sz w:val="24"/>
        </w:rPr>
        <w:t>份额。巨额赎回按照单个开放</w:t>
      </w:r>
      <w:proofErr w:type="gramStart"/>
      <w:r>
        <w:rPr>
          <w:rFonts w:ascii="宋体" w:hAnsi="宋体"/>
          <w:sz w:val="24"/>
        </w:rPr>
        <w:t>日内主袋账户</w:t>
      </w:r>
      <w:proofErr w:type="gramEnd"/>
      <w:r>
        <w:rPr>
          <w:rFonts w:ascii="宋体" w:hAnsi="宋体"/>
          <w:sz w:val="24"/>
        </w:rPr>
        <w:t>份额净赎回申请超过前一开放</w:t>
      </w:r>
      <w:proofErr w:type="gramStart"/>
      <w:r>
        <w:rPr>
          <w:rFonts w:ascii="宋体" w:hAnsi="宋体"/>
          <w:sz w:val="24"/>
        </w:rPr>
        <w:t>日主袋账户</w:t>
      </w:r>
      <w:proofErr w:type="gramEnd"/>
      <w:r>
        <w:rPr>
          <w:rFonts w:ascii="宋体" w:hAnsi="宋体"/>
          <w:sz w:val="24"/>
        </w:rPr>
        <w:t>总份额的10%认定。</w:t>
      </w:r>
    </w:p>
    <w:p w14:paraId="74D4BA32"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期间的基金投资</w:t>
      </w:r>
    </w:p>
    <w:p w14:paraId="1FF7F7A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实施期间，招募说明书“基金的投资”部分约定的投资组合比例、投资策略、组合限制、业绩比较基准、风险收益特征等约定仅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。基金管理人计算各项投资运作指标和基金业绩指标时仅需</w:t>
      </w:r>
      <w:proofErr w:type="gramStart"/>
      <w:r>
        <w:rPr>
          <w:rFonts w:ascii="宋体" w:hAnsi="宋体"/>
          <w:sz w:val="24"/>
        </w:rPr>
        <w:t>考虑主袋账户</w:t>
      </w:r>
      <w:proofErr w:type="gramEnd"/>
      <w:r>
        <w:rPr>
          <w:rFonts w:ascii="宋体" w:hAnsi="宋体"/>
          <w:sz w:val="24"/>
        </w:rPr>
        <w:t>资产。</w:t>
      </w:r>
    </w:p>
    <w:p w14:paraId="06E422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w:t>
      </w:r>
      <w:proofErr w:type="gramStart"/>
      <w:r>
        <w:rPr>
          <w:rFonts w:ascii="宋体" w:hAnsi="宋体"/>
          <w:sz w:val="24"/>
        </w:rPr>
        <w:t>侧袋机制</w:t>
      </w:r>
      <w:proofErr w:type="gramEnd"/>
      <w:r>
        <w:rPr>
          <w:rFonts w:ascii="宋体" w:hAnsi="宋体"/>
          <w:sz w:val="24"/>
        </w:rPr>
        <w:t>启用后20个交易日内完成</w:t>
      </w:r>
      <w:proofErr w:type="gramStart"/>
      <w:r>
        <w:rPr>
          <w:rFonts w:ascii="宋体" w:hAnsi="宋体"/>
          <w:sz w:val="24"/>
        </w:rPr>
        <w:t>对主袋账户</w:t>
      </w:r>
      <w:proofErr w:type="gramEnd"/>
      <w:r>
        <w:rPr>
          <w:rFonts w:ascii="宋体" w:hAnsi="宋体"/>
          <w:sz w:val="24"/>
        </w:rPr>
        <w:t>投资组合的调整，因资产流动性受限等中国证监会规定的情形除外。</w:t>
      </w:r>
    </w:p>
    <w:p w14:paraId="790F2C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w:t>
      </w:r>
      <w:proofErr w:type="gramStart"/>
      <w:r>
        <w:rPr>
          <w:rFonts w:ascii="宋体" w:hAnsi="宋体"/>
          <w:sz w:val="24"/>
        </w:rPr>
        <w:t>在侧袋账户</w:t>
      </w:r>
      <w:proofErr w:type="gramEnd"/>
      <w:r>
        <w:rPr>
          <w:rFonts w:ascii="宋体" w:hAnsi="宋体"/>
          <w:sz w:val="24"/>
        </w:rPr>
        <w:t>中进行除特定资产处置变现以外的其他投资操作。</w:t>
      </w:r>
    </w:p>
    <w:p w14:paraId="5630046A"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期间的基金估值</w:t>
      </w:r>
    </w:p>
    <w:p w14:paraId="0B262DF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的，基金管理人和基金托管人</w:t>
      </w:r>
      <w:proofErr w:type="gramStart"/>
      <w:r>
        <w:rPr>
          <w:rFonts w:ascii="宋体" w:hAnsi="宋体"/>
          <w:sz w:val="24"/>
        </w:rPr>
        <w:t>应对主袋账户</w:t>
      </w:r>
      <w:proofErr w:type="gramEnd"/>
      <w:r>
        <w:rPr>
          <w:rFonts w:ascii="宋体" w:hAnsi="宋体"/>
          <w:sz w:val="24"/>
        </w:rPr>
        <w:t>资产进行估值</w:t>
      </w:r>
      <w:r>
        <w:rPr>
          <w:rFonts w:ascii="宋体" w:hAnsi="宋体"/>
          <w:sz w:val="24"/>
        </w:rPr>
        <w:lastRenderedPageBreak/>
        <w:t>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roofErr w:type="gramStart"/>
      <w:r>
        <w:rPr>
          <w:rFonts w:ascii="宋体" w:hAnsi="宋体"/>
          <w:sz w:val="24"/>
        </w:rPr>
        <w:t>侧袋账户</w:t>
      </w:r>
      <w:proofErr w:type="gramEnd"/>
      <w:r>
        <w:rPr>
          <w:rFonts w:ascii="宋体" w:hAnsi="宋体"/>
          <w:sz w:val="24"/>
        </w:rPr>
        <w:t>的会计核算应符合《企业会计准则》的相关要求。</w:t>
      </w:r>
    </w:p>
    <w:p w14:paraId="52BD9C24"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w:t>
      </w:r>
      <w:proofErr w:type="gramStart"/>
      <w:r w:rsidRPr="00BB248E">
        <w:rPr>
          <w:rFonts w:ascii="宋体" w:hAnsi="宋体" w:hint="eastAsia"/>
          <w:b/>
          <w:kern w:val="0"/>
          <w:sz w:val="24"/>
        </w:rPr>
        <w:t>实施侧袋账户</w:t>
      </w:r>
      <w:proofErr w:type="gramEnd"/>
      <w:r w:rsidRPr="00BB248E">
        <w:rPr>
          <w:rFonts w:ascii="宋体" w:hAnsi="宋体" w:hint="eastAsia"/>
          <w:b/>
          <w:kern w:val="0"/>
          <w:sz w:val="24"/>
        </w:rPr>
        <w:t>期间的基金费用</w:t>
      </w:r>
    </w:p>
    <w:p w14:paraId="4F1BFB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w:t>
      </w:r>
      <w:proofErr w:type="gramStart"/>
      <w:r>
        <w:rPr>
          <w:rFonts w:ascii="宋体" w:hAnsi="宋体"/>
          <w:sz w:val="24"/>
        </w:rPr>
        <w:t>侧袋机制</w:t>
      </w:r>
      <w:proofErr w:type="gramEnd"/>
      <w:r>
        <w:rPr>
          <w:rFonts w:ascii="宋体" w:hAnsi="宋体"/>
          <w:sz w:val="24"/>
        </w:rPr>
        <w:t>的，管理费和托管费</w:t>
      </w:r>
      <w:proofErr w:type="gramStart"/>
      <w:r>
        <w:rPr>
          <w:rFonts w:ascii="宋体" w:hAnsi="宋体"/>
          <w:sz w:val="24"/>
        </w:rPr>
        <w:t>按主袋账户</w:t>
      </w:r>
      <w:proofErr w:type="gramEnd"/>
      <w:r>
        <w:rPr>
          <w:rFonts w:ascii="宋体" w:hAnsi="宋体"/>
          <w:sz w:val="24"/>
        </w:rPr>
        <w:t>基金资产净值作为基数计提。</w:t>
      </w:r>
    </w:p>
    <w:p w14:paraId="7F82AED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proofErr w:type="gramStart"/>
      <w:r>
        <w:rPr>
          <w:rFonts w:ascii="宋体" w:hAnsi="宋体"/>
          <w:sz w:val="24"/>
        </w:rPr>
        <w:t>与侧袋账户</w:t>
      </w:r>
      <w:proofErr w:type="gramEnd"/>
      <w:r>
        <w:rPr>
          <w:rFonts w:ascii="宋体" w:hAnsi="宋体"/>
          <w:sz w:val="24"/>
        </w:rPr>
        <w:t>有关的费用可</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w:t>
      </w:r>
    </w:p>
    <w:p w14:paraId="537AAA8D"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w:t>
      </w:r>
      <w:proofErr w:type="gramStart"/>
      <w:r w:rsidRPr="00BB248E">
        <w:rPr>
          <w:rFonts w:ascii="宋体" w:hAnsi="宋体" w:hint="eastAsia"/>
          <w:b/>
          <w:kern w:val="0"/>
          <w:sz w:val="24"/>
        </w:rPr>
        <w:t>侧袋账户</w:t>
      </w:r>
      <w:proofErr w:type="gramEnd"/>
      <w:r w:rsidRPr="00BB248E">
        <w:rPr>
          <w:rFonts w:ascii="宋体" w:hAnsi="宋体" w:hint="eastAsia"/>
          <w:b/>
          <w:kern w:val="0"/>
          <w:sz w:val="24"/>
        </w:rPr>
        <w:t>中特定资产的处置变现和支付</w:t>
      </w:r>
    </w:p>
    <w:p w14:paraId="23EDB67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w:t>
      </w:r>
      <w:proofErr w:type="gramStart"/>
      <w:r>
        <w:rPr>
          <w:rFonts w:ascii="宋体" w:hAnsi="宋体"/>
          <w:sz w:val="24"/>
        </w:rPr>
        <w:t>向侧袋账户</w:t>
      </w:r>
      <w:proofErr w:type="gramEnd"/>
      <w:r>
        <w:rPr>
          <w:rFonts w:ascii="宋体" w:hAnsi="宋体"/>
          <w:sz w:val="24"/>
        </w:rPr>
        <w:t>份额持有人支付对应变现款项。</w:t>
      </w:r>
    </w:p>
    <w:p w14:paraId="717DEBD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w:t>
      </w:r>
      <w:proofErr w:type="gramStart"/>
      <w:r>
        <w:rPr>
          <w:rFonts w:ascii="宋体" w:hAnsi="宋体"/>
          <w:sz w:val="24"/>
        </w:rPr>
        <w:t>无论侧袋账户</w:t>
      </w:r>
      <w:proofErr w:type="gramEnd"/>
      <w:r>
        <w:rPr>
          <w:rFonts w:ascii="宋体" w:hAnsi="宋体"/>
          <w:sz w:val="24"/>
        </w:rPr>
        <w:t>资产是否全部完成变现，基金管理人都应当及时</w:t>
      </w:r>
      <w:proofErr w:type="gramStart"/>
      <w:r>
        <w:rPr>
          <w:rFonts w:ascii="宋体" w:hAnsi="宋体"/>
          <w:sz w:val="24"/>
        </w:rPr>
        <w:t>向侧袋账户</w:t>
      </w:r>
      <w:proofErr w:type="gramEnd"/>
      <w:r>
        <w:rPr>
          <w:rFonts w:ascii="宋体" w:hAnsi="宋体"/>
          <w:sz w:val="24"/>
        </w:rPr>
        <w:t>全部份额持有人支付已变现部分对应的款项。</w:t>
      </w:r>
      <w:proofErr w:type="gramStart"/>
      <w:r>
        <w:rPr>
          <w:rFonts w:ascii="宋体" w:hAnsi="宋体"/>
          <w:sz w:val="24"/>
        </w:rPr>
        <w:t>若侧袋</w:t>
      </w:r>
      <w:proofErr w:type="gramEnd"/>
      <w:r>
        <w:rPr>
          <w:rFonts w:ascii="宋体" w:hAnsi="宋体"/>
          <w:sz w:val="24"/>
        </w:rPr>
        <w:t>账户资产无法一次性完成处置变现，基金管理人在每次处置变现后均应按照相关法律法规要求及时发布临时公告。</w:t>
      </w:r>
    </w:p>
    <w:p w14:paraId="06CE681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资产全部完成变现并终止</w:t>
      </w:r>
      <w:proofErr w:type="gramStart"/>
      <w:r>
        <w:rPr>
          <w:rFonts w:ascii="宋体" w:hAnsi="宋体"/>
          <w:sz w:val="24"/>
        </w:rPr>
        <w:t>侧袋机制</w:t>
      </w:r>
      <w:proofErr w:type="gramEnd"/>
      <w:r>
        <w:rPr>
          <w:rFonts w:ascii="宋体" w:hAnsi="宋体"/>
          <w:sz w:val="24"/>
        </w:rPr>
        <w:t>后，基金管理人应及时聘请符合《中华人民共和国证券法》规定的会计师事务所进行审计并披露专项审计意见。</w:t>
      </w:r>
    </w:p>
    <w:p w14:paraId="377ADB25"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的信息披露</w:t>
      </w:r>
    </w:p>
    <w:p w14:paraId="7F35F02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534B26F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w:t>
      </w:r>
      <w:proofErr w:type="gramStart"/>
      <w:r>
        <w:rPr>
          <w:rFonts w:ascii="宋体" w:hAnsi="宋体"/>
          <w:sz w:val="24"/>
        </w:rPr>
        <w:t>启用侧袋机制</w:t>
      </w:r>
      <w:proofErr w:type="gramEnd"/>
      <w:r>
        <w:rPr>
          <w:rFonts w:ascii="宋体" w:hAnsi="宋体"/>
          <w:sz w:val="24"/>
        </w:rPr>
        <w:t>、处置特定资产、终止</w:t>
      </w:r>
      <w:proofErr w:type="gramStart"/>
      <w:r>
        <w:rPr>
          <w:rFonts w:ascii="宋体" w:hAnsi="宋体"/>
          <w:sz w:val="24"/>
        </w:rPr>
        <w:t>侧袋机制</w:t>
      </w:r>
      <w:proofErr w:type="gramEnd"/>
      <w:r>
        <w:rPr>
          <w:rFonts w:ascii="宋体" w:hAnsi="宋体"/>
          <w:sz w:val="24"/>
        </w:rPr>
        <w:t>以及发生其他可能对投资者利益产生重大影响的事项后基金管理人应及时发布临时公告。</w:t>
      </w:r>
    </w:p>
    <w:p w14:paraId="0521C1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7B08E5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w:t>
      </w:r>
      <w:proofErr w:type="gramStart"/>
      <w:r>
        <w:rPr>
          <w:rFonts w:ascii="宋体" w:hAnsi="宋体"/>
          <w:sz w:val="24"/>
        </w:rPr>
        <w:t>披露主袋账户</w:t>
      </w:r>
      <w:proofErr w:type="gramEnd"/>
      <w:r>
        <w:rPr>
          <w:rFonts w:ascii="宋体" w:hAnsi="宋体"/>
          <w:sz w:val="24"/>
        </w:rPr>
        <w:t>份额的基金净值信息。实施</w:t>
      </w:r>
      <w:proofErr w:type="gramStart"/>
      <w:r>
        <w:rPr>
          <w:rFonts w:ascii="宋体" w:hAnsi="宋体"/>
          <w:sz w:val="24"/>
        </w:rPr>
        <w:t>侧袋机制</w:t>
      </w:r>
      <w:proofErr w:type="gramEnd"/>
      <w:r>
        <w:rPr>
          <w:rFonts w:ascii="宋体" w:hAnsi="宋体"/>
          <w:sz w:val="24"/>
        </w:rPr>
        <w:t>期间本基金暂停</w:t>
      </w:r>
      <w:proofErr w:type="gramStart"/>
      <w:r>
        <w:rPr>
          <w:rFonts w:ascii="宋体" w:hAnsi="宋体"/>
          <w:sz w:val="24"/>
        </w:rPr>
        <w:t>披露侧袋账户</w:t>
      </w:r>
      <w:proofErr w:type="gramEnd"/>
      <w:r>
        <w:rPr>
          <w:rFonts w:ascii="宋体" w:hAnsi="宋体"/>
          <w:sz w:val="24"/>
        </w:rPr>
        <w:t>份额净值和累计净值。</w:t>
      </w:r>
    </w:p>
    <w:p w14:paraId="1F61DA1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07F7EC1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实施期间，基金管理人应当在基金定期报告中披露报告期</w:t>
      </w:r>
      <w:proofErr w:type="gramStart"/>
      <w:r>
        <w:rPr>
          <w:rFonts w:ascii="宋体" w:hAnsi="宋体"/>
          <w:sz w:val="24"/>
        </w:rPr>
        <w:t>内侧袋</w:t>
      </w:r>
      <w:proofErr w:type="gramEnd"/>
      <w:r>
        <w:rPr>
          <w:rFonts w:ascii="宋体" w:hAnsi="宋体"/>
          <w:sz w:val="24"/>
        </w:rPr>
        <w:t>账户相关信息，基金定期报告中的基金会计报表仅需</w:t>
      </w:r>
      <w:proofErr w:type="gramStart"/>
      <w:r>
        <w:rPr>
          <w:rFonts w:ascii="宋体" w:hAnsi="宋体"/>
          <w:sz w:val="24"/>
        </w:rPr>
        <w:t>针对主袋账户</w:t>
      </w:r>
      <w:proofErr w:type="gramEnd"/>
      <w:r>
        <w:rPr>
          <w:rFonts w:ascii="宋体" w:hAnsi="宋体"/>
          <w:sz w:val="24"/>
        </w:rPr>
        <w:t>进行编制。会计师事务所对基金年度报告进行审计时，应对报告期内基金</w:t>
      </w:r>
      <w:proofErr w:type="gramStart"/>
      <w:r>
        <w:rPr>
          <w:rFonts w:ascii="宋体" w:hAnsi="宋体"/>
          <w:sz w:val="24"/>
        </w:rPr>
        <w:t>侧袋机制</w:t>
      </w:r>
      <w:proofErr w:type="gramEnd"/>
      <w:r>
        <w:rPr>
          <w:rFonts w:ascii="宋体" w:hAnsi="宋体"/>
          <w:sz w:val="24"/>
        </w:rPr>
        <w:t>运行相关的会计核算和年度报告披露等发表审计意见。</w:t>
      </w:r>
    </w:p>
    <w:p w14:paraId="4D28D205"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320DF557" w14:textId="77777777" w:rsidR="001F702C" w:rsidRDefault="00BD18A1">
      <w:pPr>
        <w:pStyle w:val="1"/>
        <w:snapToGrid w:val="0"/>
        <w:spacing w:beforeLines="0" w:before="240" w:after="240"/>
        <w:rPr>
          <w:rFonts w:ascii="宋体" w:hAnsi="宋体"/>
          <w:szCs w:val="30"/>
        </w:rPr>
      </w:pPr>
      <w:bookmarkStart w:id="22" w:name="_Toc140049423"/>
      <w:r>
        <w:rPr>
          <w:rFonts w:ascii="Times New Roman" w:hAnsi="Times New Roman"/>
          <w:sz w:val="30"/>
        </w:rPr>
        <w:lastRenderedPageBreak/>
        <w:t>十九、风险揭示</w:t>
      </w:r>
      <w:bookmarkEnd w:id="22"/>
    </w:p>
    <w:p w14:paraId="5C89D7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F10F1F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381FDD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398A4DF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基金是否和投资人的风险承受能力相适应。</w:t>
      </w:r>
    </w:p>
    <w:p w14:paraId="09DCC57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58FE8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2CC81C0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14:paraId="13E8895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5AEABDE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7A84303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3C39A98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0B28B4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33A7F92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E0E69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19E297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24D47B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067FE1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债券所得的利息收入进行再投资将获得较低的收益率，再投资的风险加大；反之，当市场利率上升时，基金所持有的债券价格会下降，利率风险加大，但是利息的再投资收益会上升。</w:t>
      </w:r>
    </w:p>
    <w:p w14:paraId="72F9F8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w:t>
      </w:r>
      <w:r>
        <w:rPr>
          <w:rFonts w:ascii="宋体" w:hAnsi="宋体"/>
          <w:sz w:val="24"/>
        </w:rPr>
        <w:lastRenderedPageBreak/>
        <w:t>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7ACA0D5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346E7FA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0E24C4D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339F963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sz w:val="24"/>
        </w:rPr>
        <w:t>仓位</w:t>
      </w:r>
      <w:proofErr w:type="gramEnd"/>
      <w:r>
        <w:rPr>
          <w:rFonts w:ascii="宋体" w:hAnsi="宋体"/>
          <w:sz w:val="24"/>
        </w:rPr>
        <w:t>调整的困难，导致流动性风险，可能影响基金份额净值。</w:t>
      </w:r>
    </w:p>
    <w:p w14:paraId="0C5375D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78DD28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14:paraId="575EFD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723CF70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本基金的投资市场主要为证券交易所、全国银行间债券市场等流动性较好的规范型交易场所，主要投资对象为具有良好流动性的金融工具，综合评估在正常市场环境下本基金的流动性风险适中。</w:t>
      </w:r>
    </w:p>
    <w:p w14:paraId="27DE6E5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1B3ABCB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766A78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当基金出现巨额赎回时，基金管理人可以根据基金当时的资产组合状况决定全额赎回或部分延期赎回。</w:t>
      </w:r>
    </w:p>
    <w:p w14:paraId="7835A0D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3C690851" w14:textId="6AC66C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w:t>
      </w:r>
      <w:r w:rsidR="00D57DD9">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2470D096" w14:textId="6CC4F42D"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16FED71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498D997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58445DF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51D5A55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w:t>
      </w:r>
      <w:proofErr w:type="gramStart"/>
      <w:r>
        <w:rPr>
          <w:rFonts w:ascii="宋体" w:hAnsi="宋体"/>
          <w:sz w:val="24"/>
        </w:rPr>
        <w:t>侧袋机制</w:t>
      </w:r>
      <w:proofErr w:type="gramEnd"/>
      <w:r>
        <w:rPr>
          <w:rFonts w:ascii="宋体" w:hAnsi="宋体"/>
          <w:sz w:val="24"/>
        </w:rPr>
        <w:t>等，作为特定情形下基金管理人流动性风险管理的辅</w:t>
      </w:r>
      <w:r>
        <w:rPr>
          <w:rFonts w:ascii="宋体" w:hAnsi="宋体"/>
          <w:sz w:val="24"/>
        </w:rPr>
        <w:lastRenderedPageBreak/>
        <w:t>助措施，同时基金管理人应时刻防范可能产生的流动性风险，对流动性风险进行日常监控，保护持有人的利益。当实施备用的流动性风险管理工具时，有可能无法按合同约定的时限支付赎回款项。</w:t>
      </w:r>
    </w:p>
    <w:p w14:paraId="0C3602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是一种流动性风险管理工具，是将特定资产分离</w:t>
      </w:r>
      <w:proofErr w:type="gramStart"/>
      <w:r>
        <w:rPr>
          <w:rFonts w:ascii="宋体" w:hAnsi="宋体"/>
          <w:sz w:val="24"/>
        </w:rPr>
        <w:t>至专门的侧袋</w:t>
      </w:r>
      <w:proofErr w:type="gramEnd"/>
      <w:r>
        <w:rPr>
          <w:rFonts w:ascii="宋体" w:hAnsi="宋体"/>
          <w:sz w:val="24"/>
        </w:rPr>
        <w:t>账户进行处置清算，并以处置变现后的款项向基金份额持有人进行支付，目的在于有效隔离并化解风险。但基金启用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侧袋账户</w:t>
      </w:r>
      <w:proofErr w:type="gramEnd"/>
      <w:r>
        <w:rPr>
          <w:rFonts w:ascii="宋体" w:hAnsi="宋体"/>
          <w:sz w:val="24"/>
        </w:rPr>
        <w:t>份额将停止披露基金份额净值，并不得办理申购、赎回和转换，因此启用</w:t>
      </w:r>
      <w:proofErr w:type="gramStart"/>
      <w:r>
        <w:rPr>
          <w:rFonts w:ascii="宋体" w:hAnsi="宋体"/>
          <w:sz w:val="24"/>
        </w:rPr>
        <w:t>侧袋机制</w:t>
      </w:r>
      <w:proofErr w:type="gramEnd"/>
      <w:r>
        <w:rPr>
          <w:rFonts w:ascii="宋体" w:hAnsi="宋体"/>
          <w:sz w:val="24"/>
        </w:rPr>
        <w:t>时持有基金份额的持有人将在启用</w:t>
      </w:r>
      <w:proofErr w:type="gramStart"/>
      <w:r>
        <w:rPr>
          <w:rFonts w:ascii="宋体" w:hAnsi="宋体"/>
          <w:sz w:val="24"/>
        </w:rPr>
        <w:t>侧袋机制</w:t>
      </w:r>
      <w:proofErr w:type="gramEnd"/>
      <w:r>
        <w:rPr>
          <w:rFonts w:ascii="宋体" w:hAnsi="宋体"/>
          <w:sz w:val="24"/>
        </w:rPr>
        <w:t>后同时</w:t>
      </w:r>
      <w:proofErr w:type="gramStart"/>
      <w:r>
        <w:rPr>
          <w:rFonts w:ascii="宋体" w:hAnsi="宋体"/>
          <w:sz w:val="24"/>
        </w:rPr>
        <w:t>持有主袋账户</w:t>
      </w:r>
      <w:proofErr w:type="gramEnd"/>
      <w:r>
        <w:rPr>
          <w:rFonts w:ascii="宋体" w:hAnsi="宋体"/>
          <w:sz w:val="24"/>
        </w:rPr>
        <w:t>份额和</w:t>
      </w:r>
      <w:proofErr w:type="gramStart"/>
      <w:r>
        <w:rPr>
          <w:rFonts w:ascii="宋体" w:hAnsi="宋体"/>
          <w:sz w:val="24"/>
        </w:rPr>
        <w:t>侧袋</w:t>
      </w:r>
      <w:proofErr w:type="gramEnd"/>
      <w:r>
        <w:rPr>
          <w:rFonts w:ascii="宋体" w:hAnsi="宋体"/>
          <w:sz w:val="24"/>
        </w:rPr>
        <w:t>账户份额，</w:t>
      </w:r>
      <w:proofErr w:type="gramStart"/>
      <w:r>
        <w:rPr>
          <w:rFonts w:ascii="宋体" w:hAnsi="宋体"/>
          <w:sz w:val="24"/>
        </w:rPr>
        <w:t>侧袋账户</w:t>
      </w:r>
      <w:proofErr w:type="gramEnd"/>
      <w:r>
        <w:rPr>
          <w:rFonts w:ascii="宋体" w:hAnsi="宋体"/>
          <w:sz w:val="24"/>
        </w:rPr>
        <w:t>份额不能赎回，其对应特定资产的变现时间具有不确定性，最终变现价格也具有不确定性并且有可能大幅低于启用</w:t>
      </w:r>
      <w:proofErr w:type="gramStart"/>
      <w:r>
        <w:rPr>
          <w:rFonts w:ascii="宋体" w:hAnsi="宋体"/>
          <w:sz w:val="24"/>
        </w:rPr>
        <w:t>侧袋机制</w:t>
      </w:r>
      <w:proofErr w:type="gramEnd"/>
      <w:r>
        <w:rPr>
          <w:rFonts w:ascii="宋体" w:hAnsi="宋体"/>
          <w:sz w:val="24"/>
        </w:rPr>
        <w:t>时的特定资产的估值，基金份额持有人可能因此面临损失。</w:t>
      </w:r>
    </w:p>
    <w:p w14:paraId="0F1581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w:t>
      </w:r>
      <w:proofErr w:type="gramStart"/>
      <w:r>
        <w:rPr>
          <w:rFonts w:ascii="宋体" w:hAnsi="宋体"/>
          <w:sz w:val="24"/>
        </w:rPr>
        <w:t>侧袋机制</w:t>
      </w:r>
      <w:proofErr w:type="gramEnd"/>
      <w:r>
        <w:rPr>
          <w:rFonts w:ascii="宋体" w:hAnsi="宋体"/>
          <w:sz w:val="24"/>
        </w:rPr>
        <w:t>期间，因本基金不</w:t>
      </w:r>
      <w:proofErr w:type="gramStart"/>
      <w:r>
        <w:rPr>
          <w:rFonts w:ascii="宋体" w:hAnsi="宋体"/>
          <w:sz w:val="24"/>
        </w:rPr>
        <w:t>披露侧袋账户</w:t>
      </w:r>
      <w:proofErr w:type="gramEnd"/>
      <w:r>
        <w:rPr>
          <w:rFonts w:ascii="宋体" w:hAnsi="宋体"/>
          <w:sz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470C89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w:t>
      </w:r>
      <w:proofErr w:type="gramStart"/>
      <w:r>
        <w:rPr>
          <w:rFonts w:ascii="宋体" w:hAnsi="宋体"/>
          <w:sz w:val="24"/>
        </w:rPr>
        <w:t>根据主袋账户</w:t>
      </w:r>
      <w:proofErr w:type="gramEnd"/>
      <w:r>
        <w:rPr>
          <w:rFonts w:ascii="宋体" w:hAnsi="宋体"/>
          <w:sz w:val="24"/>
        </w:rPr>
        <w:t>运作情况合理确定申购政策，因此实施</w:t>
      </w:r>
      <w:proofErr w:type="gramStart"/>
      <w:r>
        <w:rPr>
          <w:rFonts w:ascii="宋体" w:hAnsi="宋体"/>
          <w:sz w:val="24"/>
        </w:rPr>
        <w:t>侧袋机制</w:t>
      </w:r>
      <w:proofErr w:type="gramEnd"/>
      <w:r>
        <w:rPr>
          <w:rFonts w:ascii="宋体" w:hAnsi="宋体"/>
          <w:sz w:val="24"/>
        </w:rPr>
        <w:t>后主袋账户份额存在暂停申购的可能。</w:t>
      </w:r>
    </w:p>
    <w:p w14:paraId="46F893F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w:t>
      </w:r>
      <w:proofErr w:type="gramStart"/>
      <w:r>
        <w:rPr>
          <w:rFonts w:ascii="宋体" w:hAnsi="宋体"/>
          <w:sz w:val="24"/>
        </w:rPr>
        <w:t>侧袋机制</w:t>
      </w:r>
      <w:proofErr w:type="gramEnd"/>
      <w:r>
        <w:rPr>
          <w:rFonts w:ascii="宋体" w:hAnsi="宋体"/>
          <w:sz w:val="24"/>
        </w:rPr>
        <w:t>后，基金管理人计算各项投资运作指标和基金业绩指标时仅需</w:t>
      </w:r>
      <w:proofErr w:type="gramStart"/>
      <w:r>
        <w:rPr>
          <w:rFonts w:ascii="宋体" w:hAnsi="宋体"/>
          <w:sz w:val="24"/>
        </w:rPr>
        <w:t>考虑主袋账户</w:t>
      </w:r>
      <w:proofErr w:type="gramEnd"/>
      <w:r>
        <w:rPr>
          <w:rFonts w:ascii="宋体" w:hAnsi="宋体"/>
          <w:sz w:val="24"/>
        </w:rPr>
        <w:t>资产，基金业绩指标应当</w:t>
      </w:r>
      <w:proofErr w:type="gramStart"/>
      <w:r>
        <w:rPr>
          <w:rFonts w:ascii="宋体" w:hAnsi="宋体"/>
          <w:sz w:val="24"/>
        </w:rPr>
        <w:t>以主袋账户</w:t>
      </w:r>
      <w:proofErr w:type="gramEnd"/>
      <w:r>
        <w:rPr>
          <w:rFonts w:ascii="宋体" w:hAnsi="宋体"/>
          <w:sz w:val="24"/>
        </w:rPr>
        <w:t>资产为基准，因此本基金披露的业绩指标不能反映特定资产的真实价值及变化情况。</w:t>
      </w:r>
    </w:p>
    <w:p w14:paraId="495233AA"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（四）交易对手违约风险</w:t>
      </w:r>
    </w:p>
    <w:p w14:paraId="7194EA0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78E3169C"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（五）本基金投资策略所特有的指数</w:t>
      </w:r>
      <w:proofErr w:type="gramStart"/>
      <w:r w:rsidRPr="00BB248E">
        <w:rPr>
          <w:rFonts w:ascii="宋体" w:hAnsi="宋体" w:hint="eastAsia"/>
          <w:b/>
          <w:kern w:val="0"/>
          <w:sz w:val="24"/>
        </w:rPr>
        <w:t>化投资</w:t>
      </w:r>
      <w:proofErr w:type="gramEnd"/>
      <w:r w:rsidRPr="00BB248E">
        <w:rPr>
          <w:rFonts w:ascii="宋体" w:hAnsi="宋体" w:hint="eastAsia"/>
          <w:b/>
          <w:kern w:val="0"/>
          <w:sz w:val="24"/>
        </w:rPr>
        <w:t>风险</w:t>
      </w:r>
    </w:p>
    <w:p w14:paraId="3AE7597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1、标的指数的风险</w:t>
      </w:r>
    </w:p>
    <w:p w14:paraId="5860926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（1）标的指数下跌的风险</w:t>
      </w:r>
    </w:p>
    <w:p w14:paraId="0BDE82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标的指数成份</w:t>
      </w:r>
      <w:proofErr w:type="gramStart"/>
      <w:r>
        <w:rPr>
          <w:rFonts w:ascii="宋体" w:hAnsi="宋体"/>
          <w:sz w:val="24"/>
        </w:rPr>
        <w:t>券</w:t>
      </w:r>
      <w:proofErr w:type="gramEnd"/>
      <w:r>
        <w:rPr>
          <w:rFonts w:ascii="宋体" w:hAnsi="宋体"/>
          <w:sz w:val="24"/>
        </w:rPr>
        <w:t>的价格可能受到政治因素、经济因素、投资者心理和交易制度等各种因素的影响而波动，导致指数值波动，从而使基金收益水平发生变化，产生风险。</w:t>
      </w:r>
    </w:p>
    <w:p w14:paraId="7240F14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（2）标的指数计算出错的风险</w:t>
      </w:r>
    </w:p>
    <w:p w14:paraId="4074A1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指数编制方法的缺陷可能导致标的指数的表现与总体市场表现产生差异，从而</w:t>
      </w:r>
      <w:r>
        <w:rPr>
          <w:rFonts w:ascii="宋体" w:hAnsi="宋体"/>
          <w:sz w:val="24"/>
        </w:rPr>
        <w:lastRenderedPageBreak/>
        <w:t>使基金收益发生变化。同时，标的指数许可方不对指数的实时性、完整性和准确性做出任何承诺。标的指数值可能出现错误，投资者</w:t>
      </w:r>
      <w:proofErr w:type="gramStart"/>
      <w:r>
        <w:rPr>
          <w:rFonts w:ascii="宋体" w:hAnsi="宋体"/>
          <w:sz w:val="24"/>
        </w:rPr>
        <w:t>若参考指数</w:t>
      </w:r>
      <w:proofErr w:type="gramEnd"/>
      <w:r>
        <w:rPr>
          <w:rFonts w:ascii="宋体" w:hAnsi="宋体"/>
          <w:sz w:val="24"/>
        </w:rPr>
        <w:t>值进行投资决策可能导致损失。</w:t>
      </w:r>
    </w:p>
    <w:p w14:paraId="555950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（3）标的指数变更的风险</w:t>
      </w:r>
    </w:p>
    <w:p w14:paraId="5E7183E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43DE337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2、基金跟踪偏离风险</w:t>
      </w:r>
    </w:p>
    <w:p w14:paraId="3E697AC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基金在跟踪标的指数时由于各种原因导致基金的业绩表现与标的指数表现之间可能产生差异，主要影响因素可能包括：</w:t>
      </w:r>
    </w:p>
    <w:p w14:paraId="6F980B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（1）本基金主要采用抽样复制和动态最优化的方法，投资于标的指数中具有代表性和流动性的成份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，或选择非成份</w:t>
      </w:r>
      <w:proofErr w:type="gramStart"/>
      <w:r>
        <w:rPr>
          <w:rFonts w:ascii="宋体" w:hAnsi="宋体"/>
          <w:sz w:val="24"/>
        </w:rPr>
        <w:t>券</w:t>
      </w:r>
      <w:proofErr w:type="gramEnd"/>
      <w:r>
        <w:rPr>
          <w:rFonts w:ascii="宋体" w:hAnsi="宋体"/>
          <w:sz w:val="24"/>
        </w:rPr>
        <w:t>作为替代，构造与标的指数风险收益特征相似的资产组合，基金投资组合与标的指数构成可能存在差异，从而可能导致基金实际收益率与标的指数收益率产生偏离；</w:t>
      </w:r>
    </w:p>
    <w:p w14:paraId="370298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（2）在标的指数编制中，债券利息</w:t>
      </w:r>
      <w:proofErr w:type="gramStart"/>
      <w:r>
        <w:rPr>
          <w:rFonts w:ascii="宋体" w:hAnsi="宋体"/>
          <w:sz w:val="24"/>
        </w:rPr>
        <w:t>计算再</w:t>
      </w:r>
      <w:proofErr w:type="gramEnd"/>
      <w:r>
        <w:rPr>
          <w:rFonts w:ascii="宋体" w:hAnsi="宋体"/>
          <w:sz w:val="24"/>
        </w:rPr>
        <w:t>投资收益，而基金再投资中未必能获得相同的收益率；</w:t>
      </w:r>
    </w:p>
    <w:p w14:paraId="79AAA40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（3）指数调整成份</w:t>
      </w:r>
      <w:proofErr w:type="gramStart"/>
      <w:r>
        <w:rPr>
          <w:rFonts w:ascii="宋体" w:hAnsi="宋体"/>
          <w:sz w:val="24"/>
        </w:rPr>
        <w:t>券</w:t>
      </w:r>
      <w:proofErr w:type="gramEnd"/>
      <w:r>
        <w:rPr>
          <w:rFonts w:ascii="宋体" w:hAnsi="宋体"/>
          <w:sz w:val="24"/>
        </w:rPr>
        <w:t>时，基金在相应的组合调整中可能暂时扩大与标的指数的构成差异，而且会产生相应的交易成本。</w:t>
      </w:r>
    </w:p>
    <w:p w14:paraId="2263E6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（4）基金运作过程中发生的费用，包括交易成本、市场冲击成本、管理费和托管费等，可能导致本基金在跟踪指数时产生收益上的偏离；</w:t>
      </w:r>
    </w:p>
    <w:p w14:paraId="6D8EB8C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（5）基金发生申购或赎回时将带来一定的现金流或变现需求，当债券市场流动性不足时，或受银行间债券市场债券交易起点的限制，本基金投资组合面临一定程度的跟踪偏离风险；</w:t>
      </w:r>
    </w:p>
    <w:p w14:paraId="17549D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（6）在指数</w:t>
      </w:r>
      <w:proofErr w:type="gramStart"/>
      <w:r>
        <w:rPr>
          <w:rFonts w:ascii="宋体" w:hAnsi="宋体"/>
          <w:sz w:val="24"/>
        </w:rPr>
        <w:t>化投资</w:t>
      </w:r>
      <w:proofErr w:type="gramEnd"/>
      <w:r>
        <w:rPr>
          <w:rFonts w:ascii="宋体" w:hAnsi="宋体"/>
          <w:sz w:val="24"/>
        </w:rPr>
        <w:t>过程中，基金管理人对指数基金的管理能力例如跟踪指数的技术手段、买入卖出的时机选择等都会对本基金的收益产生影响，从而影响本基金对业绩比较基准的跟踪程度。</w:t>
      </w:r>
    </w:p>
    <w:p w14:paraId="2436180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3、标的指数回报与债券市场平均回报偏离的风险</w:t>
      </w:r>
    </w:p>
    <w:p w14:paraId="4A45005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标的指数并不能完全代表整个债券市场。标的指数成份</w:t>
      </w:r>
      <w:proofErr w:type="gramStart"/>
      <w:r>
        <w:rPr>
          <w:rFonts w:ascii="宋体" w:hAnsi="宋体"/>
          <w:sz w:val="24"/>
        </w:rPr>
        <w:t>券</w:t>
      </w:r>
      <w:proofErr w:type="gramEnd"/>
      <w:r>
        <w:rPr>
          <w:rFonts w:ascii="宋体" w:hAnsi="宋体"/>
          <w:sz w:val="24"/>
        </w:rPr>
        <w:t>的平均回报率与整个债券市场的平均回报率可能存在偏离。</w:t>
      </w:r>
    </w:p>
    <w:p w14:paraId="5429DE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4、跟踪误差控制未达约定目标的风险</w:t>
      </w:r>
    </w:p>
    <w:p w14:paraId="653FE0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本基金力争控制本基金日均跟踪偏离度的绝对值不超过0.35%，年跟踪误差不超过4%。但因标的指数编制规则调整或其他因素可能导致跟踪误差超过上述范围，本基金净值表现与指数价格走势可能发生较大偏离。</w:t>
      </w:r>
    </w:p>
    <w:p w14:paraId="5EA45C8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5、指数编制机构停止服务的风险</w:t>
      </w:r>
    </w:p>
    <w:p w14:paraId="627E99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本基金的标的指数</w:t>
      </w:r>
      <w:proofErr w:type="gramStart"/>
      <w:r>
        <w:rPr>
          <w:rFonts w:ascii="宋体" w:hAnsi="宋体"/>
          <w:sz w:val="24"/>
        </w:rPr>
        <w:t>由指数</w:t>
      </w:r>
      <w:proofErr w:type="gramEnd"/>
      <w:r>
        <w:rPr>
          <w:rFonts w:ascii="宋体" w:hAnsi="宋体"/>
          <w:sz w:val="24"/>
        </w:rPr>
        <w:t>编制机构发布并管理和维护，未来指数编制机构可能由于各种原因停止对指数的管理和维护，本基金将根据基金合同的约定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投资人将面临更换基金标的指数、转换运作方式，与其他基金合并或者终止基金合同等风险。</w:t>
      </w:r>
    </w:p>
    <w:p w14:paraId="2DE6247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自指数</w:t>
      </w:r>
      <w:proofErr w:type="gramEnd"/>
      <w:r>
        <w:rPr>
          <w:rFonts w:ascii="宋体" w:hAnsi="宋体"/>
          <w:sz w:val="24"/>
        </w:rPr>
        <w:t>编制机构停止标的指数的编制及发布</w:t>
      </w:r>
      <w:proofErr w:type="gramStart"/>
      <w:r>
        <w:rPr>
          <w:rFonts w:ascii="宋体" w:hAnsi="宋体"/>
          <w:sz w:val="24"/>
        </w:rPr>
        <w:t>至解决</w:t>
      </w:r>
      <w:proofErr w:type="gramEnd"/>
      <w:r>
        <w:rPr>
          <w:rFonts w:ascii="宋体" w:hAnsi="宋体"/>
          <w:sz w:val="24"/>
        </w:rPr>
        <w:t>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711129B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6、成份</w:t>
      </w:r>
      <w:proofErr w:type="gramStart"/>
      <w:r>
        <w:rPr>
          <w:rFonts w:ascii="宋体" w:hAnsi="宋体"/>
          <w:sz w:val="24"/>
        </w:rPr>
        <w:t>券</w:t>
      </w:r>
      <w:proofErr w:type="gramEnd"/>
      <w:r>
        <w:rPr>
          <w:rFonts w:ascii="宋体" w:hAnsi="宋体"/>
          <w:sz w:val="24"/>
        </w:rPr>
        <w:t>停牌或违约的风险</w:t>
      </w:r>
    </w:p>
    <w:p w14:paraId="3A7943F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成份</w:t>
      </w:r>
      <w:proofErr w:type="gramStart"/>
      <w:r>
        <w:rPr>
          <w:rFonts w:ascii="宋体" w:hAnsi="宋体"/>
          <w:sz w:val="24"/>
        </w:rPr>
        <w:t>券</w:t>
      </w:r>
      <w:proofErr w:type="gramEnd"/>
      <w:r>
        <w:rPr>
          <w:rFonts w:ascii="宋体" w:hAnsi="宋体"/>
          <w:sz w:val="24"/>
        </w:rPr>
        <w:t>可能因各种原因临时或长期停牌。发生停牌时，基金可能面临因无法及时调整投资组合而导致跟踪偏离度和跟踪误差扩大的风险。</w:t>
      </w:r>
    </w:p>
    <w:p w14:paraId="593049E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基金可能面临因成份</w:t>
      </w:r>
      <w:proofErr w:type="gramStart"/>
      <w:r>
        <w:rPr>
          <w:rFonts w:ascii="宋体" w:hAnsi="宋体"/>
          <w:sz w:val="24"/>
        </w:rPr>
        <w:t>券</w:t>
      </w:r>
      <w:proofErr w:type="gramEnd"/>
      <w:r>
        <w:rPr>
          <w:rFonts w:ascii="宋体" w:hAnsi="宋体"/>
          <w:sz w:val="24"/>
        </w:rPr>
        <w:t>发行人不能按时支付债券利息或偿还本金，从而带来损失的风险。</w:t>
      </w:r>
    </w:p>
    <w:p w14:paraId="2C8FABC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本基金运作过程中，当指数成份</w:t>
      </w:r>
      <w:proofErr w:type="gramStart"/>
      <w:r>
        <w:rPr>
          <w:rFonts w:ascii="宋体" w:hAnsi="宋体"/>
          <w:sz w:val="24"/>
        </w:rPr>
        <w:t>券</w:t>
      </w:r>
      <w:proofErr w:type="gramEnd"/>
      <w:r>
        <w:rPr>
          <w:rFonts w:ascii="宋体" w:hAnsi="宋体"/>
          <w:sz w:val="24"/>
        </w:rPr>
        <w:t>发生明显负面事件面临违约风险，且指数编制机构暂未</w:t>
      </w:r>
      <w:proofErr w:type="gramStart"/>
      <w:r>
        <w:rPr>
          <w:rFonts w:ascii="宋体" w:hAnsi="宋体"/>
          <w:sz w:val="24"/>
        </w:rPr>
        <w:t>作出</w:t>
      </w:r>
      <w:proofErr w:type="gramEnd"/>
      <w:r>
        <w:rPr>
          <w:rFonts w:ascii="宋体" w:hAnsi="宋体"/>
          <w:sz w:val="24"/>
        </w:rPr>
        <w:t>调整的，基金管理人应当按照持有人利益优先的原则，履行内部决策程序后及时对相关成份</w:t>
      </w:r>
      <w:proofErr w:type="gramStart"/>
      <w:r>
        <w:rPr>
          <w:rFonts w:ascii="宋体" w:hAnsi="宋体"/>
          <w:sz w:val="24"/>
        </w:rPr>
        <w:t>券</w:t>
      </w:r>
      <w:proofErr w:type="gramEnd"/>
      <w:r>
        <w:rPr>
          <w:rFonts w:ascii="宋体" w:hAnsi="宋体"/>
          <w:sz w:val="24"/>
        </w:rPr>
        <w:t>进行调整，由此可能影响投资者的投资损益并使基金产生跟踪偏离度和跟踪误差。</w:t>
      </w:r>
    </w:p>
    <w:p w14:paraId="1EBD1BF4"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（六）本基金的特有风险</w:t>
      </w:r>
    </w:p>
    <w:p w14:paraId="57E6176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1、本基金为债券型基金，投资于债券资产的比例不低于基金资产的80%，因投资债券资产而面临债券资产市场的系统性风险和个</w:t>
      </w:r>
      <w:proofErr w:type="gramStart"/>
      <w:r>
        <w:rPr>
          <w:rFonts w:ascii="宋体" w:hAnsi="宋体"/>
          <w:sz w:val="24"/>
        </w:rPr>
        <w:t>券</w:t>
      </w:r>
      <w:proofErr w:type="gramEnd"/>
      <w:r>
        <w:rPr>
          <w:rFonts w:ascii="宋体" w:hAnsi="宋体"/>
          <w:sz w:val="24"/>
        </w:rPr>
        <w:t>风险；</w:t>
      </w:r>
    </w:p>
    <w:p w14:paraId="311C103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2、基金合同提前终止风险。连续六十个工作日出现基金份额持有人数量不满200人或者基金资产净值低于5000万元情形的，基金管理人应向中国证监会报告并</w:t>
      </w:r>
      <w:r>
        <w:rPr>
          <w:rFonts w:ascii="宋体" w:hAnsi="宋体"/>
          <w:sz w:val="24"/>
        </w:rPr>
        <w:lastRenderedPageBreak/>
        <w:t>提前终止基金合同，不需召开基金份额持有人大会。</w:t>
      </w:r>
    </w:p>
    <w:p w14:paraId="1CA64933"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（七）其他风险</w:t>
      </w:r>
    </w:p>
    <w:p w14:paraId="3252E6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316AF0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6E8E957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6F080EF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233381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0A0104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6419B51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494477CA"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2B44AB6" w14:textId="77777777" w:rsidR="001F702C" w:rsidRDefault="00BD18A1">
      <w:pPr>
        <w:pStyle w:val="1"/>
        <w:snapToGrid w:val="0"/>
        <w:spacing w:beforeLines="0" w:before="240" w:after="240"/>
        <w:rPr>
          <w:rFonts w:ascii="宋体" w:hAnsi="宋体"/>
          <w:szCs w:val="30"/>
        </w:rPr>
      </w:pPr>
      <w:bookmarkStart w:id="23" w:name="_Toc140049424"/>
      <w:r>
        <w:rPr>
          <w:rFonts w:ascii="Times New Roman" w:hAnsi="Times New Roman"/>
          <w:sz w:val="30"/>
        </w:rPr>
        <w:lastRenderedPageBreak/>
        <w:t>二十、基金合同的变更、终止与基金财产的清算</w:t>
      </w:r>
      <w:bookmarkEnd w:id="23"/>
    </w:p>
    <w:p w14:paraId="39A3092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3EA2D94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份额持有人大会决议通过。对于可不经基金份额持有人大会决议通过的事项，由基金管理人和基金托管人同意后变更并公告，并报中国证监会备案。</w:t>
      </w:r>
    </w:p>
    <w:p w14:paraId="0875AC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w:t>
      </w:r>
      <w:proofErr w:type="gramStart"/>
      <w:r>
        <w:rPr>
          <w:rFonts w:ascii="宋体" w:hAnsi="宋体"/>
          <w:sz w:val="24"/>
        </w:rPr>
        <w:t>自决议</w:t>
      </w:r>
      <w:proofErr w:type="gramEnd"/>
      <w:r>
        <w:rPr>
          <w:rFonts w:ascii="宋体" w:hAnsi="宋体"/>
          <w:sz w:val="24"/>
        </w:rPr>
        <w:t>生效后依照《信息披露办法》的规定在指定媒介公告。</w:t>
      </w:r>
    </w:p>
    <w:p w14:paraId="2570C0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71A33E2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1E93C7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666582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F5089D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3、连续60个工作日出现基金份额持有人数量不满200人或者基金资产净值低于5000万元情形的，基金管理人应向中国证监会报告并提前终止基金合同，不需召开基金份额持有人大会；</w:t>
      </w:r>
    </w:p>
    <w:p w14:paraId="0FC5B7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w:t>
      </w:r>
      <w:proofErr w:type="gramStart"/>
      <w:r>
        <w:rPr>
          <w:rFonts w:ascii="宋体" w:hAnsi="宋体"/>
          <w:sz w:val="24"/>
        </w:rPr>
        <w:t>券</w:t>
      </w:r>
      <w:proofErr w:type="gramEnd"/>
      <w:r>
        <w:rPr>
          <w:rFonts w:ascii="宋体" w:hAnsi="宋体"/>
          <w:sz w:val="24"/>
        </w:rPr>
        <w:t>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2F2C0F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4855B6A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1B4CFF0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73E0B1F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0E1940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9BFF5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3、基金财产清算小组职责：基金财产清算小组负责基金财产的保管、清理、估价、变现和分配。基金财产清算小组可以依法进行必要的民事活动。</w:t>
      </w:r>
    </w:p>
    <w:p w14:paraId="543C48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27B2DF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144283C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56C5BA5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7A896D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052E10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533109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1B367B8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142E423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w:t>
      </w:r>
      <w:proofErr w:type="gramStart"/>
      <w:r>
        <w:rPr>
          <w:rFonts w:ascii="宋体" w:hAnsi="宋体"/>
          <w:sz w:val="24"/>
        </w:rPr>
        <w:t>遇基金</w:t>
      </w:r>
      <w:proofErr w:type="gramEnd"/>
      <w:r>
        <w:rPr>
          <w:rFonts w:ascii="宋体" w:hAnsi="宋体"/>
          <w:sz w:val="24"/>
        </w:rPr>
        <w:t>持有的有价证券出现长期休市、停牌或其他流通受限的情形除外。</w:t>
      </w:r>
    </w:p>
    <w:p w14:paraId="4DAEEC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4ABC96F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FF8D4E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480B905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7EACE97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4A864D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D60D9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277FF4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72D63D75"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000A917" w14:textId="77777777" w:rsidR="001F702C" w:rsidRDefault="00BD18A1">
      <w:pPr>
        <w:pStyle w:val="1"/>
        <w:snapToGrid w:val="0"/>
        <w:spacing w:beforeLines="0" w:before="240" w:after="240"/>
        <w:rPr>
          <w:rFonts w:ascii="宋体" w:hAnsi="宋体"/>
          <w:szCs w:val="30"/>
        </w:rPr>
      </w:pPr>
      <w:bookmarkStart w:id="24" w:name="_Toc140049425"/>
      <w:bookmarkStart w:id="25" w:name="_Hlk152337844"/>
      <w:r>
        <w:rPr>
          <w:rFonts w:ascii="Times New Roman" w:hAnsi="Times New Roman"/>
          <w:sz w:val="30"/>
        </w:rPr>
        <w:lastRenderedPageBreak/>
        <w:t>二十一、基金合同内容摘要</w:t>
      </w:r>
      <w:bookmarkEnd w:id="24"/>
    </w:p>
    <w:p w14:paraId="5463AD4C"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（一）基金份额持有人、基金管理人和基金托管人的权利与义务</w:t>
      </w:r>
    </w:p>
    <w:p w14:paraId="0EFC23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79ED14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1744770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3897575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20FE212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504AEE1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659D04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53C2B76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700201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17FB5A0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20B9812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079CA1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1EE751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2B36A6A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6AA458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3DDCFA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618BD9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4D3485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72EA04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16C4512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046A09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72ED072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0A3897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3813EB8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6F3EA57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515E3B1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270CD2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31F8D04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315A84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789A7E3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59E7E72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309BBCC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61A5F0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360AAF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52EBB29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372FFF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4774983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FF3EE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011E13F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79F0CC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25F3D8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16BB0CC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20E6E53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54F5746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677EAC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01BC7AA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36B942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7C33B56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66C2925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517626A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w:t>
      </w:r>
      <w:proofErr w:type="gramStart"/>
      <w:r>
        <w:rPr>
          <w:rFonts w:ascii="宋体" w:hAnsi="宋体"/>
          <w:sz w:val="24"/>
        </w:rPr>
        <w:t>律法规</w:t>
      </w:r>
      <w:proofErr w:type="gramEnd"/>
      <w:r>
        <w:rPr>
          <w:rFonts w:ascii="宋体" w:hAnsi="宋体"/>
          <w:sz w:val="24"/>
        </w:rPr>
        <w:t>和《基金合同》的规定安全保管基金财产；</w:t>
      </w:r>
    </w:p>
    <w:p w14:paraId="3CB563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15B7245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DFA7E6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7DCF99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2033F47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04365E2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34C7181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54F347D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141748F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5C56E1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02C2D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60F8DBD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461784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0F430CD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1A4FCAD4" w14:textId="68373A45"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w:t>
      </w:r>
      <w:r w:rsidR="001672A4">
        <w:rPr>
          <w:rFonts w:ascii="宋体" w:hAnsi="宋体" w:hint="eastAsia"/>
          <w:sz w:val="24"/>
        </w:rPr>
        <w:t>各类</w:t>
      </w:r>
      <w:r>
        <w:rPr>
          <w:rFonts w:ascii="宋体" w:hAnsi="宋体"/>
          <w:sz w:val="24"/>
        </w:rPr>
        <w:t>基金份额净值、基金份额申购、赎回价格；</w:t>
      </w:r>
    </w:p>
    <w:p w14:paraId="0224E8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5CEA0DE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1A2467E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01B30BF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12）从基金管理人或其委托的登记机构处接收并保存基金份额持有人名册；</w:t>
      </w:r>
    </w:p>
    <w:p w14:paraId="4CDEF70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20B7511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33AD9F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26DCAA5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7A7F15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786BD06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5B266F7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6C8EC15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3B9BAD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5E6D15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19E366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43E032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w:t>
      </w:r>
      <w:proofErr w:type="gramStart"/>
      <w:r>
        <w:rPr>
          <w:rFonts w:ascii="宋体" w:hAnsi="宋体"/>
          <w:sz w:val="24"/>
        </w:rPr>
        <w:t>基金基金</w:t>
      </w:r>
      <w:proofErr w:type="gramEnd"/>
      <w:r>
        <w:rPr>
          <w:rFonts w:ascii="宋体" w:hAnsi="宋体"/>
          <w:sz w:val="24"/>
        </w:rPr>
        <w:t>份额的行为即视为对《基金合同》的承认和接受，基金投资者</w:t>
      </w:r>
      <w:proofErr w:type="gramStart"/>
      <w:r>
        <w:rPr>
          <w:rFonts w:ascii="宋体" w:hAnsi="宋体"/>
          <w:sz w:val="24"/>
        </w:rPr>
        <w:t>自依据</w:t>
      </w:r>
      <w:proofErr w:type="gramEnd"/>
      <w:r>
        <w:rPr>
          <w:rFonts w:ascii="宋体" w:hAnsi="宋体"/>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AF8E8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0A0C05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0A33CF2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1）分享基金财产收益；</w:t>
      </w:r>
    </w:p>
    <w:p w14:paraId="009E30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4FC046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1E5FA08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559D883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1780BD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40FBE8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1B0900D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4372170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AEAB9C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69E66E7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4827F3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3FA6885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72CA0F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14:paraId="4CC8736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40FF431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1BBE27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907820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601551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2CECB2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0F7FE4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386517CA"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（二）基金份额持有人大会召集、议事及表决的程序和规则</w:t>
      </w:r>
    </w:p>
    <w:p w14:paraId="194E69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702CEB7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065287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271AA9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44D5BC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56A229D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262B651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69D0CF6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0AB0C1C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3A06238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188E4C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262670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2BAB592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6787F3F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65A78A3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676F773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3A3D5B2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5EDE259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（2）在法律法规和《基金合同》规定的范围内，且在对现有基金份额持有人利益无实质性不利影响的前提下，以下情况可由基金管理人和基金托管人协商后修改，不需召开基金份额持有人大会：</w:t>
      </w:r>
    </w:p>
    <w:p w14:paraId="0B5587A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14:paraId="6B40B0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2BB4CC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3）调整本基金的申购费率、调低赎回费率、变更或增加收费方式；</w:t>
      </w:r>
    </w:p>
    <w:p w14:paraId="5206DC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proofErr w:type="gramStart"/>
      <w:r>
        <w:rPr>
          <w:rFonts w:ascii="宋体" w:hAnsi="宋体"/>
          <w:sz w:val="24"/>
        </w:rPr>
        <w:t>因相应</w:t>
      </w:r>
      <w:proofErr w:type="gramEnd"/>
      <w:r>
        <w:rPr>
          <w:rFonts w:ascii="宋体" w:hAnsi="宋体"/>
          <w:sz w:val="24"/>
        </w:rPr>
        <w:t>的法律法规、登记机构的相关业务规则发生变动而应当对《基金合</w:t>
      </w:r>
      <w:r>
        <w:rPr>
          <w:rFonts w:ascii="宋体" w:hAnsi="宋体"/>
          <w:sz w:val="24"/>
        </w:rPr>
        <w:lastRenderedPageBreak/>
        <w:t>同》进行修改；</w:t>
      </w:r>
    </w:p>
    <w:p w14:paraId="6C39CF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00DF94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1C5F4E8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14:paraId="0F54AC9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w:t>
      </w:r>
      <w:proofErr w:type="gramStart"/>
      <w:r>
        <w:rPr>
          <w:rFonts w:ascii="宋体" w:hAnsi="宋体"/>
          <w:sz w:val="24"/>
        </w:rPr>
        <w:t>非交易</w:t>
      </w:r>
      <w:proofErr w:type="gramEnd"/>
      <w:r>
        <w:rPr>
          <w:rFonts w:ascii="宋体" w:hAnsi="宋体"/>
          <w:sz w:val="24"/>
        </w:rPr>
        <w:t>过户、转托管等业务的规则；</w:t>
      </w:r>
    </w:p>
    <w:p w14:paraId="3E6E2BD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2395509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3241220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07C2F5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5D3E03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2F1455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w:t>
      </w:r>
      <w:r>
        <w:rPr>
          <w:rFonts w:ascii="宋体" w:hAnsi="宋体"/>
          <w:sz w:val="24"/>
        </w:rPr>
        <w:lastRenderedPageBreak/>
        <w:t>基金管理人，基金管理人应当配合；</w:t>
      </w:r>
    </w:p>
    <w:p w14:paraId="3A2CE1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6D4F77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13279BD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7192D66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29392AC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112BE9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的事项、议事程序和表决方式；</w:t>
      </w:r>
    </w:p>
    <w:p w14:paraId="5CAD2E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7ACAC8A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507FDA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53F7C0C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62AC7C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0E30EFE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6711E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sz w:val="24"/>
        </w:rPr>
        <w:t>拒不派</w:t>
      </w:r>
      <w:proofErr w:type="gramEnd"/>
      <w:r>
        <w:rPr>
          <w:rFonts w:ascii="宋体" w:hAnsi="宋体"/>
          <w:sz w:val="24"/>
        </w:rPr>
        <w:t>代表对表决意见的计票进行监督的，不影响表决意见的计票效力。</w:t>
      </w:r>
    </w:p>
    <w:p w14:paraId="3C9DB9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09DB56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w:t>
      </w:r>
      <w:r>
        <w:rPr>
          <w:rFonts w:ascii="宋体" w:hAnsi="宋体"/>
          <w:sz w:val="24"/>
        </w:rPr>
        <w:lastRenderedPageBreak/>
        <w:t>关允许的其他方式召开，会议的召开方式由会议召集人确定。</w:t>
      </w:r>
    </w:p>
    <w:p w14:paraId="3E9C0D6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3BAA90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AF2E9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43FB68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（2）通讯开会。通讯开会系指基金份额持有人将其对表决事项的投票以会议通知载明的形式在表决截止日以前送达至召集人指定的地址或系统。</w:t>
      </w:r>
    </w:p>
    <w:p w14:paraId="1EF4B56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2CDFBC1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1E403E8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1ABE8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w:t>
      </w:r>
      <w:r>
        <w:rPr>
          <w:rFonts w:ascii="宋体" w:hAnsi="宋体"/>
          <w:sz w:val="24"/>
        </w:rPr>
        <w:lastRenderedPageBreak/>
        <w:t>持有人大会。重新召集的基金份额持有人大会应当有代表基金总份额三分之一以上（含三分之一）基金份额的持有人直接出具表决意见或授权他人代表出具表决意见；</w:t>
      </w:r>
    </w:p>
    <w:p w14:paraId="5B0C3B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F4FC6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28754B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0CC8C7A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0DA0BBE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A5512A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5CBAC3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03E15B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778E49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8B5551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w:t>
      </w:r>
      <w:r>
        <w:rPr>
          <w:rFonts w:ascii="宋体" w:hAnsi="宋体"/>
          <w:sz w:val="24"/>
        </w:rPr>
        <w:lastRenderedPageBreak/>
        <w:t>份额持有人大会，不影响基金份额持有人大会</w:t>
      </w:r>
      <w:proofErr w:type="gramStart"/>
      <w:r>
        <w:rPr>
          <w:rFonts w:ascii="宋体" w:hAnsi="宋体"/>
          <w:sz w:val="24"/>
        </w:rPr>
        <w:t>作出</w:t>
      </w:r>
      <w:proofErr w:type="gramEnd"/>
      <w:r>
        <w:rPr>
          <w:rFonts w:ascii="宋体" w:hAnsi="宋体"/>
          <w:sz w:val="24"/>
        </w:rPr>
        <w:t>的决议的效力。</w:t>
      </w:r>
    </w:p>
    <w:p w14:paraId="4F8D51A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载明参加会议人员姓名（或单位名称）、身份证明文件号码、持有或代表有表决权的基金份额、委托人姓名（或单位名称）和联系方式等事项。</w:t>
      </w:r>
    </w:p>
    <w:p w14:paraId="7B8263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5439FF7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500B3B8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59F83B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23052A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18351D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8C3FF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2221882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7B708D4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7E943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3AC6A3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7185F0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3A75695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w:t>
      </w:r>
      <w:r>
        <w:rPr>
          <w:rFonts w:ascii="宋体" w:hAnsi="宋体"/>
          <w:sz w:val="24"/>
        </w:rPr>
        <w:lastRenderedPageBreak/>
        <w:t>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557AE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4FD370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进行重新清点。监票人应当进行重新清点，重新清点以一次为限。重新清点后，大会主持人应当当场公布重新清点结果。</w:t>
      </w:r>
    </w:p>
    <w:p w14:paraId="7D85C9D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109E579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25920A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sz w:val="24"/>
        </w:rPr>
        <w:t>人拒派</w:t>
      </w:r>
      <w:proofErr w:type="gramEnd"/>
      <w:r>
        <w:rPr>
          <w:rFonts w:ascii="宋体" w:hAnsi="宋体"/>
          <w:sz w:val="24"/>
        </w:rPr>
        <w:t>代表对表决意见的计票进行监督的，不影响计票和表决结果。</w:t>
      </w:r>
    </w:p>
    <w:p w14:paraId="6EA3ECC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21BF25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14:paraId="3D17E4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58ACCE5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7873AA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w:t>
      </w:r>
      <w:proofErr w:type="gramStart"/>
      <w:r>
        <w:rPr>
          <w:rFonts w:ascii="宋体" w:hAnsi="宋体"/>
          <w:sz w:val="24"/>
        </w:rPr>
        <w:t>侧袋机制</w:t>
      </w:r>
      <w:proofErr w:type="gramEnd"/>
      <w:r>
        <w:rPr>
          <w:rFonts w:ascii="宋体" w:hAnsi="宋体"/>
          <w:sz w:val="24"/>
        </w:rPr>
        <w:t>期间基金份额持有人大会的特殊约定</w:t>
      </w:r>
    </w:p>
    <w:p w14:paraId="0860EF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w:t>
      </w:r>
      <w:proofErr w:type="gramStart"/>
      <w:r>
        <w:rPr>
          <w:rFonts w:ascii="宋体" w:hAnsi="宋体"/>
          <w:sz w:val="24"/>
        </w:rPr>
        <w:t>实施侧袋机制</w:t>
      </w:r>
      <w:proofErr w:type="gramEnd"/>
      <w:r>
        <w:rPr>
          <w:rFonts w:ascii="宋体" w:hAnsi="宋体"/>
          <w:sz w:val="24"/>
        </w:rPr>
        <w:t>，</w:t>
      </w:r>
      <w:proofErr w:type="gramStart"/>
      <w:r>
        <w:rPr>
          <w:rFonts w:ascii="宋体" w:hAnsi="宋体"/>
          <w:sz w:val="24"/>
        </w:rPr>
        <w:t>则相关</w:t>
      </w:r>
      <w:proofErr w:type="gramEnd"/>
      <w:r>
        <w:rPr>
          <w:rFonts w:ascii="宋体" w:hAnsi="宋体"/>
          <w:sz w:val="24"/>
        </w:rPr>
        <w:t>基金份额或表决权的比例</w:t>
      </w:r>
      <w:proofErr w:type="gramStart"/>
      <w:r>
        <w:rPr>
          <w:rFonts w:ascii="宋体" w:hAnsi="宋体"/>
          <w:sz w:val="24"/>
        </w:rPr>
        <w:t>指主袋份额</w:t>
      </w:r>
      <w:proofErr w:type="gramEnd"/>
      <w:r>
        <w:rPr>
          <w:rFonts w:ascii="宋体" w:hAnsi="宋体"/>
          <w:sz w:val="24"/>
        </w:rPr>
        <w:t>持有</w:t>
      </w:r>
      <w:proofErr w:type="gramStart"/>
      <w:r>
        <w:rPr>
          <w:rFonts w:ascii="宋体" w:hAnsi="宋体"/>
          <w:sz w:val="24"/>
        </w:rPr>
        <w:t>人和侧袋份额</w:t>
      </w:r>
      <w:proofErr w:type="gramEnd"/>
      <w:r>
        <w:rPr>
          <w:rFonts w:ascii="宋体" w:hAnsi="宋体"/>
          <w:sz w:val="24"/>
        </w:rPr>
        <w:t>持有人分别持有或代表的基金份额或表决权符合该等比例，但</w:t>
      </w:r>
      <w:proofErr w:type="gramStart"/>
      <w:r>
        <w:rPr>
          <w:rFonts w:ascii="宋体" w:hAnsi="宋体"/>
          <w:sz w:val="24"/>
        </w:rPr>
        <w:t>若相关</w:t>
      </w:r>
      <w:proofErr w:type="gramEnd"/>
      <w:r>
        <w:rPr>
          <w:rFonts w:ascii="宋体" w:hAnsi="宋体"/>
          <w:sz w:val="24"/>
        </w:rPr>
        <w:t>基金份额持有人大会召集和审议事项不</w:t>
      </w:r>
      <w:proofErr w:type="gramStart"/>
      <w:r>
        <w:rPr>
          <w:rFonts w:ascii="宋体" w:hAnsi="宋体"/>
          <w:sz w:val="24"/>
        </w:rPr>
        <w:t>涉及侧袋账户</w:t>
      </w:r>
      <w:proofErr w:type="gramEnd"/>
      <w:r>
        <w:rPr>
          <w:rFonts w:ascii="宋体" w:hAnsi="宋体"/>
          <w:sz w:val="24"/>
        </w:rPr>
        <w:t>的，则仅</w:t>
      </w:r>
      <w:proofErr w:type="gramStart"/>
      <w:r>
        <w:rPr>
          <w:rFonts w:ascii="宋体" w:hAnsi="宋体"/>
          <w:sz w:val="24"/>
        </w:rPr>
        <w:t>指主袋份额</w:t>
      </w:r>
      <w:proofErr w:type="gramEnd"/>
      <w:r>
        <w:rPr>
          <w:rFonts w:ascii="宋体" w:hAnsi="宋体"/>
          <w:sz w:val="24"/>
        </w:rPr>
        <w:t>持有人持有或</w:t>
      </w:r>
      <w:r>
        <w:rPr>
          <w:rFonts w:ascii="宋体" w:hAnsi="宋体"/>
          <w:sz w:val="24"/>
        </w:rPr>
        <w:lastRenderedPageBreak/>
        <w:t>代表的基金份额或表决权符合该等比例：</w:t>
      </w:r>
    </w:p>
    <w:p w14:paraId="09D99CE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7C64CD5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w:t>
      </w:r>
      <w:proofErr w:type="gramStart"/>
      <w:r>
        <w:rPr>
          <w:rFonts w:ascii="宋体" w:hAnsi="宋体"/>
          <w:sz w:val="24"/>
        </w:rPr>
        <w:t>日相关</w:t>
      </w:r>
      <w:proofErr w:type="gramEnd"/>
      <w:r>
        <w:rPr>
          <w:rFonts w:ascii="宋体" w:hAnsi="宋体"/>
          <w:sz w:val="24"/>
        </w:rPr>
        <w:t>基金份额的二分之一（含二分之一）；</w:t>
      </w:r>
    </w:p>
    <w:p w14:paraId="4227504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w:t>
      </w:r>
      <w:proofErr w:type="gramStart"/>
      <w:r>
        <w:rPr>
          <w:rFonts w:ascii="宋体" w:hAnsi="宋体"/>
          <w:sz w:val="24"/>
        </w:rPr>
        <w:t>日相关</w:t>
      </w:r>
      <w:proofErr w:type="gramEnd"/>
      <w:r>
        <w:rPr>
          <w:rFonts w:ascii="宋体" w:hAnsi="宋体"/>
          <w:sz w:val="24"/>
        </w:rPr>
        <w:t>基金份额的二分之一（含二分之一）；</w:t>
      </w:r>
    </w:p>
    <w:p w14:paraId="793EEE5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w:t>
      </w:r>
      <w:proofErr w:type="gramStart"/>
      <w:r>
        <w:rPr>
          <w:rFonts w:ascii="宋体" w:hAnsi="宋体"/>
          <w:sz w:val="24"/>
        </w:rPr>
        <w:t>日相关</w:t>
      </w:r>
      <w:proofErr w:type="gramEnd"/>
      <w:r>
        <w:rPr>
          <w:rFonts w:ascii="宋体" w:hAnsi="宋体"/>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E4A247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7D65F7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4BD580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58B96B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w:t>
      </w:r>
      <w:proofErr w:type="gramStart"/>
      <w:r>
        <w:rPr>
          <w:rFonts w:ascii="宋体" w:hAnsi="宋体"/>
          <w:sz w:val="24"/>
        </w:rPr>
        <w:t>一主侧袋账户</w:t>
      </w:r>
      <w:proofErr w:type="gramEnd"/>
      <w:r>
        <w:rPr>
          <w:rFonts w:ascii="宋体" w:hAnsi="宋体"/>
          <w:sz w:val="24"/>
        </w:rPr>
        <w:t>内的每份基金份额具有平等的表决权。</w:t>
      </w:r>
    </w:p>
    <w:p w14:paraId="5C5AB2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proofErr w:type="gramStart"/>
      <w:r>
        <w:rPr>
          <w:rFonts w:ascii="宋体" w:hAnsi="宋体"/>
          <w:sz w:val="24"/>
        </w:rPr>
        <w:t>本部分对基金</w:t>
      </w:r>
      <w:proofErr w:type="gramEnd"/>
      <w:r>
        <w:rPr>
          <w:rFonts w:ascii="宋体" w:hAnsi="宋体"/>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1E846EC9"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（三）基金合同解除和终止的事由、程序</w:t>
      </w:r>
    </w:p>
    <w:p w14:paraId="599ADE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25603B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份额持有人大会决议通过。对于可不经基金份额持有人大会决议通过的事项，由基金管理人和基金托管人同意后变更并公告，并</w:t>
      </w:r>
      <w:r>
        <w:rPr>
          <w:rFonts w:ascii="宋体" w:hAnsi="宋体"/>
          <w:sz w:val="24"/>
        </w:rPr>
        <w:lastRenderedPageBreak/>
        <w:t>报中国证监会备案。</w:t>
      </w:r>
    </w:p>
    <w:p w14:paraId="77D395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w:t>
      </w:r>
      <w:proofErr w:type="gramStart"/>
      <w:r>
        <w:rPr>
          <w:rFonts w:ascii="宋体" w:hAnsi="宋体"/>
          <w:sz w:val="24"/>
        </w:rPr>
        <w:t>自决议</w:t>
      </w:r>
      <w:proofErr w:type="gramEnd"/>
      <w:r>
        <w:rPr>
          <w:rFonts w:ascii="宋体" w:hAnsi="宋体"/>
          <w:sz w:val="24"/>
        </w:rPr>
        <w:t>生效后依照《信息披露办法》的规定在指定媒介公告。</w:t>
      </w:r>
    </w:p>
    <w:p w14:paraId="0B0C6A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7656F40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00DD55A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462C24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267DBF3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（3）连续60个工作日出现基金份额持有人数量不满200人或者基金资产净值低于5000万元情形的，基金管理人应向中国证监会报告并提前终止基金合同，不需召开基金份额持有人大会；</w:t>
      </w:r>
    </w:p>
    <w:p w14:paraId="411C81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w:t>
      </w:r>
      <w:proofErr w:type="gramStart"/>
      <w:r>
        <w:rPr>
          <w:rFonts w:ascii="宋体" w:hAnsi="宋体"/>
          <w:sz w:val="24"/>
        </w:rPr>
        <w:t>券</w:t>
      </w:r>
      <w:proofErr w:type="gramEnd"/>
      <w:r>
        <w:rPr>
          <w:rFonts w:ascii="宋体" w:hAnsi="宋体"/>
          <w:sz w:val="24"/>
        </w:rPr>
        <w:t>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7D90EB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3B9460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463A7D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4CFC11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7D2FCA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D6EE3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122BAD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0BC565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4448D0A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87A2F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427D133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4）制作清算报告；</w:t>
      </w:r>
    </w:p>
    <w:p w14:paraId="535838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7A7292F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187DE6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0FCC5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w:t>
      </w:r>
      <w:proofErr w:type="gramStart"/>
      <w:r>
        <w:rPr>
          <w:rFonts w:ascii="宋体" w:hAnsi="宋体"/>
          <w:sz w:val="24"/>
        </w:rPr>
        <w:t>遇基金</w:t>
      </w:r>
      <w:proofErr w:type="gramEnd"/>
      <w:r>
        <w:rPr>
          <w:rFonts w:ascii="宋体" w:hAnsi="宋体"/>
          <w:sz w:val="24"/>
        </w:rPr>
        <w:t>持有的有价证券出现长期休市、停牌或其他流通受限的情形除外。</w:t>
      </w:r>
    </w:p>
    <w:p w14:paraId="6C3FEE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6BB3530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598650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10DB4B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47FC5C9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377843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BD3A53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2176AE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610254AB"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14:paraId="3176FE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D1097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407DE02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14:paraId="380CE307"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（五）基金合同存放地和投资者取得基金合同的方式</w:t>
      </w:r>
    </w:p>
    <w:p w14:paraId="616E59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616BD0F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003DB682"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A8F53F8" w14:textId="77777777" w:rsidR="001F702C" w:rsidRDefault="00BD18A1">
      <w:pPr>
        <w:pStyle w:val="1"/>
        <w:snapToGrid w:val="0"/>
        <w:spacing w:beforeLines="0" w:before="240" w:after="240"/>
        <w:rPr>
          <w:rFonts w:ascii="宋体" w:hAnsi="宋体"/>
          <w:szCs w:val="30"/>
        </w:rPr>
      </w:pPr>
      <w:bookmarkStart w:id="26" w:name="_Toc140049426"/>
      <w:bookmarkStart w:id="27" w:name="_Hlk152341691"/>
      <w:bookmarkEnd w:id="25"/>
      <w:r>
        <w:rPr>
          <w:rFonts w:ascii="Times New Roman" w:hAnsi="Times New Roman"/>
          <w:sz w:val="30"/>
        </w:rPr>
        <w:lastRenderedPageBreak/>
        <w:t>二十二、托管协议的内容摘要</w:t>
      </w:r>
      <w:bookmarkEnd w:id="26"/>
    </w:p>
    <w:p w14:paraId="47953A85"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14:paraId="42F2D7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7954A5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F6F5F7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2EADA8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57261BA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6BFFB7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4C3911A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 2005年8月4日</w:t>
      </w:r>
    </w:p>
    <w:p w14:paraId="4467D3E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批准设立机关：中国证券监督管理委员会</w:t>
      </w:r>
    </w:p>
    <w:p w14:paraId="5E39AF7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w:t>
      </w:r>
      <w:proofErr w:type="gramStart"/>
      <w:r>
        <w:rPr>
          <w:rFonts w:ascii="宋体" w:hAnsi="宋体"/>
          <w:sz w:val="24"/>
        </w:rPr>
        <w:t>监基金字</w:t>
      </w:r>
      <w:proofErr w:type="gramEnd"/>
      <w:r>
        <w:rPr>
          <w:rFonts w:ascii="宋体" w:hAnsi="宋体"/>
          <w:sz w:val="24"/>
        </w:rPr>
        <w:t>[2005]128号</w:t>
      </w:r>
    </w:p>
    <w:p w14:paraId="660C706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0641A81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 2亿元人民币</w:t>
      </w:r>
    </w:p>
    <w:p w14:paraId="1FD95C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0CEFE9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500A92F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40B4138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名称：中国光大银行股份有限公司</w:t>
      </w:r>
    </w:p>
    <w:p w14:paraId="575DCB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 号中国光大中心</w:t>
      </w:r>
    </w:p>
    <w:p w14:paraId="445C91EE" w14:textId="5AD85E81"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A417F0">
        <w:rPr>
          <w:rFonts w:ascii="宋体" w:hAnsi="宋体" w:hint="eastAsia"/>
          <w:sz w:val="24"/>
          <w:szCs w:val="24"/>
        </w:rPr>
        <w:t>王江</w:t>
      </w:r>
    </w:p>
    <w:p w14:paraId="2E5733A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成立时间：1992年6月18日</w:t>
      </w:r>
    </w:p>
    <w:p w14:paraId="626444A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批准设立机关和批准设立文号：国务院、国函[1992]7号</w:t>
      </w:r>
    </w:p>
    <w:p w14:paraId="3BA9EDF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注册资本：人民币466.79095亿元</w:t>
      </w:r>
    </w:p>
    <w:p w14:paraId="011A106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FF39E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基金托管资格批文及文号：证</w:t>
      </w:r>
      <w:proofErr w:type="gramStart"/>
      <w:r>
        <w:rPr>
          <w:rFonts w:ascii="宋体" w:hAnsi="宋体"/>
          <w:sz w:val="24"/>
        </w:rPr>
        <w:t>监基金字</w:t>
      </w:r>
      <w:proofErr w:type="gramEnd"/>
      <w:r>
        <w:rPr>
          <w:rFonts w:ascii="宋体" w:hAnsi="宋体"/>
          <w:sz w:val="24"/>
        </w:rPr>
        <w:t>【2002】75号</w:t>
      </w:r>
    </w:p>
    <w:p w14:paraId="20013F65"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14:paraId="6AE9B90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1、基金托管人根据有关法律法规的规定及基金合同的约定，对基金投资范围、投资比例进行监督。</w:t>
      </w:r>
    </w:p>
    <w:p w14:paraId="236BB8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本基金的投资范围为具有良好流动性的金融工具，包括国内依法发行上市的国债、农发债、债券回购、银行存款等固定收益类资产以及法律法规或中国证监会允</w:t>
      </w:r>
      <w:r>
        <w:rPr>
          <w:rFonts w:ascii="宋体" w:hAnsi="宋体"/>
          <w:sz w:val="24"/>
        </w:rPr>
        <w:lastRenderedPageBreak/>
        <w:t>许基金投资的其他金融工具（但须符合中国证监会相关规定）。本基金不投资股票、权证等权益类资产。</w:t>
      </w:r>
    </w:p>
    <w:p w14:paraId="7693DA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213FD10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本基金的投资组合比例为：本基金投资于债券资产的比例不低于基金资产的80%，其中标的指数成份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的比例不低于本基金非现金基金资产的80%；每个交易日日终，现金或到期日在一年以内的政府债券的投资比例合计不低于基金资产净值的5%，其中现金不包括结算备付金、存出保证金、应收申购款等。</w:t>
      </w:r>
    </w:p>
    <w:p w14:paraId="2843193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312B2F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14:paraId="60D360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（1）本基金投资于债券资产的比例不低于基金资产的80%，其中标的指数成份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的比例不低于本基金非现金基金资产的80%；</w:t>
      </w:r>
    </w:p>
    <w:p w14:paraId="2839E9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（2）每个交易日日终，保持不低于基金资产净值5%的现金或者到期日在一年以内的政府债券，其中现金不包括结算备付金、存出保证金、应收申购款等；</w:t>
      </w:r>
    </w:p>
    <w:p w14:paraId="50BF639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（3）本基金进入全国银行间同业市场进行债券回购的资金余额不得超过基金资产净值的40%；本基金在全国银行间同业市场中的债券回购最长期限为1 年，债券回购到期后不得展期；</w:t>
      </w:r>
    </w:p>
    <w:p w14:paraId="595D33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（4）本基金的基金资产总值不得超过基金资产净值的140%；</w:t>
      </w:r>
    </w:p>
    <w:p w14:paraId="678EDCC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6EB84E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14:paraId="2FB300A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（7）法律法规及中国证监会规定的和《基金合同》约定的其他投资限制。</w:t>
      </w:r>
    </w:p>
    <w:p w14:paraId="012C26B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5）、（6）项外，因证券市场波动、证券发行人合并或基金规模变动等基金管理人之外的因素致使基金投资比例不符合上述规定投资比例的，基金管理人应当在10个交易日内进行调整，但中国证监会规定的特殊情形除外。法律</w:t>
      </w:r>
      <w:r>
        <w:rPr>
          <w:rFonts w:ascii="宋体" w:hAnsi="宋体"/>
          <w:sz w:val="24"/>
        </w:rPr>
        <w:lastRenderedPageBreak/>
        <w:t>法规另有规定的，从其规定。</w:t>
      </w:r>
    </w:p>
    <w:p w14:paraId="15D4ED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4ACFC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如果法律法规对基金合同约定投资组合比例限制进行变更的，以变更后的规定为准。法律法规或监管部门取消上述限制，如适用于本基金，基金管理人在履行适当程序后，则本基金不再受相关限制。</w:t>
      </w:r>
    </w:p>
    <w:p w14:paraId="1B5042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3、基金托管人根据有关法律法规的规定及基金合同的约定，对本托管协议第十五条第（十二）</w:t>
      </w:r>
      <w:proofErr w:type="gramStart"/>
      <w:r>
        <w:rPr>
          <w:rFonts w:ascii="宋体" w:hAnsi="宋体"/>
          <w:sz w:val="24"/>
        </w:rPr>
        <w:t>款基金</w:t>
      </w:r>
      <w:proofErr w:type="gramEnd"/>
      <w:r>
        <w:rPr>
          <w:rFonts w:ascii="宋体" w:hAnsi="宋体"/>
          <w:sz w:val="24"/>
        </w:rPr>
        <w:t>投资禁止行为进行监督。</w:t>
      </w:r>
    </w:p>
    <w:p w14:paraId="711EBFD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3B39B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5C652D0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w:t>
      </w:r>
    </w:p>
    <w:p w14:paraId="307E17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065CE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w:t>
      </w:r>
      <w:r>
        <w:rPr>
          <w:rFonts w:ascii="宋体" w:hAnsi="宋体"/>
          <w:sz w:val="24"/>
        </w:rPr>
        <w:lastRenderedPageBreak/>
        <w:t>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14:paraId="0CB5A8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如定期存款协议中未体现前述条款，基金托管人有权拒绝定期存款投资的划款指令。对于跨行存款，基金管理人需提前与基金托管人就定期存款协议及存单交接流程进行沟通。在取得存款证实书后，基金托管人保管证实书正本。基金托管人不对跨行存款的利率政策风险、存款行的选择承担责任。基金托管人对投资后处于基金托管人实际控制之外的资产不承担保管责任。跨行定期存款账户的预留印鉴为基金托管人托管业务专用章与托管业务授权人名章。</w:t>
      </w:r>
    </w:p>
    <w:p w14:paraId="301F2275" w14:textId="10AFA5AA"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w:t>
      </w:r>
      <w:r w:rsidR="00A417F0">
        <w:rPr>
          <w:rFonts w:ascii="宋体" w:hAnsi="宋体" w:hint="eastAsia"/>
          <w:sz w:val="24"/>
        </w:rPr>
        <w:t>各类</w:t>
      </w:r>
      <w:r>
        <w:rPr>
          <w:rFonts w:ascii="宋体" w:hAnsi="宋体"/>
          <w:sz w:val="24"/>
        </w:rPr>
        <w:t>基金份额净值计算、应收资金到账、基金费用开支及收入确定、基金收益分配、相关信息披露、基金宣传推介材料中登载基金业绩表现数据等进行监督和核查。如果基金管理人未经基金托管人的审核擅自将不实的业绩表现数据印制在宣传推介材料上，</w:t>
      </w:r>
      <w:proofErr w:type="gramStart"/>
      <w:r>
        <w:rPr>
          <w:rFonts w:ascii="宋体" w:hAnsi="宋体"/>
          <w:sz w:val="24"/>
        </w:rPr>
        <w:t>则基金</w:t>
      </w:r>
      <w:proofErr w:type="gramEnd"/>
      <w:r>
        <w:rPr>
          <w:rFonts w:ascii="宋体" w:hAnsi="宋体"/>
          <w:sz w:val="24"/>
        </w:rPr>
        <w:t>托管人对此不承担任何责任，并将在发现后立即报告中国证监会。</w:t>
      </w:r>
    </w:p>
    <w:p w14:paraId="3579B47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7、基金托管人发现基金管理人的上述事项及投资指令或实际投资运作违反法律法规、基金合同和本托管协议的规定，应及时以电话提醒或书面提示等方式通知基金管理人限期纠正。</w:t>
      </w:r>
    </w:p>
    <w:p w14:paraId="190D7B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基金管理人应积极配合和协助基金托管人的监督和核查。基金管理人收到书面</w:t>
      </w:r>
      <w:r>
        <w:rPr>
          <w:rFonts w:ascii="宋体" w:hAnsi="宋体"/>
          <w:sz w:val="24"/>
        </w:rPr>
        <w:lastRenderedPageBreak/>
        <w:t>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53CF77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w:t>
      </w:r>
    </w:p>
    <w:p w14:paraId="7EEDC40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028624C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proofErr w:type="gramStart"/>
      <w:r>
        <w:rPr>
          <w:rFonts w:ascii="宋体" w:hAnsi="宋体"/>
          <w:sz w:val="24"/>
        </w:rPr>
        <w:t>若基金</w:t>
      </w:r>
      <w:proofErr w:type="gramEnd"/>
      <w:r>
        <w:rPr>
          <w:rFonts w:ascii="宋体" w:hAnsi="宋体"/>
          <w:sz w:val="24"/>
        </w:rPr>
        <w:t>托管人发现基金管理人依据交易程序已经生效的指令违反法律、行政法规和其他有关规定，或者违反基金合同约定的，应当立即通知基金管理人。</w:t>
      </w:r>
    </w:p>
    <w:p w14:paraId="6F3E817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w:t>
      </w:r>
    </w:p>
    <w:p w14:paraId="4BF8DC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252AC68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proofErr w:type="gramStart"/>
      <w:r>
        <w:rPr>
          <w:rFonts w:ascii="宋体" w:hAnsi="宋体"/>
          <w:sz w:val="24"/>
        </w:rPr>
        <w:t>侧袋机制</w:t>
      </w:r>
      <w:proofErr w:type="gramEnd"/>
      <w:r>
        <w:rPr>
          <w:rFonts w:ascii="宋体" w:hAnsi="宋体"/>
          <w:sz w:val="24"/>
        </w:rPr>
        <w:t>的实施和投资运作安排</w:t>
      </w:r>
    </w:p>
    <w:p w14:paraId="75102F9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14:paraId="08FDC2C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实施期间，本部分约定的投资组合比例、组合限制等约定仅</w:t>
      </w:r>
      <w:proofErr w:type="gramStart"/>
      <w:r>
        <w:rPr>
          <w:rFonts w:ascii="宋体" w:hAnsi="宋体"/>
          <w:sz w:val="24"/>
        </w:rPr>
        <w:t>适用于主袋账户</w:t>
      </w:r>
      <w:proofErr w:type="gramEnd"/>
      <w:r>
        <w:rPr>
          <w:rFonts w:ascii="宋体" w:hAnsi="宋体"/>
          <w:sz w:val="24"/>
        </w:rPr>
        <w:t>。</w:t>
      </w:r>
    </w:p>
    <w:p w14:paraId="0A2695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的实施条件、实施程序、运作安排、投资安排、特定资产的处置变现和支付等对投资者权益有重大影响的事项详见招募说明书的规定。</w:t>
      </w:r>
    </w:p>
    <w:p w14:paraId="0546F797"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14:paraId="0E9514E1" w14:textId="0FF86AAA"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等投资所需账户、复核基金管理人计算的各类基金份额的基金资产净值和基金份额净值、根据基金管</w:t>
      </w:r>
      <w:r>
        <w:rPr>
          <w:rFonts w:ascii="宋体" w:hAnsi="宋体"/>
          <w:sz w:val="24"/>
        </w:rPr>
        <w:lastRenderedPageBreak/>
        <w:t>理人指令办理清算交收、相关信息披露和监督基金投资运作等行为。</w:t>
      </w:r>
    </w:p>
    <w:p w14:paraId="084EB7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sz w:val="24"/>
        </w:rPr>
        <w:t>供基金</w:t>
      </w:r>
      <w:proofErr w:type="gramEnd"/>
      <w:r>
        <w:rPr>
          <w:rFonts w:ascii="宋体" w:hAnsi="宋体"/>
          <w:sz w:val="24"/>
        </w:rPr>
        <w:t>管理人核查托管财产的完整性和真实性，在规定时间内答复基金管理人并改正。</w:t>
      </w:r>
    </w:p>
    <w:p w14:paraId="4EF4F3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62F1F44"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w:t>
      </w:r>
    </w:p>
    <w:p w14:paraId="78CF476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42F2E9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7BFF22F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05EDA6B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（3）基金托管人按照规定开设基金财产的资金账户和证券账户等投资所需账户；</w:t>
      </w:r>
    </w:p>
    <w:p w14:paraId="09208E1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14:paraId="40F724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14:paraId="6430D1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应及时配合基金管理人向有关当事人追偿基金财产的损失；</w:t>
      </w:r>
    </w:p>
    <w:p w14:paraId="3FF2AB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w:t>
      </w:r>
      <w:r>
        <w:rPr>
          <w:rFonts w:ascii="宋体" w:hAnsi="宋体"/>
          <w:sz w:val="24"/>
        </w:rPr>
        <w:lastRenderedPageBreak/>
        <w:t>基金财产。</w:t>
      </w:r>
    </w:p>
    <w:p w14:paraId="5BAAE42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45FFC0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（1）基金募集期间募集的资金应存于基金管理人开立的“基金募集专户”。该账户由基金管理人开立并管理。</w:t>
      </w:r>
    </w:p>
    <w:p w14:paraId="7F8407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2名或2名以上中国注册会计师签字方为有效。</w:t>
      </w:r>
    </w:p>
    <w:p w14:paraId="072677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proofErr w:type="gramStart"/>
      <w:r>
        <w:rPr>
          <w:rFonts w:ascii="宋体" w:hAnsi="宋体"/>
          <w:sz w:val="24"/>
        </w:rPr>
        <w:t>若基金</w:t>
      </w:r>
      <w:proofErr w:type="gramEnd"/>
      <w:r>
        <w:rPr>
          <w:rFonts w:ascii="宋体" w:hAnsi="宋体"/>
          <w:sz w:val="24"/>
        </w:rPr>
        <w:t>募集期限届满或基金停止募集时，未能达到基金合同生效的条件，由基金管理人按规定办理退款等事宜。</w:t>
      </w:r>
    </w:p>
    <w:p w14:paraId="69BA77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3、基金托管专户的开立和管理</w:t>
      </w:r>
    </w:p>
    <w:p w14:paraId="318AE0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基金托管专户的名称:交银施罗德中债1-3年农发行债券指数证券投资基金</w:t>
      </w:r>
    </w:p>
    <w:p w14:paraId="37DE14F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托管账户开户行:中国光大银行深圳分行营业部</w:t>
      </w:r>
    </w:p>
    <w:p w14:paraId="5DD776C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基金的名义在其营业机构开设基金托管专户，保管基金的银行存款。本基金的一切货币收支活动，包括但不限于投资、支付赎回金额、支付基金收益、收取申购款，均需通过基金托管专户进行。</w:t>
      </w:r>
    </w:p>
    <w:p w14:paraId="2DF3FCA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0431003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（3）基金托管专户的开立和管理应符合有关法律法规以及银行业监督管理机构的其他有关规定。</w:t>
      </w:r>
    </w:p>
    <w:p w14:paraId="66E129F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6714FF7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2B9869C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11F5F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7B9101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0504B16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（5）若中国证监会或其他监管机构在本托管协议订立日之后允许基金从事其他投资品种的投资业务，涉及相关账户的开立、使用的，若无相关规定，</w:t>
      </w:r>
      <w:proofErr w:type="gramStart"/>
      <w:r>
        <w:rPr>
          <w:rFonts w:ascii="宋体" w:hAnsi="宋体"/>
          <w:sz w:val="24"/>
        </w:rPr>
        <w:t>则基金</w:t>
      </w:r>
      <w:proofErr w:type="gramEnd"/>
      <w:r>
        <w:rPr>
          <w:rFonts w:ascii="宋体" w:hAnsi="宋体"/>
          <w:sz w:val="24"/>
        </w:rPr>
        <w:t>托管人比照上述关于账户开立、使用的规定执行。</w:t>
      </w:r>
    </w:p>
    <w:p w14:paraId="2015918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5、银行间债券托管专户的开设和管理</w:t>
      </w:r>
    </w:p>
    <w:p w14:paraId="767BF5B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管理人负责以基金的名义申请并取得进入全国银行间同业拆借市场的交易资格，并代表基金进行交易；基金托管人负责以本基金的名义在银行间市场开设银行间债券市场债券托管账户、持有人账户和资金结算账户，并代表基金进行银行间市场债券的结算。基金管理人和基金托管人共同代表基金签订全国银行间债券市场债券回购主协议，基金托管人保管协议正本，基金管理人保存协议副本。</w:t>
      </w:r>
    </w:p>
    <w:p w14:paraId="0C8DCD3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370579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680CBC5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4BA26F9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14:paraId="319F8B6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50B309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w:t>
      </w:r>
      <w:r>
        <w:rPr>
          <w:rFonts w:ascii="宋体" w:hAnsi="宋体"/>
          <w:sz w:val="24"/>
        </w:rPr>
        <w:lastRenderedPageBreak/>
        <w:t>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14:paraId="7F8B666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对于无法取得二份以上正本的，基金管理人应向基金托管人提供与合同原件核对一致的加盖公章的合同传真件，未经双方协商一致，合同原件不得转移。</w:t>
      </w:r>
    </w:p>
    <w:p w14:paraId="21E40CA1"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（五）基金资产净值计算与复核</w:t>
      </w:r>
    </w:p>
    <w:p w14:paraId="44C551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60D5AE76" w14:textId="45D8A659"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价值。各类基金份额的基金份额净值是按照每个工作日闭市后，该类基金份额的基金资产净值除以当日该类基金份额的余额数量计算，精确到0.0001元，小数点后第五位四舍五入。</w:t>
      </w:r>
    </w:p>
    <w:p w14:paraId="0092DFD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1DA17E44" w14:textId="50C02F40"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基金管理人每个工作日对基金资产进行估值后，将</w:t>
      </w:r>
      <w:r w:rsidR="001210BD">
        <w:rPr>
          <w:rFonts w:ascii="宋体" w:hAnsi="宋体" w:hint="eastAsia"/>
          <w:color w:val="000000"/>
          <w:sz w:val="24"/>
          <w:szCs w:val="24"/>
        </w:rPr>
        <w:t>各类</w:t>
      </w:r>
      <w:r>
        <w:rPr>
          <w:rFonts w:ascii="宋体" w:hAnsi="宋体"/>
          <w:sz w:val="24"/>
        </w:rPr>
        <w:t>基金份额净值结果发送基金托管人，经基金托管人复核无误后，由基金管理人按规定对外公布，但基金管理人根据法律法规或基金合同的规定暂停估值时除外。</w:t>
      </w:r>
    </w:p>
    <w:p w14:paraId="5775BDA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AF9E242"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（六）基金份额持有人名册的保管</w:t>
      </w:r>
    </w:p>
    <w:p w14:paraId="3F69E8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15年。如不能妥善保管，则按相关法规承担责任。</w:t>
      </w:r>
    </w:p>
    <w:p w14:paraId="5D1001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4A165E5F"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14:paraId="572F38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498FE1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2FC50B7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3554CE69"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（八）托管协议的变更与终止</w:t>
      </w:r>
    </w:p>
    <w:p w14:paraId="117F5C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5E02CF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本协议双方当事人经协商一致，可以对协议进行修改。修改后的新协议，其内容不得与基金合同的规定有任何冲突。基金托管协议的变更报中国证监会备案。</w:t>
      </w:r>
    </w:p>
    <w:p w14:paraId="2CDA84B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56216CF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5B5D2FF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21051A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5BE7B36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62DAF339"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4B1CC5E" w14:textId="77777777" w:rsidR="001F702C" w:rsidRDefault="00BD18A1">
      <w:pPr>
        <w:pStyle w:val="1"/>
        <w:snapToGrid w:val="0"/>
        <w:spacing w:beforeLines="0" w:before="240" w:after="240"/>
        <w:rPr>
          <w:rFonts w:ascii="宋体" w:hAnsi="宋体"/>
          <w:szCs w:val="30"/>
        </w:rPr>
      </w:pPr>
      <w:bookmarkStart w:id="28" w:name="_Toc140049427"/>
      <w:bookmarkEnd w:id="27"/>
      <w:r>
        <w:rPr>
          <w:rFonts w:ascii="Times New Roman" w:hAnsi="Times New Roman"/>
          <w:sz w:val="30"/>
        </w:rPr>
        <w:lastRenderedPageBreak/>
        <w:t>二十三、对基金份额持有人的服务</w:t>
      </w:r>
      <w:bookmarkEnd w:id="28"/>
    </w:p>
    <w:p w14:paraId="33F9F2E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16E7C5E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54A02E2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20172B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w:t>
      </w:r>
      <w:proofErr w:type="gramStart"/>
      <w:r>
        <w:rPr>
          <w:rFonts w:ascii="宋体" w:hAnsi="宋体"/>
          <w:sz w:val="24"/>
        </w:rPr>
        <w:t>人客户</w:t>
      </w:r>
      <w:proofErr w:type="gramEnd"/>
      <w:r>
        <w:rPr>
          <w:rFonts w:ascii="宋体" w:hAnsi="宋体"/>
          <w:sz w:val="24"/>
        </w:rPr>
        <w:t>服务中心（400-700-5000，021-61055000）联系。</w:t>
      </w:r>
    </w:p>
    <w:p w14:paraId="33F10E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41CB4C92" w14:textId="76B9EF54"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转换等业务。通过网上直销交易平台办理本基金A类基金份额</w:t>
      </w:r>
      <w:r w:rsidR="003627CA">
        <w:rPr>
          <w:rFonts w:ascii="宋体" w:hAnsi="宋体" w:hint="eastAsia"/>
          <w:sz w:val="24"/>
        </w:rPr>
        <w:t>或</w:t>
      </w:r>
      <w:r w:rsidR="001210BD">
        <w:rPr>
          <w:rFonts w:ascii="宋体" w:hAnsi="宋体" w:hint="eastAsia"/>
          <w:sz w:val="24"/>
        </w:rPr>
        <w:t>D类基金份额</w:t>
      </w:r>
      <w:r>
        <w:rPr>
          <w:rFonts w:ascii="宋体" w:hAnsi="宋体"/>
          <w:sz w:val="24"/>
        </w:rPr>
        <w:t>的申购和定期定额投资业务的个人投资者将享受前端申购费率的优惠。具体优惠费率请参见公司网站列示的网上直销交易平台申购、定期定额投资费率表或相关公告。</w:t>
      </w:r>
    </w:p>
    <w:p w14:paraId="2F45503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基金网上直销交易平台已开通的银行卡及各银行卡交易金额限额请参阅本基金管理人网站。</w:t>
      </w:r>
    </w:p>
    <w:p w14:paraId="1122F2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14:paraId="04CE1045"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14:paraId="7052D3F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w:t>
      </w:r>
      <w:proofErr w:type="gramStart"/>
      <w:r>
        <w:rPr>
          <w:rFonts w:ascii="宋体" w:hAnsi="宋体"/>
          <w:sz w:val="24"/>
        </w:rPr>
        <w:t>人客户</w:t>
      </w:r>
      <w:proofErr w:type="gramEnd"/>
      <w:r>
        <w:rPr>
          <w:rFonts w:ascii="宋体" w:hAnsi="宋体"/>
          <w:sz w:val="24"/>
        </w:rPr>
        <w:t>服务电话（400-700-5000，021-61055000）或登录本基金管理人网站（www.fund001.com）进行咨询、查询。</w:t>
      </w:r>
    </w:p>
    <w:p w14:paraId="3499E38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sz w:val="24"/>
        </w:rPr>
        <w:t>人客户</w:t>
      </w:r>
      <w:proofErr w:type="gramEnd"/>
      <w:r>
        <w:rPr>
          <w:rFonts w:ascii="宋体" w:hAnsi="宋体"/>
          <w:sz w:val="24"/>
        </w:rPr>
        <w:t>服务电话修改基金查询密码。</w:t>
      </w:r>
    </w:p>
    <w:p w14:paraId="0EBB5C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w:t>
      </w:r>
      <w:proofErr w:type="gramStart"/>
      <w:r>
        <w:rPr>
          <w:rFonts w:ascii="宋体" w:hAnsi="宋体"/>
          <w:sz w:val="24"/>
        </w:rPr>
        <w:t>人客户</w:t>
      </w:r>
      <w:proofErr w:type="gramEnd"/>
      <w:r>
        <w:rPr>
          <w:rFonts w:ascii="宋体" w:hAnsi="宋体"/>
          <w:sz w:val="24"/>
        </w:rPr>
        <w:t>服务电话投诉直销机构的人员和服务。</w:t>
      </w:r>
    </w:p>
    <w:p w14:paraId="44E34637"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（四）基金转换业务</w:t>
      </w:r>
    </w:p>
    <w:p w14:paraId="5E09727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本基金已开通转换业务，具体实施方法请参见相关公告。</w:t>
      </w:r>
    </w:p>
    <w:p w14:paraId="2B79FC54"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（五）基金红利再投资</w:t>
      </w:r>
    </w:p>
    <w:p w14:paraId="01D1F0F8" w14:textId="5F7F328E"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基金份额进行再投资，若投资人不选择，本基金默认的收益分配方式是现金分红；基金份额持有人可对其持有的A类</w:t>
      </w:r>
      <w:r w:rsidR="00491E5D">
        <w:rPr>
          <w:rFonts w:ascii="宋体" w:hAnsi="宋体" w:hint="eastAsia"/>
          <w:sz w:val="24"/>
        </w:rPr>
        <w:t>基金份额</w:t>
      </w:r>
      <w:r w:rsidR="00DD554F">
        <w:rPr>
          <w:rFonts w:ascii="宋体" w:hAnsi="宋体" w:hint="eastAsia"/>
          <w:sz w:val="24"/>
        </w:rPr>
        <w:t>、</w:t>
      </w:r>
      <w:r>
        <w:rPr>
          <w:rFonts w:ascii="宋体" w:hAnsi="宋体"/>
          <w:sz w:val="24"/>
        </w:rPr>
        <w:t>C类基金份额</w:t>
      </w:r>
      <w:r w:rsidR="00491E5D">
        <w:rPr>
          <w:rFonts w:ascii="宋体" w:hAnsi="宋体" w:hint="eastAsia"/>
          <w:sz w:val="24"/>
        </w:rPr>
        <w:t>和D类基金份额</w:t>
      </w:r>
      <w:r>
        <w:rPr>
          <w:rFonts w:ascii="宋体" w:hAnsi="宋体"/>
          <w:sz w:val="24"/>
        </w:rPr>
        <w:t>分别选择不同的收益分配方式。再投资红利按红利再投日（即除息日）除息后的基金份额净值自动转为基金份额，并免收申购费用。</w:t>
      </w:r>
    </w:p>
    <w:p w14:paraId="6E161463"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（六）定期定额投资计划</w:t>
      </w:r>
    </w:p>
    <w:p w14:paraId="6018FFF1" w14:textId="3878BBD5"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本基金已开通A类基金份额</w:t>
      </w:r>
      <w:r w:rsidR="00E2532D">
        <w:rPr>
          <w:rFonts w:ascii="宋体" w:hAnsi="宋体" w:hint="eastAsia"/>
          <w:sz w:val="24"/>
        </w:rPr>
        <w:t>和D类基金份额</w:t>
      </w:r>
      <w:r>
        <w:rPr>
          <w:rFonts w:ascii="宋体" w:hAnsi="宋体"/>
          <w:sz w:val="24"/>
        </w:rPr>
        <w:t>的定期定额投资计划，具体实施方法请参见相关公告。</w:t>
      </w:r>
    </w:p>
    <w:p w14:paraId="3A1FB9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6E1E8A3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24A8ABE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5D7B3F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6F206FB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4A6A768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（七）如本招募说明书存在任何您/</w:t>
      </w:r>
      <w:proofErr w:type="gramStart"/>
      <w:r>
        <w:rPr>
          <w:rFonts w:ascii="宋体" w:hAnsi="宋体"/>
          <w:sz w:val="24"/>
        </w:rPr>
        <w:t>贵机构</w:t>
      </w:r>
      <w:proofErr w:type="gramEnd"/>
      <w:r>
        <w:rPr>
          <w:rFonts w:ascii="宋体" w:hAnsi="宋体"/>
          <w:sz w:val="24"/>
        </w:rPr>
        <w:t>无法理解的内容，请通过上述方式联系基金管理人。</w:t>
      </w:r>
      <w:proofErr w:type="gramStart"/>
      <w:r>
        <w:rPr>
          <w:rFonts w:ascii="宋体" w:hAnsi="宋体"/>
          <w:sz w:val="24"/>
        </w:rPr>
        <w:t>请确保</w:t>
      </w:r>
      <w:proofErr w:type="gramEnd"/>
      <w:r>
        <w:rPr>
          <w:rFonts w:ascii="宋体" w:hAnsi="宋体"/>
          <w:sz w:val="24"/>
        </w:rPr>
        <w:t>投资前，您/</w:t>
      </w:r>
      <w:proofErr w:type="gramStart"/>
      <w:r>
        <w:rPr>
          <w:rFonts w:ascii="宋体" w:hAnsi="宋体"/>
          <w:sz w:val="24"/>
        </w:rPr>
        <w:t>贵机构</w:t>
      </w:r>
      <w:proofErr w:type="gramEnd"/>
      <w:r>
        <w:rPr>
          <w:rFonts w:ascii="宋体" w:hAnsi="宋体"/>
          <w:sz w:val="24"/>
        </w:rPr>
        <w:t>已经全面理解了本招募说明书</w:t>
      </w:r>
    </w:p>
    <w:p w14:paraId="7152EC8A"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5496ADD" w14:textId="77777777" w:rsidR="001F702C" w:rsidRDefault="00BD18A1">
      <w:pPr>
        <w:pStyle w:val="1"/>
        <w:snapToGrid w:val="0"/>
        <w:spacing w:beforeLines="0" w:before="240" w:after="240"/>
        <w:rPr>
          <w:rFonts w:ascii="宋体" w:hAnsi="宋体"/>
          <w:szCs w:val="30"/>
        </w:rPr>
      </w:pPr>
      <w:bookmarkStart w:id="29" w:name="_Toc140049428"/>
      <w:r>
        <w:rPr>
          <w:rFonts w:ascii="Times New Roman" w:hAnsi="Times New Roman"/>
          <w:sz w:val="30"/>
        </w:rPr>
        <w:lastRenderedPageBreak/>
        <w:t>二十四、其他应披露事项</w:t>
      </w:r>
      <w:bookmarkEnd w:id="29"/>
    </w:p>
    <w:p w14:paraId="3C95562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48172D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F702C" w14:paraId="355DAB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34847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45CB3CE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20EC11B5"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1B70118A"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1F702C" w14:paraId="0C5361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7ED6F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E08B39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交银施罗德基金管理有限公司关于增加广发证券股份有限公司为旗下基金的销售机构的公告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EDE921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B97DF0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2022-07-08</w:t>
            </w:r>
          </w:p>
        </w:tc>
      </w:tr>
      <w:tr w:rsidR="001F702C" w14:paraId="1A2C80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D7707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5030CD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10FFB7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D2E743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2022-07-14</w:t>
            </w:r>
          </w:p>
        </w:tc>
      </w:tr>
      <w:tr w:rsidR="001F702C" w14:paraId="77A6BD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5BBB8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234F37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46C1D0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2A178DE"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2022-07-14</w:t>
            </w:r>
          </w:p>
        </w:tc>
      </w:tr>
      <w:tr w:rsidR="001F702C" w14:paraId="48B85C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CA7E8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D653D7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FF4B79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A339A6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2022-07-14</w:t>
            </w:r>
          </w:p>
        </w:tc>
      </w:tr>
      <w:tr w:rsidR="001F702C" w14:paraId="1FACAD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D1F0A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80AEB0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5E623C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8F7A61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2022-07-15</w:t>
            </w:r>
          </w:p>
        </w:tc>
      </w:tr>
      <w:tr w:rsidR="001F702C" w14:paraId="77A860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8546D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9FAD08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61F075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F6959D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1F702C" w14:paraId="7F6967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90AE7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6814C3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5955BD0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941E13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1F702C" w14:paraId="3573A1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A32B6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3C5B60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62E45A8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D717A7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1F702C" w14:paraId="5F8525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0EA5F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D02DEE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14:paraId="322F529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C811811"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1F702C" w14:paraId="404DD1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FCC43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28FF6F1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w:t>
            </w:r>
            <w:proofErr w:type="gramStart"/>
            <w:r>
              <w:rPr>
                <w:rFonts w:ascii="Times New Roman" w:hAnsi="Times New Roman"/>
                <w:color w:val="000000"/>
                <w:kern w:val="0"/>
                <w:sz w:val="25"/>
                <w:szCs w:val="24"/>
              </w:rPr>
              <w:t>银</w:t>
            </w:r>
            <w:proofErr w:type="gramEnd"/>
            <w:r>
              <w:rPr>
                <w:rFonts w:ascii="Times New Roman" w:hAnsi="Times New Roman"/>
                <w:color w:val="000000"/>
                <w:kern w:val="0"/>
                <w:sz w:val="25"/>
                <w:szCs w:val="24"/>
              </w:rPr>
              <w:t>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6A5545F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4698CDC"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2022-09-21</w:t>
            </w:r>
          </w:p>
        </w:tc>
      </w:tr>
      <w:tr w:rsidR="001F702C" w14:paraId="64292B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65461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3C3E6C0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年农发行债券指数证券投资基金于</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假期前暂停及节后恢复大额申购（转换转入、定期定额投资）业务的公告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41C3C8B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EF83C2C"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2022-09-29</w:t>
            </w:r>
          </w:p>
        </w:tc>
      </w:tr>
      <w:tr w:rsidR="001F702C" w14:paraId="45838E7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66F9A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7B8475D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3AAF60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0AD5ADC"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1F702C" w14:paraId="5CCB32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FDAF2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3935DE1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w:t>
            </w:r>
            <w:proofErr w:type="gramStart"/>
            <w:r>
              <w:rPr>
                <w:rFonts w:ascii="Times New Roman" w:hAnsi="Times New Roman"/>
                <w:color w:val="000000"/>
                <w:kern w:val="0"/>
                <w:sz w:val="25"/>
                <w:szCs w:val="24"/>
              </w:rPr>
              <w:t>银</w:t>
            </w:r>
            <w:proofErr w:type="gramEnd"/>
            <w:r>
              <w:rPr>
                <w:rFonts w:ascii="Times New Roman" w:hAnsi="Times New Roman"/>
                <w:color w:val="000000"/>
                <w:kern w:val="0"/>
                <w:sz w:val="25"/>
                <w:szCs w:val="24"/>
              </w:rPr>
              <w:t>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6295C72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707441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2022-11-17</w:t>
            </w:r>
          </w:p>
        </w:tc>
      </w:tr>
      <w:tr w:rsidR="001F702C" w14:paraId="721B298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6C322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23CE41B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交银施罗德基金管理有限公司关于增加蚂蚁（杭州）基金销售有限公司为旗下基金销售机构的公告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ABBE11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4B6565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2022-11-30</w:t>
            </w:r>
          </w:p>
        </w:tc>
      </w:tr>
      <w:tr w:rsidR="001F702C" w14:paraId="2C427D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15561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895A5B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1003887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2972A6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2022-12-19</w:t>
            </w:r>
          </w:p>
        </w:tc>
      </w:tr>
      <w:tr w:rsidR="001F702C" w14:paraId="7E9690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E2ABC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4BE5934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414F6F9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F78F688"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2022-12-21</w:t>
            </w:r>
          </w:p>
        </w:tc>
      </w:tr>
      <w:tr w:rsidR="001F702C" w14:paraId="1745DD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3FE60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3B690EB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w:t>
            </w:r>
            <w:proofErr w:type="gramStart"/>
            <w:r>
              <w:rPr>
                <w:rFonts w:ascii="Times New Roman" w:hAnsi="Times New Roman"/>
                <w:color w:val="000000"/>
                <w:kern w:val="0"/>
                <w:sz w:val="25"/>
                <w:szCs w:val="24"/>
              </w:rPr>
              <w:t>银</w:t>
            </w:r>
            <w:proofErr w:type="gramEnd"/>
            <w:r>
              <w:rPr>
                <w:rFonts w:ascii="Times New Roman" w:hAnsi="Times New Roman"/>
                <w:color w:val="000000"/>
                <w:kern w:val="0"/>
                <w:sz w:val="25"/>
                <w:szCs w:val="24"/>
              </w:rPr>
              <w:t>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48671AF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6813E75"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2023-01-09</w:t>
            </w:r>
          </w:p>
        </w:tc>
      </w:tr>
      <w:tr w:rsidR="001F702C" w14:paraId="05DFE46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401D0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2CA6E65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19E086F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5A7151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1F702C" w14:paraId="615B0E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49F1D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24D0E98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D9BC11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B4AD85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1F702C" w14:paraId="7E06F3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5A403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w:t>
            </w:r>
          </w:p>
        </w:tc>
        <w:tc>
          <w:tcPr>
            <w:tcW w:w="750" w:type="pct"/>
            <w:tcBorders>
              <w:top w:val="single" w:sz="4" w:space="0" w:color="auto"/>
              <w:left w:val="single" w:sz="4" w:space="0" w:color="auto"/>
              <w:bottom w:val="single" w:sz="4" w:space="0" w:color="auto"/>
              <w:right w:val="single" w:sz="4" w:space="0" w:color="auto"/>
            </w:tcBorders>
            <w:vAlign w:val="center"/>
          </w:tcPr>
          <w:p w14:paraId="0A5E956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996BAB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6866CC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2023-02-17</w:t>
            </w:r>
          </w:p>
        </w:tc>
      </w:tr>
      <w:tr w:rsidR="001F702C" w14:paraId="7DB3C4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AF58A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40E9270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4B8B3D7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7C0E23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1F702C" w14:paraId="2FFD71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8759B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078A9AA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B5CB1C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E1D9581"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1F702C" w14:paraId="64B404B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EF442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7E15543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交银施罗德基金管理有限公司关于增加嘉实财富管理有限公司为旗下基金销售机构的公告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34CC4F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32CB1F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2023-04-25</w:t>
            </w:r>
          </w:p>
        </w:tc>
      </w:tr>
      <w:tr w:rsidR="001F702C" w14:paraId="0B76887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26560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7EBEF7B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7F32625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AF3F12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2023-05-19</w:t>
            </w:r>
          </w:p>
        </w:tc>
      </w:tr>
      <w:tr w:rsidR="001F702C" w14:paraId="754E19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5EBC6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166FE1C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5D35D8B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5C72E7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2023-05-23</w:t>
            </w:r>
          </w:p>
        </w:tc>
      </w:tr>
      <w:tr w:rsidR="001F702C" w14:paraId="247E14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3F575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29063DB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交银施罗德基金管理有限公司关于增加华西证券股份有限公司为旗下基金的销售机构的公告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F7A1CD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AB09CD9"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2023-06-07</w:t>
            </w:r>
          </w:p>
        </w:tc>
      </w:tr>
      <w:tr w:rsidR="001F702C" w14:paraId="08512B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ED68D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15DB574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经理变更的公告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1AAFCC2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536F49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2023-06-09</w:t>
            </w:r>
          </w:p>
        </w:tc>
      </w:tr>
      <w:tr w:rsidR="001F702C" w14:paraId="477786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0667B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14:paraId="69C6A53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4BCE38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70B25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2023-06-14</w:t>
            </w:r>
          </w:p>
        </w:tc>
      </w:tr>
      <w:tr w:rsidR="001F702C" w14:paraId="19AC50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6472B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5B920A6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CA5300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82FB7D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2023-06-14</w:t>
            </w:r>
          </w:p>
        </w:tc>
      </w:tr>
      <w:tr w:rsidR="001F702C" w14:paraId="139349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A9792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30</w:t>
            </w:r>
          </w:p>
        </w:tc>
        <w:tc>
          <w:tcPr>
            <w:tcW w:w="750" w:type="pct"/>
            <w:tcBorders>
              <w:top w:val="single" w:sz="4" w:space="0" w:color="auto"/>
              <w:left w:val="single" w:sz="4" w:space="0" w:color="auto"/>
              <w:bottom w:val="single" w:sz="4" w:space="0" w:color="auto"/>
              <w:right w:val="single" w:sz="4" w:space="0" w:color="auto"/>
            </w:tcBorders>
            <w:vAlign w:val="center"/>
          </w:tcPr>
          <w:p w14:paraId="3A9A8E7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65819E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CE6F6B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2023-06-14</w:t>
            </w:r>
          </w:p>
        </w:tc>
      </w:tr>
      <w:tr w:rsidR="001F702C" w14:paraId="4E1BC1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6F2C9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14:paraId="080E8A1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交银施罗德基金管理有限公司关于增加珠海</w:t>
            </w:r>
            <w:proofErr w:type="gramStart"/>
            <w:r>
              <w:rPr>
                <w:rFonts w:ascii="Times New Roman" w:hAnsi="Times New Roman"/>
                <w:color w:val="000000"/>
                <w:kern w:val="0"/>
                <w:sz w:val="25"/>
                <w:szCs w:val="24"/>
              </w:rPr>
              <w:t>盈米基金</w:t>
            </w:r>
            <w:proofErr w:type="gramEnd"/>
            <w:r>
              <w:rPr>
                <w:rFonts w:ascii="Times New Roman" w:hAnsi="Times New Roman"/>
                <w:color w:val="000000"/>
                <w:kern w:val="0"/>
                <w:sz w:val="25"/>
                <w:szCs w:val="24"/>
              </w:rPr>
              <w:t>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0D4DAD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0DC4A5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2023-06-15</w:t>
            </w:r>
          </w:p>
        </w:tc>
      </w:tr>
      <w:tr w:rsidR="001F702C" w14:paraId="31C8EF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DEB8A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14:paraId="105F207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交银施罗德基金管理有限公司关于增加博时财富基金销售有限公司为旗下基金销售机构的公告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C6C118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8E91B4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bl>
    <w:p w14:paraId="04941BA2"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F4BC97" w14:textId="77777777" w:rsidR="001F702C" w:rsidRDefault="00BD18A1">
      <w:pPr>
        <w:pStyle w:val="1"/>
        <w:snapToGrid w:val="0"/>
        <w:spacing w:beforeLines="0" w:before="240" w:after="240"/>
        <w:rPr>
          <w:rFonts w:ascii="宋体" w:hAnsi="宋体"/>
          <w:szCs w:val="30"/>
        </w:rPr>
      </w:pPr>
      <w:bookmarkStart w:id="30" w:name="_Toc140049429"/>
      <w:r>
        <w:rPr>
          <w:rFonts w:ascii="Times New Roman" w:hAnsi="Times New Roman"/>
          <w:sz w:val="30"/>
        </w:rPr>
        <w:lastRenderedPageBreak/>
        <w:t>二十五、招募说明书的存放及查阅方式</w:t>
      </w:r>
      <w:bookmarkEnd w:id="30"/>
    </w:p>
    <w:p w14:paraId="07F3C3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2D9352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07CD87C6"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2DE738B" w14:textId="77777777" w:rsidR="001F702C" w:rsidRDefault="00BD18A1">
      <w:pPr>
        <w:pStyle w:val="1"/>
        <w:snapToGrid w:val="0"/>
        <w:spacing w:beforeLines="0" w:before="240" w:after="240"/>
        <w:rPr>
          <w:rFonts w:ascii="宋体" w:hAnsi="宋体"/>
          <w:szCs w:val="30"/>
        </w:rPr>
      </w:pPr>
      <w:bookmarkStart w:id="31" w:name="_Toc140049430"/>
      <w:r>
        <w:rPr>
          <w:rFonts w:ascii="Times New Roman" w:hAnsi="Times New Roman"/>
          <w:sz w:val="30"/>
        </w:rPr>
        <w:lastRenderedPageBreak/>
        <w:t>二十六、备查文件</w:t>
      </w:r>
      <w:bookmarkEnd w:id="31"/>
    </w:p>
    <w:p w14:paraId="5B0399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342B573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（一）中国证监会准予交银施罗德中债1-3年农发行债券指数证券投资基金募集注册的文件</w:t>
      </w:r>
    </w:p>
    <w:p w14:paraId="7DBCC8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（二）《交银施罗德中债1-3年农发行债券指数证券投资基金基金合同》</w:t>
      </w:r>
    </w:p>
    <w:p w14:paraId="4E5FA8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（三）《交银施罗德中债1-3年农发行债券指数证券投资基金托管协议》</w:t>
      </w:r>
    </w:p>
    <w:p w14:paraId="46D4B9F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69EE5F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78C3D27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（六）关于申请募集注册交银施罗德中债1-3年农发行债券指数证券投资基金的法律意见书</w:t>
      </w:r>
    </w:p>
    <w:sectPr w:rsidR="001F702C">
      <w:footerReference w:type="default" r:id="rId16"/>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66BFE" w16cid:durableId="2913B360"/>
  <w16cid:commentId w16cid:paraId="20C04E68" w16cid:durableId="2913B28D"/>
  <w16cid:commentId w16cid:paraId="7434B583" w16cid:durableId="2913B44B"/>
  <w16cid:commentId w16cid:paraId="6DB5A717" w16cid:durableId="29159084"/>
  <w16cid:commentId w16cid:paraId="281DACC5" w16cid:durableId="29159237"/>
  <w16cid:commentId w16cid:paraId="22402AFE" w16cid:durableId="29147A46"/>
  <w16cid:commentId w16cid:paraId="5FE94E9D" w16cid:durableId="291479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794EE" w14:textId="77777777" w:rsidR="00E56D57" w:rsidRDefault="00E56D57">
      <w:r>
        <w:separator/>
      </w:r>
    </w:p>
  </w:endnote>
  <w:endnote w:type="continuationSeparator" w:id="0">
    <w:p w14:paraId="09C93F40" w14:textId="77777777" w:rsidR="00E56D57" w:rsidRDefault="00E5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4D2B" w14:textId="7AB1A464" w:rsidR="005C42C4" w:rsidRDefault="005C42C4">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1B8E28C8" wp14:editId="102BC858">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2834F" w14:textId="07F3994B" w:rsidR="005C42C4" w:rsidRDefault="005C42C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607B6">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E28C8"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0F22834F" w14:textId="07F3994B" w:rsidR="005C42C4" w:rsidRDefault="005C42C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607B6">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5D8B" w14:textId="76E6135C" w:rsidR="005C42C4" w:rsidRDefault="005C42C4">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49EFC9EE" wp14:editId="53622303">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1C14" w14:textId="3C9088F1" w:rsidR="005C42C4" w:rsidRDefault="005C42C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607B6">
                            <w:rPr>
                              <w:rFonts w:ascii="Times New Roman" w:hAnsi="Times New Roman"/>
                              <w:noProof/>
                              <w:kern w:val="0"/>
                              <w:sz w:val="18"/>
                              <w:szCs w:val="18"/>
                            </w:rPr>
                            <w:t>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FC9E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32C21C14" w14:textId="3C9088F1" w:rsidR="005C42C4" w:rsidRDefault="005C42C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607B6">
                      <w:rPr>
                        <w:rFonts w:ascii="Times New Roman" w:hAnsi="Times New Roman"/>
                        <w:noProof/>
                        <w:kern w:val="0"/>
                        <w:sz w:val="18"/>
                        <w:szCs w:val="18"/>
                      </w:rPr>
                      <w:t>5</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1EC9A" w14:textId="77777777" w:rsidR="00E56D57" w:rsidRDefault="00E56D57">
      <w:r>
        <w:separator/>
      </w:r>
    </w:p>
  </w:footnote>
  <w:footnote w:type="continuationSeparator" w:id="0">
    <w:p w14:paraId="5C5726E8" w14:textId="77777777" w:rsidR="00E56D57" w:rsidRDefault="00E56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D4126" w14:textId="3FF4DD56" w:rsidR="005C42C4" w:rsidRDefault="005C42C4">
    <w:pPr>
      <w:pStyle w:val="a3"/>
      <w:jc w:val="right"/>
    </w:pPr>
    <w:r>
      <w:rPr>
        <w:noProof/>
      </w:rPr>
      <w:drawing>
        <wp:anchor distT="0" distB="0" distL="114300" distR="114300" simplePos="0" relativeHeight="251655680" behindDoc="0" locked="0" layoutInCell="1" allowOverlap="1" wp14:anchorId="56266F71" wp14:editId="1F2094B0">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3993EC0" w14:textId="77777777" w:rsidR="005C42C4" w:rsidRDefault="005C42C4">
    <w:pPr>
      <w:pStyle w:val="a3"/>
      <w:jc w:val="right"/>
      <w:rPr>
        <w:rFonts w:ascii="宋体" w:hAnsi="宋体"/>
      </w:rPr>
    </w:pPr>
    <w:r>
      <w:rPr>
        <w:rFonts w:ascii="宋体" w:hAnsi="宋体" w:hint="eastAsia"/>
      </w:rPr>
      <w:t>交银施罗德中债1-3年农发行债券指数证券投资基金(更新)招募说明书(2023年第2号)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10E55" w14:textId="77777777" w:rsidR="005C42C4" w:rsidRDefault="005C42C4">
    <w:pPr>
      <w:pStyle w:val="11"/>
      <w:jc w:val="right"/>
    </w:pPr>
  </w:p>
  <w:p w14:paraId="3EFFBB08" w14:textId="77777777" w:rsidR="005C42C4" w:rsidRDefault="005C42C4">
    <w:pPr>
      <w:pStyle w:val="11"/>
      <w:jc w:val="right"/>
    </w:pPr>
  </w:p>
  <w:p w14:paraId="73B6E7D0" w14:textId="77777777" w:rsidR="005C42C4" w:rsidRDefault="005C42C4">
    <w:pPr>
      <w:pStyle w:val="a3"/>
      <w:jc w:val="right"/>
    </w:pPr>
  </w:p>
  <w:p w14:paraId="4AE80275" w14:textId="32AD8789" w:rsidR="005C42C4" w:rsidRDefault="005C42C4">
    <w:pPr>
      <w:pStyle w:val="a3"/>
      <w:jc w:val="right"/>
    </w:pPr>
    <w:r>
      <w:rPr>
        <w:noProof/>
      </w:rPr>
      <w:drawing>
        <wp:anchor distT="0" distB="0" distL="114300" distR="114300" simplePos="0" relativeHeight="251656704" behindDoc="0" locked="0" layoutInCell="1" allowOverlap="1" wp14:anchorId="37BF3542" wp14:editId="4073B9D9">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1B331EC" w14:textId="16076F62" w:rsidR="005C42C4" w:rsidRDefault="005C42C4">
    <w:pPr>
      <w:pStyle w:val="a3"/>
      <w:jc w:val="right"/>
      <w:rPr>
        <w:rFonts w:ascii="宋体" w:hAnsi="宋体"/>
      </w:rPr>
    </w:pPr>
    <w:r>
      <w:rPr>
        <w:rFonts w:ascii="宋体" w:hAnsi="宋体" w:hint="eastAsia"/>
      </w:rPr>
      <w:t>交银施罗德中债1-3年农发行债券指数证券投资基金(更新)招募说明书(202</w:t>
    </w:r>
    <w:r>
      <w:rPr>
        <w:rFonts w:ascii="宋体" w:hAnsi="宋体"/>
      </w:rPr>
      <w:t>3</w:t>
    </w:r>
    <w:r>
      <w:rPr>
        <w:rFonts w:ascii="宋体" w:hAnsi="宋体" w:hint="eastAsia"/>
      </w:rPr>
      <w:t>年第</w:t>
    </w:r>
    <w:r>
      <w:rPr>
        <w:rFonts w:ascii="宋体" w:hAnsi="宋体"/>
      </w:rPr>
      <w:t>3</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1E67B" w14:textId="77777777" w:rsidR="005C42C4" w:rsidRDefault="005C42C4">
    <w:pPr>
      <w:pStyle w:val="a3"/>
      <w:jc w:val="right"/>
    </w:pPr>
  </w:p>
  <w:p w14:paraId="3F33C3B7" w14:textId="77777777" w:rsidR="005C42C4" w:rsidRDefault="005C42C4">
    <w:pPr>
      <w:pStyle w:val="a3"/>
      <w:jc w:val="right"/>
    </w:pPr>
  </w:p>
  <w:p w14:paraId="3FE824D0" w14:textId="77777777" w:rsidR="005C42C4" w:rsidRDefault="005C42C4">
    <w:pPr>
      <w:pStyle w:val="a3"/>
      <w:jc w:val="right"/>
    </w:pPr>
  </w:p>
  <w:p w14:paraId="47D91787" w14:textId="2584A0F6" w:rsidR="005C42C4" w:rsidRDefault="005C42C4">
    <w:pPr>
      <w:pStyle w:val="a3"/>
      <w:jc w:val="right"/>
    </w:pPr>
    <w:r>
      <w:rPr>
        <w:noProof/>
      </w:rPr>
      <w:drawing>
        <wp:anchor distT="0" distB="0" distL="114300" distR="114300" simplePos="0" relativeHeight="251657728" behindDoc="0" locked="0" layoutInCell="1" allowOverlap="1" wp14:anchorId="3D6AEC16" wp14:editId="57E273E3">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E687952" w14:textId="1D2BB645" w:rsidR="005C42C4" w:rsidRDefault="005C42C4">
    <w:pPr>
      <w:pStyle w:val="a3"/>
      <w:jc w:val="right"/>
      <w:rPr>
        <w:rFonts w:ascii="宋体" w:hAnsi="宋体"/>
      </w:rPr>
    </w:pPr>
    <w:r>
      <w:rPr>
        <w:rFonts w:ascii="宋体" w:hAnsi="宋体" w:hint="eastAsia"/>
      </w:rPr>
      <w:t>交银施罗德中债1-3年农发行债券指数证券投资基金(更新)招募说明书(202</w:t>
    </w:r>
    <w:r>
      <w:rPr>
        <w:rFonts w:ascii="宋体" w:hAnsi="宋体"/>
      </w:rPr>
      <w:t>3</w:t>
    </w:r>
    <w:r>
      <w:rPr>
        <w:rFonts w:ascii="宋体" w:hAnsi="宋体" w:hint="eastAsia"/>
      </w:rPr>
      <w:t>年第</w:t>
    </w:r>
    <w:r>
      <w:rPr>
        <w:rFonts w:ascii="宋体" w:hAnsi="宋体"/>
      </w:rPr>
      <w:t>3</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2090"/>
    <w:rsid w:val="00003EC9"/>
    <w:rsid w:val="0000560A"/>
    <w:rsid w:val="0001266E"/>
    <w:rsid w:val="00017996"/>
    <w:rsid w:val="00026A29"/>
    <w:rsid w:val="00026D00"/>
    <w:rsid w:val="00027C73"/>
    <w:rsid w:val="00030964"/>
    <w:rsid w:val="00030F3E"/>
    <w:rsid w:val="0003377F"/>
    <w:rsid w:val="000368A2"/>
    <w:rsid w:val="00043812"/>
    <w:rsid w:val="00044AFD"/>
    <w:rsid w:val="00044E2C"/>
    <w:rsid w:val="000457B7"/>
    <w:rsid w:val="0004614E"/>
    <w:rsid w:val="00046212"/>
    <w:rsid w:val="000500B8"/>
    <w:rsid w:val="000506ED"/>
    <w:rsid w:val="000543D5"/>
    <w:rsid w:val="000544F9"/>
    <w:rsid w:val="00055792"/>
    <w:rsid w:val="00055F52"/>
    <w:rsid w:val="00061C0D"/>
    <w:rsid w:val="0006212F"/>
    <w:rsid w:val="0006220F"/>
    <w:rsid w:val="000647B8"/>
    <w:rsid w:val="0006506B"/>
    <w:rsid w:val="0006551A"/>
    <w:rsid w:val="000700AC"/>
    <w:rsid w:val="000705A6"/>
    <w:rsid w:val="00071822"/>
    <w:rsid w:val="00074EDC"/>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28B3"/>
    <w:rsid w:val="000A352B"/>
    <w:rsid w:val="000B0F8B"/>
    <w:rsid w:val="000B359E"/>
    <w:rsid w:val="000B3894"/>
    <w:rsid w:val="000B4E04"/>
    <w:rsid w:val="000B7F02"/>
    <w:rsid w:val="000C1E1E"/>
    <w:rsid w:val="000C38F1"/>
    <w:rsid w:val="000C5E77"/>
    <w:rsid w:val="000C68E9"/>
    <w:rsid w:val="000C6E28"/>
    <w:rsid w:val="000C7D97"/>
    <w:rsid w:val="000D0ADE"/>
    <w:rsid w:val="000D179E"/>
    <w:rsid w:val="000D66DC"/>
    <w:rsid w:val="000E1F3B"/>
    <w:rsid w:val="000E3AB4"/>
    <w:rsid w:val="000E7544"/>
    <w:rsid w:val="000F0C17"/>
    <w:rsid w:val="000F1E29"/>
    <w:rsid w:val="000F25D7"/>
    <w:rsid w:val="000F2904"/>
    <w:rsid w:val="000F34A1"/>
    <w:rsid w:val="000F50D1"/>
    <w:rsid w:val="000F5226"/>
    <w:rsid w:val="000F5583"/>
    <w:rsid w:val="000F561F"/>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10BD"/>
    <w:rsid w:val="001219FF"/>
    <w:rsid w:val="001240EB"/>
    <w:rsid w:val="0012443D"/>
    <w:rsid w:val="00127053"/>
    <w:rsid w:val="0013182D"/>
    <w:rsid w:val="00131CEE"/>
    <w:rsid w:val="0013315B"/>
    <w:rsid w:val="00134FCF"/>
    <w:rsid w:val="00135AD8"/>
    <w:rsid w:val="0013630D"/>
    <w:rsid w:val="001367F2"/>
    <w:rsid w:val="001412E8"/>
    <w:rsid w:val="0014250F"/>
    <w:rsid w:val="001448A7"/>
    <w:rsid w:val="00144985"/>
    <w:rsid w:val="00144B52"/>
    <w:rsid w:val="00153D66"/>
    <w:rsid w:val="0015725E"/>
    <w:rsid w:val="001607B6"/>
    <w:rsid w:val="00162F69"/>
    <w:rsid w:val="00163C52"/>
    <w:rsid w:val="00164946"/>
    <w:rsid w:val="00164B18"/>
    <w:rsid w:val="001652D3"/>
    <w:rsid w:val="00165756"/>
    <w:rsid w:val="001672A4"/>
    <w:rsid w:val="001706D5"/>
    <w:rsid w:val="00171AF4"/>
    <w:rsid w:val="0017362C"/>
    <w:rsid w:val="0017392F"/>
    <w:rsid w:val="00174E16"/>
    <w:rsid w:val="0018184C"/>
    <w:rsid w:val="0018198F"/>
    <w:rsid w:val="00181C62"/>
    <w:rsid w:val="00183642"/>
    <w:rsid w:val="001860C4"/>
    <w:rsid w:val="00186FAE"/>
    <w:rsid w:val="001917D4"/>
    <w:rsid w:val="001917FC"/>
    <w:rsid w:val="0019192F"/>
    <w:rsid w:val="00191D7F"/>
    <w:rsid w:val="001925A2"/>
    <w:rsid w:val="0019451E"/>
    <w:rsid w:val="00195218"/>
    <w:rsid w:val="0019634F"/>
    <w:rsid w:val="00197A55"/>
    <w:rsid w:val="00197F7E"/>
    <w:rsid w:val="001A1623"/>
    <w:rsid w:val="001A2263"/>
    <w:rsid w:val="001A3A72"/>
    <w:rsid w:val="001B4531"/>
    <w:rsid w:val="001B5BDB"/>
    <w:rsid w:val="001B75F9"/>
    <w:rsid w:val="001C2B9E"/>
    <w:rsid w:val="001C38DA"/>
    <w:rsid w:val="001C7A48"/>
    <w:rsid w:val="001C7C12"/>
    <w:rsid w:val="001D058C"/>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3C2F"/>
    <w:rsid w:val="001F4DEA"/>
    <w:rsid w:val="001F4ECB"/>
    <w:rsid w:val="001F60AE"/>
    <w:rsid w:val="001F702C"/>
    <w:rsid w:val="001F7353"/>
    <w:rsid w:val="00201F27"/>
    <w:rsid w:val="00201F9B"/>
    <w:rsid w:val="00203597"/>
    <w:rsid w:val="002076AC"/>
    <w:rsid w:val="00211BAE"/>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2DF8"/>
    <w:rsid w:val="002833C9"/>
    <w:rsid w:val="00285E5C"/>
    <w:rsid w:val="00290B63"/>
    <w:rsid w:val="00290E73"/>
    <w:rsid w:val="00293415"/>
    <w:rsid w:val="00294689"/>
    <w:rsid w:val="0029539A"/>
    <w:rsid w:val="00295554"/>
    <w:rsid w:val="00297EC4"/>
    <w:rsid w:val="002A1A82"/>
    <w:rsid w:val="002A2FB0"/>
    <w:rsid w:val="002A4D32"/>
    <w:rsid w:val="002A5F87"/>
    <w:rsid w:val="002B017B"/>
    <w:rsid w:val="002B0DC0"/>
    <w:rsid w:val="002B2664"/>
    <w:rsid w:val="002B4E21"/>
    <w:rsid w:val="002B5000"/>
    <w:rsid w:val="002B6CC1"/>
    <w:rsid w:val="002B78AA"/>
    <w:rsid w:val="002C383C"/>
    <w:rsid w:val="002C3ED8"/>
    <w:rsid w:val="002D15BB"/>
    <w:rsid w:val="002D1C13"/>
    <w:rsid w:val="002D3109"/>
    <w:rsid w:val="002D378C"/>
    <w:rsid w:val="002D5702"/>
    <w:rsid w:val="002D6413"/>
    <w:rsid w:val="002D6F14"/>
    <w:rsid w:val="002D74D5"/>
    <w:rsid w:val="002E3800"/>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06B5A"/>
    <w:rsid w:val="003117B9"/>
    <w:rsid w:val="00311C71"/>
    <w:rsid w:val="00313073"/>
    <w:rsid w:val="0031336C"/>
    <w:rsid w:val="0031339F"/>
    <w:rsid w:val="00313F3E"/>
    <w:rsid w:val="00323F65"/>
    <w:rsid w:val="00325884"/>
    <w:rsid w:val="00326147"/>
    <w:rsid w:val="0033051E"/>
    <w:rsid w:val="00332B13"/>
    <w:rsid w:val="0033401D"/>
    <w:rsid w:val="00334456"/>
    <w:rsid w:val="00336150"/>
    <w:rsid w:val="00336E99"/>
    <w:rsid w:val="00337FC7"/>
    <w:rsid w:val="00342417"/>
    <w:rsid w:val="003454EC"/>
    <w:rsid w:val="00346537"/>
    <w:rsid w:val="00347B94"/>
    <w:rsid w:val="003527DD"/>
    <w:rsid w:val="003547A2"/>
    <w:rsid w:val="00355171"/>
    <w:rsid w:val="00362702"/>
    <w:rsid w:val="003627CA"/>
    <w:rsid w:val="00362A37"/>
    <w:rsid w:val="00362CF0"/>
    <w:rsid w:val="00362D5D"/>
    <w:rsid w:val="00364AC5"/>
    <w:rsid w:val="00365D15"/>
    <w:rsid w:val="0036702F"/>
    <w:rsid w:val="00367445"/>
    <w:rsid w:val="00367F3A"/>
    <w:rsid w:val="00370BDF"/>
    <w:rsid w:val="00372FA2"/>
    <w:rsid w:val="003735E9"/>
    <w:rsid w:val="003739FE"/>
    <w:rsid w:val="0037431D"/>
    <w:rsid w:val="003749D5"/>
    <w:rsid w:val="00376874"/>
    <w:rsid w:val="0038254F"/>
    <w:rsid w:val="003828EC"/>
    <w:rsid w:val="00382CBA"/>
    <w:rsid w:val="00383488"/>
    <w:rsid w:val="003843BB"/>
    <w:rsid w:val="00384D70"/>
    <w:rsid w:val="003859DA"/>
    <w:rsid w:val="00386153"/>
    <w:rsid w:val="00386BA7"/>
    <w:rsid w:val="00390B48"/>
    <w:rsid w:val="0039213A"/>
    <w:rsid w:val="00393BF6"/>
    <w:rsid w:val="00395D4D"/>
    <w:rsid w:val="00396233"/>
    <w:rsid w:val="00396D64"/>
    <w:rsid w:val="00397A06"/>
    <w:rsid w:val="003A0FAF"/>
    <w:rsid w:val="003A3072"/>
    <w:rsid w:val="003A38BD"/>
    <w:rsid w:val="003A38C8"/>
    <w:rsid w:val="003A6045"/>
    <w:rsid w:val="003A72D0"/>
    <w:rsid w:val="003A7C28"/>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D6F23"/>
    <w:rsid w:val="003E0800"/>
    <w:rsid w:val="003E1584"/>
    <w:rsid w:val="003E33DE"/>
    <w:rsid w:val="003E3593"/>
    <w:rsid w:val="003E585F"/>
    <w:rsid w:val="003E6049"/>
    <w:rsid w:val="003E67F9"/>
    <w:rsid w:val="003E7663"/>
    <w:rsid w:val="003F0D27"/>
    <w:rsid w:val="003F1C98"/>
    <w:rsid w:val="003F317C"/>
    <w:rsid w:val="003F3DD0"/>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37B56"/>
    <w:rsid w:val="00444FB7"/>
    <w:rsid w:val="00450674"/>
    <w:rsid w:val="004533FE"/>
    <w:rsid w:val="00454715"/>
    <w:rsid w:val="00454D80"/>
    <w:rsid w:val="00456785"/>
    <w:rsid w:val="00462EB0"/>
    <w:rsid w:val="004635B8"/>
    <w:rsid w:val="00463933"/>
    <w:rsid w:val="00464346"/>
    <w:rsid w:val="00470325"/>
    <w:rsid w:val="00470F42"/>
    <w:rsid w:val="00471605"/>
    <w:rsid w:val="0047297A"/>
    <w:rsid w:val="00474709"/>
    <w:rsid w:val="00480184"/>
    <w:rsid w:val="00480516"/>
    <w:rsid w:val="00480658"/>
    <w:rsid w:val="00480D3C"/>
    <w:rsid w:val="0048170B"/>
    <w:rsid w:val="0048175F"/>
    <w:rsid w:val="00481BD4"/>
    <w:rsid w:val="00482AA2"/>
    <w:rsid w:val="0048579F"/>
    <w:rsid w:val="00487005"/>
    <w:rsid w:val="004901A7"/>
    <w:rsid w:val="00491E5D"/>
    <w:rsid w:val="004A084F"/>
    <w:rsid w:val="004A1FA1"/>
    <w:rsid w:val="004A3225"/>
    <w:rsid w:val="004A3F90"/>
    <w:rsid w:val="004A5F59"/>
    <w:rsid w:val="004A6F1F"/>
    <w:rsid w:val="004B17D8"/>
    <w:rsid w:val="004B2323"/>
    <w:rsid w:val="004B4808"/>
    <w:rsid w:val="004B62C3"/>
    <w:rsid w:val="004C03B6"/>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30E9"/>
    <w:rsid w:val="004F415D"/>
    <w:rsid w:val="004F4980"/>
    <w:rsid w:val="004F66F4"/>
    <w:rsid w:val="004F7710"/>
    <w:rsid w:val="00502A45"/>
    <w:rsid w:val="0050542C"/>
    <w:rsid w:val="00511DC2"/>
    <w:rsid w:val="00512DC1"/>
    <w:rsid w:val="00514C6B"/>
    <w:rsid w:val="005161EC"/>
    <w:rsid w:val="0051709F"/>
    <w:rsid w:val="005175EB"/>
    <w:rsid w:val="00521A18"/>
    <w:rsid w:val="00522079"/>
    <w:rsid w:val="00522622"/>
    <w:rsid w:val="0052450E"/>
    <w:rsid w:val="00524D70"/>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5ED8"/>
    <w:rsid w:val="00556291"/>
    <w:rsid w:val="005569E4"/>
    <w:rsid w:val="00560E11"/>
    <w:rsid w:val="00561147"/>
    <w:rsid w:val="00561463"/>
    <w:rsid w:val="00561F8F"/>
    <w:rsid w:val="00563A0E"/>
    <w:rsid w:val="005647D0"/>
    <w:rsid w:val="005650EC"/>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051"/>
    <w:rsid w:val="005A1EA2"/>
    <w:rsid w:val="005A2467"/>
    <w:rsid w:val="005A5858"/>
    <w:rsid w:val="005A6E51"/>
    <w:rsid w:val="005A7C7F"/>
    <w:rsid w:val="005A7D88"/>
    <w:rsid w:val="005B130C"/>
    <w:rsid w:val="005B131C"/>
    <w:rsid w:val="005B14FF"/>
    <w:rsid w:val="005B3B71"/>
    <w:rsid w:val="005B4B1B"/>
    <w:rsid w:val="005B4F0F"/>
    <w:rsid w:val="005B58F0"/>
    <w:rsid w:val="005C0E62"/>
    <w:rsid w:val="005C0F5B"/>
    <w:rsid w:val="005C2E15"/>
    <w:rsid w:val="005C403B"/>
    <w:rsid w:val="005C42C4"/>
    <w:rsid w:val="005C57EB"/>
    <w:rsid w:val="005C63CB"/>
    <w:rsid w:val="005C7D3F"/>
    <w:rsid w:val="005D0AA6"/>
    <w:rsid w:val="005D165F"/>
    <w:rsid w:val="005D21F3"/>
    <w:rsid w:val="005D3CF8"/>
    <w:rsid w:val="005D4911"/>
    <w:rsid w:val="005D5D89"/>
    <w:rsid w:val="005E0D2D"/>
    <w:rsid w:val="005E3FB6"/>
    <w:rsid w:val="005F4583"/>
    <w:rsid w:val="005F4ABB"/>
    <w:rsid w:val="005F6066"/>
    <w:rsid w:val="005F64F1"/>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322E"/>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2F4"/>
    <w:rsid w:val="00661FC1"/>
    <w:rsid w:val="00663FED"/>
    <w:rsid w:val="00664B64"/>
    <w:rsid w:val="006678E3"/>
    <w:rsid w:val="00667A9C"/>
    <w:rsid w:val="006712E8"/>
    <w:rsid w:val="00672C26"/>
    <w:rsid w:val="00674052"/>
    <w:rsid w:val="006756FC"/>
    <w:rsid w:val="00677DA7"/>
    <w:rsid w:val="00680212"/>
    <w:rsid w:val="00680C90"/>
    <w:rsid w:val="00681036"/>
    <w:rsid w:val="006823AD"/>
    <w:rsid w:val="00682C29"/>
    <w:rsid w:val="00685872"/>
    <w:rsid w:val="00685AD7"/>
    <w:rsid w:val="00687D92"/>
    <w:rsid w:val="00691963"/>
    <w:rsid w:val="00692124"/>
    <w:rsid w:val="00692D96"/>
    <w:rsid w:val="00693C96"/>
    <w:rsid w:val="00696339"/>
    <w:rsid w:val="00696982"/>
    <w:rsid w:val="006A3F85"/>
    <w:rsid w:val="006A48FA"/>
    <w:rsid w:val="006A56F1"/>
    <w:rsid w:val="006A6E5C"/>
    <w:rsid w:val="006B0972"/>
    <w:rsid w:val="006B3153"/>
    <w:rsid w:val="006B5871"/>
    <w:rsid w:val="006B6187"/>
    <w:rsid w:val="006B6BB1"/>
    <w:rsid w:val="006B7212"/>
    <w:rsid w:val="006C14C3"/>
    <w:rsid w:val="006C4B6F"/>
    <w:rsid w:val="006C570A"/>
    <w:rsid w:val="006C589D"/>
    <w:rsid w:val="006C769C"/>
    <w:rsid w:val="006C76A6"/>
    <w:rsid w:val="006C7A95"/>
    <w:rsid w:val="006D06B8"/>
    <w:rsid w:val="006D11E8"/>
    <w:rsid w:val="006D4B0E"/>
    <w:rsid w:val="006D61B3"/>
    <w:rsid w:val="006D753C"/>
    <w:rsid w:val="006E0A00"/>
    <w:rsid w:val="006E1B99"/>
    <w:rsid w:val="006E306D"/>
    <w:rsid w:val="006E4BEC"/>
    <w:rsid w:val="006E6968"/>
    <w:rsid w:val="006F04C6"/>
    <w:rsid w:val="006F08A0"/>
    <w:rsid w:val="006F2A97"/>
    <w:rsid w:val="006F6089"/>
    <w:rsid w:val="006F7AD7"/>
    <w:rsid w:val="00702627"/>
    <w:rsid w:val="0070359F"/>
    <w:rsid w:val="0070464C"/>
    <w:rsid w:val="00705474"/>
    <w:rsid w:val="00705B46"/>
    <w:rsid w:val="007076B2"/>
    <w:rsid w:val="00710CEF"/>
    <w:rsid w:val="00711BBB"/>
    <w:rsid w:val="0071340A"/>
    <w:rsid w:val="00713FC7"/>
    <w:rsid w:val="00716FD1"/>
    <w:rsid w:val="00720D0F"/>
    <w:rsid w:val="007218A9"/>
    <w:rsid w:val="0072241C"/>
    <w:rsid w:val="007245A5"/>
    <w:rsid w:val="00730D83"/>
    <w:rsid w:val="00731628"/>
    <w:rsid w:val="0073208A"/>
    <w:rsid w:val="00734108"/>
    <w:rsid w:val="007343AD"/>
    <w:rsid w:val="0073448D"/>
    <w:rsid w:val="00735087"/>
    <w:rsid w:val="00736FA0"/>
    <w:rsid w:val="0074053E"/>
    <w:rsid w:val="0075000E"/>
    <w:rsid w:val="00752156"/>
    <w:rsid w:val="00753A7A"/>
    <w:rsid w:val="0075473C"/>
    <w:rsid w:val="00756E77"/>
    <w:rsid w:val="007577C2"/>
    <w:rsid w:val="0076038F"/>
    <w:rsid w:val="00760D77"/>
    <w:rsid w:val="007617E5"/>
    <w:rsid w:val="00761C45"/>
    <w:rsid w:val="00770924"/>
    <w:rsid w:val="007710C7"/>
    <w:rsid w:val="0077124E"/>
    <w:rsid w:val="00772FA7"/>
    <w:rsid w:val="0077578C"/>
    <w:rsid w:val="00781ACA"/>
    <w:rsid w:val="007823CF"/>
    <w:rsid w:val="00783E35"/>
    <w:rsid w:val="00784F67"/>
    <w:rsid w:val="00786754"/>
    <w:rsid w:val="00786D49"/>
    <w:rsid w:val="00787061"/>
    <w:rsid w:val="00790F0A"/>
    <w:rsid w:val="00790F5E"/>
    <w:rsid w:val="00791F16"/>
    <w:rsid w:val="007927A6"/>
    <w:rsid w:val="00797F6E"/>
    <w:rsid w:val="007A1F4C"/>
    <w:rsid w:val="007A53F8"/>
    <w:rsid w:val="007A773B"/>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D5E78"/>
    <w:rsid w:val="007E0874"/>
    <w:rsid w:val="007E0FAD"/>
    <w:rsid w:val="007E58F6"/>
    <w:rsid w:val="007E597F"/>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05BB7"/>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65528"/>
    <w:rsid w:val="0086767A"/>
    <w:rsid w:val="008703C2"/>
    <w:rsid w:val="0087209F"/>
    <w:rsid w:val="008806CC"/>
    <w:rsid w:val="008849E6"/>
    <w:rsid w:val="0088513E"/>
    <w:rsid w:val="00885FB9"/>
    <w:rsid w:val="00886300"/>
    <w:rsid w:val="0089099F"/>
    <w:rsid w:val="00890AAF"/>
    <w:rsid w:val="00890EA4"/>
    <w:rsid w:val="008919F7"/>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123F"/>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200"/>
    <w:rsid w:val="00951FC3"/>
    <w:rsid w:val="009520BD"/>
    <w:rsid w:val="00952B29"/>
    <w:rsid w:val="0095372B"/>
    <w:rsid w:val="00953DBA"/>
    <w:rsid w:val="00954137"/>
    <w:rsid w:val="00955882"/>
    <w:rsid w:val="00955ABF"/>
    <w:rsid w:val="00956F74"/>
    <w:rsid w:val="00956F84"/>
    <w:rsid w:val="009575A0"/>
    <w:rsid w:val="00957C6C"/>
    <w:rsid w:val="00960AA2"/>
    <w:rsid w:val="009649DC"/>
    <w:rsid w:val="00966EB2"/>
    <w:rsid w:val="00970C67"/>
    <w:rsid w:val="00974456"/>
    <w:rsid w:val="00974A0C"/>
    <w:rsid w:val="00982C8E"/>
    <w:rsid w:val="00991483"/>
    <w:rsid w:val="0099296D"/>
    <w:rsid w:val="009935AA"/>
    <w:rsid w:val="00993F94"/>
    <w:rsid w:val="009951B2"/>
    <w:rsid w:val="009A039C"/>
    <w:rsid w:val="009A2859"/>
    <w:rsid w:val="009A4E90"/>
    <w:rsid w:val="009A50B8"/>
    <w:rsid w:val="009A737B"/>
    <w:rsid w:val="009B1712"/>
    <w:rsid w:val="009B1823"/>
    <w:rsid w:val="009B406F"/>
    <w:rsid w:val="009B443A"/>
    <w:rsid w:val="009B4D09"/>
    <w:rsid w:val="009B698D"/>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53EA"/>
    <w:rsid w:val="009F6453"/>
    <w:rsid w:val="009F6AD6"/>
    <w:rsid w:val="009F6F30"/>
    <w:rsid w:val="009F7BFB"/>
    <w:rsid w:val="00A0081F"/>
    <w:rsid w:val="00A01B61"/>
    <w:rsid w:val="00A03BCB"/>
    <w:rsid w:val="00A03C6D"/>
    <w:rsid w:val="00A048F3"/>
    <w:rsid w:val="00A04CA6"/>
    <w:rsid w:val="00A052DD"/>
    <w:rsid w:val="00A06E6F"/>
    <w:rsid w:val="00A12A49"/>
    <w:rsid w:val="00A135C4"/>
    <w:rsid w:val="00A13CB5"/>
    <w:rsid w:val="00A13FEC"/>
    <w:rsid w:val="00A200C3"/>
    <w:rsid w:val="00A20225"/>
    <w:rsid w:val="00A21103"/>
    <w:rsid w:val="00A21E3C"/>
    <w:rsid w:val="00A23419"/>
    <w:rsid w:val="00A24BBD"/>
    <w:rsid w:val="00A26D62"/>
    <w:rsid w:val="00A272F6"/>
    <w:rsid w:val="00A27D2E"/>
    <w:rsid w:val="00A30D78"/>
    <w:rsid w:val="00A31032"/>
    <w:rsid w:val="00A31CCF"/>
    <w:rsid w:val="00A32598"/>
    <w:rsid w:val="00A33EF8"/>
    <w:rsid w:val="00A3432E"/>
    <w:rsid w:val="00A40DFB"/>
    <w:rsid w:val="00A417F0"/>
    <w:rsid w:val="00A435BF"/>
    <w:rsid w:val="00A448B0"/>
    <w:rsid w:val="00A46981"/>
    <w:rsid w:val="00A47480"/>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4E49"/>
    <w:rsid w:val="00A75807"/>
    <w:rsid w:val="00A77913"/>
    <w:rsid w:val="00A80D3E"/>
    <w:rsid w:val="00A8209D"/>
    <w:rsid w:val="00A82740"/>
    <w:rsid w:val="00A860C9"/>
    <w:rsid w:val="00A90F25"/>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2338B"/>
    <w:rsid w:val="00B24B80"/>
    <w:rsid w:val="00B32541"/>
    <w:rsid w:val="00B3267F"/>
    <w:rsid w:val="00B35671"/>
    <w:rsid w:val="00B35F87"/>
    <w:rsid w:val="00B379DA"/>
    <w:rsid w:val="00B37A67"/>
    <w:rsid w:val="00B41203"/>
    <w:rsid w:val="00B41500"/>
    <w:rsid w:val="00B45107"/>
    <w:rsid w:val="00B5297F"/>
    <w:rsid w:val="00B52E16"/>
    <w:rsid w:val="00B53812"/>
    <w:rsid w:val="00B53C36"/>
    <w:rsid w:val="00B623DA"/>
    <w:rsid w:val="00B62736"/>
    <w:rsid w:val="00B62A71"/>
    <w:rsid w:val="00B62EF9"/>
    <w:rsid w:val="00B630C6"/>
    <w:rsid w:val="00B65DC0"/>
    <w:rsid w:val="00B675E8"/>
    <w:rsid w:val="00B67C2D"/>
    <w:rsid w:val="00B70D91"/>
    <w:rsid w:val="00B72FA0"/>
    <w:rsid w:val="00B73209"/>
    <w:rsid w:val="00B75F37"/>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DCB"/>
    <w:rsid w:val="00BC3F55"/>
    <w:rsid w:val="00BC481A"/>
    <w:rsid w:val="00BC4D26"/>
    <w:rsid w:val="00BC555D"/>
    <w:rsid w:val="00BC658E"/>
    <w:rsid w:val="00BD0218"/>
    <w:rsid w:val="00BD03D2"/>
    <w:rsid w:val="00BD1869"/>
    <w:rsid w:val="00BD18A1"/>
    <w:rsid w:val="00BD200B"/>
    <w:rsid w:val="00BD63DF"/>
    <w:rsid w:val="00BD64D4"/>
    <w:rsid w:val="00BD7C4B"/>
    <w:rsid w:val="00BE06B2"/>
    <w:rsid w:val="00BE33E8"/>
    <w:rsid w:val="00BE4BA5"/>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4248"/>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A8B"/>
    <w:rsid w:val="00C72FD7"/>
    <w:rsid w:val="00C8155C"/>
    <w:rsid w:val="00C907F0"/>
    <w:rsid w:val="00C93A91"/>
    <w:rsid w:val="00C95601"/>
    <w:rsid w:val="00CA1947"/>
    <w:rsid w:val="00CA1C91"/>
    <w:rsid w:val="00CA323D"/>
    <w:rsid w:val="00CA45DA"/>
    <w:rsid w:val="00CA54A0"/>
    <w:rsid w:val="00CA5D95"/>
    <w:rsid w:val="00CB5515"/>
    <w:rsid w:val="00CB76EF"/>
    <w:rsid w:val="00CB7840"/>
    <w:rsid w:val="00CC0E24"/>
    <w:rsid w:val="00CC2390"/>
    <w:rsid w:val="00CC34E2"/>
    <w:rsid w:val="00CC4A5C"/>
    <w:rsid w:val="00CC5BB7"/>
    <w:rsid w:val="00CC5F62"/>
    <w:rsid w:val="00CC69B4"/>
    <w:rsid w:val="00CC6D17"/>
    <w:rsid w:val="00CC7102"/>
    <w:rsid w:val="00CC7CF3"/>
    <w:rsid w:val="00CD0D68"/>
    <w:rsid w:val="00CD1E85"/>
    <w:rsid w:val="00CD3AEA"/>
    <w:rsid w:val="00CD3C32"/>
    <w:rsid w:val="00CD4235"/>
    <w:rsid w:val="00CD56D7"/>
    <w:rsid w:val="00CD57FC"/>
    <w:rsid w:val="00CD632A"/>
    <w:rsid w:val="00CE0B6D"/>
    <w:rsid w:val="00CE127E"/>
    <w:rsid w:val="00CE1C10"/>
    <w:rsid w:val="00CE217C"/>
    <w:rsid w:val="00CE4AE9"/>
    <w:rsid w:val="00CE75F9"/>
    <w:rsid w:val="00CF37AC"/>
    <w:rsid w:val="00CF41D0"/>
    <w:rsid w:val="00D00CF9"/>
    <w:rsid w:val="00D012FF"/>
    <w:rsid w:val="00D04CD8"/>
    <w:rsid w:val="00D04DEC"/>
    <w:rsid w:val="00D114ED"/>
    <w:rsid w:val="00D1261E"/>
    <w:rsid w:val="00D13F32"/>
    <w:rsid w:val="00D14B5E"/>
    <w:rsid w:val="00D1685E"/>
    <w:rsid w:val="00D171BA"/>
    <w:rsid w:val="00D258D9"/>
    <w:rsid w:val="00D25B74"/>
    <w:rsid w:val="00D25CA1"/>
    <w:rsid w:val="00D31474"/>
    <w:rsid w:val="00D32933"/>
    <w:rsid w:val="00D3579F"/>
    <w:rsid w:val="00D36B62"/>
    <w:rsid w:val="00D37BF5"/>
    <w:rsid w:val="00D421A7"/>
    <w:rsid w:val="00D42987"/>
    <w:rsid w:val="00D42C18"/>
    <w:rsid w:val="00D43F5E"/>
    <w:rsid w:val="00D44623"/>
    <w:rsid w:val="00D471D2"/>
    <w:rsid w:val="00D47CF6"/>
    <w:rsid w:val="00D50820"/>
    <w:rsid w:val="00D511C3"/>
    <w:rsid w:val="00D52D87"/>
    <w:rsid w:val="00D5481D"/>
    <w:rsid w:val="00D55B2D"/>
    <w:rsid w:val="00D57DD9"/>
    <w:rsid w:val="00D60045"/>
    <w:rsid w:val="00D628AE"/>
    <w:rsid w:val="00D647C9"/>
    <w:rsid w:val="00D6632B"/>
    <w:rsid w:val="00D67995"/>
    <w:rsid w:val="00D7163F"/>
    <w:rsid w:val="00D7298C"/>
    <w:rsid w:val="00D73998"/>
    <w:rsid w:val="00D76FD9"/>
    <w:rsid w:val="00D800BD"/>
    <w:rsid w:val="00D816C8"/>
    <w:rsid w:val="00D81BC5"/>
    <w:rsid w:val="00D827CE"/>
    <w:rsid w:val="00D849AB"/>
    <w:rsid w:val="00D84DEB"/>
    <w:rsid w:val="00D877A6"/>
    <w:rsid w:val="00D904D9"/>
    <w:rsid w:val="00D946F0"/>
    <w:rsid w:val="00D95156"/>
    <w:rsid w:val="00D95BD9"/>
    <w:rsid w:val="00D95DC3"/>
    <w:rsid w:val="00D96A46"/>
    <w:rsid w:val="00D96A67"/>
    <w:rsid w:val="00DA0B0B"/>
    <w:rsid w:val="00DA12D5"/>
    <w:rsid w:val="00DA3326"/>
    <w:rsid w:val="00DA3644"/>
    <w:rsid w:val="00DA3FCB"/>
    <w:rsid w:val="00DA630F"/>
    <w:rsid w:val="00DA6A38"/>
    <w:rsid w:val="00DA6B30"/>
    <w:rsid w:val="00DA7040"/>
    <w:rsid w:val="00DB07B5"/>
    <w:rsid w:val="00DB07F9"/>
    <w:rsid w:val="00DB3CAF"/>
    <w:rsid w:val="00DB4966"/>
    <w:rsid w:val="00DB70FF"/>
    <w:rsid w:val="00DC1078"/>
    <w:rsid w:val="00DC1386"/>
    <w:rsid w:val="00DC7A46"/>
    <w:rsid w:val="00DD0F54"/>
    <w:rsid w:val="00DD135E"/>
    <w:rsid w:val="00DD4F7A"/>
    <w:rsid w:val="00DD5050"/>
    <w:rsid w:val="00DD5306"/>
    <w:rsid w:val="00DD554F"/>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0ABC"/>
    <w:rsid w:val="00E01CC7"/>
    <w:rsid w:val="00E01DE7"/>
    <w:rsid w:val="00E0411F"/>
    <w:rsid w:val="00E0572E"/>
    <w:rsid w:val="00E10005"/>
    <w:rsid w:val="00E1238E"/>
    <w:rsid w:val="00E124B9"/>
    <w:rsid w:val="00E13F21"/>
    <w:rsid w:val="00E1612B"/>
    <w:rsid w:val="00E17515"/>
    <w:rsid w:val="00E20591"/>
    <w:rsid w:val="00E22766"/>
    <w:rsid w:val="00E23FBA"/>
    <w:rsid w:val="00E2532D"/>
    <w:rsid w:val="00E2572E"/>
    <w:rsid w:val="00E2692D"/>
    <w:rsid w:val="00E271C2"/>
    <w:rsid w:val="00E27AC2"/>
    <w:rsid w:val="00E30031"/>
    <w:rsid w:val="00E329A6"/>
    <w:rsid w:val="00E34CB5"/>
    <w:rsid w:val="00E36419"/>
    <w:rsid w:val="00E37789"/>
    <w:rsid w:val="00E37DEB"/>
    <w:rsid w:val="00E42265"/>
    <w:rsid w:val="00E45C2C"/>
    <w:rsid w:val="00E45DAA"/>
    <w:rsid w:val="00E46560"/>
    <w:rsid w:val="00E47307"/>
    <w:rsid w:val="00E47601"/>
    <w:rsid w:val="00E50DB1"/>
    <w:rsid w:val="00E51053"/>
    <w:rsid w:val="00E51A6B"/>
    <w:rsid w:val="00E51A9F"/>
    <w:rsid w:val="00E52CA8"/>
    <w:rsid w:val="00E550CE"/>
    <w:rsid w:val="00E55E08"/>
    <w:rsid w:val="00E56D57"/>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2E81"/>
    <w:rsid w:val="00EA330D"/>
    <w:rsid w:val="00EA5190"/>
    <w:rsid w:val="00EA5F4C"/>
    <w:rsid w:val="00EA6109"/>
    <w:rsid w:val="00EB17D2"/>
    <w:rsid w:val="00EB183E"/>
    <w:rsid w:val="00EB2688"/>
    <w:rsid w:val="00EB6181"/>
    <w:rsid w:val="00EB664F"/>
    <w:rsid w:val="00EB7C87"/>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EF6FB1"/>
    <w:rsid w:val="00F00B38"/>
    <w:rsid w:val="00F0376E"/>
    <w:rsid w:val="00F044B3"/>
    <w:rsid w:val="00F05E83"/>
    <w:rsid w:val="00F07DC4"/>
    <w:rsid w:val="00F07E05"/>
    <w:rsid w:val="00F10842"/>
    <w:rsid w:val="00F1152A"/>
    <w:rsid w:val="00F13C42"/>
    <w:rsid w:val="00F161F7"/>
    <w:rsid w:val="00F206E8"/>
    <w:rsid w:val="00F21755"/>
    <w:rsid w:val="00F21F2E"/>
    <w:rsid w:val="00F23947"/>
    <w:rsid w:val="00F23B61"/>
    <w:rsid w:val="00F276F1"/>
    <w:rsid w:val="00F32680"/>
    <w:rsid w:val="00F33A66"/>
    <w:rsid w:val="00F34368"/>
    <w:rsid w:val="00F34E5A"/>
    <w:rsid w:val="00F35452"/>
    <w:rsid w:val="00F35939"/>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E7DE4"/>
    <w:rsid w:val="00FF4027"/>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E29F3"/>
  <w15:docId w15:val="{1D616172-9989-4F05-8539-243FE342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8676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02366">
      <w:bodyDiv w:val="1"/>
      <w:marLeft w:val="0"/>
      <w:marRight w:val="0"/>
      <w:marTop w:val="0"/>
      <w:marBottom w:val="0"/>
      <w:divBdr>
        <w:top w:val="none" w:sz="0" w:space="0" w:color="auto"/>
        <w:left w:val="none" w:sz="0" w:space="0" w:color="auto"/>
        <w:bottom w:val="none" w:sz="0" w:space="0" w:color="auto"/>
        <w:right w:val="none" w:sz="0" w:space="0" w:color="auto"/>
      </w:divBdr>
    </w:div>
    <w:div w:id="329721572">
      <w:bodyDiv w:val="1"/>
      <w:marLeft w:val="0"/>
      <w:marRight w:val="0"/>
      <w:marTop w:val="0"/>
      <w:marBottom w:val="0"/>
      <w:divBdr>
        <w:top w:val="none" w:sz="0" w:space="0" w:color="auto"/>
        <w:left w:val="none" w:sz="0" w:space="0" w:color="auto"/>
        <w:bottom w:val="none" w:sz="0" w:space="0" w:color="auto"/>
        <w:right w:val="none" w:sz="0" w:space="0" w:color="auto"/>
      </w:divBdr>
    </w:div>
    <w:div w:id="330521540">
      <w:bodyDiv w:val="1"/>
      <w:marLeft w:val="0"/>
      <w:marRight w:val="0"/>
      <w:marTop w:val="0"/>
      <w:marBottom w:val="0"/>
      <w:divBdr>
        <w:top w:val="none" w:sz="0" w:space="0" w:color="auto"/>
        <w:left w:val="none" w:sz="0" w:space="0" w:color="auto"/>
        <w:bottom w:val="none" w:sz="0" w:space="0" w:color="auto"/>
        <w:right w:val="none" w:sz="0" w:space="0" w:color="auto"/>
      </w:divBdr>
    </w:div>
    <w:div w:id="425269720">
      <w:bodyDiv w:val="1"/>
      <w:marLeft w:val="0"/>
      <w:marRight w:val="0"/>
      <w:marTop w:val="0"/>
      <w:marBottom w:val="0"/>
      <w:divBdr>
        <w:top w:val="none" w:sz="0" w:space="0" w:color="auto"/>
        <w:left w:val="none" w:sz="0" w:space="0" w:color="auto"/>
        <w:bottom w:val="none" w:sz="0" w:space="0" w:color="auto"/>
        <w:right w:val="none" w:sz="0" w:space="0" w:color="auto"/>
      </w:divBdr>
    </w:div>
    <w:div w:id="717555271">
      <w:bodyDiv w:val="1"/>
      <w:marLeft w:val="0"/>
      <w:marRight w:val="0"/>
      <w:marTop w:val="0"/>
      <w:marBottom w:val="0"/>
      <w:divBdr>
        <w:top w:val="none" w:sz="0" w:space="0" w:color="auto"/>
        <w:left w:val="none" w:sz="0" w:space="0" w:color="auto"/>
        <w:bottom w:val="none" w:sz="0" w:space="0" w:color="auto"/>
        <w:right w:val="none" w:sz="0" w:space="0" w:color="auto"/>
      </w:divBdr>
    </w:div>
    <w:div w:id="921521784">
      <w:bodyDiv w:val="1"/>
      <w:marLeft w:val="0"/>
      <w:marRight w:val="0"/>
      <w:marTop w:val="0"/>
      <w:marBottom w:val="0"/>
      <w:divBdr>
        <w:top w:val="none" w:sz="0" w:space="0" w:color="auto"/>
        <w:left w:val="none" w:sz="0" w:space="0" w:color="auto"/>
        <w:bottom w:val="none" w:sz="0" w:space="0" w:color="auto"/>
        <w:right w:val="none" w:sz="0" w:space="0" w:color="auto"/>
      </w:divBdr>
    </w:div>
    <w:div w:id="1158153154">
      <w:bodyDiv w:val="1"/>
      <w:marLeft w:val="0"/>
      <w:marRight w:val="0"/>
      <w:marTop w:val="0"/>
      <w:marBottom w:val="0"/>
      <w:divBdr>
        <w:top w:val="none" w:sz="0" w:space="0" w:color="auto"/>
        <w:left w:val="none" w:sz="0" w:space="0" w:color="auto"/>
        <w:bottom w:val="none" w:sz="0" w:space="0" w:color="auto"/>
        <w:right w:val="none" w:sz="0" w:space="0" w:color="auto"/>
      </w:divBdr>
    </w:div>
    <w:div w:id="1194346596">
      <w:bodyDiv w:val="1"/>
      <w:marLeft w:val="0"/>
      <w:marRight w:val="0"/>
      <w:marTop w:val="0"/>
      <w:marBottom w:val="0"/>
      <w:divBdr>
        <w:top w:val="none" w:sz="0" w:space="0" w:color="auto"/>
        <w:left w:val="none" w:sz="0" w:space="0" w:color="auto"/>
        <w:bottom w:val="none" w:sz="0" w:space="0" w:color="auto"/>
        <w:right w:val="none" w:sz="0" w:space="0" w:color="auto"/>
      </w:divBdr>
    </w:div>
    <w:div w:id="1256017805">
      <w:bodyDiv w:val="1"/>
      <w:marLeft w:val="0"/>
      <w:marRight w:val="0"/>
      <w:marTop w:val="0"/>
      <w:marBottom w:val="0"/>
      <w:divBdr>
        <w:top w:val="none" w:sz="0" w:space="0" w:color="auto"/>
        <w:left w:val="none" w:sz="0" w:space="0" w:color="auto"/>
        <w:bottom w:val="none" w:sz="0" w:space="0" w:color="auto"/>
        <w:right w:val="none" w:sz="0" w:space="0" w:color="auto"/>
      </w:divBdr>
    </w:div>
    <w:div w:id="1353191974">
      <w:bodyDiv w:val="1"/>
      <w:marLeft w:val="0"/>
      <w:marRight w:val="0"/>
      <w:marTop w:val="0"/>
      <w:marBottom w:val="0"/>
      <w:divBdr>
        <w:top w:val="none" w:sz="0" w:space="0" w:color="auto"/>
        <w:left w:val="none" w:sz="0" w:space="0" w:color="auto"/>
        <w:bottom w:val="none" w:sz="0" w:space="0" w:color="auto"/>
        <w:right w:val="none" w:sz="0" w:space="0" w:color="auto"/>
      </w:divBdr>
    </w:div>
    <w:div w:id="1539928342">
      <w:bodyDiv w:val="1"/>
      <w:marLeft w:val="0"/>
      <w:marRight w:val="0"/>
      <w:marTop w:val="0"/>
      <w:marBottom w:val="0"/>
      <w:divBdr>
        <w:top w:val="none" w:sz="0" w:space="0" w:color="auto"/>
        <w:left w:val="none" w:sz="0" w:space="0" w:color="auto"/>
        <w:bottom w:val="none" w:sz="0" w:space="0" w:color="auto"/>
        <w:right w:val="none" w:sz="0" w:space="0" w:color="auto"/>
      </w:divBdr>
    </w:div>
    <w:div w:id="1544749540">
      <w:bodyDiv w:val="1"/>
      <w:marLeft w:val="0"/>
      <w:marRight w:val="0"/>
      <w:marTop w:val="0"/>
      <w:marBottom w:val="0"/>
      <w:divBdr>
        <w:top w:val="none" w:sz="0" w:space="0" w:color="auto"/>
        <w:left w:val="none" w:sz="0" w:space="0" w:color="auto"/>
        <w:bottom w:val="none" w:sz="0" w:space="0" w:color="auto"/>
        <w:right w:val="none" w:sz="0" w:space="0" w:color="auto"/>
      </w:divBdr>
    </w:div>
    <w:div w:id="1731684933">
      <w:bodyDiv w:val="1"/>
      <w:marLeft w:val="0"/>
      <w:marRight w:val="0"/>
      <w:marTop w:val="0"/>
      <w:marBottom w:val="0"/>
      <w:divBdr>
        <w:top w:val="none" w:sz="0" w:space="0" w:color="auto"/>
        <w:left w:val="none" w:sz="0" w:space="0" w:color="auto"/>
        <w:bottom w:val="none" w:sz="0" w:space="0" w:color="auto"/>
        <w:right w:val="none" w:sz="0" w:space="0" w:color="auto"/>
      </w:divBdr>
    </w:div>
    <w:div w:id="1761439004">
      <w:bodyDiv w:val="1"/>
      <w:marLeft w:val="0"/>
      <w:marRight w:val="0"/>
      <w:marTop w:val="0"/>
      <w:marBottom w:val="0"/>
      <w:divBdr>
        <w:top w:val="none" w:sz="0" w:space="0" w:color="auto"/>
        <w:left w:val="none" w:sz="0" w:space="0" w:color="auto"/>
        <w:bottom w:val="none" w:sz="0" w:space="0" w:color="auto"/>
        <w:right w:val="none" w:sz="0" w:space="0" w:color="auto"/>
      </w:divBdr>
    </w:div>
    <w:div w:id="1917545742">
      <w:bodyDiv w:val="1"/>
      <w:marLeft w:val="0"/>
      <w:marRight w:val="0"/>
      <w:marTop w:val="0"/>
      <w:marBottom w:val="0"/>
      <w:divBdr>
        <w:top w:val="none" w:sz="0" w:space="0" w:color="auto"/>
        <w:left w:val="none" w:sz="0" w:space="0" w:color="auto"/>
        <w:bottom w:val="none" w:sz="0" w:space="0" w:color="auto"/>
        <w:right w:val="none" w:sz="0" w:space="0" w:color="auto"/>
      </w:divBdr>
    </w:div>
    <w:div w:id="199775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258DF-5B90-4104-BAAA-2A70812D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138</Pages>
  <Words>14629</Words>
  <Characters>83389</Characters>
  <Application>Microsoft Office Word</Application>
  <DocSecurity>0</DocSecurity>
  <Lines>694</Lines>
  <Paragraphs>195</Paragraphs>
  <ScaleCrop>false</ScaleCrop>
  <Company>Microsoft</Company>
  <LinksUpToDate>false</LinksUpToDate>
  <CharactersWithSpaces>97823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张婕茹</cp:lastModifiedBy>
  <cp:revision>84</cp:revision>
  <cp:lastPrinted>2013-02-18T03:10:00Z</cp:lastPrinted>
  <dcterms:created xsi:type="dcterms:W3CDTF">2023-12-06T09:32:00Z</dcterms:created>
  <dcterms:modified xsi:type="dcterms:W3CDTF">2023-12-13T09:23:00Z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