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97E47" w14:textId="77777777" w:rsidR="00866E08" w:rsidRPr="00EB07BC" w:rsidRDefault="00866E08">
      <w:pPr>
        <w:rPr>
          <w:sz w:val="32"/>
        </w:rPr>
      </w:pPr>
    </w:p>
    <w:p w14:paraId="35DE400A" w14:textId="77777777" w:rsidR="00866E08" w:rsidRPr="00EB07BC" w:rsidRDefault="00866E08">
      <w:pPr>
        <w:rPr>
          <w:sz w:val="32"/>
        </w:rPr>
      </w:pPr>
    </w:p>
    <w:p w14:paraId="2A4B8132" w14:textId="77777777" w:rsidR="00866E08" w:rsidRPr="00EB07BC" w:rsidRDefault="00866E08">
      <w:pPr>
        <w:rPr>
          <w:sz w:val="32"/>
        </w:rPr>
      </w:pPr>
    </w:p>
    <w:p w14:paraId="2DA83288" w14:textId="77777777" w:rsidR="00866E08" w:rsidRPr="00EB07BC" w:rsidRDefault="00CA69EB">
      <w:pPr>
        <w:jc w:val="center"/>
        <w:rPr>
          <w:sz w:val="32"/>
        </w:rPr>
      </w:pPr>
      <w:r>
        <w:rPr>
          <w:noProof/>
        </w:rPr>
        <w:drawing>
          <wp:inline distT="0" distB="0" distL="0" distR="0" wp14:anchorId="1631DA36" wp14:editId="118CFC4F">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28A75D4E" w14:textId="77777777" w:rsidR="00D87CF5" w:rsidRDefault="00D87CF5">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bookmarkStart w:id="0" w:name="_GoBack"/>
      <w:bookmarkEnd w:id="0"/>
    </w:p>
    <w:p w14:paraId="37B34145" w14:textId="77777777" w:rsidR="00D87CF5" w:rsidRDefault="00D87CF5">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72DBB5ED" w14:textId="13341F0A" w:rsidR="00D87CF5" w:rsidRDefault="00E104DC">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bookmarkStart w:id="1" w:name="_Hlk145929727"/>
      <w:r>
        <w:rPr>
          <w:rFonts w:ascii="Times New Roman" w:hAnsi="Times New Roman"/>
          <w:b/>
          <w:spacing w:val="2"/>
          <w:w w:val="99"/>
          <w:kern w:val="0"/>
          <w:position w:val="-4"/>
          <w:sz w:val="44"/>
          <w:szCs w:val="44"/>
        </w:rPr>
        <w:t>交银施罗德稳安</w:t>
      </w:r>
      <w:r>
        <w:rPr>
          <w:rFonts w:ascii="Times New Roman" w:hAnsi="Times New Roman"/>
          <w:b/>
          <w:spacing w:val="2"/>
          <w:w w:val="99"/>
          <w:kern w:val="0"/>
          <w:position w:val="-4"/>
          <w:sz w:val="44"/>
          <w:szCs w:val="44"/>
        </w:rPr>
        <w:t>30</w:t>
      </w:r>
      <w:r>
        <w:rPr>
          <w:rFonts w:ascii="Times New Roman" w:hAnsi="Times New Roman"/>
          <w:b/>
          <w:spacing w:val="2"/>
          <w:w w:val="99"/>
          <w:kern w:val="0"/>
          <w:position w:val="-4"/>
          <w:sz w:val="44"/>
          <w:szCs w:val="44"/>
        </w:rPr>
        <w:t>天滚动持有债券型证券投资基金</w:t>
      </w:r>
      <w:bookmarkEnd w:id="1"/>
    </w:p>
    <w:p w14:paraId="1E296568" w14:textId="676A4E1C" w:rsidR="00B1338B" w:rsidRPr="00B1338B" w:rsidRDefault="00451EC6">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hint="eastAsia"/>
          <w:b/>
          <w:spacing w:val="2"/>
          <w:w w:val="99"/>
          <w:kern w:val="0"/>
          <w:sz w:val="44"/>
          <w:szCs w:val="44"/>
        </w:rPr>
        <w:t>（更新）</w:t>
      </w:r>
      <w:r w:rsidR="00CA69EB">
        <w:rPr>
          <w:rFonts w:ascii="宋体" w:hAnsi="宋体"/>
          <w:b/>
          <w:spacing w:val="2"/>
          <w:w w:val="99"/>
          <w:kern w:val="0"/>
          <w:sz w:val="44"/>
          <w:szCs w:val="44"/>
        </w:rPr>
        <w:t>招募说明书</w:t>
      </w:r>
      <w:r w:rsidR="00B1338B" w:rsidRPr="00B1338B">
        <w:rPr>
          <w:rFonts w:ascii="宋体" w:hAnsi="宋体" w:hint="eastAsia"/>
          <w:b/>
          <w:spacing w:val="2"/>
          <w:w w:val="99"/>
          <w:kern w:val="0"/>
          <w:sz w:val="44"/>
          <w:szCs w:val="44"/>
        </w:rPr>
        <w:t>(2023年第1号)</w:t>
      </w:r>
    </w:p>
    <w:p w14:paraId="1B81232C" w14:textId="44ACB259" w:rsidR="00D87CF5" w:rsidRDefault="00D87CF5">
      <w:pPr>
        <w:snapToGrid w:val="0"/>
        <w:spacing w:line="360" w:lineRule="auto"/>
        <w:jc w:val="center"/>
        <w:rPr>
          <w:rFonts w:ascii="宋体" w:hAnsi="宋体"/>
          <w:b/>
          <w:sz w:val="30"/>
          <w:szCs w:val="30"/>
        </w:rPr>
      </w:pPr>
    </w:p>
    <w:p w14:paraId="442F0010" w14:textId="77777777" w:rsidR="00D87CF5"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A223EAD" w14:textId="77777777" w:rsidR="00D87CF5" w:rsidRPr="00A358F5"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ECB5D05" w14:textId="77777777" w:rsidR="00D87CF5"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ABC716B" w14:textId="77777777" w:rsidR="00D87CF5"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A57DF39" w14:textId="77777777" w:rsidR="00D87CF5"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81B873E" w14:textId="77777777" w:rsidR="00D87CF5"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32020F9" w14:textId="77777777" w:rsidR="00D87CF5" w:rsidRDefault="00CA69EB">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329DED4A" w14:textId="51977DC0" w:rsidR="00D87CF5" w:rsidRDefault="00CA69EB">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w:t>
      </w:r>
      <w:r w:rsidR="00050B7E">
        <w:rPr>
          <w:rFonts w:ascii="宋体" w:hAnsi="宋体" w:hint="eastAsia"/>
          <w:b/>
          <w:spacing w:val="2"/>
          <w:w w:val="99"/>
          <w:kern w:val="0"/>
          <w:sz w:val="28"/>
          <w:szCs w:val="32"/>
        </w:rPr>
        <w:t>招商</w:t>
      </w:r>
      <w:r w:rsidR="00585674">
        <w:rPr>
          <w:rFonts w:ascii="宋体" w:hAnsi="宋体"/>
          <w:b/>
          <w:spacing w:val="2"/>
          <w:w w:val="99"/>
          <w:kern w:val="0"/>
          <w:sz w:val="28"/>
          <w:szCs w:val="32"/>
        </w:rPr>
        <w:t>银行股份有限公司</w:t>
      </w:r>
    </w:p>
    <w:p w14:paraId="6FA4FB09" w14:textId="77777777" w:rsidR="00D87CF5"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73F693B" w14:textId="77777777" w:rsidR="00D87CF5"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6B4B1B5" w14:textId="78D4358D" w:rsidR="00D87CF5" w:rsidRDefault="00CA69EB">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sidR="00451EC6">
        <w:rPr>
          <w:rFonts w:ascii="Times New Roman" w:hAnsi="Times New Roman" w:hint="eastAsia"/>
          <w:b/>
          <w:spacing w:val="2"/>
          <w:w w:val="99"/>
          <w:kern w:val="0"/>
          <w:sz w:val="28"/>
          <w:szCs w:val="32"/>
        </w:rPr>
        <w:t>三</w:t>
      </w:r>
      <w:r>
        <w:rPr>
          <w:rFonts w:ascii="Times New Roman" w:hAnsi="Times New Roman"/>
          <w:b/>
          <w:spacing w:val="2"/>
          <w:w w:val="99"/>
          <w:kern w:val="0"/>
          <w:sz w:val="28"/>
          <w:szCs w:val="32"/>
        </w:rPr>
        <w:t>年</w:t>
      </w:r>
      <w:r w:rsidR="00451EC6">
        <w:rPr>
          <w:rFonts w:ascii="Times New Roman" w:hAnsi="Times New Roman" w:hint="eastAsia"/>
          <w:b/>
          <w:spacing w:val="2"/>
          <w:w w:val="99"/>
          <w:kern w:val="0"/>
          <w:sz w:val="28"/>
          <w:szCs w:val="32"/>
        </w:rPr>
        <w:t>九</w:t>
      </w:r>
      <w:r>
        <w:rPr>
          <w:rFonts w:ascii="Times New Roman" w:hAnsi="Times New Roman"/>
          <w:b/>
          <w:spacing w:val="2"/>
          <w:w w:val="99"/>
          <w:kern w:val="0"/>
          <w:sz w:val="28"/>
          <w:szCs w:val="32"/>
        </w:rPr>
        <w:t>月</w:t>
      </w:r>
    </w:p>
    <w:p w14:paraId="1D124C37" w14:textId="77777777" w:rsidR="00D87CF5" w:rsidRDefault="00D87CF5">
      <w:pPr>
        <w:autoSpaceDE w:val="0"/>
        <w:autoSpaceDN w:val="0"/>
        <w:adjustRightInd w:val="0"/>
        <w:snapToGrid w:val="0"/>
        <w:spacing w:line="360" w:lineRule="auto"/>
        <w:ind w:left="1347" w:rightChars="6" w:right="13"/>
        <w:rPr>
          <w:rFonts w:ascii="宋体" w:hAnsi="宋体"/>
          <w:kern w:val="0"/>
          <w:sz w:val="32"/>
          <w:szCs w:val="32"/>
        </w:rPr>
        <w:sectPr w:rsidR="00D87CF5">
          <w:headerReference w:type="default" r:id="rId10"/>
          <w:footerReference w:type="default" r:id="rId11"/>
          <w:headerReference w:type="first" r:id="rId12"/>
          <w:pgSz w:w="11920" w:h="16840"/>
          <w:pgMar w:top="1560" w:right="1680" w:bottom="280" w:left="1680" w:header="0" w:footer="1073" w:gutter="0"/>
          <w:pgNumType w:start="1"/>
          <w:cols w:space="720"/>
          <w:titlePg/>
          <w:docGrid w:linePitch="286"/>
        </w:sectPr>
      </w:pPr>
    </w:p>
    <w:p w14:paraId="62029D30" w14:textId="77777777" w:rsidR="00D87CF5" w:rsidRDefault="00CA69EB">
      <w:pPr>
        <w:pStyle w:val="1"/>
        <w:snapToGrid w:val="0"/>
        <w:spacing w:beforeLines="0" w:before="240" w:after="240"/>
        <w:rPr>
          <w:rFonts w:ascii="宋体" w:hAnsi="宋体"/>
          <w:kern w:val="0"/>
        </w:rPr>
      </w:pPr>
      <w:bookmarkStart w:id="2" w:name="_Toc324920538"/>
      <w:bookmarkStart w:id="3" w:name="_Toc496884613"/>
      <w:bookmarkStart w:id="4" w:name="_Toc104564183"/>
      <w:r>
        <w:rPr>
          <w:rFonts w:ascii="Times New Roman" w:hAnsi="Times New Roman"/>
          <w:kern w:val="0"/>
        </w:rPr>
        <w:lastRenderedPageBreak/>
        <w:t>重要提示</w:t>
      </w:r>
      <w:bookmarkEnd w:id="2"/>
      <w:bookmarkEnd w:id="3"/>
      <w:bookmarkEnd w:id="4"/>
    </w:p>
    <w:p w14:paraId="19553805" w14:textId="345D72CE" w:rsidR="00D87CF5" w:rsidRDefault="00E104D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交银施罗德稳安</w:t>
      </w:r>
      <w:r>
        <w:rPr>
          <w:rFonts w:ascii="Times New Roman" w:hAnsi="Times New Roman"/>
          <w:kern w:val="0"/>
          <w:sz w:val="24"/>
        </w:rPr>
        <w:t>30</w:t>
      </w:r>
      <w:r>
        <w:rPr>
          <w:rFonts w:ascii="Times New Roman" w:hAnsi="Times New Roman"/>
          <w:kern w:val="0"/>
          <w:sz w:val="24"/>
        </w:rPr>
        <w:t>天滚动持有债券型证券投资基金</w:t>
      </w:r>
      <w:r w:rsidR="00CA69EB">
        <w:rPr>
          <w:rFonts w:ascii="Times New Roman" w:hAnsi="Times New Roman"/>
          <w:kern w:val="0"/>
          <w:sz w:val="24"/>
        </w:rPr>
        <w:t>（以下简称</w:t>
      </w:r>
      <w:r w:rsidR="00CA69EB">
        <w:rPr>
          <w:rFonts w:ascii="Times New Roman" w:hAnsi="Times New Roman"/>
          <w:kern w:val="0"/>
          <w:sz w:val="24"/>
        </w:rPr>
        <w:t>“</w:t>
      </w:r>
      <w:r w:rsidR="00CA69EB">
        <w:rPr>
          <w:rFonts w:ascii="Times New Roman" w:hAnsi="Times New Roman"/>
          <w:kern w:val="0"/>
          <w:sz w:val="24"/>
        </w:rPr>
        <w:t>本基金</w:t>
      </w:r>
      <w:r w:rsidR="00CA69EB">
        <w:rPr>
          <w:rFonts w:ascii="Times New Roman" w:hAnsi="Times New Roman"/>
          <w:kern w:val="0"/>
          <w:sz w:val="24"/>
        </w:rPr>
        <w:t>”</w:t>
      </w:r>
      <w:r w:rsidR="00CA69EB">
        <w:rPr>
          <w:rFonts w:ascii="Times New Roman" w:hAnsi="Times New Roman"/>
          <w:kern w:val="0"/>
          <w:sz w:val="24"/>
        </w:rPr>
        <w:t>）经</w:t>
      </w:r>
      <w:r w:rsidR="00012E56">
        <w:rPr>
          <w:rFonts w:ascii="Times New Roman" w:hAnsi="Times New Roman"/>
          <w:kern w:val="0"/>
          <w:sz w:val="24"/>
        </w:rPr>
        <w:t>2022</w:t>
      </w:r>
      <w:r w:rsidR="00CA69EB">
        <w:rPr>
          <w:rFonts w:ascii="Times New Roman" w:hAnsi="Times New Roman"/>
          <w:kern w:val="0"/>
          <w:sz w:val="24"/>
        </w:rPr>
        <w:t>年</w:t>
      </w:r>
      <w:r w:rsidR="00012E56">
        <w:rPr>
          <w:rFonts w:ascii="Times New Roman" w:hAnsi="Times New Roman"/>
          <w:kern w:val="0"/>
          <w:sz w:val="24"/>
        </w:rPr>
        <w:t>8</w:t>
      </w:r>
      <w:r w:rsidR="00CA69EB">
        <w:rPr>
          <w:rFonts w:ascii="Times New Roman" w:hAnsi="Times New Roman"/>
          <w:kern w:val="0"/>
          <w:sz w:val="24"/>
        </w:rPr>
        <w:t>月</w:t>
      </w:r>
      <w:r w:rsidR="00012E56">
        <w:rPr>
          <w:rFonts w:ascii="Times New Roman" w:hAnsi="Times New Roman"/>
          <w:kern w:val="0"/>
          <w:sz w:val="24"/>
        </w:rPr>
        <w:t>18</w:t>
      </w:r>
      <w:r w:rsidR="00CA69EB">
        <w:rPr>
          <w:rFonts w:ascii="Times New Roman" w:hAnsi="Times New Roman"/>
          <w:kern w:val="0"/>
          <w:sz w:val="24"/>
        </w:rPr>
        <w:t>日中国证券监督管理委员会（以下简称</w:t>
      </w:r>
      <w:r w:rsidR="00CA69EB">
        <w:rPr>
          <w:rFonts w:ascii="Times New Roman" w:hAnsi="Times New Roman"/>
          <w:kern w:val="0"/>
          <w:sz w:val="24"/>
        </w:rPr>
        <w:t>“</w:t>
      </w:r>
      <w:r w:rsidR="00CA69EB">
        <w:rPr>
          <w:rFonts w:ascii="Times New Roman" w:hAnsi="Times New Roman"/>
          <w:kern w:val="0"/>
          <w:sz w:val="24"/>
        </w:rPr>
        <w:t>中国证监会</w:t>
      </w:r>
      <w:r w:rsidR="00CA69EB">
        <w:rPr>
          <w:rFonts w:ascii="Times New Roman" w:hAnsi="Times New Roman"/>
          <w:kern w:val="0"/>
          <w:sz w:val="24"/>
        </w:rPr>
        <w:t>”</w:t>
      </w:r>
      <w:r w:rsidR="00CA69EB">
        <w:rPr>
          <w:rFonts w:ascii="Times New Roman" w:hAnsi="Times New Roman"/>
          <w:kern w:val="0"/>
          <w:sz w:val="24"/>
        </w:rPr>
        <w:t>）证监许可【</w:t>
      </w:r>
      <w:r w:rsidR="00012E56">
        <w:rPr>
          <w:rFonts w:ascii="Times New Roman" w:hAnsi="Times New Roman"/>
          <w:kern w:val="0"/>
          <w:sz w:val="24"/>
        </w:rPr>
        <w:t>2022</w:t>
      </w:r>
      <w:r w:rsidR="00CA69EB">
        <w:rPr>
          <w:rFonts w:ascii="Times New Roman" w:hAnsi="Times New Roman"/>
          <w:kern w:val="0"/>
          <w:sz w:val="24"/>
        </w:rPr>
        <w:t>】</w:t>
      </w:r>
      <w:r w:rsidR="00012E56">
        <w:rPr>
          <w:rFonts w:ascii="Times New Roman" w:hAnsi="Times New Roman"/>
          <w:kern w:val="0"/>
          <w:sz w:val="24"/>
        </w:rPr>
        <w:t>1914</w:t>
      </w:r>
      <w:r w:rsidR="00CA69EB">
        <w:rPr>
          <w:rFonts w:ascii="Times New Roman" w:hAnsi="Times New Roman"/>
          <w:kern w:val="0"/>
          <w:sz w:val="24"/>
        </w:rPr>
        <w:t>号文准予募集注册。</w:t>
      </w:r>
    </w:p>
    <w:p w14:paraId="7552DBC6" w14:textId="5967260A" w:rsidR="00D87CF5" w:rsidRDefault="00CA69E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投资价值和市场前景作出实质性判断或保证，也不表明投资于本基金没有风险。</w:t>
      </w:r>
    </w:p>
    <w:p w14:paraId="06C63178" w14:textId="652B248C" w:rsidR="00D87CF5" w:rsidRDefault="00CA69E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w:t>
      </w:r>
      <w:r w:rsidR="00527CD0">
        <w:rPr>
          <w:rFonts w:ascii="Times New Roman" w:hAnsi="Times New Roman" w:hint="eastAsia"/>
          <w:kern w:val="0"/>
          <w:sz w:val="24"/>
        </w:rPr>
        <w:t>谨慎</w:t>
      </w:r>
      <w:r>
        <w:rPr>
          <w:rFonts w:ascii="Times New Roman" w:hAnsi="Times New Roman"/>
          <w:kern w:val="0"/>
          <w:sz w:val="24"/>
        </w:rPr>
        <w:t>勤勉的原则管理和运用基金财产，但不保证投资本基金一定盈利，也不保证基金份额持有人的最低收益；因基金价格可升可跌，亦不保证基金份额持有人能全数取回其原本投资。</w:t>
      </w:r>
    </w:p>
    <w:p w14:paraId="7C6489DA" w14:textId="0F8B8575" w:rsidR="00D87CF5" w:rsidRDefault="00CA69EB">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w:t>
      </w:r>
      <w:r w:rsidR="008C0477">
        <w:rPr>
          <w:rFonts w:ascii="Times New Roman" w:hAnsi="Times New Roman" w:hint="eastAsia"/>
          <w:kern w:val="0"/>
          <w:sz w:val="24"/>
        </w:rPr>
        <w:t>运作</w:t>
      </w:r>
      <w:r>
        <w:rPr>
          <w:rFonts w:ascii="Times New Roman" w:hAnsi="Times New Roman"/>
          <w:kern w:val="0"/>
          <w:sz w:val="24"/>
        </w:rPr>
        <w:t>过程中产生的基金管理风险；流动性风险（包括实施侧袋机制时的特定风险）；交易对手违约风险；</w:t>
      </w:r>
      <w:r w:rsidR="007478D9">
        <w:rPr>
          <w:rFonts w:ascii="Times New Roman" w:hAnsi="Times New Roman"/>
          <w:kern w:val="0"/>
          <w:sz w:val="24"/>
        </w:rPr>
        <w:t>本基金的特有风险</w:t>
      </w:r>
      <w:r w:rsidR="007478D9">
        <w:rPr>
          <w:rFonts w:ascii="Times New Roman" w:hAnsi="Times New Roman" w:hint="eastAsia"/>
          <w:kern w:val="0"/>
          <w:sz w:val="24"/>
        </w:rPr>
        <w:t>；</w:t>
      </w:r>
      <w:r>
        <w:rPr>
          <w:rFonts w:ascii="Times New Roman" w:hAnsi="Times New Roman"/>
          <w:kern w:val="0"/>
          <w:sz w:val="24"/>
        </w:rPr>
        <w:t>投资资产支持证券的特</w:t>
      </w:r>
      <w:r w:rsidR="002A7147">
        <w:rPr>
          <w:rFonts w:ascii="Times New Roman" w:hAnsi="Times New Roman"/>
          <w:kern w:val="0"/>
          <w:sz w:val="24"/>
        </w:rPr>
        <w:t>定</w:t>
      </w:r>
      <w:r>
        <w:rPr>
          <w:rFonts w:ascii="Times New Roman" w:hAnsi="Times New Roman"/>
          <w:kern w:val="0"/>
          <w:sz w:val="24"/>
        </w:rPr>
        <w:t>风险；连续</w:t>
      </w:r>
      <w:r w:rsidR="0070471F">
        <w:rPr>
          <w:rFonts w:ascii="Times New Roman" w:hAnsi="Times New Roman" w:hint="eastAsia"/>
          <w:kern w:val="0"/>
          <w:sz w:val="24"/>
        </w:rPr>
        <w:t>5</w:t>
      </w:r>
      <w:r w:rsidR="0070471F">
        <w:rPr>
          <w:rFonts w:ascii="Times New Roman" w:hAnsi="Times New Roman"/>
          <w:kern w:val="0"/>
          <w:sz w:val="24"/>
        </w:rPr>
        <w:t>0</w:t>
      </w:r>
      <w:r>
        <w:rPr>
          <w:rFonts w:ascii="Times New Roman" w:hAnsi="Times New Roman"/>
          <w:kern w:val="0"/>
          <w:sz w:val="24"/>
        </w:rPr>
        <w:t>个工作日出现基金份额持有人数量不满</w:t>
      </w:r>
      <w:r>
        <w:rPr>
          <w:rFonts w:ascii="Times New Roman" w:hAnsi="Times New Roman"/>
          <w:kern w:val="0"/>
          <w:sz w:val="24"/>
        </w:rPr>
        <w:t>200</w:t>
      </w:r>
      <w:r>
        <w:rPr>
          <w:rFonts w:ascii="Times New Roman" w:hAnsi="Times New Roman"/>
          <w:kern w:val="0"/>
          <w:sz w:val="24"/>
        </w:rPr>
        <w:t>人或基金资产净值低于</w:t>
      </w:r>
      <w:r>
        <w:rPr>
          <w:rFonts w:ascii="Times New Roman" w:hAnsi="Times New Roman"/>
          <w:kern w:val="0"/>
          <w:sz w:val="24"/>
        </w:rPr>
        <w:t>5000</w:t>
      </w:r>
      <w:r>
        <w:rPr>
          <w:rFonts w:ascii="Times New Roman" w:hAnsi="Times New Roman"/>
          <w:kern w:val="0"/>
          <w:sz w:val="24"/>
        </w:rPr>
        <w:t>万元情形时</w:t>
      </w:r>
      <w:r w:rsidR="00527CD0">
        <w:rPr>
          <w:rFonts w:ascii="Times New Roman" w:hAnsi="Times New Roman" w:hint="eastAsia"/>
          <w:kern w:val="0"/>
          <w:sz w:val="24"/>
        </w:rPr>
        <w:t>基金合同终止的</w:t>
      </w:r>
      <w:r>
        <w:rPr>
          <w:rFonts w:ascii="Times New Roman" w:hAnsi="Times New Roman"/>
          <w:kern w:val="0"/>
          <w:sz w:val="24"/>
        </w:rPr>
        <w:t>风险；投资本基金的其他风险等等。</w:t>
      </w:r>
    </w:p>
    <w:p w14:paraId="768B84E2" w14:textId="10EFA5AB" w:rsidR="007B7329" w:rsidRDefault="007B7329">
      <w:pPr>
        <w:autoSpaceDE w:val="0"/>
        <w:autoSpaceDN w:val="0"/>
        <w:adjustRightInd w:val="0"/>
        <w:snapToGrid w:val="0"/>
        <w:spacing w:line="360" w:lineRule="auto"/>
        <w:ind w:leftChars="50" w:left="105" w:firstLineChars="200" w:firstLine="480"/>
        <w:rPr>
          <w:rFonts w:ascii="宋体" w:hAnsi="宋体"/>
          <w:kern w:val="0"/>
          <w:sz w:val="24"/>
        </w:rPr>
      </w:pPr>
      <w:r w:rsidRPr="00050B7E">
        <w:rPr>
          <w:rFonts w:ascii="宋体" w:hAnsi="宋体" w:hint="eastAsia"/>
          <w:kern w:val="0"/>
          <w:sz w:val="24"/>
        </w:rPr>
        <w:t>本基金对每份基金份额设置30天的滚动运作期。对于每份基金份额，基金管理人仅在该基金份额的每个运作期到期日为基金份额持有人办理赎回。如果基金份额持有人在当期运作期到期日未申请赎回或赎回被确认失败，则该基金份额将在该运作期到期日下一日起自动进入下一个运作期；在下一个运作期到期日前，基金份额持有人不能赎回该基金份额。</w:t>
      </w:r>
      <w:r>
        <w:rPr>
          <w:rFonts w:ascii="宋体" w:hAnsi="宋体" w:hint="eastAsia"/>
          <w:kern w:val="0"/>
          <w:sz w:val="24"/>
        </w:rPr>
        <w:t>因此基金份额持有人面临在滚动运作期内不能赎回基金份额的风险。</w:t>
      </w:r>
    </w:p>
    <w:p w14:paraId="3809786A" w14:textId="77777777" w:rsidR="00D87CF5" w:rsidRDefault="00CA69E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w:t>
      </w:r>
      <w:r>
        <w:rPr>
          <w:rFonts w:ascii="Times New Roman" w:hAnsi="Times New Roman"/>
          <w:kern w:val="0"/>
          <w:sz w:val="24"/>
        </w:rPr>
        <w:lastRenderedPageBreak/>
        <w:t>波动在内的各项风险。</w:t>
      </w:r>
    </w:p>
    <w:p w14:paraId="5E5D5D09" w14:textId="77777777" w:rsidR="00D87CF5" w:rsidRDefault="00CA69E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本基金是一只债券型基金，其预期风险与预期收益</w:t>
      </w:r>
      <w:r w:rsidR="00527CD0">
        <w:rPr>
          <w:rFonts w:ascii="Times New Roman" w:hAnsi="Times New Roman" w:hint="eastAsia"/>
          <w:kern w:val="0"/>
          <w:sz w:val="24"/>
        </w:rPr>
        <w:t>理论上</w:t>
      </w:r>
      <w:r>
        <w:rPr>
          <w:rFonts w:ascii="Times New Roman" w:hAnsi="Times New Roman"/>
          <w:kern w:val="0"/>
          <w:sz w:val="24"/>
        </w:rPr>
        <w:t>高于货币市场基金，低于混合型基金和股票型基金。</w:t>
      </w:r>
    </w:p>
    <w:p w14:paraId="1762A3CF" w14:textId="7A6D9A6A" w:rsidR="00050B7E" w:rsidRPr="007B7329" w:rsidRDefault="00CA69EB" w:rsidP="007B7329">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投资有风险，投资人在投资本基金前应认真阅读本基金的招募说明书</w:t>
      </w:r>
      <w:r w:rsidR="00527CD0">
        <w:rPr>
          <w:rFonts w:ascii="Times New Roman" w:hAnsi="Times New Roman" w:hint="eastAsia"/>
          <w:kern w:val="0"/>
          <w:sz w:val="24"/>
        </w:rPr>
        <w:t>、</w:t>
      </w:r>
      <w:r>
        <w:rPr>
          <w:rFonts w:ascii="Times New Roman" w:hAnsi="Times New Roman"/>
          <w:kern w:val="0"/>
          <w:sz w:val="24"/>
        </w:rPr>
        <w:t>基金合同</w:t>
      </w:r>
      <w:r w:rsidR="00527CD0">
        <w:rPr>
          <w:rFonts w:ascii="Times New Roman" w:hAnsi="Times New Roman"/>
          <w:kern w:val="0"/>
          <w:sz w:val="24"/>
        </w:rPr>
        <w:t>、基金产品资料概要</w:t>
      </w:r>
      <w:r>
        <w:rPr>
          <w:rFonts w:ascii="Times New Roman" w:hAnsi="Times New Roman"/>
          <w:kern w:val="0"/>
          <w:sz w:val="24"/>
        </w:rPr>
        <w:t>等信息披露文件，自主判断基金的投资价值，自主作出投资决策，自行承担投资风险。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14:paraId="77B07711" w14:textId="10385DDD" w:rsidR="00D87CF5" w:rsidRDefault="00CA69EB">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本基金单一投资者持有基金份额数不得超过基金份额总数的</w:t>
      </w:r>
      <w:r>
        <w:rPr>
          <w:rFonts w:ascii="Times New Roman" w:hAnsi="Times New Roman"/>
          <w:kern w:val="0"/>
          <w:sz w:val="24"/>
        </w:rPr>
        <w:t>50%</w:t>
      </w:r>
      <w:r>
        <w:rPr>
          <w:rFonts w:ascii="Times New Roman" w:hAnsi="Times New Roman"/>
          <w:kern w:val="0"/>
          <w:sz w:val="24"/>
        </w:rPr>
        <w:t>，但在基金运作过程中因基金份额赎回等情形导致被动超过前述</w:t>
      </w:r>
      <w:r>
        <w:rPr>
          <w:rFonts w:ascii="Times New Roman" w:hAnsi="Times New Roman"/>
          <w:kern w:val="0"/>
          <w:sz w:val="24"/>
        </w:rPr>
        <w:t>50%</w:t>
      </w:r>
      <w:r>
        <w:rPr>
          <w:rFonts w:ascii="Times New Roman" w:hAnsi="Times New Roman"/>
          <w:kern w:val="0"/>
          <w:sz w:val="24"/>
        </w:rPr>
        <w:t>比例的除外。</w:t>
      </w:r>
    </w:p>
    <w:p w14:paraId="5D758F38" w14:textId="42B78ADB" w:rsidR="00451EC6" w:rsidRDefault="00451EC6">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本次更新招募说明书主要针对</w:t>
      </w:r>
      <w:r w:rsidRPr="00451EC6">
        <w:rPr>
          <w:rFonts w:ascii="Times New Roman" w:hAnsi="Times New Roman" w:hint="eastAsia"/>
          <w:kern w:val="0"/>
          <w:sz w:val="24"/>
        </w:rPr>
        <w:t>调整销售对象</w:t>
      </w:r>
      <w:r w:rsidRPr="00C56AD2">
        <w:rPr>
          <w:rFonts w:ascii="Times New Roman" w:hAnsi="Times New Roman" w:hint="eastAsia"/>
          <w:kern w:val="0"/>
          <w:sz w:val="24"/>
        </w:rPr>
        <w:t>等相关信息进行更新，</w:t>
      </w:r>
      <w:r w:rsidR="002E50D0">
        <w:rPr>
          <w:rFonts w:ascii="Times New Roman" w:hAnsi="Times New Roman" w:hint="eastAsia"/>
          <w:kern w:val="0"/>
          <w:sz w:val="24"/>
        </w:rPr>
        <w:t>涉及“基金的募集”、“基金合同的生效”及“基金份额的申购与赎回”章节，</w:t>
      </w:r>
      <w:r w:rsidRPr="00C56AD2">
        <w:rPr>
          <w:rFonts w:ascii="Times New Roman" w:hAnsi="Times New Roman" w:hint="eastAsia"/>
          <w:kern w:val="0"/>
          <w:sz w:val="24"/>
        </w:rPr>
        <w:t>前述内容更新截止日为</w:t>
      </w:r>
      <w:r w:rsidRPr="00C56AD2">
        <w:rPr>
          <w:rFonts w:ascii="Times New Roman" w:hAnsi="Times New Roman" w:hint="eastAsia"/>
          <w:kern w:val="0"/>
          <w:sz w:val="24"/>
        </w:rPr>
        <w:t>2023</w:t>
      </w:r>
      <w:r w:rsidRPr="00C56AD2">
        <w:rPr>
          <w:rFonts w:ascii="Times New Roman" w:hAnsi="Times New Roman" w:hint="eastAsia"/>
          <w:kern w:val="0"/>
          <w:sz w:val="24"/>
        </w:rPr>
        <w:t>年</w:t>
      </w:r>
      <w:r>
        <w:rPr>
          <w:rFonts w:ascii="Times New Roman" w:hAnsi="Times New Roman"/>
          <w:kern w:val="0"/>
          <w:sz w:val="24"/>
        </w:rPr>
        <w:t>9</w:t>
      </w:r>
      <w:r w:rsidRPr="00C56AD2">
        <w:rPr>
          <w:rFonts w:ascii="Times New Roman" w:hAnsi="Times New Roman" w:hint="eastAsia"/>
          <w:kern w:val="0"/>
          <w:sz w:val="24"/>
        </w:rPr>
        <w:t>月</w:t>
      </w:r>
      <w:r w:rsidR="00412187">
        <w:rPr>
          <w:rFonts w:ascii="Times New Roman" w:hAnsi="Times New Roman"/>
          <w:kern w:val="0"/>
          <w:sz w:val="24"/>
        </w:rPr>
        <w:t>25</w:t>
      </w:r>
      <w:r w:rsidRPr="00C56AD2">
        <w:rPr>
          <w:rFonts w:ascii="Times New Roman" w:hAnsi="Times New Roman" w:hint="eastAsia"/>
          <w:kern w:val="0"/>
          <w:sz w:val="24"/>
        </w:rPr>
        <w:t>日</w:t>
      </w:r>
      <w:r w:rsidR="00BC071A">
        <w:rPr>
          <w:rFonts w:ascii="Times New Roman" w:hAnsi="Times New Roman" w:hint="eastAsia"/>
          <w:kern w:val="0"/>
          <w:sz w:val="24"/>
        </w:rPr>
        <w:t>；</w:t>
      </w:r>
      <w:r w:rsidR="00836CAE" w:rsidRPr="00836CAE">
        <w:rPr>
          <w:rFonts w:ascii="Times New Roman" w:hAnsi="Times New Roman" w:hint="eastAsia"/>
          <w:kern w:val="0"/>
          <w:sz w:val="24"/>
        </w:rPr>
        <w:t>除非另有说明，本招募说明书其他所载内容截止日为</w:t>
      </w:r>
      <w:r w:rsidR="00836CAE" w:rsidRPr="00836CAE">
        <w:rPr>
          <w:rFonts w:ascii="Times New Roman" w:hAnsi="Times New Roman" w:hint="eastAsia"/>
          <w:kern w:val="0"/>
          <w:sz w:val="24"/>
        </w:rPr>
        <w:t>202</w:t>
      </w:r>
      <w:r w:rsidR="0060588F">
        <w:rPr>
          <w:rFonts w:ascii="Times New Roman" w:hAnsi="Times New Roman"/>
          <w:kern w:val="0"/>
          <w:sz w:val="24"/>
        </w:rPr>
        <w:t>2</w:t>
      </w:r>
      <w:r w:rsidR="00836CAE" w:rsidRPr="00836CAE">
        <w:rPr>
          <w:rFonts w:ascii="Times New Roman" w:hAnsi="Times New Roman" w:hint="eastAsia"/>
          <w:kern w:val="0"/>
          <w:sz w:val="24"/>
        </w:rPr>
        <w:t>年</w:t>
      </w:r>
      <w:r w:rsidR="0060588F">
        <w:rPr>
          <w:rFonts w:ascii="Times New Roman" w:hAnsi="Times New Roman"/>
          <w:kern w:val="0"/>
          <w:sz w:val="24"/>
        </w:rPr>
        <w:t>11</w:t>
      </w:r>
      <w:r w:rsidR="00836CAE" w:rsidRPr="00836CAE">
        <w:rPr>
          <w:rFonts w:ascii="Times New Roman" w:hAnsi="Times New Roman" w:hint="eastAsia"/>
          <w:kern w:val="0"/>
          <w:sz w:val="24"/>
        </w:rPr>
        <w:t>月</w:t>
      </w:r>
      <w:r w:rsidR="0060588F">
        <w:rPr>
          <w:rFonts w:ascii="Times New Roman" w:hAnsi="Times New Roman"/>
          <w:kern w:val="0"/>
          <w:sz w:val="24"/>
        </w:rPr>
        <w:t>7</w:t>
      </w:r>
      <w:r w:rsidR="00836CAE" w:rsidRPr="00836CAE">
        <w:rPr>
          <w:rFonts w:ascii="Times New Roman" w:hAnsi="Times New Roman" w:hint="eastAsia"/>
          <w:kern w:val="0"/>
          <w:sz w:val="24"/>
        </w:rPr>
        <w:t>日</w:t>
      </w:r>
      <w:r w:rsidR="0060588F">
        <w:rPr>
          <w:rFonts w:ascii="Times New Roman" w:hAnsi="Times New Roman" w:hint="eastAsia"/>
          <w:kern w:val="0"/>
          <w:sz w:val="24"/>
        </w:rPr>
        <w:t>。</w:t>
      </w:r>
    </w:p>
    <w:p w14:paraId="13E0EFAF" w14:textId="598C6773" w:rsidR="007C18DF" w:rsidRDefault="007C18DF">
      <w:pPr>
        <w:autoSpaceDE w:val="0"/>
        <w:autoSpaceDN w:val="0"/>
        <w:adjustRightInd w:val="0"/>
        <w:snapToGrid w:val="0"/>
        <w:spacing w:line="360" w:lineRule="auto"/>
        <w:ind w:leftChars="50" w:left="105" w:firstLineChars="200" w:firstLine="480"/>
        <w:rPr>
          <w:rFonts w:ascii="宋体" w:hAnsi="宋体"/>
          <w:kern w:val="0"/>
          <w:sz w:val="24"/>
        </w:rPr>
      </w:pPr>
    </w:p>
    <w:p w14:paraId="47F79129" w14:textId="77777777" w:rsidR="00D87CF5" w:rsidRPr="0060588F" w:rsidRDefault="00D87CF5">
      <w:pPr>
        <w:autoSpaceDE w:val="0"/>
        <w:autoSpaceDN w:val="0"/>
        <w:adjustRightInd w:val="0"/>
        <w:snapToGrid w:val="0"/>
        <w:spacing w:before="51" w:line="360" w:lineRule="auto"/>
        <w:ind w:left="120" w:rightChars="6" w:right="13" w:firstLine="480"/>
        <w:rPr>
          <w:rFonts w:ascii="宋体" w:hAnsi="宋体"/>
          <w:kern w:val="0"/>
          <w:szCs w:val="24"/>
        </w:rPr>
        <w:sectPr w:rsidR="00D87CF5" w:rsidRPr="0060588F">
          <w:headerReference w:type="default" r:id="rId13"/>
          <w:pgSz w:w="11920" w:h="16840"/>
          <w:pgMar w:top="1440" w:right="1680" w:bottom="280" w:left="1680" w:header="0" w:footer="1073" w:gutter="0"/>
          <w:pgNumType w:start="1"/>
          <w:cols w:space="720"/>
        </w:sectPr>
      </w:pPr>
    </w:p>
    <w:p w14:paraId="337B259F" w14:textId="77777777" w:rsidR="003073D4" w:rsidRPr="003073D4" w:rsidRDefault="00CA69EB" w:rsidP="003073D4">
      <w:pPr>
        <w:keepNext/>
        <w:keepLines/>
        <w:widowControl/>
        <w:snapToGrid w:val="0"/>
        <w:spacing w:before="480" w:afterLines="100" w:after="240" w:line="360" w:lineRule="auto"/>
        <w:jc w:val="center"/>
        <w:rPr>
          <w:rFonts w:ascii="宋体" w:hAnsi="宋体"/>
          <w:b/>
          <w:bCs/>
          <w:color w:val="000000"/>
          <w:kern w:val="0"/>
          <w:position w:val="-4"/>
          <w:sz w:val="24"/>
          <w:szCs w:val="30"/>
        </w:rPr>
      </w:pPr>
      <w:r w:rsidRPr="003073D4">
        <w:rPr>
          <w:rFonts w:ascii="宋体" w:hAnsi="宋体"/>
          <w:b/>
          <w:bCs/>
          <w:color w:val="000000"/>
          <w:kern w:val="0"/>
          <w:position w:val="-4"/>
          <w:sz w:val="24"/>
          <w:szCs w:val="30"/>
        </w:rPr>
        <w:lastRenderedPageBreak/>
        <w:t>目</w:t>
      </w:r>
      <w:r w:rsidRPr="003073D4">
        <w:rPr>
          <w:rFonts w:ascii="宋体" w:hAnsi="宋体"/>
          <w:b/>
          <w:bCs/>
          <w:color w:val="000000"/>
          <w:kern w:val="0"/>
          <w:position w:val="-4"/>
          <w:sz w:val="24"/>
          <w:szCs w:val="30"/>
        </w:rPr>
        <w:tab/>
        <w:t>录</w:t>
      </w:r>
    </w:p>
    <w:p w14:paraId="0C05296E" w14:textId="50FC2A6E" w:rsidR="003073D4" w:rsidRPr="003073D4" w:rsidRDefault="002308B4" w:rsidP="003073D4">
      <w:pPr>
        <w:pStyle w:val="11"/>
        <w:tabs>
          <w:tab w:val="right" w:leader="dot" w:pos="8550"/>
        </w:tabs>
        <w:spacing w:line="360" w:lineRule="auto"/>
        <w:rPr>
          <w:rStyle w:val="af0"/>
          <w:rFonts w:ascii="宋体" w:hAnsi="宋体"/>
          <w:sz w:val="24"/>
        </w:rPr>
      </w:pPr>
      <w:r w:rsidRPr="002308B4">
        <w:rPr>
          <w:rFonts w:ascii="宋体" w:hAnsi="宋体"/>
          <w:color w:val="000000"/>
          <w:position w:val="-4"/>
          <w:sz w:val="24"/>
          <w:szCs w:val="30"/>
        </w:rPr>
        <w:fldChar w:fldCharType="begin"/>
      </w:r>
      <w:r w:rsidRPr="002308B4">
        <w:rPr>
          <w:rFonts w:ascii="宋体" w:hAnsi="宋体"/>
          <w:color w:val="000000"/>
          <w:position w:val="-4"/>
          <w:sz w:val="24"/>
          <w:szCs w:val="30"/>
        </w:rPr>
        <w:instrText xml:space="preserve"> TOC \o "1-3" \f - \h \t "-1" </w:instrText>
      </w:r>
      <w:r w:rsidRPr="002308B4">
        <w:rPr>
          <w:rFonts w:ascii="宋体" w:hAnsi="宋体"/>
          <w:color w:val="000000"/>
          <w:position w:val="-4"/>
          <w:sz w:val="24"/>
          <w:szCs w:val="30"/>
        </w:rPr>
        <w:fldChar w:fldCharType="separate"/>
      </w:r>
      <w:hyperlink w:anchor="_Toc104564183" w:history="1">
        <w:r w:rsidR="003073D4" w:rsidRPr="003073D4">
          <w:rPr>
            <w:rStyle w:val="af0"/>
            <w:rFonts w:ascii="宋体" w:hAnsi="宋体"/>
            <w:noProof/>
            <w:sz w:val="24"/>
          </w:rPr>
          <w:t>重要提示</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_Toc104564183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1</w:t>
        </w:r>
        <w:r w:rsidR="003073D4" w:rsidRPr="003073D4">
          <w:rPr>
            <w:rStyle w:val="af0"/>
            <w:rFonts w:ascii="宋体" w:hAnsi="宋体"/>
            <w:sz w:val="24"/>
          </w:rPr>
          <w:fldChar w:fldCharType="end"/>
        </w:r>
      </w:hyperlink>
    </w:p>
    <w:p w14:paraId="3D131DCE" w14:textId="39AF1B6B" w:rsidR="003073D4" w:rsidRPr="003073D4" w:rsidRDefault="009A6921" w:rsidP="003073D4">
      <w:pPr>
        <w:pStyle w:val="11"/>
        <w:tabs>
          <w:tab w:val="right" w:leader="dot" w:pos="8550"/>
        </w:tabs>
        <w:spacing w:line="360" w:lineRule="auto"/>
        <w:rPr>
          <w:rStyle w:val="af0"/>
          <w:rFonts w:ascii="宋体" w:hAnsi="宋体"/>
          <w:sz w:val="24"/>
        </w:rPr>
      </w:pPr>
      <w:hyperlink w:anchor="_Toc104564184" w:history="1">
        <w:r w:rsidR="003073D4" w:rsidRPr="003073D4">
          <w:rPr>
            <w:rStyle w:val="af0"/>
            <w:rFonts w:ascii="宋体" w:hAnsi="宋体"/>
            <w:noProof/>
            <w:sz w:val="24"/>
          </w:rPr>
          <w:t>一、绪言</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_Toc104564184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4</w:t>
        </w:r>
        <w:r w:rsidR="003073D4" w:rsidRPr="003073D4">
          <w:rPr>
            <w:rStyle w:val="af0"/>
            <w:rFonts w:ascii="宋体" w:hAnsi="宋体"/>
            <w:sz w:val="24"/>
          </w:rPr>
          <w:fldChar w:fldCharType="end"/>
        </w:r>
      </w:hyperlink>
    </w:p>
    <w:p w14:paraId="216B2E32" w14:textId="72785D7D" w:rsidR="003073D4" w:rsidRPr="003073D4" w:rsidRDefault="009A6921" w:rsidP="003073D4">
      <w:pPr>
        <w:pStyle w:val="11"/>
        <w:tabs>
          <w:tab w:val="right" w:leader="dot" w:pos="8550"/>
        </w:tabs>
        <w:spacing w:line="360" w:lineRule="auto"/>
        <w:rPr>
          <w:rStyle w:val="af0"/>
          <w:rFonts w:ascii="宋体" w:hAnsi="宋体"/>
          <w:sz w:val="24"/>
        </w:rPr>
      </w:pPr>
      <w:hyperlink w:anchor="_Toc104564185" w:history="1">
        <w:r w:rsidR="003073D4" w:rsidRPr="003073D4">
          <w:rPr>
            <w:rStyle w:val="af0"/>
            <w:rFonts w:ascii="宋体" w:hAnsi="宋体"/>
            <w:noProof/>
            <w:sz w:val="24"/>
          </w:rPr>
          <w:t>二、释义</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_Toc104564185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5</w:t>
        </w:r>
        <w:r w:rsidR="003073D4" w:rsidRPr="003073D4">
          <w:rPr>
            <w:rStyle w:val="af0"/>
            <w:rFonts w:ascii="宋体" w:hAnsi="宋体"/>
            <w:sz w:val="24"/>
          </w:rPr>
          <w:fldChar w:fldCharType="end"/>
        </w:r>
      </w:hyperlink>
    </w:p>
    <w:p w14:paraId="27D7FD25" w14:textId="48C00D93" w:rsidR="003073D4" w:rsidRPr="003073D4" w:rsidRDefault="009A6921" w:rsidP="003073D4">
      <w:pPr>
        <w:pStyle w:val="11"/>
        <w:tabs>
          <w:tab w:val="right" w:leader="dot" w:pos="8550"/>
        </w:tabs>
        <w:spacing w:line="360" w:lineRule="auto"/>
        <w:rPr>
          <w:rStyle w:val="af0"/>
          <w:rFonts w:ascii="宋体" w:hAnsi="宋体"/>
          <w:sz w:val="24"/>
        </w:rPr>
      </w:pPr>
      <w:hyperlink w:anchor="_Toc104564186" w:history="1">
        <w:r w:rsidR="003073D4" w:rsidRPr="003073D4">
          <w:rPr>
            <w:rStyle w:val="af0"/>
            <w:rFonts w:ascii="宋体" w:hAnsi="宋体"/>
            <w:noProof/>
            <w:sz w:val="24"/>
          </w:rPr>
          <w:t>三、基金管理人</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_Toc104564186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10</w:t>
        </w:r>
        <w:r w:rsidR="003073D4" w:rsidRPr="003073D4">
          <w:rPr>
            <w:rStyle w:val="af0"/>
            <w:rFonts w:ascii="宋体" w:hAnsi="宋体"/>
            <w:sz w:val="24"/>
          </w:rPr>
          <w:fldChar w:fldCharType="end"/>
        </w:r>
      </w:hyperlink>
    </w:p>
    <w:p w14:paraId="24174B23" w14:textId="42960B26" w:rsidR="003073D4" w:rsidRPr="003073D4" w:rsidRDefault="009A6921" w:rsidP="003073D4">
      <w:pPr>
        <w:pStyle w:val="11"/>
        <w:tabs>
          <w:tab w:val="right" w:leader="dot" w:pos="8550"/>
        </w:tabs>
        <w:spacing w:line="360" w:lineRule="auto"/>
        <w:rPr>
          <w:rStyle w:val="af0"/>
          <w:rFonts w:ascii="宋体" w:hAnsi="宋体"/>
          <w:sz w:val="24"/>
        </w:rPr>
      </w:pPr>
      <w:hyperlink w:anchor="_Toc104564187" w:history="1">
        <w:r w:rsidR="003073D4" w:rsidRPr="003073D4">
          <w:rPr>
            <w:rStyle w:val="af0"/>
            <w:rFonts w:ascii="宋体" w:hAnsi="宋体"/>
            <w:noProof/>
            <w:sz w:val="24"/>
          </w:rPr>
          <w:t>四、基金托管人</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_Toc104564187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18</w:t>
        </w:r>
        <w:r w:rsidR="003073D4" w:rsidRPr="003073D4">
          <w:rPr>
            <w:rStyle w:val="af0"/>
            <w:rFonts w:ascii="宋体" w:hAnsi="宋体"/>
            <w:sz w:val="24"/>
          </w:rPr>
          <w:fldChar w:fldCharType="end"/>
        </w:r>
      </w:hyperlink>
    </w:p>
    <w:p w14:paraId="2CAA3743" w14:textId="73BC95C2" w:rsidR="003073D4" w:rsidRPr="003073D4" w:rsidRDefault="009A6921" w:rsidP="003073D4">
      <w:pPr>
        <w:pStyle w:val="11"/>
        <w:tabs>
          <w:tab w:val="right" w:leader="dot" w:pos="8550"/>
        </w:tabs>
        <w:spacing w:line="360" w:lineRule="auto"/>
        <w:rPr>
          <w:rStyle w:val="af0"/>
          <w:rFonts w:ascii="宋体" w:hAnsi="宋体"/>
          <w:sz w:val="24"/>
        </w:rPr>
      </w:pPr>
      <w:hyperlink w:anchor="_Toc104564188" w:history="1">
        <w:r w:rsidR="003073D4" w:rsidRPr="003073D4">
          <w:rPr>
            <w:rStyle w:val="af0"/>
            <w:rFonts w:ascii="宋体" w:hAnsi="宋体"/>
            <w:noProof/>
            <w:sz w:val="24"/>
          </w:rPr>
          <w:t>五、相关服务机构</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_Toc104564188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24</w:t>
        </w:r>
        <w:r w:rsidR="003073D4" w:rsidRPr="003073D4">
          <w:rPr>
            <w:rStyle w:val="af0"/>
            <w:rFonts w:ascii="宋体" w:hAnsi="宋体"/>
            <w:sz w:val="24"/>
          </w:rPr>
          <w:fldChar w:fldCharType="end"/>
        </w:r>
      </w:hyperlink>
    </w:p>
    <w:p w14:paraId="1916CC00" w14:textId="7AC61C32" w:rsidR="003073D4" w:rsidRPr="003073D4" w:rsidRDefault="009A6921" w:rsidP="003073D4">
      <w:pPr>
        <w:pStyle w:val="11"/>
        <w:tabs>
          <w:tab w:val="right" w:leader="dot" w:pos="8550"/>
        </w:tabs>
        <w:spacing w:line="360" w:lineRule="auto"/>
        <w:rPr>
          <w:rStyle w:val="af0"/>
          <w:rFonts w:ascii="宋体" w:hAnsi="宋体"/>
          <w:sz w:val="24"/>
        </w:rPr>
      </w:pPr>
      <w:hyperlink w:anchor="_Toc104564189" w:history="1">
        <w:r w:rsidR="003073D4" w:rsidRPr="003073D4">
          <w:rPr>
            <w:rStyle w:val="af0"/>
            <w:rFonts w:ascii="宋体" w:hAnsi="宋体"/>
            <w:noProof/>
            <w:sz w:val="24"/>
          </w:rPr>
          <w:t>六、基金的募集</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_Toc104564189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27</w:t>
        </w:r>
        <w:r w:rsidR="003073D4" w:rsidRPr="003073D4">
          <w:rPr>
            <w:rStyle w:val="af0"/>
            <w:rFonts w:ascii="宋体" w:hAnsi="宋体"/>
            <w:sz w:val="24"/>
          </w:rPr>
          <w:fldChar w:fldCharType="end"/>
        </w:r>
      </w:hyperlink>
    </w:p>
    <w:p w14:paraId="1A9CDA7E" w14:textId="0733D896" w:rsidR="003073D4" w:rsidRPr="003073D4" w:rsidRDefault="009A6921" w:rsidP="003073D4">
      <w:pPr>
        <w:pStyle w:val="11"/>
        <w:tabs>
          <w:tab w:val="right" w:leader="dot" w:pos="8550"/>
        </w:tabs>
        <w:spacing w:line="360" w:lineRule="auto"/>
        <w:rPr>
          <w:rStyle w:val="af0"/>
          <w:rFonts w:ascii="宋体" w:hAnsi="宋体"/>
          <w:sz w:val="24"/>
        </w:rPr>
      </w:pPr>
      <w:hyperlink w:anchor="_Toc104564190" w:history="1">
        <w:r w:rsidR="003073D4" w:rsidRPr="003073D4">
          <w:rPr>
            <w:rStyle w:val="af0"/>
            <w:rFonts w:ascii="宋体" w:hAnsi="宋体"/>
            <w:noProof/>
            <w:sz w:val="24"/>
          </w:rPr>
          <w:t>七、基金合同的生效</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_Toc104564190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33</w:t>
        </w:r>
        <w:r w:rsidR="003073D4" w:rsidRPr="003073D4">
          <w:rPr>
            <w:rStyle w:val="af0"/>
            <w:rFonts w:ascii="宋体" w:hAnsi="宋体"/>
            <w:sz w:val="24"/>
          </w:rPr>
          <w:fldChar w:fldCharType="end"/>
        </w:r>
      </w:hyperlink>
    </w:p>
    <w:p w14:paraId="0E76D9FC" w14:textId="48A56C4E" w:rsidR="003073D4" w:rsidRPr="003073D4" w:rsidRDefault="009A6921" w:rsidP="003073D4">
      <w:pPr>
        <w:pStyle w:val="11"/>
        <w:tabs>
          <w:tab w:val="right" w:leader="dot" w:pos="8550"/>
        </w:tabs>
        <w:spacing w:line="360" w:lineRule="auto"/>
        <w:rPr>
          <w:rStyle w:val="af0"/>
          <w:rFonts w:ascii="宋体" w:hAnsi="宋体"/>
          <w:sz w:val="24"/>
        </w:rPr>
      </w:pPr>
      <w:hyperlink w:anchor="_Toc104564191" w:history="1">
        <w:r w:rsidR="003073D4" w:rsidRPr="003073D4">
          <w:rPr>
            <w:rStyle w:val="af0"/>
            <w:rFonts w:ascii="宋体" w:hAnsi="宋体"/>
            <w:noProof/>
            <w:sz w:val="24"/>
          </w:rPr>
          <w:t>八、基金份额的申购与赎回</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_Toc104564191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34</w:t>
        </w:r>
        <w:r w:rsidR="003073D4" w:rsidRPr="003073D4">
          <w:rPr>
            <w:rStyle w:val="af0"/>
            <w:rFonts w:ascii="宋体" w:hAnsi="宋体"/>
            <w:sz w:val="24"/>
          </w:rPr>
          <w:fldChar w:fldCharType="end"/>
        </w:r>
      </w:hyperlink>
    </w:p>
    <w:p w14:paraId="00955398" w14:textId="563FBC35" w:rsidR="003073D4" w:rsidRPr="003073D4" w:rsidRDefault="009A6921" w:rsidP="003073D4">
      <w:pPr>
        <w:pStyle w:val="11"/>
        <w:tabs>
          <w:tab w:val="right" w:leader="dot" w:pos="8550"/>
        </w:tabs>
        <w:spacing w:line="360" w:lineRule="auto"/>
        <w:rPr>
          <w:rStyle w:val="af0"/>
          <w:rFonts w:ascii="宋体" w:hAnsi="宋体"/>
          <w:sz w:val="24"/>
        </w:rPr>
      </w:pPr>
      <w:hyperlink w:anchor="_Toc104564192" w:history="1">
        <w:r w:rsidR="003073D4" w:rsidRPr="003073D4">
          <w:rPr>
            <w:rStyle w:val="af0"/>
            <w:rFonts w:ascii="宋体" w:hAnsi="宋体"/>
            <w:noProof/>
            <w:sz w:val="24"/>
          </w:rPr>
          <w:t>九、基金的投资</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_Toc104564192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46</w:t>
        </w:r>
        <w:r w:rsidR="003073D4" w:rsidRPr="003073D4">
          <w:rPr>
            <w:rStyle w:val="af0"/>
            <w:rFonts w:ascii="宋体" w:hAnsi="宋体"/>
            <w:sz w:val="24"/>
          </w:rPr>
          <w:fldChar w:fldCharType="end"/>
        </w:r>
      </w:hyperlink>
    </w:p>
    <w:p w14:paraId="7BB4A6C9" w14:textId="145FA552" w:rsidR="003073D4" w:rsidRPr="003073D4" w:rsidRDefault="009A6921" w:rsidP="003073D4">
      <w:pPr>
        <w:pStyle w:val="11"/>
        <w:tabs>
          <w:tab w:val="right" w:leader="dot" w:pos="8550"/>
        </w:tabs>
        <w:spacing w:line="360" w:lineRule="auto"/>
        <w:rPr>
          <w:rStyle w:val="af0"/>
          <w:rFonts w:ascii="宋体" w:hAnsi="宋体"/>
          <w:sz w:val="24"/>
        </w:rPr>
      </w:pPr>
      <w:hyperlink w:anchor="_Toc104564193" w:history="1">
        <w:r w:rsidR="003073D4" w:rsidRPr="003073D4">
          <w:rPr>
            <w:rStyle w:val="af0"/>
            <w:rFonts w:ascii="宋体" w:hAnsi="宋体"/>
            <w:noProof/>
            <w:sz w:val="24"/>
          </w:rPr>
          <w:t>十、基金的财产</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_Toc104564193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53</w:t>
        </w:r>
        <w:r w:rsidR="003073D4" w:rsidRPr="003073D4">
          <w:rPr>
            <w:rStyle w:val="af0"/>
            <w:rFonts w:ascii="宋体" w:hAnsi="宋体"/>
            <w:sz w:val="24"/>
          </w:rPr>
          <w:fldChar w:fldCharType="end"/>
        </w:r>
      </w:hyperlink>
    </w:p>
    <w:p w14:paraId="5C6F728B" w14:textId="61A2215A" w:rsidR="003073D4" w:rsidRPr="003073D4" w:rsidRDefault="009A6921" w:rsidP="003073D4">
      <w:pPr>
        <w:pStyle w:val="11"/>
        <w:tabs>
          <w:tab w:val="right" w:leader="dot" w:pos="8550"/>
        </w:tabs>
        <w:spacing w:line="360" w:lineRule="auto"/>
        <w:rPr>
          <w:rStyle w:val="af0"/>
          <w:rFonts w:ascii="宋体" w:hAnsi="宋体"/>
          <w:sz w:val="24"/>
        </w:rPr>
      </w:pPr>
      <w:hyperlink w:anchor="_Toc104564194" w:history="1">
        <w:r w:rsidR="003073D4" w:rsidRPr="003073D4">
          <w:rPr>
            <w:rStyle w:val="af0"/>
            <w:rFonts w:ascii="宋体" w:hAnsi="宋体"/>
            <w:noProof/>
            <w:sz w:val="24"/>
          </w:rPr>
          <w:t>十一、基金资产的估值</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_Toc104564194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54</w:t>
        </w:r>
        <w:r w:rsidR="003073D4" w:rsidRPr="003073D4">
          <w:rPr>
            <w:rStyle w:val="af0"/>
            <w:rFonts w:ascii="宋体" w:hAnsi="宋体"/>
            <w:sz w:val="24"/>
          </w:rPr>
          <w:fldChar w:fldCharType="end"/>
        </w:r>
      </w:hyperlink>
    </w:p>
    <w:p w14:paraId="3A8A17BD" w14:textId="5B1BC705" w:rsidR="003073D4" w:rsidRPr="003073D4" w:rsidRDefault="009A6921" w:rsidP="003073D4">
      <w:pPr>
        <w:pStyle w:val="11"/>
        <w:tabs>
          <w:tab w:val="right" w:leader="dot" w:pos="8550"/>
        </w:tabs>
        <w:spacing w:line="360" w:lineRule="auto"/>
        <w:rPr>
          <w:rStyle w:val="af0"/>
          <w:rFonts w:ascii="宋体" w:hAnsi="宋体"/>
          <w:sz w:val="24"/>
        </w:rPr>
      </w:pPr>
      <w:hyperlink w:anchor="_Toc104564195" w:history="1">
        <w:r w:rsidR="003073D4" w:rsidRPr="003073D4">
          <w:rPr>
            <w:rStyle w:val="af0"/>
            <w:rFonts w:ascii="宋体" w:hAnsi="宋体"/>
            <w:noProof/>
            <w:sz w:val="24"/>
          </w:rPr>
          <w:t>十二、基金收益与分配</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_Toc104564195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60</w:t>
        </w:r>
        <w:r w:rsidR="003073D4" w:rsidRPr="003073D4">
          <w:rPr>
            <w:rStyle w:val="af0"/>
            <w:rFonts w:ascii="宋体" w:hAnsi="宋体"/>
            <w:sz w:val="24"/>
          </w:rPr>
          <w:fldChar w:fldCharType="end"/>
        </w:r>
      </w:hyperlink>
    </w:p>
    <w:p w14:paraId="5EBD6DF2" w14:textId="7935FF4D" w:rsidR="003073D4" w:rsidRPr="003073D4" w:rsidRDefault="009A6921" w:rsidP="003073D4">
      <w:pPr>
        <w:pStyle w:val="11"/>
        <w:tabs>
          <w:tab w:val="right" w:leader="dot" w:pos="8550"/>
        </w:tabs>
        <w:spacing w:line="360" w:lineRule="auto"/>
        <w:rPr>
          <w:rStyle w:val="af0"/>
          <w:rFonts w:ascii="宋体" w:hAnsi="宋体"/>
          <w:sz w:val="24"/>
        </w:rPr>
      </w:pPr>
      <w:hyperlink w:anchor="_Toc104564196" w:history="1">
        <w:r w:rsidR="003073D4" w:rsidRPr="003073D4">
          <w:rPr>
            <w:rStyle w:val="af0"/>
            <w:rFonts w:ascii="宋体" w:hAnsi="宋体"/>
            <w:noProof/>
            <w:sz w:val="24"/>
          </w:rPr>
          <w:t>十三、基金的费用与税收</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_Toc104564196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62</w:t>
        </w:r>
        <w:r w:rsidR="003073D4" w:rsidRPr="003073D4">
          <w:rPr>
            <w:rStyle w:val="af0"/>
            <w:rFonts w:ascii="宋体" w:hAnsi="宋体"/>
            <w:sz w:val="24"/>
          </w:rPr>
          <w:fldChar w:fldCharType="end"/>
        </w:r>
      </w:hyperlink>
    </w:p>
    <w:p w14:paraId="242FD746" w14:textId="6069F15F" w:rsidR="003073D4" w:rsidRPr="003073D4" w:rsidRDefault="009A6921" w:rsidP="003073D4">
      <w:pPr>
        <w:pStyle w:val="11"/>
        <w:tabs>
          <w:tab w:val="right" w:leader="dot" w:pos="8550"/>
        </w:tabs>
        <w:spacing w:line="360" w:lineRule="auto"/>
        <w:rPr>
          <w:rStyle w:val="af0"/>
          <w:rFonts w:ascii="宋体" w:hAnsi="宋体"/>
          <w:sz w:val="24"/>
        </w:rPr>
      </w:pPr>
      <w:hyperlink w:anchor="_Toc104564197" w:history="1">
        <w:r w:rsidR="003073D4" w:rsidRPr="003073D4">
          <w:rPr>
            <w:rStyle w:val="af0"/>
            <w:rFonts w:ascii="宋体" w:hAnsi="宋体"/>
            <w:noProof/>
            <w:sz w:val="24"/>
          </w:rPr>
          <w:t>十四、基金的会计与审计</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_Toc104564197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65</w:t>
        </w:r>
        <w:r w:rsidR="003073D4" w:rsidRPr="003073D4">
          <w:rPr>
            <w:rStyle w:val="af0"/>
            <w:rFonts w:ascii="宋体" w:hAnsi="宋体"/>
            <w:sz w:val="24"/>
          </w:rPr>
          <w:fldChar w:fldCharType="end"/>
        </w:r>
      </w:hyperlink>
    </w:p>
    <w:p w14:paraId="5A6263A8" w14:textId="3292A265" w:rsidR="003073D4" w:rsidRPr="003073D4" w:rsidRDefault="009A6921" w:rsidP="003073D4">
      <w:pPr>
        <w:pStyle w:val="11"/>
        <w:tabs>
          <w:tab w:val="right" w:leader="dot" w:pos="8550"/>
        </w:tabs>
        <w:spacing w:line="360" w:lineRule="auto"/>
        <w:rPr>
          <w:rStyle w:val="af0"/>
          <w:rFonts w:ascii="宋体" w:hAnsi="宋体"/>
          <w:sz w:val="24"/>
        </w:rPr>
      </w:pPr>
      <w:hyperlink w:anchor="_Toc104564198" w:history="1">
        <w:r w:rsidR="003073D4" w:rsidRPr="003073D4">
          <w:rPr>
            <w:rStyle w:val="af0"/>
            <w:rFonts w:ascii="宋体" w:hAnsi="宋体"/>
            <w:noProof/>
            <w:sz w:val="24"/>
          </w:rPr>
          <w:t>十五、基金的信息披露</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_Toc104564198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66</w:t>
        </w:r>
        <w:r w:rsidR="003073D4" w:rsidRPr="003073D4">
          <w:rPr>
            <w:rStyle w:val="af0"/>
            <w:rFonts w:ascii="宋体" w:hAnsi="宋体"/>
            <w:sz w:val="24"/>
          </w:rPr>
          <w:fldChar w:fldCharType="end"/>
        </w:r>
      </w:hyperlink>
    </w:p>
    <w:p w14:paraId="0B960BF6" w14:textId="6DA8F105" w:rsidR="003073D4" w:rsidRPr="003073D4" w:rsidRDefault="009A6921" w:rsidP="003073D4">
      <w:pPr>
        <w:pStyle w:val="11"/>
        <w:tabs>
          <w:tab w:val="right" w:leader="dot" w:pos="8550"/>
        </w:tabs>
        <w:spacing w:line="360" w:lineRule="auto"/>
        <w:rPr>
          <w:rStyle w:val="af0"/>
          <w:rFonts w:ascii="宋体" w:hAnsi="宋体"/>
          <w:sz w:val="24"/>
        </w:rPr>
      </w:pPr>
      <w:hyperlink w:anchor="_Toc104564199" w:history="1">
        <w:r w:rsidR="003073D4" w:rsidRPr="003073D4">
          <w:rPr>
            <w:rStyle w:val="af0"/>
            <w:rFonts w:ascii="宋体" w:hAnsi="宋体"/>
            <w:noProof/>
            <w:sz w:val="24"/>
          </w:rPr>
          <w:t>十六、侧袋机制</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_Toc104564199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73</w:t>
        </w:r>
        <w:r w:rsidR="003073D4" w:rsidRPr="003073D4">
          <w:rPr>
            <w:rStyle w:val="af0"/>
            <w:rFonts w:ascii="宋体" w:hAnsi="宋体"/>
            <w:sz w:val="24"/>
          </w:rPr>
          <w:fldChar w:fldCharType="end"/>
        </w:r>
      </w:hyperlink>
    </w:p>
    <w:p w14:paraId="16558D60" w14:textId="195E4A53" w:rsidR="003073D4" w:rsidRPr="003073D4" w:rsidRDefault="009A6921" w:rsidP="003073D4">
      <w:pPr>
        <w:pStyle w:val="11"/>
        <w:tabs>
          <w:tab w:val="right" w:leader="dot" w:pos="8550"/>
        </w:tabs>
        <w:spacing w:line="360" w:lineRule="auto"/>
        <w:rPr>
          <w:rStyle w:val="af0"/>
          <w:rFonts w:ascii="宋体" w:hAnsi="宋体"/>
          <w:sz w:val="24"/>
        </w:rPr>
      </w:pPr>
      <w:hyperlink w:anchor="_Toc104564200" w:history="1">
        <w:r w:rsidR="003073D4" w:rsidRPr="003073D4">
          <w:rPr>
            <w:rStyle w:val="af0"/>
            <w:rFonts w:ascii="宋体" w:hAnsi="宋体"/>
            <w:noProof/>
            <w:sz w:val="24"/>
          </w:rPr>
          <w:t>十七、风险揭示</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_Toc104564200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75</w:t>
        </w:r>
        <w:r w:rsidR="003073D4" w:rsidRPr="003073D4">
          <w:rPr>
            <w:rStyle w:val="af0"/>
            <w:rFonts w:ascii="宋体" w:hAnsi="宋体"/>
            <w:sz w:val="24"/>
          </w:rPr>
          <w:fldChar w:fldCharType="end"/>
        </w:r>
      </w:hyperlink>
    </w:p>
    <w:p w14:paraId="6B1D4768" w14:textId="6FFCB6CC" w:rsidR="003073D4" w:rsidRPr="003073D4" w:rsidRDefault="009A6921" w:rsidP="003073D4">
      <w:pPr>
        <w:pStyle w:val="11"/>
        <w:tabs>
          <w:tab w:val="right" w:leader="dot" w:pos="8550"/>
        </w:tabs>
        <w:spacing w:line="360" w:lineRule="auto"/>
        <w:rPr>
          <w:rStyle w:val="af0"/>
          <w:rFonts w:ascii="宋体" w:hAnsi="宋体"/>
          <w:sz w:val="24"/>
        </w:rPr>
      </w:pPr>
      <w:hyperlink w:anchor="_Toc104564201" w:history="1">
        <w:r w:rsidR="003073D4" w:rsidRPr="003073D4">
          <w:rPr>
            <w:rStyle w:val="af0"/>
            <w:rFonts w:ascii="宋体" w:hAnsi="宋体"/>
            <w:noProof/>
            <w:sz w:val="24"/>
          </w:rPr>
          <w:t>十八、基金合同的变更、终止与基金财产的清算</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_Toc104564201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82</w:t>
        </w:r>
        <w:r w:rsidR="003073D4" w:rsidRPr="003073D4">
          <w:rPr>
            <w:rStyle w:val="af0"/>
            <w:rFonts w:ascii="宋体" w:hAnsi="宋体"/>
            <w:sz w:val="24"/>
          </w:rPr>
          <w:fldChar w:fldCharType="end"/>
        </w:r>
      </w:hyperlink>
    </w:p>
    <w:p w14:paraId="5D494F13" w14:textId="3C33954B" w:rsidR="003073D4" w:rsidRPr="003073D4" w:rsidRDefault="009A6921" w:rsidP="003073D4">
      <w:pPr>
        <w:pStyle w:val="11"/>
        <w:tabs>
          <w:tab w:val="right" w:leader="dot" w:pos="8550"/>
        </w:tabs>
        <w:spacing w:line="360" w:lineRule="auto"/>
        <w:rPr>
          <w:rStyle w:val="af0"/>
          <w:rFonts w:ascii="宋体" w:hAnsi="宋体"/>
          <w:sz w:val="24"/>
        </w:rPr>
      </w:pPr>
      <w:hyperlink w:anchor="_Toc104564202" w:history="1">
        <w:r w:rsidR="003073D4" w:rsidRPr="003073D4">
          <w:rPr>
            <w:rStyle w:val="af0"/>
            <w:rFonts w:ascii="宋体" w:hAnsi="宋体"/>
            <w:noProof/>
            <w:sz w:val="24"/>
          </w:rPr>
          <w:t>十九、基金合同内容摘要</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_Toc104564202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84</w:t>
        </w:r>
        <w:r w:rsidR="003073D4" w:rsidRPr="003073D4">
          <w:rPr>
            <w:rStyle w:val="af0"/>
            <w:rFonts w:ascii="宋体" w:hAnsi="宋体"/>
            <w:sz w:val="24"/>
          </w:rPr>
          <w:fldChar w:fldCharType="end"/>
        </w:r>
      </w:hyperlink>
    </w:p>
    <w:p w14:paraId="606B7420" w14:textId="0B930BF8" w:rsidR="003073D4" w:rsidRPr="003073D4" w:rsidRDefault="009A6921" w:rsidP="003073D4">
      <w:pPr>
        <w:pStyle w:val="11"/>
        <w:tabs>
          <w:tab w:val="right" w:leader="dot" w:pos="8550"/>
        </w:tabs>
        <w:spacing w:line="360" w:lineRule="auto"/>
        <w:rPr>
          <w:rStyle w:val="af0"/>
          <w:rFonts w:ascii="宋体" w:hAnsi="宋体"/>
          <w:sz w:val="24"/>
        </w:rPr>
      </w:pPr>
      <w:hyperlink w:anchor="_Toc104564203" w:history="1">
        <w:r w:rsidR="003073D4" w:rsidRPr="003073D4">
          <w:rPr>
            <w:rStyle w:val="af0"/>
            <w:rFonts w:ascii="宋体" w:hAnsi="宋体"/>
            <w:noProof/>
            <w:sz w:val="24"/>
          </w:rPr>
          <w:t>二十、托管协议的内容摘要</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_Toc104564203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101</w:t>
        </w:r>
        <w:r w:rsidR="003073D4" w:rsidRPr="003073D4">
          <w:rPr>
            <w:rStyle w:val="af0"/>
            <w:rFonts w:ascii="宋体" w:hAnsi="宋体"/>
            <w:sz w:val="24"/>
          </w:rPr>
          <w:fldChar w:fldCharType="end"/>
        </w:r>
      </w:hyperlink>
    </w:p>
    <w:p w14:paraId="1552E2DE" w14:textId="3D3C033D" w:rsidR="003073D4" w:rsidRPr="003073D4" w:rsidRDefault="009A6921" w:rsidP="003073D4">
      <w:pPr>
        <w:pStyle w:val="11"/>
        <w:tabs>
          <w:tab w:val="right" w:leader="dot" w:pos="8550"/>
        </w:tabs>
        <w:spacing w:line="360" w:lineRule="auto"/>
        <w:rPr>
          <w:rStyle w:val="af0"/>
          <w:rFonts w:ascii="宋体" w:hAnsi="宋体"/>
          <w:sz w:val="24"/>
        </w:rPr>
      </w:pPr>
      <w:hyperlink w:anchor="_Toc104564204" w:history="1">
        <w:r w:rsidR="003073D4" w:rsidRPr="003073D4">
          <w:rPr>
            <w:rStyle w:val="af0"/>
            <w:rFonts w:ascii="宋体" w:hAnsi="宋体"/>
            <w:noProof/>
            <w:sz w:val="24"/>
          </w:rPr>
          <w:t>二十一、对基金份额持有人的服务</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_Toc104564204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116</w:t>
        </w:r>
        <w:r w:rsidR="003073D4" w:rsidRPr="003073D4">
          <w:rPr>
            <w:rStyle w:val="af0"/>
            <w:rFonts w:ascii="宋体" w:hAnsi="宋体"/>
            <w:sz w:val="24"/>
          </w:rPr>
          <w:fldChar w:fldCharType="end"/>
        </w:r>
      </w:hyperlink>
    </w:p>
    <w:p w14:paraId="27D62010" w14:textId="53A0A35B" w:rsidR="003073D4" w:rsidRPr="003073D4" w:rsidRDefault="009A6921" w:rsidP="003073D4">
      <w:pPr>
        <w:pStyle w:val="11"/>
        <w:tabs>
          <w:tab w:val="right" w:leader="dot" w:pos="8550"/>
        </w:tabs>
        <w:spacing w:line="360" w:lineRule="auto"/>
        <w:rPr>
          <w:rStyle w:val="af0"/>
          <w:rFonts w:ascii="宋体" w:hAnsi="宋体"/>
          <w:sz w:val="24"/>
        </w:rPr>
      </w:pPr>
      <w:hyperlink w:anchor="_Toc104564205" w:history="1">
        <w:r w:rsidR="003073D4" w:rsidRPr="003073D4">
          <w:rPr>
            <w:rStyle w:val="af0"/>
            <w:rFonts w:ascii="宋体" w:hAnsi="宋体"/>
            <w:noProof/>
            <w:sz w:val="24"/>
          </w:rPr>
          <w:t>二十二、其他应披露事项</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_Toc104564205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118</w:t>
        </w:r>
        <w:r w:rsidR="003073D4" w:rsidRPr="003073D4">
          <w:rPr>
            <w:rStyle w:val="af0"/>
            <w:rFonts w:ascii="宋体" w:hAnsi="宋体"/>
            <w:sz w:val="24"/>
          </w:rPr>
          <w:fldChar w:fldCharType="end"/>
        </w:r>
      </w:hyperlink>
    </w:p>
    <w:p w14:paraId="5C98CF3E" w14:textId="3FCA3A72" w:rsidR="003073D4" w:rsidRPr="003073D4" w:rsidRDefault="009A6921" w:rsidP="003073D4">
      <w:pPr>
        <w:pStyle w:val="11"/>
        <w:tabs>
          <w:tab w:val="right" w:leader="dot" w:pos="8550"/>
        </w:tabs>
        <w:spacing w:line="360" w:lineRule="auto"/>
        <w:rPr>
          <w:rStyle w:val="af0"/>
          <w:rFonts w:ascii="宋体" w:hAnsi="宋体"/>
          <w:sz w:val="24"/>
        </w:rPr>
      </w:pPr>
      <w:hyperlink w:anchor="_Toc104564206" w:history="1">
        <w:r w:rsidR="003073D4" w:rsidRPr="003073D4">
          <w:rPr>
            <w:rStyle w:val="af0"/>
            <w:rFonts w:ascii="宋体" w:hAnsi="宋体"/>
            <w:noProof/>
            <w:sz w:val="24"/>
          </w:rPr>
          <w:t>二十三、招募说明书的存放及查阅方式</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_Toc104564206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119</w:t>
        </w:r>
        <w:r w:rsidR="003073D4" w:rsidRPr="003073D4">
          <w:rPr>
            <w:rStyle w:val="af0"/>
            <w:rFonts w:ascii="宋体" w:hAnsi="宋体"/>
            <w:sz w:val="24"/>
          </w:rPr>
          <w:fldChar w:fldCharType="end"/>
        </w:r>
      </w:hyperlink>
    </w:p>
    <w:p w14:paraId="6D5357A9" w14:textId="0C04AF14" w:rsidR="003073D4" w:rsidRPr="003073D4" w:rsidRDefault="009A6921" w:rsidP="003073D4">
      <w:pPr>
        <w:pStyle w:val="11"/>
        <w:tabs>
          <w:tab w:val="right" w:leader="dot" w:pos="8550"/>
        </w:tabs>
        <w:spacing w:line="360" w:lineRule="auto"/>
        <w:rPr>
          <w:rStyle w:val="af0"/>
          <w:rFonts w:ascii="宋体" w:hAnsi="宋体"/>
          <w:sz w:val="24"/>
        </w:rPr>
      </w:pPr>
      <w:hyperlink w:anchor="_Toc104564207" w:history="1">
        <w:r w:rsidR="003073D4" w:rsidRPr="003073D4">
          <w:rPr>
            <w:rStyle w:val="af0"/>
            <w:rFonts w:ascii="宋体" w:hAnsi="宋体"/>
            <w:noProof/>
            <w:sz w:val="24"/>
          </w:rPr>
          <w:t>二十四、备查文件</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_Toc104564207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120</w:t>
        </w:r>
        <w:r w:rsidR="003073D4" w:rsidRPr="003073D4">
          <w:rPr>
            <w:rStyle w:val="af0"/>
            <w:rFonts w:ascii="宋体" w:hAnsi="宋体"/>
            <w:sz w:val="24"/>
          </w:rPr>
          <w:fldChar w:fldCharType="end"/>
        </w:r>
      </w:hyperlink>
    </w:p>
    <w:p w14:paraId="33522DA6" w14:textId="77777777" w:rsidR="00D87CF5" w:rsidRPr="002308B4" w:rsidRDefault="002308B4" w:rsidP="002308B4">
      <w:pPr>
        <w:pStyle w:val="af3"/>
        <w:snapToGrid w:val="0"/>
        <w:spacing w:after="240" w:line="360" w:lineRule="auto"/>
        <w:jc w:val="center"/>
        <w:rPr>
          <w:rFonts w:ascii="宋体" w:hAnsi="宋体"/>
          <w:color w:val="000000"/>
          <w:sz w:val="24"/>
        </w:rPr>
      </w:pPr>
      <w:r w:rsidRPr="002308B4">
        <w:rPr>
          <w:rFonts w:ascii="宋体" w:hAnsi="宋体"/>
          <w:color w:val="000000"/>
          <w:position w:val="-4"/>
          <w:sz w:val="24"/>
          <w:szCs w:val="30"/>
        </w:rPr>
        <w:fldChar w:fldCharType="end"/>
      </w:r>
    </w:p>
    <w:p w14:paraId="72ADFC10" w14:textId="77777777" w:rsidR="00D87CF5" w:rsidRDefault="00D87CF5">
      <w:pPr>
        <w:autoSpaceDE w:val="0"/>
        <w:autoSpaceDN w:val="0"/>
        <w:adjustRightInd w:val="0"/>
        <w:snapToGrid w:val="0"/>
        <w:spacing w:line="360" w:lineRule="auto"/>
        <w:ind w:left="120" w:rightChars="6" w:right="13"/>
        <w:rPr>
          <w:rFonts w:ascii="宋体" w:hAnsi="宋体"/>
          <w:kern w:val="0"/>
          <w:szCs w:val="24"/>
        </w:rPr>
        <w:sectPr w:rsidR="00D87CF5">
          <w:pgSz w:w="11920" w:h="16840"/>
          <w:pgMar w:top="1480" w:right="1680" w:bottom="280" w:left="1680" w:header="0" w:footer="1073" w:gutter="0"/>
          <w:cols w:space="720"/>
        </w:sectPr>
      </w:pPr>
    </w:p>
    <w:p w14:paraId="17ABEBF3" w14:textId="77777777" w:rsidR="00D87CF5" w:rsidRDefault="00CA69EB">
      <w:pPr>
        <w:pStyle w:val="1"/>
        <w:snapToGrid w:val="0"/>
        <w:spacing w:beforeLines="0" w:before="240" w:after="240"/>
        <w:rPr>
          <w:rFonts w:ascii="宋体" w:hAnsi="宋体"/>
          <w:szCs w:val="30"/>
        </w:rPr>
      </w:pPr>
      <w:bookmarkStart w:id="5" w:name="_Toc104564184"/>
      <w:r>
        <w:rPr>
          <w:rFonts w:ascii="Times New Roman" w:hAnsi="Times New Roman"/>
          <w:sz w:val="30"/>
        </w:rPr>
        <w:lastRenderedPageBreak/>
        <w:t>一、绪言</w:t>
      </w:r>
      <w:bookmarkEnd w:id="5"/>
    </w:p>
    <w:p w14:paraId="39877FC0" w14:textId="6A64E0B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E104DC">
        <w:rPr>
          <w:rFonts w:ascii="宋体" w:hAnsi="宋体"/>
          <w:sz w:val="24"/>
        </w:rPr>
        <w:t>交银施罗德稳安30天滚动持有债券型证券投资基金</w:t>
      </w:r>
      <w:r>
        <w:rPr>
          <w:rFonts w:ascii="宋体" w:hAnsi="宋体"/>
          <w:sz w:val="24"/>
        </w:rPr>
        <w:t>招募说明书》（以下简称“本招募说明书”）依据《中华人民共和国证券投资基金法》（以下简称“《基金法》”）、《公开募集证券投资基金运作管理办法》（以下简称“《运作办法》”）、《</w:t>
      </w:r>
      <w:r w:rsidR="00866E08" w:rsidRPr="00B61AB0">
        <w:rPr>
          <w:bCs/>
          <w:sz w:val="24"/>
        </w:rPr>
        <w:t>公开募集证券投资基金销售机构监督管理办法</w:t>
      </w:r>
      <w:r>
        <w:rPr>
          <w:rFonts w:ascii="宋体" w:hAnsi="宋体"/>
          <w:sz w:val="24"/>
        </w:rPr>
        <w:t>》（以下简称“《销售办法》”）、《公开募集证券投资基金信息披露管理办法》（以下简称“《信息披露办法》”）、《公开募集开放式证券投资基金流动性风险管理规定》（以下简称“《流动性风险管理规定》”）和其他相关法律法规的规定以及《</w:t>
      </w:r>
      <w:r w:rsidR="00E104DC">
        <w:rPr>
          <w:rFonts w:ascii="宋体" w:hAnsi="宋体"/>
          <w:sz w:val="24"/>
        </w:rPr>
        <w:t>交银施罗德稳安30天滚动持有债券型证券投资基金</w:t>
      </w:r>
      <w:r>
        <w:rPr>
          <w:rFonts w:ascii="宋体" w:hAnsi="宋体"/>
          <w:sz w:val="24"/>
        </w:rPr>
        <w:t>基金合同》（以下简称“基金合同”）编写。</w:t>
      </w:r>
    </w:p>
    <w:p w14:paraId="1E3CC49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1C4F890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248FB7B"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4E47606" w14:textId="77777777" w:rsidR="00D87CF5" w:rsidRDefault="00CA69EB">
      <w:pPr>
        <w:pStyle w:val="1"/>
        <w:snapToGrid w:val="0"/>
        <w:spacing w:beforeLines="0" w:before="240" w:after="240"/>
        <w:rPr>
          <w:rFonts w:ascii="宋体" w:hAnsi="宋体"/>
          <w:szCs w:val="30"/>
        </w:rPr>
      </w:pPr>
      <w:bookmarkStart w:id="6" w:name="_Toc104564185"/>
      <w:bookmarkStart w:id="7" w:name="_Hlk100954017"/>
      <w:r>
        <w:rPr>
          <w:rFonts w:ascii="Times New Roman" w:hAnsi="Times New Roman"/>
          <w:sz w:val="30"/>
        </w:rPr>
        <w:lastRenderedPageBreak/>
        <w:t>二、释义</w:t>
      </w:r>
      <w:bookmarkEnd w:id="6"/>
    </w:p>
    <w:p w14:paraId="3B90A3F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14:paraId="36EE0D46" w14:textId="3B0E67D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w:t>
      </w:r>
      <w:r w:rsidR="00E104DC">
        <w:rPr>
          <w:rFonts w:ascii="宋体" w:hAnsi="宋体"/>
          <w:sz w:val="24"/>
        </w:rPr>
        <w:t>交银施罗德稳安30天滚动持有债券型证券投资基金</w:t>
      </w:r>
    </w:p>
    <w:p w14:paraId="657FFD2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w:t>
      </w:r>
      <w:r w:rsidR="00527CD0">
        <w:rPr>
          <w:rFonts w:ascii="宋体" w:hAnsi="宋体"/>
          <w:sz w:val="24"/>
        </w:rPr>
        <w:t>或本基金管理人</w:t>
      </w:r>
      <w:r>
        <w:rPr>
          <w:rFonts w:ascii="宋体" w:hAnsi="宋体"/>
          <w:sz w:val="24"/>
        </w:rPr>
        <w:t>：指交银施罗德基金管理有限公司</w:t>
      </w:r>
    </w:p>
    <w:p w14:paraId="7A1FF9B7" w14:textId="32B33B6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w:t>
      </w:r>
      <w:r w:rsidR="00527CD0">
        <w:rPr>
          <w:rFonts w:ascii="宋体" w:hAnsi="宋体"/>
          <w:sz w:val="24"/>
        </w:rPr>
        <w:t>或本基金托管人</w:t>
      </w:r>
      <w:r>
        <w:rPr>
          <w:rFonts w:ascii="宋体" w:hAnsi="宋体"/>
          <w:sz w:val="24"/>
        </w:rPr>
        <w:t>：指</w:t>
      </w:r>
      <w:r w:rsidR="00050B7E">
        <w:rPr>
          <w:rFonts w:ascii="宋体" w:hAnsi="宋体" w:hint="eastAsia"/>
          <w:sz w:val="24"/>
        </w:rPr>
        <w:t>招商</w:t>
      </w:r>
      <w:r w:rsidR="00585674">
        <w:rPr>
          <w:rFonts w:ascii="宋体" w:hAnsi="宋体"/>
          <w:sz w:val="24"/>
        </w:rPr>
        <w:t>银行股份有限公司</w:t>
      </w:r>
    </w:p>
    <w:p w14:paraId="37BBC9EE" w14:textId="20FB18D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w:t>
      </w:r>
      <w:r w:rsidR="00527CD0">
        <w:rPr>
          <w:rFonts w:ascii="宋体" w:hAnsi="宋体"/>
          <w:sz w:val="24"/>
        </w:rPr>
        <w:t>、《基金合同》</w:t>
      </w:r>
      <w:r>
        <w:rPr>
          <w:rFonts w:ascii="宋体" w:hAnsi="宋体"/>
          <w:sz w:val="24"/>
        </w:rPr>
        <w:t>：指《</w:t>
      </w:r>
      <w:r w:rsidR="00E104DC">
        <w:rPr>
          <w:rFonts w:ascii="宋体" w:hAnsi="宋体"/>
          <w:sz w:val="24"/>
        </w:rPr>
        <w:t>交银施罗德稳安30天滚动持有债券型证券投资基金</w:t>
      </w:r>
      <w:r>
        <w:rPr>
          <w:rFonts w:ascii="宋体" w:hAnsi="宋体"/>
          <w:sz w:val="24"/>
        </w:rPr>
        <w:t>基金合同》及对基金合同的任何有效修订和补充</w:t>
      </w:r>
    </w:p>
    <w:p w14:paraId="3A3E9165" w14:textId="5BF4C6F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w:t>
      </w:r>
      <w:r w:rsidR="00E104DC">
        <w:rPr>
          <w:rFonts w:ascii="宋体" w:hAnsi="宋体"/>
          <w:sz w:val="24"/>
        </w:rPr>
        <w:t>交银施罗德稳安30天滚动持有债券型证券投资基金</w:t>
      </w:r>
      <w:r>
        <w:rPr>
          <w:rFonts w:ascii="宋体" w:hAnsi="宋体"/>
          <w:sz w:val="24"/>
        </w:rPr>
        <w:t>托管协议》及对该托管协议的任何有效修订和补充</w:t>
      </w:r>
    </w:p>
    <w:p w14:paraId="0D5C92AE" w14:textId="58811FC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w:t>
      </w:r>
      <w:r w:rsidR="00527CD0">
        <w:rPr>
          <w:rFonts w:ascii="宋体" w:hAnsi="宋体"/>
          <w:sz w:val="24"/>
        </w:rPr>
        <w:t>、《招募说明书》</w:t>
      </w:r>
      <w:r>
        <w:rPr>
          <w:rFonts w:ascii="宋体" w:hAnsi="宋体"/>
          <w:sz w:val="24"/>
        </w:rPr>
        <w:t>或本招募说明书：指《</w:t>
      </w:r>
      <w:r w:rsidR="00E104DC">
        <w:rPr>
          <w:rFonts w:ascii="宋体" w:hAnsi="宋体"/>
          <w:sz w:val="24"/>
        </w:rPr>
        <w:t>交银施罗德稳安30天滚动持有债券型证券投资基金</w:t>
      </w:r>
      <w:r>
        <w:rPr>
          <w:rFonts w:ascii="宋体" w:hAnsi="宋体"/>
          <w:sz w:val="24"/>
        </w:rPr>
        <w:t>招募说明书》及其更新</w:t>
      </w:r>
    </w:p>
    <w:p w14:paraId="3373DF86" w14:textId="6CAC3A4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7、基金产品资料概要：指《</w:t>
      </w:r>
      <w:r w:rsidR="00E104DC">
        <w:rPr>
          <w:rFonts w:ascii="宋体" w:hAnsi="宋体"/>
          <w:sz w:val="24"/>
        </w:rPr>
        <w:t>交银施罗德稳安30天滚动持有债券型证券投资基金</w:t>
      </w:r>
      <w:r>
        <w:rPr>
          <w:rFonts w:ascii="宋体" w:hAnsi="宋体"/>
          <w:sz w:val="24"/>
        </w:rPr>
        <w:t>基金产品资料概要》及其更新</w:t>
      </w:r>
    </w:p>
    <w:p w14:paraId="7F52E800" w14:textId="0E8BE48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8、基金份额发售公告：指《</w:t>
      </w:r>
      <w:r w:rsidR="00E104DC">
        <w:rPr>
          <w:rFonts w:ascii="宋体" w:hAnsi="宋体"/>
          <w:sz w:val="24"/>
        </w:rPr>
        <w:t>交银施罗德稳安30天滚动持有债券型证券投资基金</w:t>
      </w:r>
      <w:r>
        <w:rPr>
          <w:rFonts w:ascii="宋体" w:hAnsi="宋体"/>
          <w:sz w:val="24"/>
        </w:rPr>
        <w:t>基金份额发售公告》</w:t>
      </w:r>
    </w:p>
    <w:p w14:paraId="2A9B3D6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14:paraId="208FD74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10、《基金法》：指《中华人民共和国证券投资基金法》及颁布机关对其不时做出的修订</w:t>
      </w:r>
    </w:p>
    <w:p w14:paraId="4941F151" w14:textId="2C50441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11、《销售办法》：指《</w:t>
      </w:r>
      <w:r w:rsidR="00866E08" w:rsidRPr="000671F3">
        <w:rPr>
          <w:bCs/>
          <w:sz w:val="24"/>
        </w:rPr>
        <w:t>公开募集证券投资基金销售机构监督管理办法</w:t>
      </w:r>
      <w:r>
        <w:rPr>
          <w:rFonts w:ascii="宋体" w:hAnsi="宋体"/>
          <w:sz w:val="24"/>
        </w:rPr>
        <w:t>》及颁布机关对其不时做出的修订</w:t>
      </w:r>
    </w:p>
    <w:p w14:paraId="01D391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12、《信息披露办法》：指《公开募集证券投资基金信息披露管理办法》及颁布机关对其不时做出的修订</w:t>
      </w:r>
    </w:p>
    <w:p w14:paraId="2C7A583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13、《运作办法》：指《公开募集证券投资基金运作管理办法》及颁布机关对其不时做出的修订</w:t>
      </w:r>
    </w:p>
    <w:p w14:paraId="6C9731F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14、《流动性风险管理规定》：指《公开募集开放式证券投资基金流动性风险管理规定》及颁布机关对其不时做出的修订</w:t>
      </w:r>
    </w:p>
    <w:p w14:paraId="7F6598F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15、中国证监会：指中国证券监督管理委员会</w:t>
      </w:r>
    </w:p>
    <w:p w14:paraId="77AB194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16、银行业监督管理机构：指中国人民银行和/或中国银行保险监督管理委员会</w:t>
      </w:r>
    </w:p>
    <w:p w14:paraId="79F5538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17、基金合同当事人：指受基金合同约束，根据基金合同享有权利并承担义务的法律主体，包括基金管理人、基金托管人和基金份额持有人</w:t>
      </w:r>
    </w:p>
    <w:p w14:paraId="5392CF7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18、个人投资者：指依据有关法律法规规定可投资于证券投资基金的自然人</w:t>
      </w:r>
    </w:p>
    <w:p w14:paraId="422EE01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19、机构投资者：指依法可以投资证券投资基金的、在中华人民共和国境内合法登记并存续或经有关政府部门批准设立并存续的企业法人、事业法人、社会团体或其他组织</w:t>
      </w:r>
    </w:p>
    <w:p w14:paraId="799E905A" w14:textId="7049595C" w:rsidR="00D87CF5" w:rsidRDefault="00866E08">
      <w:pPr>
        <w:autoSpaceDE w:val="0"/>
        <w:autoSpaceDN w:val="0"/>
        <w:adjustRightInd w:val="0"/>
        <w:snapToGrid w:val="0"/>
        <w:spacing w:line="360" w:lineRule="auto"/>
        <w:ind w:firstLineChars="200" w:firstLine="480"/>
        <w:jc w:val="left"/>
        <w:rPr>
          <w:rFonts w:ascii="宋体" w:hAnsi="宋体"/>
          <w:szCs w:val="24"/>
        </w:rPr>
      </w:pPr>
      <w:r w:rsidRPr="003073D4">
        <w:rPr>
          <w:rFonts w:ascii="宋体" w:hAnsi="宋体"/>
          <w:sz w:val="24"/>
        </w:rPr>
        <w:t>20</w:t>
      </w:r>
      <w:r w:rsidRPr="003073D4">
        <w:rPr>
          <w:rFonts w:ascii="宋体" w:hAnsi="宋体" w:hint="eastAsia"/>
          <w:sz w:val="24"/>
        </w:rPr>
        <w:t>、</w:t>
      </w:r>
      <w:r w:rsidRPr="000671F3">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5314C554" w14:textId="2183BA05"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w:t>
      </w:r>
      <w:r w:rsidR="00CA69EB">
        <w:rPr>
          <w:rFonts w:ascii="宋体" w:hAnsi="宋体"/>
          <w:sz w:val="24"/>
        </w:rPr>
        <w:t>、投资人、投资者：指个人投资者、机构投资者、合格境外投资者以及法律法规或中国证监会允许购买证券投资基金的其他投资人的合称</w:t>
      </w:r>
    </w:p>
    <w:p w14:paraId="5EE31270" w14:textId="55841480"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w:t>
      </w:r>
      <w:r w:rsidR="00CA69EB">
        <w:rPr>
          <w:rFonts w:ascii="宋体" w:hAnsi="宋体"/>
          <w:sz w:val="24"/>
        </w:rPr>
        <w:t>、基金份额持有人：指依基金合同和招募说明书合法取得基金份额的投资人</w:t>
      </w:r>
    </w:p>
    <w:p w14:paraId="4847343E" w14:textId="471365AA"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w:t>
      </w:r>
      <w:r w:rsidR="00CA69EB">
        <w:rPr>
          <w:rFonts w:ascii="宋体" w:hAnsi="宋体"/>
          <w:sz w:val="24"/>
        </w:rPr>
        <w:t>、基金销售业务：指基金管理人或销售机构宣传推介基金，发售基金份额，办理基金份额的申购、赎回、转换、转托管及定期定额投资等业务</w:t>
      </w:r>
    </w:p>
    <w:p w14:paraId="6EAC1B64" w14:textId="4E300B91"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w:t>
      </w:r>
      <w:r w:rsidR="00CA69EB">
        <w:rPr>
          <w:rFonts w:ascii="宋体" w:hAnsi="宋体"/>
          <w:sz w:val="24"/>
        </w:rPr>
        <w:t>、销售机构：指交银施罗德基金管理有限公司以及符合《销售办法》和中国证监会规定的其他条件，取得基金销售业务资格并与基金管理人签订了基金销售服务协议，办理基金销售业务的机构</w:t>
      </w:r>
    </w:p>
    <w:p w14:paraId="5BA3C89B" w14:textId="2438873B"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w:t>
      </w:r>
      <w:r w:rsidR="00CA69EB">
        <w:rPr>
          <w:rFonts w:ascii="宋体" w:hAnsi="宋体"/>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3553D71F" w14:textId="27A895D6"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w:t>
      </w:r>
      <w:r w:rsidR="00CA69EB">
        <w:rPr>
          <w:rFonts w:ascii="宋体" w:hAnsi="宋体"/>
          <w:sz w:val="24"/>
        </w:rPr>
        <w:t>、登记机构：指办理登记业务的机构。基金的登记机构为交银施罗德基金管理有限公司或接受交银施罗德基金管理有限公司委托代为办理登记业务的机构</w:t>
      </w:r>
    </w:p>
    <w:p w14:paraId="6C70A0EB" w14:textId="0988FD73"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w:t>
      </w:r>
      <w:r w:rsidR="00CA69EB">
        <w:rPr>
          <w:rFonts w:ascii="宋体" w:hAnsi="宋体"/>
          <w:sz w:val="24"/>
        </w:rPr>
        <w:t>、基金账户：指登记机构为投资人开立的、记录其持有的、基金管理人所管理的基金份额余额及其变动情况的账户</w:t>
      </w:r>
    </w:p>
    <w:p w14:paraId="37DA3D59" w14:textId="676FDBEC"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w:t>
      </w:r>
      <w:r w:rsidR="00CA69EB">
        <w:rPr>
          <w:rFonts w:ascii="宋体" w:hAnsi="宋体"/>
          <w:sz w:val="24"/>
        </w:rPr>
        <w:t>、基金交易账户：指销售机构为投资人开立的、记录投资人通过该销售机构办理认购、申购、赎回、转换及转托管等业务而引起的基金份额变动及结余情况的账户</w:t>
      </w:r>
    </w:p>
    <w:p w14:paraId="4A70616A" w14:textId="4954E0F3"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29</w:t>
      </w:r>
      <w:r w:rsidR="00CA69EB">
        <w:rPr>
          <w:rFonts w:ascii="宋体" w:hAnsi="宋体"/>
          <w:sz w:val="24"/>
        </w:rPr>
        <w:t>、基金合同生效日：指基金募集达到法律法规规定及基金合同规定的条件，基金管理人向中国证监会办理基金备案手续完毕，并获得中国证监会书面确认的日期</w:t>
      </w:r>
    </w:p>
    <w:p w14:paraId="5455F06E" w14:textId="5846998D"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w:t>
      </w:r>
      <w:r w:rsidR="00CA69EB">
        <w:rPr>
          <w:rFonts w:ascii="宋体" w:hAnsi="宋体"/>
          <w:sz w:val="24"/>
        </w:rPr>
        <w:t>、基金合同终止日：指基金合同规定的基金合同终止事由出现后，基金财产清算完毕，清算结果报中国证监会备案并予以公告的日期</w:t>
      </w:r>
    </w:p>
    <w:p w14:paraId="7FF58C64" w14:textId="277D96CF"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w:t>
      </w:r>
      <w:r w:rsidR="00CA69EB">
        <w:rPr>
          <w:rFonts w:ascii="宋体" w:hAnsi="宋体"/>
          <w:sz w:val="24"/>
        </w:rPr>
        <w:t>、基金募集期：指自基金份额发售之日起至发售结束之日止的期间，最长不得超过3个月</w:t>
      </w:r>
    </w:p>
    <w:p w14:paraId="0A17CFC4" w14:textId="7C6089CB" w:rsidR="00D87CF5" w:rsidRDefault="00866E08">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32</w:t>
      </w:r>
      <w:r w:rsidR="00CA69EB">
        <w:rPr>
          <w:rFonts w:ascii="宋体" w:hAnsi="宋体"/>
          <w:sz w:val="24"/>
        </w:rPr>
        <w:t>、存续期：指基金合同生效至终止之间的不定期期限</w:t>
      </w:r>
    </w:p>
    <w:p w14:paraId="0D139790" w14:textId="77777777" w:rsidR="00050B7E" w:rsidRPr="00C851B9" w:rsidRDefault="00050B7E" w:rsidP="00C851B9">
      <w:pPr>
        <w:autoSpaceDE w:val="0"/>
        <w:autoSpaceDN w:val="0"/>
        <w:adjustRightInd w:val="0"/>
        <w:snapToGrid w:val="0"/>
        <w:spacing w:line="360" w:lineRule="auto"/>
        <w:ind w:firstLineChars="200" w:firstLine="480"/>
        <w:jc w:val="left"/>
        <w:rPr>
          <w:rFonts w:ascii="宋体" w:hAnsi="宋体"/>
          <w:sz w:val="24"/>
        </w:rPr>
      </w:pPr>
      <w:r w:rsidRPr="00C851B9">
        <w:rPr>
          <w:rFonts w:ascii="宋体" w:hAnsi="宋体"/>
          <w:sz w:val="24"/>
        </w:rPr>
        <w:t>33</w:t>
      </w:r>
      <w:r w:rsidRPr="00C851B9">
        <w:rPr>
          <w:rFonts w:ascii="宋体" w:hAnsi="宋体" w:hint="eastAsia"/>
          <w:sz w:val="24"/>
        </w:rPr>
        <w:t>、运作期起始日：对于每份认购份额，第一个运作期起始日指基金合同生效日；对于每份申购份额，第一个运作期起始日指该基金份额申购确认日；对于上一运作期到期日未赎回的每份基金份额，下一运作期起始日指该基金份额上一运作期到期日的次一日</w:t>
      </w:r>
    </w:p>
    <w:p w14:paraId="1E933D50" w14:textId="43AA3179" w:rsidR="00050B7E" w:rsidRDefault="00050B7E" w:rsidP="00050B7E">
      <w:pPr>
        <w:autoSpaceDE w:val="0"/>
        <w:autoSpaceDN w:val="0"/>
        <w:adjustRightInd w:val="0"/>
        <w:snapToGrid w:val="0"/>
        <w:spacing w:line="360" w:lineRule="auto"/>
        <w:ind w:firstLineChars="200" w:firstLine="480"/>
        <w:jc w:val="left"/>
        <w:rPr>
          <w:rFonts w:ascii="宋体" w:hAnsi="宋体"/>
          <w:szCs w:val="24"/>
        </w:rPr>
      </w:pPr>
      <w:r w:rsidRPr="00C851B9">
        <w:rPr>
          <w:rFonts w:ascii="宋体" w:hAnsi="宋体"/>
          <w:sz w:val="24"/>
        </w:rPr>
        <w:t>34</w:t>
      </w:r>
      <w:r w:rsidRPr="00C851B9">
        <w:rPr>
          <w:rFonts w:ascii="宋体" w:hAnsi="宋体" w:hint="eastAsia"/>
          <w:sz w:val="24"/>
        </w:rPr>
        <w:t>、运作期到期日：对于每份基金份额，第一个运作期到期日指基金合同生效日（对认购份额而言，下同）或基金份额申购申请日（对申购份额而言，下同）后的第</w:t>
      </w:r>
      <w:r w:rsidRPr="00C851B9">
        <w:rPr>
          <w:rFonts w:ascii="宋体" w:hAnsi="宋体"/>
          <w:sz w:val="24"/>
        </w:rPr>
        <w:t>30</w:t>
      </w:r>
      <w:r w:rsidRPr="00C851B9">
        <w:rPr>
          <w:rFonts w:ascii="宋体" w:hAnsi="宋体" w:hint="eastAsia"/>
          <w:sz w:val="24"/>
        </w:rPr>
        <w:t>天（如该日为非工作日，则顺延至下一工作日）。第二个运作期到期日指基金合同生效日或基金份额申购申请日后的第</w:t>
      </w:r>
      <w:r w:rsidRPr="00C851B9">
        <w:rPr>
          <w:rFonts w:ascii="宋体" w:hAnsi="宋体"/>
          <w:sz w:val="24"/>
        </w:rPr>
        <w:t>60</w:t>
      </w:r>
      <w:r w:rsidRPr="00C851B9">
        <w:rPr>
          <w:rFonts w:ascii="宋体" w:hAnsi="宋体" w:hint="eastAsia"/>
          <w:sz w:val="24"/>
        </w:rPr>
        <w:t>天（如该日为非工作日，则顺延至下一工作日），以此类推</w:t>
      </w:r>
    </w:p>
    <w:p w14:paraId="4E8A5A5C" w14:textId="27CA2DCA"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w:t>
      </w:r>
      <w:r w:rsidR="00CA69EB">
        <w:rPr>
          <w:rFonts w:ascii="宋体" w:hAnsi="宋体"/>
          <w:sz w:val="24"/>
        </w:rPr>
        <w:t>、工作日：指上海证券交易所、深圳证券交易所的正常交易日</w:t>
      </w:r>
    </w:p>
    <w:p w14:paraId="2CB95231" w14:textId="124B5AB4"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w:t>
      </w:r>
      <w:r w:rsidR="00CA69EB">
        <w:rPr>
          <w:rFonts w:ascii="宋体" w:hAnsi="宋体"/>
          <w:sz w:val="24"/>
        </w:rPr>
        <w:t>、T日：指销售机构在规定时间受理投资人申购、赎回或其他业务申请的开放日</w:t>
      </w:r>
    </w:p>
    <w:p w14:paraId="5C92E250" w14:textId="6FE36755"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w:t>
      </w:r>
      <w:r w:rsidR="00CA69EB">
        <w:rPr>
          <w:rFonts w:ascii="宋体" w:hAnsi="宋体"/>
          <w:sz w:val="24"/>
        </w:rPr>
        <w:t>、T+n日：指自T日起第n个工作日（不包含T日）</w:t>
      </w:r>
    </w:p>
    <w:p w14:paraId="0A00FFF7" w14:textId="02000DB6"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w:t>
      </w:r>
      <w:r w:rsidR="00CA69EB">
        <w:rPr>
          <w:rFonts w:ascii="宋体" w:hAnsi="宋体"/>
          <w:sz w:val="24"/>
        </w:rPr>
        <w:t>、开放日：指为投资人办理基金份额申购、赎回或其他业务的工作日</w:t>
      </w:r>
    </w:p>
    <w:p w14:paraId="63686598" w14:textId="571AACE6"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w:t>
      </w:r>
      <w:r w:rsidR="00CA69EB">
        <w:rPr>
          <w:rFonts w:ascii="宋体" w:hAnsi="宋体"/>
          <w:sz w:val="24"/>
        </w:rPr>
        <w:t>、开放时间：指开放日基金接受申购、赎回或其他交易的时间段</w:t>
      </w:r>
    </w:p>
    <w:p w14:paraId="370E6145" w14:textId="3567CCB9"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w:t>
      </w:r>
      <w:r w:rsidR="00CA69EB">
        <w:rPr>
          <w:rFonts w:ascii="宋体" w:hAnsi="宋体"/>
          <w:sz w:val="24"/>
        </w:rPr>
        <w:t>、《业务规则》：指《交银施罗德基金管理有限公司开放式基金业务规则》</w:t>
      </w:r>
      <w:r w:rsidR="00B81F83">
        <w:rPr>
          <w:rFonts w:ascii="宋体" w:hAnsi="宋体" w:hint="eastAsia"/>
          <w:sz w:val="24"/>
        </w:rPr>
        <w:t>，</w:t>
      </w:r>
      <w:r w:rsidR="00CA69EB">
        <w:rPr>
          <w:rFonts w:ascii="宋体" w:hAnsi="宋体"/>
          <w:sz w:val="24"/>
        </w:rPr>
        <w:t>是规范基金管理人所管理的开放式证券投资基金登记方面的业务规则，由基金管理人和投资人共同遵守</w:t>
      </w:r>
    </w:p>
    <w:p w14:paraId="3DB660DE" w14:textId="6A25A587"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w:t>
      </w:r>
      <w:r w:rsidR="00CA69EB">
        <w:rPr>
          <w:rFonts w:ascii="宋体" w:hAnsi="宋体"/>
          <w:sz w:val="24"/>
        </w:rPr>
        <w:t>、认购：指在基金募集期内，投资人根据基金合同和招募说明书的规定申请购买基金份额的行为</w:t>
      </w:r>
    </w:p>
    <w:p w14:paraId="18AF0575" w14:textId="414C2175"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w:t>
      </w:r>
      <w:r w:rsidR="00CA69EB">
        <w:rPr>
          <w:rFonts w:ascii="宋体" w:hAnsi="宋体"/>
          <w:sz w:val="24"/>
        </w:rPr>
        <w:t>、申购：指基金合同生效后，投资人根据基金合同和招募说明书的规定申请购买基金份额的行为</w:t>
      </w:r>
    </w:p>
    <w:p w14:paraId="0D71270F" w14:textId="20AC512F"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43</w:t>
      </w:r>
      <w:r w:rsidR="00CA69EB">
        <w:rPr>
          <w:rFonts w:ascii="宋体" w:hAnsi="宋体"/>
          <w:sz w:val="24"/>
        </w:rPr>
        <w:t>、赎回：指基金合同生效后，基金份额持有人按基金合同和招募说明书规定的条件要求将基金份额兑换为现金的行为</w:t>
      </w:r>
    </w:p>
    <w:p w14:paraId="48F41DDA" w14:textId="0DB33D16"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w:t>
      </w:r>
      <w:r w:rsidR="00CA69EB">
        <w:rPr>
          <w:rFonts w:ascii="宋体" w:hAnsi="宋体"/>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5829FEE6" w14:textId="303B33A2"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w:t>
      </w:r>
      <w:r w:rsidR="00CA69EB">
        <w:rPr>
          <w:rFonts w:ascii="宋体" w:hAnsi="宋体"/>
          <w:sz w:val="24"/>
        </w:rPr>
        <w:t>、转托管：指基金份额持有人在本基金的不同销售机构之间实施的变更所持基金份额销售机构的操作</w:t>
      </w:r>
    </w:p>
    <w:p w14:paraId="5E249B10" w14:textId="6A38A1FE"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w:t>
      </w:r>
      <w:r w:rsidR="00CA69EB">
        <w:rPr>
          <w:rFonts w:ascii="宋体" w:hAnsi="宋体"/>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D5DA907" w14:textId="19AB8CCE"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w:t>
      </w:r>
      <w:r w:rsidR="00CA69EB">
        <w:rPr>
          <w:rFonts w:ascii="宋体" w:hAnsi="宋体"/>
          <w:sz w:val="24"/>
        </w:rPr>
        <w:t>、巨额赎回：指本基金单个开放日，基金净赎回申请（赎回申请份额总数加上基金转换中转出申请份额总数后扣除申购申请份额总数及基金转换中转入申请份额总数后的余额）超过上一开放日基金总份额的10%的情形</w:t>
      </w:r>
    </w:p>
    <w:p w14:paraId="4D2A40D1" w14:textId="65457427"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w:t>
      </w:r>
      <w:r w:rsidR="00CA69EB">
        <w:rPr>
          <w:rFonts w:ascii="宋体" w:hAnsi="宋体"/>
          <w:sz w:val="24"/>
        </w:rPr>
        <w:t>、元：指人民币元</w:t>
      </w:r>
    </w:p>
    <w:p w14:paraId="69057282" w14:textId="3485FAA6"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w:t>
      </w:r>
      <w:r w:rsidR="00CA69EB">
        <w:rPr>
          <w:rFonts w:ascii="宋体" w:hAnsi="宋体"/>
          <w:sz w:val="24"/>
        </w:rPr>
        <w:t>、基金收益：指基金投资所得债券利息、买卖证券价差、银行存款利息、已实现的其他合法收入及因运用基金财产带来的成本和费用的节约</w:t>
      </w:r>
    </w:p>
    <w:p w14:paraId="1106C43D" w14:textId="12ED7D29"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w:t>
      </w:r>
      <w:r w:rsidR="00CA69EB">
        <w:rPr>
          <w:rFonts w:ascii="宋体" w:hAnsi="宋体"/>
          <w:sz w:val="24"/>
        </w:rPr>
        <w:t>、基金资产总值：指基金拥有的各类有价证券、银行存款本息、基金应收款</w:t>
      </w:r>
      <w:r w:rsidR="00866E08">
        <w:rPr>
          <w:rFonts w:ascii="宋体" w:hAnsi="宋体" w:hint="eastAsia"/>
          <w:sz w:val="24"/>
        </w:rPr>
        <w:t>项</w:t>
      </w:r>
      <w:r w:rsidR="00CA69EB">
        <w:rPr>
          <w:rFonts w:ascii="宋体" w:hAnsi="宋体"/>
          <w:sz w:val="24"/>
        </w:rPr>
        <w:t>及其他资产的价值总和</w:t>
      </w:r>
    </w:p>
    <w:p w14:paraId="4BA317EC" w14:textId="3BE752FB"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w:t>
      </w:r>
      <w:r w:rsidR="00CA69EB">
        <w:rPr>
          <w:rFonts w:ascii="宋体" w:hAnsi="宋体"/>
          <w:sz w:val="24"/>
        </w:rPr>
        <w:t>、基金资产净值：指基金资产总值减去基金负债后的价值</w:t>
      </w:r>
    </w:p>
    <w:p w14:paraId="4AD9A8AD" w14:textId="34672CCB"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w:t>
      </w:r>
      <w:r w:rsidR="00CA69EB">
        <w:rPr>
          <w:rFonts w:ascii="宋体" w:hAnsi="宋体"/>
          <w:sz w:val="24"/>
        </w:rPr>
        <w:t>、基金份额净值：指计算日基金资产净值除以计算日基金份额总数</w:t>
      </w:r>
    </w:p>
    <w:p w14:paraId="1B28DCED" w14:textId="752E37C4"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w:t>
      </w:r>
      <w:r w:rsidR="00CA69EB">
        <w:rPr>
          <w:rFonts w:ascii="宋体" w:hAnsi="宋体"/>
          <w:sz w:val="24"/>
        </w:rPr>
        <w:t>、基金资产估值：指计算评估基金资产和负债的价值，以确定基金资产净值和基金份额净值的过程</w:t>
      </w:r>
    </w:p>
    <w:p w14:paraId="09B02F0B" w14:textId="091E5A1C" w:rsidR="00D87CF5" w:rsidRPr="003073D4" w:rsidRDefault="00050B7E">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54</w:t>
      </w:r>
      <w:r w:rsidR="00CA69EB">
        <w:rPr>
          <w:rFonts w:ascii="宋体" w:hAnsi="宋体"/>
          <w:sz w:val="24"/>
        </w:rPr>
        <w:t>、</w:t>
      </w:r>
      <w:r w:rsidR="00866E08" w:rsidRPr="003073D4">
        <w:rPr>
          <w:rFonts w:ascii="宋体" w:hAnsi="宋体" w:hint="eastAsia"/>
          <w:sz w:val="24"/>
        </w:rPr>
        <w:t>规定媒介：指符合中国证监会规定条件的用以进行信息披露的全国性报刊及《信息披露办法》规定的互联网网站（包括基金管理人网站、基金托管人网站、中国证监会基金电子披露网站）等媒介</w:t>
      </w:r>
    </w:p>
    <w:p w14:paraId="47095C4A" w14:textId="6C739A0B"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w:t>
      </w:r>
      <w:r w:rsidR="00CA69EB">
        <w:rPr>
          <w:rFonts w:ascii="宋体" w:hAnsi="宋体"/>
          <w:sz w:val="24"/>
        </w:rPr>
        <w:t>、销售服务费：指从基金财产中计提的，用于本基金市场推广、销售以及基金份额持有人服务的费用</w:t>
      </w:r>
    </w:p>
    <w:p w14:paraId="4D264B90" w14:textId="7F3368DB"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w:t>
      </w:r>
      <w:r w:rsidR="00CA69EB">
        <w:rPr>
          <w:rFonts w:ascii="宋体" w:hAnsi="宋体"/>
          <w:sz w:val="24"/>
        </w:rPr>
        <w:t>、A类基金份额：指在投资人认购/申购时收取认购/申购费用且不从本类别基金资产中计提销售服务费的基金份额</w:t>
      </w:r>
    </w:p>
    <w:p w14:paraId="512DB47E" w14:textId="351EA6F6"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w:t>
      </w:r>
      <w:r w:rsidR="00CA69EB">
        <w:rPr>
          <w:rFonts w:ascii="宋体" w:hAnsi="宋体"/>
          <w:sz w:val="24"/>
        </w:rPr>
        <w:t>、C类基金份额：指在投资人认购/申购时不收取认购/申购费用并从本类别</w:t>
      </w:r>
      <w:r w:rsidR="00CA69EB">
        <w:rPr>
          <w:rFonts w:ascii="宋体" w:hAnsi="宋体"/>
          <w:sz w:val="24"/>
        </w:rPr>
        <w:lastRenderedPageBreak/>
        <w:t>基金资产中计提销售服务费的基金份额</w:t>
      </w:r>
    </w:p>
    <w:p w14:paraId="6172362A" w14:textId="73F7FEE9"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w:t>
      </w:r>
      <w:r w:rsidR="00CA69EB">
        <w:rPr>
          <w:rFonts w:ascii="宋体" w:hAnsi="宋体"/>
          <w:sz w:val="24"/>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7594D4C7" w14:textId="0BFB1ECB"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w:t>
      </w:r>
      <w:r w:rsidR="00CA69EB">
        <w:rPr>
          <w:rFonts w:ascii="宋体" w:hAnsi="宋体"/>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9B3C93B" w14:textId="3BD905D2"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w:t>
      </w:r>
      <w:r w:rsidR="00CA69EB">
        <w:rPr>
          <w:rFonts w:ascii="宋体" w:hAnsi="宋体"/>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313BCEDA" w14:textId="0FC12C59"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w:t>
      </w:r>
      <w:r w:rsidR="00CA69EB">
        <w:rPr>
          <w:rFonts w:ascii="宋体" w:hAnsi="宋体"/>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5E7B42AE" w14:textId="00CF0AC2"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w:t>
      </w:r>
      <w:r w:rsidR="00CA69EB">
        <w:rPr>
          <w:rFonts w:ascii="宋体" w:hAnsi="宋体"/>
          <w:sz w:val="24"/>
        </w:rPr>
        <w:t>、不可抗力：指基金合同当事人不能预见、不能避免且不能克服的客观事件</w:t>
      </w:r>
    </w:p>
    <w:p w14:paraId="39BA03F9"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bookmarkEnd w:id="7"/>
    <w:p w14:paraId="30373D7A" w14:textId="77777777" w:rsidR="00D87CF5" w:rsidRDefault="00866E08" w:rsidP="003073D4">
      <w:pPr>
        <w:pStyle w:val="1"/>
        <w:tabs>
          <w:tab w:val="center" w:pos="4330"/>
          <w:tab w:val="right" w:pos="8660"/>
        </w:tabs>
        <w:snapToGrid w:val="0"/>
        <w:spacing w:beforeLines="0" w:before="240" w:after="240"/>
        <w:jc w:val="left"/>
        <w:rPr>
          <w:rFonts w:ascii="宋体" w:hAnsi="宋体"/>
          <w:szCs w:val="30"/>
        </w:rPr>
      </w:pPr>
      <w:r>
        <w:rPr>
          <w:rFonts w:ascii="Times New Roman" w:hAnsi="Times New Roman"/>
          <w:sz w:val="30"/>
        </w:rPr>
        <w:lastRenderedPageBreak/>
        <w:tab/>
      </w:r>
      <w:bookmarkStart w:id="8" w:name="_Toc104564186"/>
      <w:r w:rsidR="00CA69EB">
        <w:rPr>
          <w:rFonts w:ascii="Times New Roman" w:hAnsi="Times New Roman"/>
          <w:sz w:val="30"/>
        </w:rPr>
        <w:t>三、基金管理人</w:t>
      </w:r>
      <w:bookmarkEnd w:id="8"/>
      <w:r>
        <w:rPr>
          <w:rFonts w:ascii="Times New Roman" w:hAnsi="Times New Roman"/>
          <w:sz w:val="30"/>
        </w:rPr>
        <w:tab/>
      </w:r>
    </w:p>
    <w:p w14:paraId="523E38E0" w14:textId="77777777" w:rsidR="00866E08" w:rsidRPr="0054509B" w:rsidRDefault="00866E08" w:rsidP="00866E08">
      <w:pPr>
        <w:autoSpaceDE w:val="0"/>
        <w:autoSpaceDN w:val="0"/>
        <w:adjustRightInd w:val="0"/>
        <w:snapToGrid w:val="0"/>
        <w:spacing w:line="360" w:lineRule="auto"/>
        <w:ind w:firstLineChars="200" w:firstLine="480"/>
        <w:jc w:val="left"/>
        <w:rPr>
          <w:rFonts w:ascii="Times New Roman" w:hAnsi="Times New Roman"/>
          <w:szCs w:val="24"/>
        </w:rPr>
      </w:pPr>
      <w:r w:rsidRPr="0054509B">
        <w:rPr>
          <w:rFonts w:ascii="Times New Roman" w:hAnsi="Times New Roman"/>
          <w:sz w:val="24"/>
        </w:rPr>
        <w:t>（一）基金管理人概况</w:t>
      </w:r>
    </w:p>
    <w:p w14:paraId="3818D51F"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名称：交银施罗德基金管理有限公司</w:t>
      </w:r>
    </w:p>
    <w:p w14:paraId="2BB4E7BF"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住所：</w:t>
      </w:r>
      <w:r w:rsidRPr="0054509B">
        <w:rPr>
          <w:rFonts w:ascii="Times New Roman" w:hAnsi="Times New Roman" w:hint="eastAsia"/>
          <w:kern w:val="0"/>
          <w:sz w:val="24"/>
        </w:rPr>
        <w:t>中国</w:t>
      </w:r>
      <w:r w:rsidRPr="0054509B">
        <w:rPr>
          <w:rFonts w:ascii="Times New Roman" w:hAnsi="Times New Roman"/>
          <w:kern w:val="0"/>
          <w:sz w:val="24"/>
        </w:rPr>
        <w:t>（</w:t>
      </w:r>
      <w:r w:rsidRPr="0054509B">
        <w:rPr>
          <w:rFonts w:ascii="Times New Roman" w:hAnsi="Times New Roman" w:hint="eastAsia"/>
          <w:kern w:val="0"/>
          <w:sz w:val="24"/>
        </w:rPr>
        <w:t>上海）自由</w:t>
      </w:r>
      <w:r w:rsidRPr="0054509B">
        <w:rPr>
          <w:rFonts w:ascii="Times New Roman" w:hAnsi="Times New Roman"/>
          <w:kern w:val="0"/>
          <w:sz w:val="24"/>
        </w:rPr>
        <w:t>贸易试验区银城中路</w:t>
      </w:r>
      <w:r w:rsidRPr="0054509B">
        <w:rPr>
          <w:rFonts w:ascii="Times New Roman" w:hAnsi="Times New Roman"/>
          <w:kern w:val="0"/>
          <w:sz w:val="24"/>
        </w:rPr>
        <w:t>188</w:t>
      </w:r>
      <w:r w:rsidRPr="0054509B">
        <w:rPr>
          <w:rFonts w:ascii="Times New Roman" w:hAnsi="Times New Roman"/>
          <w:kern w:val="0"/>
          <w:sz w:val="24"/>
        </w:rPr>
        <w:t>号交通银行大楼二层（裙）</w:t>
      </w:r>
    </w:p>
    <w:p w14:paraId="562B49ED"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办公地址：</w:t>
      </w:r>
      <w:r w:rsidRPr="0054509B">
        <w:rPr>
          <w:rFonts w:ascii="Times New Roman" w:hAnsi="Times New Roman" w:hint="eastAsia"/>
          <w:kern w:val="0"/>
          <w:sz w:val="24"/>
        </w:rPr>
        <w:t>上海市浦东</w:t>
      </w:r>
      <w:r w:rsidRPr="0054509B">
        <w:rPr>
          <w:rFonts w:ascii="Times New Roman" w:hAnsi="Times New Roman"/>
          <w:kern w:val="0"/>
          <w:sz w:val="24"/>
        </w:rPr>
        <w:t>新区</w:t>
      </w:r>
      <w:r w:rsidRPr="0054509B">
        <w:rPr>
          <w:rFonts w:ascii="Times New Roman" w:hAnsi="Times New Roman" w:hint="eastAsia"/>
          <w:kern w:val="0"/>
          <w:sz w:val="24"/>
        </w:rPr>
        <w:t>世纪大道</w:t>
      </w:r>
      <w:r w:rsidRPr="0054509B">
        <w:rPr>
          <w:rFonts w:ascii="Times New Roman" w:hAnsi="Times New Roman"/>
          <w:kern w:val="0"/>
          <w:sz w:val="24"/>
        </w:rPr>
        <w:t>8</w:t>
      </w:r>
      <w:r w:rsidRPr="0054509B">
        <w:rPr>
          <w:rFonts w:ascii="Times New Roman" w:hAnsi="Times New Roman" w:hint="eastAsia"/>
          <w:kern w:val="0"/>
          <w:sz w:val="24"/>
        </w:rPr>
        <w:t>号国金中心二期</w:t>
      </w:r>
      <w:r w:rsidRPr="0054509B">
        <w:rPr>
          <w:rFonts w:ascii="Times New Roman" w:hAnsi="Times New Roman"/>
          <w:kern w:val="0"/>
          <w:sz w:val="24"/>
        </w:rPr>
        <w:t>21-22</w:t>
      </w:r>
      <w:r w:rsidRPr="0054509B">
        <w:rPr>
          <w:rFonts w:ascii="Times New Roman" w:hAnsi="Times New Roman" w:hint="eastAsia"/>
          <w:kern w:val="0"/>
          <w:sz w:val="24"/>
        </w:rPr>
        <w:t>楼</w:t>
      </w:r>
    </w:p>
    <w:p w14:paraId="55BFE422"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sz w:val="24"/>
        </w:rPr>
        <w:t>邮政编码：</w:t>
      </w:r>
      <w:r w:rsidRPr="0054509B">
        <w:rPr>
          <w:rFonts w:ascii="Times New Roman" w:hAnsi="Times New Roman"/>
          <w:sz w:val="24"/>
        </w:rPr>
        <w:t>200120</w:t>
      </w:r>
    </w:p>
    <w:p w14:paraId="3D9FE0CA"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法定代表人：</w:t>
      </w:r>
      <w:r w:rsidRPr="0054509B">
        <w:rPr>
          <w:rFonts w:ascii="Times New Roman" w:hAnsi="Times New Roman" w:hint="eastAsia"/>
          <w:kern w:val="0"/>
          <w:sz w:val="24"/>
        </w:rPr>
        <w:t>阮红</w:t>
      </w:r>
    </w:p>
    <w:p w14:paraId="397F8990"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成立时间：</w:t>
      </w:r>
      <w:r w:rsidRPr="0054509B">
        <w:rPr>
          <w:rFonts w:ascii="Times New Roman" w:hAnsi="Times New Roman"/>
          <w:kern w:val="0"/>
          <w:sz w:val="24"/>
        </w:rPr>
        <w:t>2005</w:t>
      </w:r>
      <w:r w:rsidRPr="0054509B">
        <w:rPr>
          <w:rFonts w:ascii="Times New Roman" w:hAnsi="Times New Roman"/>
          <w:kern w:val="0"/>
          <w:sz w:val="24"/>
        </w:rPr>
        <w:t>年</w:t>
      </w:r>
      <w:r w:rsidRPr="0054509B">
        <w:rPr>
          <w:rFonts w:ascii="Times New Roman" w:hAnsi="Times New Roman"/>
          <w:kern w:val="0"/>
          <w:sz w:val="24"/>
        </w:rPr>
        <w:t>8</w:t>
      </w:r>
      <w:r w:rsidRPr="0054509B">
        <w:rPr>
          <w:rFonts w:ascii="Times New Roman" w:hAnsi="Times New Roman"/>
          <w:kern w:val="0"/>
          <w:sz w:val="24"/>
        </w:rPr>
        <w:t>月</w:t>
      </w:r>
      <w:r w:rsidRPr="0054509B">
        <w:rPr>
          <w:rFonts w:ascii="Times New Roman" w:hAnsi="Times New Roman"/>
          <w:kern w:val="0"/>
          <w:sz w:val="24"/>
        </w:rPr>
        <w:t>4</w:t>
      </w:r>
      <w:r w:rsidRPr="0054509B">
        <w:rPr>
          <w:rFonts w:ascii="Times New Roman" w:hAnsi="Times New Roman"/>
          <w:kern w:val="0"/>
          <w:sz w:val="24"/>
        </w:rPr>
        <w:t>日</w:t>
      </w:r>
    </w:p>
    <w:p w14:paraId="6CCD2D88"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注册资本：</w:t>
      </w:r>
      <w:r w:rsidRPr="0054509B">
        <w:rPr>
          <w:rFonts w:ascii="Times New Roman" w:hAnsi="Times New Roman"/>
          <w:kern w:val="0"/>
          <w:sz w:val="24"/>
        </w:rPr>
        <w:t>2</w:t>
      </w:r>
      <w:r w:rsidRPr="0054509B">
        <w:rPr>
          <w:rFonts w:ascii="Times New Roman" w:hAnsi="Times New Roman"/>
          <w:kern w:val="0"/>
          <w:sz w:val="24"/>
        </w:rPr>
        <w:t>亿元人民币</w:t>
      </w:r>
    </w:p>
    <w:p w14:paraId="16589A8B"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存续期间：持续经营</w:t>
      </w:r>
    </w:p>
    <w:p w14:paraId="602D7BC5"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联系人：</w:t>
      </w:r>
      <w:r w:rsidRPr="0054509B">
        <w:rPr>
          <w:rFonts w:ascii="Times New Roman" w:hAnsi="Times New Roman" w:hint="eastAsia"/>
          <w:kern w:val="0"/>
          <w:sz w:val="24"/>
        </w:rPr>
        <w:t>郭佳敏</w:t>
      </w:r>
    </w:p>
    <w:p w14:paraId="4BF21406"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电话：</w:t>
      </w:r>
      <w:r w:rsidRPr="0054509B">
        <w:rPr>
          <w:rFonts w:ascii="Times New Roman" w:hAnsi="Times New Roman" w:hint="eastAsia"/>
          <w:kern w:val="0"/>
          <w:sz w:val="24"/>
        </w:rPr>
        <w:t>（</w:t>
      </w:r>
      <w:r w:rsidRPr="0054509B">
        <w:rPr>
          <w:rFonts w:ascii="Times New Roman" w:hAnsi="Times New Roman"/>
          <w:kern w:val="0"/>
          <w:sz w:val="24"/>
        </w:rPr>
        <w:t>021</w:t>
      </w:r>
      <w:r w:rsidRPr="0054509B">
        <w:rPr>
          <w:rFonts w:ascii="Times New Roman" w:hAnsi="Times New Roman" w:hint="eastAsia"/>
          <w:kern w:val="0"/>
          <w:sz w:val="24"/>
        </w:rPr>
        <w:t>）</w:t>
      </w:r>
      <w:r w:rsidRPr="0054509B">
        <w:rPr>
          <w:rFonts w:ascii="Times New Roman" w:hAnsi="Times New Roman"/>
          <w:kern w:val="0"/>
          <w:sz w:val="24"/>
        </w:rPr>
        <w:t>61055050</w:t>
      </w:r>
    </w:p>
    <w:p w14:paraId="20F713C2"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传真：</w:t>
      </w:r>
      <w:r w:rsidRPr="0054509B">
        <w:rPr>
          <w:rFonts w:ascii="Times New Roman" w:hAnsi="Times New Roman" w:hint="eastAsia"/>
          <w:kern w:val="0"/>
          <w:sz w:val="24"/>
        </w:rPr>
        <w:t>（</w:t>
      </w:r>
      <w:r w:rsidRPr="0054509B">
        <w:rPr>
          <w:rFonts w:ascii="Times New Roman" w:hAnsi="Times New Roman"/>
          <w:kern w:val="0"/>
          <w:sz w:val="24"/>
        </w:rPr>
        <w:t>021</w:t>
      </w:r>
      <w:r w:rsidRPr="0054509B">
        <w:rPr>
          <w:rFonts w:ascii="Times New Roman" w:hAnsi="Times New Roman" w:hint="eastAsia"/>
          <w:kern w:val="0"/>
          <w:sz w:val="24"/>
        </w:rPr>
        <w:t>）</w:t>
      </w:r>
      <w:r w:rsidRPr="0054509B">
        <w:rPr>
          <w:rFonts w:ascii="Times New Roman" w:hAnsi="Times New Roman"/>
          <w:kern w:val="0"/>
          <w:sz w:val="24"/>
        </w:rPr>
        <w:t>61055034</w:t>
      </w:r>
    </w:p>
    <w:p w14:paraId="41BDAA54"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交银施罗德基金管理有限公司（以下简称</w:t>
      </w:r>
      <w:r w:rsidRPr="0054509B">
        <w:rPr>
          <w:rFonts w:ascii="Times New Roman" w:hAnsi="Times New Roman" w:hint="eastAsia"/>
          <w:kern w:val="0"/>
          <w:sz w:val="24"/>
        </w:rPr>
        <w:t>“</w:t>
      </w:r>
      <w:r w:rsidRPr="0054509B">
        <w:rPr>
          <w:rFonts w:ascii="Times New Roman" w:hAnsi="Times New Roman"/>
          <w:kern w:val="0"/>
          <w:sz w:val="24"/>
        </w:rPr>
        <w:t>公司</w:t>
      </w:r>
      <w:r w:rsidRPr="0054509B">
        <w:rPr>
          <w:rFonts w:ascii="Times New Roman" w:hAnsi="Times New Roman" w:hint="eastAsia"/>
          <w:kern w:val="0"/>
          <w:sz w:val="24"/>
        </w:rPr>
        <w:t>”</w:t>
      </w:r>
      <w:r w:rsidRPr="0054509B">
        <w:rPr>
          <w:rFonts w:ascii="Times New Roman" w:hAnsi="Times New Roman"/>
          <w:kern w:val="0"/>
          <w:sz w:val="24"/>
        </w:rPr>
        <w:t>）经中国证监会证监基金字</w:t>
      </w:r>
      <w:r w:rsidRPr="0054509B">
        <w:rPr>
          <w:rFonts w:ascii="Times New Roman" w:hAnsi="Times New Roman"/>
          <w:kern w:val="0"/>
          <w:sz w:val="24"/>
        </w:rPr>
        <w:t>[2005]128</w:t>
      </w:r>
      <w:r w:rsidRPr="0054509B">
        <w:rPr>
          <w:rFonts w:ascii="Times New Roman" w:hAnsi="Times New Roman"/>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866E08" w:rsidRPr="00260276" w14:paraId="57AD4545" w14:textId="77777777" w:rsidTr="00866E08">
        <w:trPr>
          <w:trHeight w:val="402"/>
        </w:trPr>
        <w:tc>
          <w:tcPr>
            <w:tcW w:w="5400" w:type="dxa"/>
          </w:tcPr>
          <w:p w14:paraId="243C42D7" w14:textId="77777777" w:rsidR="00866E08" w:rsidRPr="0054509B" w:rsidRDefault="00866E08" w:rsidP="00866E08">
            <w:pPr>
              <w:widowControl/>
              <w:jc w:val="center"/>
              <w:rPr>
                <w:rFonts w:ascii="Times New Roman" w:hAnsi="Times New Roman"/>
                <w:kern w:val="0"/>
                <w:sz w:val="24"/>
              </w:rPr>
            </w:pPr>
            <w:r w:rsidRPr="0054509B">
              <w:rPr>
                <w:rFonts w:ascii="Times New Roman" w:hAnsi="Times New Roman"/>
                <w:kern w:val="0"/>
                <w:sz w:val="24"/>
              </w:rPr>
              <w:t>股东名称</w:t>
            </w:r>
          </w:p>
        </w:tc>
        <w:tc>
          <w:tcPr>
            <w:tcW w:w="3060" w:type="dxa"/>
          </w:tcPr>
          <w:p w14:paraId="36DD0248" w14:textId="77777777" w:rsidR="00866E08" w:rsidRPr="0054509B" w:rsidRDefault="00866E08" w:rsidP="00866E08">
            <w:pPr>
              <w:widowControl/>
              <w:jc w:val="center"/>
              <w:rPr>
                <w:rFonts w:ascii="Times New Roman" w:hAnsi="Times New Roman"/>
                <w:kern w:val="0"/>
                <w:sz w:val="24"/>
              </w:rPr>
            </w:pPr>
            <w:r w:rsidRPr="0054509B">
              <w:rPr>
                <w:rFonts w:ascii="Times New Roman" w:hAnsi="Times New Roman"/>
                <w:kern w:val="0"/>
                <w:sz w:val="24"/>
              </w:rPr>
              <w:t>股权比例</w:t>
            </w:r>
          </w:p>
        </w:tc>
      </w:tr>
      <w:tr w:rsidR="00866E08" w:rsidRPr="00260276" w14:paraId="2ACCE6AB" w14:textId="77777777" w:rsidTr="00866E08">
        <w:trPr>
          <w:trHeight w:val="950"/>
        </w:trPr>
        <w:tc>
          <w:tcPr>
            <w:tcW w:w="5400" w:type="dxa"/>
          </w:tcPr>
          <w:p w14:paraId="2D473BFD" w14:textId="77777777" w:rsidR="00866E08" w:rsidRPr="0054509B" w:rsidRDefault="00866E08" w:rsidP="00866E08">
            <w:pPr>
              <w:widowControl/>
              <w:rPr>
                <w:rFonts w:ascii="Times New Roman" w:hAnsi="Times New Roman"/>
                <w:kern w:val="0"/>
                <w:sz w:val="24"/>
              </w:rPr>
            </w:pPr>
            <w:r w:rsidRPr="0054509B">
              <w:rPr>
                <w:rFonts w:ascii="Times New Roman" w:hAnsi="Times New Roman"/>
                <w:kern w:val="0"/>
                <w:sz w:val="24"/>
              </w:rPr>
              <w:t>交通银行股份有限公司（以下使用全称或其简称</w:t>
            </w:r>
            <w:r w:rsidRPr="0054509B">
              <w:rPr>
                <w:rFonts w:ascii="Times New Roman" w:hAnsi="Times New Roman"/>
                <w:kern w:val="0"/>
                <w:sz w:val="24"/>
              </w:rPr>
              <w:t>“</w:t>
            </w:r>
            <w:r w:rsidRPr="0054509B">
              <w:rPr>
                <w:rFonts w:ascii="Times New Roman" w:hAnsi="Times New Roman"/>
                <w:kern w:val="0"/>
                <w:sz w:val="24"/>
              </w:rPr>
              <w:t>交通银行</w:t>
            </w:r>
            <w:r w:rsidRPr="0054509B">
              <w:rPr>
                <w:rFonts w:ascii="Times New Roman" w:hAnsi="Times New Roman"/>
                <w:kern w:val="0"/>
                <w:sz w:val="24"/>
              </w:rPr>
              <w:t>”</w:t>
            </w:r>
            <w:r w:rsidRPr="0054509B">
              <w:rPr>
                <w:rFonts w:ascii="Times New Roman" w:hAnsi="Times New Roman"/>
                <w:kern w:val="0"/>
                <w:sz w:val="24"/>
              </w:rPr>
              <w:t>）</w:t>
            </w:r>
          </w:p>
        </w:tc>
        <w:tc>
          <w:tcPr>
            <w:tcW w:w="3060" w:type="dxa"/>
            <w:vAlign w:val="center"/>
          </w:tcPr>
          <w:p w14:paraId="20D51D2C" w14:textId="77777777" w:rsidR="00866E08" w:rsidRPr="0054509B" w:rsidRDefault="00866E08" w:rsidP="00866E08">
            <w:pPr>
              <w:widowControl/>
              <w:jc w:val="center"/>
              <w:rPr>
                <w:rFonts w:ascii="Times New Roman" w:hAnsi="Times New Roman"/>
                <w:kern w:val="0"/>
                <w:sz w:val="24"/>
              </w:rPr>
            </w:pPr>
            <w:r w:rsidRPr="0054509B">
              <w:rPr>
                <w:rFonts w:ascii="Times New Roman" w:hAnsi="Times New Roman"/>
                <w:kern w:val="0"/>
                <w:sz w:val="24"/>
              </w:rPr>
              <w:t>65%</w:t>
            </w:r>
          </w:p>
        </w:tc>
      </w:tr>
      <w:tr w:rsidR="00866E08" w:rsidRPr="00260276" w14:paraId="78DBB32D" w14:textId="77777777" w:rsidTr="00866E08">
        <w:tc>
          <w:tcPr>
            <w:tcW w:w="5400" w:type="dxa"/>
          </w:tcPr>
          <w:p w14:paraId="11BA051E" w14:textId="77777777" w:rsidR="00866E08" w:rsidRPr="0054509B" w:rsidRDefault="00866E08" w:rsidP="00866E08">
            <w:pPr>
              <w:widowControl/>
              <w:rPr>
                <w:rFonts w:ascii="Times New Roman" w:hAnsi="Times New Roman"/>
                <w:kern w:val="0"/>
                <w:sz w:val="24"/>
              </w:rPr>
            </w:pPr>
            <w:r w:rsidRPr="0054509B">
              <w:rPr>
                <w:rFonts w:ascii="Times New Roman" w:hAnsi="Times New Roman"/>
                <w:kern w:val="0"/>
                <w:sz w:val="24"/>
              </w:rPr>
              <w:t>施罗德投资管理有限公司</w:t>
            </w:r>
          </w:p>
        </w:tc>
        <w:tc>
          <w:tcPr>
            <w:tcW w:w="3060" w:type="dxa"/>
            <w:vAlign w:val="center"/>
          </w:tcPr>
          <w:p w14:paraId="2862FEF5" w14:textId="77777777" w:rsidR="00866E08" w:rsidRPr="0054509B" w:rsidRDefault="00866E08" w:rsidP="00866E08">
            <w:pPr>
              <w:widowControl/>
              <w:jc w:val="center"/>
              <w:rPr>
                <w:rFonts w:ascii="Times New Roman" w:hAnsi="Times New Roman"/>
                <w:kern w:val="0"/>
                <w:sz w:val="24"/>
              </w:rPr>
            </w:pPr>
            <w:r w:rsidRPr="0054509B">
              <w:rPr>
                <w:rFonts w:ascii="Times New Roman" w:hAnsi="Times New Roman"/>
                <w:kern w:val="0"/>
                <w:sz w:val="24"/>
              </w:rPr>
              <w:t>30%</w:t>
            </w:r>
          </w:p>
        </w:tc>
      </w:tr>
      <w:tr w:rsidR="00866E08" w:rsidRPr="00260276" w14:paraId="0479CD0C" w14:textId="77777777" w:rsidTr="00866E08">
        <w:trPr>
          <w:trHeight w:val="58"/>
        </w:trPr>
        <w:tc>
          <w:tcPr>
            <w:tcW w:w="5400" w:type="dxa"/>
          </w:tcPr>
          <w:p w14:paraId="1F75ABB4" w14:textId="77777777" w:rsidR="00866E08" w:rsidRPr="0054509B" w:rsidRDefault="00866E08" w:rsidP="00866E08">
            <w:pPr>
              <w:widowControl/>
              <w:rPr>
                <w:rFonts w:ascii="Times New Roman" w:hAnsi="Times New Roman"/>
                <w:kern w:val="0"/>
                <w:sz w:val="24"/>
              </w:rPr>
            </w:pPr>
            <w:r w:rsidRPr="0054509B">
              <w:rPr>
                <w:rFonts w:ascii="Times New Roman" w:hAnsi="Times New Roman"/>
                <w:kern w:val="0"/>
                <w:sz w:val="24"/>
              </w:rPr>
              <w:t>中国国际海运集装箱（集团）股份有限公司</w:t>
            </w:r>
          </w:p>
        </w:tc>
        <w:tc>
          <w:tcPr>
            <w:tcW w:w="3060" w:type="dxa"/>
            <w:vAlign w:val="center"/>
          </w:tcPr>
          <w:p w14:paraId="0048D0AA" w14:textId="77777777" w:rsidR="00866E08" w:rsidRPr="0054509B" w:rsidRDefault="00866E08" w:rsidP="00866E08">
            <w:pPr>
              <w:widowControl/>
              <w:jc w:val="center"/>
              <w:rPr>
                <w:rFonts w:ascii="Times New Roman" w:hAnsi="Times New Roman"/>
                <w:kern w:val="0"/>
                <w:sz w:val="24"/>
              </w:rPr>
            </w:pPr>
            <w:r w:rsidRPr="0054509B">
              <w:rPr>
                <w:rFonts w:ascii="Times New Roman" w:hAnsi="Times New Roman"/>
                <w:kern w:val="0"/>
                <w:sz w:val="24"/>
              </w:rPr>
              <w:t>5%</w:t>
            </w:r>
          </w:p>
        </w:tc>
      </w:tr>
    </w:tbl>
    <w:p w14:paraId="4FBBFD2F" w14:textId="77777777" w:rsidR="00866E08" w:rsidRPr="0054509B" w:rsidRDefault="00866E08" w:rsidP="00866E08">
      <w:pPr>
        <w:adjustRightInd w:val="0"/>
        <w:snapToGrid w:val="0"/>
        <w:spacing w:line="360" w:lineRule="auto"/>
        <w:ind w:firstLineChars="200" w:firstLine="480"/>
        <w:rPr>
          <w:rFonts w:ascii="Times New Roman" w:hAnsi="Times New Roman"/>
          <w:kern w:val="0"/>
          <w:sz w:val="24"/>
        </w:rPr>
      </w:pPr>
    </w:p>
    <w:p w14:paraId="79ECC248" w14:textId="77777777" w:rsidR="00866E08" w:rsidRPr="0054509B" w:rsidRDefault="00866E08" w:rsidP="00866E08">
      <w:pPr>
        <w:widowControl/>
        <w:adjustRightInd w:val="0"/>
        <w:snapToGrid w:val="0"/>
        <w:spacing w:line="360" w:lineRule="auto"/>
        <w:ind w:firstLineChars="200" w:firstLine="482"/>
        <w:rPr>
          <w:rFonts w:ascii="Times New Roman" w:hAnsi="Times New Roman"/>
          <w:b/>
          <w:kern w:val="0"/>
          <w:sz w:val="24"/>
        </w:rPr>
      </w:pPr>
      <w:r w:rsidRPr="0054509B">
        <w:rPr>
          <w:rFonts w:ascii="Times New Roman" w:hAnsi="Times New Roman"/>
          <w:b/>
          <w:kern w:val="0"/>
          <w:sz w:val="24"/>
        </w:rPr>
        <w:t>（二）主要成员情况</w:t>
      </w:r>
    </w:p>
    <w:p w14:paraId="2BC6B17D" w14:textId="77777777" w:rsidR="009855FA" w:rsidRDefault="009855FA" w:rsidP="009855F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14:paraId="0093E0FB" w14:textId="77777777" w:rsidR="009855FA" w:rsidRDefault="009855FA" w:rsidP="009855F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442AA51F" w14:textId="77777777" w:rsidR="009855FA" w:rsidRDefault="009855FA" w:rsidP="009855F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童洁萍女士，董事，硕士。现任交通银行总行个人金融业务部副总经理。历任交通银行南京分行个人金融业务部副高级经理、江苏省分行个人金融业务部副总经理、总经理、玄武支行行长。</w:t>
      </w:r>
    </w:p>
    <w:p w14:paraId="330D68FC" w14:textId="77777777" w:rsidR="009855FA" w:rsidRDefault="009855FA" w:rsidP="009855F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王贤家先生，董事，学士。现任交通银行总行风险管理部/内控案防办副总经</w:t>
      </w:r>
      <w:r>
        <w:rPr>
          <w:rFonts w:ascii="宋体" w:hAnsi="宋体"/>
          <w:sz w:val="24"/>
        </w:rPr>
        <w:lastRenderedPageBreak/>
        <w:t>理。历任交通银行总行国际业务部外汇资金处交易员、澳门分行资金部主管、总行金融市场部债券投资部副高级经理、外汇交易部高级经理。</w:t>
      </w:r>
    </w:p>
    <w:p w14:paraId="24815EDE" w14:textId="77777777" w:rsidR="009855FA" w:rsidRDefault="009855FA" w:rsidP="009855F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谢卫先生，董事，总经理，博士，高级经济师，</w:t>
      </w:r>
      <w:r w:rsidRPr="00147852">
        <w:rPr>
          <w:rFonts w:ascii="宋体" w:hAnsi="宋体" w:hint="eastAsia"/>
          <w:sz w:val="24"/>
        </w:rPr>
        <w:t>第十、十一、十二届</w:t>
      </w:r>
      <w:r>
        <w:rPr>
          <w:rFonts w:ascii="宋体" w:hAnsi="宋体"/>
          <w:sz w:val="24"/>
        </w:rPr>
        <w:t>民盟中央委员、</w:t>
      </w:r>
      <w:r w:rsidRPr="00147852">
        <w:rPr>
          <w:rFonts w:ascii="宋体" w:hAnsi="宋体" w:hint="eastAsia"/>
          <w:sz w:val="24"/>
        </w:rPr>
        <w:t>第十一、十二、十三届</w:t>
      </w:r>
      <w:r>
        <w:rPr>
          <w:rFonts w:ascii="宋体" w:hAnsi="宋体"/>
          <w:sz w:val="24"/>
        </w:rPr>
        <w:t>全国政协委员。现任交银施罗德基金管理有限公司总经理，兼任交银施罗德资产管理(香港)有限公司董事长、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122143E4" w14:textId="77777777" w:rsidR="009855FA" w:rsidRDefault="009855FA" w:rsidP="009855F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杜伟麒（Chris Durack）先生，董事，硕士。现任施罗德投资亚太区行政总裁。历任施罗德投资澳大利亚董事兼产品及分销主管、香港行政总裁兼亚太区机构业务主管、澳大利亚行政总裁兼亚太区联席主管等职。</w:t>
      </w:r>
    </w:p>
    <w:p w14:paraId="2136421E" w14:textId="77777777" w:rsidR="009855FA" w:rsidRDefault="009855FA" w:rsidP="009855F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39934CE5" w14:textId="77777777" w:rsidR="009855FA" w:rsidRDefault="009855FA" w:rsidP="009855F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郝爱群女士，独立董事，学士。历任人民银行稽核司副处长、处长，合作司调研员，非银司副巡视员、副司长，银监会非银部副主任，银行监管一部副主任、巡视员，汇金公司派出董事。</w:t>
      </w:r>
    </w:p>
    <w:p w14:paraId="62F9B86B" w14:textId="77777777" w:rsidR="009855FA" w:rsidRDefault="009855FA" w:rsidP="009855F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2124C8CD" w14:textId="77777777" w:rsidR="009855FA" w:rsidRDefault="009855FA" w:rsidP="009855F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1B38117A" w14:textId="77777777" w:rsidR="009855FA" w:rsidRDefault="009855FA" w:rsidP="009855F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2、基金管理人监事会成员</w:t>
      </w:r>
    </w:p>
    <w:p w14:paraId="51034737" w14:textId="77777777" w:rsidR="009855FA" w:rsidRDefault="009855FA" w:rsidP="009855F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梅津芝女士，监事长，学士。高级经济师、审计师。现任交通银行工会办公室主任。历任交通银行山西省分行个人金融业务部高级经理，交通银行山西省分行副</w:t>
      </w:r>
      <w:r>
        <w:rPr>
          <w:rFonts w:ascii="宋体" w:hAnsi="宋体"/>
          <w:sz w:val="24"/>
        </w:rPr>
        <w:lastRenderedPageBreak/>
        <w:t>行长，交通银行个人金融业务部副总经理、私人银行部总经理。</w:t>
      </w:r>
    </w:p>
    <w:p w14:paraId="05CFF747" w14:textId="77777777" w:rsidR="009855FA" w:rsidRDefault="009855FA" w:rsidP="009855F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林凯珊女士，监事，硕士。现任施罗德投资管理（香港）有限公司中国内地及中国香港法律部主管。历任香港证券及期货事务监察委员会发牌科经理、的近律师行律师。</w:t>
      </w:r>
    </w:p>
    <w:p w14:paraId="164E20A8" w14:textId="77777777" w:rsidR="009855FA" w:rsidRDefault="009855FA" w:rsidP="009855F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4E4799E8" w14:textId="77777777" w:rsidR="009855FA" w:rsidRDefault="009855FA" w:rsidP="009855F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黄伟峰先生，监事，硕士。现任交银施罗德基金管理有限公司</w:t>
      </w:r>
      <w:r>
        <w:rPr>
          <w:rFonts w:ascii="宋体" w:hAnsi="宋体" w:hint="eastAsia"/>
          <w:sz w:val="24"/>
        </w:rPr>
        <w:t>高级专家、</w:t>
      </w:r>
      <w:r>
        <w:rPr>
          <w:rFonts w:ascii="宋体" w:hAnsi="宋体"/>
          <w:sz w:val="24"/>
        </w:rPr>
        <w:t>市场总监。历任平安人寿保险公司上海分公司行政督导、营销管理经理，交银施罗德基金管理有限公司行政部总经理助理、西部营销中心总经理、机构理财部（上海）总经理兼产品开发部总经理。</w:t>
      </w:r>
    </w:p>
    <w:p w14:paraId="2BE8410F" w14:textId="77777777" w:rsidR="009855FA" w:rsidRDefault="009855FA" w:rsidP="009855F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3、基金管理人高级管理人员</w:t>
      </w:r>
    </w:p>
    <w:p w14:paraId="0814A5E2" w14:textId="77777777" w:rsidR="009855FA" w:rsidRDefault="009855FA" w:rsidP="009855F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谢卫先生，总经理。简历同上。</w:t>
      </w:r>
    </w:p>
    <w:p w14:paraId="1B2C82E1" w14:textId="77777777" w:rsidR="009855FA" w:rsidRDefault="009855FA" w:rsidP="009855F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14:paraId="15A5B8EC" w14:textId="77777777" w:rsidR="009855FA" w:rsidRDefault="009855FA" w:rsidP="009855F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24B31E60" w14:textId="3449F095" w:rsidR="00345E10" w:rsidRDefault="009855FA">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14:paraId="1C37E22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14:paraId="1D7CBC4F" w14:textId="7DF9C0C9" w:rsidR="00D87CF5" w:rsidRPr="00393DAF" w:rsidRDefault="007C10A0">
      <w:pPr>
        <w:autoSpaceDE w:val="0"/>
        <w:autoSpaceDN w:val="0"/>
        <w:adjustRightInd w:val="0"/>
        <w:snapToGrid w:val="0"/>
        <w:spacing w:line="360" w:lineRule="auto"/>
        <w:ind w:firstLineChars="200" w:firstLine="480"/>
        <w:jc w:val="left"/>
        <w:rPr>
          <w:rFonts w:ascii="宋体" w:hAnsi="宋体"/>
          <w:szCs w:val="24"/>
        </w:rPr>
      </w:pPr>
      <w:r w:rsidRPr="007C10A0">
        <w:rPr>
          <w:rFonts w:ascii="宋体" w:hAnsi="宋体" w:hint="eastAsia"/>
          <w:sz w:val="24"/>
        </w:rPr>
        <w:t>黄莹洁女士:基金经理。香港大学工商管理硕士、北京大学经济学、管理学双学士。15年证券投资行业从业经验。2008年至2012年任中海基金管理有限公司交易员。2012年加入交银施罗德基金管理有限公司，曾任中央交易室交易员，现任固定收益部投资助理总监。曾任交银施罗德现金宝货币市场基金(2015年05月27日至</w:t>
      </w:r>
      <w:r w:rsidRPr="007C10A0">
        <w:rPr>
          <w:rFonts w:ascii="宋体" w:hAnsi="宋体" w:hint="eastAsia"/>
          <w:sz w:val="24"/>
        </w:rPr>
        <w:lastRenderedPageBreak/>
        <w:t>2019年08月02日)、交银施罗德货币市场证券投资基金(2015年05月27日至2019年08月02日)、交银施罗德理财21天债券型证券投资基金(2015年05月27日至2020年07月27日)、交银施罗德</w:t>
      </w:r>
      <w:r w:rsidRPr="007C10A0">
        <w:rPr>
          <w:rFonts w:ascii="宋体" w:hAnsi="宋体" w:hint="eastAsia"/>
          <w:sz w:val="24"/>
        </w:rPr>
        <w:lastRenderedPageBreak/>
        <w:t>丰泽收益债券型证券投资基金(2015年07月25日至2018年03月18日)、交银施罗德裕通纯债债券型证券投资基金(2015年12月29日至2019年10月23日)、交银施罗德天鑫宝货币市场基金(2016年12月07日至2019年08月02日)、交银施罗德中高等级信用债债券型证券投资基金(2020年07月28日至2022年07月05日)的基金经理。现任交银施罗德丰享收益债券型证券投资基金(2015年07月25日至今)、交银施罗德活期通货币市场基金(2016年07月27日至今)、交银施罗德天利宝货币市场基金(2016年10月19日至今)、交银施罗德裕隆纯债债券型证券投资基金(2016年11月28日至今)、交银施罗德天益宝货币市场基金(2016年12月20日至今)、交银施罗德境尚收益债券型证券投资基金(2017年03月03日至今)、交银施罗德稳鑫短债债券型证券投资基金(2019年01月24日至今)、交银施罗德稳利中短债债券型证券投资基金(2019年12月13日至今)、交银施罗德稳益短债债券型证券投资基金(2022年09月21日至今)的基金经理、交银施罗德稳安30天滚动持有债券型证券投资基金(2022年11月24日至今)的基金经理。</w:t>
      </w:r>
    </w:p>
    <w:p w14:paraId="5550EAB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14:paraId="1C48EA9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14:paraId="345C454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马俊（副总经理、研究总监）</w:t>
      </w:r>
    </w:p>
    <w:p w14:paraId="52D96A0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14:paraId="79C5C78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14:paraId="3384E50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14:paraId="6DF0B706" w14:textId="7165E28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上述人员之间不存在近亲属关系</w:t>
      </w:r>
      <w:r w:rsidR="00242D24">
        <w:rPr>
          <w:rFonts w:ascii="宋体" w:hAnsi="宋体" w:hint="eastAsia"/>
          <w:sz w:val="24"/>
        </w:rPr>
        <w:t>，</w:t>
      </w:r>
      <w:r w:rsidR="00242D24">
        <w:rPr>
          <w:rFonts w:ascii="宋体" w:hAnsi="宋体"/>
          <w:sz w:val="24"/>
        </w:rPr>
        <w:t>上述各项人员信息更新截止日为2023年</w:t>
      </w:r>
      <w:r w:rsidR="00242D24">
        <w:rPr>
          <w:rFonts w:ascii="宋体" w:hAnsi="宋体" w:hint="eastAsia"/>
          <w:sz w:val="24"/>
        </w:rPr>
        <w:t>0</w:t>
      </w:r>
      <w:r w:rsidR="00242D24">
        <w:rPr>
          <w:rFonts w:ascii="宋体" w:hAnsi="宋体"/>
          <w:sz w:val="24"/>
        </w:rPr>
        <w:t>9月22日，期后变动（如有）敬请关注基金管理人发布的相关公告。</w:t>
      </w:r>
    </w:p>
    <w:p w14:paraId="46AA635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14:paraId="11B17AF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60C7FDD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736241A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14:paraId="1B7E6D8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14:paraId="5C3BB7D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14:paraId="7A07B17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14:paraId="14308C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14:paraId="2586573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w:t>
      </w:r>
      <w:r>
        <w:rPr>
          <w:rFonts w:ascii="宋体" w:hAnsi="宋体"/>
          <w:sz w:val="24"/>
        </w:rPr>
        <w:lastRenderedPageBreak/>
        <w:t>的信息披露事项；</w:t>
      </w:r>
    </w:p>
    <w:p w14:paraId="2DCC4A4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14:paraId="114B086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14:paraId="068CF84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14:paraId="691DBED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14:paraId="352F326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14:paraId="6EAD22E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14:paraId="0322074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2、基金管理人承诺不从事违反《基金法》的行为，并承诺建立健全内部风险控制制度，采取有效措施，防止下列行为的发生：</w:t>
      </w:r>
    </w:p>
    <w:p w14:paraId="4B7E5B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14:paraId="4977F24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14:paraId="199604C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14:paraId="2B430E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14:paraId="4680EF4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14:paraId="5B6896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（6）法律、行政法规和中国证监会禁止的其他行为。</w:t>
      </w:r>
    </w:p>
    <w:p w14:paraId="565B704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14:paraId="0CEE246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14:paraId="26F6BB5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14:paraId="627DB61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14:paraId="0BC0A1F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14:paraId="781297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14:paraId="7C52FB2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14:paraId="167AFA7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14:paraId="06E675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14:paraId="523F2EA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14:paraId="5CED541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14:paraId="17C0FD7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14:paraId="61C937D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14:paraId="7F6F287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14:paraId="66711BE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14:paraId="1C48345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公司及各部门在内部组织结构的设计上要形成一种相互制约的机制，建立不同岗位之间的制衡体系。</w:t>
      </w:r>
    </w:p>
    <w:p w14:paraId="190C31F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14:paraId="03E5941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14:paraId="196F1B8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14:paraId="567F2C4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67D3A39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14:paraId="3D38EB3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14:paraId="4BA3AE3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14:paraId="6160222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14:paraId="400B947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14:paraId="174AEEE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30BBAF5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14:paraId="2B4288E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3289E54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14:paraId="6F2D777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14:paraId="3E4DAD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14:paraId="450DD4B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3EA55F4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（7）审计部</w:t>
      </w:r>
    </w:p>
    <w:p w14:paraId="6944B32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0B99DE4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（8）法律合规部</w:t>
      </w:r>
    </w:p>
    <w:p w14:paraId="28EFF32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184EDD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14:paraId="24851D6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14:paraId="21C645B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14:paraId="4E6D985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14:paraId="5D7AC63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14:paraId="4A12AF5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14:paraId="49DDF03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14:paraId="6254D2E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14:paraId="6B2CDE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w:t>
      </w:r>
      <w:r>
        <w:rPr>
          <w:rFonts w:ascii="宋体" w:hAnsi="宋体"/>
          <w:sz w:val="24"/>
        </w:rPr>
        <w:lastRenderedPageBreak/>
        <w:t>中的风险隐患上报，以防范和减少风险。</w:t>
      </w:r>
    </w:p>
    <w:p w14:paraId="3368B55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14:paraId="5300F6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66FBE76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14:paraId="68E85E4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14:paraId="35750B0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（6）使用数量化的风险管理手段</w:t>
      </w:r>
    </w:p>
    <w:p w14:paraId="6633F6F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14:paraId="72960DC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14:paraId="019BD0B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14:paraId="51A36163"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3DBE970" w14:textId="77777777" w:rsidR="00D87CF5" w:rsidRDefault="00CA69EB">
      <w:pPr>
        <w:pStyle w:val="1"/>
        <w:snapToGrid w:val="0"/>
        <w:spacing w:beforeLines="0" w:before="240" w:after="240"/>
        <w:rPr>
          <w:rFonts w:ascii="宋体" w:hAnsi="宋体"/>
          <w:szCs w:val="30"/>
        </w:rPr>
      </w:pPr>
      <w:bookmarkStart w:id="9" w:name="_Toc104564187"/>
      <w:r>
        <w:rPr>
          <w:rFonts w:ascii="Times New Roman" w:hAnsi="Times New Roman"/>
          <w:sz w:val="30"/>
        </w:rPr>
        <w:lastRenderedPageBreak/>
        <w:t>四、基金托管人</w:t>
      </w:r>
      <w:bookmarkEnd w:id="9"/>
    </w:p>
    <w:p w14:paraId="26971DCB" w14:textId="77777777" w:rsidR="009D54E1" w:rsidRPr="00AB6DA1" w:rsidRDefault="009D54E1" w:rsidP="009D54E1">
      <w:pPr>
        <w:adjustRightInd w:val="0"/>
        <w:snapToGrid w:val="0"/>
        <w:spacing w:line="360" w:lineRule="auto"/>
        <w:ind w:firstLineChars="200" w:firstLine="482"/>
        <w:rPr>
          <w:b/>
          <w:color w:val="000000"/>
          <w:sz w:val="24"/>
          <w:szCs w:val="24"/>
        </w:rPr>
      </w:pPr>
      <w:r w:rsidRPr="00AB6DA1">
        <w:rPr>
          <w:rFonts w:hint="eastAsia"/>
          <w:b/>
          <w:color w:val="000000"/>
          <w:sz w:val="24"/>
          <w:szCs w:val="24"/>
        </w:rPr>
        <w:t>（</w:t>
      </w:r>
      <w:r w:rsidRPr="00AB6DA1">
        <w:rPr>
          <w:rFonts w:hAnsi="宋体"/>
          <w:b/>
          <w:color w:val="000000"/>
          <w:sz w:val="24"/>
          <w:szCs w:val="24"/>
        </w:rPr>
        <w:t>一</w:t>
      </w:r>
      <w:r w:rsidRPr="00AB6DA1">
        <w:rPr>
          <w:rFonts w:hint="eastAsia"/>
          <w:b/>
          <w:color w:val="000000"/>
          <w:sz w:val="24"/>
          <w:szCs w:val="24"/>
        </w:rPr>
        <w:t>）</w:t>
      </w:r>
      <w:r w:rsidRPr="00AB6DA1">
        <w:rPr>
          <w:rFonts w:hAnsi="宋体"/>
          <w:b/>
          <w:color w:val="000000"/>
          <w:sz w:val="24"/>
          <w:szCs w:val="24"/>
        </w:rPr>
        <w:t>基金托管人情况</w:t>
      </w:r>
    </w:p>
    <w:p w14:paraId="697BCE09"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1</w:t>
      </w:r>
      <w:r w:rsidRPr="00E94F24">
        <w:rPr>
          <w:rFonts w:ascii="Times New Roman" w:hAnsi="Times New Roman" w:hint="eastAsia"/>
          <w:sz w:val="24"/>
        </w:rPr>
        <w:t>、基本情况</w:t>
      </w:r>
    </w:p>
    <w:p w14:paraId="4D9C1B2A"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名称：招商银行股份有限公司（以下简称“招商银行”）</w:t>
      </w:r>
    </w:p>
    <w:p w14:paraId="78CB09AC"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设立日期：</w:t>
      </w:r>
      <w:r w:rsidRPr="00E94F24">
        <w:rPr>
          <w:rFonts w:ascii="Times New Roman" w:hAnsi="Times New Roman" w:hint="eastAsia"/>
          <w:sz w:val="24"/>
        </w:rPr>
        <w:t>1987</w:t>
      </w:r>
      <w:r w:rsidRPr="00E94F24">
        <w:rPr>
          <w:rFonts w:ascii="Times New Roman" w:hAnsi="Times New Roman" w:hint="eastAsia"/>
          <w:sz w:val="24"/>
        </w:rPr>
        <w:t>年</w:t>
      </w:r>
      <w:r w:rsidRPr="00E94F24">
        <w:rPr>
          <w:rFonts w:ascii="Times New Roman" w:hAnsi="Times New Roman" w:hint="eastAsia"/>
          <w:sz w:val="24"/>
        </w:rPr>
        <w:t>4</w:t>
      </w:r>
      <w:r w:rsidRPr="00E94F24">
        <w:rPr>
          <w:rFonts w:ascii="Times New Roman" w:hAnsi="Times New Roman" w:hint="eastAsia"/>
          <w:sz w:val="24"/>
        </w:rPr>
        <w:t>月</w:t>
      </w:r>
      <w:r w:rsidRPr="00E94F24">
        <w:rPr>
          <w:rFonts w:ascii="Times New Roman" w:hAnsi="Times New Roman" w:hint="eastAsia"/>
          <w:sz w:val="24"/>
        </w:rPr>
        <w:t>8</w:t>
      </w:r>
      <w:r w:rsidRPr="00E94F24">
        <w:rPr>
          <w:rFonts w:ascii="Times New Roman" w:hAnsi="Times New Roman" w:hint="eastAsia"/>
          <w:sz w:val="24"/>
        </w:rPr>
        <w:t>日</w:t>
      </w:r>
    </w:p>
    <w:p w14:paraId="203F0F83"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注册地址：深圳市深南大道</w:t>
      </w:r>
      <w:r w:rsidRPr="00E94F24">
        <w:rPr>
          <w:rFonts w:ascii="Times New Roman" w:hAnsi="Times New Roman" w:hint="eastAsia"/>
          <w:sz w:val="24"/>
        </w:rPr>
        <w:t>7088</w:t>
      </w:r>
      <w:r w:rsidRPr="00E94F24">
        <w:rPr>
          <w:rFonts w:ascii="Times New Roman" w:hAnsi="Times New Roman" w:hint="eastAsia"/>
          <w:sz w:val="24"/>
        </w:rPr>
        <w:t>号招商银行大厦</w:t>
      </w:r>
    </w:p>
    <w:p w14:paraId="2E42CA2A"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办公地址：深圳市深南大道</w:t>
      </w:r>
      <w:r w:rsidRPr="00E94F24">
        <w:rPr>
          <w:rFonts w:ascii="Times New Roman" w:hAnsi="Times New Roman" w:hint="eastAsia"/>
          <w:sz w:val="24"/>
        </w:rPr>
        <w:t>7088</w:t>
      </w:r>
      <w:r w:rsidRPr="00E94F24">
        <w:rPr>
          <w:rFonts w:ascii="Times New Roman" w:hAnsi="Times New Roman" w:hint="eastAsia"/>
          <w:sz w:val="24"/>
        </w:rPr>
        <w:t>号招商银行大厦</w:t>
      </w:r>
    </w:p>
    <w:p w14:paraId="5352823A"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注册资本：</w:t>
      </w:r>
      <w:r w:rsidRPr="00E94F24">
        <w:rPr>
          <w:rFonts w:ascii="Times New Roman" w:hAnsi="Times New Roman" w:hint="eastAsia"/>
          <w:sz w:val="24"/>
        </w:rPr>
        <w:t>252.20</w:t>
      </w:r>
      <w:r w:rsidRPr="00E94F24">
        <w:rPr>
          <w:rFonts w:ascii="Times New Roman" w:hAnsi="Times New Roman" w:hint="eastAsia"/>
          <w:sz w:val="24"/>
        </w:rPr>
        <w:t>亿元</w:t>
      </w:r>
    </w:p>
    <w:p w14:paraId="1F5AC42A"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法定代表人：缪建民</w:t>
      </w:r>
    </w:p>
    <w:p w14:paraId="7824319B"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行长：王良</w:t>
      </w:r>
    </w:p>
    <w:p w14:paraId="1F9009E9"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资产托管业务批准文号：证监基金字</w:t>
      </w:r>
      <w:r w:rsidRPr="00E94F24">
        <w:rPr>
          <w:rFonts w:ascii="Times New Roman" w:hAnsi="Times New Roman" w:hint="eastAsia"/>
          <w:sz w:val="24"/>
        </w:rPr>
        <w:t>[2002]83</w:t>
      </w:r>
      <w:r w:rsidRPr="00E94F24">
        <w:rPr>
          <w:rFonts w:ascii="Times New Roman" w:hAnsi="Times New Roman" w:hint="eastAsia"/>
          <w:sz w:val="24"/>
        </w:rPr>
        <w:t>号</w:t>
      </w:r>
    </w:p>
    <w:p w14:paraId="73D8FA32"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电话：</w:t>
      </w:r>
      <w:r w:rsidRPr="00E94F24">
        <w:rPr>
          <w:rFonts w:ascii="Times New Roman" w:hAnsi="Times New Roman" w:hint="eastAsia"/>
          <w:sz w:val="24"/>
        </w:rPr>
        <w:t>0755-83199084</w:t>
      </w:r>
    </w:p>
    <w:p w14:paraId="66034619"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传真：</w:t>
      </w:r>
      <w:r w:rsidRPr="00E94F24">
        <w:rPr>
          <w:rFonts w:ascii="Times New Roman" w:hAnsi="Times New Roman" w:hint="eastAsia"/>
          <w:sz w:val="24"/>
        </w:rPr>
        <w:t>0755-83195201</w:t>
      </w:r>
    </w:p>
    <w:p w14:paraId="26A529B1"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资产托管部信息披露负责人：张燕</w:t>
      </w:r>
    </w:p>
    <w:p w14:paraId="293D2167"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2</w:t>
      </w:r>
      <w:r w:rsidRPr="00E94F24">
        <w:rPr>
          <w:rFonts w:ascii="Times New Roman" w:hAnsi="Times New Roman" w:hint="eastAsia"/>
          <w:sz w:val="24"/>
        </w:rPr>
        <w:t>、发展概况</w:t>
      </w:r>
      <w:r w:rsidRPr="00E94F24">
        <w:rPr>
          <w:rFonts w:ascii="Times New Roman" w:hAnsi="Times New Roman" w:hint="eastAsia"/>
          <w:sz w:val="24"/>
        </w:rPr>
        <w:t xml:space="preserve">   </w:t>
      </w:r>
    </w:p>
    <w:p w14:paraId="29372571"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招商银行成立于</w:t>
      </w:r>
      <w:r w:rsidRPr="00E94F24">
        <w:rPr>
          <w:rFonts w:ascii="Times New Roman" w:hAnsi="Times New Roman" w:hint="eastAsia"/>
          <w:sz w:val="24"/>
        </w:rPr>
        <w:t>1987</w:t>
      </w:r>
      <w:r w:rsidRPr="00E94F24">
        <w:rPr>
          <w:rFonts w:ascii="Times New Roman" w:hAnsi="Times New Roman" w:hint="eastAsia"/>
          <w:sz w:val="24"/>
        </w:rPr>
        <w:t>年</w:t>
      </w:r>
      <w:r w:rsidRPr="00E94F24">
        <w:rPr>
          <w:rFonts w:ascii="Times New Roman" w:hAnsi="Times New Roman" w:hint="eastAsia"/>
          <w:sz w:val="24"/>
        </w:rPr>
        <w:t>4</w:t>
      </w:r>
      <w:r w:rsidRPr="00E94F24">
        <w:rPr>
          <w:rFonts w:ascii="Times New Roman" w:hAnsi="Times New Roman" w:hint="eastAsia"/>
          <w:sz w:val="24"/>
        </w:rPr>
        <w:t>月</w:t>
      </w:r>
      <w:r w:rsidRPr="00E94F24">
        <w:rPr>
          <w:rFonts w:ascii="Times New Roman" w:hAnsi="Times New Roman" w:hint="eastAsia"/>
          <w:sz w:val="24"/>
        </w:rPr>
        <w:t>8</w:t>
      </w:r>
      <w:r w:rsidRPr="00E94F24">
        <w:rPr>
          <w:rFonts w:ascii="Times New Roman" w:hAnsi="Times New Roman" w:hint="eastAsia"/>
          <w:sz w:val="24"/>
        </w:rPr>
        <w:t>日，是我国第一家完全由企业法人持股的股份制商业银行，总行设在深圳。自成立以来，招商银行先后进行了三次增资扩股，并于</w:t>
      </w:r>
      <w:r w:rsidRPr="00E94F24">
        <w:rPr>
          <w:rFonts w:ascii="Times New Roman" w:hAnsi="Times New Roman" w:hint="eastAsia"/>
          <w:sz w:val="24"/>
        </w:rPr>
        <w:t>2002</w:t>
      </w:r>
      <w:r w:rsidRPr="00E94F24">
        <w:rPr>
          <w:rFonts w:ascii="Times New Roman" w:hAnsi="Times New Roman" w:hint="eastAsia"/>
          <w:sz w:val="24"/>
        </w:rPr>
        <w:t>年</w:t>
      </w:r>
      <w:r w:rsidRPr="00E94F24">
        <w:rPr>
          <w:rFonts w:ascii="Times New Roman" w:hAnsi="Times New Roman" w:hint="eastAsia"/>
          <w:sz w:val="24"/>
        </w:rPr>
        <w:t>3</w:t>
      </w:r>
      <w:r w:rsidRPr="00E94F24">
        <w:rPr>
          <w:rFonts w:ascii="Times New Roman" w:hAnsi="Times New Roman" w:hint="eastAsia"/>
          <w:sz w:val="24"/>
        </w:rPr>
        <w:t>月成功地发行了</w:t>
      </w:r>
      <w:r w:rsidRPr="00E94F24">
        <w:rPr>
          <w:rFonts w:ascii="Times New Roman" w:hAnsi="Times New Roman" w:hint="eastAsia"/>
          <w:sz w:val="24"/>
        </w:rPr>
        <w:t>15</w:t>
      </w:r>
      <w:r w:rsidRPr="00E94F24">
        <w:rPr>
          <w:rFonts w:ascii="Times New Roman" w:hAnsi="Times New Roman" w:hint="eastAsia"/>
          <w:sz w:val="24"/>
        </w:rPr>
        <w:t>亿</w:t>
      </w:r>
      <w:r w:rsidRPr="00E94F24">
        <w:rPr>
          <w:rFonts w:ascii="Times New Roman" w:hAnsi="Times New Roman" w:hint="eastAsia"/>
          <w:sz w:val="24"/>
        </w:rPr>
        <w:t>A</w:t>
      </w:r>
      <w:r w:rsidRPr="00E94F24">
        <w:rPr>
          <w:rFonts w:ascii="Times New Roman" w:hAnsi="Times New Roman" w:hint="eastAsia"/>
          <w:sz w:val="24"/>
        </w:rPr>
        <w:t>股，</w:t>
      </w:r>
      <w:r w:rsidRPr="00E94F24">
        <w:rPr>
          <w:rFonts w:ascii="Times New Roman" w:hAnsi="Times New Roman" w:hint="eastAsia"/>
          <w:sz w:val="24"/>
        </w:rPr>
        <w:t>4</w:t>
      </w:r>
      <w:r w:rsidRPr="00E94F24">
        <w:rPr>
          <w:rFonts w:ascii="Times New Roman" w:hAnsi="Times New Roman" w:hint="eastAsia"/>
          <w:sz w:val="24"/>
        </w:rPr>
        <w:t>月</w:t>
      </w:r>
      <w:r w:rsidRPr="00E94F24">
        <w:rPr>
          <w:rFonts w:ascii="Times New Roman" w:hAnsi="Times New Roman" w:hint="eastAsia"/>
          <w:sz w:val="24"/>
        </w:rPr>
        <w:t>9</w:t>
      </w:r>
      <w:r w:rsidRPr="00E94F24">
        <w:rPr>
          <w:rFonts w:ascii="Times New Roman" w:hAnsi="Times New Roman" w:hint="eastAsia"/>
          <w:sz w:val="24"/>
        </w:rPr>
        <w:t>日在上交所挂牌（股票代码：</w:t>
      </w:r>
      <w:r w:rsidRPr="00E94F24">
        <w:rPr>
          <w:rFonts w:ascii="Times New Roman" w:hAnsi="Times New Roman" w:hint="eastAsia"/>
          <w:sz w:val="24"/>
        </w:rPr>
        <w:t>600036</w:t>
      </w:r>
      <w:r w:rsidRPr="00E94F24">
        <w:rPr>
          <w:rFonts w:ascii="Times New Roman" w:hAnsi="Times New Roman" w:hint="eastAsia"/>
          <w:sz w:val="24"/>
        </w:rPr>
        <w:t>），是国内第一家采用国际会计标准上市的公司。</w:t>
      </w:r>
      <w:r w:rsidRPr="00E94F24">
        <w:rPr>
          <w:rFonts w:ascii="Times New Roman" w:hAnsi="Times New Roman" w:hint="eastAsia"/>
          <w:sz w:val="24"/>
        </w:rPr>
        <w:t>2006</w:t>
      </w:r>
      <w:r w:rsidRPr="00E94F24">
        <w:rPr>
          <w:rFonts w:ascii="Times New Roman" w:hAnsi="Times New Roman" w:hint="eastAsia"/>
          <w:sz w:val="24"/>
        </w:rPr>
        <w:t>年</w:t>
      </w:r>
      <w:r w:rsidRPr="00E94F24">
        <w:rPr>
          <w:rFonts w:ascii="Times New Roman" w:hAnsi="Times New Roman" w:hint="eastAsia"/>
          <w:sz w:val="24"/>
        </w:rPr>
        <w:t>9</w:t>
      </w:r>
      <w:r w:rsidRPr="00E94F24">
        <w:rPr>
          <w:rFonts w:ascii="Times New Roman" w:hAnsi="Times New Roman" w:hint="eastAsia"/>
          <w:sz w:val="24"/>
        </w:rPr>
        <w:t>月又成功发行了</w:t>
      </w:r>
      <w:r w:rsidRPr="00E94F24">
        <w:rPr>
          <w:rFonts w:ascii="Times New Roman" w:hAnsi="Times New Roman" w:hint="eastAsia"/>
          <w:sz w:val="24"/>
        </w:rPr>
        <w:t>22</w:t>
      </w:r>
      <w:r w:rsidRPr="00E94F24">
        <w:rPr>
          <w:rFonts w:ascii="Times New Roman" w:hAnsi="Times New Roman" w:hint="eastAsia"/>
          <w:sz w:val="24"/>
        </w:rPr>
        <w:t>亿</w:t>
      </w:r>
      <w:r w:rsidRPr="00E94F24">
        <w:rPr>
          <w:rFonts w:ascii="Times New Roman" w:hAnsi="Times New Roman" w:hint="eastAsia"/>
          <w:sz w:val="24"/>
        </w:rPr>
        <w:t>H</w:t>
      </w:r>
      <w:r w:rsidRPr="00E94F24">
        <w:rPr>
          <w:rFonts w:ascii="Times New Roman" w:hAnsi="Times New Roman" w:hint="eastAsia"/>
          <w:sz w:val="24"/>
        </w:rPr>
        <w:t>股，</w:t>
      </w:r>
      <w:r w:rsidRPr="00E94F24">
        <w:rPr>
          <w:rFonts w:ascii="Times New Roman" w:hAnsi="Times New Roman" w:hint="eastAsia"/>
          <w:sz w:val="24"/>
        </w:rPr>
        <w:t>9</w:t>
      </w:r>
      <w:r w:rsidRPr="00E94F24">
        <w:rPr>
          <w:rFonts w:ascii="Times New Roman" w:hAnsi="Times New Roman" w:hint="eastAsia"/>
          <w:sz w:val="24"/>
        </w:rPr>
        <w:t>月</w:t>
      </w:r>
      <w:r w:rsidRPr="00E94F24">
        <w:rPr>
          <w:rFonts w:ascii="Times New Roman" w:hAnsi="Times New Roman" w:hint="eastAsia"/>
          <w:sz w:val="24"/>
        </w:rPr>
        <w:t>22</w:t>
      </w:r>
      <w:r w:rsidRPr="00E94F24">
        <w:rPr>
          <w:rFonts w:ascii="Times New Roman" w:hAnsi="Times New Roman" w:hint="eastAsia"/>
          <w:sz w:val="24"/>
        </w:rPr>
        <w:t>日在香港联交所挂牌交易（股票代码：</w:t>
      </w:r>
      <w:r w:rsidRPr="00E94F24">
        <w:rPr>
          <w:rFonts w:ascii="Times New Roman" w:hAnsi="Times New Roman" w:hint="eastAsia"/>
          <w:sz w:val="24"/>
        </w:rPr>
        <w:t>3968</w:t>
      </w:r>
      <w:r w:rsidRPr="00E94F24">
        <w:rPr>
          <w:rFonts w:ascii="Times New Roman" w:hAnsi="Times New Roman" w:hint="eastAsia"/>
          <w:sz w:val="24"/>
        </w:rPr>
        <w:t>），</w:t>
      </w:r>
      <w:r w:rsidRPr="00E94F24">
        <w:rPr>
          <w:rFonts w:ascii="Times New Roman" w:hAnsi="Times New Roman" w:hint="eastAsia"/>
          <w:sz w:val="24"/>
        </w:rPr>
        <w:t>10</w:t>
      </w:r>
      <w:r w:rsidRPr="00E94F24">
        <w:rPr>
          <w:rFonts w:ascii="Times New Roman" w:hAnsi="Times New Roman" w:hint="eastAsia"/>
          <w:sz w:val="24"/>
        </w:rPr>
        <w:t>月</w:t>
      </w:r>
      <w:r w:rsidRPr="00E94F24">
        <w:rPr>
          <w:rFonts w:ascii="Times New Roman" w:hAnsi="Times New Roman" w:hint="eastAsia"/>
          <w:sz w:val="24"/>
        </w:rPr>
        <w:t>5</w:t>
      </w:r>
      <w:r w:rsidRPr="00E94F24">
        <w:rPr>
          <w:rFonts w:ascii="Times New Roman" w:hAnsi="Times New Roman" w:hint="eastAsia"/>
          <w:sz w:val="24"/>
        </w:rPr>
        <w:t>日行使</w:t>
      </w:r>
      <w:r w:rsidRPr="00E94F24">
        <w:rPr>
          <w:rFonts w:ascii="Times New Roman" w:hAnsi="Times New Roman" w:hint="eastAsia"/>
          <w:sz w:val="24"/>
        </w:rPr>
        <w:t>H</w:t>
      </w:r>
      <w:r w:rsidRPr="00E94F24">
        <w:rPr>
          <w:rFonts w:ascii="Times New Roman" w:hAnsi="Times New Roman" w:hint="eastAsia"/>
          <w:sz w:val="24"/>
        </w:rPr>
        <w:t>股超额配售，共发行了</w:t>
      </w:r>
      <w:r w:rsidRPr="00E94F24">
        <w:rPr>
          <w:rFonts w:ascii="Times New Roman" w:hAnsi="Times New Roman" w:hint="eastAsia"/>
          <w:sz w:val="24"/>
        </w:rPr>
        <w:t>24.2</w:t>
      </w:r>
      <w:r w:rsidRPr="00E94F24">
        <w:rPr>
          <w:rFonts w:ascii="Times New Roman" w:hAnsi="Times New Roman" w:hint="eastAsia"/>
          <w:sz w:val="24"/>
        </w:rPr>
        <w:t>亿</w:t>
      </w:r>
      <w:r w:rsidRPr="00E94F24">
        <w:rPr>
          <w:rFonts w:ascii="Times New Roman" w:hAnsi="Times New Roman" w:hint="eastAsia"/>
          <w:sz w:val="24"/>
        </w:rPr>
        <w:t>H</w:t>
      </w:r>
      <w:r w:rsidRPr="00E94F24">
        <w:rPr>
          <w:rFonts w:ascii="Times New Roman" w:hAnsi="Times New Roman" w:hint="eastAsia"/>
          <w:sz w:val="24"/>
        </w:rPr>
        <w:t>股。</w:t>
      </w:r>
      <w:r w:rsidRPr="00051DDC">
        <w:rPr>
          <w:rFonts w:ascii="Times New Roman" w:hAnsi="Times New Roman" w:hint="eastAsia"/>
          <w:sz w:val="24"/>
        </w:rPr>
        <w:t>截至</w:t>
      </w:r>
      <w:r w:rsidRPr="00051DDC">
        <w:rPr>
          <w:rFonts w:ascii="Times New Roman" w:hAnsi="Times New Roman" w:hint="eastAsia"/>
          <w:sz w:val="24"/>
        </w:rPr>
        <w:t>2022</w:t>
      </w:r>
      <w:r w:rsidRPr="00051DDC">
        <w:rPr>
          <w:rFonts w:ascii="Times New Roman" w:hAnsi="Times New Roman" w:hint="eastAsia"/>
          <w:sz w:val="24"/>
        </w:rPr>
        <w:t>年</w:t>
      </w:r>
      <w:r w:rsidRPr="00051DDC">
        <w:rPr>
          <w:rFonts w:ascii="Times New Roman" w:hAnsi="Times New Roman" w:hint="eastAsia"/>
          <w:sz w:val="24"/>
        </w:rPr>
        <w:t>6</w:t>
      </w:r>
      <w:r w:rsidRPr="00051DDC">
        <w:rPr>
          <w:rFonts w:ascii="Times New Roman" w:hAnsi="Times New Roman" w:hint="eastAsia"/>
          <w:sz w:val="24"/>
        </w:rPr>
        <w:t>月</w:t>
      </w:r>
      <w:r w:rsidRPr="00051DDC">
        <w:rPr>
          <w:rFonts w:ascii="Times New Roman" w:hAnsi="Times New Roman" w:hint="eastAsia"/>
          <w:sz w:val="24"/>
        </w:rPr>
        <w:t>30</w:t>
      </w:r>
      <w:r>
        <w:rPr>
          <w:rFonts w:ascii="Times New Roman" w:hAnsi="Times New Roman" w:hint="eastAsia"/>
          <w:sz w:val="24"/>
        </w:rPr>
        <w:t>日，</w:t>
      </w:r>
      <w:r w:rsidRPr="00051DDC">
        <w:rPr>
          <w:rFonts w:ascii="Times New Roman" w:hAnsi="Times New Roman" w:hint="eastAsia"/>
          <w:sz w:val="24"/>
        </w:rPr>
        <w:t>集团总资产</w:t>
      </w:r>
      <w:r w:rsidRPr="00051DDC">
        <w:rPr>
          <w:rFonts w:ascii="Times New Roman" w:hAnsi="Times New Roman" w:hint="eastAsia"/>
          <w:sz w:val="24"/>
        </w:rPr>
        <w:t>97,249.96</w:t>
      </w:r>
      <w:r w:rsidRPr="00051DDC">
        <w:rPr>
          <w:rFonts w:ascii="Times New Roman" w:hAnsi="Times New Roman" w:hint="eastAsia"/>
          <w:sz w:val="24"/>
        </w:rPr>
        <w:t>亿元人民币，高级法下资本充足率</w:t>
      </w:r>
      <w:r w:rsidRPr="00051DDC">
        <w:rPr>
          <w:rFonts w:ascii="Times New Roman" w:hAnsi="Times New Roman" w:hint="eastAsia"/>
          <w:sz w:val="24"/>
        </w:rPr>
        <w:t>16.80%</w:t>
      </w:r>
      <w:r w:rsidRPr="00051DDC">
        <w:rPr>
          <w:rFonts w:ascii="Times New Roman" w:hAnsi="Times New Roman" w:hint="eastAsia"/>
          <w:sz w:val="24"/>
        </w:rPr>
        <w:t>，权重法下资本充足率</w:t>
      </w:r>
      <w:r w:rsidRPr="00051DDC">
        <w:rPr>
          <w:rFonts w:ascii="Times New Roman" w:hAnsi="Times New Roman" w:hint="eastAsia"/>
          <w:sz w:val="24"/>
        </w:rPr>
        <w:t>14.03%</w:t>
      </w:r>
      <w:r w:rsidRPr="00051DDC">
        <w:rPr>
          <w:rFonts w:ascii="Times New Roman" w:hAnsi="Times New Roman" w:hint="eastAsia"/>
          <w:sz w:val="24"/>
        </w:rPr>
        <w:t>。</w:t>
      </w:r>
      <w:r w:rsidRPr="00E94F24">
        <w:rPr>
          <w:rFonts w:ascii="Times New Roman" w:hAnsi="Times New Roman" w:hint="eastAsia"/>
          <w:sz w:val="24"/>
        </w:rPr>
        <w:t>。</w:t>
      </w:r>
    </w:p>
    <w:p w14:paraId="43A41C4B"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2002</w:t>
      </w:r>
      <w:r w:rsidRPr="00E94F24">
        <w:rPr>
          <w:rFonts w:ascii="Times New Roman" w:hAnsi="Times New Roman" w:hint="eastAsia"/>
          <w:sz w:val="24"/>
        </w:rPr>
        <w:t>年</w:t>
      </w:r>
      <w:r w:rsidRPr="00E94F24">
        <w:rPr>
          <w:rFonts w:ascii="Times New Roman" w:hAnsi="Times New Roman" w:hint="eastAsia"/>
          <w:sz w:val="24"/>
        </w:rPr>
        <w:t>8</w:t>
      </w:r>
      <w:r w:rsidRPr="00E94F24">
        <w:rPr>
          <w:rFonts w:ascii="Times New Roman" w:hAnsi="Times New Roman" w:hint="eastAsia"/>
          <w:sz w:val="24"/>
        </w:rPr>
        <w:t>月，招商银行成立基金托管部；</w:t>
      </w:r>
      <w:r w:rsidRPr="00E94F24">
        <w:rPr>
          <w:rFonts w:ascii="Times New Roman" w:hAnsi="Times New Roman" w:hint="eastAsia"/>
          <w:sz w:val="24"/>
        </w:rPr>
        <w:t>2005</w:t>
      </w:r>
      <w:r w:rsidRPr="00E94F24">
        <w:rPr>
          <w:rFonts w:ascii="Times New Roman" w:hAnsi="Times New Roman" w:hint="eastAsia"/>
          <w:sz w:val="24"/>
        </w:rPr>
        <w:t>年</w:t>
      </w:r>
      <w:r w:rsidRPr="00E94F24">
        <w:rPr>
          <w:rFonts w:ascii="Times New Roman" w:hAnsi="Times New Roman" w:hint="eastAsia"/>
          <w:sz w:val="24"/>
        </w:rPr>
        <w:t>8</w:t>
      </w:r>
      <w:r w:rsidRPr="00E94F24">
        <w:rPr>
          <w:rFonts w:ascii="Times New Roman" w:hAnsi="Times New Roman" w:hint="eastAsia"/>
          <w:sz w:val="24"/>
        </w:rPr>
        <w:t>月，经报中国证监会同意，更名为资产托管部，现下设业务管理团队、基金券商产品团队、银保信托产品团队、养老金团队、交易与清算团队、项目管理团队、稽核监察团队、基金外包业务团队、系统与数据团队</w:t>
      </w:r>
      <w:r w:rsidRPr="00E94F24">
        <w:rPr>
          <w:rFonts w:ascii="Times New Roman" w:hAnsi="Times New Roman" w:hint="eastAsia"/>
          <w:sz w:val="24"/>
        </w:rPr>
        <w:t>9</w:t>
      </w:r>
      <w:r w:rsidRPr="00E94F24">
        <w:rPr>
          <w:rFonts w:ascii="Times New Roman" w:hAnsi="Times New Roman" w:hint="eastAsia"/>
          <w:sz w:val="24"/>
        </w:rPr>
        <w:t>个职能团队，现有员工</w:t>
      </w:r>
      <w:r w:rsidRPr="00E94F24">
        <w:rPr>
          <w:rFonts w:ascii="Times New Roman" w:hAnsi="Times New Roman" w:hint="eastAsia"/>
          <w:sz w:val="24"/>
        </w:rPr>
        <w:t>117</w:t>
      </w:r>
      <w:r w:rsidRPr="00E94F24">
        <w:rPr>
          <w:rFonts w:ascii="Times New Roman" w:hAnsi="Times New Roman" w:hint="eastAsia"/>
          <w:sz w:val="24"/>
        </w:rPr>
        <w:t>人。</w:t>
      </w:r>
      <w:r w:rsidRPr="00E94F24">
        <w:rPr>
          <w:rFonts w:ascii="Times New Roman" w:hAnsi="Times New Roman" w:hint="eastAsia"/>
          <w:sz w:val="24"/>
        </w:rPr>
        <w:t>2002</w:t>
      </w:r>
      <w:r w:rsidRPr="00E94F24">
        <w:rPr>
          <w:rFonts w:ascii="Times New Roman" w:hAnsi="Times New Roman" w:hint="eastAsia"/>
          <w:sz w:val="24"/>
        </w:rPr>
        <w:t>年</w:t>
      </w:r>
      <w:r w:rsidRPr="00E94F24">
        <w:rPr>
          <w:rFonts w:ascii="Times New Roman" w:hAnsi="Times New Roman" w:hint="eastAsia"/>
          <w:sz w:val="24"/>
        </w:rPr>
        <w:t>11</w:t>
      </w:r>
      <w:r w:rsidRPr="00E94F24">
        <w:rPr>
          <w:rFonts w:ascii="Times New Roman" w:hAnsi="Times New Roman" w:hint="eastAsia"/>
          <w:sz w:val="24"/>
        </w:rPr>
        <w:t>月，经中国人民银行和中国证监会批准获得证券投资基金托管业务资格，成为国内第一家获得该项业务资格上市银行；</w:t>
      </w:r>
      <w:r w:rsidRPr="00E94F24">
        <w:rPr>
          <w:rFonts w:ascii="Times New Roman" w:hAnsi="Times New Roman" w:hint="eastAsia"/>
          <w:sz w:val="24"/>
        </w:rPr>
        <w:t>2003</w:t>
      </w:r>
      <w:r w:rsidRPr="00E94F24">
        <w:rPr>
          <w:rFonts w:ascii="Times New Roman" w:hAnsi="Times New Roman" w:hint="eastAsia"/>
          <w:sz w:val="24"/>
        </w:rPr>
        <w:t>年</w:t>
      </w:r>
      <w:r w:rsidRPr="00E94F24">
        <w:rPr>
          <w:rFonts w:ascii="Times New Roman" w:hAnsi="Times New Roman" w:hint="eastAsia"/>
          <w:sz w:val="24"/>
        </w:rPr>
        <w:t>4</w:t>
      </w:r>
      <w:r w:rsidRPr="00E94F24">
        <w:rPr>
          <w:rFonts w:ascii="Times New Roman" w:hAnsi="Times New Roman" w:hint="eastAsia"/>
          <w:sz w:val="24"/>
        </w:rPr>
        <w:t>月，正式办理基金托管业务。招商银行作为托管业务资质最全的商业银行，拥有证券投资基金托管、受托投资管理托管、合格境外机构投资</w:t>
      </w:r>
      <w:r w:rsidRPr="00E94F24">
        <w:rPr>
          <w:rFonts w:ascii="Times New Roman" w:hAnsi="Times New Roman" w:hint="eastAsia"/>
          <w:sz w:val="24"/>
        </w:rPr>
        <w:lastRenderedPageBreak/>
        <w:t>者托管（</w:t>
      </w:r>
      <w:r w:rsidRPr="00E94F24">
        <w:rPr>
          <w:rFonts w:ascii="Times New Roman" w:hAnsi="Times New Roman" w:hint="eastAsia"/>
          <w:sz w:val="24"/>
        </w:rPr>
        <w:t>QFII</w:t>
      </w:r>
      <w:r w:rsidRPr="00E94F24">
        <w:rPr>
          <w:rFonts w:ascii="Times New Roman" w:hAnsi="Times New Roman" w:hint="eastAsia"/>
          <w:sz w:val="24"/>
        </w:rPr>
        <w:t>）、合格境内机构投资者托管（</w:t>
      </w:r>
      <w:r w:rsidRPr="00E94F24">
        <w:rPr>
          <w:rFonts w:ascii="Times New Roman" w:hAnsi="Times New Roman" w:hint="eastAsia"/>
          <w:sz w:val="24"/>
        </w:rPr>
        <w:t>QDII</w:t>
      </w:r>
      <w:r w:rsidRPr="00E94F24">
        <w:rPr>
          <w:rFonts w:ascii="Times New Roman" w:hAnsi="Times New Roman" w:hint="eastAsia"/>
          <w:sz w:val="24"/>
        </w:rPr>
        <w:t>）、全国社会保障基金托管、保险资金托管、企业年金基金托管、存托凭证试点存托人等业务资格。</w:t>
      </w:r>
    </w:p>
    <w:p w14:paraId="09DE4496"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招商银行确立“因势而变、先您所想”的托管理念和“财富所托、信守承诺”的托管核心价值，独创“</w:t>
      </w:r>
      <w:r w:rsidRPr="00E94F24">
        <w:rPr>
          <w:rFonts w:ascii="Times New Roman" w:hAnsi="Times New Roman" w:hint="eastAsia"/>
          <w:sz w:val="24"/>
        </w:rPr>
        <w:t>6S</w:t>
      </w:r>
      <w:r w:rsidRPr="00E94F24">
        <w:rPr>
          <w:rFonts w:ascii="Times New Roman" w:hAnsi="Times New Roman" w:hint="eastAsia"/>
          <w:sz w:val="24"/>
        </w:rPr>
        <w:t>托管银行”品牌体系，以“保护您的业务、保护您的财富”为历史使命，不断创新托管系统、服务和产品：在业内率先推出“网上托管银行系统”、托管业务综合系统和“</w:t>
      </w:r>
      <w:r w:rsidRPr="00E94F24">
        <w:rPr>
          <w:rFonts w:ascii="Times New Roman" w:hAnsi="Times New Roman" w:hint="eastAsia"/>
          <w:sz w:val="24"/>
        </w:rPr>
        <w:t>6</w:t>
      </w:r>
      <w:r w:rsidRPr="00E94F24">
        <w:rPr>
          <w:rFonts w:ascii="Times New Roman" w:hAnsi="Times New Roman" w:hint="eastAsia"/>
          <w:sz w:val="24"/>
        </w:rPr>
        <w:t>心”托管服务标准，首家发布私募基金绩效分析报告，开办国内首个托管银行网站，推出国内首个托管大数据平台，成功托管国内第一只券商集合资产管理计划、第一只</w:t>
      </w:r>
      <w:r w:rsidRPr="00E94F24">
        <w:rPr>
          <w:rFonts w:ascii="Times New Roman" w:hAnsi="Times New Roman" w:hint="eastAsia"/>
          <w:sz w:val="24"/>
        </w:rPr>
        <w:t>FOF</w:t>
      </w:r>
      <w:r w:rsidRPr="00E94F24">
        <w:rPr>
          <w:rFonts w:ascii="Times New Roman" w:hAnsi="Times New Roman" w:hint="eastAsia"/>
          <w:sz w:val="24"/>
        </w:rPr>
        <w:t>、第一只信托资金计划、第一只股权私募基金、第一家实现货币市场基金赎回资金</w:t>
      </w:r>
      <w:r w:rsidRPr="00E94F24">
        <w:rPr>
          <w:rFonts w:ascii="Times New Roman" w:hAnsi="Times New Roman" w:hint="eastAsia"/>
          <w:sz w:val="24"/>
        </w:rPr>
        <w:t>T+1</w:t>
      </w:r>
      <w:r w:rsidRPr="00E94F24">
        <w:rPr>
          <w:rFonts w:ascii="Times New Roman" w:hAnsi="Times New Roman" w:hint="eastAsia"/>
          <w:sz w:val="24"/>
        </w:rPr>
        <w:t>到账、第一只境外银行</w:t>
      </w:r>
      <w:r w:rsidRPr="00E94F24">
        <w:rPr>
          <w:rFonts w:ascii="Times New Roman" w:hAnsi="Times New Roman" w:hint="eastAsia"/>
          <w:sz w:val="24"/>
        </w:rPr>
        <w:t>QDII</w:t>
      </w:r>
      <w:r w:rsidRPr="00E94F24">
        <w:rPr>
          <w:rFonts w:ascii="Times New Roman" w:hAnsi="Times New Roman" w:hint="eastAsia"/>
          <w:sz w:val="24"/>
        </w:rPr>
        <w:t>基金、第一只红利</w:t>
      </w:r>
      <w:r w:rsidRPr="00E94F24">
        <w:rPr>
          <w:rFonts w:ascii="Times New Roman" w:hAnsi="Times New Roman" w:hint="eastAsia"/>
          <w:sz w:val="24"/>
        </w:rPr>
        <w:t>ETF</w:t>
      </w:r>
      <w:r w:rsidRPr="00E94F24">
        <w:rPr>
          <w:rFonts w:ascii="Times New Roman" w:hAnsi="Times New Roman" w:hint="eastAsia"/>
          <w:sz w:val="24"/>
        </w:rPr>
        <w:t>基金、第一只“</w:t>
      </w:r>
      <w:r w:rsidRPr="00E94F24">
        <w:rPr>
          <w:rFonts w:ascii="Times New Roman" w:hAnsi="Times New Roman" w:hint="eastAsia"/>
          <w:sz w:val="24"/>
        </w:rPr>
        <w:t>1+N</w:t>
      </w:r>
      <w:r w:rsidRPr="00E94F24">
        <w:rPr>
          <w:rFonts w:ascii="Times New Roman" w:hAnsi="Times New Roman" w:hint="eastAsia"/>
          <w:sz w:val="24"/>
        </w:rPr>
        <w:t>”基金专户理财、第一家大小非解禁资产、第一单</w:t>
      </w:r>
      <w:r w:rsidRPr="00E94F24">
        <w:rPr>
          <w:rFonts w:ascii="Times New Roman" w:hAnsi="Times New Roman" w:hint="eastAsia"/>
          <w:sz w:val="24"/>
        </w:rPr>
        <w:t>TOT</w:t>
      </w:r>
      <w:r w:rsidRPr="00E94F24">
        <w:rPr>
          <w:rFonts w:ascii="Times New Roman" w:hAnsi="Times New Roman" w:hint="eastAsia"/>
          <w:sz w:val="24"/>
        </w:rPr>
        <w:t>保管，实现从单一托管服务商向全面投资者服务机构的转变，得到了同业认可。</w:t>
      </w:r>
    </w:p>
    <w:p w14:paraId="2EF9F214" w14:textId="77777777" w:rsidR="00F53A82" w:rsidRPr="00050B7E"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招商银行资产托管业务持续稳健发展，社会影响力不断提升</w:t>
      </w:r>
      <w:r w:rsidRPr="00E94F24">
        <w:rPr>
          <w:rFonts w:ascii="Times New Roman" w:hAnsi="Times New Roman" w:hint="eastAsia"/>
          <w:sz w:val="24"/>
        </w:rPr>
        <w:t>,</w:t>
      </w:r>
      <w:r w:rsidRPr="00E94F24">
        <w:rPr>
          <w:rFonts w:ascii="Times New Roman" w:hAnsi="Times New Roman" w:hint="eastAsia"/>
          <w:sz w:val="24"/>
        </w:rPr>
        <w:t>四度蝉联获《财资》“中国最佳托管专业银行”。</w:t>
      </w:r>
      <w:r w:rsidRPr="00E94F24">
        <w:rPr>
          <w:rFonts w:ascii="Times New Roman" w:hAnsi="Times New Roman" w:hint="eastAsia"/>
          <w:sz w:val="24"/>
        </w:rPr>
        <w:t>2016</w:t>
      </w:r>
      <w:r w:rsidRPr="00E94F24">
        <w:rPr>
          <w:rFonts w:ascii="Times New Roman" w:hAnsi="Times New Roman" w:hint="eastAsia"/>
          <w:sz w:val="24"/>
        </w:rPr>
        <w:t>年</w:t>
      </w:r>
      <w:r w:rsidRPr="00E94F24">
        <w:rPr>
          <w:rFonts w:ascii="Times New Roman" w:hAnsi="Times New Roman" w:hint="eastAsia"/>
          <w:sz w:val="24"/>
        </w:rPr>
        <w:t>6</w:t>
      </w:r>
      <w:r w:rsidRPr="00E94F24">
        <w:rPr>
          <w:rFonts w:ascii="Times New Roman" w:hAnsi="Times New Roman" w:hint="eastAsia"/>
          <w:sz w:val="24"/>
        </w:rPr>
        <w:t>月招商银行荣膺《财资》“中国最佳托管银行奖”，成为国内唯一获得该奖项的托管银行；“托管通”获得国内《银行家》</w:t>
      </w:r>
      <w:r w:rsidRPr="00E94F24">
        <w:rPr>
          <w:rFonts w:ascii="Times New Roman" w:hAnsi="Times New Roman" w:hint="eastAsia"/>
          <w:sz w:val="24"/>
        </w:rPr>
        <w:t>2016</w:t>
      </w:r>
      <w:r w:rsidRPr="00E94F24">
        <w:rPr>
          <w:rFonts w:ascii="Times New Roman" w:hAnsi="Times New Roman" w:hint="eastAsia"/>
          <w:sz w:val="24"/>
        </w:rPr>
        <w:t>中国金融创新“十佳金融产品创新奖”；</w:t>
      </w:r>
      <w:r w:rsidRPr="00E94F24">
        <w:rPr>
          <w:rFonts w:ascii="Times New Roman" w:hAnsi="Times New Roman" w:hint="eastAsia"/>
          <w:sz w:val="24"/>
        </w:rPr>
        <w:t>7</w:t>
      </w:r>
      <w:r w:rsidRPr="00E94F24">
        <w:rPr>
          <w:rFonts w:ascii="Times New Roman" w:hAnsi="Times New Roman" w:hint="eastAsia"/>
          <w:sz w:val="24"/>
        </w:rPr>
        <w:t>月荣膺</w:t>
      </w:r>
      <w:r w:rsidRPr="00E94F24">
        <w:rPr>
          <w:rFonts w:ascii="Times New Roman" w:hAnsi="Times New Roman" w:hint="eastAsia"/>
          <w:sz w:val="24"/>
        </w:rPr>
        <w:t>2016</w:t>
      </w:r>
      <w:r w:rsidRPr="00E94F24">
        <w:rPr>
          <w:rFonts w:ascii="Times New Roman" w:hAnsi="Times New Roman" w:hint="eastAsia"/>
          <w:sz w:val="24"/>
        </w:rPr>
        <w:t>年中国资产管理“金贝奖”“最佳资产托管银行”。</w:t>
      </w:r>
      <w:r w:rsidRPr="00E94F24">
        <w:rPr>
          <w:rFonts w:ascii="Times New Roman" w:hAnsi="Times New Roman" w:hint="eastAsia"/>
          <w:sz w:val="24"/>
        </w:rPr>
        <w:t>2017</w:t>
      </w:r>
      <w:r w:rsidRPr="00E94F24">
        <w:rPr>
          <w:rFonts w:ascii="Times New Roman" w:hAnsi="Times New Roman" w:hint="eastAsia"/>
          <w:sz w:val="24"/>
        </w:rPr>
        <w:t>年</w:t>
      </w:r>
      <w:r w:rsidRPr="00E94F24">
        <w:rPr>
          <w:rFonts w:ascii="Times New Roman" w:hAnsi="Times New Roman" w:hint="eastAsia"/>
          <w:sz w:val="24"/>
        </w:rPr>
        <w:t>6</w:t>
      </w:r>
      <w:r w:rsidRPr="00E94F24">
        <w:rPr>
          <w:rFonts w:ascii="Times New Roman" w:hAnsi="Times New Roman" w:hint="eastAsia"/>
          <w:sz w:val="24"/>
        </w:rPr>
        <w:t>月招商银行再度荣膺《财资》“中国最佳托管银行奖”；“全功能网上托管银行</w:t>
      </w:r>
      <w:r w:rsidRPr="00E94F24">
        <w:rPr>
          <w:rFonts w:ascii="Times New Roman" w:hAnsi="Times New Roman" w:hint="eastAsia"/>
          <w:sz w:val="24"/>
        </w:rPr>
        <w:t>2.0</w:t>
      </w:r>
      <w:r w:rsidRPr="00E94F24">
        <w:rPr>
          <w:rFonts w:ascii="Times New Roman" w:hAnsi="Times New Roman" w:hint="eastAsia"/>
          <w:sz w:val="24"/>
        </w:rPr>
        <w:t>”荣获《银行家》</w:t>
      </w:r>
      <w:r w:rsidRPr="00E94F24">
        <w:rPr>
          <w:rFonts w:ascii="Times New Roman" w:hAnsi="Times New Roman" w:hint="eastAsia"/>
          <w:sz w:val="24"/>
        </w:rPr>
        <w:t>2017</w:t>
      </w:r>
      <w:r w:rsidRPr="00E94F24">
        <w:rPr>
          <w:rFonts w:ascii="Times New Roman" w:hAnsi="Times New Roman" w:hint="eastAsia"/>
          <w:sz w:val="24"/>
        </w:rPr>
        <w:t>中国金融创新“十佳金融产品创新奖”；</w:t>
      </w:r>
      <w:r w:rsidRPr="00E94F24">
        <w:rPr>
          <w:rFonts w:ascii="Times New Roman" w:hAnsi="Times New Roman" w:hint="eastAsia"/>
          <w:sz w:val="24"/>
        </w:rPr>
        <w:t>8</w:t>
      </w:r>
      <w:r w:rsidRPr="00E94F24">
        <w:rPr>
          <w:rFonts w:ascii="Times New Roman" w:hAnsi="Times New Roman" w:hint="eastAsia"/>
          <w:sz w:val="24"/>
        </w:rPr>
        <w:t>月荣膺国际财经权威媒体《亚洲银行家》“中国年度托管银行奖”。</w:t>
      </w:r>
      <w:r w:rsidRPr="00E94F24">
        <w:rPr>
          <w:rFonts w:ascii="Times New Roman" w:hAnsi="Times New Roman" w:hint="eastAsia"/>
          <w:sz w:val="24"/>
        </w:rPr>
        <w:t>2018</w:t>
      </w:r>
      <w:r w:rsidRPr="00E94F24">
        <w:rPr>
          <w:rFonts w:ascii="Times New Roman" w:hAnsi="Times New Roman" w:hint="eastAsia"/>
          <w:sz w:val="24"/>
        </w:rPr>
        <w:t>年</w:t>
      </w:r>
      <w:r w:rsidRPr="00E94F24">
        <w:rPr>
          <w:rFonts w:ascii="Times New Roman" w:hAnsi="Times New Roman" w:hint="eastAsia"/>
          <w:sz w:val="24"/>
        </w:rPr>
        <w:t>1</w:t>
      </w:r>
      <w:r w:rsidRPr="00E94F24">
        <w:rPr>
          <w:rFonts w:ascii="Times New Roman" w:hAnsi="Times New Roman" w:hint="eastAsia"/>
          <w:sz w:val="24"/>
        </w:rPr>
        <w:t>月招商银行荣膺中央国债登记结算有限责任公司“</w:t>
      </w:r>
      <w:r w:rsidRPr="00E94F24">
        <w:rPr>
          <w:rFonts w:ascii="Times New Roman" w:hAnsi="Times New Roman" w:hint="eastAsia"/>
          <w:sz w:val="24"/>
        </w:rPr>
        <w:t>2017</w:t>
      </w:r>
      <w:r w:rsidRPr="00E94F24">
        <w:rPr>
          <w:rFonts w:ascii="Times New Roman" w:hAnsi="Times New Roman" w:hint="eastAsia"/>
          <w:sz w:val="24"/>
        </w:rPr>
        <w:t>年度优秀资产托管机构”奖项；同月，招商银行托管大数据平台风险管理系统荣获</w:t>
      </w:r>
      <w:r w:rsidRPr="00E94F24">
        <w:rPr>
          <w:rFonts w:ascii="Times New Roman" w:hAnsi="Times New Roman" w:hint="eastAsia"/>
          <w:sz w:val="24"/>
        </w:rPr>
        <w:t>2016-2017</w:t>
      </w:r>
      <w:r w:rsidRPr="00E94F24">
        <w:rPr>
          <w:rFonts w:ascii="Times New Roman" w:hAnsi="Times New Roman" w:hint="eastAsia"/>
          <w:sz w:val="24"/>
        </w:rPr>
        <w:t>年度银监会系统“金点子”方案一等奖，以及中央金融团工委、全国金融青联第五届“双提升”金点子方案二等奖；</w:t>
      </w:r>
      <w:r w:rsidRPr="00E94F24">
        <w:rPr>
          <w:rFonts w:ascii="Times New Roman" w:hAnsi="Times New Roman" w:hint="eastAsia"/>
          <w:sz w:val="24"/>
        </w:rPr>
        <w:t>3</w:t>
      </w:r>
      <w:r w:rsidRPr="00E94F24">
        <w:rPr>
          <w:rFonts w:ascii="Times New Roman" w:hAnsi="Times New Roman" w:hint="eastAsia"/>
          <w:sz w:val="24"/>
        </w:rPr>
        <w:t>月荣膺公募基金</w:t>
      </w:r>
      <w:r w:rsidRPr="00E94F24">
        <w:rPr>
          <w:rFonts w:ascii="Times New Roman" w:hAnsi="Times New Roman" w:hint="eastAsia"/>
          <w:sz w:val="24"/>
        </w:rPr>
        <w:t>20</w:t>
      </w:r>
      <w:r w:rsidRPr="00E94F24">
        <w:rPr>
          <w:rFonts w:ascii="Times New Roman" w:hAnsi="Times New Roman" w:hint="eastAsia"/>
          <w:sz w:val="24"/>
        </w:rPr>
        <w:t>年“最佳基金托管银行”奖；</w:t>
      </w:r>
      <w:r w:rsidRPr="00E94F24">
        <w:rPr>
          <w:rFonts w:ascii="Times New Roman" w:hAnsi="Times New Roman" w:hint="eastAsia"/>
          <w:sz w:val="24"/>
        </w:rPr>
        <w:t>5</w:t>
      </w:r>
      <w:r w:rsidRPr="00E94F24">
        <w:rPr>
          <w:rFonts w:ascii="Times New Roman" w:hAnsi="Times New Roman" w:hint="eastAsia"/>
          <w:sz w:val="24"/>
        </w:rPr>
        <w:t>月荣膺国际财经权威媒体《亚洲银行家》“中国年度托管银行奖”；</w:t>
      </w:r>
      <w:r w:rsidRPr="00E94F24">
        <w:rPr>
          <w:rFonts w:ascii="Times New Roman" w:hAnsi="Times New Roman" w:hint="eastAsia"/>
          <w:sz w:val="24"/>
        </w:rPr>
        <w:t>12</w:t>
      </w:r>
      <w:r w:rsidRPr="00E94F24">
        <w:rPr>
          <w:rFonts w:ascii="Times New Roman" w:hAnsi="Times New Roman" w:hint="eastAsia"/>
          <w:sz w:val="24"/>
        </w:rPr>
        <w:t>月荣膺</w:t>
      </w:r>
      <w:r w:rsidRPr="00E94F24">
        <w:rPr>
          <w:rFonts w:ascii="Times New Roman" w:hAnsi="Times New Roman" w:hint="eastAsia"/>
          <w:sz w:val="24"/>
        </w:rPr>
        <w:t>2018</w:t>
      </w:r>
      <w:r w:rsidRPr="00E94F24">
        <w:rPr>
          <w:rFonts w:ascii="Times New Roman" w:hAnsi="Times New Roman" w:hint="eastAsia"/>
          <w:sz w:val="24"/>
        </w:rPr>
        <w:t>东方财富风云榜“</w:t>
      </w:r>
      <w:r w:rsidRPr="00E94F24">
        <w:rPr>
          <w:rFonts w:ascii="Times New Roman" w:hAnsi="Times New Roman" w:hint="eastAsia"/>
          <w:sz w:val="24"/>
        </w:rPr>
        <w:t>2018</w:t>
      </w:r>
      <w:r w:rsidRPr="00E94F24">
        <w:rPr>
          <w:rFonts w:ascii="Times New Roman" w:hAnsi="Times New Roman" w:hint="eastAsia"/>
          <w:sz w:val="24"/>
        </w:rPr>
        <w:t>年度最佳托管银行”、“</w:t>
      </w:r>
      <w:r w:rsidRPr="00E94F24">
        <w:rPr>
          <w:rFonts w:ascii="Times New Roman" w:hAnsi="Times New Roman" w:hint="eastAsia"/>
          <w:sz w:val="24"/>
        </w:rPr>
        <w:t>20</w:t>
      </w:r>
      <w:r w:rsidRPr="00E94F24">
        <w:rPr>
          <w:rFonts w:ascii="Times New Roman" w:hAnsi="Times New Roman" w:hint="eastAsia"/>
          <w:sz w:val="24"/>
        </w:rPr>
        <w:t>年最值得信赖托管银行”奖。</w:t>
      </w:r>
      <w:r w:rsidRPr="00E94F24">
        <w:rPr>
          <w:rFonts w:ascii="Times New Roman" w:hAnsi="Times New Roman" w:hint="eastAsia"/>
          <w:sz w:val="24"/>
        </w:rPr>
        <w:t>2019</w:t>
      </w:r>
      <w:r w:rsidRPr="00E94F24">
        <w:rPr>
          <w:rFonts w:ascii="Times New Roman" w:hAnsi="Times New Roman" w:hint="eastAsia"/>
          <w:sz w:val="24"/>
        </w:rPr>
        <w:t>年</w:t>
      </w:r>
      <w:r w:rsidRPr="00E94F24">
        <w:rPr>
          <w:rFonts w:ascii="Times New Roman" w:hAnsi="Times New Roman" w:hint="eastAsia"/>
          <w:sz w:val="24"/>
        </w:rPr>
        <w:t>3</w:t>
      </w:r>
      <w:r w:rsidRPr="00E94F24">
        <w:rPr>
          <w:rFonts w:ascii="Times New Roman" w:hAnsi="Times New Roman" w:hint="eastAsia"/>
          <w:sz w:val="24"/>
        </w:rPr>
        <w:t>月招商银行荣获《中国基金报》“</w:t>
      </w:r>
      <w:r w:rsidRPr="00E94F24">
        <w:rPr>
          <w:rFonts w:ascii="Times New Roman" w:hAnsi="Times New Roman" w:hint="eastAsia"/>
          <w:sz w:val="24"/>
        </w:rPr>
        <w:t>2018</w:t>
      </w:r>
      <w:r w:rsidRPr="00E94F24">
        <w:rPr>
          <w:rFonts w:ascii="Times New Roman" w:hAnsi="Times New Roman" w:hint="eastAsia"/>
          <w:sz w:val="24"/>
        </w:rPr>
        <w:t>年度最佳基金托管银行”奖；</w:t>
      </w:r>
      <w:r w:rsidRPr="00E94F24">
        <w:rPr>
          <w:rFonts w:ascii="Times New Roman" w:hAnsi="Times New Roman" w:hint="eastAsia"/>
          <w:sz w:val="24"/>
        </w:rPr>
        <w:t>6</w:t>
      </w:r>
      <w:r w:rsidRPr="00E94F24">
        <w:rPr>
          <w:rFonts w:ascii="Times New Roman" w:hAnsi="Times New Roman" w:hint="eastAsia"/>
          <w:sz w:val="24"/>
        </w:rPr>
        <w:t>月荣获《财资》“中国最佳托管机构”“中国最佳养老金托管机构”“中国最佳零售基金行政外包”三项大奖；</w:t>
      </w:r>
      <w:r w:rsidRPr="00E94F24">
        <w:rPr>
          <w:rFonts w:ascii="Times New Roman" w:hAnsi="Times New Roman" w:hint="eastAsia"/>
          <w:sz w:val="24"/>
        </w:rPr>
        <w:t>12</w:t>
      </w:r>
      <w:r w:rsidRPr="00E94F24">
        <w:rPr>
          <w:rFonts w:ascii="Times New Roman" w:hAnsi="Times New Roman" w:hint="eastAsia"/>
          <w:sz w:val="24"/>
        </w:rPr>
        <w:t>月荣获</w:t>
      </w:r>
      <w:r w:rsidRPr="00E94F24">
        <w:rPr>
          <w:rFonts w:ascii="Times New Roman" w:hAnsi="Times New Roman" w:hint="eastAsia"/>
          <w:sz w:val="24"/>
        </w:rPr>
        <w:t>2019</w:t>
      </w:r>
      <w:r w:rsidRPr="00E94F24">
        <w:rPr>
          <w:rFonts w:ascii="Times New Roman" w:hAnsi="Times New Roman" w:hint="eastAsia"/>
          <w:sz w:val="24"/>
        </w:rPr>
        <w:t>东方财富风云榜“</w:t>
      </w:r>
      <w:r w:rsidRPr="00E94F24">
        <w:rPr>
          <w:rFonts w:ascii="Times New Roman" w:hAnsi="Times New Roman" w:hint="eastAsia"/>
          <w:sz w:val="24"/>
        </w:rPr>
        <w:t>2019</w:t>
      </w:r>
      <w:r w:rsidRPr="00E94F24">
        <w:rPr>
          <w:rFonts w:ascii="Times New Roman" w:hAnsi="Times New Roman" w:hint="eastAsia"/>
          <w:sz w:val="24"/>
        </w:rPr>
        <w:t>年度最佳托管银行”奖。</w:t>
      </w:r>
      <w:r w:rsidRPr="00E94F24">
        <w:rPr>
          <w:rFonts w:ascii="Times New Roman" w:hAnsi="Times New Roman" w:hint="eastAsia"/>
          <w:sz w:val="24"/>
        </w:rPr>
        <w:t>2020</w:t>
      </w:r>
      <w:r w:rsidRPr="00E94F24">
        <w:rPr>
          <w:rFonts w:ascii="Times New Roman" w:hAnsi="Times New Roman" w:hint="eastAsia"/>
          <w:sz w:val="24"/>
        </w:rPr>
        <w:t>年</w:t>
      </w:r>
      <w:r w:rsidRPr="00E94F24">
        <w:rPr>
          <w:rFonts w:ascii="Times New Roman" w:hAnsi="Times New Roman" w:hint="eastAsia"/>
          <w:sz w:val="24"/>
        </w:rPr>
        <w:t>1</w:t>
      </w:r>
      <w:r w:rsidRPr="00E94F24">
        <w:rPr>
          <w:rFonts w:ascii="Times New Roman" w:hAnsi="Times New Roman" w:hint="eastAsia"/>
          <w:sz w:val="24"/>
        </w:rPr>
        <w:t>月，荣膺中央国债登记结算有限责任公司“</w:t>
      </w:r>
      <w:r w:rsidRPr="00E94F24">
        <w:rPr>
          <w:rFonts w:ascii="Times New Roman" w:hAnsi="Times New Roman" w:hint="eastAsia"/>
          <w:sz w:val="24"/>
        </w:rPr>
        <w:t>2019</w:t>
      </w:r>
      <w:r w:rsidRPr="00E94F24">
        <w:rPr>
          <w:rFonts w:ascii="Times New Roman" w:hAnsi="Times New Roman" w:hint="eastAsia"/>
          <w:sz w:val="24"/>
        </w:rPr>
        <w:t>年度优秀资产托管机构”奖项；</w:t>
      </w:r>
      <w:r w:rsidRPr="00E94F24">
        <w:rPr>
          <w:rFonts w:ascii="Times New Roman" w:hAnsi="Times New Roman" w:hint="eastAsia"/>
          <w:sz w:val="24"/>
        </w:rPr>
        <w:t>6</w:t>
      </w:r>
      <w:r w:rsidRPr="00E94F24">
        <w:rPr>
          <w:rFonts w:ascii="Times New Roman" w:hAnsi="Times New Roman" w:hint="eastAsia"/>
          <w:sz w:val="24"/>
        </w:rPr>
        <w:t>月荣获《财资》“中国最佳托管机构”“最佳公募基金托管机构”</w:t>
      </w:r>
      <w:r w:rsidRPr="00E94F24">
        <w:rPr>
          <w:rFonts w:ascii="Times New Roman" w:hAnsi="Times New Roman" w:hint="eastAsia"/>
          <w:sz w:val="24"/>
        </w:rPr>
        <w:lastRenderedPageBreak/>
        <w:t>“最佳公募基金行政外包机构”三项大奖；</w:t>
      </w:r>
      <w:r w:rsidRPr="00E94F24">
        <w:rPr>
          <w:rFonts w:ascii="Times New Roman" w:hAnsi="Times New Roman" w:hint="eastAsia"/>
          <w:sz w:val="24"/>
        </w:rPr>
        <w:t>10</w:t>
      </w:r>
      <w:r w:rsidRPr="00E94F24">
        <w:rPr>
          <w:rFonts w:ascii="Times New Roman" w:hAnsi="Times New Roman" w:hint="eastAsia"/>
          <w:sz w:val="24"/>
        </w:rPr>
        <w:t>月荣获《中国基金报》“</w:t>
      </w:r>
      <w:r w:rsidRPr="00E94F24">
        <w:rPr>
          <w:rFonts w:ascii="Times New Roman" w:hAnsi="Times New Roman" w:hint="eastAsia"/>
          <w:sz w:val="24"/>
        </w:rPr>
        <w:t>2019</w:t>
      </w:r>
      <w:r w:rsidRPr="00E94F24">
        <w:rPr>
          <w:rFonts w:ascii="Times New Roman" w:hAnsi="Times New Roman" w:hint="eastAsia"/>
          <w:sz w:val="24"/>
        </w:rPr>
        <w:t>年度最佳基金托管银行”奖。</w:t>
      </w:r>
      <w:r w:rsidRPr="00E94F24">
        <w:rPr>
          <w:rFonts w:ascii="Times New Roman" w:hAnsi="Times New Roman" w:hint="eastAsia"/>
          <w:sz w:val="24"/>
        </w:rPr>
        <w:t>2021</w:t>
      </w:r>
      <w:r w:rsidRPr="00E94F24">
        <w:rPr>
          <w:rFonts w:ascii="Times New Roman" w:hAnsi="Times New Roman" w:hint="eastAsia"/>
          <w:sz w:val="24"/>
        </w:rPr>
        <w:t>年</w:t>
      </w:r>
      <w:r w:rsidRPr="00E94F24">
        <w:rPr>
          <w:rFonts w:ascii="Times New Roman" w:hAnsi="Times New Roman" w:hint="eastAsia"/>
          <w:sz w:val="24"/>
        </w:rPr>
        <w:t>1</w:t>
      </w:r>
      <w:r w:rsidRPr="00E94F24">
        <w:rPr>
          <w:rFonts w:ascii="Times New Roman" w:hAnsi="Times New Roman" w:hint="eastAsia"/>
          <w:sz w:val="24"/>
        </w:rPr>
        <w:t>月，荣膺中央国债登记结算有限责任公司“</w:t>
      </w:r>
      <w:r w:rsidRPr="00E94F24">
        <w:rPr>
          <w:rFonts w:ascii="Times New Roman" w:hAnsi="Times New Roman" w:hint="eastAsia"/>
          <w:sz w:val="24"/>
        </w:rPr>
        <w:t>2020</w:t>
      </w:r>
      <w:r w:rsidRPr="00E94F24">
        <w:rPr>
          <w:rFonts w:ascii="Times New Roman" w:hAnsi="Times New Roman" w:hint="eastAsia"/>
          <w:sz w:val="24"/>
        </w:rPr>
        <w:t>年度优秀资产托管机构”奖项；</w:t>
      </w:r>
      <w:r w:rsidRPr="00E94F24">
        <w:rPr>
          <w:rFonts w:ascii="Times New Roman" w:hAnsi="Times New Roman" w:hint="eastAsia"/>
          <w:sz w:val="24"/>
        </w:rPr>
        <w:t>1</w:t>
      </w:r>
      <w:r w:rsidRPr="00E94F24">
        <w:rPr>
          <w:rFonts w:ascii="Times New Roman" w:hAnsi="Times New Roman" w:hint="eastAsia"/>
          <w:sz w:val="24"/>
        </w:rPr>
        <w:t>月荣获</w:t>
      </w:r>
      <w:r w:rsidRPr="00E94F24">
        <w:rPr>
          <w:rFonts w:ascii="Times New Roman" w:hAnsi="Times New Roman" w:hint="eastAsia"/>
          <w:sz w:val="24"/>
        </w:rPr>
        <w:t>2020</w:t>
      </w:r>
      <w:r w:rsidRPr="00E94F24">
        <w:rPr>
          <w:rFonts w:ascii="Times New Roman" w:hAnsi="Times New Roman" w:hint="eastAsia"/>
          <w:sz w:val="24"/>
        </w:rPr>
        <w:t>东方财富风云榜“</w:t>
      </w:r>
      <w:r w:rsidRPr="00E94F24">
        <w:rPr>
          <w:rFonts w:ascii="Times New Roman" w:hAnsi="Times New Roman" w:hint="eastAsia"/>
          <w:sz w:val="24"/>
        </w:rPr>
        <w:t>2020</w:t>
      </w:r>
      <w:r w:rsidRPr="00E94F24">
        <w:rPr>
          <w:rFonts w:ascii="Times New Roman" w:hAnsi="Times New Roman" w:hint="eastAsia"/>
          <w:sz w:val="24"/>
        </w:rPr>
        <w:t>年度最受欢迎托管银行”奖项；</w:t>
      </w:r>
      <w:r w:rsidRPr="00E94F24">
        <w:rPr>
          <w:rFonts w:ascii="Times New Roman" w:hAnsi="Times New Roman" w:hint="eastAsia"/>
          <w:sz w:val="24"/>
        </w:rPr>
        <w:t>2021</w:t>
      </w:r>
      <w:r w:rsidRPr="00E94F24">
        <w:rPr>
          <w:rFonts w:ascii="Times New Roman" w:hAnsi="Times New Roman" w:hint="eastAsia"/>
          <w:sz w:val="24"/>
        </w:rPr>
        <w:t>年</w:t>
      </w:r>
      <w:r w:rsidRPr="00E94F24">
        <w:rPr>
          <w:rFonts w:ascii="Times New Roman" w:hAnsi="Times New Roman" w:hint="eastAsia"/>
          <w:sz w:val="24"/>
        </w:rPr>
        <w:t>10</w:t>
      </w:r>
      <w:r w:rsidRPr="00E94F24">
        <w:rPr>
          <w:rFonts w:ascii="Times New Roman" w:hAnsi="Times New Roman" w:hint="eastAsia"/>
          <w:sz w:val="24"/>
        </w:rPr>
        <w:t>月，荣获国新投资有限公司“</w:t>
      </w:r>
      <w:r w:rsidRPr="00E94F24">
        <w:rPr>
          <w:rFonts w:ascii="Times New Roman" w:hAnsi="Times New Roman" w:hint="eastAsia"/>
          <w:sz w:val="24"/>
        </w:rPr>
        <w:t>2021</w:t>
      </w:r>
      <w:r w:rsidRPr="00E94F24">
        <w:rPr>
          <w:rFonts w:ascii="Times New Roman" w:hAnsi="Times New Roman" w:hint="eastAsia"/>
          <w:sz w:val="24"/>
        </w:rPr>
        <w:t>年度优秀托管银行奖”和《证券时报》“</w:t>
      </w:r>
      <w:r w:rsidRPr="00E94F24">
        <w:rPr>
          <w:rFonts w:ascii="Times New Roman" w:hAnsi="Times New Roman" w:hint="eastAsia"/>
          <w:sz w:val="24"/>
        </w:rPr>
        <w:t>2021</w:t>
      </w:r>
      <w:r w:rsidRPr="00E94F24">
        <w:rPr>
          <w:rFonts w:ascii="Times New Roman" w:hAnsi="Times New Roman" w:hint="eastAsia"/>
          <w:sz w:val="24"/>
        </w:rPr>
        <w:t>年度杰出资产托管银行天玑奖”；</w:t>
      </w:r>
      <w:r w:rsidRPr="00E94F24">
        <w:rPr>
          <w:rFonts w:ascii="Times New Roman" w:hAnsi="Times New Roman" w:hint="eastAsia"/>
          <w:sz w:val="24"/>
        </w:rPr>
        <w:t>2021</w:t>
      </w:r>
      <w:r w:rsidRPr="00E94F24">
        <w:rPr>
          <w:rFonts w:ascii="Times New Roman" w:hAnsi="Times New Roman" w:hint="eastAsia"/>
          <w:sz w:val="24"/>
        </w:rPr>
        <w:t>年</w:t>
      </w:r>
      <w:r w:rsidRPr="00E94F24">
        <w:rPr>
          <w:rFonts w:ascii="Times New Roman" w:hAnsi="Times New Roman" w:hint="eastAsia"/>
          <w:sz w:val="24"/>
        </w:rPr>
        <w:t>12</w:t>
      </w:r>
      <w:r w:rsidRPr="00E94F24">
        <w:rPr>
          <w:rFonts w:ascii="Times New Roman" w:hAnsi="Times New Roman" w:hint="eastAsia"/>
          <w:sz w:val="24"/>
        </w:rPr>
        <w:t>月，荣获《中国基金报》第三届中国公募基金英华奖“</w:t>
      </w:r>
      <w:r w:rsidRPr="00E94F24">
        <w:rPr>
          <w:rFonts w:ascii="Times New Roman" w:hAnsi="Times New Roman" w:hint="eastAsia"/>
          <w:sz w:val="24"/>
        </w:rPr>
        <w:t>2020</w:t>
      </w:r>
      <w:r w:rsidRPr="00E94F24">
        <w:rPr>
          <w:rFonts w:ascii="Times New Roman" w:hAnsi="Times New Roman" w:hint="eastAsia"/>
          <w:sz w:val="24"/>
        </w:rPr>
        <w:t>年度最佳基金托管银行”；</w:t>
      </w:r>
      <w:r w:rsidRPr="00E94F24">
        <w:rPr>
          <w:rFonts w:ascii="Times New Roman" w:hAnsi="Times New Roman" w:hint="eastAsia"/>
          <w:sz w:val="24"/>
        </w:rPr>
        <w:t>2022</w:t>
      </w:r>
      <w:r w:rsidRPr="00E94F24">
        <w:rPr>
          <w:rFonts w:ascii="Times New Roman" w:hAnsi="Times New Roman" w:hint="eastAsia"/>
          <w:sz w:val="24"/>
        </w:rPr>
        <w:t>年</w:t>
      </w:r>
      <w:r w:rsidRPr="00E94F24">
        <w:rPr>
          <w:rFonts w:ascii="Times New Roman" w:hAnsi="Times New Roman" w:hint="eastAsia"/>
          <w:sz w:val="24"/>
        </w:rPr>
        <w:t>1</w:t>
      </w:r>
      <w:r w:rsidRPr="00E94F24">
        <w:rPr>
          <w:rFonts w:ascii="Times New Roman" w:hAnsi="Times New Roman" w:hint="eastAsia"/>
          <w:sz w:val="24"/>
        </w:rPr>
        <w:t>月荣获中央国债登记结算有限责任公司“</w:t>
      </w:r>
      <w:r w:rsidRPr="00E94F24">
        <w:rPr>
          <w:rFonts w:ascii="Times New Roman" w:hAnsi="Times New Roman" w:hint="eastAsia"/>
          <w:sz w:val="24"/>
        </w:rPr>
        <w:t>2021</w:t>
      </w:r>
      <w:r w:rsidRPr="00E94F24">
        <w:rPr>
          <w:rFonts w:ascii="Times New Roman" w:hAnsi="Times New Roman" w:hint="eastAsia"/>
          <w:sz w:val="24"/>
        </w:rPr>
        <w:t>年度优秀资产托管机构、估值业务杰出机构”。</w:t>
      </w:r>
    </w:p>
    <w:p w14:paraId="45C8BCF6" w14:textId="77777777" w:rsidR="00F53A82" w:rsidRPr="00C851B9" w:rsidRDefault="00F53A82" w:rsidP="00F53A82">
      <w:pPr>
        <w:adjustRightInd w:val="0"/>
        <w:snapToGrid w:val="0"/>
        <w:spacing w:line="360" w:lineRule="auto"/>
        <w:ind w:firstLineChars="200" w:firstLine="482"/>
        <w:rPr>
          <w:rFonts w:ascii="Times New Roman" w:hAnsi="Times New Roman"/>
          <w:b/>
          <w:sz w:val="24"/>
        </w:rPr>
      </w:pPr>
      <w:r w:rsidRPr="00C851B9">
        <w:rPr>
          <w:rFonts w:ascii="Times New Roman" w:hAnsi="Times New Roman" w:hint="eastAsia"/>
          <w:b/>
          <w:sz w:val="24"/>
        </w:rPr>
        <w:t>（二）主要人员情况</w:t>
      </w:r>
    </w:p>
    <w:p w14:paraId="4105FF16"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缪建民先生，</w:t>
      </w:r>
      <w:r>
        <w:rPr>
          <w:rFonts w:ascii="Times New Roman" w:hAnsi="Times New Roman" w:hint="eastAsia"/>
          <w:sz w:val="24"/>
        </w:rPr>
        <w:t>招商银行</w:t>
      </w:r>
      <w:r w:rsidRPr="00E94F24">
        <w:rPr>
          <w:rFonts w:ascii="Times New Roman" w:hAnsi="Times New Roman" w:hint="eastAsia"/>
          <w:sz w:val="24"/>
        </w:rPr>
        <w:t>董事长、非执行董事，</w:t>
      </w:r>
      <w:r w:rsidRPr="00E94F24">
        <w:rPr>
          <w:rFonts w:ascii="Times New Roman" w:hAnsi="Times New Roman" w:hint="eastAsia"/>
          <w:sz w:val="24"/>
        </w:rPr>
        <w:t>2020</w:t>
      </w:r>
      <w:r w:rsidRPr="00E94F24">
        <w:rPr>
          <w:rFonts w:ascii="Times New Roman" w:hAnsi="Times New Roman" w:hint="eastAsia"/>
          <w:sz w:val="24"/>
        </w:rPr>
        <w:t>年</w:t>
      </w:r>
      <w:r w:rsidRPr="00E94F24">
        <w:rPr>
          <w:rFonts w:ascii="Times New Roman" w:hAnsi="Times New Roman" w:hint="eastAsia"/>
          <w:sz w:val="24"/>
        </w:rPr>
        <w:t>9</w:t>
      </w:r>
      <w:r w:rsidRPr="00E94F24">
        <w:rPr>
          <w:rFonts w:ascii="Times New Roman" w:hAnsi="Times New Roman" w:hint="eastAsia"/>
          <w:sz w:val="24"/>
        </w:rPr>
        <w:t>月起担任</w:t>
      </w:r>
      <w:r>
        <w:rPr>
          <w:rFonts w:ascii="Times New Roman" w:hAnsi="Times New Roman" w:hint="eastAsia"/>
          <w:sz w:val="24"/>
        </w:rPr>
        <w:t>招商银行</w:t>
      </w:r>
      <w:r w:rsidRPr="00E94F24">
        <w:rPr>
          <w:rFonts w:ascii="Times New Roman" w:hAnsi="Times New Roman" w:hint="eastAsia"/>
          <w:sz w:val="24"/>
        </w:rPr>
        <w:t>董事、董事长。中央财经大学经济学博士，高级经济师。十九届中央候补委员。招商局集团有限公司董事长。曾任中国人寿保险（集团）公司副董事长、总裁，中国人民保险集团股份有限公司副董事长、总裁、董事长，曾兼任中国人民财产保险股份有限公司董事长，中国人保资产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14:paraId="1E17C10B"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051DDC">
        <w:rPr>
          <w:rFonts w:ascii="Times New Roman" w:hAnsi="Times New Roman" w:hint="eastAsia"/>
          <w:sz w:val="24"/>
        </w:rPr>
        <w:t>王良先生，</w:t>
      </w:r>
      <w:r>
        <w:rPr>
          <w:rFonts w:ascii="Times New Roman" w:hAnsi="Times New Roman" w:hint="eastAsia"/>
          <w:sz w:val="24"/>
        </w:rPr>
        <w:t>招商银行</w:t>
      </w:r>
      <w:r w:rsidRPr="00051DDC">
        <w:rPr>
          <w:rFonts w:ascii="Times New Roman" w:hAnsi="Times New Roman" w:hint="eastAsia"/>
          <w:sz w:val="24"/>
        </w:rPr>
        <w:t>执行董事、党委书记、行长，兼任财务负责人、董事会秘书。中国人民大学硕士研究生学历，高级经济师。</w:t>
      </w:r>
      <w:r w:rsidRPr="00051DDC">
        <w:rPr>
          <w:rFonts w:ascii="Times New Roman" w:hAnsi="Times New Roman" w:hint="eastAsia"/>
          <w:sz w:val="24"/>
        </w:rPr>
        <w:t>1995</w:t>
      </w:r>
      <w:r w:rsidRPr="00051DDC">
        <w:rPr>
          <w:rFonts w:ascii="Times New Roman" w:hAnsi="Times New Roman" w:hint="eastAsia"/>
          <w:sz w:val="24"/>
        </w:rPr>
        <w:t>年</w:t>
      </w:r>
      <w:r w:rsidRPr="00051DDC">
        <w:rPr>
          <w:rFonts w:ascii="Times New Roman" w:hAnsi="Times New Roman" w:hint="eastAsia"/>
          <w:sz w:val="24"/>
        </w:rPr>
        <w:t>6</w:t>
      </w:r>
      <w:r w:rsidRPr="00051DDC">
        <w:rPr>
          <w:rFonts w:ascii="Times New Roman" w:hAnsi="Times New Roman" w:hint="eastAsia"/>
          <w:sz w:val="24"/>
        </w:rPr>
        <w:t>月加入</w:t>
      </w:r>
      <w:r>
        <w:rPr>
          <w:rFonts w:ascii="Times New Roman" w:hAnsi="Times New Roman" w:hint="eastAsia"/>
          <w:sz w:val="24"/>
        </w:rPr>
        <w:t>招商银行</w:t>
      </w:r>
      <w:r w:rsidRPr="00051DDC">
        <w:rPr>
          <w:rFonts w:ascii="Times New Roman" w:hAnsi="Times New Roman" w:hint="eastAsia"/>
          <w:sz w:val="24"/>
        </w:rPr>
        <w:t>北京分行，自</w:t>
      </w:r>
      <w:r w:rsidRPr="00051DDC">
        <w:rPr>
          <w:rFonts w:ascii="Times New Roman" w:hAnsi="Times New Roman" w:hint="eastAsia"/>
          <w:sz w:val="24"/>
        </w:rPr>
        <w:t>2001</w:t>
      </w:r>
      <w:r w:rsidRPr="00051DDC">
        <w:rPr>
          <w:rFonts w:ascii="Times New Roman" w:hAnsi="Times New Roman" w:hint="eastAsia"/>
          <w:sz w:val="24"/>
        </w:rPr>
        <w:t>年</w:t>
      </w:r>
      <w:r w:rsidRPr="00051DDC">
        <w:rPr>
          <w:rFonts w:ascii="Times New Roman" w:hAnsi="Times New Roman" w:hint="eastAsia"/>
          <w:sz w:val="24"/>
        </w:rPr>
        <w:t>10</w:t>
      </w:r>
      <w:r w:rsidRPr="00051DDC">
        <w:rPr>
          <w:rFonts w:ascii="Times New Roman" w:hAnsi="Times New Roman" w:hint="eastAsia"/>
          <w:sz w:val="24"/>
        </w:rPr>
        <w:t>月起历任</w:t>
      </w:r>
      <w:r>
        <w:rPr>
          <w:rFonts w:ascii="Times New Roman" w:hAnsi="Times New Roman" w:hint="eastAsia"/>
          <w:sz w:val="24"/>
        </w:rPr>
        <w:t>招商银行</w:t>
      </w:r>
      <w:r w:rsidRPr="00051DDC">
        <w:rPr>
          <w:rFonts w:ascii="Times New Roman" w:hAnsi="Times New Roman" w:hint="eastAsia"/>
          <w:sz w:val="24"/>
        </w:rPr>
        <w:t>北京分行行长助理、副行长、行长，</w:t>
      </w:r>
      <w:r w:rsidRPr="00051DDC">
        <w:rPr>
          <w:rFonts w:ascii="Times New Roman" w:hAnsi="Times New Roman" w:hint="eastAsia"/>
          <w:sz w:val="24"/>
        </w:rPr>
        <w:t>2012</w:t>
      </w:r>
      <w:r w:rsidRPr="00051DDC">
        <w:rPr>
          <w:rFonts w:ascii="Times New Roman" w:hAnsi="Times New Roman" w:hint="eastAsia"/>
          <w:sz w:val="24"/>
        </w:rPr>
        <w:t>年</w:t>
      </w:r>
      <w:r w:rsidRPr="00051DDC">
        <w:rPr>
          <w:rFonts w:ascii="Times New Roman" w:hAnsi="Times New Roman" w:hint="eastAsia"/>
          <w:sz w:val="24"/>
        </w:rPr>
        <w:t>6</w:t>
      </w:r>
      <w:r w:rsidRPr="00051DDC">
        <w:rPr>
          <w:rFonts w:ascii="Times New Roman" w:hAnsi="Times New Roman" w:hint="eastAsia"/>
          <w:sz w:val="24"/>
        </w:rPr>
        <w:t>月任</w:t>
      </w:r>
      <w:r>
        <w:rPr>
          <w:rFonts w:ascii="Times New Roman" w:hAnsi="Times New Roman" w:hint="eastAsia"/>
          <w:sz w:val="24"/>
        </w:rPr>
        <w:t>招商银行</w:t>
      </w:r>
      <w:r w:rsidRPr="00051DDC">
        <w:rPr>
          <w:rFonts w:ascii="Times New Roman" w:hAnsi="Times New Roman" w:hint="eastAsia"/>
          <w:sz w:val="24"/>
        </w:rPr>
        <w:t>行长助理兼任北京分行行长，</w:t>
      </w:r>
      <w:r w:rsidRPr="00051DDC">
        <w:rPr>
          <w:rFonts w:ascii="Times New Roman" w:hAnsi="Times New Roman" w:hint="eastAsia"/>
          <w:sz w:val="24"/>
        </w:rPr>
        <w:t>2013</w:t>
      </w:r>
      <w:r w:rsidRPr="00051DDC">
        <w:rPr>
          <w:rFonts w:ascii="Times New Roman" w:hAnsi="Times New Roman" w:hint="eastAsia"/>
          <w:sz w:val="24"/>
        </w:rPr>
        <w:t>年</w:t>
      </w:r>
      <w:r w:rsidRPr="00051DDC">
        <w:rPr>
          <w:rFonts w:ascii="Times New Roman" w:hAnsi="Times New Roman" w:hint="eastAsia"/>
          <w:sz w:val="24"/>
        </w:rPr>
        <w:t>11</w:t>
      </w:r>
      <w:r w:rsidRPr="00051DDC">
        <w:rPr>
          <w:rFonts w:ascii="Times New Roman" w:hAnsi="Times New Roman" w:hint="eastAsia"/>
          <w:sz w:val="24"/>
        </w:rPr>
        <w:t>月不再兼任</w:t>
      </w:r>
      <w:r>
        <w:rPr>
          <w:rFonts w:ascii="Times New Roman" w:hAnsi="Times New Roman" w:hint="eastAsia"/>
          <w:sz w:val="24"/>
        </w:rPr>
        <w:t>招商银行</w:t>
      </w:r>
      <w:r w:rsidRPr="00051DDC">
        <w:rPr>
          <w:rFonts w:ascii="Times New Roman" w:hAnsi="Times New Roman" w:hint="eastAsia"/>
          <w:sz w:val="24"/>
        </w:rPr>
        <w:t>北京分行行长，</w:t>
      </w:r>
      <w:r w:rsidRPr="00051DDC">
        <w:rPr>
          <w:rFonts w:ascii="Times New Roman" w:hAnsi="Times New Roman" w:hint="eastAsia"/>
          <w:sz w:val="24"/>
        </w:rPr>
        <w:t>2015</w:t>
      </w:r>
      <w:r w:rsidRPr="00051DDC">
        <w:rPr>
          <w:rFonts w:ascii="Times New Roman" w:hAnsi="Times New Roman" w:hint="eastAsia"/>
          <w:sz w:val="24"/>
        </w:rPr>
        <w:t>年</w:t>
      </w:r>
      <w:r w:rsidRPr="00051DDC">
        <w:rPr>
          <w:rFonts w:ascii="Times New Roman" w:hAnsi="Times New Roman" w:hint="eastAsia"/>
          <w:sz w:val="24"/>
        </w:rPr>
        <w:t>1</w:t>
      </w:r>
      <w:r w:rsidRPr="00051DDC">
        <w:rPr>
          <w:rFonts w:ascii="Times New Roman" w:hAnsi="Times New Roman" w:hint="eastAsia"/>
          <w:sz w:val="24"/>
        </w:rPr>
        <w:t>月任</w:t>
      </w:r>
      <w:r>
        <w:rPr>
          <w:rFonts w:ascii="Times New Roman" w:hAnsi="Times New Roman" w:hint="eastAsia"/>
          <w:sz w:val="24"/>
        </w:rPr>
        <w:t>招商银行</w:t>
      </w:r>
      <w:r w:rsidRPr="00051DDC">
        <w:rPr>
          <w:rFonts w:ascii="Times New Roman" w:hAnsi="Times New Roman" w:hint="eastAsia"/>
          <w:sz w:val="24"/>
        </w:rPr>
        <w:t>副行长，</w:t>
      </w:r>
      <w:r w:rsidRPr="00051DDC">
        <w:rPr>
          <w:rFonts w:ascii="Times New Roman" w:hAnsi="Times New Roman" w:hint="eastAsia"/>
          <w:sz w:val="24"/>
        </w:rPr>
        <w:t>2016</w:t>
      </w:r>
      <w:r w:rsidRPr="00051DDC">
        <w:rPr>
          <w:rFonts w:ascii="Times New Roman" w:hAnsi="Times New Roman" w:hint="eastAsia"/>
          <w:sz w:val="24"/>
        </w:rPr>
        <w:t>年</w:t>
      </w:r>
      <w:r w:rsidRPr="00051DDC">
        <w:rPr>
          <w:rFonts w:ascii="Times New Roman" w:hAnsi="Times New Roman" w:hint="eastAsia"/>
          <w:sz w:val="24"/>
        </w:rPr>
        <w:t>11</w:t>
      </w:r>
      <w:r w:rsidRPr="00051DDC">
        <w:rPr>
          <w:rFonts w:ascii="Times New Roman" w:hAnsi="Times New Roman" w:hint="eastAsia"/>
          <w:sz w:val="24"/>
        </w:rPr>
        <w:t>月至</w:t>
      </w:r>
      <w:r w:rsidRPr="00051DDC">
        <w:rPr>
          <w:rFonts w:ascii="Times New Roman" w:hAnsi="Times New Roman" w:hint="eastAsia"/>
          <w:sz w:val="24"/>
        </w:rPr>
        <w:t>2019</w:t>
      </w:r>
      <w:r w:rsidRPr="00051DDC">
        <w:rPr>
          <w:rFonts w:ascii="Times New Roman" w:hAnsi="Times New Roman" w:hint="eastAsia"/>
          <w:sz w:val="24"/>
        </w:rPr>
        <w:t>年</w:t>
      </w:r>
      <w:r w:rsidRPr="00051DDC">
        <w:rPr>
          <w:rFonts w:ascii="Times New Roman" w:hAnsi="Times New Roman" w:hint="eastAsia"/>
          <w:sz w:val="24"/>
        </w:rPr>
        <w:t>4</w:t>
      </w:r>
      <w:r w:rsidRPr="00051DDC">
        <w:rPr>
          <w:rFonts w:ascii="Times New Roman" w:hAnsi="Times New Roman" w:hint="eastAsia"/>
          <w:sz w:val="24"/>
        </w:rPr>
        <w:t>月兼任</w:t>
      </w:r>
      <w:r>
        <w:rPr>
          <w:rFonts w:ascii="Times New Roman" w:hAnsi="Times New Roman" w:hint="eastAsia"/>
          <w:sz w:val="24"/>
        </w:rPr>
        <w:t>招商银行</w:t>
      </w:r>
      <w:r w:rsidRPr="00051DDC">
        <w:rPr>
          <w:rFonts w:ascii="Times New Roman" w:hAnsi="Times New Roman" w:hint="eastAsia"/>
          <w:sz w:val="24"/>
        </w:rPr>
        <w:t>董事会秘书，</w:t>
      </w:r>
      <w:r w:rsidRPr="00051DDC">
        <w:rPr>
          <w:rFonts w:ascii="Times New Roman" w:hAnsi="Times New Roman" w:hint="eastAsia"/>
          <w:sz w:val="24"/>
        </w:rPr>
        <w:t>2019</w:t>
      </w:r>
      <w:r w:rsidRPr="00051DDC">
        <w:rPr>
          <w:rFonts w:ascii="Times New Roman" w:hAnsi="Times New Roman" w:hint="eastAsia"/>
          <w:sz w:val="24"/>
        </w:rPr>
        <w:t>年</w:t>
      </w:r>
      <w:r w:rsidRPr="00051DDC">
        <w:rPr>
          <w:rFonts w:ascii="Times New Roman" w:hAnsi="Times New Roman" w:hint="eastAsia"/>
          <w:sz w:val="24"/>
        </w:rPr>
        <w:t>4</w:t>
      </w:r>
      <w:r w:rsidRPr="00051DDC">
        <w:rPr>
          <w:rFonts w:ascii="Times New Roman" w:hAnsi="Times New Roman" w:hint="eastAsia"/>
          <w:sz w:val="24"/>
        </w:rPr>
        <w:t>月起兼任</w:t>
      </w:r>
      <w:r>
        <w:rPr>
          <w:rFonts w:ascii="Times New Roman" w:hAnsi="Times New Roman" w:hint="eastAsia"/>
          <w:sz w:val="24"/>
        </w:rPr>
        <w:t>招商银行</w:t>
      </w:r>
      <w:r w:rsidRPr="00051DDC">
        <w:rPr>
          <w:rFonts w:ascii="Times New Roman" w:hAnsi="Times New Roman" w:hint="eastAsia"/>
          <w:sz w:val="24"/>
        </w:rPr>
        <w:t>财务负责人，</w:t>
      </w:r>
      <w:r w:rsidRPr="00051DDC">
        <w:rPr>
          <w:rFonts w:ascii="Times New Roman" w:hAnsi="Times New Roman" w:hint="eastAsia"/>
          <w:sz w:val="24"/>
        </w:rPr>
        <w:t>2021</w:t>
      </w:r>
      <w:r w:rsidRPr="00051DDC">
        <w:rPr>
          <w:rFonts w:ascii="Times New Roman" w:hAnsi="Times New Roman" w:hint="eastAsia"/>
          <w:sz w:val="24"/>
        </w:rPr>
        <w:t>年</w:t>
      </w:r>
      <w:r w:rsidRPr="00051DDC">
        <w:rPr>
          <w:rFonts w:ascii="Times New Roman" w:hAnsi="Times New Roman" w:hint="eastAsia"/>
          <w:sz w:val="24"/>
        </w:rPr>
        <w:t>8</w:t>
      </w:r>
      <w:r w:rsidRPr="00051DDC">
        <w:rPr>
          <w:rFonts w:ascii="Times New Roman" w:hAnsi="Times New Roman" w:hint="eastAsia"/>
          <w:sz w:val="24"/>
        </w:rPr>
        <w:t>月起任</w:t>
      </w:r>
      <w:r>
        <w:rPr>
          <w:rFonts w:ascii="Times New Roman" w:hAnsi="Times New Roman" w:hint="eastAsia"/>
          <w:sz w:val="24"/>
        </w:rPr>
        <w:t>招商银行</w:t>
      </w:r>
      <w:r w:rsidRPr="00051DDC">
        <w:rPr>
          <w:rFonts w:ascii="Times New Roman" w:hAnsi="Times New Roman" w:hint="eastAsia"/>
          <w:sz w:val="24"/>
        </w:rPr>
        <w:t>常务副行长兼任董事会秘书、公司秘书及香港上市相关事宜之授权代表，</w:t>
      </w:r>
      <w:r w:rsidRPr="00051DDC">
        <w:rPr>
          <w:rFonts w:ascii="Times New Roman" w:hAnsi="Times New Roman" w:hint="eastAsia"/>
          <w:sz w:val="24"/>
        </w:rPr>
        <w:t>2022</w:t>
      </w:r>
      <w:r w:rsidRPr="00051DDC">
        <w:rPr>
          <w:rFonts w:ascii="Times New Roman" w:hAnsi="Times New Roman" w:hint="eastAsia"/>
          <w:sz w:val="24"/>
        </w:rPr>
        <w:t>年</w:t>
      </w:r>
      <w:r w:rsidRPr="00051DDC">
        <w:rPr>
          <w:rFonts w:ascii="Times New Roman" w:hAnsi="Times New Roman" w:hint="eastAsia"/>
          <w:sz w:val="24"/>
        </w:rPr>
        <w:t>4</w:t>
      </w:r>
      <w:r w:rsidRPr="00051DDC">
        <w:rPr>
          <w:rFonts w:ascii="Times New Roman" w:hAnsi="Times New Roman" w:hint="eastAsia"/>
          <w:sz w:val="24"/>
        </w:rPr>
        <w:t>月</w:t>
      </w:r>
      <w:r w:rsidRPr="00051DDC">
        <w:rPr>
          <w:rFonts w:ascii="Times New Roman" w:hAnsi="Times New Roman" w:hint="eastAsia"/>
          <w:sz w:val="24"/>
        </w:rPr>
        <w:t>18</w:t>
      </w:r>
      <w:r w:rsidRPr="00051DDC">
        <w:rPr>
          <w:rFonts w:ascii="Times New Roman" w:hAnsi="Times New Roman" w:hint="eastAsia"/>
          <w:sz w:val="24"/>
        </w:rPr>
        <w:t>日起全面主持</w:t>
      </w:r>
      <w:r>
        <w:rPr>
          <w:rFonts w:ascii="Times New Roman" w:hAnsi="Times New Roman" w:hint="eastAsia"/>
          <w:sz w:val="24"/>
        </w:rPr>
        <w:t>招商银行</w:t>
      </w:r>
      <w:r w:rsidRPr="00051DDC">
        <w:rPr>
          <w:rFonts w:ascii="Times New Roman" w:hAnsi="Times New Roman" w:hint="eastAsia"/>
          <w:sz w:val="24"/>
        </w:rPr>
        <w:t>工作，</w:t>
      </w:r>
      <w:r w:rsidRPr="00051DDC">
        <w:rPr>
          <w:rFonts w:ascii="Times New Roman" w:hAnsi="Times New Roman" w:hint="eastAsia"/>
          <w:sz w:val="24"/>
        </w:rPr>
        <w:t>2022</w:t>
      </w:r>
      <w:r w:rsidRPr="00051DDC">
        <w:rPr>
          <w:rFonts w:ascii="Times New Roman" w:hAnsi="Times New Roman" w:hint="eastAsia"/>
          <w:sz w:val="24"/>
        </w:rPr>
        <w:t>年</w:t>
      </w:r>
      <w:r w:rsidRPr="00051DDC">
        <w:rPr>
          <w:rFonts w:ascii="Times New Roman" w:hAnsi="Times New Roman" w:hint="eastAsia"/>
          <w:sz w:val="24"/>
        </w:rPr>
        <w:t>5</w:t>
      </w:r>
      <w:r w:rsidRPr="00051DDC">
        <w:rPr>
          <w:rFonts w:ascii="Times New Roman" w:hAnsi="Times New Roman" w:hint="eastAsia"/>
          <w:sz w:val="24"/>
        </w:rPr>
        <w:t>月</w:t>
      </w:r>
      <w:r w:rsidRPr="00051DDC">
        <w:rPr>
          <w:rFonts w:ascii="Times New Roman" w:hAnsi="Times New Roman" w:hint="eastAsia"/>
          <w:sz w:val="24"/>
        </w:rPr>
        <w:t>19</w:t>
      </w:r>
      <w:r w:rsidRPr="00051DDC">
        <w:rPr>
          <w:rFonts w:ascii="Times New Roman" w:hAnsi="Times New Roman" w:hint="eastAsia"/>
          <w:sz w:val="24"/>
        </w:rPr>
        <w:t>日起任</w:t>
      </w:r>
      <w:r>
        <w:rPr>
          <w:rFonts w:ascii="Times New Roman" w:hAnsi="Times New Roman" w:hint="eastAsia"/>
          <w:sz w:val="24"/>
        </w:rPr>
        <w:t>招商银行</w:t>
      </w:r>
      <w:r w:rsidRPr="00051DDC">
        <w:rPr>
          <w:rFonts w:ascii="Times New Roman" w:hAnsi="Times New Roman" w:hint="eastAsia"/>
          <w:sz w:val="24"/>
        </w:rPr>
        <w:t>党委书记，</w:t>
      </w:r>
      <w:r w:rsidRPr="00051DDC">
        <w:rPr>
          <w:rFonts w:ascii="Times New Roman" w:hAnsi="Times New Roman" w:hint="eastAsia"/>
          <w:sz w:val="24"/>
        </w:rPr>
        <w:t>2022</w:t>
      </w:r>
      <w:r w:rsidRPr="00051DDC">
        <w:rPr>
          <w:rFonts w:ascii="Times New Roman" w:hAnsi="Times New Roman" w:hint="eastAsia"/>
          <w:sz w:val="24"/>
        </w:rPr>
        <w:t>年</w:t>
      </w:r>
      <w:r w:rsidRPr="00051DDC">
        <w:rPr>
          <w:rFonts w:ascii="Times New Roman" w:hAnsi="Times New Roman" w:hint="eastAsia"/>
          <w:sz w:val="24"/>
        </w:rPr>
        <w:t>6</w:t>
      </w:r>
      <w:r w:rsidRPr="00051DDC">
        <w:rPr>
          <w:rFonts w:ascii="Times New Roman" w:hAnsi="Times New Roman" w:hint="eastAsia"/>
          <w:sz w:val="24"/>
        </w:rPr>
        <w:t>月</w:t>
      </w:r>
      <w:r w:rsidRPr="00051DDC">
        <w:rPr>
          <w:rFonts w:ascii="Times New Roman" w:hAnsi="Times New Roman" w:hint="eastAsia"/>
          <w:sz w:val="24"/>
        </w:rPr>
        <w:t>15</w:t>
      </w:r>
      <w:r w:rsidRPr="00051DDC">
        <w:rPr>
          <w:rFonts w:ascii="Times New Roman" w:hAnsi="Times New Roman" w:hint="eastAsia"/>
          <w:sz w:val="24"/>
        </w:rPr>
        <w:t>日起任</w:t>
      </w:r>
      <w:r>
        <w:rPr>
          <w:rFonts w:ascii="Times New Roman" w:hAnsi="Times New Roman" w:hint="eastAsia"/>
          <w:sz w:val="24"/>
        </w:rPr>
        <w:t>招商银行</w:t>
      </w:r>
      <w:r w:rsidRPr="00051DDC">
        <w:rPr>
          <w:rFonts w:ascii="Times New Roman" w:hAnsi="Times New Roman" w:hint="eastAsia"/>
          <w:sz w:val="24"/>
        </w:rPr>
        <w:t>行长。兼任中国支付清算协会副会长、中国银保监会数据治理高层指导协调委员会委员、中国银行业协会中间业务专业委员会第四届主任、中国金融会计学会第六届常务理事。</w:t>
      </w:r>
    </w:p>
    <w:p w14:paraId="10557281"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汪建中先生，</w:t>
      </w:r>
      <w:r>
        <w:rPr>
          <w:rFonts w:ascii="Times New Roman" w:hAnsi="Times New Roman" w:hint="eastAsia"/>
          <w:sz w:val="24"/>
        </w:rPr>
        <w:t>招商银行</w:t>
      </w:r>
      <w:r w:rsidRPr="00E94F24">
        <w:rPr>
          <w:rFonts w:ascii="Times New Roman" w:hAnsi="Times New Roman" w:hint="eastAsia"/>
          <w:sz w:val="24"/>
        </w:rPr>
        <w:t>副行长，</w:t>
      </w:r>
      <w:r w:rsidRPr="00E94F24">
        <w:rPr>
          <w:rFonts w:ascii="Times New Roman" w:hAnsi="Times New Roman" w:hint="eastAsia"/>
          <w:sz w:val="24"/>
        </w:rPr>
        <w:t>1991</w:t>
      </w:r>
      <w:r w:rsidRPr="00E94F24">
        <w:rPr>
          <w:rFonts w:ascii="Times New Roman" w:hAnsi="Times New Roman" w:hint="eastAsia"/>
          <w:sz w:val="24"/>
        </w:rPr>
        <w:t>年加入</w:t>
      </w:r>
      <w:r>
        <w:rPr>
          <w:rFonts w:ascii="Times New Roman" w:hAnsi="Times New Roman" w:hint="eastAsia"/>
          <w:sz w:val="24"/>
        </w:rPr>
        <w:t>招商银行</w:t>
      </w:r>
      <w:r w:rsidRPr="00E94F24">
        <w:rPr>
          <w:rFonts w:ascii="Times New Roman" w:hAnsi="Times New Roman" w:hint="eastAsia"/>
          <w:sz w:val="24"/>
        </w:rPr>
        <w:t>；</w:t>
      </w:r>
      <w:r w:rsidRPr="00E94F24">
        <w:rPr>
          <w:rFonts w:ascii="Times New Roman" w:hAnsi="Times New Roman" w:hint="eastAsia"/>
          <w:sz w:val="24"/>
        </w:rPr>
        <w:t>2002</w:t>
      </w:r>
      <w:r w:rsidRPr="00E94F24">
        <w:rPr>
          <w:rFonts w:ascii="Times New Roman" w:hAnsi="Times New Roman" w:hint="eastAsia"/>
          <w:sz w:val="24"/>
        </w:rPr>
        <w:t>年</w:t>
      </w:r>
      <w:r w:rsidRPr="00E94F24">
        <w:rPr>
          <w:rFonts w:ascii="Times New Roman" w:hAnsi="Times New Roman" w:hint="eastAsia"/>
          <w:sz w:val="24"/>
        </w:rPr>
        <w:t>10</w:t>
      </w:r>
      <w:r w:rsidRPr="00E94F24">
        <w:rPr>
          <w:rFonts w:ascii="Times New Roman" w:hAnsi="Times New Roman" w:hint="eastAsia"/>
          <w:sz w:val="24"/>
        </w:rPr>
        <w:t>月至</w:t>
      </w:r>
      <w:r w:rsidRPr="00E94F24">
        <w:rPr>
          <w:rFonts w:ascii="Times New Roman" w:hAnsi="Times New Roman" w:hint="eastAsia"/>
          <w:sz w:val="24"/>
        </w:rPr>
        <w:t>2013</w:t>
      </w:r>
      <w:r w:rsidRPr="00E94F24">
        <w:rPr>
          <w:rFonts w:ascii="Times New Roman" w:hAnsi="Times New Roman" w:hint="eastAsia"/>
          <w:sz w:val="24"/>
        </w:rPr>
        <w:t>年</w:t>
      </w:r>
      <w:r w:rsidRPr="00E94F24">
        <w:rPr>
          <w:rFonts w:ascii="Times New Roman" w:hAnsi="Times New Roman" w:hint="eastAsia"/>
          <w:sz w:val="24"/>
        </w:rPr>
        <w:t>12</w:t>
      </w:r>
      <w:r w:rsidRPr="00E94F24">
        <w:rPr>
          <w:rFonts w:ascii="Times New Roman" w:hAnsi="Times New Roman" w:hint="eastAsia"/>
          <w:sz w:val="24"/>
        </w:rPr>
        <w:t>月历任</w:t>
      </w:r>
      <w:r>
        <w:rPr>
          <w:rFonts w:ascii="Times New Roman" w:hAnsi="Times New Roman" w:hint="eastAsia"/>
          <w:sz w:val="24"/>
        </w:rPr>
        <w:t>招商银行</w:t>
      </w:r>
      <w:r w:rsidRPr="00E94F24">
        <w:rPr>
          <w:rFonts w:ascii="Times New Roman" w:hAnsi="Times New Roman" w:hint="eastAsia"/>
          <w:sz w:val="24"/>
        </w:rPr>
        <w:t>长沙分行行长，总行公司银行部副总经理，佛山分行筹备组</w:t>
      </w:r>
      <w:r w:rsidRPr="00E94F24">
        <w:rPr>
          <w:rFonts w:ascii="Times New Roman" w:hAnsi="Times New Roman" w:hint="eastAsia"/>
          <w:sz w:val="24"/>
        </w:rPr>
        <w:lastRenderedPageBreak/>
        <w:t>组长，佛山分行行长，武汉分行行长；</w:t>
      </w:r>
      <w:r w:rsidRPr="00E94F24">
        <w:rPr>
          <w:rFonts w:ascii="Times New Roman" w:hAnsi="Times New Roman" w:hint="eastAsia"/>
          <w:sz w:val="24"/>
        </w:rPr>
        <w:t>2013</w:t>
      </w:r>
      <w:r w:rsidRPr="00E94F24">
        <w:rPr>
          <w:rFonts w:ascii="Times New Roman" w:hAnsi="Times New Roman" w:hint="eastAsia"/>
          <w:sz w:val="24"/>
        </w:rPr>
        <w:t>年</w:t>
      </w:r>
      <w:r w:rsidRPr="00E94F24">
        <w:rPr>
          <w:rFonts w:ascii="Times New Roman" w:hAnsi="Times New Roman" w:hint="eastAsia"/>
          <w:sz w:val="24"/>
        </w:rPr>
        <w:t>12</w:t>
      </w:r>
      <w:r w:rsidRPr="00E94F24">
        <w:rPr>
          <w:rFonts w:ascii="Times New Roman" w:hAnsi="Times New Roman" w:hint="eastAsia"/>
          <w:sz w:val="24"/>
        </w:rPr>
        <w:t>月至</w:t>
      </w:r>
      <w:r w:rsidRPr="00E94F24">
        <w:rPr>
          <w:rFonts w:ascii="Times New Roman" w:hAnsi="Times New Roman" w:hint="eastAsia"/>
          <w:sz w:val="24"/>
        </w:rPr>
        <w:t>2016</w:t>
      </w:r>
      <w:r w:rsidRPr="00E94F24">
        <w:rPr>
          <w:rFonts w:ascii="Times New Roman" w:hAnsi="Times New Roman" w:hint="eastAsia"/>
          <w:sz w:val="24"/>
        </w:rPr>
        <w:t>年</w:t>
      </w:r>
      <w:r w:rsidRPr="00E94F24">
        <w:rPr>
          <w:rFonts w:ascii="Times New Roman" w:hAnsi="Times New Roman" w:hint="eastAsia"/>
          <w:sz w:val="24"/>
        </w:rPr>
        <w:t>10</w:t>
      </w:r>
      <w:r w:rsidRPr="00E94F24">
        <w:rPr>
          <w:rFonts w:ascii="Times New Roman" w:hAnsi="Times New Roman" w:hint="eastAsia"/>
          <w:sz w:val="24"/>
        </w:rPr>
        <w:t>月任</w:t>
      </w:r>
      <w:r>
        <w:rPr>
          <w:rFonts w:ascii="Times New Roman" w:hAnsi="Times New Roman" w:hint="eastAsia"/>
          <w:sz w:val="24"/>
        </w:rPr>
        <w:t>招商银行</w:t>
      </w:r>
      <w:r w:rsidRPr="00E94F24">
        <w:rPr>
          <w:rFonts w:ascii="Times New Roman" w:hAnsi="Times New Roman" w:hint="eastAsia"/>
          <w:sz w:val="24"/>
        </w:rPr>
        <w:t>业务总监兼公司金融总部总裁，期间先后兼任公司金融综合管理部总经理、战略客户部总经理；</w:t>
      </w:r>
      <w:r w:rsidRPr="00E94F24">
        <w:rPr>
          <w:rFonts w:ascii="Times New Roman" w:hAnsi="Times New Roman" w:hint="eastAsia"/>
          <w:sz w:val="24"/>
        </w:rPr>
        <w:t>2016</w:t>
      </w:r>
      <w:r w:rsidRPr="00E94F24">
        <w:rPr>
          <w:rFonts w:ascii="Times New Roman" w:hAnsi="Times New Roman" w:hint="eastAsia"/>
          <w:sz w:val="24"/>
        </w:rPr>
        <w:t>年</w:t>
      </w:r>
      <w:r w:rsidRPr="00E94F24">
        <w:rPr>
          <w:rFonts w:ascii="Times New Roman" w:hAnsi="Times New Roman" w:hint="eastAsia"/>
          <w:sz w:val="24"/>
        </w:rPr>
        <w:t>10</w:t>
      </w:r>
      <w:r w:rsidRPr="00E94F24">
        <w:rPr>
          <w:rFonts w:ascii="Times New Roman" w:hAnsi="Times New Roman" w:hint="eastAsia"/>
          <w:sz w:val="24"/>
        </w:rPr>
        <w:t>月至</w:t>
      </w:r>
      <w:r w:rsidRPr="00E94F24">
        <w:rPr>
          <w:rFonts w:ascii="Times New Roman" w:hAnsi="Times New Roman" w:hint="eastAsia"/>
          <w:sz w:val="24"/>
        </w:rPr>
        <w:t>2017</w:t>
      </w:r>
      <w:r w:rsidRPr="00E94F24">
        <w:rPr>
          <w:rFonts w:ascii="Times New Roman" w:hAnsi="Times New Roman" w:hint="eastAsia"/>
          <w:sz w:val="24"/>
        </w:rPr>
        <w:t>年</w:t>
      </w:r>
      <w:r w:rsidRPr="00E94F24">
        <w:rPr>
          <w:rFonts w:ascii="Times New Roman" w:hAnsi="Times New Roman" w:hint="eastAsia"/>
          <w:sz w:val="24"/>
        </w:rPr>
        <w:t>4</w:t>
      </w:r>
      <w:r w:rsidRPr="00E94F24">
        <w:rPr>
          <w:rFonts w:ascii="Times New Roman" w:hAnsi="Times New Roman" w:hint="eastAsia"/>
          <w:sz w:val="24"/>
        </w:rPr>
        <w:t>月任</w:t>
      </w:r>
      <w:r>
        <w:rPr>
          <w:rFonts w:ascii="Times New Roman" w:hAnsi="Times New Roman" w:hint="eastAsia"/>
          <w:sz w:val="24"/>
        </w:rPr>
        <w:t>招商银行</w:t>
      </w:r>
      <w:r w:rsidRPr="00E94F24">
        <w:rPr>
          <w:rFonts w:ascii="Times New Roman" w:hAnsi="Times New Roman" w:hint="eastAsia"/>
          <w:sz w:val="24"/>
        </w:rPr>
        <w:t>业务总监兼北京分行行长；</w:t>
      </w:r>
      <w:r w:rsidRPr="00E94F24">
        <w:rPr>
          <w:rFonts w:ascii="Times New Roman" w:hAnsi="Times New Roman" w:hint="eastAsia"/>
          <w:sz w:val="24"/>
        </w:rPr>
        <w:t>2017</w:t>
      </w:r>
      <w:r w:rsidRPr="00E94F24">
        <w:rPr>
          <w:rFonts w:ascii="Times New Roman" w:hAnsi="Times New Roman" w:hint="eastAsia"/>
          <w:sz w:val="24"/>
        </w:rPr>
        <w:t>年</w:t>
      </w:r>
      <w:r w:rsidRPr="00E94F24">
        <w:rPr>
          <w:rFonts w:ascii="Times New Roman" w:hAnsi="Times New Roman" w:hint="eastAsia"/>
          <w:sz w:val="24"/>
        </w:rPr>
        <w:t>4</w:t>
      </w:r>
      <w:r w:rsidRPr="00E94F24">
        <w:rPr>
          <w:rFonts w:ascii="Times New Roman" w:hAnsi="Times New Roman" w:hint="eastAsia"/>
          <w:sz w:val="24"/>
        </w:rPr>
        <w:t>月起任</w:t>
      </w:r>
      <w:r>
        <w:rPr>
          <w:rFonts w:ascii="Times New Roman" w:hAnsi="Times New Roman" w:hint="eastAsia"/>
          <w:sz w:val="24"/>
        </w:rPr>
        <w:t>招商银行</w:t>
      </w:r>
      <w:r w:rsidRPr="00E94F24">
        <w:rPr>
          <w:rFonts w:ascii="Times New Roman" w:hAnsi="Times New Roman" w:hint="eastAsia"/>
          <w:sz w:val="24"/>
        </w:rPr>
        <w:t>党委委员兼北京分行行长。</w:t>
      </w:r>
      <w:r w:rsidRPr="00E94F24">
        <w:rPr>
          <w:rFonts w:ascii="Times New Roman" w:hAnsi="Times New Roman" w:hint="eastAsia"/>
          <w:sz w:val="24"/>
        </w:rPr>
        <w:t>2019</w:t>
      </w:r>
      <w:r w:rsidRPr="00E94F24">
        <w:rPr>
          <w:rFonts w:ascii="Times New Roman" w:hAnsi="Times New Roman" w:hint="eastAsia"/>
          <w:sz w:val="24"/>
        </w:rPr>
        <w:t>年</w:t>
      </w:r>
      <w:r w:rsidRPr="00E94F24">
        <w:rPr>
          <w:rFonts w:ascii="Times New Roman" w:hAnsi="Times New Roman" w:hint="eastAsia"/>
          <w:sz w:val="24"/>
        </w:rPr>
        <w:t>4</w:t>
      </w:r>
      <w:r w:rsidRPr="00E94F24">
        <w:rPr>
          <w:rFonts w:ascii="Times New Roman" w:hAnsi="Times New Roman" w:hint="eastAsia"/>
          <w:sz w:val="24"/>
        </w:rPr>
        <w:t>月起任</w:t>
      </w:r>
      <w:r>
        <w:rPr>
          <w:rFonts w:ascii="Times New Roman" w:hAnsi="Times New Roman" w:hint="eastAsia"/>
          <w:sz w:val="24"/>
        </w:rPr>
        <w:t>招商银行</w:t>
      </w:r>
      <w:r w:rsidRPr="00E94F24">
        <w:rPr>
          <w:rFonts w:ascii="Times New Roman" w:hAnsi="Times New Roman" w:hint="eastAsia"/>
          <w:sz w:val="24"/>
        </w:rPr>
        <w:t>副行长。</w:t>
      </w:r>
    </w:p>
    <w:p w14:paraId="3916787C" w14:textId="77777777" w:rsidR="00F53A82" w:rsidRPr="00050B7E"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孙乐女士，招商银行资产托管部</w:t>
      </w:r>
      <w:r w:rsidRPr="00051DDC">
        <w:rPr>
          <w:rFonts w:ascii="Times New Roman" w:hAnsi="Times New Roman" w:hint="eastAsia"/>
          <w:sz w:val="24"/>
        </w:rPr>
        <w:t>总经理</w:t>
      </w:r>
      <w:r w:rsidRPr="00E94F24">
        <w:rPr>
          <w:rFonts w:ascii="Times New Roman" w:hAnsi="Times New Roman" w:hint="eastAsia"/>
          <w:sz w:val="24"/>
        </w:rPr>
        <w:t>，硕士研究生毕业，</w:t>
      </w:r>
      <w:r w:rsidRPr="00E94F24">
        <w:rPr>
          <w:rFonts w:ascii="Times New Roman" w:hAnsi="Times New Roman" w:hint="eastAsia"/>
          <w:sz w:val="24"/>
        </w:rPr>
        <w:t>2001</w:t>
      </w:r>
      <w:r w:rsidRPr="00E94F24">
        <w:rPr>
          <w:rFonts w:ascii="Times New Roman" w:hAnsi="Times New Roman" w:hint="eastAsia"/>
          <w:sz w:val="24"/>
        </w:rPr>
        <w:t>年</w:t>
      </w:r>
      <w:r w:rsidRPr="00E94F24">
        <w:rPr>
          <w:rFonts w:ascii="Times New Roman" w:hAnsi="Times New Roman" w:hint="eastAsia"/>
          <w:sz w:val="24"/>
        </w:rPr>
        <w:t>8</w:t>
      </w:r>
      <w:r w:rsidRPr="00E94F24">
        <w:rPr>
          <w:rFonts w:ascii="Times New Roman" w:hAnsi="Times New Roman" w:hint="eastAsia"/>
          <w:sz w:val="24"/>
        </w:rPr>
        <w:t>月加入招商银行至今，历任招商银行合肥分行风险控制部副经理、经理、信贷管理部总经理助理、副总经理、总经理、公司银行部总经理、中小企业金融部总经理、投行与金融市场部总经理；无锡分行行长助理、副行长；南京分行副行长，具有</w:t>
      </w:r>
      <w:r w:rsidRPr="00E94F24">
        <w:rPr>
          <w:rFonts w:ascii="Times New Roman" w:hAnsi="Times New Roman" w:hint="eastAsia"/>
          <w:sz w:val="24"/>
        </w:rPr>
        <w:t>20</w:t>
      </w:r>
      <w:r w:rsidRPr="00E94F24">
        <w:rPr>
          <w:rFonts w:ascii="Times New Roman" w:hAnsi="Times New Roman" w:hint="eastAsia"/>
          <w:sz w:val="24"/>
        </w:rPr>
        <w:t>余年银行从业经验，在风险管理、信贷管理、公司金融、资产托管等领域有深入的研究和丰富的实务经验。</w:t>
      </w:r>
    </w:p>
    <w:p w14:paraId="2E18FAAD" w14:textId="77777777" w:rsidR="00F53A82" w:rsidRPr="00C851B9" w:rsidRDefault="00F53A82" w:rsidP="00F53A82">
      <w:pPr>
        <w:adjustRightInd w:val="0"/>
        <w:snapToGrid w:val="0"/>
        <w:spacing w:line="360" w:lineRule="auto"/>
        <w:ind w:firstLineChars="200" w:firstLine="482"/>
        <w:rPr>
          <w:rFonts w:ascii="Times New Roman" w:hAnsi="Times New Roman"/>
          <w:b/>
          <w:sz w:val="24"/>
        </w:rPr>
      </w:pPr>
      <w:r w:rsidRPr="00C851B9">
        <w:rPr>
          <w:rFonts w:ascii="Times New Roman" w:hAnsi="Times New Roman" w:hint="eastAsia"/>
          <w:b/>
          <w:sz w:val="24"/>
        </w:rPr>
        <w:t>（三）基金托管业务经营情况</w:t>
      </w:r>
    </w:p>
    <w:p w14:paraId="0F557938" w14:textId="77777777" w:rsidR="00F53A82" w:rsidRPr="00050B7E" w:rsidRDefault="00F53A82" w:rsidP="00F53A82">
      <w:pPr>
        <w:adjustRightInd w:val="0"/>
        <w:snapToGrid w:val="0"/>
        <w:spacing w:line="360" w:lineRule="auto"/>
        <w:ind w:firstLineChars="200" w:firstLine="480"/>
        <w:rPr>
          <w:rFonts w:ascii="Times New Roman" w:hAnsi="Times New Roman"/>
          <w:sz w:val="24"/>
        </w:rPr>
      </w:pPr>
      <w:r w:rsidRPr="00243E99">
        <w:rPr>
          <w:rFonts w:ascii="Times New Roman" w:hAnsi="Times New Roman" w:hint="eastAsia"/>
          <w:sz w:val="24"/>
        </w:rPr>
        <w:t>截至</w:t>
      </w:r>
      <w:r w:rsidRPr="00243E99">
        <w:rPr>
          <w:rFonts w:ascii="Times New Roman" w:hAnsi="Times New Roman" w:hint="eastAsia"/>
          <w:sz w:val="24"/>
        </w:rPr>
        <w:t>2022</w:t>
      </w:r>
      <w:r w:rsidRPr="00243E99">
        <w:rPr>
          <w:rFonts w:ascii="Times New Roman" w:hAnsi="Times New Roman" w:hint="eastAsia"/>
          <w:sz w:val="24"/>
        </w:rPr>
        <w:t>年</w:t>
      </w:r>
      <w:r w:rsidRPr="00243E99">
        <w:rPr>
          <w:rFonts w:ascii="Times New Roman" w:hAnsi="Times New Roman" w:hint="eastAsia"/>
          <w:sz w:val="24"/>
        </w:rPr>
        <w:t>6</w:t>
      </w:r>
      <w:r w:rsidRPr="00243E99">
        <w:rPr>
          <w:rFonts w:ascii="Times New Roman" w:hAnsi="Times New Roman" w:hint="eastAsia"/>
          <w:sz w:val="24"/>
        </w:rPr>
        <w:t>月</w:t>
      </w:r>
      <w:r w:rsidRPr="00243E99">
        <w:rPr>
          <w:rFonts w:ascii="Times New Roman" w:hAnsi="Times New Roman" w:hint="eastAsia"/>
          <w:sz w:val="24"/>
        </w:rPr>
        <w:t>30</w:t>
      </w:r>
      <w:r w:rsidRPr="00243E99">
        <w:rPr>
          <w:rFonts w:ascii="Times New Roman" w:hAnsi="Times New Roman" w:hint="eastAsia"/>
          <w:sz w:val="24"/>
        </w:rPr>
        <w:t>日，招商银行股份有限公司累计托管</w:t>
      </w:r>
      <w:r w:rsidRPr="00243E99">
        <w:rPr>
          <w:rFonts w:ascii="Times New Roman" w:hAnsi="Times New Roman" w:hint="eastAsia"/>
          <w:sz w:val="24"/>
        </w:rPr>
        <w:t>1086</w:t>
      </w:r>
      <w:r w:rsidRPr="00243E99">
        <w:rPr>
          <w:rFonts w:ascii="Times New Roman" w:hAnsi="Times New Roman" w:hint="eastAsia"/>
          <w:sz w:val="24"/>
        </w:rPr>
        <w:t>只证券投资基金。</w:t>
      </w:r>
    </w:p>
    <w:p w14:paraId="5D181FED" w14:textId="77777777" w:rsidR="00F53A82" w:rsidRPr="00C851B9" w:rsidRDefault="00F53A82" w:rsidP="00F53A82">
      <w:pPr>
        <w:adjustRightInd w:val="0"/>
        <w:snapToGrid w:val="0"/>
        <w:spacing w:line="360" w:lineRule="auto"/>
        <w:ind w:firstLineChars="200" w:firstLine="482"/>
        <w:rPr>
          <w:rFonts w:ascii="Times New Roman" w:hAnsi="Times New Roman"/>
          <w:b/>
          <w:sz w:val="24"/>
        </w:rPr>
      </w:pPr>
      <w:r w:rsidRPr="00C851B9">
        <w:rPr>
          <w:rFonts w:ascii="Times New Roman" w:hAnsi="Times New Roman" w:hint="eastAsia"/>
          <w:b/>
          <w:sz w:val="24"/>
        </w:rPr>
        <w:t>（四）托管人的内部控制制度</w:t>
      </w:r>
    </w:p>
    <w:p w14:paraId="018DA4FD"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1</w:t>
      </w:r>
      <w:r w:rsidRPr="00E94F24">
        <w:rPr>
          <w:rFonts w:ascii="Times New Roman" w:hAnsi="Times New Roman" w:hint="eastAsia"/>
          <w:sz w:val="24"/>
        </w:rPr>
        <w:t>、内部控制目标</w:t>
      </w:r>
    </w:p>
    <w:p w14:paraId="31FF21E0"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确保内控机制、体制的不断改进和各项业务制度、流程的不断完善。</w:t>
      </w:r>
    </w:p>
    <w:p w14:paraId="23C36F69"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2</w:t>
      </w:r>
      <w:r w:rsidRPr="00E94F24">
        <w:rPr>
          <w:rFonts w:ascii="Times New Roman" w:hAnsi="Times New Roman" w:hint="eastAsia"/>
          <w:sz w:val="24"/>
        </w:rPr>
        <w:t>、内部控制组织结构</w:t>
      </w:r>
    </w:p>
    <w:p w14:paraId="1B95D6BE"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招商银行资产托管业务建立三级内部控制及风险防范体系：</w:t>
      </w:r>
    </w:p>
    <w:p w14:paraId="5E5BECB5"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一级内部控制及风险防范是在招商银行总行风险管控层面对风险进行预防和控制；</w:t>
      </w:r>
    </w:p>
    <w:p w14:paraId="0794CE5C"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二级内部控制及风险防范是招商银行资产托管部设立稽核监察团队，负责部门内部风险预防和控制；</w:t>
      </w:r>
    </w:p>
    <w:p w14:paraId="72BD5F1C"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三级内部控制及风险防范是招商银行资产托管部在设置专业岗位时，遵循内控制衡原则，</w:t>
      </w:r>
      <w:r>
        <w:rPr>
          <w:rFonts w:ascii="Times New Roman" w:hAnsi="Times New Roman" w:hint="eastAsia"/>
          <w:sz w:val="24"/>
        </w:rPr>
        <w:t>根据</w:t>
      </w:r>
      <w:r w:rsidRPr="00E94F24">
        <w:rPr>
          <w:rFonts w:ascii="Times New Roman" w:hAnsi="Times New Roman" w:hint="eastAsia"/>
          <w:sz w:val="24"/>
        </w:rPr>
        <w:t>业务的风险程度制定相应监督制衡机制。</w:t>
      </w:r>
    </w:p>
    <w:p w14:paraId="65F69E25"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3</w:t>
      </w:r>
      <w:r w:rsidRPr="00E94F24">
        <w:rPr>
          <w:rFonts w:ascii="Times New Roman" w:hAnsi="Times New Roman" w:hint="eastAsia"/>
          <w:sz w:val="24"/>
        </w:rPr>
        <w:t>、内部控制原则</w:t>
      </w:r>
    </w:p>
    <w:p w14:paraId="411DDDB7"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lastRenderedPageBreak/>
        <w:t>（</w:t>
      </w:r>
      <w:r w:rsidRPr="00E94F24">
        <w:rPr>
          <w:rFonts w:ascii="Times New Roman" w:hAnsi="Times New Roman" w:hint="eastAsia"/>
          <w:sz w:val="24"/>
        </w:rPr>
        <w:t>1</w:t>
      </w:r>
      <w:r w:rsidRPr="00E94F24">
        <w:rPr>
          <w:rFonts w:ascii="Times New Roman" w:hAnsi="Times New Roman" w:hint="eastAsia"/>
          <w:sz w:val="24"/>
        </w:rPr>
        <w:t>）全面性原则。内部控制覆盖各项业务过程和操作环节、覆盖所有团队和岗位，并由全部人员参与。</w:t>
      </w:r>
    </w:p>
    <w:p w14:paraId="31CF7B04"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2</w:t>
      </w:r>
      <w:r w:rsidRPr="00E94F24">
        <w:rPr>
          <w:rFonts w:ascii="Times New Roman" w:hAnsi="Times New Roman" w:hint="eastAsia"/>
          <w:sz w:val="24"/>
        </w:rPr>
        <w:t>）审慎性原则。托管组织体系的构成、内部管理制度的建立均以防范风险、审慎经营为出发点，体现“内控优先”的要求。</w:t>
      </w:r>
    </w:p>
    <w:p w14:paraId="7FAF1181"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3</w:t>
      </w:r>
      <w:r w:rsidRPr="00E94F24">
        <w:rPr>
          <w:rFonts w:ascii="Times New Roman" w:hAnsi="Times New Roman" w:hint="eastAsia"/>
          <w:sz w:val="24"/>
        </w:rPr>
        <w:t>）独立性原则。招商银行资产托管部各团队、各岗位职责保持相对独立，不同托管资产之间、托管资产和自有资产之间相互分离。内部控制的检查、评价部门独立于内部控制的建立和执行部门。</w:t>
      </w:r>
    </w:p>
    <w:p w14:paraId="7A3F85E2"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4</w:t>
      </w:r>
      <w:r w:rsidRPr="00E94F24">
        <w:rPr>
          <w:rFonts w:ascii="Times New Roman" w:hAnsi="Times New Roman" w:hint="eastAsia"/>
          <w:sz w:val="24"/>
        </w:rPr>
        <w:t>）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72003166"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5</w:t>
      </w:r>
      <w:r w:rsidRPr="00E94F24">
        <w:rPr>
          <w:rFonts w:ascii="Times New Roman" w:hAnsi="Times New Roman" w:hint="eastAsia"/>
          <w:sz w:val="24"/>
        </w:rPr>
        <w:t>）适应性原则。内部控制适应招商银行托管业务风险管理的需要，并能够随着托管业务经营战略、经营方针、经营理念等内部环境的变化和国家法律、法规、政策制度等外部环境的改变及时进行修订和完善。</w:t>
      </w:r>
    </w:p>
    <w:p w14:paraId="0C741177"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6</w:t>
      </w:r>
      <w:r w:rsidRPr="00E94F24">
        <w:rPr>
          <w:rFonts w:ascii="Times New Roman" w:hAnsi="Times New Roman" w:hint="eastAsia"/>
          <w:sz w:val="24"/>
        </w:rPr>
        <w:t>）防火墙原则。招商银行资产托管部办公场地与</w:t>
      </w:r>
      <w:r>
        <w:rPr>
          <w:rFonts w:ascii="Times New Roman" w:hAnsi="Times New Roman" w:hint="eastAsia"/>
          <w:sz w:val="24"/>
        </w:rPr>
        <w:t>招商银行</w:t>
      </w:r>
      <w:r w:rsidRPr="00E94F24">
        <w:rPr>
          <w:rFonts w:ascii="Times New Roman" w:hAnsi="Times New Roman" w:hint="eastAsia"/>
          <w:sz w:val="24"/>
        </w:rPr>
        <w:t>其他业务场地隔离，办公网和业务网物理分离，部门业务网和全行业务网防火墙策略分离，以达到风险防范的目的。</w:t>
      </w:r>
      <w:r w:rsidRPr="00E94F24">
        <w:rPr>
          <w:rFonts w:ascii="Times New Roman" w:hAnsi="Times New Roman" w:hint="eastAsia"/>
          <w:sz w:val="24"/>
        </w:rPr>
        <w:t xml:space="preserve"> </w:t>
      </w:r>
    </w:p>
    <w:p w14:paraId="5BCEBC00"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7</w:t>
      </w:r>
      <w:r w:rsidRPr="00E94F24">
        <w:rPr>
          <w:rFonts w:ascii="Times New Roman" w:hAnsi="Times New Roman" w:hint="eastAsia"/>
          <w:sz w:val="24"/>
        </w:rPr>
        <w:t>）重要性原则。内部控制在实现全面控制的基础上，关注重要托管业务重要事项和高风险环节。</w:t>
      </w:r>
    </w:p>
    <w:p w14:paraId="250F2790"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8</w:t>
      </w:r>
      <w:r w:rsidRPr="00E94F24">
        <w:rPr>
          <w:rFonts w:ascii="Times New Roman" w:hAnsi="Times New Roman" w:hint="eastAsia"/>
          <w:sz w:val="24"/>
        </w:rPr>
        <w:t>）制衡性原则。内部控制能够实现在托管组织体系、机构设置、权责分配及业务流程等方面形成相互制约、相互监督，同时兼顾运营效率。</w:t>
      </w:r>
    </w:p>
    <w:p w14:paraId="516D97CD"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4</w:t>
      </w:r>
      <w:r w:rsidRPr="00E94F24">
        <w:rPr>
          <w:rFonts w:ascii="Times New Roman" w:hAnsi="Times New Roman" w:hint="eastAsia"/>
          <w:sz w:val="24"/>
        </w:rPr>
        <w:t>、内部控制措施</w:t>
      </w:r>
    </w:p>
    <w:p w14:paraId="7465812A"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1</w:t>
      </w:r>
      <w:r w:rsidRPr="00E94F24">
        <w:rPr>
          <w:rFonts w:ascii="Times New Roman" w:hAnsi="Times New Roman" w:hint="eastAsia"/>
          <w:sz w:val="24"/>
        </w:rPr>
        <w:t>）完善的制度建设。招商银行资产托管部从资产托管业务内控管理、产品受理、会计核算、资金清算、岗位管理、档案管理和信息管理等方面制定一系列规章制度，保证资产托管业务科学化、制度化、规范化运作。</w:t>
      </w:r>
    </w:p>
    <w:p w14:paraId="75192576"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2</w:t>
      </w:r>
      <w:r w:rsidRPr="00E94F24">
        <w:rPr>
          <w:rFonts w:ascii="Times New Roman" w:hAnsi="Times New Roman" w:hint="eastAsia"/>
          <w:sz w:val="24"/>
        </w:rPr>
        <w:t>）业务信息风险控制。招商银行资产托管部在数据传输和保存方面有严格的加密和备份措施，采用加密、直连方式传输数据，数据执行异地实时备份，所有的业务信息须经过严格的授权方能进行访问。</w:t>
      </w:r>
    </w:p>
    <w:p w14:paraId="60BF0DC9"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3</w:t>
      </w:r>
      <w:r w:rsidRPr="00E94F24">
        <w:rPr>
          <w:rFonts w:ascii="Times New Roman" w:hAnsi="Times New Roman" w:hint="eastAsia"/>
          <w:sz w:val="24"/>
        </w:rPr>
        <w:t>）客户资料风险控制。招商银行资产托管部对业务办理过程中获取的客户资料严格保密，除法律法规和其他有关规定、监管机构及审计要求外，不向任何机</w:t>
      </w:r>
      <w:r w:rsidRPr="00E94F24">
        <w:rPr>
          <w:rFonts w:ascii="Times New Roman" w:hAnsi="Times New Roman" w:hint="eastAsia"/>
          <w:sz w:val="24"/>
        </w:rPr>
        <w:lastRenderedPageBreak/>
        <w:t>构、部门或个人泄露。</w:t>
      </w:r>
    </w:p>
    <w:p w14:paraId="1C80C3D8"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4</w:t>
      </w:r>
      <w:r w:rsidRPr="00E94F24">
        <w:rPr>
          <w:rFonts w:ascii="Times New Roman" w:hAnsi="Times New Roman" w:hint="eastAsia"/>
          <w:sz w:val="24"/>
        </w:rPr>
        <w:t>）信息技术系统风险控制。招商银行对信息技术系统机房、权限管理实行双人双岗双责，电脑机房</w:t>
      </w:r>
      <w:r w:rsidRPr="00E94F24">
        <w:rPr>
          <w:rFonts w:ascii="Times New Roman" w:hAnsi="Times New Roman" w:hint="eastAsia"/>
          <w:sz w:val="24"/>
        </w:rPr>
        <w:t>24</w:t>
      </w:r>
      <w:r w:rsidRPr="00E94F24">
        <w:rPr>
          <w:rFonts w:ascii="Times New Roman" w:hAnsi="Times New Roman" w:hint="eastAsia"/>
          <w:sz w:val="24"/>
        </w:rPr>
        <w:t>小时值班并设置门禁，所有电脑设置密码及相应权限。业务网和办公网、托管业务网与全行业务网双分离制度，与外部业务机构实行防火墙保护，对信息技术系统采取两地三中心的应急备份管理措施等，保证信息技术系统的安全。</w:t>
      </w:r>
    </w:p>
    <w:p w14:paraId="12E5F78F"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5</w:t>
      </w:r>
      <w:r w:rsidRPr="00E94F24">
        <w:rPr>
          <w:rFonts w:ascii="Times New Roman" w:hAnsi="Times New Roman" w:hint="eastAsia"/>
          <w:sz w:val="24"/>
        </w:rPr>
        <w:t>）人力资源控制。招商银行资产托管部通过建立良好的企业文化和员工培训、激励机制、加强人力资源管理及建立人才梯级队伍及人才储备机制，有效的进行人力资源管理。</w:t>
      </w:r>
    </w:p>
    <w:p w14:paraId="1B56E45F"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（五）基金托管人对基金管理人运作基金进行监督的方法和程序</w:t>
      </w:r>
    </w:p>
    <w:p w14:paraId="6F83C58F"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051DDC">
        <w:rPr>
          <w:rFonts w:ascii="Times New Roman" w:hAnsi="Times New Roman" w:hint="eastAsia"/>
          <w:sz w:val="24"/>
        </w:rPr>
        <w:t>根据《中华人民共和国证券投资基金法》、《公开募集证券投资基金运作管理办法》等有关法律法规的规定及基金合同、托管协议的约定，对基金的投资运作进行必要的监督。</w:t>
      </w:r>
    </w:p>
    <w:p w14:paraId="2D3EEFDE"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39805E7C" w14:textId="5919CACC" w:rsidR="00D87CF5" w:rsidRDefault="00F53A82">
      <w:pPr>
        <w:autoSpaceDE w:val="0"/>
        <w:autoSpaceDN w:val="0"/>
        <w:adjustRightInd w:val="0"/>
        <w:snapToGrid w:val="0"/>
        <w:spacing w:line="360" w:lineRule="auto"/>
        <w:ind w:firstLineChars="200" w:firstLine="480"/>
        <w:jc w:val="left"/>
        <w:rPr>
          <w:rFonts w:ascii="宋体" w:hAnsi="宋体"/>
          <w:szCs w:val="24"/>
        </w:rPr>
      </w:pPr>
      <w:r w:rsidRPr="00E94F24">
        <w:rPr>
          <w:rFonts w:ascii="Times New Roman" w:hAnsi="Times New Roman" w:hint="eastAsia"/>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14:paraId="0CB582C2" w14:textId="77777777"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2A65F96F"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51EF091" w14:textId="77777777" w:rsidR="00D87CF5" w:rsidRDefault="00CA69EB">
      <w:pPr>
        <w:pStyle w:val="1"/>
        <w:snapToGrid w:val="0"/>
        <w:spacing w:beforeLines="0" w:before="240" w:after="240"/>
        <w:rPr>
          <w:rFonts w:ascii="宋体" w:hAnsi="宋体"/>
          <w:szCs w:val="30"/>
        </w:rPr>
      </w:pPr>
      <w:bookmarkStart w:id="10" w:name="_Toc104564188"/>
      <w:r>
        <w:rPr>
          <w:rFonts w:ascii="Times New Roman" w:hAnsi="Times New Roman"/>
          <w:sz w:val="30"/>
        </w:rPr>
        <w:lastRenderedPageBreak/>
        <w:t>五、相关服务机构</w:t>
      </w:r>
      <w:bookmarkEnd w:id="10"/>
    </w:p>
    <w:p w14:paraId="2EFFAAF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14:paraId="214E99B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5F6C3FCC" w14:textId="7E6860E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本基金直销机构为本公司直销柜台以及本公司的网上直销交易平台（网站及APP，下同）。</w:t>
      </w:r>
    </w:p>
    <w:p w14:paraId="56D85D0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4575F9A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59F6B41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6868847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0CAEB1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24DAA2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72944B0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3E0EA1E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5265353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0FB852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2D49B2A9" w14:textId="67973F4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w:t>
      </w:r>
      <w:r w:rsidR="008C0477">
        <w:rPr>
          <w:rFonts w:ascii="宋体" w:hAnsi="宋体" w:hint="eastAsia"/>
          <w:sz w:val="24"/>
        </w:rPr>
        <w:t>认购、</w:t>
      </w:r>
      <w:r>
        <w:rPr>
          <w:rFonts w:ascii="宋体" w:hAnsi="宋体"/>
          <w:sz w:val="24"/>
        </w:rPr>
        <w:t>申购、赎回等业务，具体交易细则请参阅基金管理人网站。</w:t>
      </w:r>
    </w:p>
    <w:p w14:paraId="7F57CD1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 fund001.com。</w:t>
      </w:r>
    </w:p>
    <w:p w14:paraId="6664DBED" w14:textId="30636D3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527CD0">
        <w:rPr>
          <w:rFonts w:ascii="Times New Roman" w:hAnsi="Times New Roman" w:hint="eastAsia"/>
          <w:sz w:val="24"/>
        </w:rPr>
        <w:t>除</w:t>
      </w:r>
      <w:r w:rsidR="00527CD0">
        <w:rPr>
          <w:rFonts w:ascii="Times New Roman" w:hAnsi="Times New Roman"/>
          <w:sz w:val="24"/>
        </w:rPr>
        <w:t>基金管理人之外的</w:t>
      </w:r>
      <w:r w:rsidR="00527CD0">
        <w:rPr>
          <w:rFonts w:ascii="宋体" w:hAnsi="宋体"/>
          <w:sz w:val="24"/>
        </w:rPr>
        <w:t>其他销售</w:t>
      </w:r>
      <w:r>
        <w:rPr>
          <w:rFonts w:ascii="宋体" w:hAnsi="宋体"/>
          <w:sz w:val="24"/>
        </w:rPr>
        <w:t>机构</w:t>
      </w:r>
    </w:p>
    <w:p w14:paraId="645CAD86" w14:textId="3261390A" w:rsidR="00050B7E" w:rsidRPr="002224EC" w:rsidRDefault="00050B7E" w:rsidP="00050B7E">
      <w:pPr>
        <w:adjustRightInd w:val="0"/>
        <w:snapToGrid w:val="0"/>
        <w:spacing w:line="360" w:lineRule="auto"/>
        <w:ind w:firstLineChars="200" w:firstLine="480"/>
        <w:rPr>
          <w:rFonts w:hAnsi="宋体"/>
          <w:sz w:val="24"/>
        </w:rPr>
      </w:pPr>
      <w:r w:rsidRPr="002224EC">
        <w:rPr>
          <w:rFonts w:hAnsi="宋体" w:hint="eastAsia"/>
          <w:sz w:val="24"/>
        </w:rPr>
        <w:t>招商银行股份有限公司</w:t>
      </w:r>
    </w:p>
    <w:p w14:paraId="5279C8A4" w14:textId="77777777" w:rsidR="00050B7E" w:rsidRDefault="00050B7E" w:rsidP="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14:paraId="2513290D" w14:textId="77777777" w:rsidR="00050B7E" w:rsidRDefault="00050B7E" w:rsidP="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14:paraId="6B1A99A8" w14:textId="77777777" w:rsidR="00050B7E" w:rsidRDefault="00050B7E" w:rsidP="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sidRPr="00240B58">
        <w:rPr>
          <w:rFonts w:ascii="宋体" w:hAnsi="宋体" w:hint="eastAsia"/>
          <w:sz w:val="24"/>
        </w:rPr>
        <w:t>缪建民</w:t>
      </w:r>
    </w:p>
    <w:p w14:paraId="7685BC3C" w14:textId="77777777" w:rsidR="00050B7E" w:rsidRDefault="00050B7E" w:rsidP="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14:paraId="039353E5" w14:textId="77777777" w:rsidR="00050B7E" w:rsidRDefault="00050B7E" w:rsidP="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14:paraId="460622AD" w14:textId="77777777" w:rsidR="00050B7E" w:rsidRDefault="00050B7E" w:rsidP="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r w:rsidRPr="00240B58">
        <w:rPr>
          <w:rFonts w:ascii="宋体" w:hAnsi="宋体" w:hint="eastAsia"/>
          <w:sz w:val="24"/>
        </w:rPr>
        <w:t>季平伟</w:t>
      </w:r>
    </w:p>
    <w:p w14:paraId="746D204F" w14:textId="77777777" w:rsidR="00050B7E" w:rsidRDefault="00050B7E" w:rsidP="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14:paraId="38A8DA08" w14:textId="08D9CA30" w:rsidR="00050B7E" w:rsidRPr="00050B7E" w:rsidRDefault="00050B7E" w:rsidP="00C851B9">
      <w:pPr>
        <w:adjustRightInd w:val="0"/>
        <w:snapToGrid w:val="0"/>
        <w:spacing w:line="360" w:lineRule="auto"/>
        <w:ind w:firstLineChars="200" w:firstLine="480"/>
        <w:rPr>
          <w:rFonts w:ascii="宋体" w:hAnsi="宋体"/>
          <w:sz w:val="24"/>
        </w:rPr>
      </w:pPr>
      <w:r>
        <w:rPr>
          <w:rFonts w:ascii="宋体" w:hAnsi="宋体"/>
          <w:sz w:val="24"/>
        </w:rPr>
        <w:t>网址：www.cmbchina.com</w:t>
      </w:r>
    </w:p>
    <w:p w14:paraId="0B085B6A" w14:textId="6F22A6D3" w:rsidR="00022A58" w:rsidRPr="00187921" w:rsidRDefault="00527CD0" w:rsidP="00D15528">
      <w:pPr>
        <w:adjustRightInd w:val="0"/>
        <w:snapToGrid w:val="0"/>
        <w:spacing w:line="360" w:lineRule="auto"/>
        <w:ind w:firstLineChars="200" w:firstLine="480"/>
        <w:rPr>
          <w:rFonts w:hAnsi="宋体"/>
          <w:kern w:val="0"/>
          <w:sz w:val="24"/>
        </w:rPr>
      </w:pPr>
      <w:r>
        <w:rPr>
          <w:rFonts w:ascii="宋体" w:hAnsi="宋体" w:hint="eastAsia"/>
          <w:sz w:val="24"/>
        </w:rPr>
        <w:t>基金管理人可根据有关法律法规的要求，选择其它符合要求的机构销售本基金，</w:t>
      </w:r>
      <w:r>
        <w:rPr>
          <w:rFonts w:ascii="宋体" w:hAnsi="宋体" w:hint="eastAsia"/>
          <w:sz w:val="24"/>
        </w:rPr>
        <w:lastRenderedPageBreak/>
        <w:t>并在基金管理人网站公示。</w:t>
      </w:r>
    </w:p>
    <w:p w14:paraId="59F1A54D" w14:textId="68EB112B" w:rsidR="00D87CF5" w:rsidRDefault="00CA69EB" w:rsidP="00C851B9">
      <w:pPr>
        <w:adjustRightInd w:val="0"/>
        <w:snapToGrid w:val="0"/>
        <w:spacing w:line="360" w:lineRule="auto"/>
        <w:ind w:firstLineChars="200" w:firstLine="480"/>
        <w:rPr>
          <w:rFonts w:ascii="宋体" w:hAnsi="宋体"/>
          <w:szCs w:val="24"/>
        </w:rPr>
      </w:pPr>
      <w:r>
        <w:rPr>
          <w:rFonts w:ascii="宋体" w:hAnsi="宋体"/>
          <w:sz w:val="24"/>
        </w:rPr>
        <w:t>（二）登记机构</w:t>
      </w:r>
    </w:p>
    <w:p w14:paraId="265F507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319EC8B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3387B6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办公地址：上海浦东新区世纪大道8号国金中心二期21-22楼</w:t>
      </w:r>
    </w:p>
    <w:p w14:paraId="787237E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50D7711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电话：（021）61055097</w:t>
      </w:r>
    </w:p>
    <w:p w14:paraId="741B11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传真：（021）61055064</w:t>
      </w:r>
    </w:p>
    <w:p w14:paraId="4D6AA77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联系人：单江</w:t>
      </w:r>
    </w:p>
    <w:p w14:paraId="2A1EDB2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14:paraId="7CCAC20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09829CB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72C2592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14:paraId="24E38DC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48C3E0E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1D97687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54905F3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14:paraId="41A0EE8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14:paraId="55ECC548" w14:textId="77777777" w:rsidR="009D54E1" w:rsidRDefault="009D54E1" w:rsidP="009D54E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14:paraId="7759331E"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名称：普华永道中天会计师事务所（特殊普通合伙）</w:t>
      </w:r>
    </w:p>
    <w:p w14:paraId="340B0F8B"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住所：中国(上海)自由贸易试验区陆家嘴环路1318号星展银行大厦507单元01室</w:t>
      </w:r>
    </w:p>
    <w:p w14:paraId="276014E6"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办公地址：中国上海市浦东新区东育路588号前滩中心42楼</w:t>
      </w:r>
    </w:p>
    <w:p w14:paraId="2C0E8762"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执行事务合伙人：李丹</w:t>
      </w:r>
    </w:p>
    <w:p w14:paraId="446C8D8C"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电话：（021）23238888</w:t>
      </w:r>
    </w:p>
    <w:p w14:paraId="137F10A0"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传真：（021）23238800</w:t>
      </w:r>
    </w:p>
    <w:p w14:paraId="0CAD78A9"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联系人：金诗涛</w:t>
      </w:r>
    </w:p>
    <w:p w14:paraId="3F611E15" w14:textId="610D67CA" w:rsidR="00D87CF5" w:rsidRDefault="009D54E1">
      <w:pPr>
        <w:autoSpaceDE w:val="0"/>
        <w:autoSpaceDN w:val="0"/>
        <w:adjustRightInd w:val="0"/>
        <w:snapToGrid w:val="0"/>
        <w:spacing w:line="360" w:lineRule="auto"/>
        <w:ind w:firstLineChars="200" w:firstLine="480"/>
        <w:jc w:val="left"/>
        <w:rPr>
          <w:rFonts w:ascii="宋体" w:hAnsi="宋体"/>
          <w:szCs w:val="24"/>
        </w:rPr>
      </w:pPr>
      <w:r w:rsidRPr="00BA7C49">
        <w:rPr>
          <w:rFonts w:ascii="宋体" w:hAnsi="宋体" w:hint="eastAsia"/>
          <w:sz w:val="24"/>
        </w:rPr>
        <w:t>经办注册会计师：童咏静、金诗涛</w:t>
      </w:r>
    </w:p>
    <w:p w14:paraId="0BCBE5C5" w14:textId="77777777"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283A7DC0"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6F6F7A7" w14:textId="77777777" w:rsidR="00D87CF5" w:rsidRDefault="00CA69EB">
      <w:pPr>
        <w:pStyle w:val="1"/>
        <w:snapToGrid w:val="0"/>
        <w:spacing w:beforeLines="0" w:before="240" w:after="240"/>
        <w:rPr>
          <w:rFonts w:ascii="宋体" w:hAnsi="宋体"/>
          <w:szCs w:val="30"/>
        </w:rPr>
      </w:pPr>
      <w:bookmarkStart w:id="11" w:name="_Toc104564189"/>
      <w:r>
        <w:rPr>
          <w:rFonts w:ascii="Times New Roman" w:hAnsi="Times New Roman"/>
          <w:sz w:val="30"/>
        </w:rPr>
        <w:lastRenderedPageBreak/>
        <w:t>六、基金的募集</w:t>
      </w:r>
      <w:bookmarkEnd w:id="11"/>
    </w:p>
    <w:p w14:paraId="10A14B25" w14:textId="62098729"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本基金由基金管理人依照《基金法》、《运作办法》、《销售办法》、基金合同及其他有关规定，并经中国证监</w:t>
      </w:r>
      <w:r w:rsidRPr="003073D4">
        <w:rPr>
          <w:rFonts w:ascii="Times New Roman" w:hAnsi="Times New Roman" w:hint="eastAsia"/>
          <w:kern w:val="0"/>
          <w:sz w:val="24"/>
        </w:rPr>
        <w:t>会</w:t>
      </w:r>
      <w:r w:rsidR="00F53A82" w:rsidRPr="003073D4">
        <w:rPr>
          <w:rFonts w:ascii="Times New Roman" w:hAnsi="Times New Roman"/>
          <w:kern w:val="0"/>
          <w:sz w:val="24"/>
        </w:rPr>
        <w:t>20</w:t>
      </w:r>
      <w:r w:rsidR="00F53A82">
        <w:rPr>
          <w:rFonts w:ascii="Times New Roman" w:hAnsi="Times New Roman"/>
          <w:kern w:val="0"/>
          <w:sz w:val="24"/>
        </w:rPr>
        <w:t>22</w:t>
      </w:r>
      <w:r w:rsidRPr="003073D4">
        <w:rPr>
          <w:rFonts w:ascii="Times New Roman" w:hAnsi="Times New Roman" w:hint="eastAsia"/>
          <w:kern w:val="0"/>
          <w:sz w:val="24"/>
        </w:rPr>
        <w:t>年</w:t>
      </w:r>
      <w:r w:rsidR="00F53A82">
        <w:rPr>
          <w:rFonts w:ascii="Times New Roman" w:hAnsi="Times New Roman"/>
          <w:kern w:val="0"/>
          <w:sz w:val="24"/>
        </w:rPr>
        <w:t>8</w:t>
      </w:r>
      <w:r w:rsidRPr="003073D4">
        <w:rPr>
          <w:rFonts w:ascii="Times New Roman" w:hAnsi="Times New Roman" w:hint="eastAsia"/>
          <w:kern w:val="0"/>
          <w:sz w:val="24"/>
        </w:rPr>
        <w:t>月</w:t>
      </w:r>
      <w:r w:rsidR="00F53A82">
        <w:rPr>
          <w:rFonts w:ascii="Times New Roman" w:hAnsi="Times New Roman"/>
          <w:kern w:val="0"/>
          <w:sz w:val="24"/>
        </w:rPr>
        <w:t>18</w:t>
      </w:r>
      <w:r w:rsidRPr="003073D4">
        <w:rPr>
          <w:rFonts w:ascii="Times New Roman" w:hAnsi="Times New Roman" w:hint="eastAsia"/>
          <w:kern w:val="0"/>
          <w:sz w:val="24"/>
        </w:rPr>
        <w:t>日证监许可【</w:t>
      </w:r>
      <w:r w:rsidR="00F53A82" w:rsidRPr="003073D4">
        <w:rPr>
          <w:rFonts w:ascii="Times New Roman" w:hAnsi="Times New Roman"/>
          <w:kern w:val="0"/>
          <w:sz w:val="24"/>
        </w:rPr>
        <w:t>20</w:t>
      </w:r>
      <w:r w:rsidR="00F53A82">
        <w:rPr>
          <w:rFonts w:ascii="Times New Roman" w:hAnsi="Times New Roman"/>
          <w:kern w:val="0"/>
          <w:sz w:val="24"/>
        </w:rPr>
        <w:t>22</w:t>
      </w:r>
      <w:r w:rsidRPr="003073D4">
        <w:rPr>
          <w:rFonts w:ascii="Times New Roman" w:hAnsi="Times New Roman" w:hint="eastAsia"/>
          <w:kern w:val="0"/>
          <w:sz w:val="24"/>
        </w:rPr>
        <w:t>】</w:t>
      </w:r>
      <w:r w:rsidR="00F53A82">
        <w:rPr>
          <w:rFonts w:ascii="Times New Roman" w:hAnsi="Times New Roman"/>
          <w:kern w:val="0"/>
          <w:sz w:val="24"/>
        </w:rPr>
        <w:t>1914</w:t>
      </w:r>
      <w:r w:rsidRPr="003073D4">
        <w:rPr>
          <w:rFonts w:ascii="Times New Roman" w:hAnsi="Times New Roman" w:hint="eastAsia"/>
          <w:kern w:val="0"/>
          <w:sz w:val="24"/>
        </w:rPr>
        <w:t>号文准予募</w:t>
      </w:r>
      <w:r w:rsidRPr="003073D4">
        <w:rPr>
          <w:rFonts w:ascii="Times New Roman" w:hAnsi="Times New Roman" w:hint="eastAsia"/>
          <w:color w:val="000000"/>
          <w:kern w:val="0"/>
          <w:sz w:val="24"/>
        </w:rPr>
        <w:t>集注册。</w:t>
      </w:r>
    </w:p>
    <w:p w14:paraId="6A890CA2" w14:textId="3B4BC4B9" w:rsidR="00A835B0" w:rsidRDefault="00673D67" w:rsidP="00A835B0">
      <w:pPr>
        <w:spacing w:line="360" w:lineRule="auto"/>
        <w:ind w:firstLineChars="200" w:firstLine="480"/>
        <w:rPr>
          <w:rFonts w:ascii="宋体" w:hAnsi="宋体"/>
          <w:sz w:val="24"/>
        </w:rPr>
      </w:pPr>
      <w:r>
        <w:rPr>
          <w:rFonts w:ascii="宋体" w:hAnsi="宋体"/>
          <w:sz w:val="24"/>
        </w:rPr>
        <w:t>本基金为契约型开放式债券型证券投资基金。</w:t>
      </w:r>
      <w:r w:rsidR="00A835B0">
        <w:rPr>
          <w:rFonts w:ascii="宋体" w:hAnsi="宋体"/>
          <w:sz w:val="24"/>
        </w:rPr>
        <w:t>基金存续期间为不定期。</w:t>
      </w:r>
    </w:p>
    <w:p w14:paraId="3227F10D" w14:textId="4AF13279" w:rsidR="00673D67" w:rsidRDefault="00673D67" w:rsidP="00D06281">
      <w:pPr>
        <w:adjustRightInd w:val="0"/>
        <w:snapToGrid w:val="0"/>
        <w:spacing w:line="360" w:lineRule="auto"/>
        <w:ind w:firstLineChars="200" w:firstLine="480"/>
        <w:rPr>
          <w:rFonts w:ascii="宋体" w:hAnsi="宋体"/>
          <w:szCs w:val="24"/>
        </w:rPr>
      </w:pPr>
      <w:r>
        <w:rPr>
          <w:rFonts w:ascii="宋体" w:hAnsi="宋体"/>
          <w:sz w:val="24"/>
        </w:rPr>
        <w:t>本基金募集期间基金份额净值为人民币1.00元，按初始面值发售。</w:t>
      </w:r>
    </w:p>
    <w:p w14:paraId="481F879B" w14:textId="0F8801A1" w:rsidR="00673D67" w:rsidRPr="003073D4" w:rsidRDefault="00673D67" w:rsidP="00673D67">
      <w:pPr>
        <w:widowControl/>
        <w:adjustRightInd w:val="0"/>
        <w:snapToGrid w:val="0"/>
        <w:spacing w:line="360" w:lineRule="auto"/>
        <w:ind w:firstLineChars="200" w:firstLine="480"/>
        <w:rPr>
          <w:rFonts w:ascii="Times New Roman" w:hAnsi="Times New Roman"/>
          <w:kern w:val="0"/>
          <w:sz w:val="24"/>
        </w:rPr>
      </w:pPr>
      <w:r>
        <w:rPr>
          <w:rFonts w:ascii="宋体" w:hAnsi="宋体"/>
          <w:sz w:val="24"/>
        </w:rPr>
        <w:t>本基金于</w:t>
      </w:r>
      <w:r w:rsidRPr="00673D67">
        <w:rPr>
          <w:rFonts w:ascii="宋体" w:hAnsi="宋体" w:hint="eastAsia"/>
          <w:sz w:val="24"/>
        </w:rPr>
        <w:t>2022年11月14日至2022年11月22日</w:t>
      </w:r>
      <w:r>
        <w:rPr>
          <w:rFonts w:ascii="宋体" w:hAnsi="宋体"/>
          <w:sz w:val="24"/>
        </w:rPr>
        <w:t>进行发售，本基金设立募集期共募集</w:t>
      </w:r>
      <w:r w:rsidRPr="00673D67">
        <w:rPr>
          <w:rFonts w:ascii="宋体" w:hAnsi="宋体"/>
          <w:sz w:val="24"/>
        </w:rPr>
        <w:t>369,214,050.28</w:t>
      </w:r>
      <w:r>
        <w:rPr>
          <w:rFonts w:ascii="宋体" w:hAnsi="宋体"/>
          <w:sz w:val="24"/>
        </w:rPr>
        <w:t>份基金份额，有效认购户数为</w:t>
      </w:r>
      <w:r w:rsidRPr="00673D67">
        <w:rPr>
          <w:rFonts w:ascii="宋体" w:hAnsi="宋体"/>
          <w:sz w:val="24"/>
        </w:rPr>
        <w:t>917</w:t>
      </w:r>
      <w:r>
        <w:rPr>
          <w:rFonts w:ascii="宋体" w:hAnsi="宋体"/>
          <w:sz w:val="24"/>
        </w:rPr>
        <w:t>户。</w:t>
      </w:r>
    </w:p>
    <w:p w14:paraId="1991A95E" w14:textId="58C24634"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041B3DFD"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425C749" w14:textId="77777777" w:rsidR="00D87CF5" w:rsidRDefault="00CA69EB">
      <w:pPr>
        <w:pStyle w:val="1"/>
        <w:snapToGrid w:val="0"/>
        <w:spacing w:beforeLines="0" w:before="240" w:after="240"/>
        <w:rPr>
          <w:rFonts w:ascii="宋体" w:hAnsi="宋体"/>
          <w:szCs w:val="30"/>
        </w:rPr>
      </w:pPr>
      <w:bookmarkStart w:id="12" w:name="_Toc104564190"/>
      <w:r>
        <w:rPr>
          <w:rFonts w:ascii="Times New Roman" w:hAnsi="Times New Roman"/>
          <w:sz w:val="30"/>
        </w:rPr>
        <w:lastRenderedPageBreak/>
        <w:t>七、基金合同的生效</w:t>
      </w:r>
      <w:bookmarkEnd w:id="12"/>
    </w:p>
    <w:p w14:paraId="75457E52" w14:textId="6FCAE536" w:rsidR="00673D67" w:rsidRPr="00673D67" w:rsidRDefault="00673D67" w:rsidP="00DC3206">
      <w:pPr>
        <w:adjustRightInd w:val="0"/>
        <w:snapToGrid w:val="0"/>
        <w:spacing w:line="360" w:lineRule="auto"/>
        <w:ind w:firstLineChars="200" w:firstLine="480"/>
        <w:rPr>
          <w:rFonts w:ascii="Times New Roman" w:hAnsi="Times New Roman"/>
          <w:bCs/>
          <w:color w:val="000000"/>
          <w:sz w:val="24"/>
          <w:szCs w:val="21"/>
        </w:rPr>
      </w:pPr>
      <w:r w:rsidRPr="00673D67">
        <w:rPr>
          <w:rFonts w:hint="eastAsia"/>
          <w:bCs/>
          <w:color w:val="000000"/>
          <w:sz w:val="24"/>
          <w:szCs w:val="21"/>
        </w:rPr>
        <w:t>根据有关规定，本基金满足基金合同生效条件，基金合同已于</w:t>
      </w:r>
      <w:r w:rsidR="003E678B" w:rsidRPr="003E678B">
        <w:rPr>
          <w:rFonts w:ascii="Times New Roman" w:hAnsi="Times New Roman"/>
          <w:bCs/>
          <w:color w:val="000000"/>
          <w:sz w:val="24"/>
          <w:szCs w:val="21"/>
        </w:rPr>
        <w:t>202</w:t>
      </w:r>
      <w:r w:rsidR="00645337">
        <w:rPr>
          <w:rFonts w:ascii="Times New Roman" w:hAnsi="Times New Roman"/>
          <w:bCs/>
          <w:color w:val="000000"/>
          <w:sz w:val="24"/>
          <w:szCs w:val="21"/>
        </w:rPr>
        <w:t>2</w:t>
      </w:r>
      <w:r w:rsidR="003E678B" w:rsidRPr="003E678B">
        <w:rPr>
          <w:rFonts w:ascii="Times New Roman" w:hAnsi="Times New Roman" w:hint="eastAsia"/>
          <w:bCs/>
          <w:color w:val="000000"/>
          <w:sz w:val="24"/>
          <w:szCs w:val="21"/>
        </w:rPr>
        <w:t>年</w:t>
      </w:r>
      <w:r w:rsidR="00645337">
        <w:rPr>
          <w:rFonts w:ascii="Times New Roman" w:hAnsi="Times New Roman"/>
          <w:bCs/>
          <w:color w:val="000000"/>
          <w:sz w:val="24"/>
          <w:szCs w:val="21"/>
        </w:rPr>
        <w:t>11</w:t>
      </w:r>
      <w:r w:rsidR="003E678B" w:rsidRPr="003E678B">
        <w:rPr>
          <w:rFonts w:ascii="Times New Roman" w:hAnsi="Times New Roman" w:hint="eastAsia"/>
          <w:bCs/>
          <w:color w:val="000000"/>
          <w:sz w:val="24"/>
          <w:szCs w:val="21"/>
        </w:rPr>
        <w:t>月</w:t>
      </w:r>
      <w:r w:rsidR="00645337">
        <w:rPr>
          <w:rFonts w:ascii="Times New Roman" w:hAnsi="Times New Roman"/>
          <w:bCs/>
          <w:color w:val="000000"/>
          <w:sz w:val="24"/>
          <w:szCs w:val="21"/>
        </w:rPr>
        <w:t>24</w:t>
      </w:r>
      <w:r w:rsidR="003E678B" w:rsidRPr="003E678B">
        <w:rPr>
          <w:rFonts w:ascii="Times New Roman" w:hAnsi="Times New Roman" w:hint="eastAsia"/>
          <w:bCs/>
          <w:color w:val="000000"/>
          <w:sz w:val="24"/>
          <w:szCs w:val="21"/>
        </w:rPr>
        <w:t>日</w:t>
      </w:r>
      <w:r w:rsidRPr="00673D67">
        <w:rPr>
          <w:rFonts w:ascii="Times New Roman" w:hAnsi="Times New Roman"/>
          <w:bCs/>
          <w:color w:val="000000"/>
          <w:sz w:val="24"/>
          <w:szCs w:val="21"/>
        </w:rPr>
        <w:t>正式生效。自基金合同生效之日起，本基金管理人正式开始管理本基金。</w:t>
      </w:r>
    </w:p>
    <w:p w14:paraId="022FCD89" w14:textId="76B76909" w:rsidR="00DC3206" w:rsidRPr="0093061A" w:rsidRDefault="00DC3206" w:rsidP="00DC3206">
      <w:pPr>
        <w:adjustRightInd w:val="0"/>
        <w:snapToGrid w:val="0"/>
        <w:spacing w:line="360" w:lineRule="auto"/>
        <w:ind w:firstLineChars="200" w:firstLine="480"/>
        <w:rPr>
          <w:bCs/>
          <w:color w:val="000000"/>
          <w:sz w:val="24"/>
          <w:szCs w:val="21"/>
        </w:rPr>
      </w:pPr>
      <w:r w:rsidRPr="00673D67">
        <w:rPr>
          <w:rFonts w:ascii="Times New Roman" w:hAnsi="Times New Roman"/>
          <w:bCs/>
          <w:color w:val="000000"/>
          <w:sz w:val="24"/>
          <w:szCs w:val="21"/>
        </w:rPr>
        <w:t>《基金合同》生效后，连续</w:t>
      </w:r>
      <w:r w:rsidRPr="00673D67">
        <w:rPr>
          <w:rFonts w:ascii="Times New Roman" w:hAnsi="Times New Roman"/>
          <w:bCs/>
          <w:color w:val="000000"/>
          <w:sz w:val="24"/>
          <w:szCs w:val="21"/>
        </w:rPr>
        <w:t>20</w:t>
      </w:r>
      <w:r w:rsidRPr="00673D67">
        <w:rPr>
          <w:rFonts w:ascii="Times New Roman" w:hAnsi="Times New Roman"/>
          <w:bCs/>
          <w:color w:val="000000"/>
          <w:sz w:val="24"/>
          <w:szCs w:val="21"/>
        </w:rPr>
        <w:t>个工作日出现基金份额持有人数量不满</w:t>
      </w:r>
      <w:r w:rsidRPr="00673D67">
        <w:rPr>
          <w:rFonts w:ascii="Times New Roman" w:hAnsi="Times New Roman"/>
          <w:bCs/>
          <w:color w:val="000000"/>
          <w:sz w:val="24"/>
          <w:szCs w:val="21"/>
        </w:rPr>
        <w:t>200</w:t>
      </w:r>
      <w:r w:rsidRPr="00673D67">
        <w:rPr>
          <w:rFonts w:ascii="Times New Roman" w:hAnsi="Times New Roman"/>
          <w:bCs/>
          <w:color w:val="000000"/>
          <w:sz w:val="24"/>
          <w:szCs w:val="21"/>
        </w:rPr>
        <w:t>人或者基金资产净值低于</w:t>
      </w:r>
      <w:r w:rsidRPr="00673D67">
        <w:rPr>
          <w:rFonts w:ascii="Times New Roman" w:hAnsi="Times New Roman"/>
          <w:bCs/>
          <w:color w:val="000000"/>
          <w:sz w:val="24"/>
          <w:szCs w:val="21"/>
        </w:rPr>
        <w:t>5000</w:t>
      </w:r>
      <w:r w:rsidRPr="00673D67">
        <w:rPr>
          <w:rFonts w:ascii="Times New Roman" w:hAnsi="Times New Roman"/>
          <w:bCs/>
          <w:color w:val="000000"/>
          <w:sz w:val="24"/>
          <w:szCs w:val="21"/>
        </w:rPr>
        <w:t>万元情形的，基金管理人应当在定期报告中予以披露；连续</w:t>
      </w:r>
      <w:r w:rsidRPr="00673D67">
        <w:rPr>
          <w:rFonts w:ascii="Times New Roman" w:hAnsi="Times New Roman"/>
          <w:bCs/>
          <w:color w:val="000000"/>
          <w:sz w:val="24"/>
          <w:szCs w:val="21"/>
        </w:rPr>
        <w:t>50</w:t>
      </w:r>
      <w:r w:rsidRPr="0093061A">
        <w:rPr>
          <w:rFonts w:hint="eastAsia"/>
          <w:bCs/>
          <w:color w:val="000000"/>
          <w:sz w:val="24"/>
          <w:szCs w:val="21"/>
        </w:rPr>
        <w:t>个工作日出现前述情形的，</w:t>
      </w:r>
      <w:r>
        <w:rPr>
          <w:rFonts w:hint="eastAsia"/>
          <w:bCs/>
          <w:color w:val="000000"/>
          <w:sz w:val="24"/>
          <w:szCs w:val="21"/>
        </w:rPr>
        <w:t>基金合同终止</w:t>
      </w:r>
      <w:r w:rsidRPr="0093061A">
        <w:rPr>
          <w:rFonts w:hint="eastAsia"/>
          <w:bCs/>
          <w:color w:val="000000"/>
          <w:sz w:val="24"/>
          <w:szCs w:val="21"/>
        </w:rPr>
        <w:t>，不需召开基金份额持有人大会。</w:t>
      </w:r>
    </w:p>
    <w:p w14:paraId="476EB47C" w14:textId="685658A5" w:rsidR="00D87CF5" w:rsidRDefault="00DC3206">
      <w:pPr>
        <w:autoSpaceDE w:val="0"/>
        <w:autoSpaceDN w:val="0"/>
        <w:adjustRightInd w:val="0"/>
        <w:snapToGrid w:val="0"/>
        <w:spacing w:line="360" w:lineRule="auto"/>
        <w:ind w:firstLineChars="200" w:firstLine="480"/>
        <w:jc w:val="left"/>
        <w:rPr>
          <w:rFonts w:ascii="宋体" w:hAnsi="宋体"/>
          <w:szCs w:val="24"/>
        </w:rPr>
      </w:pPr>
      <w:r w:rsidRPr="0093061A">
        <w:rPr>
          <w:rFonts w:hint="eastAsia"/>
          <w:bCs/>
          <w:color w:val="000000"/>
          <w:sz w:val="24"/>
          <w:szCs w:val="21"/>
        </w:rPr>
        <w:t>法律法规或中国证监会另有规定时，从其规定。</w:t>
      </w:r>
    </w:p>
    <w:p w14:paraId="7D0EC492"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A9818D7" w14:textId="77777777" w:rsidR="00D87CF5" w:rsidRDefault="00CA69EB">
      <w:pPr>
        <w:pStyle w:val="1"/>
        <w:snapToGrid w:val="0"/>
        <w:spacing w:beforeLines="0" w:before="240" w:after="240"/>
        <w:rPr>
          <w:rFonts w:ascii="宋体" w:hAnsi="宋体"/>
          <w:szCs w:val="30"/>
        </w:rPr>
      </w:pPr>
      <w:bookmarkStart w:id="13" w:name="_Toc104564191"/>
      <w:r>
        <w:rPr>
          <w:rFonts w:ascii="Times New Roman" w:hAnsi="Times New Roman"/>
          <w:sz w:val="30"/>
        </w:rPr>
        <w:lastRenderedPageBreak/>
        <w:t>八、基金份额的申购与赎回</w:t>
      </w:r>
      <w:bookmarkEnd w:id="13"/>
    </w:p>
    <w:p w14:paraId="77FDB70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（一）申购和赎回的场所</w:t>
      </w:r>
    </w:p>
    <w:p w14:paraId="5B64BB2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14:paraId="426D899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14:paraId="7F4409F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w:t>
      </w:r>
    </w:p>
    <w:p w14:paraId="703F5E0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4A08661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3F41C8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59BB033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7676FAF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4D86D97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49511D9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47E8292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307EAE95" w14:textId="5393B1B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个人投资者可以通过基金管理人网上直销交易平台办理开户、本基金的申购、赎回等业务，具体交易细则请参阅基金管理人网站。网上直销交易平台网址：www.fund001.com</w:t>
      </w:r>
    </w:p>
    <w:p w14:paraId="06FC4A9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2、除基金管理人之外的其他销售机构</w:t>
      </w:r>
    </w:p>
    <w:p w14:paraId="17C57E9C" w14:textId="087B981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本基金除基金管理人之外的其他销售机构参见本招募说明书“五、相关服务机构”章节或拨打</w:t>
      </w:r>
      <w:r w:rsidR="0090273D">
        <w:rPr>
          <w:rFonts w:ascii="宋体" w:hAnsi="宋体" w:hint="eastAsia"/>
          <w:sz w:val="24"/>
        </w:rPr>
        <w:t>基金管理人</w:t>
      </w:r>
      <w:r>
        <w:rPr>
          <w:rFonts w:ascii="宋体" w:hAnsi="宋体"/>
          <w:sz w:val="24"/>
        </w:rPr>
        <w:t>客户服务电话进行咨询。</w:t>
      </w:r>
    </w:p>
    <w:p w14:paraId="0E96E9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w:t>
      </w:r>
      <w:r w:rsidR="00527CD0">
        <w:rPr>
          <w:rFonts w:ascii="宋体" w:hAnsi="宋体" w:hint="eastAsia"/>
          <w:sz w:val="24"/>
        </w:rPr>
        <w:t>基金</w:t>
      </w:r>
      <w:r>
        <w:rPr>
          <w:rFonts w:ascii="宋体" w:hAnsi="宋体"/>
          <w:sz w:val="24"/>
        </w:rPr>
        <w:t>管理人网站公示。</w:t>
      </w:r>
    </w:p>
    <w:p w14:paraId="4E8EBA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若基金管理人或其指定的销售机构开通电话、传真或网上等交易方式，投资人可以通过上述方式进行申购与赎回。</w:t>
      </w:r>
    </w:p>
    <w:p w14:paraId="549D82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（二）申购和赎回的开放日及时间</w:t>
      </w:r>
    </w:p>
    <w:p w14:paraId="3994085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14:paraId="7F0FD71A" w14:textId="091266D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w:t>
      </w:r>
      <w:r w:rsidR="00BF2332">
        <w:rPr>
          <w:bCs/>
          <w:sz w:val="24"/>
        </w:rPr>
        <w:t>但</w:t>
      </w:r>
      <w:r w:rsidR="00BF2332" w:rsidRPr="00B80B43">
        <w:rPr>
          <w:rFonts w:hint="eastAsia"/>
          <w:bCs/>
          <w:sz w:val="24"/>
        </w:rPr>
        <w:t>对于每份基金份额，基金管理人仅在该基金份额的每个运作期到期日为基金份额持有人办理赎回</w:t>
      </w:r>
      <w:r w:rsidR="00BF2332">
        <w:rPr>
          <w:rFonts w:hint="eastAsia"/>
          <w:bCs/>
          <w:sz w:val="24"/>
        </w:rPr>
        <w:t>，</w:t>
      </w:r>
      <w:r>
        <w:rPr>
          <w:rFonts w:ascii="宋体" w:hAnsi="宋体"/>
          <w:sz w:val="24"/>
        </w:rPr>
        <w:t>具体办理时间为上海证券交易所、深圳证券交易所的正常交易日的交易时间，但基金管理人根据</w:t>
      </w:r>
      <w:r>
        <w:rPr>
          <w:rFonts w:ascii="宋体" w:hAnsi="宋体"/>
          <w:sz w:val="24"/>
        </w:rPr>
        <w:lastRenderedPageBreak/>
        <w:t>法律法规、中国证监会的要求或基金合同的规定公告暂停申购、赎回时除外。</w:t>
      </w:r>
    </w:p>
    <w:p w14:paraId="1DBBEBD2" w14:textId="6414C7E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基金合同生效后，若出现新的证券交易市场、证券交易所交易时间变更或其他特殊情况，基金管理人将视情况对前述开放日及开放时间进行相应的调整，但应在实施日前依照《信息披露办法》的有关规定在</w:t>
      </w:r>
      <w:r w:rsidR="00DC3206">
        <w:rPr>
          <w:rFonts w:ascii="宋体" w:hAnsi="宋体"/>
          <w:sz w:val="24"/>
        </w:rPr>
        <w:t>规定媒介</w:t>
      </w:r>
      <w:r>
        <w:rPr>
          <w:rFonts w:ascii="宋体" w:hAnsi="宋体"/>
          <w:sz w:val="24"/>
        </w:rPr>
        <w:t>上公告。</w:t>
      </w:r>
    </w:p>
    <w:p w14:paraId="4D52960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14:paraId="74517F79" w14:textId="77777777" w:rsidR="00DC3206" w:rsidRDefault="00DC3206" w:rsidP="00DC3206">
      <w:pPr>
        <w:spacing w:line="360" w:lineRule="auto"/>
        <w:ind w:firstLineChars="200" w:firstLine="480"/>
        <w:rPr>
          <w:bCs/>
          <w:sz w:val="24"/>
        </w:rPr>
      </w:pPr>
      <w:r w:rsidRPr="000671F3">
        <w:rPr>
          <w:bCs/>
          <w:sz w:val="24"/>
        </w:rPr>
        <w:t>基金管理人</w:t>
      </w:r>
      <w:r w:rsidRPr="000671F3">
        <w:rPr>
          <w:rFonts w:hint="eastAsia"/>
          <w:bCs/>
          <w:sz w:val="24"/>
        </w:rPr>
        <w:t>可</w:t>
      </w:r>
      <w:r w:rsidRPr="000671F3">
        <w:rPr>
          <w:bCs/>
          <w:sz w:val="24"/>
        </w:rPr>
        <w:t>根据实际情况依法决定本基金开始办理申购的具体日期，具体业务办理时间在申购开始公告中规定。</w:t>
      </w:r>
    </w:p>
    <w:p w14:paraId="4CE5E09E" w14:textId="77777777" w:rsidR="00BF2332" w:rsidRPr="007257ED" w:rsidRDefault="00BF2332" w:rsidP="00BF2332">
      <w:pPr>
        <w:spacing w:line="360" w:lineRule="auto"/>
        <w:ind w:firstLineChars="200" w:firstLine="480"/>
        <w:rPr>
          <w:bCs/>
          <w:sz w:val="24"/>
        </w:rPr>
      </w:pPr>
      <w:r w:rsidRPr="007257ED">
        <w:rPr>
          <w:rFonts w:hint="eastAsia"/>
          <w:bCs/>
          <w:sz w:val="24"/>
        </w:rPr>
        <w:t>对于每份基金份额，基金管理人仅在该基金份额的每个运作期到期日为基金份额持有人办理赎回。对于每份基金份额，第一个运作期指基金合同生效日（对认购份额而言，下同）或基金份额申购确认日（对申购份额而言，下同）起（即第一个运作期起始日），至基金合同生效日或基金份额申购申请日后的第</w:t>
      </w:r>
      <w:r w:rsidRPr="007257ED">
        <w:rPr>
          <w:rFonts w:hint="eastAsia"/>
          <w:bCs/>
          <w:sz w:val="24"/>
        </w:rPr>
        <w:t>30</w:t>
      </w:r>
      <w:r w:rsidRPr="007257ED">
        <w:rPr>
          <w:rFonts w:hint="eastAsia"/>
          <w:bCs/>
          <w:sz w:val="24"/>
        </w:rPr>
        <w:t>天（即第一个运作期到期日，如该日为非工作日，则顺延</w:t>
      </w:r>
      <w:r>
        <w:rPr>
          <w:bCs/>
          <w:sz w:val="24"/>
        </w:rPr>
        <w:t>至</w:t>
      </w:r>
      <w:r w:rsidRPr="007257ED">
        <w:rPr>
          <w:rFonts w:hint="eastAsia"/>
          <w:bCs/>
          <w:sz w:val="24"/>
        </w:rPr>
        <w:t>下一工作日）止。第二个运作期指第一个运作期到期日的次一日起，至基金合同生效日或基金份额申购申请日后的第</w:t>
      </w:r>
      <w:r w:rsidRPr="007257ED">
        <w:rPr>
          <w:rFonts w:hint="eastAsia"/>
          <w:bCs/>
          <w:sz w:val="24"/>
        </w:rPr>
        <w:t>60</w:t>
      </w:r>
      <w:r w:rsidRPr="007257ED">
        <w:rPr>
          <w:rFonts w:hint="eastAsia"/>
          <w:bCs/>
          <w:sz w:val="24"/>
        </w:rPr>
        <w:t>天（如该日为非工作日，则顺延至下一工作日）止。以此类推。</w:t>
      </w:r>
    </w:p>
    <w:p w14:paraId="53760FEB" w14:textId="13CDEFEA" w:rsidR="00D87CF5" w:rsidRDefault="00BF2332" w:rsidP="00BF2332">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基金管理人自基金合同生效之日后的第</w:t>
      </w:r>
      <w:r>
        <w:rPr>
          <w:bCs/>
          <w:sz w:val="24"/>
        </w:rPr>
        <w:t>30</w:t>
      </w:r>
      <w:r>
        <w:rPr>
          <w:rFonts w:hint="eastAsia"/>
          <w:bCs/>
          <w:sz w:val="24"/>
        </w:rPr>
        <w:t>天（如遇非工作日，则顺延</w:t>
      </w:r>
      <w:r>
        <w:rPr>
          <w:bCs/>
          <w:sz w:val="24"/>
        </w:rPr>
        <w:t>至</w:t>
      </w:r>
      <w:r>
        <w:rPr>
          <w:rFonts w:hint="eastAsia"/>
          <w:bCs/>
          <w:sz w:val="24"/>
        </w:rPr>
        <w:t>下一工作日）起开始办理赎回，具体业务办理时间在开放赎回业务的公告中规定。</w:t>
      </w:r>
    </w:p>
    <w:p w14:paraId="734D8601" w14:textId="340915AF"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在确定申购开始与赎回开始时间后，基金管理人应在申购、赎回开放日前依照《信息披露办法》的有关规定在</w:t>
      </w:r>
      <w:r w:rsidR="00DC3206">
        <w:rPr>
          <w:rFonts w:ascii="宋体" w:hAnsi="宋体"/>
          <w:sz w:val="24"/>
        </w:rPr>
        <w:t>规定媒介</w:t>
      </w:r>
      <w:r>
        <w:rPr>
          <w:rFonts w:ascii="宋体" w:hAnsi="宋体"/>
          <w:sz w:val="24"/>
        </w:rPr>
        <w:t>上公告申购与赎回的开始时间。</w:t>
      </w:r>
    </w:p>
    <w:p w14:paraId="001ADA3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14:paraId="213126C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（三）申购与赎回的原则</w:t>
      </w:r>
    </w:p>
    <w:p w14:paraId="75AA454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14:paraId="20300B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14:paraId="6E41D06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3、当日的申购与赎回申请可以在基金管理人规定的时间以内撤销，但申请经登记机构受理的不得撤销；</w:t>
      </w:r>
    </w:p>
    <w:p w14:paraId="6DE4CED7" w14:textId="0FCFFBE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BF2332">
        <w:rPr>
          <w:rFonts w:hint="eastAsia"/>
          <w:bCs/>
          <w:sz w:val="24"/>
        </w:rPr>
        <w:t>赎回遵循“先进先出”原则，即按照投资人认购、申购的先后次序进行顺序赎回；</w:t>
      </w:r>
    </w:p>
    <w:p w14:paraId="7DDFFC9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5、办理申购、赎回业务时，应当遵循基金份额持有人利益优先原则，确保投资者的合法权益不受损害并得到公平对待。</w:t>
      </w:r>
    </w:p>
    <w:p w14:paraId="14EB5CF8" w14:textId="5B919A5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w:t>
      </w:r>
      <w:r w:rsidR="00DC3206">
        <w:rPr>
          <w:rFonts w:ascii="宋体" w:hAnsi="宋体"/>
          <w:sz w:val="24"/>
        </w:rPr>
        <w:t>规定媒介</w:t>
      </w:r>
      <w:r>
        <w:rPr>
          <w:rFonts w:ascii="宋体" w:hAnsi="宋体"/>
          <w:sz w:val="24"/>
        </w:rPr>
        <w:t>上公告。</w:t>
      </w:r>
    </w:p>
    <w:p w14:paraId="245A5DA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w:t>
      </w:r>
      <w:bookmarkStart w:id="14" w:name="_Hlk145863771"/>
      <w:r>
        <w:rPr>
          <w:rFonts w:ascii="宋体" w:hAnsi="宋体"/>
          <w:sz w:val="24"/>
        </w:rPr>
        <w:t>申购和赎回的数额限定</w:t>
      </w:r>
      <w:bookmarkEnd w:id="14"/>
    </w:p>
    <w:p w14:paraId="39C795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14:paraId="38ADF535" w14:textId="73136530"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直销机构首次申购的最低金额为单笔</w:t>
      </w:r>
      <w:r w:rsidR="004533E3">
        <w:rPr>
          <w:rFonts w:ascii="宋体" w:hAnsi="宋体"/>
          <w:sz w:val="24"/>
        </w:rPr>
        <w:t>100</w:t>
      </w:r>
      <w:r w:rsidR="004533E3">
        <w:rPr>
          <w:rFonts w:ascii="宋体" w:hAnsi="宋体" w:hint="eastAsia"/>
          <w:sz w:val="24"/>
        </w:rPr>
        <w:t>万</w:t>
      </w:r>
      <w:r>
        <w:rPr>
          <w:rFonts w:ascii="宋体" w:hAnsi="宋体"/>
          <w:sz w:val="24"/>
        </w:rPr>
        <w:t>元，追加申购的最低金额为单笔10</w:t>
      </w:r>
      <w:r w:rsidR="004533E3">
        <w:rPr>
          <w:rFonts w:ascii="宋体" w:hAnsi="宋体" w:hint="eastAsia"/>
          <w:sz w:val="24"/>
        </w:rPr>
        <w:t>万</w:t>
      </w:r>
      <w:r>
        <w:rPr>
          <w:rFonts w:ascii="宋体" w:hAnsi="宋体"/>
          <w:sz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其他销售机构接受申购申请的最低金额为单笔1元，如果销售机构业务规则规定的最低单笔申购金额高于1元，以该销售机构的规定为准。</w:t>
      </w:r>
    </w:p>
    <w:p w14:paraId="1C240DC8" w14:textId="77777777" w:rsidR="004D04BC" w:rsidRPr="004D04BC" w:rsidRDefault="004D04BC" w:rsidP="004D04BC">
      <w:pPr>
        <w:widowControl/>
        <w:adjustRightInd w:val="0"/>
        <w:snapToGrid w:val="0"/>
        <w:spacing w:line="360" w:lineRule="auto"/>
        <w:ind w:firstLineChars="200" w:firstLine="480"/>
        <w:rPr>
          <w:rFonts w:ascii="Times New Roman" w:hAnsi="Times New Roman"/>
          <w:color w:val="000000"/>
          <w:kern w:val="0"/>
          <w:sz w:val="24"/>
        </w:rPr>
      </w:pPr>
      <w:r w:rsidRPr="004D04BC">
        <w:rPr>
          <w:rFonts w:ascii="Times New Roman" w:hAnsi="Times New Roman" w:hint="eastAsia"/>
          <w:color w:val="000000"/>
          <w:kern w:val="0"/>
          <w:sz w:val="24"/>
        </w:rPr>
        <w:t>本基金暂不向金融机构自营账户销售（基金管理人自有资金除外），如未来本基金开放向金融机构自营账户公开销售或对销售对象的范围予以进一步限定，基金管理人将另行公告。</w:t>
      </w:r>
    </w:p>
    <w:p w14:paraId="12F3A8CF" w14:textId="76B2F798" w:rsidR="004D0634" w:rsidRDefault="004D04BC">
      <w:pPr>
        <w:autoSpaceDE w:val="0"/>
        <w:autoSpaceDN w:val="0"/>
        <w:adjustRightInd w:val="0"/>
        <w:snapToGrid w:val="0"/>
        <w:spacing w:line="360" w:lineRule="auto"/>
        <w:ind w:firstLineChars="200" w:firstLine="480"/>
        <w:jc w:val="left"/>
        <w:rPr>
          <w:rFonts w:ascii="宋体" w:hAnsi="宋体"/>
          <w:szCs w:val="24"/>
        </w:rPr>
      </w:pPr>
      <w:r w:rsidRPr="004D04BC">
        <w:rPr>
          <w:rFonts w:ascii="Times New Roman" w:hAnsi="Times New Roman" w:hint="eastAsia"/>
          <w:color w:val="000000"/>
          <w:kern w:val="0"/>
          <w:sz w:val="24"/>
        </w:rPr>
        <w:t>本基金单一投资者单日申购金额不超过</w:t>
      </w:r>
      <w:r w:rsidRPr="004D04BC">
        <w:rPr>
          <w:rFonts w:ascii="Times New Roman" w:hAnsi="Times New Roman" w:hint="eastAsia"/>
          <w:color w:val="000000"/>
          <w:kern w:val="0"/>
          <w:sz w:val="24"/>
        </w:rPr>
        <w:t>1000</w:t>
      </w:r>
      <w:r w:rsidRPr="004D04BC">
        <w:rPr>
          <w:rFonts w:ascii="Times New Roman" w:hAnsi="Times New Roman" w:hint="eastAsia"/>
          <w:color w:val="000000"/>
          <w:kern w:val="0"/>
          <w:sz w:val="24"/>
        </w:rPr>
        <w:t>万元（个人投资者、公募资产管理产品、职业年金计划、企业年金计划、养老金产品和基金管理人自有资金除外）。基金管理人可以调整单一投资者单日申购金额上限，具体规定请参见更新的招募说明书或相关公告。</w:t>
      </w:r>
    </w:p>
    <w:p w14:paraId="04A4B1C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14:paraId="3D4593C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14:paraId="3143541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3、最低基金份额余额的限制</w:t>
      </w:r>
    </w:p>
    <w:p w14:paraId="22CF6AAE" w14:textId="77777777" w:rsidR="00D0725A" w:rsidRDefault="001B6974">
      <w:pPr>
        <w:autoSpaceDE w:val="0"/>
        <w:autoSpaceDN w:val="0"/>
        <w:adjustRightInd w:val="0"/>
        <w:snapToGrid w:val="0"/>
        <w:spacing w:line="360" w:lineRule="auto"/>
        <w:ind w:firstLineChars="200" w:firstLine="480"/>
        <w:jc w:val="left"/>
        <w:rPr>
          <w:rFonts w:ascii="Times New Roman" w:hAnsi="Times New Roman"/>
          <w:sz w:val="24"/>
          <w:szCs w:val="24"/>
        </w:rPr>
      </w:pPr>
      <w:r w:rsidRPr="00F9413C">
        <w:rPr>
          <w:rFonts w:ascii="Times New Roman" w:hAnsi="Times New Roman" w:hint="eastAsia"/>
          <w:sz w:val="24"/>
          <w:szCs w:val="24"/>
        </w:rPr>
        <w:t>本基金暂无最低保留余额限制。</w:t>
      </w:r>
    </w:p>
    <w:p w14:paraId="71754BC5" w14:textId="30F785A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w:t>
      </w:r>
      <w:r w:rsidR="00CB5286">
        <w:rPr>
          <w:rFonts w:ascii="宋体" w:hAnsi="宋体"/>
          <w:sz w:val="24"/>
        </w:rPr>
        <w:t>基金管理人届时发布的</w:t>
      </w:r>
      <w:r>
        <w:rPr>
          <w:rFonts w:ascii="宋体" w:hAnsi="宋体"/>
          <w:sz w:val="24"/>
        </w:rPr>
        <w:t>相关公告。</w:t>
      </w:r>
    </w:p>
    <w:p w14:paraId="3BE8CB10" w14:textId="54FA2CF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5、基金管理人可在法律法规允许的情况下，调整申购金额和赎回份额的数量限制。基金管理人必须在调整实施前依照《信息披露办法》的有关规定在</w:t>
      </w:r>
      <w:r w:rsidR="00DC3206">
        <w:rPr>
          <w:rFonts w:ascii="宋体" w:hAnsi="宋体"/>
          <w:sz w:val="24"/>
        </w:rPr>
        <w:t>规定媒介</w:t>
      </w:r>
      <w:r>
        <w:rPr>
          <w:rFonts w:ascii="宋体" w:hAnsi="宋体"/>
          <w:sz w:val="24"/>
        </w:rPr>
        <w:t>上公告。</w:t>
      </w:r>
    </w:p>
    <w:p w14:paraId="6CC3007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（五）申购和赎回的程序</w:t>
      </w:r>
    </w:p>
    <w:p w14:paraId="0FF51B3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14:paraId="4922B68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53C0F17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14:paraId="2BFC6AAD" w14:textId="65CCE10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投资人申购基金份额时，必须全额交付申购款项，若申购资金在规定时间内未全额到账则申购不成立。投资人全额交付申购款项，申购成立；登记机构确认基金份额时，申购生效。</w:t>
      </w:r>
    </w:p>
    <w:p w14:paraId="0D953FC6" w14:textId="7FE2763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递交赎回申请，赎回成立；登记机构确认赎回时，赎回生效。投资者赎回申请生效后，基金管理人将在T＋7日（包括该日）内支付赎回款项。在发生巨额赎回或基金合同载明的其他暂停赎回或延缓支付赎回款项的情形时，款项的支付办法参照基金合同有关条款处理。</w:t>
      </w:r>
    </w:p>
    <w:p w14:paraId="31BC490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w:t>
      </w:r>
      <w:r>
        <w:rPr>
          <w:rFonts w:ascii="宋体" w:hAnsi="宋体"/>
          <w:sz w:val="24"/>
        </w:rPr>
        <w:lastRenderedPageBreak/>
        <w:t>赎回申请的确认</w:t>
      </w:r>
    </w:p>
    <w:p w14:paraId="1F4956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14:paraId="5B77DEE8" w14:textId="2DDE8C5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w:t>
      </w:r>
      <w:r w:rsidR="00DC3206">
        <w:rPr>
          <w:rFonts w:ascii="宋体" w:hAnsi="宋体"/>
          <w:sz w:val="24"/>
        </w:rPr>
        <w:t>规定媒介</w:t>
      </w:r>
      <w:r>
        <w:rPr>
          <w:rFonts w:ascii="宋体" w:hAnsi="宋体"/>
          <w:sz w:val="24"/>
        </w:rPr>
        <w:lastRenderedPageBreak/>
        <w:t>上公告。</w:t>
      </w:r>
    </w:p>
    <w:p w14:paraId="20AF597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F01BE5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（六）基金的申购费和赎回费</w:t>
      </w:r>
    </w:p>
    <w:p w14:paraId="20EFC7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14:paraId="29CE0649" w14:textId="3F19673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本基金基金份额分为A类基金份额和C类基金份额。投资人申购A类基金份额在申购时支付申购费用；申购C类基金份额不支付申购费用，并从该类别基金资产中计提销售服务费。</w:t>
      </w:r>
    </w:p>
    <w:p w14:paraId="5FD3DE9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A类基金份额的申购费用由A类基金份额申购人承担，不列入基金财产，主要用于本基金的市场推广、销售、登记结算等各项费用。</w:t>
      </w:r>
    </w:p>
    <w:p w14:paraId="5E0EDF9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投资人可以多次申购本基金，申购费用按每笔申购申请单独计算。</w:t>
      </w:r>
    </w:p>
    <w:p w14:paraId="7BA42EB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本基金A类基金份额（非养老金客户）的申购费率如下：</w:t>
      </w:r>
    </w:p>
    <w:tbl>
      <w:tblPr>
        <w:tblW w:w="5000" w:type="pct"/>
        <w:tblCellMar>
          <w:left w:w="0" w:type="dxa"/>
          <w:right w:w="0" w:type="dxa"/>
        </w:tblCellMar>
        <w:tblLook w:val="0000" w:firstRow="0" w:lastRow="0" w:firstColumn="0" w:lastColumn="0" w:noHBand="0" w:noVBand="0"/>
      </w:tblPr>
      <w:tblGrid>
        <w:gridCol w:w="4325"/>
        <w:gridCol w:w="4325"/>
      </w:tblGrid>
      <w:tr w:rsidR="00D87CF5" w14:paraId="201A8A5D" w14:textId="77777777" w:rsidTr="00C851B9">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4A12FA5"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500" w:type="pct"/>
            <w:tcBorders>
              <w:top w:val="single" w:sz="4" w:space="0" w:color="auto"/>
              <w:left w:val="single" w:sz="4" w:space="0" w:color="auto"/>
              <w:bottom w:val="single" w:sz="4" w:space="0" w:color="auto"/>
              <w:right w:val="single" w:sz="4" w:space="0" w:color="auto"/>
            </w:tcBorders>
            <w:vAlign w:val="center"/>
          </w:tcPr>
          <w:p w14:paraId="16ADAEE0"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类基金份额申购费率</w:t>
            </w:r>
          </w:p>
        </w:tc>
      </w:tr>
      <w:tr w:rsidR="00D87CF5" w14:paraId="4B0ECBD5" w14:textId="77777777" w:rsidTr="00C851B9">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53AD419" w14:textId="72C48F47" w:rsidR="00D87CF5" w:rsidRDefault="00CA69EB">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sidR="00DC23CC">
              <w:rPr>
                <w:rFonts w:ascii="Times New Roman" w:hAnsi="Times New Roman"/>
                <w:color w:val="000000"/>
                <w:kern w:val="0"/>
                <w:sz w:val="25"/>
                <w:szCs w:val="24"/>
              </w:rPr>
              <w:t>0</w:t>
            </w:r>
            <w:r>
              <w:rPr>
                <w:rFonts w:ascii="Times New Roman" w:hAnsi="Times New Roman"/>
                <w:color w:val="000000"/>
                <w:kern w:val="0"/>
                <w:sz w:val="25"/>
                <w:szCs w:val="24"/>
              </w:rPr>
              <w:t>00</w:t>
            </w:r>
            <w:r>
              <w:rPr>
                <w:rFonts w:ascii="Times New Roman" w:hAnsi="Times New Roman"/>
                <w:color w:val="000000"/>
                <w:kern w:val="0"/>
                <w:sz w:val="25"/>
                <w:szCs w:val="24"/>
              </w:rPr>
              <w:t>万元以下</w:t>
            </w:r>
          </w:p>
        </w:tc>
        <w:tc>
          <w:tcPr>
            <w:tcW w:w="2500" w:type="pct"/>
            <w:tcBorders>
              <w:top w:val="single" w:sz="4" w:space="0" w:color="auto"/>
              <w:left w:val="single" w:sz="4" w:space="0" w:color="auto"/>
              <w:bottom w:val="single" w:sz="4" w:space="0" w:color="auto"/>
              <w:right w:val="single" w:sz="4" w:space="0" w:color="auto"/>
            </w:tcBorders>
            <w:vAlign w:val="center"/>
          </w:tcPr>
          <w:p w14:paraId="2CE79368" w14:textId="4C9901DE" w:rsidR="00D87CF5" w:rsidRDefault="00CA69EB" w:rsidP="00DC23CC">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r w:rsidR="00DC23CC">
              <w:rPr>
                <w:rFonts w:ascii="Times New Roman" w:hAnsi="Times New Roman"/>
                <w:color w:val="000000"/>
                <w:kern w:val="0"/>
                <w:sz w:val="25"/>
                <w:szCs w:val="24"/>
              </w:rPr>
              <w:t>2</w:t>
            </w:r>
            <w:r>
              <w:rPr>
                <w:rFonts w:ascii="Times New Roman" w:hAnsi="Times New Roman"/>
                <w:color w:val="000000"/>
                <w:kern w:val="0"/>
                <w:sz w:val="25"/>
                <w:szCs w:val="24"/>
              </w:rPr>
              <w:t>%</w:t>
            </w:r>
          </w:p>
        </w:tc>
      </w:tr>
      <w:tr w:rsidR="00D87CF5" w14:paraId="07961789" w14:textId="77777777" w:rsidTr="00C851B9">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0B25A5F" w14:textId="2D416FED" w:rsidR="00D87CF5" w:rsidRDefault="00DC23CC" w:rsidP="00406384">
            <w:pPr>
              <w:widowControl/>
              <w:snapToGrid w:val="0"/>
              <w:jc w:val="left"/>
              <w:rPr>
                <w:rFonts w:ascii="宋体" w:hAnsi="宋体"/>
                <w:color w:val="000000"/>
                <w:kern w:val="0"/>
                <w:sz w:val="25"/>
                <w:szCs w:val="24"/>
              </w:rPr>
            </w:pPr>
            <w:r>
              <w:rPr>
                <w:rFonts w:ascii="Times New Roman" w:hAnsi="Times New Roman"/>
                <w:color w:val="000000"/>
                <w:kern w:val="0"/>
                <w:sz w:val="25"/>
                <w:szCs w:val="24"/>
              </w:rPr>
              <w:t>1000</w:t>
            </w:r>
            <w:r w:rsidR="00CA69EB">
              <w:rPr>
                <w:rFonts w:ascii="Times New Roman" w:hAnsi="Times New Roman"/>
                <w:color w:val="000000"/>
                <w:kern w:val="0"/>
                <w:sz w:val="25"/>
                <w:szCs w:val="24"/>
              </w:rPr>
              <w:t>万元以上（含</w:t>
            </w:r>
            <w:r w:rsidR="00406384">
              <w:rPr>
                <w:rFonts w:ascii="Times New Roman" w:hAnsi="Times New Roman"/>
                <w:color w:val="000000"/>
                <w:kern w:val="0"/>
                <w:sz w:val="25"/>
                <w:szCs w:val="24"/>
              </w:rPr>
              <w:t>1000</w:t>
            </w:r>
            <w:r w:rsidR="00CA69EB">
              <w:rPr>
                <w:rFonts w:ascii="Times New Roman" w:hAnsi="Times New Roman"/>
                <w:color w:val="000000"/>
                <w:kern w:val="0"/>
                <w:sz w:val="25"/>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4541C7AD"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241194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持有A类基金份额的投资人因红利自动再投资而产生的A类基金份额，不收取相应的申购费用。</w:t>
      </w:r>
    </w:p>
    <w:p w14:paraId="517BA388" w14:textId="426FACB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本基金对通过基金管理人直销柜台申购A类基金份额的养老金客户实施特定申购费率。</w:t>
      </w:r>
    </w:p>
    <w:p w14:paraId="0F3D83D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w:t>
      </w:r>
    </w:p>
    <w:p w14:paraId="45F82E2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1）全国社会保障基金；</w:t>
      </w:r>
    </w:p>
    <w:p w14:paraId="5D0FF7A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2）可以投资基金的地方社会保障基金；</w:t>
      </w:r>
    </w:p>
    <w:p w14:paraId="489C4E7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3）企业年金单一计划以及集合计划；</w:t>
      </w:r>
    </w:p>
    <w:p w14:paraId="2F7BA0D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4）企业年金理事会委托的特定客户资产管理计划；</w:t>
      </w:r>
    </w:p>
    <w:p w14:paraId="34D6685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5）企业年金养老金产品。</w:t>
      </w:r>
    </w:p>
    <w:p w14:paraId="206DC4B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如将来出现经养老基金监管部门认可的新的养老基金类型，基金管理人可在招募说明书更新或发布临时公告将其纳入养老金客户范围。</w:t>
      </w:r>
    </w:p>
    <w:p w14:paraId="2E1FBA8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通过基金管理人直销柜台申购本基金A类基金</w:t>
      </w:r>
      <w:r>
        <w:rPr>
          <w:rFonts w:ascii="宋体" w:hAnsi="宋体"/>
          <w:sz w:val="24"/>
        </w:rPr>
        <w:lastRenderedPageBreak/>
        <w:t>份额的养老金客户特定申购费率如下表：</w:t>
      </w:r>
    </w:p>
    <w:tbl>
      <w:tblPr>
        <w:tblW w:w="5000" w:type="pct"/>
        <w:tblCellMar>
          <w:left w:w="0" w:type="dxa"/>
          <w:right w:w="0" w:type="dxa"/>
        </w:tblCellMar>
        <w:tblLook w:val="0000" w:firstRow="0" w:lastRow="0" w:firstColumn="0" w:lastColumn="0" w:noHBand="0" w:noVBand="0"/>
      </w:tblPr>
      <w:tblGrid>
        <w:gridCol w:w="4325"/>
        <w:gridCol w:w="4325"/>
      </w:tblGrid>
      <w:tr w:rsidR="00D87CF5" w14:paraId="4AD3A81F" w14:textId="77777777" w:rsidTr="00C851B9">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1242B88A"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申购金额（含申购费）</w:t>
            </w:r>
          </w:p>
        </w:tc>
        <w:tc>
          <w:tcPr>
            <w:tcW w:w="2500" w:type="pct"/>
            <w:tcBorders>
              <w:top w:val="single" w:sz="4" w:space="0" w:color="auto"/>
              <w:left w:val="single" w:sz="4" w:space="0" w:color="auto"/>
              <w:bottom w:val="single" w:sz="4" w:space="0" w:color="auto"/>
              <w:right w:val="single" w:sz="4" w:space="0" w:color="auto"/>
            </w:tcBorders>
            <w:vAlign w:val="center"/>
          </w:tcPr>
          <w:p w14:paraId="24AE3929"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类基金份额特定申购费率</w:t>
            </w:r>
          </w:p>
        </w:tc>
      </w:tr>
      <w:tr w:rsidR="00D87CF5" w14:paraId="257A0ED8" w14:textId="77777777" w:rsidTr="00C851B9">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4E57904" w14:textId="2D680B33" w:rsidR="00D87CF5" w:rsidRDefault="00CA69EB">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sidR="00DC23CC">
              <w:rPr>
                <w:rFonts w:ascii="Times New Roman" w:hAnsi="Times New Roman"/>
                <w:color w:val="000000"/>
                <w:kern w:val="0"/>
                <w:sz w:val="25"/>
                <w:szCs w:val="24"/>
              </w:rPr>
              <w:t>0</w:t>
            </w:r>
            <w:r>
              <w:rPr>
                <w:rFonts w:ascii="Times New Roman" w:hAnsi="Times New Roman"/>
                <w:color w:val="000000"/>
                <w:kern w:val="0"/>
                <w:sz w:val="25"/>
                <w:szCs w:val="24"/>
              </w:rPr>
              <w:t>00</w:t>
            </w:r>
            <w:r>
              <w:rPr>
                <w:rFonts w:ascii="Times New Roman" w:hAnsi="Times New Roman"/>
                <w:color w:val="000000"/>
                <w:kern w:val="0"/>
                <w:sz w:val="25"/>
                <w:szCs w:val="24"/>
              </w:rPr>
              <w:t>万元以下</w:t>
            </w:r>
          </w:p>
        </w:tc>
        <w:tc>
          <w:tcPr>
            <w:tcW w:w="2500" w:type="pct"/>
            <w:tcBorders>
              <w:top w:val="single" w:sz="4" w:space="0" w:color="auto"/>
              <w:left w:val="single" w:sz="4" w:space="0" w:color="auto"/>
              <w:bottom w:val="single" w:sz="4" w:space="0" w:color="auto"/>
              <w:right w:val="single" w:sz="4" w:space="0" w:color="auto"/>
            </w:tcBorders>
            <w:vAlign w:val="center"/>
          </w:tcPr>
          <w:p w14:paraId="62605A6E" w14:textId="5142C01A" w:rsidR="00D87CF5" w:rsidRDefault="00CA69EB" w:rsidP="00DC23CC">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r w:rsidR="00DC23CC">
              <w:rPr>
                <w:rFonts w:ascii="Times New Roman" w:hAnsi="Times New Roman"/>
                <w:color w:val="000000"/>
                <w:kern w:val="0"/>
                <w:sz w:val="25"/>
                <w:szCs w:val="24"/>
              </w:rPr>
              <w:t>08</w:t>
            </w:r>
            <w:r>
              <w:rPr>
                <w:rFonts w:ascii="Times New Roman" w:hAnsi="Times New Roman"/>
                <w:color w:val="000000"/>
                <w:kern w:val="0"/>
                <w:sz w:val="25"/>
                <w:szCs w:val="24"/>
              </w:rPr>
              <w:t>%</w:t>
            </w:r>
          </w:p>
        </w:tc>
      </w:tr>
      <w:tr w:rsidR="00D87CF5" w14:paraId="1633E9C9" w14:textId="77777777" w:rsidTr="00C851B9">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9473CBF" w14:textId="41B5A4EF" w:rsidR="00D87CF5" w:rsidRDefault="00DC23CC" w:rsidP="00406384">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r w:rsidR="00CA69EB">
              <w:rPr>
                <w:rFonts w:ascii="Times New Roman" w:hAnsi="Times New Roman"/>
                <w:color w:val="000000"/>
                <w:kern w:val="0"/>
                <w:sz w:val="25"/>
                <w:szCs w:val="24"/>
              </w:rPr>
              <w:t>00</w:t>
            </w:r>
            <w:r w:rsidR="00CA69EB">
              <w:rPr>
                <w:rFonts w:ascii="Times New Roman" w:hAnsi="Times New Roman"/>
                <w:color w:val="000000"/>
                <w:kern w:val="0"/>
                <w:sz w:val="25"/>
                <w:szCs w:val="24"/>
              </w:rPr>
              <w:t>万元以上（含</w:t>
            </w:r>
            <w:r w:rsidR="00406384">
              <w:rPr>
                <w:rFonts w:ascii="Times New Roman" w:hAnsi="Times New Roman"/>
                <w:color w:val="000000"/>
                <w:kern w:val="0"/>
                <w:sz w:val="25"/>
                <w:szCs w:val="24"/>
              </w:rPr>
              <w:t>1000</w:t>
            </w:r>
            <w:r w:rsidR="00CA69EB">
              <w:rPr>
                <w:rFonts w:ascii="Times New Roman" w:hAnsi="Times New Roman"/>
                <w:color w:val="000000"/>
                <w:kern w:val="0"/>
                <w:sz w:val="25"/>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1CF24AFF"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0C1AB6E2" w14:textId="621FBA4B"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77E6A41C" w14:textId="237D9858"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2、赎回费用</w:t>
      </w:r>
    </w:p>
    <w:p w14:paraId="244A385E" w14:textId="08D1AF0A" w:rsidR="00BF2332" w:rsidRDefault="00BF233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本基金</w:t>
      </w:r>
      <w:r w:rsidR="004D0634">
        <w:rPr>
          <w:rFonts w:ascii="宋体" w:hAnsi="宋体" w:hint="eastAsia"/>
          <w:sz w:val="24"/>
        </w:rPr>
        <w:t>对于每份基金份额</w:t>
      </w:r>
      <w:r w:rsidR="0041787F">
        <w:rPr>
          <w:rFonts w:ascii="宋体" w:hAnsi="宋体" w:hint="eastAsia"/>
          <w:sz w:val="24"/>
        </w:rPr>
        <w:t>设置3</w:t>
      </w:r>
      <w:r w:rsidR="0041787F">
        <w:rPr>
          <w:rFonts w:ascii="宋体" w:hAnsi="宋体"/>
          <w:sz w:val="24"/>
        </w:rPr>
        <w:t>0</w:t>
      </w:r>
      <w:r w:rsidR="0041787F">
        <w:rPr>
          <w:rFonts w:ascii="宋体" w:hAnsi="宋体" w:hint="eastAsia"/>
          <w:sz w:val="24"/>
        </w:rPr>
        <w:t>天的滚动运作期。每个运作期到期日，基金份额持有人可提出赎回申请。基金份额持有人在每个运作期到期日申请赎回A类基金份额和C类基金份额不收取赎回费。</w:t>
      </w:r>
    </w:p>
    <w:p w14:paraId="30E553C0" w14:textId="763AC81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w:t>
      </w:r>
      <w:r w:rsidR="00DC3206">
        <w:rPr>
          <w:rFonts w:ascii="宋体" w:hAnsi="宋体"/>
          <w:sz w:val="24"/>
        </w:rPr>
        <w:t>规定媒介</w:t>
      </w:r>
      <w:r>
        <w:rPr>
          <w:rFonts w:ascii="宋体" w:hAnsi="宋体"/>
          <w:sz w:val="24"/>
        </w:rPr>
        <w:t>上公告。</w:t>
      </w:r>
    </w:p>
    <w:p w14:paraId="44E9AF45" w14:textId="1098C79C" w:rsidR="00CB5286" w:rsidRDefault="00CB528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4</w:t>
      </w:r>
      <w:r w:rsidR="00CA69EB">
        <w:rPr>
          <w:rFonts w:ascii="宋体" w:hAnsi="宋体"/>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53F5CCE5" w14:textId="502E5E3F" w:rsidR="00D87CF5" w:rsidRDefault="00CB528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5、当本基金发生大额申购或赎回情形时，基金管理人可以采用摆动定价机制，以确保基金估值的公平性。具体处理原则与操作规范遵循相关法律法规以及监管部门、自律规则的规定。</w:t>
      </w:r>
    </w:p>
    <w:p w14:paraId="17C25D7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（七）申购和赎回的数额和价格</w:t>
      </w:r>
    </w:p>
    <w:p w14:paraId="168748E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14:paraId="5F04E7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A类基金份额或C类基金份额的有效份额为净申购金额除以当日该类基金份额的基金份额净值，有效份额单位为份，申购份额计算结果按四舍五入方法，保留到小数点后2位，由此产生的收益或损失由基金财产承担。</w:t>
      </w:r>
    </w:p>
    <w:p w14:paraId="5A308B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A类基金份额或C类基金份额的赎回金额为按实际确认的有效赎回份额乘以当日该类基金份额的基金份额净值并扣除相应的费用（如有），赎回金额单位为元。赎回金额计算结果按四舍五入方法，保留到小数点后2位，由此产生的收益或损失由基金财产承担。</w:t>
      </w:r>
    </w:p>
    <w:p w14:paraId="13600F9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14:paraId="6741BC6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（1）A类基金份额的申购</w:t>
      </w:r>
    </w:p>
    <w:p w14:paraId="5FE6E63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381A711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6970960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（注：对于适用固定金额申购费用的申购，净申购金额＝申购总金额－固定申购费用金额）</w:t>
      </w:r>
    </w:p>
    <w:p w14:paraId="1F3795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3277F9F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14:paraId="3FBCE95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w:t>
      </w:r>
      <w:r>
        <w:rPr>
          <w:rFonts w:ascii="宋体" w:hAnsi="宋体"/>
          <w:sz w:val="24"/>
        </w:rPr>
        <w:lastRenderedPageBreak/>
        <w:t>购总金额-申购费用）/T日A类基金份额净值</w:t>
      </w:r>
    </w:p>
    <w:p w14:paraId="4D51B249" w14:textId="43E7081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例四：某投资者（非养老金客户）投资100,000元申购本基金的A类基金份额，假设申购当日A类基金份额净值为1.0400元，申购费率为0.</w:t>
      </w:r>
      <w:r w:rsidR="00DC23CC">
        <w:rPr>
          <w:rFonts w:ascii="宋体" w:hAnsi="宋体"/>
          <w:sz w:val="24"/>
        </w:rPr>
        <w:t>2</w:t>
      </w:r>
      <w:r>
        <w:rPr>
          <w:rFonts w:ascii="宋体" w:hAnsi="宋体"/>
          <w:sz w:val="24"/>
        </w:rPr>
        <w:t>%，则其可得到的申购份额为：</w:t>
      </w:r>
    </w:p>
    <w:p w14:paraId="52316D0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4D300BC4" w14:textId="1D42E07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w:t>
      </w:r>
      <w:r w:rsidR="00DC23CC">
        <w:rPr>
          <w:rFonts w:ascii="宋体" w:hAnsi="宋体"/>
          <w:sz w:val="24"/>
        </w:rPr>
        <w:t>2</w:t>
      </w:r>
      <w:r>
        <w:rPr>
          <w:rFonts w:ascii="宋体" w:hAnsi="宋体"/>
          <w:sz w:val="24"/>
        </w:rPr>
        <w:t>%）=</w:t>
      </w:r>
      <w:r w:rsidR="00DC23CC" w:rsidRPr="00DC23CC">
        <w:rPr>
          <w:rFonts w:ascii="宋体" w:hAnsi="宋体"/>
          <w:sz w:val="24"/>
        </w:rPr>
        <w:t>99</w:t>
      </w:r>
      <w:r w:rsidR="00DC23CC">
        <w:rPr>
          <w:rFonts w:ascii="宋体" w:hAnsi="宋体"/>
          <w:sz w:val="24"/>
        </w:rPr>
        <w:t>,</w:t>
      </w:r>
      <w:r w:rsidR="00DC23CC" w:rsidRPr="00DC23CC">
        <w:rPr>
          <w:rFonts w:ascii="宋体" w:hAnsi="宋体"/>
          <w:sz w:val="24"/>
        </w:rPr>
        <w:t>800.40</w:t>
      </w:r>
      <w:r>
        <w:rPr>
          <w:rFonts w:ascii="宋体" w:hAnsi="宋体"/>
          <w:sz w:val="24"/>
        </w:rPr>
        <w:t>元</w:t>
      </w:r>
    </w:p>
    <w:p w14:paraId="47404BD3" w14:textId="4659B01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w:t>
      </w:r>
      <w:r w:rsidR="00DC23CC" w:rsidRPr="00DC23CC">
        <w:rPr>
          <w:rFonts w:ascii="宋体" w:hAnsi="宋体"/>
          <w:sz w:val="24"/>
        </w:rPr>
        <w:t>99</w:t>
      </w:r>
      <w:r w:rsidR="00DC23CC">
        <w:rPr>
          <w:rFonts w:ascii="宋体" w:hAnsi="宋体"/>
          <w:sz w:val="24"/>
        </w:rPr>
        <w:t>,</w:t>
      </w:r>
      <w:r w:rsidR="00DC23CC" w:rsidRPr="00DC23CC">
        <w:rPr>
          <w:rFonts w:ascii="宋体" w:hAnsi="宋体"/>
          <w:sz w:val="24"/>
        </w:rPr>
        <w:t>800.40</w:t>
      </w:r>
      <w:r>
        <w:rPr>
          <w:rFonts w:ascii="宋体" w:hAnsi="宋体"/>
          <w:sz w:val="24"/>
        </w:rPr>
        <w:t>=</w:t>
      </w:r>
      <w:r w:rsidR="00DC23CC" w:rsidRPr="00DC23CC">
        <w:rPr>
          <w:rFonts w:ascii="宋体" w:hAnsi="宋体"/>
          <w:sz w:val="24"/>
        </w:rPr>
        <w:t>199.60</w:t>
      </w:r>
      <w:r>
        <w:rPr>
          <w:rFonts w:ascii="宋体" w:hAnsi="宋体"/>
          <w:sz w:val="24"/>
        </w:rPr>
        <w:t>元</w:t>
      </w:r>
    </w:p>
    <w:p w14:paraId="08A9AD88" w14:textId="21A7EA3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w:t>
      </w:r>
      <w:r w:rsidR="009901A2" w:rsidRPr="009901A2">
        <w:rPr>
          <w:rFonts w:ascii="宋体" w:hAnsi="宋体"/>
          <w:sz w:val="24"/>
        </w:rPr>
        <w:t>199.60</w:t>
      </w:r>
      <w:r>
        <w:rPr>
          <w:rFonts w:ascii="宋体" w:hAnsi="宋体"/>
          <w:sz w:val="24"/>
        </w:rPr>
        <w:t>）/1.0400=</w:t>
      </w:r>
      <w:r w:rsidR="009901A2" w:rsidRPr="009901A2">
        <w:rPr>
          <w:rFonts w:ascii="宋体" w:hAnsi="宋体"/>
          <w:sz w:val="24"/>
        </w:rPr>
        <w:t>95</w:t>
      </w:r>
      <w:r w:rsidR="009901A2">
        <w:rPr>
          <w:rFonts w:ascii="宋体" w:hAnsi="宋体"/>
          <w:sz w:val="24"/>
        </w:rPr>
        <w:t>,</w:t>
      </w:r>
      <w:r w:rsidR="009901A2" w:rsidRPr="009901A2">
        <w:rPr>
          <w:rFonts w:ascii="宋体" w:hAnsi="宋体"/>
          <w:sz w:val="24"/>
        </w:rPr>
        <w:t>961.92</w:t>
      </w:r>
      <w:r>
        <w:rPr>
          <w:rFonts w:ascii="宋体" w:hAnsi="宋体"/>
          <w:sz w:val="24"/>
        </w:rPr>
        <w:t>份</w:t>
      </w:r>
    </w:p>
    <w:p w14:paraId="7072DFA5" w14:textId="41D15DC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即：某投资者（非养老金客户）投资100,000元申购本基金</w:t>
      </w:r>
      <w:r w:rsidR="004D0CB5">
        <w:rPr>
          <w:rFonts w:ascii="宋体" w:hAnsi="宋体"/>
          <w:sz w:val="24"/>
        </w:rPr>
        <w:t>的A类基金份额</w:t>
      </w:r>
      <w:r>
        <w:rPr>
          <w:rFonts w:ascii="宋体" w:hAnsi="宋体"/>
          <w:sz w:val="24"/>
        </w:rPr>
        <w:t>，假设申购当日A类基金份额净值为1.0400元，则其可得到</w:t>
      </w:r>
      <w:r w:rsidR="009901A2" w:rsidRPr="009901A2">
        <w:rPr>
          <w:rFonts w:ascii="宋体" w:hAnsi="宋体"/>
          <w:sz w:val="24"/>
        </w:rPr>
        <w:t>95,961.92</w:t>
      </w:r>
      <w:r>
        <w:rPr>
          <w:rFonts w:ascii="宋体" w:hAnsi="宋体"/>
          <w:sz w:val="24"/>
        </w:rPr>
        <w:t>份A类基金份额。</w:t>
      </w:r>
    </w:p>
    <w:p w14:paraId="01FAA159" w14:textId="4A1DE7F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例五：某养老金客户投资</w:t>
      </w:r>
      <w:r w:rsidR="00F01C80">
        <w:rPr>
          <w:rFonts w:ascii="宋体" w:hAnsi="宋体"/>
          <w:sz w:val="24"/>
        </w:rPr>
        <w:t>1,000,000</w:t>
      </w:r>
      <w:r>
        <w:rPr>
          <w:rFonts w:ascii="宋体" w:hAnsi="宋体"/>
          <w:sz w:val="24"/>
        </w:rPr>
        <w:t>元通过基金管理人的直销柜台申购本基金的A类基金份额，假设申购当日A类基金份额净值为1.0400元，申购费率为0.</w:t>
      </w:r>
      <w:r w:rsidR="009901A2">
        <w:rPr>
          <w:rFonts w:ascii="宋体" w:hAnsi="宋体"/>
          <w:sz w:val="24"/>
        </w:rPr>
        <w:t>08</w:t>
      </w:r>
      <w:r>
        <w:rPr>
          <w:rFonts w:ascii="宋体" w:hAnsi="宋体"/>
          <w:sz w:val="24"/>
        </w:rPr>
        <w:t>%，则其可得到的申购份额为：</w:t>
      </w:r>
    </w:p>
    <w:p w14:paraId="070C9619" w14:textId="7858963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w:t>
      </w:r>
      <w:r w:rsidR="00F01C80">
        <w:rPr>
          <w:rFonts w:ascii="宋体" w:hAnsi="宋体"/>
          <w:sz w:val="24"/>
        </w:rPr>
        <w:t>1,000,000</w:t>
      </w:r>
      <w:r>
        <w:rPr>
          <w:rFonts w:ascii="宋体" w:hAnsi="宋体"/>
          <w:sz w:val="24"/>
        </w:rPr>
        <w:t>元</w:t>
      </w:r>
    </w:p>
    <w:p w14:paraId="08E6EA7F" w14:textId="1B1D279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w:t>
      </w:r>
      <w:r w:rsidR="00F01C80">
        <w:rPr>
          <w:rFonts w:ascii="宋体" w:hAnsi="宋体"/>
          <w:sz w:val="24"/>
        </w:rPr>
        <w:t>1,000,000</w:t>
      </w:r>
      <w:r>
        <w:rPr>
          <w:rFonts w:ascii="宋体" w:hAnsi="宋体"/>
          <w:sz w:val="24"/>
        </w:rPr>
        <w:t>/（1+0.</w:t>
      </w:r>
      <w:r w:rsidR="009901A2">
        <w:rPr>
          <w:rFonts w:ascii="宋体" w:hAnsi="宋体"/>
          <w:sz w:val="24"/>
        </w:rPr>
        <w:t>08</w:t>
      </w:r>
      <w:r>
        <w:rPr>
          <w:rFonts w:ascii="宋体" w:hAnsi="宋体"/>
          <w:sz w:val="24"/>
        </w:rPr>
        <w:t>%）=</w:t>
      </w:r>
      <w:r w:rsidR="00F01C80" w:rsidRPr="009901A2">
        <w:rPr>
          <w:rFonts w:ascii="宋体" w:hAnsi="宋体"/>
          <w:sz w:val="24"/>
        </w:rPr>
        <w:t>99</w:t>
      </w:r>
      <w:r w:rsidR="00F01C80">
        <w:rPr>
          <w:rFonts w:ascii="宋体" w:hAnsi="宋体"/>
          <w:sz w:val="24"/>
        </w:rPr>
        <w:t>9,</w:t>
      </w:r>
      <w:r w:rsidR="00F01C80" w:rsidRPr="009901A2">
        <w:rPr>
          <w:rFonts w:ascii="宋体" w:hAnsi="宋体"/>
          <w:sz w:val="24"/>
        </w:rPr>
        <w:t>20</w:t>
      </w:r>
      <w:r w:rsidR="00F01C80">
        <w:rPr>
          <w:rFonts w:ascii="宋体" w:hAnsi="宋体"/>
          <w:sz w:val="24"/>
        </w:rPr>
        <w:t>0</w:t>
      </w:r>
      <w:r w:rsidR="00F01C80" w:rsidRPr="009901A2">
        <w:rPr>
          <w:rFonts w:ascii="宋体" w:hAnsi="宋体"/>
          <w:sz w:val="24"/>
        </w:rPr>
        <w:t>.6</w:t>
      </w:r>
      <w:r w:rsidR="00F01C80">
        <w:rPr>
          <w:rFonts w:ascii="宋体" w:hAnsi="宋体"/>
          <w:sz w:val="24"/>
        </w:rPr>
        <w:t>4</w:t>
      </w:r>
      <w:r>
        <w:rPr>
          <w:rFonts w:ascii="宋体" w:hAnsi="宋体"/>
          <w:sz w:val="24"/>
        </w:rPr>
        <w:t>元</w:t>
      </w:r>
    </w:p>
    <w:p w14:paraId="1DBEB118" w14:textId="5865203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w:t>
      </w:r>
      <w:r w:rsidR="00F01C80">
        <w:rPr>
          <w:rFonts w:ascii="宋体" w:hAnsi="宋体"/>
          <w:sz w:val="24"/>
        </w:rPr>
        <w:t>1,000,000</w:t>
      </w:r>
      <w:r>
        <w:rPr>
          <w:rFonts w:ascii="宋体" w:hAnsi="宋体"/>
          <w:sz w:val="24"/>
        </w:rPr>
        <w:t>-</w:t>
      </w:r>
      <w:r w:rsidR="00F01C80" w:rsidRPr="009901A2">
        <w:rPr>
          <w:rFonts w:ascii="宋体" w:hAnsi="宋体"/>
          <w:sz w:val="24"/>
        </w:rPr>
        <w:t>99</w:t>
      </w:r>
      <w:r w:rsidR="00F01C80">
        <w:rPr>
          <w:rFonts w:ascii="宋体" w:hAnsi="宋体"/>
          <w:sz w:val="24"/>
        </w:rPr>
        <w:t>9</w:t>
      </w:r>
      <w:r w:rsidR="00F01C80" w:rsidRPr="009901A2">
        <w:rPr>
          <w:rFonts w:ascii="宋体" w:hAnsi="宋体"/>
          <w:sz w:val="24"/>
        </w:rPr>
        <w:t>,20</w:t>
      </w:r>
      <w:r w:rsidR="00F01C80">
        <w:rPr>
          <w:rFonts w:ascii="宋体" w:hAnsi="宋体"/>
          <w:sz w:val="24"/>
        </w:rPr>
        <w:t>0</w:t>
      </w:r>
      <w:r w:rsidR="00F01C80" w:rsidRPr="009901A2">
        <w:rPr>
          <w:rFonts w:ascii="宋体" w:hAnsi="宋体"/>
          <w:sz w:val="24"/>
        </w:rPr>
        <w:t>.6</w:t>
      </w:r>
      <w:r w:rsidR="00F01C80">
        <w:rPr>
          <w:rFonts w:ascii="宋体" w:hAnsi="宋体"/>
          <w:sz w:val="24"/>
        </w:rPr>
        <w:t>4</w:t>
      </w:r>
      <w:r>
        <w:rPr>
          <w:rFonts w:ascii="宋体" w:hAnsi="宋体"/>
          <w:sz w:val="24"/>
        </w:rPr>
        <w:t>=</w:t>
      </w:r>
      <w:r w:rsidR="00F01C80">
        <w:rPr>
          <w:rFonts w:ascii="宋体" w:hAnsi="宋体"/>
          <w:sz w:val="24"/>
        </w:rPr>
        <w:t>799.36</w:t>
      </w:r>
      <w:r>
        <w:rPr>
          <w:rFonts w:ascii="宋体" w:hAnsi="宋体"/>
          <w:sz w:val="24"/>
        </w:rPr>
        <w:t>元</w:t>
      </w:r>
    </w:p>
    <w:p w14:paraId="379C9B52" w14:textId="063507E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r w:rsidR="00F01C80">
        <w:rPr>
          <w:rFonts w:ascii="宋体" w:hAnsi="宋体"/>
          <w:sz w:val="24"/>
        </w:rPr>
        <w:t>1,000,000</w:t>
      </w:r>
      <w:r>
        <w:rPr>
          <w:rFonts w:ascii="宋体" w:hAnsi="宋体"/>
          <w:sz w:val="24"/>
        </w:rPr>
        <w:t>-</w:t>
      </w:r>
      <w:r w:rsidR="00F01C80">
        <w:rPr>
          <w:rFonts w:ascii="宋体" w:hAnsi="宋体"/>
          <w:sz w:val="24"/>
        </w:rPr>
        <w:t>799.36</w:t>
      </w:r>
      <w:r>
        <w:rPr>
          <w:rFonts w:ascii="宋体" w:hAnsi="宋体"/>
          <w:sz w:val="24"/>
        </w:rPr>
        <w:t>）/1.0400=</w:t>
      </w:r>
      <w:r w:rsidR="00F01C80">
        <w:rPr>
          <w:rFonts w:ascii="宋体" w:hAnsi="宋体"/>
          <w:sz w:val="24"/>
        </w:rPr>
        <w:t>960,769.85</w:t>
      </w:r>
      <w:r>
        <w:rPr>
          <w:rFonts w:ascii="宋体" w:hAnsi="宋体"/>
          <w:sz w:val="24"/>
        </w:rPr>
        <w:t>份</w:t>
      </w:r>
    </w:p>
    <w:p w14:paraId="0DFF752E" w14:textId="3D45C13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w:t>
      </w:r>
      <w:r w:rsidR="00F01C80">
        <w:rPr>
          <w:rFonts w:ascii="宋体" w:hAnsi="宋体"/>
          <w:sz w:val="24"/>
        </w:rPr>
        <w:t>1,000,000</w:t>
      </w:r>
      <w:r>
        <w:rPr>
          <w:rFonts w:ascii="宋体" w:hAnsi="宋体"/>
          <w:sz w:val="24"/>
        </w:rPr>
        <w:t>元通过基金管理人的直销柜台申购本基金的A类基金份额，假设申购当日A类基金份额净值为1.0400元，则其可得到</w:t>
      </w:r>
      <w:r w:rsidR="00F01C80" w:rsidRPr="005C1FC5">
        <w:rPr>
          <w:rFonts w:ascii="宋体" w:hAnsi="宋体"/>
          <w:sz w:val="24"/>
        </w:rPr>
        <w:t>960,769.85</w:t>
      </w:r>
      <w:r>
        <w:rPr>
          <w:rFonts w:ascii="宋体" w:hAnsi="宋体"/>
          <w:sz w:val="24"/>
        </w:rPr>
        <w:t>份A类基金份额。</w:t>
      </w:r>
    </w:p>
    <w:p w14:paraId="1C3F17C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（2）C类基金份额的申购</w:t>
      </w:r>
    </w:p>
    <w:p w14:paraId="3B7F7A9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如果投资者选择申购C类基金份额，则</w:t>
      </w:r>
      <w:r>
        <w:rPr>
          <w:rFonts w:ascii="宋体" w:hAnsi="宋体"/>
          <w:sz w:val="24"/>
        </w:rPr>
        <w:lastRenderedPageBreak/>
        <w:t>申购份额的计算方法如下：</w:t>
      </w:r>
    </w:p>
    <w:p w14:paraId="248DE7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72FC45A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申购份额=申购总金额/T日C类基金份额净值</w:t>
      </w:r>
    </w:p>
    <w:p w14:paraId="530A32E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例六：某投资者投资100,000元申购本基金的C类基金份额，假设申购当日C类基金份额净值为1.0400元，则其可得到的申购份额为：</w:t>
      </w:r>
    </w:p>
    <w:p w14:paraId="494E8F3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申购份额＝100,000/1.0400＝96,153.85份</w:t>
      </w:r>
    </w:p>
    <w:p w14:paraId="65D93AF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即：投资者投资100,000元申购本基金的C类基金份额，假设申购当日C类基金份额净值为1.0400元，则其可得到96,153.85份C类基金份额。</w:t>
      </w:r>
    </w:p>
    <w:p w14:paraId="59B938C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14:paraId="27A3DCEB" w14:textId="46D250F3" w:rsidR="005C022E" w:rsidRPr="004B75F0" w:rsidRDefault="005C022E" w:rsidP="005C022E">
      <w:pPr>
        <w:widowControl/>
        <w:adjustRightInd w:val="0"/>
        <w:snapToGrid w:val="0"/>
        <w:spacing w:line="360" w:lineRule="auto"/>
        <w:ind w:firstLineChars="200" w:firstLine="480"/>
        <w:rPr>
          <w:rFonts w:ascii="Times New Roman" w:hAnsi="Times New Roman"/>
          <w:kern w:val="0"/>
          <w:sz w:val="24"/>
          <w:szCs w:val="24"/>
        </w:rPr>
      </w:pPr>
      <w:r w:rsidRPr="004B75F0">
        <w:rPr>
          <w:rFonts w:ascii="Times New Roman" w:hAnsi="Times New Roman" w:hint="eastAsia"/>
          <w:kern w:val="0"/>
          <w:sz w:val="24"/>
          <w:szCs w:val="24"/>
        </w:rPr>
        <w:t>赎回金额</w:t>
      </w:r>
      <w:r w:rsidRPr="004B75F0">
        <w:rPr>
          <w:rFonts w:ascii="Times New Roman" w:hAnsi="Times New Roman"/>
          <w:kern w:val="0"/>
          <w:sz w:val="24"/>
          <w:szCs w:val="24"/>
        </w:rPr>
        <w:t>=</w:t>
      </w:r>
      <w:r w:rsidRPr="004B75F0">
        <w:rPr>
          <w:rFonts w:ascii="Times New Roman" w:hAnsi="Times New Roman" w:hint="eastAsia"/>
          <w:kern w:val="0"/>
          <w:sz w:val="24"/>
          <w:szCs w:val="24"/>
        </w:rPr>
        <w:t>赎回份额×</w:t>
      </w:r>
      <w:r w:rsidRPr="009B69FE">
        <w:rPr>
          <w:rFonts w:ascii="Times New Roman" w:hAnsi="Times New Roman"/>
          <w:kern w:val="0"/>
          <w:sz w:val="24"/>
          <w:szCs w:val="24"/>
        </w:rPr>
        <w:t>T</w:t>
      </w:r>
      <w:r w:rsidRPr="004B75F0">
        <w:rPr>
          <w:rFonts w:ascii="Times New Roman" w:hAnsi="Times New Roman" w:hint="eastAsia"/>
          <w:kern w:val="0"/>
          <w:sz w:val="24"/>
          <w:szCs w:val="24"/>
        </w:rPr>
        <w:t>日</w:t>
      </w:r>
      <w:r>
        <w:rPr>
          <w:rFonts w:ascii="Times New Roman" w:hAnsi="Times New Roman" w:hint="eastAsia"/>
          <w:kern w:val="0"/>
          <w:sz w:val="24"/>
          <w:szCs w:val="24"/>
        </w:rPr>
        <w:t>该类</w:t>
      </w:r>
      <w:r w:rsidRPr="004B75F0">
        <w:rPr>
          <w:rFonts w:ascii="Times New Roman" w:hAnsi="Times New Roman" w:hint="eastAsia"/>
          <w:kern w:val="0"/>
          <w:sz w:val="24"/>
          <w:szCs w:val="24"/>
        </w:rPr>
        <w:t>基金份额净值</w:t>
      </w:r>
    </w:p>
    <w:p w14:paraId="545EDB44" w14:textId="0592C7A1" w:rsidR="005C022E" w:rsidRPr="009B69FE" w:rsidRDefault="005C022E" w:rsidP="005C022E">
      <w:pPr>
        <w:autoSpaceDE w:val="0"/>
        <w:autoSpaceDN w:val="0"/>
        <w:adjustRightInd w:val="0"/>
        <w:snapToGrid w:val="0"/>
        <w:spacing w:line="360" w:lineRule="auto"/>
        <w:ind w:firstLineChars="200" w:firstLine="480"/>
        <w:jc w:val="left"/>
        <w:rPr>
          <w:rFonts w:ascii="Times New Roman" w:hAnsi="Times New Roman"/>
          <w:sz w:val="24"/>
        </w:rPr>
      </w:pPr>
      <w:r w:rsidRPr="009B69FE">
        <w:rPr>
          <w:rFonts w:ascii="Times New Roman" w:hAnsi="Times New Roman" w:hint="eastAsia"/>
          <w:kern w:val="0"/>
          <w:sz w:val="24"/>
          <w:szCs w:val="24"/>
        </w:rPr>
        <w:t>例七：某投资者</w:t>
      </w:r>
      <w:r w:rsidR="0041787F" w:rsidRPr="009B69FE">
        <w:rPr>
          <w:rFonts w:ascii="Times New Roman" w:hAnsi="Times New Roman" w:hint="eastAsia"/>
          <w:kern w:val="0"/>
          <w:sz w:val="24"/>
          <w:szCs w:val="24"/>
        </w:rPr>
        <w:t>通过认购持有</w:t>
      </w:r>
      <w:r w:rsidRPr="009B69FE">
        <w:rPr>
          <w:rFonts w:ascii="Times New Roman" w:hAnsi="Times New Roman"/>
          <w:sz w:val="24"/>
        </w:rPr>
        <w:t>10,000</w:t>
      </w:r>
      <w:r w:rsidRPr="009B69FE">
        <w:rPr>
          <w:rFonts w:ascii="Times New Roman" w:hAnsi="Times New Roman" w:hint="eastAsia"/>
          <w:sz w:val="24"/>
        </w:rPr>
        <w:t>份</w:t>
      </w:r>
      <w:r w:rsidRPr="009B69FE">
        <w:rPr>
          <w:rFonts w:ascii="Times New Roman" w:hAnsi="Times New Roman"/>
          <w:sz w:val="24"/>
        </w:rPr>
        <w:t>A</w:t>
      </w:r>
      <w:r w:rsidRPr="009B69FE">
        <w:rPr>
          <w:rFonts w:ascii="Times New Roman" w:hAnsi="Times New Roman" w:hint="eastAsia"/>
          <w:sz w:val="24"/>
        </w:rPr>
        <w:t>类基金份额，</w:t>
      </w:r>
      <w:r w:rsidR="0041787F" w:rsidRPr="009B69FE">
        <w:rPr>
          <w:rFonts w:ascii="Times New Roman" w:hAnsi="Times New Roman" w:hint="eastAsia"/>
          <w:sz w:val="24"/>
        </w:rPr>
        <w:t>在基金合同生效日后第一个运作期到期日申请赎回该</w:t>
      </w:r>
      <w:r w:rsidR="0041787F" w:rsidRPr="009B69FE">
        <w:rPr>
          <w:rFonts w:ascii="Times New Roman" w:hAnsi="Times New Roman"/>
          <w:sz w:val="24"/>
        </w:rPr>
        <w:t>10,000</w:t>
      </w:r>
      <w:r w:rsidR="0041787F" w:rsidRPr="009B69FE">
        <w:rPr>
          <w:rFonts w:ascii="Times New Roman" w:hAnsi="Times New Roman" w:hint="eastAsia"/>
          <w:sz w:val="24"/>
        </w:rPr>
        <w:t>份</w:t>
      </w:r>
      <w:r w:rsidR="0041787F" w:rsidRPr="009B69FE">
        <w:rPr>
          <w:rFonts w:ascii="Times New Roman" w:hAnsi="Times New Roman"/>
          <w:sz w:val="24"/>
        </w:rPr>
        <w:t>A</w:t>
      </w:r>
      <w:r w:rsidR="0041787F" w:rsidRPr="009B69FE">
        <w:rPr>
          <w:rFonts w:ascii="Times New Roman" w:hAnsi="Times New Roman" w:hint="eastAsia"/>
          <w:sz w:val="24"/>
        </w:rPr>
        <w:t>类基金份额，</w:t>
      </w:r>
      <w:r w:rsidRPr="009B69FE">
        <w:rPr>
          <w:rFonts w:ascii="Times New Roman" w:hAnsi="Times New Roman" w:hint="eastAsia"/>
          <w:sz w:val="24"/>
        </w:rPr>
        <w:t>假设赎回当日</w:t>
      </w:r>
      <w:r w:rsidRPr="009B69FE">
        <w:rPr>
          <w:rFonts w:ascii="Times New Roman" w:hAnsi="Times New Roman"/>
          <w:sz w:val="24"/>
        </w:rPr>
        <w:t>A</w:t>
      </w:r>
      <w:r w:rsidRPr="009B69FE">
        <w:rPr>
          <w:rFonts w:ascii="Times New Roman" w:hAnsi="Times New Roman" w:hint="eastAsia"/>
          <w:sz w:val="24"/>
        </w:rPr>
        <w:t>类基金份额净值是</w:t>
      </w:r>
      <w:r w:rsidRPr="009B69FE">
        <w:rPr>
          <w:rFonts w:ascii="Times New Roman" w:hAnsi="Times New Roman"/>
          <w:sz w:val="24"/>
        </w:rPr>
        <w:t>1.0</w:t>
      </w:r>
      <w:r w:rsidR="004F364F">
        <w:rPr>
          <w:rFonts w:ascii="Times New Roman" w:hAnsi="Times New Roman"/>
          <w:sz w:val="24"/>
        </w:rPr>
        <w:t>025</w:t>
      </w:r>
      <w:r w:rsidRPr="009B69FE">
        <w:rPr>
          <w:rFonts w:ascii="Times New Roman" w:hAnsi="Times New Roman" w:hint="eastAsia"/>
          <w:sz w:val="24"/>
        </w:rPr>
        <w:t>元，则其可得到的赎回金额为：</w:t>
      </w:r>
    </w:p>
    <w:p w14:paraId="0C0AD9CE" w14:textId="743F91B9" w:rsidR="005C022E" w:rsidRPr="009B69FE" w:rsidRDefault="005C022E" w:rsidP="005C022E">
      <w:pPr>
        <w:autoSpaceDE w:val="0"/>
        <w:autoSpaceDN w:val="0"/>
        <w:adjustRightInd w:val="0"/>
        <w:snapToGrid w:val="0"/>
        <w:spacing w:line="360" w:lineRule="auto"/>
        <w:ind w:firstLineChars="200" w:firstLine="480"/>
        <w:jc w:val="left"/>
        <w:rPr>
          <w:rFonts w:ascii="Times New Roman" w:hAnsi="Times New Roman"/>
          <w:sz w:val="24"/>
        </w:rPr>
      </w:pPr>
      <w:r w:rsidRPr="009B69FE">
        <w:rPr>
          <w:rFonts w:ascii="Times New Roman" w:hAnsi="Times New Roman" w:hint="eastAsia"/>
          <w:sz w:val="24"/>
        </w:rPr>
        <w:t>赎回金额</w:t>
      </w:r>
      <w:r w:rsidRPr="009B69FE">
        <w:rPr>
          <w:rFonts w:ascii="Times New Roman" w:hAnsi="Times New Roman"/>
          <w:sz w:val="24"/>
        </w:rPr>
        <w:t>=10,000</w:t>
      </w:r>
      <w:r w:rsidRPr="009B69FE">
        <w:rPr>
          <w:rFonts w:ascii="Times New Roman" w:hAnsi="Times New Roman" w:hint="eastAsia"/>
          <w:sz w:val="24"/>
        </w:rPr>
        <w:t>×</w:t>
      </w:r>
      <w:r w:rsidRPr="009B69FE">
        <w:rPr>
          <w:rFonts w:ascii="Times New Roman" w:hAnsi="Times New Roman"/>
          <w:sz w:val="24"/>
        </w:rPr>
        <w:t>1.0</w:t>
      </w:r>
      <w:r w:rsidR="004F364F">
        <w:rPr>
          <w:rFonts w:ascii="Times New Roman" w:hAnsi="Times New Roman"/>
          <w:sz w:val="24"/>
        </w:rPr>
        <w:t>025</w:t>
      </w:r>
      <w:r w:rsidRPr="009B69FE">
        <w:rPr>
          <w:rFonts w:ascii="Times New Roman" w:hAnsi="Times New Roman" w:hint="eastAsia"/>
          <w:sz w:val="24"/>
        </w:rPr>
        <w:t>＝</w:t>
      </w:r>
      <w:r w:rsidRPr="009B69FE">
        <w:rPr>
          <w:rFonts w:ascii="Times New Roman" w:hAnsi="Times New Roman"/>
          <w:sz w:val="24"/>
        </w:rPr>
        <w:t>10,</w:t>
      </w:r>
      <w:r w:rsidR="004F364F">
        <w:rPr>
          <w:rFonts w:ascii="Times New Roman" w:hAnsi="Times New Roman"/>
          <w:sz w:val="24"/>
        </w:rPr>
        <w:t>025</w:t>
      </w:r>
      <w:r w:rsidRPr="009B69FE">
        <w:rPr>
          <w:rFonts w:ascii="Times New Roman" w:hAnsi="Times New Roman"/>
          <w:sz w:val="24"/>
        </w:rPr>
        <w:t>.00</w:t>
      </w:r>
      <w:r w:rsidRPr="009B69FE">
        <w:rPr>
          <w:rFonts w:ascii="Times New Roman" w:hAnsi="Times New Roman" w:hint="eastAsia"/>
          <w:sz w:val="24"/>
        </w:rPr>
        <w:t>元</w:t>
      </w:r>
    </w:p>
    <w:p w14:paraId="26A73531" w14:textId="792FFA66" w:rsidR="00D87CF5" w:rsidRPr="00A82822" w:rsidRDefault="005C022E">
      <w:pPr>
        <w:autoSpaceDE w:val="0"/>
        <w:autoSpaceDN w:val="0"/>
        <w:adjustRightInd w:val="0"/>
        <w:snapToGrid w:val="0"/>
        <w:spacing w:line="360" w:lineRule="auto"/>
        <w:ind w:firstLineChars="200" w:firstLine="480"/>
        <w:jc w:val="left"/>
        <w:rPr>
          <w:rFonts w:ascii="宋体" w:hAnsi="宋体"/>
          <w:szCs w:val="24"/>
        </w:rPr>
      </w:pPr>
      <w:r w:rsidRPr="009B69FE">
        <w:rPr>
          <w:rFonts w:ascii="Times New Roman" w:hAnsi="Times New Roman" w:hint="eastAsia"/>
          <w:sz w:val="24"/>
        </w:rPr>
        <w:t>即：</w:t>
      </w:r>
      <w:r w:rsidR="0041787F" w:rsidRPr="009B69FE">
        <w:rPr>
          <w:rFonts w:ascii="Times New Roman" w:hAnsi="Times New Roman" w:hint="eastAsia"/>
          <w:kern w:val="0"/>
          <w:sz w:val="24"/>
          <w:szCs w:val="24"/>
        </w:rPr>
        <w:t>某投资者通过认购持有</w:t>
      </w:r>
      <w:r w:rsidR="0041787F" w:rsidRPr="009B69FE">
        <w:rPr>
          <w:rFonts w:ascii="Times New Roman" w:hAnsi="Times New Roman"/>
          <w:sz w:val="24"/>
        </w:rPr>
        <w:t>10,000</w:t>
      </w:r>
      <w:r w:rsidR="0041787F" w:rsidRPr="009B69FE">
        <w:rPr>
          <w:rFonts w:ascii="Times New Roman" w:hAnsi="Times New Roman" w:hint="eastAsia"/>
          <w:sz w:val="24"/>
        </w:rPr>
        <w:t>份</w:t>
      </w:r>
      <w:r w:rsidR="0041787F" w:rsidRPr="009B69FE">
        <w:rPr>
          <w:rFonts w:ascii="Times New Roman" w:hAnsi="Times New Roman"/>
          <w:sz w:val="24"/>
        </w:rPr>
        <w:t>A</w:t>
      </w:r>
      <w:r w:rsidR="0041787F" w:rsidRPr="009B69FE">
        <w:rPr>
          <w:rFonts w:ascii="Times New Roman" w:hAnsi="Times New Roman" w:hint="eastAsia"/>
          <w:sz w:val="24"/>
        </w:rPr>
        <w:t>类基金份额，在基金合同生效日后第一个运作期到期日申请赎回该</w:t>
      </w:r>
      <w:r w:rsidR="0041787F" w:rsidRPr="009B69FE">
        <w:rPr>
          <w:rFonts w:ascii="Times New Roman" w:hAnsi="Times New Roman"/>
          <w:sz w:val="24"/>
        </w:rPr>
        <w:t>10,000</w:t>
      </w:r>
      <w:r w:rsidR="0041787F" w:rsidRPr="009B69FE">
        <w:rPr>
          <w:rFonts w:ascii="Times New Roman" w:hAnsi="Times New Roman" w:hint="eastAsia"/>
          <w:sz w:val="24"/>
        </w:rPr>
        <w:t>份</w:t>
      </w:r>
      <w:r w:rsidR="0041787F" w:rsidRPr="009B69FE">
        <w:rPr>
          <w:rFonts w:ascii="Times New Roman" w:hAnsi="Times New Roman"/>
          <w:sz w:val="24"/>
        </w:rPr>
        <w:t>A</w:t>
      </w:r>
      <w:r w:rsidR="0041787F" w:rsidRPr="009B69FE">
        <w:rPr>
          <w:rFonts w:ascii="Times New Roman" w:hAnsi="Times New Roman" w:hint="eastAsia"/>
          <w:sz w:val="24"/>
        </w:rPr>
        <w:t>类基金份额，假设赎回当日</w:t>
      </w:r>
      <w:r w:rsidR="0041787F" w:rsidRPr="009B69FE">
        <w:rPr>
          <w:rFonts w:ascii="Times New Roman" w:hAnsi="Times New Roman"/>
          <w:sz w:val="24"/>
        </w:rPr>
        <w:t>A</w:t>
      </w:r>
      <w:r w:rsidR="0041787F" w:rsidRPr="009B69FE">
        <w:rPr>
          <w:rFonts w:ascii="Times New Roman" w:hAnsi="Times New Roman" w:hint="eastAsia"/>
          <w:sz w:val="24"/>
        </w:rPr>
        <w:t>类基金份额净值是</w:t>
      </w:r>
      <w:r w:rsidR="0041787F" w:rsidRPr="009B69FE">
        <w:rPr>
          <w:rFonts w:ascii="Times New Roman" w:hAnsi="Times New Roman"/>
          <w:sz w:val="24"/>
        </w:rPr>
        <w:t>1.0</w:t>
      </w:r>
      <w:r w:rsidR="004F364F">
        <w:rPr>
          <w:rFonts w:ascii="Times New Roman" w:hAnsi="Times New Roman"/>
          <w:sz w:val="24"/>
        </w:rPr>
        <w:t>025</w:t>
      </w:r>
      <w:r w:rsidR="0041787F" w:rsidRPr="009B69FE">
        <w:rPr>
          <w:rFonts w:ascii="Times New Roman" w:hAnsi="Times New Roman" w:hint="eastAsia"/>
          <w:sz w:val="24"/>
        </w:rPr>
        <w:t>元</w:t>
      </w:r>
      <w:r w:rsidRPr="009B69FE">
        <w:rPr>
          <w:rFonts w:ascii="Times New Roman" w:hAnsi="Times New Roman" w:hint="eastAsia"/>
          <w:sz w:val="24"/>
        </w:rPr>
        <w:t>，则其可得到的赎回金额为</w:t>
      </w:r>
      <w:r w:rsidR="004F364F" w:rsidRPr="009B69FE">
        <w:rPr>
          <w:rFonts w:ascii="Times New Roman" w:hAnsi="Times New Roman"/>
          <w:sz w:val="24"/>
        </w:rPr>
        <w:t>10,</w:t>
      </w:r>
      <w:r w:rsidR="004F364F">
        <w:rPr>
          <w:rFonts w:ascii="Times New Roman" w:hAnsi="Times New Roman"/>
          <w:sz w:val="24"/>
        </w:rPr>
        <w:t>025</w:t>
      </w:r>
      <w:r w:rsidRPr="009B69FE">
        <w:rPr>
          <w:rFonts w:ascii="Times New Roman" w:hAnsi="Times New Roman"/>
          <w:sz w:val="24"/>
        </w:rPr>
        <w:t>.00</w:t>
      </w:r>
      <w:r w:rsidRPr="009B69FE">
        <w:rPr>
          <w:rFonts w:ascii="Times New Roman" w:hAnsi="Times New Roman" w:hint="eastAsia"/>
          <w:kern w:val="0"/>
          <w:sz w:val="24"/>
          <w:szCs w:val="24"/>
        </w:rPr>
        <w:t>元。</w:t>
      </w:r>
    </w:p>
    <w:p w14:paraId="77B05E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14:paraId="442E31A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A类基金份额净值＝A类基金份额的基金资产净值总额/发行在外的A类基金份额总数</w:t>
      </w:r>
    </w:p>
    <w:p w14:paraId="3B339CB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C类基金份额净值＝C类基金份额的基金资产净值总额/发行在外的C类基金份额总数</w:t>
      </w:r>
    </w:p>
    <w:p w14:paraId="461042D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和C类基金份额的份额净值的计算，保留到小数点后4位，小数点后第5位四舍五入，由此产生的收益或损失由基金财产承担。T日的基金份额净值在当天收市后计算，并在T+1日（包括该日）内公告。遇特殊情况，经履行适当程序，可以适当延迟计算或公告。</w:t>
      </w:r>
    </w:p>
    <w:p w14:paraId="78E21A6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（八）拒绝或暂停申购的情形</w:t>
      </w:r>
    </w:p>
    <w:p w14:paraId="151D01B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14:paraId="14D7D12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14:paraId="368083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14:paraId="7B3A775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14:paraId="0D01384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4、接受某笔或某些申购申请可能会影响或损害现有基金份额持有人利益时。</w:t>
      </w:r>
    </w:p>
    <w:p w14:paraId="02D9807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w:t>
      </w:r>
      <w:r>
        <w:rPr>
          <w:rFonts w:ascii="宋体" w:hAnsi="宋体"/>
          <w:sz w:val="24"/>
        </w:rPr>
        <w:lastRenderedPageBreak/>
        <w:t>模过大，使基金管理人无法找到合适的投资品种，或其他可能</w:t>
      </w:r>
      <w:r>
        <w:rPr>
          <w:rFonts w:ascii="宋体" w:hAnsi="宋体"/>
          <w:sz w:val="24"/>
        </w:rPr>
        <w:lastRenderedPageBreak/>
        <w:t>对基金业绩产生负面影响，或发生其他损害现有基金份额持有人利益的情形。</w:t>
      </w:r>
    </w:p>
    <w:p w14:paraId="6D2252A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14:paraId="58C9F9C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7、当前一估值日基金资产净值50%以上的资产出现无可参考的活跃市场价格且采用估值技术仍导致公允价值存在重大不确定性时，经与基金托管人协商确认后，基金管理人应当暂停接受基金申购申请。</w:t>
      </w:r>
    </w:p>
    <w:p w14:paraId="57805D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8、基金管理人接受某笔或者某些申购申请有可能导致单一投资者持有基金份额的比例超过50%，或者变相规避50%集中度的。出现上述情形时，基金管理人有权将上述申购申请全部或部分确认失败。</w:t>
      </w:r>
    </w:p>
    <w:p w14:paraId="727F7F8F" w14:textId="74C8AC7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sidR="00CB5286" w:rsidRPr="000671F3">
        <w:rPr>
          <w:rFonts w:hint="eastAsia"/>
          <w:bCs/>
          <w:sz w:val="24"/>
        </w:rPr>
        <w:t>法律法规规定、中国证监会认定或基金合同约定的其他情形</w:t>
      </w:r>
      <w:r w:rsidR="00CB5286" w:rsidRPr="000671F3">
        <w:rPr>
          <w:bCs/>
          <w:sz w:val="24"/>
        </w:rPr>
        <w:t>。</w:t>
      </w:r>
    </w:p>
    <w:p w14:paraId="204D931A" w14:textId="518CD71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发生上述第1、2、3、5、6、7、9项暂停申购情形之一且基金管理人决定暂停接受投资人申购申请时，基金管理人应当根据有关规定在</w:t>
      </w:r>
      <w:r w:rsidR="00DC3206">
        <w:rPr>
          <w:rFonts w:ascii="宋体" w:hAnsi="宋体"/>
          <w:sz w:val="24"/>
        </w:rPr>
        <w:t>规定媒介</w:t>
      </w:r>
      <w:r>
        <w:rPr>
          <w:rFonts w:ascii="宋体" w:hAnsi="宋体"/>
          <w:sz w:val="24"/>
        </w:rPr>
        <w:t>上刊登暂停申购公告。如果投资人的申购申请被拒绝，被拒绝的申购款项将退还给投资人。在暂停申购的情况消除时，基金管理人应及时恢复申购业务的办理。</w:t>
      </w:r>
    </w:p>
    <w:p w14:paraId="5B11138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（九）暂停赎回或延缓支付赎回款项的情形</w:t>
      </w:r>
    </w:p>
    <w:p w14:paraId="3927F0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14:paraId="4C4318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14:paraId="4510B05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14:paraId="2C499D0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14:paraId="1F1AABF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4、连续两个或两个以上开放日发生巨额赎回。</w:t>
      </w:r>
    </w:p>
    <w:p w14:paraId="5D446EC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5、发生继续接受赎回申请将损害现有基金份额持有人利益的情形时，基金管理人可暂停接受基金份额持有人的赎回申请。</w:t>
      </w:r>
    </w:p>
    <w:p w14:paraId="2559F99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14:paraId="07CA06E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7、当前一估值日基金资产净值50%以上的资产出现无可参考的活跃市场价格且</w:t>
      </w:r>
      <w:r>
        <w:rPr>
          <w:rFonts w:ascii="宋体" w:hAnsi="宋体"/>
          <w:sz w:val="24"/>
        </w:rPr>
        <w:lastRenderedPageBreak/>
        <w:t>采用估值技术仍导致公允价值存在重大不确定性时，经与基金托管人协商确认后，基金管理人应当延缓支付赎回款项或暂停接受基金赎回申请。</w:t>
      </w:r>
    </w:p>
    <w:p w14:paraId="6C76AF77" w14:textId="2323EB4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sidR="008A0759" w:rsidRPr="000671F3">
        <w:rPr>
          <w:rFonts w:hint="eastAsia"/>
          <w:bCs/>
          <w:sz w:val="24"/>
        </w:rPr>
        <w:t>法律法规规定、中国证监会认定或基金合同约定的其他情形</w:t>
      </w:r>
      <w:r w:rsidR="008A0759" w:rsidRPr="000671F3">
        <w:rPr>
          <w:bCs/>
          <w:sz w:val="24"/>
        </w:rPr>
        <w:t>。</w:t>
      </w:r>
    </w:p>
    <w:p w14:paraId="20365E3F" w14:textId="340550B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发生上述情形之一且基金管理人决定暂停接受基金份额持有人的赎回申请或延缓支付赎回款项时，基金管理人应</w:t>
      </w:r>
      <w:r w:rsidR="00CB5286">
        <w:rPr>
          <w:rFonts w:ascii="宋体" w:hAnsi="宋体" w:hint="eastAsia"/>
          <w:sz w:val="24"/>
        </w:rPr>
        <w:t>及时</w:t>
      </w:r>
      <w:r>
        <w:rPr>
          <w:rFonts w:ascii="宋体" w:hAnsi="宋体"/>
          <w:sz w:val="24"/>
        </w:rPr>
        <w:t>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60CA4DA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（十）巨额赎回的情形及处理方式</w:t>
      </w:r>
    </w:p>
    <w:p w14:paraId="4C121DC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14:paraId="6E0CCC1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7BFE205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14:paraId="5F2B73D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2108991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61E4C1F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263FEA" w:rsidRPr="000671F3">
        <w:rPr>
          <w:rFonts w:hint="eastAsia"/>
          <w:bCs/>
          <w:sz w:val="24"/>
        </w:rPr>
        <w:t>该类基金份额</w:t>
      </w:r>
      <w:r>
        <w:rPr>
          <w:rFonts w:ascii="宋体" w:hAnsi="宋体"/>
          <w:sz w:val="24"/>
        </w:rPr>
        <w:t>的基金份额净值为基础计算赎回金额，以此类推，直到全部赎回为止。如投资人在提交赎回申请时未作明确选择，投资人未能赎回部分作</w:t>
      </w:r>
      <w:r>
        <w:rPr>
          <w:rFonts w:ascii="宋体" w:hAnsi="宋体"/>
          <w:sz w:val="24"/>
        </w:rPr>
        <w:lastRenderedPageBreak/>
        <w:t>自动延期赎回处理。</w:t>
      </w:r>
    </w:p>
    <w:p w14:paraId="1FF31C8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（3）本基金如发生巨额赎回且单个开放日内单个基金份额持有人申请赎回的基金份额超过前一开放日的基金总份额的20%时，本基金管理人有权采取如下措施：</w:t>
      </w:r>
    </w:p>
    <w:p w14:paraId="4C9AD038" w14:textId="4AF755F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263FEA" w:rsidRPr="000671F3">
        <w:rPr>
          <w:rFonts w:hint="eastAsia"/>
          <w:bCs/>
          <w:sz w:val="24"/>
        </w:rPr>
        <w:t>该类基金份额</w:t>
      </w:r>
      <w:r>
        <w:rPr>
          <w:rFonts w:ascii="宋体" w:hAnsi="宋体"/>
          <w:sz w:val="24"/>
        </w:rPr>
        <w:t>的基金份额净值为基础计算赎回金额，以此类推，直到全部赎回为止。</w:t>
      </w:r>
    </w:p>
    <w:p w14:paraId="6A32D85F" w14:textId="52A2303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3BA3A129" w14:textId="331FEF0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w:t>
      </w:r>
      <w:r w:rsidR="00DC3206">
        <w:rPr>
          <w:rFonts w:ascii="宋体" w:hAnsi="宋体"/>
          <w:sz w:val="24"/>
        </w:rPr>
        <w:t>规定媒介</w:t>
      </w:r>
      <w:r>
        <w:rPr>
          <w:rFonts w:ascii="宋体" w:hAnsi="宋体"/>
          <w:sz w:val="24"/>
        </w:rPr>
        <w:t>上进行公告。</w:t>
      </w:r>
    </w:p>
    <w:p w14:paraId="0F6A63E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14:paraId="7F879617" w14:textId="6B223CA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当发生上述巨额赎回并延期办理时，基金管理人应当通过邮寄、传真、刊登公告或者通知销售机构代为告知等方式在3个交易日内通知基金份额持有人，说明有关处理方法，并在两日内在</w:t>
      </w:r>
      <w:r w:rsidR="00DC3206">
        <w:rPr>
          <w:rFonts w:ascii="宋体" w:hAnsi="宋体"/>
          <w:sz w:val="24"/>
        </w:rPr>
        <w:t>规定媒介</w:t>
      </w:r>
      <w:r>
        <w:rPr>
          <w:rFonts w:ascii="宋体" w:hAnsi="宋体"/>
          <w:sz w:val="24"/>
        </w:rPr>
        <w:t>上刊登公告。</w:t>
      </w:r>
    </w:p>
    <w:p w14:paraId="0F95F64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（十一）暂停申购或赎回的公告和重新开放申购或赎回的公告</w:t>
      </w:r>
    </w:p>
    <w:p w14:paraId="0714E5DF" w14:textId="1B7DD3B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w:t>
      </w:r>
      <w:r w:rsidR="00DC3206">
        <w:rPr>
          <w:rFonts w:ascii="宋体" w:hAnsi="宋体"/>
          <w:sz w:val="24"/>
        </w:rPr>
        <w:t>规定媒介</w:t>
      </w:r>
      <w:r>
        <w:rPr>
          <w:rFonts w:ascii="宋体" w:hAnsi="宋体"/>
          <w:sz w:val="24"/>
        </w:rPr>
        <w:t>上刊登暂停公告。</w:t>
      </w:r>
    </w:p>
    <w:p w14:paraId="47C34FB6" w14:textId="452F256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2、如发生暂停的时间为1日，基金管理人应于重新开放日，在</w:t>
      </w:r>
      <w:r w:rsidR="00DC3206">
        <w:rPr>
          <w:rFonts w:ascii="宋体" w:hAnsi="宋体"/>
          <w:sz w:val="24"/>
        </w:rPr>
        <w:t>规定媒介</w:t>
      </w:r>
      <w:r>
        <w:rPr>
          <w:rFonts w:ascii="宋体" w:hAnsi="宋体"/>
          <w:sz w:val="24"/>
        </w:rPr>
        <w:t>上刊登基金重新开放申购或赎回公告，并公布最近1个开放日的各类基金份额净值。</w:t>
      </w:r>
    </w:p>
    <w:p w14:paraId="2AD5DFB2" w14:textId="3CBB0D8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3、如发生暂停的时间超过1日，基金管理人可以根据暂停申购或赎回的时间，依照《信息披露办法》的有关规定，最迟于重新开放日在</w:t>
      </w:r>
      <w:r w:rsidR="00DC3206">
        <w:rPr>
          <w:rFonts w:ascii="宋体" w:hAnsi="宋体"/>
          <w:sz w:val="24"/>
        </w:rPr>
        <w:t>规定媒介</w:t>
      </w:r>
      <w:r>
        <w:rPr>
          <w:rFonts w:ascii="宋体" w:hAnsi="宋体"/>
          <w:sz w:val="24"/>
        </w:rPr>
        <w:t>上刊登重新开放申购或赎回的公告；也可以根据实际情况在暂停公告中明确重新开放申购或赎回的时间，届时不再另行发布重新开放的公告。</w:t>
      </w:r>
    </w:p>
    <w:p w14:paraId="69F37CB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（十二）基金转换</w:t>
      </w:r>
    </w:p>
    <w:p w14:paraId="3D0361A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45C604D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（十三）基金的非交易过户</w:t>
      </w:r>
    </w:p>
    <w:p w14:paraId="58B52072" w14:textId="6F01D7F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基金的非交易过户是指基金登记机构受理继承、捐赠和司法强制执行等情形而产生的非交易过户以及登记机构认可、符合法律法规的其</w:t>
      </w:r>
      <w:r w:rsidR="00B168D4">
        <w:rPr>
          <w:rFonts w:ascii="宋体" w:hAnsi="宋体" w:hint="eastAsia"/>
          <w:sz w:val="24"/>
        </w:rPr>
        <w:t>它</w:t>
      </w:r>
      <w:r>
        <w:rPr>
          <w:rFonts w:ascii="宋体" w:hAnsi="宋体"/>
          <w:sz w:val="24"/>
        </w:rPr>
        <w:t>非交易过户。无论在上述何种情况下，接受划转的主体必须是依法可以持有本基金基金份额的投资人。</w:t>
      </w:r>
    </w:p>
    <w:p w14:paraId="37AA9BE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72C4C6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（十四）基金的转托管</w:t>
      </w:r>
    </w:p>
    <w:p w14:paraId="697CEB6E" w14:textId="77777777"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基金份额持有人可办理已持有基金份额在不同销售机构之间的转托管，基金销售机构可以按照规定的标准收取转托管费。</w:t>
      </w:r>
    </w:p>
    <w:p w14:paraId="7860C222" w14:textId="77777777" w:rsidR="00CB5286" w:rsidRPr="003073D4" w:rsidRDefault="00CB5286" w:rsidP="003073D4">
      <w:pPr>
        <w:autoSpaceDE w:val="0"/>
        <w:autoSpaceDN w:val="0"/>
        <w:adjustRightInd w:val="0"/>
        <w:snapToGrid w:val="0"/>
        <w:spacing w:line="360" w:lineRule="auto"/>
        <w:ind w:firstLineChars="200" w:firstLine="480"/>
        <w:jc w:val="left"/>
        <w:rPr>
          <w:rFonts w:ascii="宋体" w:hAnsi="宋体"/>
          <w:sz w:val="24"/>
        </w:rPr>
      </w:pPr>
      <w:r w:rsidRPr="003073D4">
        <w:rPr>
          <w:rFonts w:ascii="宋体" w:hAnsi="宋体" w:hint="eastAsia"/>
          <w:sz w:val="24"/>
        </w:rPr>
        <w:t>（</w:t>
      </w:r>
      <w:r>
        <w:rPr>
          <w:rFonts w:ascii="宋体" w:hAnsi="宋体"/>
          <w:sz w:val="24"/>
        </w:rPr>
        <w:t>十</w:t>
      </w:r>
      <w:r>
        <w:rPr>
          <w:rFonts w:ascii="宋体" w:hAnsi="宋体" w:hint="eastAsia"/>
          <w:sz w:val="24"/>
        </w:rPr>
        <w:t>五</w:t>
      </w:r>
      <w:r w:rsidRPr="003073D4">
        <w:rPr>
          <w:rFonts w:ascii="宋体" w:hAnsi="宋体" w:hint="eastAsia"/>
          <w:sz w:val="24"/>
        </w:rPr>
        <w:t>）定期定额投资计划</w:t>
      </w:r>
    </w:p>
    <w:p w14:paraId="33049720" w14:textId="77777777" w:rsidR="00CB5286" w:rsidRDefault="00CB5286" w:rsidP="00CB528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2267B5E" w14:textId="34C7113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sidR="00CB5286">
        <w:rPr>
          <w:rFonts w:ascii="宋体" w:hAnsi="宋体" w:hint="eastAsia"/>
          <w:sz w:val="24"/>
        </w:rPr>
        <w:t>六</w:t>
      </w:r>
      <w:r>
        <w:rPr>
          <w:rFonts w:ascii="宋体" w:hAnsi="宋体"/>
          <w:sz w:val="24"/>
        </w:rPr>
        <w:t>）基金份额的冻结和解冻</w:t>
      </w:r>
    </w:p>
    <w:p w14:paraId="2957AFB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基金登记机构只受理国家有权机关依法要求的基金份额的冻结与解冻，以及登记机构认可、符合法律法规的其他情况下的冻结与解冻。</w:t>
      </w:r>
    </w:p>
    <w:p w14:paraId="23FC24BF" w14:textId="53EC802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sidR="00CB5286">
        <w:rPr>
          <w:rFonts w:ascii="宋体" w:hAnsi="宋体" w:hint="eastAsia"/>
          <w:sz w:val="24"/>
        </w:rPr>
        <w:t>七</w:t>
      </w:r>
      <w:r>
        <w:rPr>
          <w:rFonts w:ascii="宋体" w:hAnsi="宋体"/>
          <w:sz w:val="24"/>
        </w:rPr>
        <w:t>）基金份额的转让</w:t>
      </w:r>
    </w:p>
    <w:p w14:paraId="1B1A682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w:t>
      </w:r>
      <w:r>
        <w:rPr>
          <w:rFonts w:ascii="宋体" w:hAnsi="宋体"/>
          <w:sz w:val="24"/>
        </w:rPr>
        <w:lastRenderedPageBreak/>
        <w:t>额持有人应根据基金管理人公告的业务规则办理基金份额转让业务。</w:t>
      </w:r>
    </w:p>
    <w:p w14:paraId="5F19DBC2" w14:textId="32FD978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sidR="00CB5286">
        <w:rPr>
          <w:rFonts w:ascii="宋体" w:hAnsi="宋体" w:hint="eastAsia"/>
          <w:sz w:val="24"/>
        </w:rPr>
        <w:t>八</w:t>
      </w:r>
      <w:r>
        <w:rPr>
          <w:rFonts w:ascii="宋体" w:hAnsi="宋体"/>
          <w:sz w:val="24"/>
        </w:rPr>
        <w:t>）实施侧袋机制期间本基金的申购与赎回</w:t>
      </w:r>
    </w:p>
    <w:p w14:paraId="7E10818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本基金实施侧袋机制的，本基金的申购和赎回安排详见本招募说明书“侧袋机制”部分的规定或相关公告。</w:t>
      </w:r>
    </w:p>
    <w:p w14:paraId="5A46395D" w14:textId="45AB392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sidR="00CB5286">
        <w:rPr>
          <w:rFonts w:ascii="宋体" w:hAnsi="宋体" w:hint="eastAsia"/>
          <w:sz w:val="24"/>
        </w:rPr>
        <w:t>九</w:t>
      </w:r>
      <w:r>
        <w:rPr>
          <w:rFonts w:ascii="宋体" w:hAnsi="宋体"/>
          <w:sz w:val="24"/>
        </w:rPr>
        <w:t>）其他业务</w:t>
      </w:r>
    </w:p>
    <w:p w14:paraId="2E5ACCE2" w14:textId="08B9194B" w:rsidR="00866E08" w:rsidRDefault="00CA69EB" w:rsidP="00F069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r>
        <w:rPr>
          <w:rFonts w:ascii="宋体" w:hAnsi="宋体"/>
          <w:sz w:val="24"/>
        </w:rPr>
        <w:br w:type="page"/>
      </w:r>
    </w:p>
    <w:p w14:paraId="6C72D057" w14:textId="77777777" w:rsidR="00D87CF5" w:rsidRDefault="00CA69EB">
      <w:pPr>
        <w:pStyle w:val="1"/>
        <w:snapToGrid w:val="0"/>
        <w:spacing w:beforeLines="0" w:before="240" w:after="240"/>
        <w:rPr>
          <w:rFonts w:ascii="宋体" w:hAnsi="宋体"/>
          <w:szCs w:val="30"/>
        </w:rPr>
      </w:pPr>
      <w:bookmarkStart w:id="15" w:name="_Toc104564192"/>
      <w:bookmarkStart w:id="16" w:name="_Hlk101008065"/>
      <w:r>
        <w:rPr>
          <w:rFonts w:ascii="Times New Roman" w:hAnsi="Times New Roman"/>
          <w:sz w:val="30"/>
        </w:rPr>
        <w:lastRenderedPageBreak/>
        <w:t>九、基金的投资</w:t>
      </w:r>
      <w:bookmarkEnd w:id="15"/>
    </w:p>
    <w:p w14:paraId="0BAF9C6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（一）投资目标</w:t>
      </w:r>
    </w:p>
    <w:p w14:paraId="6B11077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在严格控制风险和保持较高流动性的前提下，力求获得高于业绩比较基准的投资收益。</w:t>
      </w:r>
    </w:p>
    <w:p w14:paraId="07595D5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（二）投资范围</w:t>
      </w:r>
    </w:p>
    <w:p w14:paraId="0A5DBFAD" w14:textId="54BCC44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债券（含国债、金融债、央行票据、地方政府债、政府支持债、政府支持机构债、企业债、公司债、可分离交易可转债的纯债部分、公开发行的次级债、短期融资券、超短期融资券、中期票据）、资产支持证券、债券回购、银行存款（包括定期存款、协议存款、通知存款等）、同业存单、货币市场工具以及法律法规</w:t>
      </w:r>
      <w:r w:rsidR="00AB3A13">
        <w:rPr>
          <w:bCs/>
          <w:sz w:val="24"/>
        </w:rPr>
        <w:t>或中国证监会</w:t>
      </w:r>
      <w:r>
        <w:rPr>
          <w:rFonts w:ascii="宋体" w:hAnsi="宋体"/>
          <w:sz w:val="24"/>
        </w:rPr>
        <w:t>允许</w:t>
      </w:r>
      <w:r w:rsidR="00AB3A13">
        <w:rPr>
          <w:rFonts w:ascii="宋体" w:hAnsi="宋体" w:hint="eastAsia"/>
          <w:sz w:val="24"/>
        </w:rPr>
        <w:t>基金</w:t>
      </w:r>
      <w:r>
        <w:rPr>
          <w:rFonts w:ascii="宋体" w:hAnsi="宋体"/>
          <w:sz w:val="24"/>
        </w:rPr>
        <w:t>投资的其他金融工具</w:t>
      </w:r>
      <w:r w:rsidR="00AB3A13">
        <w:rPr>
          <w:rFonts w:hint="eastAsia"/>
          <w:bCs/>
          <w:sz w:val="24"/>
        </w:rPr>
        <w:t>（</w:t>
      </w:r>
      <w:r w:rsidR="00AB3A13">
        <w:rPr>
          <w:bCs/>
          <w:sz w:val="24"/>
        </w:rPr>
        <w:t>但须符合中国证监会相关规定</w:t>
      </w:r>
      <w:r w:rsidR="00AB3A13">
        <w:rPr>
          <w:rFonts w:hint="eastAsia"/>
          <w:bCs/>
          <w:sz w:val="24"/>
        </w:rPr>
        <w:t>）</w:t>
      </w:r>
      <w:r>
        <w:rPr>
          <w:rFonts w:ascii="宋体" w:hAnsi="宋体"/>
          <w:sz w:val="24"/>
        </w:rPr>
        <w:t>。本基金不投资于股票等</w:t>
      </w:r>
      <w:r w:rsidR="00AB3A13">
        <w:rPr>
          <w:rFonts w:hint="eastAsia"/>
          <w:bCs/>
          <w:sz w:val="24"/>
        </w:rPr>
        <w:t>权益类</w:t>
      </w:r>
      <w:r>
        <w:rPr>
          <w:rFonts w:ascii="宋体" w:hAnsi="宋体"/>
          <w:sz w:val="24"/>
        </w:rPr>
        <w:t>资产，也不投资于可转换债券（可分离交易可转债的纯债部分除外）、可交换债券。</w:t>
      </w:r>
    </w:p>
    <w:p w14:paraId="498EFBC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44B7A916" w14:textId="2C4AD7B6" w:rsidR="00D87CF5" w:rsidRDefault="00263FEA" w:rsidP="005C022E">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本</w:t>
      </w:r>
      <w:r w:rsidR="00CA69EB">
        <w:rPr>
          <w:rFonts w:ascii="宋体" w:hAnsi="宋体"/>
          <w:sz w:val="24"/>
        </w:rPr>
        <w:t>基金的投资组合比例为：本基金投资于债券资产的比例不低于基金资产的80%。本基金持有的现金或到期日在一年以内的政府债券的比例合计不低于基金资产净值的5%，其中现金不包括结算备付金、存出保证金、应收申购款等。</w:t>
      </w:r>
    </w:p>
    <w:p w14:paraId="54DE7FB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76D7723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（三）投资策略</w:t>
      </w:r>
    </w:p>
    <w:p w14:paraId="4244974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5C6CFBD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（1）久期调整策略</w:t>
      </w:r>
    </w:p>
    <w:p w14:paraId="5C05B6D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本基金根据中长期宏观经济走势和经济周期波动趋势，判断债券市场未来的走势，并形成对未来市场利率变动方向的预期，动态调整组合久期。当预期收益率曲</w:t>
      </w:r>
      <w:r>
        <w:rPr>
          <w:rFonts w:ascii="宋体" w:hAnsi="宋体"/>
          <w:sz w:val="24"/>
        </w:rPr>
        <w:lastRenderedPageBreak/>
        <w:t>线下移时，适当提高组合久期，以分享债券市场上涨的收益；当预期收益率曲线上移时，适当降低组合久期，以规避债券市场下跌风险。</w:t>
      </w:r>
    </w:p>
    <w:p w14:paraId="6244A3E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（2）债券的类属配置策略</w:t>
      </w:r>
    </w:p>
    <w:p w14:paraId="7E51E06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261A2AA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（3）期限结构配置策略</w:t>
      </w:r>
    </w:p>
    <w:p w14:paraId="54E2354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0523005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（4）回购策略</w:t>
      </w:r>
    </w:p>
    <w:p w14:paraId="2AD10D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当回购利率低于债券收益率时，本基金将实施正回购融入资金并投资于信用债券等可投资标的，从而获取收益率超出回购资金成本（即回购利率）的套利价值。</w:t>
      </w:r>
    </w:p>
    <w:p w14:paraId="30F0962F" w14:textId="38623030"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（5）信用债券</w:t>
      </w:r>
      <w:r w:rsidR="00C826BC">
        <w:rPr>
          <w:rFonts w:hint="eastAsia"/>
          <w:bCs/>
          <w:sz w:val="24"/>
        </w:rPr>
        <w:t>（含</w:t>
      </w:r>
      <w:r w:rsidR="00C826BC" w:rsidRPr="000B42F7">
        <w:rPr>
          <w:rFonts w:hint="eastAsia"/>
          <w:bCs/>
          <w:sz w:val="24"/>
        </w:rPr>
        <w:t>资产支持证券</w:t>
      </w:r>
      <w:r w:rsidR="00956F8A">
        <w:rPr>
          <w:rFonts w:hint="eastAsia"/>
          <w:bCs/>
          <w:sz w:val="24"/>
        </w:rPr>
        <w:t>，下同</w:t>
      </w:r>
      <w:r w:rsidR="00C826BC">
        <w:rPr>
          <w:rFonts w:hint="eastAsia"/>
          <w:bCs/>
          <w:sz w:val="24"/>
        </w:rPr>
        <w:t>）</w:t>
      </w:r>
      <w:r>
        <w:rPr>
          <w:rFonts w:ascii="宋体" w:hAnsi="宋体"/>
          <w:sz w:val="24"/>
        </w:rPr>
        <w:t>投资策略</w:t>
      </w:r>
    </w:p>
    <w:p w14:paraId="18BE469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通过宏观经济运行、发行主体的发展前景和偿债能力、国家信用支撑等多重因素的综合考量对信用债券进行信用评级，并在信用评级的基础上，建立信用债券池；然后基于既定的目标久期、信用利差精选个券进行投资。具体而言，本基金信用债券的投资遵循以下流程：</w:t>
      </w:r>
    </w:p>
    <w:p w14:paraId="56A6ED9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①信用债券研究</w:t>
      </w:r>
    </w:p>
    <w:p w14:paraId="5CF49DE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2F5B8D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②信用债券筛选</w:t>
      </w:r>
    </w:p>
    <w:p w14:paraId="66513441" w14:textId="371CDB16" w:rsidR="00AB3A13" w:rsidRPr="000671F3" w:rsidRDefault="00CA69EB" w:rsidP="00AB3A13">
      <w:pPr>
        <w:spacing w:line="360" w:lineRule="auto"/>
        <w:ind w:firstLineChars="200" w:firstLine="480"/>
        <w:rPr>
          <w:bCs/>
          <w:sz w:val="24"/>
        </w:rPr>
      </w:pPr>
      <w:r>
        <w:rPr>
          <w:rFonts w:ascii="宋体" w:hAnsi="宋体"/>
          <w:sz w:val="24"/>
        </w:rPr>
        <w:t>本基金从信用债券池中精选债券构建信用债券投资组合</w:t>
      </w:r>
      <w:r w:rsidR="00263FEA">
        <w:rPr>
          <w:rFonts w:ascii="宋体" w:hAnsi="宋体" w:hint="eastAsia"/>
          <w:sz w:val="24"/>
        </w:rPr>
        <w:t>。</w:t>
      </w:r>
    </w:p>
    <w:p w14:paraId="544E9500" w14:textId="35037823" w:rsidR="00AB3A13" w:rsidRPr="000671F3" w:rsidRDefault="00AB3A13" w:rsidP="00AB3A13">
      <w:pPr>
        <w:spacing w:line="360" w:lineRule="auto"/>
        <w:ind w:firstLineChars="200" w:firstLine="480"/>
        <w:rPr>
          <w:bCs/>
          <w:sz w:val="24"/>
        </w:rPr>
      </w:pPr>
      <w:r w:rsidRPr="000671F3">
        <w:rPr>
          <w:rFonts w:hint="eastAsia"/>
          <w:bCs/>
          <w:sz w:val="24"/>
        </w:rPr>
        <w:t>本基金主动投资的信用债为信用评级在</w:t>
      </w:r>
      <w:r w:rsidRPr="003073D4">
        <w:rPr>
          <w:rFonts w:ascii="Times New Roman" w:hAnsi="Times New Roman"/>
          <w:bCs/>
          <w:sz w:val="24"/>
        </w:rPr>
        <w:t>AA+</w:t>
      </w:r>
      <w:r w:rsidRPr="003073D4">
        <w:rPr>
          <w:rFonts w:ascii="Times New Roman" w:hAnsi="Times New Roman" w:hint="eastAsia"/>
          <w:bCs/>
          <w:sz w:val="24"/>
        </w:rPr>
        <w:t>级（含）以上的信用债，对信用评级的认定参照基金管理人选定的评级机构出具的信用评级，其中，信用债的信用评级依照评级机构出具的债项信用评级，若无债项信用评级的或债项信用评级为</w:t>
      </w:r>
      <w:r w:rsidRPr="003073D4">
        <w:rPr>
          <w:rFonts w:ascii="Times New Roman" w:hAnsi="Times New Roman"/>
          <w:bCs/>
          <w:sz w:val="24"/>
        </w:rPr>
        <w:lastRenderedPageBreak/>
        <w:t>A-1</w:t>
      </w:r>
      <w:r w:rsidRPr="003073D4">
        <w:rPr>
          <w:rFonts w:ascii="Times New Roman" w:hAnsi="Times New Roman" w:hint="eastAsia"/>
          <w:bCs/>
          <w:sz w:val="24"/>
        </w:rPr>
        <w:t>的，依照其主体信用评级。本基金投资于评级</w:t>
      </w:r>
      <w:r w:rsidRPr="003073D4">
        <w:rPr>
          <w:rFonts w:ascii="Times New Roman" w:hAnsi="Times New Roman"/>
          <w:bCs/>
          <w:sz w:val="24"/>
        </w:rPr>
        <w:t>AA+</w:t>
      </w:r>
      <w:r w:rsidRPr="003073D4">
        <w:rPr>
          <w:rFonts w:ascii="Times New Roman" w:hAnsi="Times New Roman" w:hint="eastAsia"/>
          <w:bCs/>
          <w:sz w:val="24"/>
        </w:rPr>
        <w:t>的信用债比例不高于信用债资产的</w:t>
      </w:r>
      <w:r w:rsidRPr="003073D4">
        <w:rPr>
          <w:rFonts w:ascii="Times New Roman" w:hAnsi="Times New Roman"/>
          <w:bCs/>
          <w:sz w:val="24"/>
        </w:rPr>
        <w:t>50%</w:t>
      </w:r>
      <w:r w:rsidRPr="003073D4">
        <w:rPr>
          <w:rFonts w:ascii="Times New Roman" w:hAnsi="Times New Roman" w:hint="eastAsia"/>
          <w:bCs/>
          <w:sz w:val="24"/>
        </w:rPr>
        <w:t>，投资于评级</w:t>
      </w:r>
      <w:r w:rsidRPr="003073D4">
        <w:rPr>
          <w:rFonts w:ascii="Times New Roman" w:hAnsi="Times New Roman"/>
          <w:bCs/>
          <w:sz w:val="24"/>
        </w:rPr>
        <w:t>AAA</w:t>
      </w:r>
      <w:r w:rsidRPr="003073D4">
        <w:rPr>
          <w:rFonts w:ascii="Times New Roman" w:hAnsi="Times New Roman" w:hint="eastAsia"/>
          <w:bCs/>
          <w:sz w:val="24"/>
        </w:rPr>
        <w:t>的信用债比例不低于信用债资产的</w:t>
      </w:r>
      <w:r w:rsidRPr="003073D4">
        <w:rPr>
          <w:rFonts w:ascii="Times New Roman" w:hAnsi="Times New Roman"/>
          <w:bCs/>
          <w:sz w:val="24"/>
        </w:rPr>
        <w:t>50%</w:t>
      </w:r>
      <w:r w:rsidRPr="003073D4">
        <w:rPr>
          <w:rFonts w:ascii="Times New Roman" w:hAnsi="Times New Roman" w:hint="eastAsia"/>
          <w:bCs/>
          <w:sz w:val="24"/>
        </w:rPr>
        <w:t>。因信用评级下降、证券市场波动、基金规模变动等基金管理人之外的因素致使基金投资比例不符合上述规定的，基金管理人应当在评级报告发布之日或不符合上述规定之日起</w:t>
      </w:r>
      <w:r w:rsidRPr="003073D4">
        <w:rPr>
          <w:rFonts w:ascii="Times New Roman" w:hAnsi="Times New Roman"/>
          <w:bCs/>
          <w:sz w:val="24"/>
        </w:rPr>
        <w:t>3</w:t>
      </w:r>
      <w:r w:rsidRPr="000671F3">
        <w:rPr>
          <w:rFonts w:hint="eastAsia"/>
          <w:bCs/>
          <w:sz w:val="24"/>
        </w:rPr>
        <w:t>个月内进行调整。</w:t>
      </w:r>
    </w:p>
    <w:p w14:paraId="65B716B6" w14:textId="77777777" w:rsidR="00AB3A13" w:rsidRDefault="00AB3A13">
      <w:pPr>
        <w:autoSpaceDE w:val="0"/>
        <w:autoSpaceDN w:val="0"/>
        <w:adjustRightInd w:val="0"/>
        <w:snapToGrid w:val="0"/>
        <w:spacing w:line="360" w:lineRule="auto"/>
        <w:ind w:firstLineChars="200" w:firstLine="480"/>
        <w:jc w:val="left"/>
        <w:rPr>
          <w:bCs/>
          <w:sz w:val="24"/>
        </w:rPr>
      </w:pPr>
      <w:r w:rsidRPr="000671F3">
        <w:rPr>
          <w:rFonts w:hint="eastAsia"/>
          <w:bCs/>
          <w:sz w:val="24"/>
        </w:rPr>
        <w:t>本基金构建和管理信用债券投资组合时主要考虑以下因素</w:t>
      </w:r>
      <w:r>
        <w:rPr>
          <w:rFonts w:hint="eastAsia"/>
          <w:bCs/>
          <w:sz w:val="24"/>
        </w:rPr>
        <w:t>：</w:t>
      </w:r>
    </w:p>
    <w:p w14:paraId="616B1A0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a、信用债券信用评级的变化。</w:t>
      </w:r>
    </w:p>
    <w:p w14:paraId="31B34B3F" w14:textId="4E42351C" w:rsidR="00D87CF5" w:rsidRDefault="00CA69EB" w:rsidP="00B5652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不同信用等级的信用债券，以及同一信用等级不同标的债券之间的信用利差变化。本基金密切关注供求关系、税收、利率、投资人结构与行为以及市场的深度、广度和制度建设等因素对信用利差的影响，对个券进行有效的信用利差交易。</w:t>
      </w:r>
    </w:p>
    <w:p w14:paraId="465A70B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未来，随着投资工具的发展和丰富，基金管理人可以在不改变投资目标的前提下，相应调整和更新相关投资策略，并在招募说明书中更新，而无需召开基金份额持有人大会。</w:t>
      </w:r>
    </w:p>
    <w:p w14:paraId="16A2617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（四）投资限制</w:t>
      </w:r>
    </w:p>
    <w:p w14:paraId="6E80DA6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14:paraId="6048988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14:paraId="5C0F9874" w14:textId="59B274C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（1）本基金投资于债券资产的比例不低于基金资产的80%；</w:t>
      </w:r>
    </w:p>
    <w:p w14:paraId="5D588330" w14:textId="4F6A37D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（2）本基金持有的现金或到期日在一年以内的政府债券的比例合计不低于基金资产净值的5%，其中现金不包括结算备付金、存出保证金、应收申购款等；</w:t>
      </w:r>
    </w:p>
    <w:p w14:paraId="27ADBB9B" w14:textId="38ECCEF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（3）本基金持有一家公司发行的证券，其市值不超过基金资产净值的10%；</w:t>
      </w:r>
    </w:p>
    <w:p w14:paraId="4F02E3C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（4）本基金管理人管理的全部基金持有一家公司发行的证券，不超过该证券的10％，完全按照有关指数的构成比例进行证券投资的基金品种可以不受此条款规定的比例限制；</w:t>
      </w:r>
    </w:p>
    <w:p w14:paraId="3CE830A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（5）本基金投资于同一原始权益人的各类资产支持证券的比例，不得超过基金资产净值的10％；</w:t>
      </w:r>
    </w:p>
    <w:p w14:paraId="329FC3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（6）本基金持有的全部资产支持证券，其市值不得超过基金资产净值的20％；</w:t>
      </w:r>
    </w:p>
    <w:p w14:paraId="361CB6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（7）本基金持有的同一（指同一信用级别）资产支持证券的比例，不得超过该资产支持证券规模的10％；</w:t>
      </w:r>
    </w:p>
    <w:p w14:paraId="068DAB1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（8）本基金管理人管理的全部基金投资于同一原始权益人的各类资产支持证</w:t>
      </w:r>
      <w:r>
        <w:rPr>
          <w:rFonts w:ascii="宋体" w:hAnsi="宋体"/>
          <w:sz w:val="24"/>
        </w:rPr>
        <w:lastRenderedPageBreak/>
        <w:t>券，不得超过其各类资产支持证券合计规模的10％；</w:t>
      </w:r>
    </w:p>
    <w:p w14:paraId="03EA4564" w14:textId="394910D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（9）本基金应投资于信用级别评级为</w:t>
      </w:r>
      <w:r w:rsidR="00C826BC">
        <w:rPr>
          <w:rFonts w:ascii="宋体" w:hAnsi="宋体" w:hint="eastAsia"/>
          <w:sz w:val="24"/>
        </w:rPr>
        <w:t>AA+</w:t>
      </w:r>
      <w:r>
        <w:rPr>
          <w:rFonts w:ascii="宋体" w:hAnsi="宋体"/>
          <w:sz w:val="24"/>
        </w:rPr>
        <w:t>以上（含</w:t>
      </w:r>
      <w:r w:rsidR="00C826BC">
        <w:rPr>
          <w:rFonts w:ascii="宋体" w:hAnsi="宋体" w:hint="eastAsia"/>
          <w:sz w:val="24"/>
        </w:rPr>
        <w:t>AA+</w:t>
      </w:r>
      <w:r>
        <w:rPr>
          <w:rFonts w:ascii="宋体" w:hAnsi="宋体"/>
          <w:sz w:val="24"/>
        </w:rPr>
        <w:t>）的资产支持证券。基金持有资产支持证券期间，如果其信用等级下降、不再符合投资标准，应在评级报告发布之日起3个月内予以全部卖出；</w:t>
      </w:r>
    </w:p>
    <w:p w14:paraId="4D74B63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（10）本基金进入全国银行间同业市场进行债券回购的资金余额不得超过基金资产净值的40%，进入全国银行间同业市场进行债券回购的最长期限为1年，债券回购到期后不得展期；</w:t>
      </w:r>
    </w:p>
    <w:p w14:paraId="118022BF" w14:textId="2F984D4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7BC1B20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（12）本基金与私募类证券资管产品及中国证监会认定的其他主体为交易对手开展逆回购交易的，可接受质押品的资质要求应当与基金合同约定的投资范围保持一致；</w:t>
      </w:r>
    </w:p>
    <w:p w14:paraId="50D7C30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（13）本基金资产总值不超过基金资产净值的140%；</w:t>
      </w:r>
    </w:p>
    <w:p w14:paraId="0061F9E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（14）法律法规及中国证监会规定的和《基金合同》约定的其他投资限制。</w:t>
      </w:r>
    </w:p>
    <w:p w14:paraId="49BDC1C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2）、（9）、（11）、（12）情形之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0FBFD07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4CADB0B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14:paraId="3E62030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14:paraId="511AD82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14:paraId="0DE2CA8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5081452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0A4709B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624D7B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（4）买卖其他基金份额，但是中国证监会另有规定的除外；</w:t>
      </w:r>
    </w:p>
    <w:p w14:paraId="51809C3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4DF65A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14:paraId="7EE97D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14:paraId="5E86AD8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FBC456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如法律、行政法规或监管部门取消上述规定，如适用于本基金，基金管理人在履行适当程序后，本基金可不受上述规定的限制。</w:t>
      </w:r>
    </w:p>
    <w:p w14:paraId="24BF31B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（五）业绩比较基准</w:t>
      </w:r>
    </w:p>
    <w:p w14:paraId="55E34DC3" w14:textId="76B92C06" w:rsidR="00AB3A13" w:rsidRPr="006434A8" w:rsidRDefault="00260280" w:rsidP="00AB3A13">
      <w:pPr>
        <w:spacing w:line="360" w:lineRule="auto"/>
        <w:ind w:firstLineChars="200" w:firstLine="480"/>
        <w:rPr>
          <w:rFonts w:ascii="宋体" w:hAnsi="宋体"/>
          <w:sz w:val="24"/>
        </w:rPr>
      </w:pPr>
      <w:r w:rsidRPr="0000029A">
        <w:rPr>
          <w:rFonts w:ascii="宋体" w:hAnsi="宋体" w:hint="eastAsia"/>
          <w:sz w:val="24"/>
        </w:rPr>
        <w:t>中债综合全价指数收益率</w:t>
      </w:r>
      <w:r w:rsidR="005C022E" w:rsidRPr="004628E6">
        <w:rPr>
          <w:rFonts w:ascii="宋体" w:hAnsi="宋体" w:hint="eastAsia"/>
          <w:sz w:val="24"/>
        </w:rPr>
        <w:t>×</w:t>
      </w:r>
      <w:r w:rsidR="005C022E">
        <w:rPr>
          <w:rFonts w:ascii="宋体" w:hAnsi="宋体"/>
          <w:sz w:val="24"/>
        </w:rPr>
        <w:t>80</w:t>
      </w:r>
      <w:r w:rsidR="005C022E">
        <w:rPr>
          <w:rFonts w:ascii="宋体" w:hAnsi="宋体" w:hint="eastAsia"/>
          <w:sz w:val="24"/>
        </w:rPr>
        <w:t>%+</w:t>
      </w:r>
      <w:r w:rsidR="005C022E" w:rsidRPr="008B5445">
        <w:rPr>
          <w:rFonts w:ascii="宋体" w:hAnsi="宋体" w:hint="eastAsia"/>
          <w:sz w:val="24"/>
        </w:rPr>
        <w:t>人民币活期存款利率(税后)</w:t>
      </w:r>
      <w:r w:rsidR="005C022E" w:rsidRPr="004628E6">
        <w:rPr>
          <w:rFonts w:ascii="宋体" w:hAnsi="宋体" w:hint="eastAsia"/>
          <w:sz w:val="24"/>
        </w:rPr>
        <w:t>×</w:t>
      </w:r>
      <w:r w:rsidR="005C022E" w:rsidRPr="008B5445">
        <w:rPr>
          <w:rFonts w:ascii="宋体" w:hAnsi="宋体" w:hint="eastAsia"/>
          <w:sz w:val="24"/>
        </w:rPr>
        <w:t>20%</w:t>
      </w:r>
    </w:p>
    <w:p w14:paraId="6D1AE4F9" w14:textId="35AE42C8" w:rsidR="00D87CF5" w:rsidRDefault="00260280">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w:t>
      </w:r>
      <w:r w:rsidR="0037379E">
        <w:rPr>
          <w:rFonts w:ascii="宋体" w:hAnsi="宋体" w:hint="eastAsia"/>
          <w:sz w:val="24"/>
        </w:rPr>
        <w:t>作为衡量本基金债券部分比较基准较为合适。</w:t>
      </w:r>
    </w:p>
    <w:p w14:paraId="3BCF0A5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10CD467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（六）风险收益特征</w:t>
      </w:r>
    </w:p>
    <w:p w14:paraId="2E14EAF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本基金是一只债券型基金，其预期风险与预期收益</w:t>
      </w:r>
      <w:r w:rsidR="00AB3A13">
        <w:rPr>
          <w:rFonts w:ascii="宋体" w:hAnsi="宋体" w:hint="eastAsia"/>
          <w:sz w:val="24"/>
        </w:rPr>
        <w:t>理论上</w:t>
      </w:r>
      <w:r>
        <w:rPr>
          <w:rFonts w:ascii="宋体" w:hAnsi="宋体"/>
          <w:sz w:val="24"/>
        </w:rPr>
        <w:t>高于货币市场基金，低于混合型基金和股票型基金。</w:t>
      </w:r>
    </w:p>
    <w:p w14:paraId="738603BA" w14:textId="6D4E820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（七）基金管理人代表基金行使债权人权利的处理原则及方法</w:t>
      </w:r>
    </w:p>
    <w:p w14:paraId="7749F126" w14:textId="77DE491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1、基金管理人按照国家有关规定代表基金独立行使债权人权利，保护基金份额持有人的利益；</w:t>
      </w:r>
    </w:p>
    <w:p w14:paraId="4730769C" w14:textId="20BB0A9F" w:rsidR="00D87CF5" w:rsidRDefault="00AB3A1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w:t>
      </w:r>
      <w:r w:rsidR="00CA69EB">
        <w:rPr>
          <w:rFonts w:ascii="宋体" w:hAnsi="宋体"/>
          <w:sz w:val="24"/>
        </w:rPr>
        <w:t>、有利于基金财产的安全与增值；</w:t>
      </w:r>
    </w:p>
    <w:p w14:paraId="29431E22" w14:textId="429333E1" w:rsidR="00D87CF5" w:rsidRDefault="00AB3A1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CA69EB">
        <w:rPr>
          <w:rFonts w:ascii="宋体" w:hAnsi="宋体"/>
          <w:sz w:val="24"/>
        </w:rPr>
        <w:t>、不通过关联交易为自身、雇员、授权代理人或任何存在利害关系的第三人牟取任何不当利益。</w:t>
      </w:r>
    </w:p>
    <w:p w14:paraId="0EE7C19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（八）侧袋机制的实施和投资运作安排</w:t>
      </w:r>
    </w:p>
    <w:p w14:paraId="6BF988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5EF78D5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侧袋机制实施期间，本部分约定的投资组合比例、投资策略、组合限制、业绩比较基准、风险收益特征等约定仅适用于主袋账户。</w:t>
      </w:r>
    </w:p>
    <w:p w14:paraId="59F71F6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侧袋账户的实施条件、实施程序、运作安排、投资安排、特定资产的处置变现和支付等对投资者权益有重大影响的事项详见本招募说明书“侧袋机制”部分的规定。</w:t>
      </w:r>
    </w:p>
    <w:p w14:paraId="787C542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（九）投资决策依据和投资流程</w:t>
      </w:r>
    </w:p>
    <w:p w14:paraId="54B4928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1、投资决策依据</w:t>
      </w:r>
    </w:p>
    <w:p w14:paraId="2E6596A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（1）国家有关法律法规和基金合同的有关规定；</w:t>
      </w:r>
    </w:p>
    <w:p w14:paraId="0A51C0E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（2）公司投资及风险控制政策；</w:t>
      </w:r>
    </w:p>
    <w:p w14:paraId="7D61A91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（3）宏观经济发展态势、证券市场运行环境和走势，以及上市公司的基本面；</w:t>
      </w:r>
    </w:p>
    <w:p w14:paraId="26A0D56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（4）投资对象的预期收益和预期风险的匹配关系，本基金将在承担适度风险的范围内，选择收益风险配比最佳的品种进行投资。</w:t>
      </w:r>
    </w:p>
    <w:p w14:paraId="0326FE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2、投资决策机制</w:t>
      </w:r>
    </w:p>
    <w:p w14:paraId="09FF20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1B7DE74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基金经理的主要职责是在投资决策委员会确定的资产配置范围内构建和调整投资组合，并向中央交易室下达投资指令。</w:t>
      </w:r>
    </w:p>
    <w:p w14:paraId="481F252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中央交易室负责交易执行和一线监控。通过严格的交易制度和实时的一线监控功能，保证基金经理的投资指令在合法、合规的前提下得到高效的执行。</w:t>
      </w:r>
    </w:p>
    <w:p w14:paraId="6DE0BF2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3、投资管理流程</w:t>
      </w:r>
    </w:p>
    <w:p w14:paraId="621291C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投资决策委员会是本基金的最高决策机构，投资决策委员会定期就投资管理业</w:t>
      </w:r>
      <w:r>
        <w:rPr>
          <w:rFonts w:ascii="宋体" w:hAnsi="宋体"/>
          <w:sz w:val="24"/>
        </w:rPr>
        <w:lastRenderedPageBreak/>
        <w:t>务的重大问题进行讨论。基金经理、分析师、交易员在投资管理过程中既密切合作，又责任明确，在各自职责内按照业务程序独立工作并合理地相互制衡。具体的投资管理程序如下：</w:t>
      </w:r>
    </w:p>
    <w:p w14:paraId="7D6EC8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（1）研究部宏观分析师、策略分析师、行业分析师、信用分析师、数量分析师各自独立完成相应的研究报告，为投资决策提供依据；</w:t>
      </w:r>
    </w:p>
    <w:p w14:paraId="1DFE396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（2）投资决策委员会每月召开投资决策会议，对资产配置比例提出指导性意见，并讨论股票、债券的投资重点等；</w:t>
      </w:r>
    </w:p>
    <w:p w14:paraId="3CECD66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64E9C07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（4）基金经理根据基金投资组合方案，向中央交易室下达交易指令；</w:t>
      </w:r>
    </w:p>
    <w:p w14:paraId="7688DAD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（5）交易指令通过风控系统的自动合规核查后，由中央交易室执行，中央交易室对交易情况及时反馈；</w:t>
      </w:r>
    </w:p>
    <w:p w14:paraId="7B41170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（6）基金经理对每日交易执行情况进行回顾，并审视基金投资组合的变动情况；</w:t>
      </w:r>
    </w:p>
    <w:p w14:paraId="0B1CE04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（7）风险管理部定期完成有关投资风险监控报告，量化投资部定期完成基金业绩评估报告。</w:t>
      </w:r>
    </w:p>
    <w:p w14:paraId="6DD4C5F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投资决策委员会有权根据市场变化和实际情况的需要，对上述投资管理程序作出调整。</w:t>
      </w:r>
    </w:p>
    <w:p w14:paraId="710B5F53" w14:textId="26CB2223"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5C54ED82"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21F6E4C" w14:textId="5D012893" w:rsidR="00D87CF5" w:rsidRDefault="00CA69EB">
      <w:pPr>
        <w:pStyle w:val="1"/>
        <w:snapToGrid w:val="0"/>
        <w:spacing w:beforeLines="0" w:before="240" w:after="240"/>
        <w:rPr>
          <w:rFonts w:ascii="宋体" w:hAnsi="宋体"/>
          <w:szCs w:val="30"/>
        </w:rPr>
      </w:pPr>
      <w:bookmarkStart w:id="17" w:name="_Toc104564193"/>
      <w:bookmarkStart w:id="18" w:name="_Hlk101008077"/>
      <w:bookmarkEnd w:id="16"/>
      <w:r>
        <w:rPr>
          <w:rFonts w:ascii="Times New Roman" w:hAnsi="Times New Roman"/>
          <w:sz w:val="30"/>
        </w:rPr>
        <w:lastRenderedPageBreak/>
        <w:t>十、基金的财产</w:t>
      </w:r>
      <w:bookmarkEnd w:id="17"/>
    </w:p>
    <w:p w14:paraId="7AD7191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（一）基金资产总值</w:t>
      </w:r>
    </w:p>
    <w:p w14:paraId="28E9C1F9" w14:textId="107E6D9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基金资产总值是指基金拥有的各类有价证券、银行存款本息、基金应收款</w:t>
      </w:r>
      <w:r w:rsidR="00AB3A13">
        <w:rPr>
          <w:rFonts w:ascii="宋体" w:hAnsi="宋体" w:hint="eastAsia"/>
          <w:sz w:val="24"/>
        </w:rPr>
        <w:t>项</w:t>
      </w:r>
      <w:r>
        <w:rPr>
          <w:rFonts w:ascii="宋体" w:hAnsi="宋体"/>
          <w:sz w:val="24"/>
        </w:rPr>
        <w:t>及其他资产的价值总和。</w:t>
      </w:r>
    </w:p>
    <w:p w14:paraId="2AC33FC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（二）基金资产净值</w:t>
      </w:r>
    </w:p>
    <w:p w14:paraId="1F738D3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2EFD467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（三）基金财产的账户</w:t>
      </w:r>
    </w:p>
    <w:p w14:paraId="4585AB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341CF6D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（四）基金财产的保管和处分</w:t>
      </w:r>
    </w:p>
    <w:p w14:paraId="5636A3B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933AF3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1ED5EE55"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024F771" w14:textId="5D3EF9B1" w:rsidR="00D87CF5" w:rsidRDefault="00CA69EB">
      <w:pPr>
        <w:pStyle w:val="1"/>
        <w:snapToGrid w:val="0"/>
        <w:spacing w:beforeLines="0" w:before="240" w:after="240"/>
        <w:rPr>
          <w:rFonts w:ascii="宋体" w:hAnsi="宋体"/>
          <w:szCs w:val="30"/>
        </w:rPr>
      </w:pPr>
      <w:bookmarkStart w:id="19" w:name="_Toc104564194"/>
      <w:bookmarkStart w:id="20" w:name="_Hlk101008085"/>
      <w:bookmarkEnd w:id="18"/>
      <w:r>
        <w:rPr>
          <w:rFonts w:ascii="Times New Roman" w:hAnsi="Times New Roman"/>
          <w:sz w:val="30"/>
        </w:rPr>
        <w:lastRenderedPageBreak/>
        <w:t>十</w:t>
      </w:r>
      <w:r w:rsidR="000F75F7">
        <w:rPr>
          <w:rFonts w:ascii="Times New Roman" w:hAnsi="Times New Roman" w:hint="eastAsia"/>
          <w:sz w:val="30"/>
        </w:rPr>
        <w:t>一</w:t>
      </w:r>
      <w:r>
        <w:rPr>
          <w:rFonts w:ascii="Times New Roman" w:hAnsi="Times New Roman"/>
          <w:sz w:val="30"/>
        </w:rPr>
        <w:t>、基金资产的估值</w:t>
      </w:r>
      <w:bookmarkEnd w:id="19"/>
    </w:p>
    <w:p w14:paraId="7535653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（一）估值日</w:t>
      </w:r>
    </w:p>
    <w:p w14:paraId="1C79E86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w:t>
      </w:r>
    </w:p>
    <w:p w14:paraId="0BD541B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（二）估值对象</w:t>
      </w:r>
    </w:p>
    <w:p w14:paraId="0F45ABF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基金所拥有的债券</w:t>
      </w:r>
      <w:r w:rsidR="00AB3A13">
        <w:rPr>
          <w:rFonts w:hint="eastAsia"/>
          <w:bCs/>
          <w:sz w:val="24"/>
        </w:rPr>
        <w:t>、</w:t>
      </w:r>
      <w:r w:rsidR="00AB3A13">
        <w:rPr>
          <w:bCs/>
          <w:sz w:val="24"/>
        </w:rPr>
        <w:t>资产支持证券</w:t>
      </w:r>
      <w:r>
        <w:rPr>
          <w:rFonts w:ascii="宋体" w:hAnsi="宋体"/>
          <w:sz w:val="24"/>
        </w:rPr>
        <w:t>和其他投资等持续以公允价值计量的金融资产及负债。</w:t>
      </w:r>
    </w:p>
    <w:p w14:paraId="7EE40BC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（三）估值原则</w:t>
      </w:r>
    </w:p>
    <w:p w14:paraId="0DA5EA8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基金管理人在确定相关金融资产和金融负债的公允价值时，应符合《企业会计准则》、监管部门有关规定。</w:t>
      </w:r>
    </w:p>
    <w:p w14:paraId="312401D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D681835" w14:textId="53FDF23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与上述投资品种</w:t>
      </w:r>
      <w:r w:rsidR="00AB3A13">
        <w:rPr>
          <w:rFonts w:ascii="宋体" w:hAnsi="宋体" w:hint="eastAsia"/>
          <w:sz w:val="24"/>
        </w:rPr>
        <w:t>相</w:t>
      </w:r>
      <w:r>
        <w:rPr>
          <w:rFonts w:ascii="宋体" w:hAnsi="宋体"/>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D75877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0D9B9E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3、如经济环境发生重大变化或证券发行人发生影响证券价格的重大事件，使潜在估值调整对前一估值日的基金资产净值的影响在0.25%以上的，应对估值进行调整并确定公允价值。</w:t>
      </w:r>
    </w:p>
    <w:p w14:paraId="0BBD306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（四）估值方法</w:t>
      </w:r>
    </w:p>
    <w:p w14:paraId="73F5B6D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14:paraId="3473C8B2" w14:textId="5041E59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交易所市场上市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p>
    <w:p w14:paraId="58E71AD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（2）交易所上市交易的可转换债券以每日收盘价作为估值全价；</w:t>
      </w:r>
    </w:p>
    <w:p w14:paraId="34FEBE6B" w14:textId="0B10F7B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（3）交易所上市不存在活跃市场的有价证券，采用估值技术确定公允价值。交易所市场挂牌转让的资产支持证券，采用估值技术确定公允价值。</w:t>
      </w:r>
    </w:p>
    <w:p w14:paraId="2BDBEDCF" w14:textId="24FC13F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2、首次公开发行未上市的债券，采用估值技术确定公允价值。</w:t>
      </w:r>
    </w:p>
    <w:p w14:paraId="2F3ED6FF" w14:textId="75973841"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w:t>
      </w:r>
      <w:r w:rsidR="00AB3A13" w:rsidRPr="006434A8">
        <w:rPr>
          <w:rFonts w:hint="eastAsia"/>
          <w:bCs/>
          <w:sz w:val="24"/>
        </w:rPr>
        <w:t>采用估值技术确定公允价值</w:t>
      </w:r>
      <w:r>
        <w:rPr>
          <w:rFonts w:ascii="宋体" w:hAnsi="宋体"/>
          <w:sz w:val="24"/>
        </w:rPr>
        <w:t>。</w:t>
      </w:r>
    </w:p>
    <w:p w14:paraId="18CAC257" w14:textId="77777777" w:rsidR="00AB3A13" w:rsidRDefault="00AB3A13">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4、</w:t>
      </w:r>
      <w:r>
        <w:rPr>
          <w:rFonts w:hint="eastAsia"/>
          <w:bCs/>
          <w:sz w:val="24"/>
        </w:rPr>
        <w:t>同一债券同时在两个或两个以上市场交易的，按债券所处的市场分别估值。</w:t>
      </w:r>
    </w:p>
    <w:p w14:paraId="358E44F2" w14:textId="45561F08" w:rsidR="00D87CF5" w:rsidRDefault="00AB3A1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CA69EB">
        <w:rPr>
          <w:rFonts w:ascii="宋体" w:hAnsi="宋体"/>
          <w:sz w:val="24"/>
        </w:rPr>
        <w:t>、如有确凿证据表明按上述方法进行估值不能客观反映其公允价值的，基金管理人可根据具体情况与基金托管人商定后，按最能反映公允价值的价格估值。</w:t>
      </w:r>
    </w:p>
    <w:p w14:paraId="2DF7BA60" w14:textId="13F154D8" w:rsidR="00D87CF5" w:rsidRDefault="00AB3A13">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6</w:t>
      </w:r>
      <w:r w:rsidR="00CA69EB">
        <w:rPr>
          <w:rFonts w:ascii="宋体" w:hAnsi="宋体"/>
          <w:sz w:val="24"/>
        </w:rPr>
        <w:t>、当发生大额申购或赎回情形时，基金管理人可以采用摆动定价机制，以确保基金估值的公平性。</w:t>
      </w:r>
    </w:p>
    <w:p w14:paraId="13B5D323" w14:textId="77777777" w:rsidR="00AB3A13" w:rsidRDefault="00AB3A13">
      <w:pPr>
        <w:autoSpaceDE w:val="0"/>
        <w:autoSpaceDN w:val="0"/>
        <w:adjustRightInd w:val="0"/>
        <w:snapToGrid w:val="0"/>
        <w:spacing w:line="360" w:lineRule="auto"/>
        <w:ind w:firstLineChars="200" w:firstLine="480"/>
        <w:jc w:val="left"/>
        <w:rPr>
          <w:rFonts w:ascii="宋体" w:hAnsi="宋体"/>
          <w:szCs w:val="24"/>
        </w:rPr>
      </w:pPr>
      <w:r w:rsidRPr="003073D4">
        <w:rPr>
          <w:rFonts w:ascii="Times New Roman" w:hAnsi="Times New Roman"/>
          <w:bCs/>
          <w:sz w:val="24"/>
        </w:rPr>
        <w:t>7</w:t>
      </w:r>
      <w:r w:rsidRPr="003073D4">
        <w:rPr>
          <w:rFonts w:ascii="Times New Roman" w:hAnsi="Times New Roman" w:hint="eastAsia"/>
          <w:bCs/>
          <w:sz w:val="24"/>
        </w:rPr>
        <w:t>、</w:t>
      </w:r>
      <w:r w:rsidRPr="00460328">
        <w:rPr>
          <w:rFonts w:hint="eastAsia"/>
          <w:bCs/>
          <w:sz w:val="24"/>
        </w:rPr>
        <w:t>对于因税收规定调整或其他原因导致产品实际交纳税金与估算的应交税金有差异的，产品将在相关税金调整日或实际支付日进行相应的会计处理。</w:t>
      </w:r>
    </w:p>
    <w:p w14:paraId="4171AC86" w14:textId="2C509B44" w:rsidR="00D87CF5" w:rsidRDefault="00AB3A1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sidR="00CA69EB">
        <w:rPr>
          <w:rFonts w:ascii="宋体" w:hAnsi="宋体"/>
          <w:sz w:val="24"/>
        </w:rPr>
        <w:t>、相关法律法规以及监管部门有强制规定的，从其规定。如有新增事项，按国家最新规定估值。</w:t>
      </w:r>
    </w:p>
    <w:p w14:paraId="40F45D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9A4B922" w14:textId="2B614D6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w:t>
      </w:r>
      <w:r>
        <w:rPr>
          <w:rFonts w:ascii="宋体" w:hAnsi="宋体"/>
          <w:sz w:val="24"/>
        </w:rPr>
        <w:lastRenderedPageBreak/>
        <w:t>题，如经相关各方在平等基础上充分讨论后，仍无法达成一致的意见，按照基金管理人对基金净值</w:t>
      </w:r>
      <w:r w:rsidR="00AB3A13">
        <w:rPr>
          <w:rFonts w:ascii="宋体" w:hAnsi="宋体" w:hint="eastAsia"/>
          <w:sz w:val="24"/>
        </w:rPr>
        <w:t>信息</w:t>
      </w:r>
      <w:r>
        <w:rPr>
          <w:rFonts w:ascii="宋体" w:hAnsi="宋体"/>
          <w:sz w:val="24"/>
        </w:rPr>
        <w:t>的计算结果对外予以公布。</w:t>
      </w:r>
    </w:p>
    <w:p w14:paraId="3F5F55D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（五）估值程序</w:t>
      </w:r>
    </w:p>
    <w:p w14:paraId="476E24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各类基金份额的基金份额净值是按照每个工作日闭市后，任一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14:paraId="6769F0F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基金管理人于每个工作日计算各类基金份额的基金资产净值及基金份额净值，并按规定公告。如遇特殊情况，经履行适当程序，可以适当延迟计算或公告。</w:t>
      </w:r>
    </w:p>
    <w:p w14:paraId="664E49A9" w14:textId="4EE3501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w:t>
      </w:r>
      <w:r w:rsidR="00AB3A13">
        <w:rPr>
          <w:rFonts w:ascii="宋体" w:hAnsi="宋体" w:hint="eastAsia"/>
          <w:sz w:val="24"/>
        </w:rPr>
        <w:t>，</w:t>
      </w:r>
      <w:r>
        <w:rPr>
          <w:rFonts w:ascii="宋体" w:hAnsi="宋体"/>
          <w:sz w:val="24"/>
        </w:rPr>
        <w:t>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14:paraId="646CC3F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（六）估值错误的处理</w:t>
      </w:r>
    </w:p>
    <w:p w14:paraId="3BA7BAD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基金管理人和基金托管人将采取必要、适当、合理的措施确保基金资产估值的准确性、及时性。当基金份额净值小数点后4位以内（含第4位）发生估值错误时，视为基金份额净值错误。</w:t>
      </w:r>
    </w:p>
    <w:p w14:paraId="2CB6D21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14:paraId="7CA5D6D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14:paraId="012F582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1054F7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14:paraId="26A314B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14:paraId="595E729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175F766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2、估值错误处理原则</w:t>
      </w:r>
    </w:p>
    <w:p w14:paraId="444DC6D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6D1671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14:paraId="5A6CC06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91E5B1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14:paraId="3C98ED6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14:paraId="51D93C4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14:paraId="15EB17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14:paraId="76EA1A8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14:paraId="0E0864F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14:paraId="7315388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14:paraId="1025AD9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14:paraId="1081561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14:paraId="4CD0A13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w:t>
      </w:r>
      <w:r>
        <w:rPr>
          <w:rFonts w:ascii="宋体" w:hAnsi="宋体"/>
          <w:sz w:val="24"/>
        </w:rPr>
        <w:lastRenderedPageBreak/>
        <w:t>金托管人，并采取合理的措施防止损失进一步扩大。</w:t>
      </w:r>
    </w:p>
    <w:p w14:paraId="7AC4EA2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（2）错误偏差达到基金份额净值的0.25%时，基金管理人应当通报基金托管人并报中国证监会备案；错误偏差达到基金份额净值的0.5%时，基金管理人应当公告，并报中国证监会备案。</w:t>
      </w:r>
    </w:p>
    <w:p w14:paraId="066EF011" w14:textId="77777777" w:rsidR="00B17E18" w:rsidRPr="00B17E18" w:rsidRDefault="00CA69EB" w:rsidP="00B17E18">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w:t>
      </w:r>
      <w:r w:rsidR="00B17E18" w:rsidRPr="00B17E18">
        <w:rPr>
          <w:rFonts w:ascii="宋体" w:hAnsi="宋体" w:hint="eastAsia"/>
          <w:sz w:val="24"/>
        </w:rPr>
        <w:t>当基金份额净值计算差错给基金和基金份额持有人造成损失需要进行赔偿时，基金管理人和基金托管人应根据实际情况界定双方承担的责任，经确认后按以下条款进行赔偿：</w:t>
      </w:r>
    </w:p>
    <w:p w14:paraId="68FC6EE6" w14:textId="77777777" w:rsidR="00B17E18" w:rsidRPr="00B17E18" w:rsidRDefault="00B17E18" w:rsidP="00B17E18">
      <w:pPr>
        <w:autoSpaceDE w:val="0"/>
        <w:autoSpaceDN w:val="0"/>
        <w:adjustRightInd w:val="0"/>
        <w:snapToGrid w:val="0"/>
        <w:spacing w:line="360" w:lineRule="auto"/>
        <w:ind w:firstLineChars="200" w:firstLine="480"/>
        <w:jc w:val="left"/>
        <w:rPr>
          <w:rFonts w:ascii="宋体" w:hAnsi="宋体"/>
          <w:sz w:val="24"/>
        </w:rPr>
      </w:pPr>
      <w:r w:rsidRPr="00B17E18">
        <w:rPr>
          <w:rFonts w:ascii="宋体" w:hAnsi="宋体" w:hint="eastAsia"/>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7376CA2" w14:textId="77777777" w:rsidR="00B17E18" w:rsidRPr="00B17E18" w:rsidRDefault="00B17E18" w:rsidP="00B17E18">
      <w:pPr>
        <w:autoSpaceDE w:val="0"/>
        <w:autoSpaceDN w:val="0"/>
        <w:adjustRightInd w:val="0"/>
        <w:snapToGrid w:val="0"/>
        <w:spacing w:line="360" w:lineRule="auto"/>
        <w:ind w:firstLineChars="200" w:firstLine="480"/>
        <w:jc w:val="left"/>
        <w:rPr>
          <w:rFonts w:ascii="宋体" w:hAnsi="宋体"/>
          <w:sz w:val="24"/>
        </w:rPr>
      </w:pPr>
      <w:r w:rsidRPr="00B17E18">
        <w:rPr>
          <w:rFonts w:ascii="宋体" w:hAnsi="宋体" w:hint="eastAsia"/>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644F5F16" w14:textId="77777777" w:rsidR="00B17E18" w:rsidRPr="00B17E18" w:rsidRDefault="00B17E18" w:rsidP="00B17E18">
      <w:pPr>
        <w:autoSpaceDE w:val="0"/>
        <w:autoSpaceDN w:val="0"/>
        <w:adjustRightInd w:val="0"/>
        <w:snapToGrid w:val="0"/>
        <w:spacing w:line="360" w:lineRule="auto"/>
        <w:ind w:firstLineChars="200" w:firstLine="480"/>
        <w:jc w:val="left"/>
        <w:rPr>
          <w:rFonts w:ascii="宋体" w:hAnsi="宋体"/>
          <w:sz w:val="24"/>
        </w:rPr>
      </w:pPr>
      <w:r w:rsidRPr="00B17E18">
        <w:rPr>
          <w:rFonts w:ascii="宋体" w:hAnsi="宋体" w:hint="eastAsia"/>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90BCB3C" w14:textId="77777777" w:rsidR="00B17E18" w:rsidRDefault="00B17E18" w:rsidP="00B17E18">
      <w:pPr>
        <w:autoSpaceDE w:val="0"/>
        <w:autoSpaceDN w:val="0"/>
        <w:adjustRightInd w:val="0"/>
        <w:snapToGrid w:val="0"/>
        <w:spacing w:line="360" w:lineRule="auto"/>
        <w:ind w:firstLineChars="200" w:firstLine="480"/>
        <w:jc w:val="left"/>
        <w:rPr>
          <w:rFonts w:ascii="宋体" w:hAnsi="宋体"/>
          <w:sz w:val="24"/>
        </w:rPr>
      </w:pPr>
      <w:r w:rsidRPr="00B17E18">
        <w:rPr>
          <w:rFonts w:ascii="宋体" w:hAnsi="宋体" w:hint="eastAsia"/>
          <w:sz w:val="24"/>
        </w:rPr>
        <w:t>④由于基金管理人提供的信息错误（包括但不限于基金申购或赎回金额等），进而导致基金份额净值计算错误而引起的基金份额持有人和基金财产的损失，由基金管理人负责赔付。</w:t>
      </w:r>
    </w:p>
    <w:p w14:paraId="6F56F490" w14:textId="37EAA2DF" w:rsidR="00D87CF5" w:rsidRDefault="00B17E18" w:rsidP="00B17E1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CA69EB" w:rsidRPr="00B17E18">
        <w:rPr>
          <w:rFonts w:ascii="宋体" w:hAnsi="宋体"/>
          <w:sz w:val="24"/>
        </w:rPr>
        <w:t>前</w:t>
      </w:r>
      <w:r w:rsidR="00CA69EB">
        <w:rPr>
          <w:rFonts w:ascii="宋体" w:hAnsi="宋体"/>
          <w:sz w:val="24"/>
        </w:rPr>
        <w:t>述内容如法律法规或监管机关另有规定的，从其规定处理。</w:t>
      </w:r>
    </w:p>
    <w:p w14:paraId="75F12CD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（七）暂停估值的情形</w:t>
      </w:r>
    </w:p>
    <w:p w14:paraId="405185E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1、基金投资所涉及的证券交易市场遇法定节假日或因其他原因暂停营业时；</w:t>
      </w:r>
    </w:p>
    <w:p w14:paraId="1289B98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14:paraId="489EE04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3、当特定资产占前一估值日基金资产净值50%以上的，经与基金托管人协商确认后，基金管理人应当暂停估值；</w:t>
      </w:r>
    </w:p>
    <w:p w14:paraId="12100AF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4、法律法规、中国证监会和基金合同认定的其它情形。</w:t>
      </w:r>
    </w:p>
    <w:p w14:paraId="0C82996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（八）基金净值的确认</w:t>
      </w:r>
    </w:p>
    <w:p w14:paraId="0942CF52" w14:textId="018577B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各类基金份额的基金资产净值和基金份额净值由基金管理人负责计算，基金托</w:t>
      </w:r>
      <w:r>
        <w:rPr>
          <w:rFonts w:ascii="宋体" w:hAnsi="宋体"/>
          <w:sz w:val="24"/>
        </w:rPr>
        <w:lastRenderedPageBreak/>
        <w:t>管人负责进行复核。基金管理人应于每个开放日交易结束后计算当日的各类基金份额的基金资产净值和基金份额净值并发送给基金托管人。基金托管人对净值计算结果复核确认后发送给基金管理人，由基金管理人依据基金合同和相关法律法规的规定对基金净值予以公布。</w:t>
      </w:r>
    </w:p>
    <w:p w14:paraId="63182F4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（九）特殊情形的处理</w:t>
      </w:r>
    </w:p>
    <w:p w14:paraId="31DB140F" w14:textId="02ED0C6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w:t>
      </w:r>
      <w:r w:rsidR="00AB3A13">
        <w:rPr>
          <w:rFonts w:ascii="宋体" w:hAnsi="宋体"/>
          <w:sz w:val="24"/>
        </w:rPr>
        <w:t>第5</w:t>
      </w:r>
      <w:r>
        <w:rPr>
          <w:rFonts w:ascii="宋体" w:hAnsi="宋体"/>
          <w:sz w:val="24"/>
        </w:rPr>
        <w:t>项进行估值时，所造成的误差不作为基金资产估值错误处理。</w:t>
      </w:r>
    </w:p>
    <w:p w14:paraId="3C9D45B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78873A4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（十）实施侧袋机制期间的基金资产估值</w:t>
      </w:r>
    </w:p>
    <w:p w14:paraId="76D4226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本基金实施侧袋机制的，应根据本部分的约定对主袋账户资产进行估值并披露主袋账户的基金净值信息，暂停披露侧袋账户份额净值。</w:t>
      </w:r>
    </w:p>
    <w:p w14:paraId="43392E53"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3B2FCB3" w14:textId="5B01A375" w:rsidR="00D87CF5" w:rsidRDefault="00CA69EB">
      <w:pPr>
        <w:pStyle w:val="1"/>
        <w:snapToGrid w:val="0"/>
        <w:spacing w:beforeLines="0" w:before="240" w:after="240"/>
        <w:rPr>
          <w:rFonts w:ascii="宋体" w:hAnsi="宋体"/>
          <w:szCs w:val="30"/>
        </w:rPr>
      </w:pPr>
      <w:bookmarkStart w:id="21" w:name="_Toc104564195"/>
      <w:bookmarkStart w:id="22" w:name="_Hlk101008090"/>
      <w:bookmarkEnd w:id="20"/>
      <w:r>
        <w:rPr>
          <w:rFonts w:ascii="Times New Roman" w:hAnsi="Times New Roman"/>
          <w:sz w:val="30"/>
        </w:rPr>
        <w:lastRenderedPageBreak/>
        <w:t>十</w:t>
      </w:r>
      <w:r w:rsidR="000F75F7">
        <w:rPr>
          <w:rFonts w:ascii="Times New Roman" w:hAnsi="Times New Roman" w:hint="eastAsia"/>
          <w:sz w:val="30"/>
        </w:rPr>
        <w:t>二</w:t>
      </w:r>
      <w:r>
        <w:rPr>
          <w:rFonts w:ascii="Times New Roman" w:hAnsi="Times New Roman"/>
          <w:sz w:val="30"/>
        </w:rPr>
        <w:t>、基金收益与分配</w:t>
      </w:r>
      <w:bookmarkEnd w:id="21"/>
    </w:p>
    <w:p w14:paraId="04950A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（一）基金利润的构成</w:t>
      </w:r>
    </w:p>
    <w:p w14:paraId="64C5DE1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14:paraId="15E6E2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（二）基金可供分配利润</w:t>
      </w:r>
    </w:p>
    <w:p w14:paraId="55917AD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14:paraId="4921FB4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（三）基金收益分配原则</w:t>
      </w:r>
    </w:p>
    <w:p w14:paraId="37B1614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1、由于本基金A类基金份额不收取销售服务费，C类基金份额收取销售服务费，各基金份额类别对应的可供分配利润将有所不同；</w:t>
      </w:r>
    </w:p>
    <w:p w14:paraId="2AECD6A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2、在符合有关基金分红条件的前提下，本基金管理人可以根据实际情况进行收益分配，具体分配方案以公告为准，若基金合同生效不满3个月可不进行收益分配；</w:t>
      </w:r>
    </w:p>
    <w:p w14:paraId="5AF29410" w14:textId="77777777"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w:t>
      </w:r>
    </w:p>
    <w:p w14:paraId="2726FEC8" w14:textId="77777777" w:rsidR="00AB3A13" w:rsidRPr="003073D4" w:rsidRDefault="00AB3A13">
      <w:pPr>
        <w:autoSpaceDE w:val="0"/>
        <w:autoSpaceDN w:val="0"/>
        <w:adjustRightInd w:val="0"/>
        <w:snapToGrid w:val="0"/>
        <w:spacing w:line="360" w:lineRule="auto"/>
        <w:ind w:firstLineChars="200" w:firstLine="480"/>
        <w:jc w:val="left"/>
        <w:rPr>
          <w:rFonts w:ascii="Times New Roman" w:hAnsi="Times New Roman"/>
          <w:szCs w:val="24"/>
        </w:rPr>
      </w:pPr>
      <w:r w:rsidRPr="003073D4">
        <w:rPr>
          <w:rFonts w:ascii="Times New Roman" w:hAnsi="Times New Roman"/>
          <w:bCs/>
          <w:sz w:val="24"/>
        </w:rPr>
        <w:t>4</w:t>
      </w:r>
      <w:r w:rsidRPr="003073D4">
        <w:rPr>
          <w:rFonts w:ascii="Times New Roman" w:hAnsi="Times New Roman" w:hint="eastAsia"/>
          <w:bCs/>
          <w:sz w:val="24"/>
        </w:rPr>
        <w:t>、基金收益分配后任一类基金份额净值不能低于面值，即基金收益分配基准日的任一类基金份额净值减去该类每单位基金份额收益分配金额后不能低于面值；</w:t>
      </w:r>
    </w:p>
    <w:p w14:paraId="1E0917C0" w14:textId="72FA48C6" w:rsidR="00D87CF5" w:rsidRDefault="00AB3A13">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w:t>
      </w:r>
      <w:r w:rsidR="00CA69EB">
        <w:rPr>
          <w:rFonts w:ascii="宋体" w:hAnsi="宋体"/>
          <w:sz w:val="24"/>
        </w:rPr>
        <w:t>、本基金同一基金份额类别的每一基金份额享有同等分配权；</w:t>
      </w:r>
    </w:p>
    <w:p w14:paraId="06C6C1C7" w14:textId="505D5D7A" w:rsidR="00BF4C70" w:rsidRDefault="00BF4C70">
      <w:pPr>
        <w:autoSpaceDE w:val="0"/>
        <w:autoSpaceDN w:val="0"/>
        <w:adjustRightInd w:val="0"/>
        <w:snapToGrid w:val="0"/>
        <w:spacing w:line="360" w:lineRule="auto"/>
        <w:ind w:firstLineChars="200" w:firstLine="480"/>
        <w:jc w:val="left"/>
        <w:rPr>
          <w:rFonts w:ascii="宋体" w:hAnsi="宋体"/>
          <w:szCs w:val="24"/>
        </w:rPr>
      </w:pPr>
      <w:r w:rsidRPr="00C851B9">
        <w:rPr>
          <w:rFonts w:ascii="宋体" w:hAnsi="宋体"/>
          <w:sz w:val="24"/>
        </w:rPr>
        <w:t>6</w:t>
      </w:r>
      <w:r w:rsidRPr="00C851B9">
        <w:rPr>
          <w:rFonts w:ascii="宋体" w:hAnsi="宋体" w:hint="eastAsia"/>
          <w:sz w:val="24"/>
        </w:rPr>
        <w:t>、</w:t>
      </w:r>
      <w:r w:rsidRPr="0018317E">
        <w:rPr>
          <w:rFonts w:hint="eastAsia"/>
          <w:bCs/>
          <w:sz w:val="24"/>
        </w:rPr>
        <w:t>对于收益分配方式为红利再投资的基金份额，</w:t>
      </w:r>
      <w:r>
        <w:rPr>
          <w:rFonts w:hint="eastAsia"/>
          <w:bCs/>
          <w:sz w:val="24"/>
        </w:rPr>
        <w:t>每份基金份额（原份额）</w:t>
      </w:r>
      <w:r w:rsidRPr="0018317E">
        <w:rPr>
          <w:rFonts w:hint="eastAsia"/>
          <w:bCs/>
          <w:sz w:val="24"/>
        </w:rPr>
        <w:t>所获得的红利再投资</w:t>
      </w:r>
      <w:r>
        <w:rPr>
          <w:rFonts w:hint="eastAsia"/>
          <w:bCs/>
          <w:sz w:val="24"/>
        </w:rPr>
        <w:t>份额的运作期到期日，与</w:t>
      </w:r>
      <w:r w:rsidRPr="0018317E">
        <w:rPr>
          <w:rFonts w:hint="eastAsia"/>
          <w:bCs/>
          <w:sz w:val="24"/>
        </w:rPr>
        <w:t>该原</w:t>
      </w:r>
      <w:r>
        <w:rPr>
          <w:rFonts w:hint="eastAsia"/>
          <w:bCs/>
          <w:sz w:val="24"/>
        </w:rPr>
        <w:t>份额的运作期到期日</w:t>
      </w:r>
      <w:r w:rsidRPr="0018317E">
        <w:rPr>
          <w:rFonts w:hint="eastAsia"/>
          <w:bCs/>
          <w:sz w:val="24"/>
        </w:rPr>
        <w:t>一致；</w:t>
      </w:r>
    </w:p>
    <w:p w14:paraId="5DE0D31A" w14:textId="763D64EF" w:rsidR="00D87CF5" w:rsidRDefault="00BF4C7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sidR="00CA69EB">
        <w:rPr>
          <w:rFonts w:ascii="宋体" w:hAnsi="宋体"/>
          <w:sz w:val="24"/>
        </w:rPr>
        <w:t>、法律法规或监管机关另有规定的，从其规定。</w:t>
      </w:r>
    </w:p>
    <w:p w14:paraId="150F68A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（四）收益分配方案</w:t>
      </w:r>
    </w:p>
    <w:p w14:paraId="0B2FCC0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14:paraId="43B3FDB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（五）收益分配方案的确定、公告与实施</w:t>
      </w:r>
    </w:p>
    <w:p w14:paraId="6B184983" w14:textId="6801F95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本基金收益分配方案由基金管理人拟定，并由基金托管人复核，依照《信息披露办法》的规定在</w:t>
      </w:r>
      <w:r w:rsidR="00DC3206">
        <w:rPr>
          <w:rFonts w:ascii="宋体" w:hAnsi="宋体"/>
          <w:sz w:val="24"/>
        </w:rPr>
        <w:t>规定媒介</w:t>
      </w:r>
      <w:r>
        <w:rPr>
          <w:rFonts w:ascii="宋体" w:hAnsi="宋体"/>
          <w:sz w:val="24"/>
        </w:rPr>
        <w:t>公告。</w:t>
      </w:r>
    </w:p>
    <w:p w14:paraId="1DC91B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法律法规或监管机关另有规定的，从其规定。</w:t>
      </w:r>
    </w:p>
    <w:p w14:paraId="47219FA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（六）基金收益分配中发生的费用</w:t>
      </w:r>
    </w:p>
    <w:p w14:paraId="6FF73A2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7A801FD2" w14:textId="6B7DC21C" w:rsidR="00D87CF5" w:rsidRDefault="00CA69EB" w:rsidP="00A112C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（七）收益分配方式的修改</w:t>
      </w:r>
    </w:p>
    <w:p w14:paraId="2051BA25" w14:textId="79701409" w:rsidR="00D87CF5" w:rsidRDefault="00CA69EB" w:rsidP="00A112C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14:paraId="7A5EE4D8" w14:textId="13AB2427" w:rsidR="00D87CF5" w:rsidRDefault="00CA69EB" w:rsidP="00A112C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14:paraId="257E36A5" w14:textId="2796B1DA" w:rsidR="00D87CF5" w:rsidRDefault="00CA69EB" w:rsidP="00E3660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（八）实施侧袋机制期间的收益分配</w:t>
      </w:r>
    </w:p>
    <w:p w14:paraId="76031B4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本基金实施侧袋机制的，侧袋账户不进行收益分配。</w:t>
      </w:r>
    </w:p>
    <w:p w14:paraId="703B3E20"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BCB33DC" w14:textId="2EC69329" w:rsidR="00D87CF5" w:rsidRDefault="00CA69EB">
      <w:pPr>
        <w:pStyle w:val="1"/>
        <w:snapToGrid w:val="0"/>
        <w:spacing w:beforeLines="0" w:before="240" w:after="240"/>
        <w:rPr>
          <w:rFonts w:ascii="宋体" w:hAnsi="宋体"/>
          <w:szCs w:val="30"/>
        </w:rPr>
      </w:pPr>
      <w:bookmarkStart w:id="23" w:name="_Toc104564196"/>
      <w:bookmarkStart w:id="24" w:name="_Hlk101008094"/>
      <w:bookmarkEnd w:id="22"/>
      <w:r>
        <w:rPr>
          <w:rFonts w:ascii="Times New Roman" w:hAnsi="Times New Roman"/>
          <w:sz w:val="30"/>
        </w:rPr>
        <w:lastRenderedPageBreak/>
        <w:t>十</w:t>
      </w:r>
      <w:r w:rsidR="000F75F7">
        <w:rPr>
          <w:rFonts w:ascii="Times New Roman" w:hAnsi="Times New Roman" w:hint="eastAsia"/>
          <w:sz w:val="30"/>
        </w:rPr>
        <w:t>三</w:t>
      </w:r>
      <w:r>
        <w:rPr>
          <w:rFonts w:ascii="Times New Roman" w:hAnsi="Times New Roman"/>
          <w:sz w:val="30"/>
        </w:rPr>
        <w:t>、基金的费用与税收</w:t>
      </w:r>
      <w:bookmarkEnd w:id="23"/>
    </w:p>
    <w:p w14:paraId="2D91377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（一）基金费用的种类</w:t>
      </w:r>
    </w:p>
    <w:p w14:paraId="370ABBE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31D88D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5BBA356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14:paraId="119EB3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4、《基金合同》生效后与基金相关的会计师费、律师费、仲裁费和诉讼费；</w:t>
      </w:r>
    </w:p>
    <w:p w14:paraId="10484B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14:paraId="4074DEB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6、基金的证券交易费用；</w:t>
      </w:r>
    </w:p>
    <w:p w14:paraId="5E90B88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14:paraId="710490D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8、基金的开户费用、账户维护费用；</w:t>
      </w:r>
    </w:p>
    <w:p w14:paraId="5734D0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9、本基金从C类基金份额的基金财产中计提的销售服务费；</w:t>
      </w:r>
    </w:p>
    <w:p w14:paraId="203B6D3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10、按照国家有关规定和《基金合同》约定，可以在基金财产中列支的其他费用。</w:t>
      </w:r>
    </w:p>
    <w:p w14:paraId="22DAA76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（二）基金费用计提方法、计提标准和支付方式</w:t>
      </w:r>
    </w:p>
    <w:p w14:paraId="3955305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14:paraId="142CB1E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11B2CB02" w14:textId="7944CF3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本基金的管理费按前一日基金资产净值的0.</w:t>
      </w:r>
      <w:r w:rsidR="00B119BB">
        <w:rPr>
          <w:rFonts w:ascii="宋体" w:hAnsi="宋体"/>
          <w:sz w:val="24"/>
        </w:rPr>
        <w:t>20</w:t>
      </w:r>
      <w:r>
        <w:rPr>
          <w:rFonts w:ascii="宋体" w:hAnsi="宋体"/>
          <w:sz w:val="24"/>
        </w:rPr>
        <w:t>%年费率计提。管理费的计算方法如下：</w:t>
      </w:r>
    </w:p>
    <w:p w14:paraId="1322D383" w14:textId="5FCD712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w:t>
      </w:r>
      <w:r w:rsidR="00B119BB">
        <w:rPr>
          <w:rFonts w:ascii="宋体" w:hAnsi="宋体"/>
          <w:sz w:val="24"/>
        </w:rPr>
        <w:t>20</w:t>
      </w:r>
      <w:r>
        <w:rPr>
          <w:rFonts w:ascii="宋体" w:hAnsi="宋体"/>
          <w:sz w:val="24"/>
        </w:rPr>
        <w:t>%÷当年天数</w:t>
      </w:r>
    </w:p>
    <w:p w14:paraId="3A18FC8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14:paraId="6B9C291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1F64513A" w14:textId="6D2E916B" w:rsidR="00D87CF5" w:rsidRDefault="005C022E">
      <w:pPr>
        <w:autoSpaceDE w:val="0"/>
        <w:autoSpaceDN w:val="0"/>
        <w:adjustRightInd w:val="0"/>
        <w:snapToGrid w:val="0"/>
        <w:spacing w:line="360" w:lineRule="auto"/>
        <w:ind w:firstLineChars="200" w:firstLine="480"/>
        <w:jc w:val="left"/>
        <w:rPr>
          <w:rFonts w:ascii="宋体" w:hAnsi="宋体"/>
          <w:szCs w:val="24"/>
        </w:rPr>
      </w:pPr>
      <w:r w:rsidRPr="0089675F">
        <w:rPr>
          <w:rFonts w:hint="eastAsia"/>
          <w:bCs/>
          <w:sz w:val="24"/>
        </w:rPr>
        <w:t>基金管理费每日计提，逐日累计至每月月末，按月支付。由基金管理人与基金托管人核对一致后，由基金托管人按照与基金管理人协商一致的方式于次月首日起</w:t>
      </w:r>
      <w:r w:rsidRPr="0089675F">
        <w:rPr>
          <w:rFonts w:hint="eastAsia"/>
          <w:bCs/>
          <w:sz w:val="24"/>
        </w:rPr>
        <w:t>5</w:t>
      </w:r>
      <w:r w:rsidRPr="0089675F">
        <w:rPr>
          <w:rFonts w:hint="eastAsia"/>
          <w:bCs/>
          <w:sz w:val="24"/>
        </w:rPr>
        <w:t>个工作日内从基金财产中一次性支付给基金管理人，若遇法定节假日、休息日或不可抗力致使无法按时支付的，支付日期顺延。</w:t>
      </w:r>
    </w:p>
    <w:p w14:paraId="668CDB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44D3C812" w14:textId="2E8D9E1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w:t>
      </w:r>
      <w:r w:rsidR="005C022E">
        <w:rPr>
          <w:rFonts w:ascii="宋体" w:hAnsi="宋体"/>
          <w:sz w:val="24"/>
        </w:rPr>
        <w:t>05</w:t>
      </w:r>
      <w:r>
        <w:rPr>
          <w:rFonts w:ascii="宋体" w:hAnsi="宋体"/>
          <w:sz w:val="24"/>
        </w:rPr>
        <w:t>%年费率计提。托管费的计算方法如下：</w:t>
      </w:r>
    </w:p>
    <w:p w14:paraId="0BAF470A" w14:textId="09F6F20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w:t>
      </w:r>
      <w:r w:rsidR="005C022E">
        <w:rPr>
          <w:rFonts w:ascii="宋体" w:hAnsi="宋体"/>
          <w:sz w:val="24"/>
        </w:rPr>
        <w:t>05</w:t>
      </w:r>
      <w:r>
        <w:rPr>
          <w:rFonts w:ascii="宋体" w:hAnsi="宋体"/>
          <w:sz w:val="24"/>
        </w:rPr>
        <w:t>%÷当年天数</w:t>
      </w:r>
    </w:p>
    <w:p w14:paraId="5E44FE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H为每日应计提的基金托管费</w:t>
      </w:r>
    </w:p>
    <w:p w14:paraId="17EC48D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6F8293C4" w14:textId="22BF7299" w:rsidR="00D87CF5" w:rsidRDefault="005C022E">
      <w:pPr>
        <w:autoSpaceDE w:val="0"/>
        <w:autoSpaceDN w:val="0"/>
        <w:adjustRightInd w:val="0"/>
        <w:snapToGrid w:val="0"/>
        <w:spacing w:line="360" w:lineRule="auto"/>
        <w:ind w:firstLineChars="200" w:firstLine="480"/>
        <w:jc w:val="left"/>
        <w:rPr>
          <w:rFonts w:ascii="宋体" w:hAnsi="宋体"/>
          <w:szCs w:val="24"/>
        </w:rPr>
      </w:pPr>
      <w:r w:rsidRPr="0090416C">
        <w:rPr>
          <w:rFonts w:hint="eastAsia"/>
          <w:bCs/>
          <w:sz w:val="24"/>
        </w:rPr>
        <w:t>基金托管费每日计提，逐日累计至每月月末，按月支付。由基金管理人与基金托管人核对一致后，由基金托管人按照与基金管理人协商一致的方式于次月首日起</w:t>
      </w:r>
      <w:r w:rsidRPr="0090416C">
        <w:rPr>
          <w:rFonts w:hint="eastAsia"/>
          <w:bCs/>
          <w:sz w:val="24"/>
        </w:rPr>
        <w:t>5</w:t>
      </w:r>
      <w:r w:rsidRPr="0090416C">
        <w:rPr>
          <w:rFonts w:hint="eastAsia"/>
          <w:bCs/>
          <w:sz w:val="24"/>
        </w:rPr>
        <w:t>个工作日内从基金财产中一次性支付给基金托管人，若遇法定节假日、休息日或不可抗力致使无法按时支付的，支付日期顺延。</w:t>
      </w:r>
    </w:p>
    <w:p w14:paraId="7F6BC28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（3）C类基金份额的销售服务费</w:t>
      </w:r>
    </w:p>
    <w:p w14:paraId="6411DC40" w14:textId="259C25E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本基金A类基金份额不收取销售服务费，C类基金份额的销售服务费按前一日C类基金资产净值的0.</w:t>
      </w:r>
      <w:r w:rsidR="005C022E">
        <w:rPr>
          <w:rFonts w:ascii="宋体" w:hAnsi="宋体"/>
          <w:sz w:val="24"/>
        </w:rPr>
        <w:t>15</w:t>
      </w:r>
      <w:r>
        <w:rPr>
          <w:rFonts w:ascii="宋体" w:hAnsi="宋体"/>
          <w:sz w:val="24"/>
        </w:rPr>
        <w:t>%年费率计提。计算方法如下：</w:t>
      </w:r>
    </w:p>
    <w:p w14:paraId="1C3B7A2A" w14:textId="726621D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w:t>
      </w:r>
      <w:r w:rsidR="005C022E">
        <w:rPr>
          <w:rFonts w:ascii="宋体" w:hAnsi="宋体"/>
          <w:sz w:val="24"/>
        </w:rPr>
        <w:t>15</w:t>
      </w:r>
      <w:r>
        <w:rPr>
          <w:rFonts w:ascii="宋体" w:hAnsi="宋体"/>
          <w:sz w:val="24"/>
        </w:rPr>
        <w:t>%÷当年天数</w:t>
      </w:r>
    </w:p>
    <w:p w14:paraId="30CA5AD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H为C类基金份额每日应计提的销售服务费</w:t>
      </w:r>
    </w:p>
    <w:p w14:paraId="5E0C1C8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E为C类基金份额前一日基金资产净值</w:t>
      </w:r>
    </w:p>
    <w:p w14:paraId="11AE93BA" w14:textId="6E3D3538" w:rsidR="00D87CF5" w:rsidRDefault="005C022E">
      <w:pPr>
        <w:autoSpaceDE w:val="0"/>
        <w:autoSpaceDN w:val="0"/>
        <w:adjustRightInd w:val="0"/>
        <w:snapToGrid w:val="0"/>
        <w:spacing w:line="360" w:lineRule="auto"/>
        <w:ind w:firstLineChars="200" w:firstLine="480"/>
        <w:jc w:val="left"/>
        <w:rPr>
          <w:rFonts w:ascii="宋体" w:hAnsi="宋体"/>
          <w:szCs w:val="24"/>
        </w:rPr>
      </w:pPr>
      <w:r w:rsidRPr="00C67C11">
        <w:rPr>
          <w:rFonts w:hint="eastAsia"/>
          <w:bCs/>
          <w:sz w:val="24"/>
        </w:rPr>
        <w:t>C</w:t>
      </w:r>
      <w:r w:rsidRPr="00C67C11">
        <w:rPr>
          <w:rFonts w:hint="eastAsia"/>
          <w:bCs/>
          <w:sz w:val="24"/>
        </w:rPr>
        <w:t>类基金份额销售服务费每日计提，逐日累计至每月月末，按月支付。由基金管理人与基金托管人核对一致后，由基金托管人按照与基金管理人协商一致的方式于次月首日起</w:t>
      </w:r>
      <w:r w:rsidRPr="00C67C11">
        <w:rPr>
          <w:rFonts w:hint="eastAsia"/>
          <w:bCs/>
          <w:sz w:val="24"/>
        </w:rPr>
        <w:t>5</w:t>
      </w:r>
      <w:r w:rsidRPr="00C67C11">
        <w:rPr>
          <w:rFonts w:hint="eastAsia"/>
          <w:bCs/>
          <w:sz w:val="24"/>
        </w:rPr>
        <w:t>个工作日内从基金财产中一次性支付给基金管理人，由基金管理人代付给销售机构，若遇法定节假日、休息日或不可抗力致使无法按时支付的，支付日期顺延。</w:t>
      </w:r>
    </w:p>
    <w:p w14:paraId="7165FAA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C类基金份额的销售服务费将专门用于本基金的推广、销售与基金份额持有人服务。</w:t>
      </w:r>
    </w:p>
    <w:p w14:paraId="704D6EF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（4）上述“（一）基金费用的种类”中第3－8项、第10项费用，根据有关法规及相应协议规定，按费用实际支出金额列入当期费用，由基金托管人从基金财产中支付。</w:t>
      </w:r>
    </w:p>
    <w:p w14:paraId="65A80B9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14:paraId="7AD0BF4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14:paraId="3546B51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14:paraId="749E63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14:paraId="7B67F35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14:paraId="5DEEFCE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（三）不列入基金费用的项目</w:t>
      </w:r>
    </w:p>
    <w:p w14:paraId="346877C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下列费用不列入基金费用：</w:t>
      </w:r>
    </w:p>
    <w:p w14:paraId="26C86C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14:paraId="72000E6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14:paraId="0736A3A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14:paraId="562FE8C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14:paraId="0702B26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（四）实施侧袋机制期间的基金费用</w:t>
      </w:r>
    </w:p>
    <w:p w14:paraId="0D81E5A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14:paraId="4B548DF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（五）基金税收</w:t>
      </w:r>
    </w:p>
    <w:p w14:paraId="05D7031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49E5256"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8C983EF" w14:textId="43929033" w:rsidR="00D87CF5" w:rsidRDefault="00CA69EB">
      <w:pPr>
        <w:pStyle w:val="1"/>
        <w:snapToGrid w:val="0"/>
        <w:spacing w:beforeLines="0" w:before="240" w:after="240"/>
        <w:rPr>
          <w:rFonts w:ascii="宋体" w:hAnsi="宋体"/>
          <w:szCs w:val="30"/>
        </w:rPr>
      </w:pPr>
      <w:bookmarkStart w:id="25" w:name="_Toc104564197"/>
      <w:bookmarkStart w:id="26" w:name="_Hlk101008100"/>
      <w:bookmarkEnd w:id="24"/>
      <w:r>
        <w:rPr>
          <w:rFonts w:ascii="Times New Roman" w:hAnsi="Times New Roman"/>
          <w:sz w:val="30"/>
        </w:rPr>
        <w:lastRenderedPageBreak/>
        <w:t>十</w:t>
      </w:r>
      <w:r w:rsidR="000F75F7">
        <w:rPr>
          <w:rFonts w:ascii="Times New Roman" w:hAnsi="Times New Roman" w:hint="eastAsia"/>
          <w:sz w:val="30"/>
        </w:rPr>
        <w:t>四</w:t>
      </w:r>
      <w:r>
        <w:rPr>
          <w:rFonts w:ascii="Times New Roman" w:hAnsi="Times New Roman"/>
          <w:sz w:val="30"/>
        </w:rPr>
        <w:t>、基金的会计与审计</w:t>
      </w:r>
      <w:bookmarkEnd w:id="25"/>
    </w:p>
    <w:p w14:paraId="15D747B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（一）基金会计政策</w:t>
      </w:r>
    </w:p>
    <w:p w14:paraId="7EE7BDF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14:paraId="1B6F1E7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2、基金的会计年度为公历年度的1月1日至12月31日；基金首次募集的会计年度按如下原则：如果《基金合同》生效少于2个月，可以并入下一个会计年度披露；</w:t>
      </w:r>
    </w:p>
    <w:p w14:paraId="10F1B47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14:paraId="23A6351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14:paraId="3A50969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14:paraId="40ADFEC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14:paraId="6E136BD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14:paraId="7A1DBBC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（二）基金的年度审计</w:t>
      </w:r>
    </w:p>
    <w:p w14:paraId="61B987A6" w14:textId="68B2D88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w:t>
      </w:r>
      <w:r w:rsidR="005A4CCC" w:rsidRPr="00797842">
        <w:rPr>
          <w:rFonts w:hint="eastAsia"/>
          <w:bCs/>
          <w:sz w:val="24"/>
        </w:rPr>
        <w:t>符合《中华人民共和国证券法》规定</w:t>
      </w:r>
      <w:r>
        <w:rPr>
          <w:rFonts w:ascii="宋体" w:hAnsi="宋体"/>
          <w:sz w:val="24"/>
        </w:rPr>
        <w:t>的会计师事务所及其注册会计师对本基金的年度财务报表进行审计。</w:t>
      </w:r>
    </w:p>
    <w:p w14:paraId="2595DAB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14:paraId="00F4C8DF" w14:textId="302AAC3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3、基金管理人认为有充足理由更换会计师事务所，须通报基金托管人。更换会计师事务所需依照《信息披露办法》的规定在</w:t>
      </w:r>
      <w:r w:rsidR="00DC3206">
        <w:rPr>
          <w:rFonts w:ascii="宋体" w:hAnsi="宋体"/>
          <w:sz w:val="24"/>
        </w:rPr>
        <w:t>规定媒介</w:t>
      </w:r>
      <w:r>
        <w:rPr>
          <w:rFonts w:ascii="宋体" w:hAnsi="宋体"/>
          <w:sz w:val="24"/>
        </w:rPr>
        <w:t>公告。</w:t>
      </w:r>
    </w:p>
    <w:p w14:paraId="49CAC86F"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37837BA" w14:textId="701E3BCE" w:rsidR="00D87CF5" w:rsidRDefault="00CA69EB">
      <w:pPr>
        <w:pStyle w:val="1"/>
        <w:snapToGrid w:val="0"/>
        <w:spacing w:beforeLines="0" w:before="240" w:after="240"/>
        <w:rPr>
          <w:rFonts w:ascii="宋体" w:hAnsi="宋体"/>
          <w:szCs w:val="30"/>
        </w:rPr>
      </w:pPr>
      <w:bookmarkStart w:id="27" w:name="_Toc104564198"/>
      <w:bookmarkStart w:id="28" w:name="_Hlk101008104"/>
      <w:bookmarkEnd w:id="26"/>
      <w:r>
        <w:rPr>
          <w:rFonts w:ascii="Times New Roman" w:hAnsi="Times New Roman"/>
          <w:sz w:val="30"/>
        </w:rPr>
        <w:lastRenderedPageBreak/>
        <w:t>十</w:t>
      </w:r>
      <w:r w:rsidR="000F75F7">
        <w:rPr>
          <w:rFonts w:ascii="Times New Roman" w:hAnsi="Times New Roman" w:hint="eastAsia"/>
          <w:sz w:val="30"/>
        </w:rPr>
        <w:t>五</w:t>
      </w:r>
      <w:r>
        <w:rPr>
          <w:rFonts w:ascii="Times New Roman" w:hAnsi="Times New Roman"/>
          <w:sz w:val="30"/>
        </w:rPr>
        <w:t>、基金的信息披露</w:t>
      </w:r>
      <w:bookmarkEnd w:id="27"/>
    </w:p>
    <w:p w14:paraId="35FE7A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（一）本基金的信息披露应符合《基金法》、《运作办法》、《信息披露办法》、《流动性风险管理规定》、《基金合同》及其他有关规定。</w:t>
      </w:r>
    </w:p>
    <w:p w14:paraId="7EB3B5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（二）信息披露义务人</w:t>
      </w:r>
    </w:p>
    <w:p w14:paraId="4F47CE9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本基金信息披露义务人包括基金管理人、基金托管人、召集基金份额持有人大会的基金份额持有人等法律、行政法规和中国证监会规定的自然人、法人和非法人组织。</w:t>
      </w:r>
    </w:p>
    <w:p w14:paraId="10CE3D7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14:paraId="5318F5AA" w14:textId="00CEF41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w:t>
      </w:r>
      <w:r w:rsidR="005A4CCC" w:rsidRPr="000671F3">
        <w:rPr>
          <w:bCs/>
          <w:sz w:val="24"/>
        </w:rPr>
        <w:t>符合中国证监会</w:t>
      </w:r>
      <w:r w:rsidR="005A4CCC" w:rsidRPr="000671F3">
        <w:rPr>
          <w:rFonts w:hint="eastAsia"/>
          <w:bCs/>
          <w:sz w:val="24"/>
        </w:rPr>
        <w:t>规定条件</w:t>
      </w:r>
      <w:r w:rsidR="005A4CCC" w:rsidRPr="000671F3">
        <w:rPr>
          <w:bCs/>
          <w:sz w:val="24"/>
        </w:rPr>
        <w:t>的</w:t>
      </w:r>
      <w:r w:rsidR="005A4CCC" w:rsidRPr="000671F3">
        <w:rPr>
          <w:rFonts w:hint="eastAsia"/>
          <w:bCs/>
          <w:sz w:val="24"/>
        </w:rPr>
        <w:t>全国性报刊</w:t>
      </w:r>
      <w:r w:rsidR="005A4CCC" w:rsidRPr="003073D4">
        <w:rPr>
          <w:rFonts w:ascii="Times New Roman" w:hAnsi="Times New Roman" w:hint="eastAsia"/>
          <w:bCs/>
          <w:sz w:val="24"/>
        </w:rPr>
        <w:t>（以下简称“规定报刊”）及《信息披露办法》规定的互联网网站（以下简称</w:t>
      </w:r>
      <w:r w:rsidR="005A4CCC" w:rsidRPr="003073D4">
        <w:rPr>
          <w:rFonts w:ascii="Times New Roman" w:hAnsi="Times New Roman"/>
          <w:bCs/>
          <w:sz w:val="24"/>
        </w:rPr>
        <w:t>“</w:t>
      </w:r>
      <w:r w:rsidR="005A4CCC" w:rsidRPr="003073D4">
        <w:rPr>
          <w:rFonts w:ascii="Times New Roman" w:hAnsi="Times New Roman" w:hint="eastAsia"/>
          <w:bCs/>
          <w:sz w:val="24"/>
        </w:rPr>
        <w:t>规定网站</w:t>
      </w:r>
      <w:r w:rsidR="005A4CCC" w:rsidRPr="003073D4">
        <w:rPr>
          <w:rFonts w:ascii="Times New Roman" w:hAnsi="Times New Roman"/>
          <w:bCs/>
          <w:sz w:val="24"/>
        </w:rPr>
        <w:t>”</w:t>
      </w:r>
      <w:r w:rsidR="005A4CCC" w:rsidRPr="003073D4">
        <w:rPr>
          <w:rFonts w:ascii="Times New Roman" w:hAnsi="Times New Roman" w:hint="eastAsia"/>
          <w:bCs/>
          <w:sz w:val="24"/>
        </w:rPr>
        <w:t>）</w:t>
      </w:r>
      <w:r>
        <w:rPr>
          <w:rFonts w:ascii="宋体" w:hAnsi="宋体"/>
          <w:sz w:val="24"/>
        </w:rPr>
        <w:t>等媒介披露，并保证基金投资者能够按照《基金合同》约定的时间和方式查阅或者复制公开披露的信息资料。</w:t>
      </w:r>
    </w:p>
    <w:p w14:paraId="7F95692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（三）本基金信息披露义务人承诺公开披露的基金信息，不得有下列行为：</w:t>
      </w:r>
    </w:p>
    <w:p w14:paraId="21EEDFD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14:paraId="640D440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14:paraId="6BF8422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14:paraId="2E0E71B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14:paraId="7B2D3F1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14:paraId="11DA25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14:paraId="78D8D3C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（四）本基金公开披露的信息应采用中文文本。如同时采用外文文本的，基金信息披露义务人应保证不同文本的内容一致。不同文本之间发生歧义的，以中文文本为准。</w:t>
      </w:r>
    </w:p>
    <w:p w14:paraId="3141557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14:paraId="32782D2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（五）公开披露的基金信息</w:t>
      </w:r>
    </w:p>
    <w:p w14:paraId="47697EE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14:paraId="3536F55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14:paraId="186E904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（1）《基金合同》是界定《基金合同》当事人的各项权利、义务关系，明确基金份额持有人大会召开的规则及具体程序，说明基金产品的特性等涉及基金投资者重大利益的事项的法律文件。</w:t>
      </w:r>
    </w:p>
    <w:p w14:paraId="64A2AC51" w14:textId="4CF3500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5A4CCC" w:rsidRPr="000671F3">
        <w:rPr>
          <w:rFonts w:hint="eastAsia"/>
          <w:bCs/>
          <w:sz w:val="24"/>
        </w:rPr>
        <w:t>规定网站</w:t>
      </w:r>
      <w:r>
        <w:rPr>
          <w:rFonts w:ascii="宋体" w:hAnsi="宋体"/>
          <w:sz w:val="24"/>
        </w:rPr>
        <w:t>上；基金招募说明书其他信息发生变更的，基金管理人至少每年更新一次。</w:t>
      </w:r>
      <w:r w:rsidR="005A4CCC">
        <w:rPr>
          <w:rFonts w:ascii="宋体" w:hAnsi="宋体" w:hint="eastAsia"/>
          <w:sz w:val="24"/>
        </w:rPr>
        <w:t>基金终止运作的</w:t>
      </w:r>
      <w:r>
        <w:rPr>
          <w:rFonts w:ascii="宋体" w:hAnsi="宋体"/>
          <w:sz w:val="24"/>
        </w:rPr>
        <w:t>，基金管理人不再更新基金招募说明书。</w:t>
      </w:r>
    </w:p>
    <w:p w14:paraId="4FB9912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14:paraId="1D02EE1F" w14:textId="3043FB0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5A4CCC" w:rsidRPr="000671F3">
        <w:rPr>
          <w:rFonts w:hint="eastAsia"/>
          <w:bCs/>
          <w:sz w:val="24"/>
        </w:rPr>
        <w:t>规定网站</w:t>
      </w:r>
      <w:r>
        <w:rPr>
          <w:rFonts w:ascii="宋体" w:hAnsi="宋体"/>
          <w:sz w:val="24"/>
        </w:rPr>
        <w:t>及基金销售机构网站或营业网点；基金产品资料概要其他信息发生变更的，基金管理人至少每年更新一次。基金终止</w:t>
      </w:r>
      <w:r w:rsidR="005A4CCC">
        <w:rPr>
          <w:rFonts w:ascii="宋体" w:hAnsi="宋体" w:hint="eastAsia"/>
          <w:sz w:val="24"/>
        </w:rPr>
        <w:t>运作</w:t>
      </w:r>
      <w:r>
        <w:rPr>
          <w:rFonts w:ascii="宋体" w:hAnsi="宋体"/>
          <w:sz w:val="24"/>
        </w:rPr>
        <w:t>的，基金管理人不再更新基金产品资料概要。</w:t>
      </w:r>
    </w:p>
    <w:p w14:paraId="1475EA64" w14:textId="77944D5E" w:rsidR="00D87CF5" w:rsidRPr="003073D4" w:rsidRDefault="005A4CCC" w:rsidP="003073D4">
      <w:pPr>
        <w:spacing w:line="360" w:lineRule="auto"/>
        <w:ind w:firstLineChars="200" w:firstLine="480"/>
        <w:rPr>
          <w:bCs/>
          <w:sz w:val="24"/>
        </w:rPr>
      </w:pPr>
      <w:r w:rsidRPr="000671F3">
        <w:rPr>
          <w:rFonts w:hint="eastAsia"/>
          <w:bCs/>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r w:rsidRPr="000671F3">
        <w:rPr>
          <w:bCs/>
          <w:sz w:val="24"/>
        </w:rPr>
        <w:t>。</w:t>
      </w:r>
    </w:p>
    <w:p w14:paraId="0AADAA9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14:paraId="437709EC" w14:textId="0F69089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w:t>
      </w:r>
      <w:r w:rsidR="00DC3206">
        <w:rPr>
          <w:rFonts w:ascii="宋体" w:hAnsi="宋体"/>
          <w:sz w:val="24"/>
        </w:rPr>
        <w:t>规定媒介</w:t>
      </w:r>
      <w:r>
        <w:rPr>
          <w:rFonts w:ascii="宋体" w:hAnsi="宋体"/>
          <w:sz w:val="24"/>
        </w:rPr>
        <w:t>上。</w:t>
      </w:r>
    </w:p>
    <w:p w14:paraId="48C4881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14:paraId="36A69129" w14:textId="4B7C0D1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w:t>
      </w:r>
      <w:r w:rsidR="00DC3206">
        <w:rPr>
          <w:rFonts w:ascii="宋体" w:hAnsi="宋体"/>
          <w:sz w:val="24"/>
        </w:rPr>
        <w:t>规定媒介</w:t>
      </w:r>
      <w:r>
        <w:rPr>
          <w:rFonts w:ascii="宋体" w:hAnsi="宋体"/>
          <w:sz w:val="24"/>
        </w:rPr>
        <w:t>上登载《基金合同》生效公告。</w:t>
      </w:r>
    </w:p>
    <w:p w14:paraId="2F1B967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4、基金净值信息</w:t>
      </w:r>
    </w:p>
    <w:p w14:paraId="5067C1B2" w14:textId="710EB23F"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《基金合同》生效后，在开始办理基金份额申购或者赎回前，基金管理人应当至少每周在</w:t>
      </w:r>
      <w:r w:rsidR="005A4CCC" w:rsidRPr="000671F3">
        <w:rPr>
          <w:rFonts w:hint="eastAsia"/>
          <w:bCs/>
          <w:sz w:val="24"/>
        </w:rPr>
        <w:t>规定网站</w:t>
      </w:r>
      <w:r>
        <w:rPr>
          <w:rFonts w:ascii="宋体" w:hAnsi="宋体"/>
          <w:sz w:val="24"/>
        </w:rPr>
        <w:t>分别披露一次A类基金份额和C类基金份额所对应的基金份额净值和基金份额累计净值</w:t>
      </w:r>
      <w:r w:rsidR="005A4CCC">
        <w:rPr>
          <w:rFonts w:ascii="宋体" w:hAnsi="宋体" w:hint="eastAsia"/>
          <w:sz w:val="24"/>
        </w:rPr>
        <w:t>。</w:t>
      </w:r>
    </w:p>
    <w:p w14:paraId="377EB689" w14:textId="5BD91000"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在开始办理基金份额申购或者赎回后，基金管理人应当在不晚于每个开放日的次日，通过</w:t>
      </w:r>
      <w:r w:rsidR="005A4CCC" w:rsidRPr="00366ED7">
        <w:rPr>
          <w:rFonts w:hint="eastAsia"/>
          <w:bCs/>
          <w:sz w:val="24"/>
        </w:rPr>
        <w:t>规定网站</w:t>
      </w:r>
      <w:r>
        <w:rPr>
          <w:rFonts w:ascii="宋体" w:hAnsi="宋体"/>
          <w:sz w:val="24"/>
        </w:rPr>
        <w:t>、基金销售机构网站或者营业网点，分别披露开放日的A类基金份额和C类基金份额所对应的基金份额净值和基金份额累计净值。</w:t>
      </w:r>
    </w:p>
    <w:p w14:paraId="132D7CB0" w14:textId="3147A63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w:t>
      </w:r>
      <w:r w:rsidR="005A4CCC" w:rsidRPr="00366ED7">
        <w:rPr>
          <w:rFonts w:hint="eastAsia"/>
          <w:bCs/>
          <w:sz w:val="24"/>
        </w:rPr>
        <w:t>规定网站</w:t>
      </w:r>
      <w:r>
        <w:rPr>
          <w:rFonts w:ascii="宋体" w:hAnsi="宋体"/>
          <w:sz w:val="24"/>
        </w:rPr>
        <w:t>披露半年度和年度最后一日A类基金份额和C类基金份额所对应的基金份额净值和基金份额累计净值。</w:t>
      </w:r>
    </w:p>
    <w:p w14:paraId="53153A6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14:paraId="706DC89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3EB661B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6、基金定期报告，包括基金年度报告、基金中期报告和基金季度报告</w:t>
      </w:r>
    </w:p>
    <w:p w14:paraId="75D071BD" w14:textId="3B297B1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w:t>
      </w:r>
      <w:r w:rsidR="005A4CCC" w:rsidRPr="00366ED7">
        <w:rPr>
          <w:rFonts w:hint="eastAsia"/>
          <w:bCs/>
          <w:sz w:val="24"/>
        </w:rPr>
        <w:t>规定网站</w:t>
      </w:r>
      <w:r>
        <w:rPr>
          <w:rFonts w:ascii="宋体" w:hAnsi="宋体"/>
          <w:sz w:val="24"/>
        </w:rPr>
        <w:t>上，并将年度报告提示性公告登载在</w:t>
      </w:r>
      <w:r w:rsidR="005A4CCC" w:rsidRPr="000671F3">
        <w:rPr>
          <w:rFonts w:hint="eastAsia"/>
          <w:bCs/>
          <w:sz w:val="24"/>
        </w:rPr>
        <w:t>规定报刊</w:t>
      </w:r>
      <w:r>
        <w:rPr>
          <w:rFonts w:ascii="宋体" w:hAnsi="宋体"/>
          <w:sz w:val="24"/>
        </w:rPr>
        <w:t>上。基金年度报告中的财务会计报告应当经过</w:t>
      </w:r>
      <w:r w:rsidR="005A4CCC" w:rsidRPr="000671F3">
        <w:rPr>
          <w:rFonts w:hint="eastAsia"/>
          <w:bCs/>
          <w:sz w:val="24"/>
        </w:rPr>
        <w:t>符合《中华人民共和国证券法》规定</w:t>
      </w:r>
      <w:r>
        <w:rPr>
          <w:rFonts w:ascii="宋体" w:hAnsi="宋体"/>
          <w:sz w:val="24"/>
        </w:rPr>
        <w:t>的会计师事务所审计。</w:t>
      </w:r>
    </w:p>
    <w:p w14:paraId="58A856F2" w14:textId="1163898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w:t>
      </w:r>
      <w:r w:rsidR="005A4CCC" w:rsidRPr="000671F3">
        <w:rPr>
          <w:rFonts w:hint="eastAsia"/>
          <w:bCs/>
          <w:sz w:val="24"/>
        </w:rPr>
        <w:t>规定网站</w:t>
      </w:r>
      <w:r>
        <w:rPr>
          <w:rFonts w:ascii="宋体" w:hAnsi="宋体"/>
          <w:sz w:val="24"/>
        </w:rPr>
        <w:t>上，并将中期报告提示性公告登载在</w:t>
      </w:r>
      <w:r w:rsidR="005A4CCC" w:rsidRPr="000671F3">
        <w:rPr>
          <w:rFonts w:hint="eastAsia"/>
          <w:bCs/>
          <w:sz w:val="24"/>
        </w:rPr>
        <w:t>规定报刊</w:t>
      </w:r>
      <w:r>
        <w:rPr>
          <w:rFonts w:ascii="宋体" w:hAnsi="宋体"/>
          <w:sz w:val="24"/>
        </w:rPr>
        <w:t>上。</w:t>
      </w:r>
    </w:p>
    <w:p w14:paraId="4D1C6259" w14:textId="49CA08B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w:t>
      </w:r>
      <w:r w:rsidR="005A4CCC" w:rsidRPr="000671F3">
        <w:rPr>
          <w:rFonts w:hint="eastAsia"/>
          <w:bCs/>
          <w:sz w:val="24"/>
        </w:rPr>
        <w:t>规定网站</w:t>
      </w:r>
      <w:r>
        <w:rPr>
          <w:rFonts w:ascii="宋体" w:hAnsi="宋体"/>
          <w:sz w:val="24"/>
        </w:rPr>
        <w:t>上，并将季度报告提示性公告登载在</w:t>
      </w:r>
      <w:r w:rsidR="005A4CCC" w:rsidRPr="000671F3">
        <w:rPr>
          <w:rFonts w:hint="eastAsia"/>
          <w:bCs/>
          <w:sz w:val="24"/>
        </w:rPr>
        <w:t>规定报刊</w:t>
      </w:r>
      <w:r>
        <w:rPr>
          <w:rFonts w:ascii="宋体" w:hAnsi="宋体"/>
          <w:sz w:val="24"/>
        </w:rPr>
        <w:t>上。</w:t>
      </w:r>
    </w:p>
    <w:p w14:paraId="54F5C16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14:paraId="73097AC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4DB8603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14:paraId="354FE6B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7、临时报告</w:t>
      </w:r>
    </w:p>
    <w:p w14:paraId="5553A272" w14:textId="1E3A93D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本基金发生重大事件，有关信息披露义务人应当依照《信息披露办法》的规定编制临时报告书，并登载在</w:t>
      </w:r>
      <w:r w:rsidR="005A4CCC" w:rsidRPr="000671F3">
        <w:rPr>
          <w:rFonts w:hint="eastAsia"/>
          <w:bCs/>
          <w:sz w:val="24"/>
        </w:rPr>
        <w:t>规定报刊</w:t>
      </w:r>
      <w:r>
        <w:rPr>
          <w:rFonts w:ascii="宋体" w:hAnsi="宋体"/>
          <w:sz w:val="24"/>
        </w:rPr>
        <w:t>和</w:t>
      </w:r>
      <w:r w:rsidR="005A4CCC" w:rsidRPr="000671F3">
        <w:rPr>
          <w:rFonts w:hint="eastAsia"/>
          <w:bCs/>
          <w:sz w:val="24"/>
        </w:rPr>
        <w:t>规定网站</w:t>
      </w:r>
      <w:r>
        <w:rPr>
          <w:rFonts w:ascii="宋体" w:hAnsi="宋体"/>
          <w:sz w:val="24"/>
        </w:rPr>
        <w:t>上。</w:t>
      </w:r>
    </w:p>
    <w:p w14:paraId="048BDBB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14:paraId="0477B47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14:paraId="7F534F0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14:paraId="3A0B03C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14:paraId="539BB8B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14:paraId="18090CE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14:paraId="2E40F95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14:paraId="0DAB8A3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14:paraId="08E2AF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14:paraId="7B6C342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14:paraId="011A915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14:paraId="7345AAB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14:paraId="52B3039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389DF72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F1F3C3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14:paraId="0C566B9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（15）管理费、托管费、销售服务费、申购费、赎回费等费用计提标准、计提</w:t>
      </w:r>
      <w:r>
        <w:rPr>
          <w:rFonts w:ascii="宋体" w:hAnsi="宋体"/>
          <w:sz w:val="24"/>
        </w:rPr>
        <w:lastRenderedPageBreak/>
        <w:t>方式和费率发生变更；</w:t>
      </w:r>
    </w:p>
    <w:p w14:paraId="6A6A569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（16）任一类基金份额净值计价错误达该类基金份额净值百分之零点五；</w:t>
      </w:r>
    </w:p>
    <w:p w14:paraId="0C89F8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14:paraId="24146E1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14:paraId="3ED133C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14:paraId="7ABBA8E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14:paraId="0C4AFFA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14:paraId="343DA45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（22）基金管理人采用摆动定价机制进行估值；</w:t>
      </w:r>
    </w:p>
    <w:p w14:paraId="3BD7A50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（23）本基金增加或调整基金份额类别；</w:t>
      </w:r>
    </w:p>
    <w:p w14:paraId="5AE2F98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（24）本基金推出新业务或服务；</w:t>
      </w:r>
    </w:p>
    <w:p w14:paraId="508C614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（25）《基金合同》生效后，连续30、40、45个工作日出现基金份额持有人数量不满200人或者基金资产净值低于5000万元情形，基金管理人应当发布提示性公告；</w:t>
      </w:r>
    </w:p>
    <w:p w14:paraId="347DA0F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（26）基金信息披露义务人认为可能对基金份额持有人权益或者基金份额的价格产生重大影响的其他事项或中国证监会规定和基金合同约定的其他事项。</w:t>
      </w:r>
    </w:p>
    <w:p w14:paraId="5294DCF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8、澄清公告</w:t>
      </w:r>
    </w:p>
    <w:p w14:paraId="33EE33F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544C80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14:paraId="15D9F74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14:paraId="65EF1B61" w14:textId="77777777"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14:paraId="20FA3CDF" w14:textId="77777777" w:rsidR="005A4CCC" w:rsidRPr="000671F3" w:rsidRDefault="005A4CCC" w:rsidP="005A4CCC">
      <w:pPr>
        <w:spacing w:line="360" w:lineRule="auto"/>
        <w:ind w:firstLineChars="200" w:firstLine="480"/>
        <w:rPr>
          <w:bCs/>
          <w:sz w:val="24"/>
        </w:rPr>
      </w:pPr>
      <w:r w:rsidRPr="003073D4">
        <w:rPr>
          <w:rFonts w:ascii="Times New Roman" w:hAnsi="Times New Roman"/>
          <w:bCs/>
          <w:sz w:val="24"/>
        </w:rPr>
        <w:t>10</w:t>
      </w:r>
      <w:r w:rsidRPr="003073D4">
        <w:rPr>
          <w:rFonts w:ascii="Times New Roman" w:hAnsi="Times New Roman" w:hint="eastAsia"/>
          <w:bCs/>
          <w:sz w:val="24"/>
        </w:rPr>
        <w:t>、</w:t>
      </w:r>
      <w:r w:rsidRPr="000671F3">
        <w:rPr>
          <w:rFonts w:hint="eastAsia"/>
          <w:bCs/>
          <w:sz w:val="24"/>
        </w:rPr>
        <w:t>清算报告</w:t>
      </w:r>
    </w:p>
    <w:p w14:paraId="3AFDE851" w14:textId="77777777" w:rsidR="005A4CCC" w:rsidRDefault="005A4CCC" w:rsidP="005A4CCC">
      <w:pPr>
        <w:autoSpaceDE w:val="0"/>
        <w:autoSpaceDN w:val="0"/>
        <w:adjustRightInd w:val="0"/>
        <w:snapToGrid w:val="0"/>
        <w:spacing w:line="360" w:lineRule="auto"/>
        <w:ind w:firstLineChars="200" w:firstLine="480"/>
        <w:jc w:val="left"/>
        <w:rPr>
          <w:rFonts w:ascii="宋体" w:hAnsi="宋体"/>
          <w:szCs w:val="24"/>
        </w:rPr>
      </w:pPr>
      <w:r w:rsidRPr="000671F3">
        <w:rPr>
          <w:rFonts w:hint="eastAsia"/>
          <w:bCs/>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w:t>
      </w:r>
      <w:r w:rsidRPr="000671F3">
        <w:rPr>
          <w:rFonts w:hint="eastAsia"/>
          <w:bCs/>
          <w:sz w:val="24"/>
        </w:rPr>
        <w:lastRenderedPageBreak/>
        <w:t>站上，并将清算报告提示性公告登载在规定报刊上。</w:t>
      </w:r>
    </w:p>
    <w:p w14:paraId="39C632D5" w14:textId="484658BA" w:rsidR="00D87CF5" w:rsidRDefault="005A4CC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w:t>
      </w:r>
      <w:r w:rsidR="00CA69EB">
        <w:rPr>
          <w:rFonts w:ascii="宋体" w:hAnsi="宋体"/>
          <w:sz w:val="24"/>
        </w:rPr>
        <w:t>、基金投资资产支持证券情况</w:t>
      </w:r>
    </w:p>
    <w:p w14:paraId="0398F33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1DB6622A" w14:textId="4DC6A532" w:rsidR="00D87CF5" w:rsidRDefault="005A4CC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w:t>
      </w:r>
      <w:r w:rsidR="00CA69EB">
        <w:rPr>
          <w:rFonts w:ascii="宋体" w:hAnsi="宋体"/>
          <w:sz w:val="24"/>
        </w:rPr>
        <w:t>、实施侧袋机制期间的信息披露</w:t>
      </w:r>
    </w:p>
    <w:p w14:paraId="78E0A40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本基金实施侧袋机制的，相关信息披露义务人应当根据法律法规、基金合同和招募说明书的规定进行信息披露，详见本招募说明书“侧袋机制”部分的规定。</w:t>
      </w:r>
    </w:p>
    <w:p w14:paraId="5D024270" w14:textId="58BC4FE5" w:rsidR="00D87CF5" w:rsidRDefault="005A4CC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w:t>
      </w:r>
      <w:r w:rsidR="00CA69EB">
        <w:rPr>
          <w:rFonts w:ascii="宋体" w:hAnsi="宋体"/>
          <w:sz w:val="24"/>
        </w:rPr>
        <w:t>、中国证监会规定的其他信息。</w:t>
      </w:r>
    </w:p>
    <w:p w14:paraId="3ABBBA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（六）信息披露事务管理</w:t>
      </w:r>
    </w:p>
    <w:p w14:paraId="4EDD45C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14:paraId="19CA16C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基金信息披露义务人公开披露基金信息，应当符合中国证监会相关基金信息披露内容与格式准则等法规的规定。</w:t>
      </w:r>
    </w:p>
    <w:p w14:paraId="78D93220" w14:textId="4B51F12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进行书面或电子确认。</w:t>
      </w:r>
    </w:p>
    <w:p w14:paraId="3F64E14C" w14:textId="219CA99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w:t>
      </w:r>
      <w:r w:rsidR="005A4CCC" w:rsidRPr="000671F3">
        <w:rPr>
          <w:bCs/>
          <w:sz w:val="24"/>
        </w:rPr>
        <w:t>规定报刊</w:t>
      </w:r>
      <w:r>
        <w:rPr>
          <w:rFonts w:ascii="宋体" w:hAnsi="宋体"/>
          <w:sz w:val="24"/>
        </w:rPr>
        <w:t>中选择披露信息的报刊。基金管理人、基金托管人应当向中国证监会基金电子披露网站报送拟披露的基金信息，并保证相关报送信息的真实、准确、完整、及时。</w:t>
      </w:r>
    </w:p>
    <w:p w14:paraId="1C23FB33" w14:textId="6DD8B57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w:t>
      </w:r>
      <w:r w:rsidR="00DC3206">
        <w:rPr>
          <w:rFonts w:ascii="宋体" w:hAnsi="宋体"/>
          <w:sz w:val="24"/>
        </w:rPr>
        <w:t>规定媒介</w:t>
      </w:r>
      <w:r>
        <w:rPr>
          <w:rFonts w:ascii="宋体" w:hAnsi="宋体"/>
          <w:sz w:val="24"/>
        </w:rPr>
        <w:t>上披露信息外，还可以根据需要在其他公共媒介披露信息，但是其他公共媒介不得早于</w:t>
      </w:r>
      <w:r w:rsidR="00DC3206">
        <w:rPr>
          <w:rFonts w:ascii="宋体" w:hAnsi="宋体"/>
          <w:sz w:val="24"/>
        </w:rPr>
        <w:t>规定媒介</w:t>
      </w:r>
      <w:r>
        <w:rPr>
          <w:rFonts w:ascii="宋体" w:hAnsi="宋体"/>
          <w:sz w:val="24"/>
        </w:rPr>
        <w:t>披露信息，并且在不同媒介上披露同一信息的内容应当一致。</w:t>
      </w:r>
    </w:p>
    <w:p w14:paraId="2B689E2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14:paraId="67883B1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w:t>
      </w:r>
      <w:r>
        <w:rPr>
          <w:rFonts w:ascii="宋体" w:hAnsi="宋体"/>
          <w:sz w:val="24"/>
        </w:rPr>
        <w:lastRenderedPageBreak/>
        <w:t>常投资操作的前提下，自主提升信息披露服务的质量。具体要求应当符合中国证监会及自律规则的相关规定。前述自主披露如产生信息披露费用，该费用不得从基金财产中列支。</w:t>
      </w:r>
    </w:p>
    <w:p w14:paraId="704F19D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（七）信息披露文件的存放与查阅</w:t>
      </w:r>
    </w:p>
    <w:p w14:paraId="25A0754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依法必须披露的信息发布后，基金管理人、基金托管人应当按照相关法律法规规定将信息置备于各自办公场所，供社会公众查阅、复制。</w:t>
      </w:r>
    </w:p>
    <w:p w14:paraId="17BFE29D"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7654EE4" w14:textId="2DB65253" w:rsidR="00D87CF5" w:rsidRDefault="00CA69EB">
      <w:pPr>
        <w:pStyle w:val="1"/>
        <w:snapToGrid w:val="0"/>
        <w:spacing w:beforeLines="0" w:before="240" w:after="240"/>
        <w:rPr>
          <w:rFonts w:ascii="宋体" w:hAnsi="宋体"/>
          <w:szCs w:val="30"/>
        </w:rPr>
      </w:pPr>
      <w:bookmarkStart w:id="29" w:name="_Toc104564199"/>
      <w:bookmarkEnd w:id="28"/>
      <w:r>
        <w:rPr>
          <w:rFonts w:ascii="Times New Roman" w:hAnsi="Times New Roman"/>
          <w:sz w:val="30"/>
        </w:rPr>
        <w:lastRenderedPageBreak/>
        <w:t>十</w:t>
      </w:r>
      <w:r w:rsidR="000F75F7">
        <w:rPr>
          <w:rFonts w:ascii="Times New Roman" w:hAnsi="Times New Roman" w:hint="eastAsia"/>
          <w:sz w:val="30"/>
        </w:rPr>
        <w:t>六</w:t>
      </w:r>
      <w:r>
        <w:rPr>
          <w:rFonts w:ascii="Times New Roman" w:hAnsi="Times New Roman"/>
          <w:sz w:val="30"/>
        </w:rPr>
        <w:t>、侧袋机制</w:t>
      </w:r>
      <w:bookmarkEnd w:id="29"/>
    </w:p>
    <w:p w14:paraId="449060F6"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（一）侧袋机制的实施条件</w:t>
      </w:r>
    </w:p>
    <w:p w14:paraId="71E498E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9CBBAF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基金管理人应当在启用侧袋机制后及时发布临时公告，并在五个工作日内聘请侧袋机制启用日发表意见且符合《中华人民共和国证券法》规定的会计师事务所进行审计并披露专项审计意见。</w:t>
      </w:r>
    </w:p>
    <w:p w14:paraId="47CFEA0C"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（二）实施侧袋机制期间基金份额的申购与赎回</w:t>
      </w:r>
    </w:p>
    <w:p w14:paraId="0E52AC2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14A3D75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2、实施侧袋机制期间，基金管理人不办理侧袋账户份额的申购、赎回和转换；同时，基金管理人按照基金合同和招募说明书的约定办理主袋账户份额的赎回，并根据主袋账户运作情况确定是否暂停申购。</w:t>
      </w:r>
    </w:p>
    <w:p w14:paraId="6C89301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14:paraId="6607F757"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（三）实施侧袋机制期间的基金投资</w:t>
      </w:r>
    </w:p>
    <w:p w14:paraId="5AA8BBF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14:paraId="163FDA2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基金管理人原则上应当在侧袋机制启用后20个交易日内完成对主袋账户投资组合的调整，因资产流动性受限等中国证监会规定的情形除外。</w:t>
      </w:r>
    </w:p>
    <w:p w14:paraId="2AA0174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基金管理人不得在侧袋账户中进行除特定资产处置变现以外的其他投资操作。</w:t>
      </w:r>
    </w:p>
    <w:p w14:paraId="5AAAD3B7"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（四）实施侧袋机制期间的基金估值</w:t>
      </w:r>
    </w:p>
    <w:p w14:paraId="6688FF2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本基金实施侧袋机制的，基金管理人和基金托管人应对主袋账户资产进行估值并披露主袋账户的基金净值信息，暂停披露侧袋账户份额净值。侧袋账户的会计核</w:t>
      </w:r>
      <w:r>
        <w:rPr>
          <w:rFonts w:ascii="宋体" w:hAnsi="宋体"/>
          <w:sz w:val="24"/>
        </w:rPr>
        <w:lastRenderedPageBreak/>
        <w:t>算应符合《企业会计准则》的相关要求。</w:t>
      </w:r>
    </w:p>
    <w:p w14:paraId="30B155AF"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（五）实施侧袋账户期间的基金费用</w:t>
      </w:r>
    </w:p>
    <w:p w14:paraId="1E30DE3D" w14:textId="6956EB8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1、本基金实施侧袋机制的，管理费和托管费</w:t>
      </w:r>
      <w:r w:rsidR="00E62C43">
        <w:rPr>
          <w:rFonts w:ascii="宋体" w:hAnsi="宋体" w:hint="eastAsia"/>
          <w:sz w:val="24"/>
        </w:rPr>
        <w:t>等</w:t>
      </w:r>
      <w:r>
        <w:rPr>
          <w:rFonts w:ascii="宋体" w:hAnsi="宋体"/>
          <w:sz w:val="24"/>
        </w:rPr>
        <w:t>按主袋账户基金资产净值作为基数计提。</w:t>
      </w:r>
    </w:p>
    <w:p w14:paraId="53CA7E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2、与侧袋账户有关的费用可从侧袋账户中列支，但应待侧袋账户资产变现后方可列支，有关费用可酌情收取或减免，但不得收取管理费。</w:t>
      </w:r>
    </w:p>
    <w:p w14:paraId="1A624677"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（六）侧袋账户中特定资产的处置变现和支付</w:t>
      </w:r>
    </w:p>
    <w:p w14:paraId="473615A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00E97A0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17FAB6D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侧袋账户资产全部完成变现并终止侧袋机制后，基金管理人应及时聘请符合《中华人民共和国证券法》规定的会计师事务所进行审计并披露专项审计意见。</w:t>
      </w:r>
    </w:p>
    <w:p w14:paraId="0844D8E2"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（七）侧袋机制的信息披露</w:t>
      </w:r>
    </w:p>
    <w:p w14:paraId="54410A5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1、临时公告</w:t>
      </w:r>
    </w:p>
    <w:p w14:paraId="5E37731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在启用侧袋机制、处置特定资产、终止侧袋机制以及发生其他可能对投资者利益产生重大影响的事项后基金管理人应及时发布临时公告。</w:t>
      </w:r>
    </w:p>
    <w:p w14:paraId="1046ADF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14:paraId="028CC58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基金管理人应按照招募说明书“基金的信息披露”部分规定的基金净值信息披露方式和频率披露主袋账户份额的基金净值信息。实施侧袋机制期间本基金暂停披露侧袋账户份额净值和累计净值。</w:t>
      </w:r>
    </w:p>
    <w:p w14:paraId="6D83B6D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3、定期报告</w:t>
      </w:r>
    </w:p>
    <w:p w14:paraId="710A69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和年度报告披露等发表审计意见。</w:t>
      </w:r>
    </w:p>
    <w:p w14:paraId="37839C02"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F04D410" w14:textId="0EA76BDB" w:rsidR="00D87CF5" w:rsidRDefault="00CA69EB">
      <w:pPr>
        <w:pStyle w:val="1"/>
        <w:snapToGrid w:val="0"/>
        <w:spacing w:beforeLines="0" w:before="240" w:after="240"/>
        <w:rPr>
          <w:rFonts w:ascii="宋体" w:hAnsi="宋体"/>
          <w:szCs w:val="30"/>
        </w:rPr>
      </w:pPr>
      <w:bookmarkStart w:id="30" w:name="_Toc104564200"/>
      <w:r>
        <w:rPr>
          <w:rFonts w:ascii="Times New Roman" w:hAnsi="Times New Roman"/>
          <w:sz w:val="30"/>
        </w:rPr>
        <w:lastRenderedPageBreak/>
        <w:t>十</w:t>
      </w:r>
      <w:r w:rsidR="000F75F7">
        <w:rPr>
          <w:rFonts w:ascii="Times New Roman" w:hAnsi="Times New Roman" w:hint="eastAsia"/>
          <w:sz w:val="30"/>
        </w:rPr>
        <w:t>七</w:t>
      </w:r>
      <w:r>
        <w:rPr>
          <w:rFonts w:ascii="Times New Roman" w:hAnsi="Times New Roman"/>
          <w:sz w:val="30"/>
        </w:rPr>
        <w:t>、风险揭示</w:t>
      </w:r>
      <w:bookmarkEnd w:id="30"/>
    </w:p>
    <w:p w14:paraId="074853C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7CC23388" w14:textId="58D6F08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扣除申购申请份额总数及基金转换中转入申请份额总数后的余额）超过上一开放日基金总份额的</w:t>
      </w:r>
      <w:r w:rsidR="004D282C">
        <w:rPr>
          <w:rFonts w:ascii="宋体" w:hAnsi="宋体" w:hint="eastAsia"/>
          <w:sz w:val="24"/>
        </w:rPr>
        <w:t>1</w:t>
      </w:r>
      <w:r w:rsidR="004D282C">
        <w:rPr>
          <w:rFonts w:ascii="宋体" w:hAnsi="宋体"/>
          <w:sz w:val="24"/>
        </w:rPr>
        <w:t>0</w:t>
      </w:r>
      <w:r w:rsidR="004D282C">
        <w:rPr>
          <w:rFonts w:ascii="宋体" w:hAnsi="宋体" w:hint="eastAsia"/>
          <w:sz w:val="24"/>
        </w:rPr>
        <w:t>%</w:t>
      </w:r>
      <w:r>
        <w:rPr>
          <w:rFonts w:ascii="宋体" w:hAnsi="宋体"/>
          <w:sz w:val="24"/>
        </w:rPr>
        <w:t>时，投资人将可能无法及时赎回持有的全部基金份额。</w:t>
      </w:r>
    </w:p>
    <w:p w14:paraId="413FE47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4B2D617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w:t>
      </w:r>
      <w:r w:rsidR="00E45D83">
        <w:rPr>
          <w:rFonts w:ascii="Times New Roman" w:hAnsi="Times New Roman" w:hint="eastAsia"/>
          <w:sz w:val="24"/>
        </w:rPr>
        <w:t>、</w:t>
      </w:r>
      <w:r w:rsidR="00E45D83">
        <w:rPr>
          <w:rFonts w:ascii="Times New Roman" w:hAnsi="Times New Roman"/>
          <w:sz w:val="24"/>
        </w:rPr>
        <w:t>基金产品资料概要</w:t>
      </w:r>
      <w:r>
        <w:rPr>
          <w:rFonts w:ascii="宋体" w:hAnsi="宋体"/>
          <w:sz w:val="24"/>
        </w:rPr>
        <w:t>等基金法律文件，了解基金的风险收益特征，并根据自身的投资目的、投资期限、投资经验、资产状况等判断基金是否和投资人的风险承受能力相适应。</w:t>
      </w:r>
    </w:p>
    <w:p w14:paraId="27009B6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D556B7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分红等行为导致基金份额净值变化，不会改变基金的风险收益特征，不会降低基金投资风险或提高基金投资收益。以1元初始面值开展基金募集或因拆分、分红等行为导致基金份额净值调整至1元初始面值或1元附近，在市场波动等因素的影响下，基金投资仍有可能出现亏损或基金净值仍有可能低于初始面值。</w:t>
      </w:r>
    </w:p>
    <w:p w14:paraId="3109B4C3" w14:textId="48D67CE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w:t>
      </w:r>
      <w:r w:rsidR="00E45D83">
        <w:rPr>
          <w:rFonts w:ascii="宋体" w:hAnsi="宋体" w:hint="eastAsia"/>
          <w:sz w:val="24"/>
        </w:rPr>
        <w:t>谨慎</w:t>
      </w:r>
      <w:r>
        <w:rPr>
          <w:rFonts w:ascii="宋体" w:hAnsi="宋体"/>
          <w:sz w:val="24"/>
        </w:rPr>
        <w:t>勤勉的原则管理和运用基金资产，但不保证</w:t>
      </w:r>
      <w:r w:rsidR="00E45D83">
        <w:rPr>
          <w:rFonts w:ascii="宋体" w:hAnsi="宋体" w:hint="eastAsia"/>
          <w:sz w:val="24"/>
        </w:rPr>
        <w:t>投资于</w:t>
      </w:r>
      <w:r>
        <w:rPr>
          <w:rFonts w:ascii="宋体" w:hAnsi="宋体"/>
          <w:sz w:val="24"/>
        </w:rPr>
        <w:t>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w:t>
      </w:r>
      <w:r>
        <w:rPr>
          <w:rFonts w:ascii="宋体" w:hAnsi="宋体"/>
          <w:sz w:val="24"/>
        </w:rPr>
        <w:lastRenderedPageBreak/>
        <w:t>自行负担。</w:t>
      </w:r>
    </w:p>
    <w:p w14:paraId="5C687D9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14:paraId="2FA636F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（一）市场风险</w:t>
      </w:r>
    </w:p>
    <w:p w14:paraId="16983F6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14:paraId="69C64FA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14:paraId="77EA9AB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14:paraId="7E3DA77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1E4F0D9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4、信用风险。基金所投资债券的发行人如果不能或拒绝支付到期本息，或者不能履行合约规定的其它义务，或者其信用等级降低，将会导致债券价格下降，进而造成基金资产损失，从而产生风险。</w:t>
      </w:r>
    </w:p>
    <w:p w14:paraId="59C9806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14:paraId="225080E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6、债券收益率曲线变动风险。是指收益率曲线没有按预期变化导致基金投资决策出现偏差。</w:t>
      </w:r>
    </w:p>
    <w:p w14:paraId="056E1DA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6C751D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8、经营风险。它与基金所投资债券的发行人的经营活动所引起的收入现金流的不确定性有关。债券发行人期间运营收入变化越大，经营风险就越大；反之，运营收入越稳定，经营风险就越小。</w:t>
      </w:r>
    </w:p>
    <w:p w14:paraId="64019ADE" w14:textId="20AA0174" w:rsidR="00D87CF5" w:rsidRDefault="00CA69EB" w:rsidP="00A112C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9、上市公司经营风险。上市公司的经营状况受多种因素影响，如管理能力、财务状况、市场前景、行业竞争、人员素质等，这些都会导致企业的盈利发生变</w:t>
      </w:r>
      <w:r>
        <w:rPr>
          <w:rFonts w:ascii="宋体" w:hAnsi="宋体"/>
          <w:sz w:val="24"/>
        </w:rPr>
        <w:lastRenderedPageBreak/>
        <w:t>化。虽然基金可以通过投资多样化来分散这种非系统风险，但不能完全规避。</w:t>
      </w:r>
    </w:p>
    <w:p w14:paraId="2C9F2911" w14:textId="542B6046" w:rsidR="00D87CF5" w:rsidRDefault="00CA69EB" w:rsidP="00A112C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70F732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（二）管理风险</w:t>
      </w:r>
    </w:p>
    <w:p w14:paraId="565F742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26F7F8A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（三）流动性风险</w:t>
      </w:r>
    </w:p>
    <w:p w14:paraId="1209E0A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FFC27E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14:paraId="28361547" w14:textId="65CC962B" w:rsidR="009618BB" w:rsidRPr="007257ED" w:rsidRDefault="00CA69EB" w:rsidP="009618BB">
      <w:pPr>
        <w:spacing w:line="360" w:lineRule="auto"/>
        <w:ind w:firstLineChars="200" w:firstLine="480"/>
        <w:rPr>
          <w:bCs/>
          <w:sz w:val="24"/>
        </w:rPr>
      </w:pPr>
      <w:r>
        <w:rPr>
          <w:rFonts w:ascii="宋体" w:hAnsi="宋体"/>
          <w:sz w:val="24"/>
        </w:rPr>
        <w:t>本基金采用开放方式运作，基金管理人在开放日办理基金份额的申购和赎回，</w:t>
      </w:r>
      <w:r w:rsidR="009618BB">
        <w:rPr>
          <w:bCs/>
          <w:sz w:val="24"/>
        </w:rPr>
        <w:t>但</w:t>
      </w:r>
      <w:r w:rsidR="009618BB" w:rsidRPr="00B80B43">
        <w:rPr>
          <w:rFonts w:hint="eastAsia"/>
          <w:bCs/>
          <w:sz w:val="24"/>
        </w:rPr>
        <w:t>对于每份基金份额，基金管理人仅在该基金份额的每个运作期到期日为基金份额持有人办理赎回</w:t>
      </w:r>
      <w:r w:rsidR="009618BB">
        <w:rPr>
          <w:rFonts w:hint="eastAsia"/>
          <w:bCs/>
          <w:sz w:val="24"/>
        </w:rPr>
        <w:t>，</w:t>
      </w:r>
      <w:r>
        <w:rPr>
          <w:rFonts w:ascii="宋体" w:hAnsi="宋体"/>
          <w:sz w:val="24"/>
        </w:rPr>
        <w:t>具体办理时间为上海证券交易所、深圳证券交易所的正常交易日的交易时间，但基金管理人根据法律法规、中国证监会的要求或基金合同的规定公告暂停申购、赎回时除外。</w:t>
      </w:r>
      <w:r w:rsidR="00E45D83" w:rsidRPr="003273B4">
        <w:rPr>
          <w:rFonts w:ascii="Times New Roman" w:hAnsi="Times New Roman" w:hint="eastAsia"/>
          <w:bCs/>
          <w:sz w:val="24"/>
        </w:rPr>
        <w:t>基金管理人可根据实际情况依法决定本基金开始办理申购的具体日期，具体业务办理时间在申购开始公告中规定</w:t>
      </w:r>
      <w:r w:rsidR="00E45D83" w:rsidRPr="00897D4E">
        <w:rPr>
          <w:rFonts w:ascii="Times New Roman" w:hAnsi="Times New Roman"/>
          <w:sz w:val="24"/>
        </w:rPr>
        <w:t>。</w:t>
      </w:r>
      <w:r w:rsidR="009618BB" w:rsidRPr="007257ED">
        <w:rPr>
          <w:rFonts w:hint="eastAsia"/>
          <w:bCs/>
          <w:sz w:val="24"/>
        </w:rPr>
        <w:t>对于每份基金份额，第一个运作期指基金合同生效日（对认购份额而言，下同）或基金份额申购确认日（对申购份额而言，下同）起（即第一个运作期起始日），至基金合同生效日或基</w:t>
      </w:r>
      <w:r w:rsidR="009618BB" w:rsidRPr="007257ED">
        <w:rPr>
          <w:rFonts w:hint="eastAsia"/>
          <w:bCs/>
          <w:sz w:val="24"/>
        </w:rPr>
        <w:lastRenderedPageBreak/>
        <w:t>金份额申购申请日后的第</w:t>
      </w:r>
      <w:r w:rsidR="009618BB" w:rsidRPr="007257ED">
        <w:rPr>
          <w:rFonts w:hint="eastAsia"/>
          <w:bCs/>
          <w:sz w:val="24"/>
        </w:rPr>
        <w:t>30</w:t>
      </w:r>
      <w:r w:rsidR="009618BB" w:rsidRPr="007257ED">
        <w:rPr>
          <w:rFonts w:hint="eastAsia"/>
          <w:bCs/>
          <w:sz w:val="24"/>
        </w:rPr>
        <w:t>天（即第一个运作期到期日，如该日为非工作日，则顺延</w:t>
      </w:r>
      <w:r w:rsidR="009618BB">
        <w:rPr>
          <w:bCs/>
          <w:sz w:val="24"/>
        </w:rPr>
        <w:t>至</w:t>
      </w:r>
      <w:r w:rsidR="009618BB" w:rsidRPr="007257ED">
        <w:rPr>
          <w:rFonts w:hint="eastAsia"/>
          <w:bCs/>
          <w:sz w:val="24"/>
        </w:rPr>
        <w:t>下一工作日）止。第二个运作期指第一个运作期到期日的次一日起，至基金合同生效日或基金份额申购申请日后的第</w:t>
      </w:r>
      <w:r w:rsidR="009618BB" w:rsidRPr="007257ED">
        <w:rPr>
          <w:rFonts w:hint="eastAsia"/>
          <w:bCs/>
          <w:sz w:val="24"/>
        </w:rPr>
        <w:t>60</w:t>
      </w:r>
      <w:r w:rsidR="009618BB" w:rsidRPr="007257ED">
        <w:rPr>
          <w:rFonts w:hint="eastAsia"/>
          <w:bCs/>
          <w:sz w:val="24"/>
        </w:rPr>
        <w:t>天（如该日为非工作日，则顺延至下一工作日）止。以此类推。</w:t>
      </w:r>
    </w:p>
    <w:p w14:paraId="2794B752" w14:textId="74A9EED9" w:rsidR="00D87CF5" w:rsidRDefault="009618BB" w:rsidP="009618BB">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基金管理人自基金合同生效之日后的第</w:t>
      </w:r>
      <w:r>
        <w:rPr>
          <w:bCs/>
          <w:sz w:val="24"/>
        </w:rPr>
        <w:t>30</w:t>
      </w:r>
      <w:r>
        <w:rPr>
          <w:rFonts w:hint="eastAsia"/>
          <w:bCs/>
          <w:sz w:val="24"/>
        </w:rPr>
        <w:t>天（如遇非工作日，则顺延</w:t>
      </w:r>
      <w:r>
        <w:rPr>
          <w:bCs/>
          <w:sz w:val="24"/>
        </w:rPr>
        <w:t>至</w:t>
      </w:r>
      <w:r>
        <w:rPr>
          <w:rFonts w:hint="eastAsia"/>
          <w:bCs/>
          <w:sz w:val="24"/>
        </w:rPr>
        <w:t>下一工作日）起开始办理赎回，具体业务办理时间在开放赎回业务的公告中规定。</w:t>
      </w:r>
    </w:p>
    <w:p w14:paraId="0F4980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14:paraId="11DF4BA3" w14:textId="3F99C77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包括国内依法发行上市的债券和货币市场工具等），同时本基金基于分散投资的原则在个券方面未有高集中度的特征，综合评估在正常市场环境下本基金的流动性风险适中。</w:t>
      </w:r>
    </w:p>
    <w:p w14:paraId="3E6555C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14:paraId="50996C0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28D2C24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3874074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5648987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5A4CCC" w:rsidRPr="000671F3">
        <w:rPr>
          <w:rFonts w:hint="eastAsia"/>
          <w:bCs/>
          <w:sz w:val="24"/>
        </w:rPr>
        <w:t>该类基金份额</w:t>
      </w:r>
      <w:r>
        <w:rPr>
          <w:rFonts w:ascii="宋体" w:hAnsi="宋体"/>
          <w:sz w:val="24"/>
        </w:rPr>
        <w:t>的基金份额净值为基础计算赎回金额，以此类推，直到全部赎回为止。如投资人在提交赎回申请时未作明确选择，投资人未能赎回部分作自动延期赎回处理。</w:t>
      </w:r>
    </w:p>
    <w:p w14:paraId="3A0F083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（3）本基金如发生巨额赎回且单个开放日内单个基金份额持有人申请赎回的基金份额超过前一开放日的基金总份额的20%时，本基金管理人有权采取如下措施：</w:t>
      </w:r>
    </w:p>
    <w:p w14:paraId="6DBB1C24" w14:textId="682EC13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5A4CCC">
        <w:rPr>
          <w:rFonts w:ascii="宋体" w:hAnsi="宋体" w:hint="eastAsia"/>
          <w:sz w:val="24"/>
        </w:rPr>
        <w:t>该类基金份额</w:t>
      </w:r>
      <w:r>
        <w:rPr>
          <w:rFonts w:ascii="宋体" w:hAnsi="宋体"/>
          <w:sz w:val="24"/>
        </w:rPr>
        <w:t>的基金份额净值为基础计算赎回金额，以此类推，直到全部赎回为止。</w:t>
      </w:r>
    </w:p>
    <w:p w14:paraId="3E337C13" w14:textId="62C2D5D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582BCD6D" w14:textId="6792D46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w:t>
      </w:r>
      <w:r w:rsidR="00DC3206">
        <w:rPr>
          <w:rFonts w:ascii="宋体" w:hAnsi="宋体"/>
          <w:sz w:val="24"/>
        </w:rPr>
        <w:t>规定媒介</w:t>
      </w:r>
      <w:r>
        <w:rPr>
          <w:rFonts w:ascii="宋体" w:hAnsi="宋体"/>
          <w:sz w:val="24"/>
        </w:rPr>
        <w:t>上进行公告。</w:t>
      </w:r>
    </w:p>
    <w:p w14:paraId="2374B75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14:paraId="4FAAA89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14:paraId="6113CD0D" w14:textId="363CE50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w:t>
      </w:r>
      <w:r w:rsidR="00034BFD" w:rsidRPr="00034BFD">
        <w:rPr>
          <w:rFonts w:ascii="宋体" w:hAnsi="宋体" w:hint="eastAsia"/>
          <w:sz w:val="24"/>
        </w:rPr>
        <w:t>延期办理巨额赎回申请</w:t>
      </w:r>
      <w:r w:rsidR="00034BFD">
        <w:rPr>
          <w:rFonts w:ascii="宋体" w:hAnsi="宋体" w:hint="eastAsia"/>
          <w:sz w:val="24"/>
        </w:rPr>
        <w:t>、</w:t>
      </w:r>
      <w:r>
        <w:rPr>
          <w:rFonts w:ascii="宋体" w:hAnsi="宋体"/>
          <w:sz w:val="24"/>
        </w:rPr>
        <w:t>暂停接受赎回申请、</w:t>
      </w:r>
      <w:r w:rsidR="00034BFD" w:rsidRPr="00034BFD">
        <w:rPr>
          <w:rFonts w:ascii="宋体" w:hAnsi="宋体" w:hint="eastAsia"/>
          <w:sz w:val="24"/>
        </w:rPr>
        <w:t>延缓支付赎回款项</w:t>
      </w:r>
      <w:r>
        <w:rPr>
          <w:rFonts w:ascii="宋体" w:hAnsi="宋体"/>
          <w:sz w:val="24"/>
        </w:rPr>
        <w:t>、摆动定价、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4FAE5E2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w:t>
      </w:r>
      <w:r>
        <w:rPr>
          <w:rFonts w:ascii="宋体" w:hAnsi="宋体"/>
          <w:sz w:val="24"/>
        </w:rPr>
        <w:lastRenderedPageBreak/>
        <w:t>对应特定资产的变现时间具有不确定性，最终变现价格也具有不确定性并且有可能大幅低于启用侧袋机制时的特定资产的估值，基金份额持有人可能因此面临损失。</w:t>
      </w:r>
    </w:p>
    <w:p w14:paraId="6F5E4C9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0FAC271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基金管理人将根据主袋账户运作情况合理确定申购政策，因此实施侧袋机制后主袋账户份额存在暂停申购的可能。</w:t>
      </w:r>
    </w:p>
    <w:p w14:paraId="5A63D9F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43AEDA2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（四）交易对手违约风险</w:t>
      </w:r>
    </w:p>
    <w:p w14:paraId="25F43E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交易对手违约风险是指当债券、票据或债券回购等交易对手违约时，将直接导致基金资产的损失，或导致基金不能及时抓住市场机会，对投资收益产生影响。</w:t>
      </w:r>
    </w:p>
    <w:p w14:paraId="260F562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（五）本基金的特有风险</w:t>
      </w:r>
    </w:p>
    <w:p w14:paraId="3569B85E" w14:textId="69066583"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1、本基金为债券型基金，投资于债券资产的比例不低于基金资产的80%，因投资固定收益类资产而面临固定收益类资产市场的系统性风险和个券风险；</w:t>
      </w:r>
    </w:p>
    <w:p w14:paraId="107F15F9" w14:textId="7750DB54" w:rsidR="0041787F" w:rsidRPr="00C851B9" w:rsidRDefault="0041787F" w:rsidP="0041787F">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2、运作期不能赎回的风险。</w:t>
      </w:r>
      <w:r w:rsidRPr="0041787F">
        <w:rPr>
          <w:rFonts w:ascii="宋体" w:hAnsi="宋体" w:hint="eastAsia"/>
          <w:sz w:val="24"/>
        </w:rPr>
        <w:t>本基金对每份基金份额设置30天的滚动运作期。对于每份基金份额，基金管理人仅在该基金份额的每个运作期到期日为基金份额持有人办理赎回。如果基金份额持有人在当期运作期到期日未申请赎回或赎回被确认失败，则该基金份额将在该运作期到期日下一日起自动进入下一个运作期；在下一个运作期到期日前，基金份额持有人不能赎回该基金份额。</w:t>
      </w:r>
      <w:r>
        <w:rPr>
          <w:rFonts w:ascii="宋体" w:hAnsi="宋体" w:hint="eastAsia"/>
          <w:sz w:val="24"/>
        </w:rPr>
        <w:t>因此基金份额持有人面临在滚动</w:t>
      </w:r>
      <w:r w:rsidR="00DC4159">
        <w:rPr>
          <w:rFonts w:ascii="宋体" w:hAnsi="宋体" w:hint="eastAsia"/>
          <w:sz w:val="24"/>
        </w:rPr>
        <w:t>运作</w:t>
      </w:r>
      <w:r>
        <w:rPr>
          <w:rFonts w:ascii="宋体" w:hAnsi="宋体" w:hint="eastAsia"/>
          <w:sz w:val="24"/>
        </w:rPr>
        <w:t>期内不能赎回基金份额的风险。</w:t>
      </w:r>
    </w:p>
    <w:p w14:paraId="33D2B495" w14:textId="592A4009" w:rsidR="00D87CF5" w:rsidRDefault="00DC415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CA69EB">
        <w:rPr>
          <w:rFonts w:ascii="宋体" w:hAnsi="宋体"/>
          <w:sz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397F39D6" w14:textId="44E78FF5" w:rsidR="00D87CF5" w:rsidRDefault="00DC415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4</w:t>
      </w:r>
      <w:r w:rsidR="00CA69EB">
        <w:rPr>
          <w:rFonts w:ascii="宋体" w:hAnsi="宋体"/>
          <w:sz w:val="24"/>
        </w:rPr>
        <w:t>、基金合同提前终止风险。连续</w:t>
      </w:r>
      <w:r w:rsidR="00230616">
        <w:rPr>
          <w:rFonts w:ascii="宋体" w:hAnsi="宋体" w:hint="eastAsia"/>
          <w:sz w:val="24"/>
        </w:rPr>
        <w:t>5</w:t>
      </w:r>
      <w:r w:rsidR="00230616">
        <w:rPr>
          <w:rFonts w:ascii="宋体" w:hAnsi="宋体"/>
          <w:sz w:val="24"/>
        </w:rPr>
        <w:t>0</w:t>
      </w:r>
      <w:r w:rsidR="00CA69EB">
        <w:rPr>
          <w:rFonts w:ascii="宋体" w:hAnsi="宋体"/>
          <w:sz w:val="24"/>
        </w:rPr>
        <w:t>个工作日出现基金份额持有人数量不满200人或者基金资产净值低于5000万元情形的，</w:t>
      </w:r>
      <w:r w:rsidR="003434B8">
        <w:rPr>
          <w:rFonts w:ascii="宋体" w:hAnsi="宋体" w:hint="eastAsia"/>
          <w:sz w:val="24"/>
        </w:rPr>
        <w:t>基金合同终止</w:t>
      </w:r>
      <w:r w:rsidR="00CA69EB">
        <w:rPr>
          <w:rFonts w:ascii="宋体" w:hAnsi="宋体"/>
          <w:sz w:val="24"/>
        </w:rPr>
        <w:t>，不需召开基金份额持有人大会。</w:t>
      </w:r>
    </w:p>
    <w:p w14:paraId="1A66C883" w14:textId="15241D09" w:rsidR="002A7147" w:rsidRDefault="002A7147">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（六）投资资产支持证券的特定风险</w:t>
      </w:r>
    </w:p>
    <w:p w14:paraId="257A9140" w14:textId="098329C3" w:rsidR="002A7147" w:rsidRPr="003073D4" w:rsidRDefault="002A7147">
      <w:pPr>
        <w:autoSpaceDE w:val="0"/>
        <w:autoSpaceDN w:val="0"/>
        <w:adjustRightInd w:val="0"/>
        <w:snapToGrid w:val="0"/>
        <w:spacing w:line="360" w:lineRule="auto"/>
        <w:ind w:firstLineChars="200" w:firstLine="480"/>
        <w:jc w:val="left"/>
        <w:rPr>
          <w:rFonts w:ascii="宋体" w:hAnsi="宋体"/>
          <w:sz w:val="24"/>
          <w:szCs w:val="24"/>
        </w:rPr>
      </w:pPr>
      <w:r w:rsidRPr="003073D4">
        <w:rPr>
          <w:rFonts w:ascii="宋体" w:hAnsi="宋体" w:hint="eastAsia"/>
          <w:sz w:val="24"/>
          <w:szCs w:val="24"/>
        </w:rPr>
        <w:lastRenderedPageBreak/>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60DAA706" w14:textId="365F159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2A7147">
        <w:rPr>
          <w:rFonts w:ascii="宋体" w:hAnsi="宋体"/>
          <w:sz w:val="24"/>
        </w:rPr>
        <w:t>七</w:t>
      </w:r>
      <w:r>
        <w:rPr>
          <w:rFonts w:ascii="宋体" w:hAnsi="宋体"/>
          <w:sz w:val="24"/>
        </w:rPr>
        <w:t>）其他风险</w:t>
      </w:r>
    </w:p>
    <w:p w14:paraId="3F467AA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14:paraId="0DDD35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14:paraId="7A58B7F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14:paraId="3895B51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14:paraId="625084F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14:paraId="460A33F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14:paraId="1077D5E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14:paraId="6055FCF2"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DD5BDAF" w14:textId="78CC4B59" w:rsidR="00D87CF5" w:rsidRDefault="00CA69EB">
      <w:pPr>
        <w:pStyle w:val="1"/>
        <w:snapToGrid w:val="0"/>
        <w:spacing w:beforeLines="0" w:before="240" w:after="240"/>
        <w:rPr>
          <w:rFonts w:ascii="宋体" w:hAnsi="宋体"/>
          <w:szCs w:val="30"/>
        </w:rPr>
      </w:pPr>
      <w:bookmarkStart w:id="31" w:name="_Toc104564201"/>
      <w:bookmarkStart w:id="32" w:name="_Hlk101008119"/>
      <w:r>
        <w:rPr>
          <w:rFonts w:ascii="Times New Roman" w:hAnsi="Times New Roman"/>
          <w:sz w:val="30"/>
        </w:rPr>
        <w:lastRenderedPageBreak/>
        <w:t>十</w:t>
      </w:r>
      <w:r w:rsidR="000F75F7">
        <w:rPr>
          <w:rFonts w:ascii="Times New Roman" w:hAnsi="Times New Roman" w:hint="eastAsia"/>
          <w:sz w:val="30"/>
        </w:rPr>
        <w:t>八</w:t>
      </w:r>
      <w:r>
        <w:rPr>
          <w:rFonts w:ascii="Times New Roman" w:hAnsi="Times New Roman"/>
          <w:sz w:val="30"/>
        </w:rPr>
        <w:t>、基金合同的变更、终止与基金财产的清算</w:t>
      </w:r>
      <w:bookmarkEnd w:id="31"/>
    </w:p>
    <w:p w14:paraId="6BDAC0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（一）《基金合同》的变更</w:t>
      </w:r>
    </w:p>
    <w:p w14:paraId="4213595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7B56AA61" w14:textId="50737B1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2、关于《基金合同》变更的基金份额持有人大会决议自生效后方可执行，自决议生效后依照《信息披露办法》的规定在</w:t>
      </w:r>
      <w:r w:rsidR="00DC3206">
        <w:rPr>
          <w:rFonts w:ascii="宋体" w:hAnsi="宋体"/>
          <w:sz w:val="24"/>
        </w:rPr>
        <w:t>规定媒介</w:t>
      </w:r>
      <w:r>
        <w:rPr>
          <w:rFonts w:ascii="宋体" w:hAnsi="宋体"/>
          <w:sz w:val="24"/>
        </w:rPr>
        <w:t>公告。</w:t>
      </w:r>
    </w:p>
    <w:p w14:paraId="46D3344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（二）《基金合同》的终止事由</w:t>
      </w:r>
    </w:p>
    <w:p w14:paraId="2F89C7D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14:paraId="53C4251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26D101E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3B440857" w14:textId="7945C83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3、连续50个工作日出现基金份额持有人数量不满200人或者基金资产净值低于5000万元情形的，</w:t>
      </w:r>
      <w:r w:rsidR="003434B8" w:rsidRPr="000671F3">
        <w:rPr>
          <w:rFonts w:hint="eastAsia"/>
          <w:bCs/>
          <w:sz w:val="24"/>
        </w:rPr>
        <w:t>基金合同终止</w:t>
      </w:r>
      <w:r>
        <w:rPr>
          <w:rFonts w:ascii="宋体" w:hAnsi="宋体"/>
          <w:sz w:val="24"/>
        </w:rPr>
        <w:t>，不需召开基金份额持有人大会；</w:t>
      </w:r>
    </w:p>
    <w:p w14:paraId="3C00B54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14:paraId="0236CC5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14:paraId="0B4B03C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（三）基金财产的清算</w:t>
      </w:r>
    </w:p>
    <w:p w14:paraId="57DB88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1C1C568B" w14:textId="051FD6C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w:t>
      </w:r>
      <w:r w:rsidR="003434B8" w:rsidRPr="000671F3">
        <w:rPr>
          <w:bCs/>
          <w:sz w:val="24"/>
        </w:rPr>
        <w:t>符合</w:t>
      </w:r>
      <w:r w:rsidR="003434B8" w:rsidRPr="000671F3">
        <w:rPr>
          <w:rFonts w:hint="eastAsia"/>
          <w:bCs/>
          <w:sz w:val="24"/>
        </w:rPr>
        <w:t>《中华人民共和国证券法》规定</w:t>
      </w:r>
      <w:r>
        <w:rPr>
          <w:rFonts w:ascii="宋体" w:hAnsi="宋体"/>
          <w:sz w:val="24"/>
        </w:rPr>
        <w:t>的注册会计师、律师以及中国证监会指定的人员组成。基金财产清算小组可以聘用必要的工作人员。</w:t>
      </w:r>
    </w:p>
    <w:p w14:paraId="0630C5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181673E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3069570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w:t>
      </w:r>
      <w:r w:rsidR="003434B8">
        <w:rPr>
          <w:rFonts w:ascii="宋体" w:hAnsi="宋体" w:hint="eastAsia"/>
          <w:sz w:val="24"/>
        </w:rPr>
        <w:t>财产</w:t>
      </w:r>
      <w:r>
        <w:rPr>
          <w:rFonts w:ascii="宋体" w:hAnsi="宋体"/>
          <w:sz w:val="24"/>
        </w:rPr>
        <w:t>；</w:t>
      </w:r>
    </w:p>
    <w:p w14:paraId="543CC03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39A811C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（3）对基金财产进行估值和变现；</w:t>
      </w:r>
    </w:p>
    <w:p w14:paraId="7FBE871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4B512CA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042A345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6227DB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2E0D764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14:paraId="5580132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（四）清算费用</w:t>
      </w:r>
    </w:p>
    <w:p w14:paraId="2D6ACAC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74F3174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（五）基金财产清算剩余资产的分配</w:t>
      </w:r>
    </w:p>
    <w:p w14:paraId="2CD1D65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09189AB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（六）基金财产清算的公告</w:t>
      </w:r>
    </w:p>
    <w:p w14:paraId="0FF3AFBA" w14:textId="3B18416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w:t>
      </w:r>
      <w:r w:rsidR="003434B8" w:rsidRPr="000671F3">
        <w:rPr>
          <w:bCs/>
          <w:sz w:val="24"/>
        </w:rPr>
        <w:t>符合</w:t>
      </w:r>
      <w:r w:rsidR="003434B8" w:rsidRPr="000671F3">
        <w:rPr>
          <w:rFonts w:hint="eastAsia"/>
          <w:bCs/>
          <w:sz w:val="24"/>
        </w:rPr>
        <w:t>《中华人民共和国证券法》规定的</w:t>
      </w:r>
      <w:r>
        <w:rPr>
          <w:rFonts w:ascii="宋体" w:hAnsi="宋体"/>
          <w:sz w:val="24"/>
        </w:rPr>
        <w:t>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w:t>
      </w:r>
      <w:r w:rsidR="003434B8" w:rsidRPr="000671F3">
        <w:rPr>
          <w:rFonts w:hint="eastAsia"/>
          <w:bCs/>
          <w:sz w:val="24"/>
        </w:rPr>
        <w:t>规定网站</w:t>
      </w:r>
      <w:r>
        <w:rPr>
          <w:rFonts w:ascii="宋体" w:hAnsi="宋体"/>
          <w:sz w:val="24"/>
        </w:rPr>
        <w:t>上，并将清算报告提示性公告登载在</w:t>
      </w:r>
      <w:r w:rsidR="003434B8" w:rsidRPr="000671F3">
        <w:rPr>
          <w:rFonts w:hint="eastAsia"/>
          <w:bCs/>
          <w:sz w:val="24"/>
        </w:rPr>
        <w:t>规定报刊</w:t>
      </w:r>
      <w:r>
        <w:rPr>
          <w:rFonts w:ascii="宋体" w:hAnsi="宋体"/>
          <w:sz w:val="24"/>
        </w:rPr>
        <w:t>上。</w:t>
      </w:r>
    </w:p>
    <w:p w14:paraId="12A93F3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（七）基金财产清算账册及文件的保存</w:t>
      </w:r>
    </w:p>
    <w:p w14:paraId="01EB4095" w14:textId="56DE843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w:t>
      </w:r>
      <w:r w:rsidR="003434B8" w:rsidRPr="000671F3">
        <w:rPr>
          <w:rFonts w:hint="eastAsia"/>
          <w:bCs/>
          <w:sz w:val="24"/>
        </w:rPr>
        <w:t>不低于法律法规规定的最低期限</w:t>
      </w:r>
      <w:r>
        <w:rPr>
          <w:rFonts w:ascii="宋体" w:hAnsi="宋体"/>
          <w:sz w:val="24"/>
        </w:rPr>
        <w:t>。</w:t>
      </w:r>
    </w:p>
    <w:p w14:paraId="3919438F"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9419DF8" w14:textId="31834FC8" w:rsidR="00D87CF5" w:rsidRDefault="000F75F7">
      <w:pPr>
        <w:pStyle w:val="1"/>
        <w:snapToGrid w:val="0"/>
        <w:spacing w:beforeLines="0" w:before="240" w:after="240"/>
        <w:rPr>
          <w:rFonts w:ascii="宋体" w:hAnsi="宋体"/>
          <w:szCs w:val="30"/>
        </w:rPr>
      </w:pPr>
      <w:bookmarkStart w:id="33" w:name="_Toc104564202"/>
      <w:bookmarkStart w:id="34" w:name="_Hlk107329172"/>
      <w:bookmarkEnd w:id="32"/>
      <w:r>
        <w:rPr>
          <w:rFonts w:ascii="Times New Roman" w:hAnsi="Times New Roman" w:hint="eastAsia"/>
          <w:sz w:val="30"/>
        </w:rPr>
        <w:lastRenderedPageBreak/>
        <w:t>十九</w:t>
      </w:r>
      <w:r w:rsidR="00CA69EB">
        <w:rPr>
          <w:rFonts w:ascii="Times New Roman" w:hAnsi="Times New Roman"/>
          <w:sz w:val="30"/>
        </w:rPr>
        <w:t>、基金合同内容摘要</w:t>
      </w:r>
      <w:bookmarkEnd w:id="33"/>
    </w:p>
    <w:p w14:paraId="0555F57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（一）基金份额持有人、基金管理人和基金托管人的权利与义务</w:t>
      </w:r>
    </w:p>
    <w:p w14:paraId="4DB746F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14:paraId="0B2AAFC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14:paraId="7FA524C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14:paraId="7D81B45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14:paraId="73EFA4B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14:paraId="4B8E4B0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14:paraId="2CE244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14:paraId="7F76822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006CF56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14:paraId="6F0F506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14:paraId="398C4D0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14:paraId="56748B4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14:paraId="500F9B9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14:paraId="01D12C01" w14:textId="052B2E8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12）依照法律法规为基金的利益行使因基金财产投资于证券所产生的权利；</w:t>
      </w:r>
    </w:p>
    <w:p w14:paraId="5091D9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14:paraId="0658043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14:paraId="79A55D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15）选择、更换律师事务所、会计师事务所、证券经纪商或其他为基金提供服务的外部机构；</w:t>
      </w:r>
    </w:p>
    <w:p w14:paraId="57F1D37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16）在符合有关法律、法规的前提下，制定和调整有关基金认购、申购、赎回、转换等的业务规则；</w:t>
      </w:r>
    </w:p>
    <w:p w14:paraId="734948A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17）法律法规及中国证监会规定的和《基金合同》约定的其他权利。</w:t>
      </w:r>
    </w:p>
    <w:p w14:paraId="5D74134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（2）根据《基金法》、《运作办法》及其他有关规定，基金管理人的义务包括但不限于：</w:t>
      </w:r>
    </w:p>
    <w:p w14:paraId="4913FC5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1EC4208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6521624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14:paraId="4CC3A88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14:paraId="0924935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14:paraId="5B34493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14:paraId="7FE9A50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14:paraId="416E27B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14:paraId="39F737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14:paraId="5C21D20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14:paraId="18825EB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14:paraId="5C791B2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14:paraId="2D1289B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14:paraId="3B3B262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14）按规定受理申购与赎回申请，及时、足额支付赎回款项；</w:t>
      </w:r>
    </w:p>
    <w:p w14:paraId="6734524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w:t>
      </w:r>
      <w:r>
        <w:rPr>
          <w:rFonts w:ascii="宋体" w:hAnsi="宋体"/>
          <w:sz w:val="24"/>
        </w:rPr>
        <w:lastRenderedPageBreak/>
        <w:t>配合基金托管人、基金份额持有人依法召集基金份额持有人大会；</w:t>
      </w:r>
    </w:p>
    <w:p w14:paraId="5D447382" w14:textId="2604585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w:t>
      </w:r>
      <w:r w:rsidR="003434B8" w:rsidRPr="000671F3">
        <w:rPr>
          <w:rFonts w:hint="eastAsia"/>
          <w:bCs/>
          <w:sz w:val="24"/>
        </w:rPr>
        <w:t>不低于法律法规规定的最低期限</w:t>
      </w:r>
      <w:r>
        <w:rPr>
          <w:rFonts w:ascii="宋体" w:hAnsi="宋体"/>
          <w:sz w:val="24"/>
        </w:rPr>
        <w:t>；</w:t>
      </w:r>
    </w:p>
    <w:p w14:paraId="261031A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64D649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14:paraId="721943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14:paraId="4E484A5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14:paraId="465859D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14:paraId="467BB1C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14:paraId="1260C26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14:paraId="250E43A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14:paraId="2F4648E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14:paraId="366729E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14:paraId="2EBF129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14:paraId="7338902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14:paraId="5C001B7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（1）根据《基金法》、《运作办法》及其他有关规定，基金托管人的权利包括但不限于：</w:t>
      </w:r>
    </w:p>
    <w:p w14:paraId="0B2972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1）自《基金合同》生效之日起，依法律法规和《基金合同》的规定安全保管基金财产；</w:t>
      </w:r>
    </w:p>
    <w:p w14:paraId="502317A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2）依《基金合同》约定获得基金托管费以及法律法规规定或监管部门批准的其他费用；</w:t>
      </w:r>
    </w:p>
    <w:p w14:paraId="6D4EF91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9B7EE7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4）根据相关市场规则，为基金开设资金账户、证券账户等投资所需账户，为基金办理证券交易资金清算；</w:t>
      </w:r>
    </w:p>
    <w:p w14:paraId="7044C4D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14:paraId="193F617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14:paraId="2F8BD1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14:paraId="21DFB4F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14:paraId="1E2F42E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14:paraId="1625539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14:paraId="31053F0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1506BC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14:paraId="75428E0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14:paraId="154F5DE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6）按规定开设基金财产的资金账户和证券账户等投资所需账户，按照《基金合同》的约定，根据基金管理人的投资指令，及时办理清算、交割事宜；</w:t>
      </w:r>
    </w:p>
    <w:p w14:paraId="20D1A1E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14:paraId="253D365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8）复核、审查基金管理人计算的基金资产净值、基金份额净值、基金份额申购、赎回价格；</w:t>
      </w:r>
    </w:p>
    <w:p w14:paraId="3859B6F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14:paraId="64CDE1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w:t>
      </w:r>
      <w:r>
        <w:rPr>
          <w:rFonts w:ascii="宋体" w:hAnsi="宋体"/>
          <w:sz w:val="24"/>
        </w:rPr>
        <w:lastRenderedPageBreak/>
        <w:t>金管理人在各重要方面的运作是否严格按照《基金合同》的规定进行；如果基金管理人有未执行《基金合同》规定的行为，还应当说明基金托管人是否采取了适当的措施；</w:t>
      </w:r>
    </w:p>
    <w:p w14:paraId="4951B4CF" w14:textId="1486DC0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w:t>
      </w:r>
      <w:r w:rsidR="003434B8" w:rsidRPr="000671F3">
        <w:rPr>
          <w:rFonts w:hint="eastAsia"/>
          <w:bCs/>
          <w:sz w:val="24"/>
        </w:rPr>
        <w:t>不低于法律法规规定的最低期限</w:t>
      </w:r>
      <w:r>
        <w:rPr>
          <w:rFonts w:ascii="宋体" w:hAnsi="宋体"/>
          <w:sz w:val="24"/>
        </w:rPr>
        <w:t>；</w:t>
      </w:r>
    </w:p>
    <w:p w14:paraId="5E924EF3" w14:textId="028A790F"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12）保存基金份额持有人名册；</w:t>
      </w:r>
    </w:p>
    <w:p w14:paraId="2DEBB3B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14:paraId="465B565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14:paraId="390C2B0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14:paraId="22DBD38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14:paraId="664EEB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14:paraId="7CA90CC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14:paraId="7C5C29F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14:paraId="76C417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14:paraId="5BCBE01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14:paraId="3760D9C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14:paraId="198E7D3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14:paraId="0A6627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0C0C23D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同一类别每份基金份额具有同等的合法权益。</w:t>
      </w:r>
    </w:p>
    <w:p w14:paraId="48C881D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（1）根据《基金法》、《运作办法》及其他有关规定，基金份额持有人的权利</w:t>
      </w:r>
      <w:r>
        <w:rPr>
          <w:rFonts w:ascii="宋体" w:hAnsi="宋体"/>
          <w:sz w:val="24"/>
        </w:rPr>
        <w:lastRenderedPageBreak/>
        <w:t>包括但不限于：</w:t>
      </w:r>
    </w:p>
    <w:p w14:paraId="4F2AFE6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14:paraId="3F6ED70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14:paraId="1A3C6CC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w:t>
      </w:r>
      <w:r w:rsidR="003434B8" w:rsidRPr="000671F3">
        <w:rPr>
          <w:rFonts w:hint="eastAsia"/>
          <w:bCs/>
          <w:sz w:val="24"/>
        </w:rPr>
        <w:t>并按照基金合同和招募说明书的规定</w:t>
      </w:r>
      <w:r>
        <w:rPr>
          <w:rFonts w:ascii="宋体" w:hAnsi="宋体"/>
          <w:sz w:val="24"/>
        </w:rPr>
        <w:t>转让或者申请赎回其持有的基金份额；</w:t>
      </w:r>
    </w:p>
    <w:p w14:paraId="1B2504F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14:paraId="763BBA2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14:paraId="6C60C5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14:paraId="57756D8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14:paraId="4EF8999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14:paraId="3229B1E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14:paraId="049B395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14:paraId="51F3CEE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14:paraId="1155E11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14:paraId="26A81EE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14:paraId="1AB6093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4）交纳基金认购、申购款项及法律法规和《基金合同》所规定的费用；</w:t>
      </w:r>
    </w:p>
    <w:p w14:paraId="548D3F0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14:paraId="49B7CF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14:paraId="2BA13BA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14:paraId="637AEFD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14:paraId="7E506B2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14:paraId="6E2B21F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14:paraId="07C2CB2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11）法律法规及中国证监会规定的和《基金合同》约定的其他义务。</w:t>
      </w:r>
    </w:p>
    <w:p w14:paraId="56F7BF6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（二）基金份额持有人大会召集、议事及表决的程序和规则</w:t>
      </w:r>
    </w:p>
    <w:p w14:paraId="79779DE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14:paraId="7CF1709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14:paraId="5578802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14:paraId="0AD966C3" w14:textId="14B4670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（1）当出现或需要决定下列事由之一的，应当召开基金份额持有人大会，法律法规、中国证监会</w:t>
      </w:r>
      <w:r w:rsidR="003434B8">
        <w:rPr>
          <w:rFonts w:ascii="宋体" w:hAnsi="宋体" w:hint="eastAsia"/>
          <w:sz w:val="24"/>
        </w:rPr>
        <w:t>或</w:t>
      </w:r>
      <w:r>
        <w:rPr>
          <w:rFonts w:ascii="宋体" w:hAnsi="宋体"/>
          <w:sz w:val="24"/>
        </w:rPr>
        <w:t>基金合同另有规定的除外：</w:t>
      </w:r>
    </w:p>
    <w:p w14:paraId="5147ED5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14:paraId="4F697D7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14:paraId="1CFF546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14:paraId="0A5534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14:paraId="01BCB6F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5）调整基金管理人、基金托管人的报酬标准和提高销售服务费；</w:t>
      </w:r>
    </w:p>
    <w:p w14:paraId="3FC4F72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14:paraId="024B6F7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14:paraId="22FEF05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p>
    <w:p w14:paraId="2957B6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14:paraId="25068B6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14:paraId="071F598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14:paraId="58BB02E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14:paraId="196A8CB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14:paraId="27A42E0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（2）在法律法规规定和《基金合同》约定的范围内且对基金份额持有人利益无实质性不利影响的前提下，以下情况可由基金管理人和基金托管人协商后修改，不需召开基金份额持有人大会：</w:t>
      </w:r>
    </w:p>
    <w:p w14:paraId="60879B1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1）调低基金销售服务费；</w:t>
      </w:r>
    </w:p>
    <w:p w14:paraId="4D5495B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14:paraId="40FFA22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3）在法律法规和《基金合同》规定的范围内调整本基金的申购费率、调低赎</w:t>
      </w:r>
      <w:r>
        <w:rPr>
          <w:rFonts w:ascii="宋体" w:hAnsi="宋体"/>
          <w:sz w:val="24"/>
        </w:rPr>
        <w:lastRenderedPageBreak/>
        <w:t>回费率、在对现有基金份额持有人利益无实质性不利影响的前提下变更收费方式；</w:t>
      </w:r>
    </w:p>
    <w:p w14:paraId="29FDBAB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4）因相应的法律法规、登记机构的相关业务规则发生变动而应当对《基金合同》进行修改；</w:t>
      </w:r>
    </w:p>
    <w:p w14:paraId="05F0EFE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5）对《基金合同》的修改对基金份额持有人利益无实质性不利影响或修改不涉及《基金合同》当事人权利义务关系发生重大变化；</w:t>
      </w:r>
    </w:p>
    <w:p w14:paraId="07310AB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6）在法律法规允许的情况下，且在对现有基金份额持有人利益无实质性不利影响的前提下，基金推出新业务或服务；</w:t>
      </w:r>
    </w:p>
    <w:p w14:paraId="7F753AD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7）在符合法律法规及本基金合同规定、并且对基金份额持有人利益无实质不利影响的前提下，调整本基金份额类别的设置；</w:t>
      </w:r>
    </w:p>
    <w:p w14:paraId="4F5E35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8）在不违反法律法规及对基金份额持有人利益无实质性不利影响的前提下，基金管理人、登记机构、销售机构调整有关基金认购、申购、赎回、转换、收益分配、非交易过户、转托管等业务的规则；</w:t>
      </w:r>
    </w:p>
    <w:p w14:paraId="6C26E8F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9）按照法律法规和《基金合同》规定不需召开基金份额持有人大会的其他情形。</w:t>
      </w:r>
    </w:p>
    <w:p w14:paraId="2BC3A45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14:paraId="0B83A2F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14:paraId="540F10D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14:paraId="61066D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4EA221C8" w14:textId="1552D9C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w:t>
      </w:r>
      <w:r>
        <w:rPr>
          <w:rFonts w:ascii="宋体" w:hAnsi="宋体"/>
          <w:sz w:val="24"/>
        </w:rPr>
        <w:lastRenderedPageBreak/>
        <w:t>提议之日起10日内决定是否召集，并书面告知提出提议的基金份额持有人代表和基金管理人；基金托管人决定召集的，应当自出具书面决定之日起60日内召开并告知基金管理人，基金管理人应当配合；</w:t>
      </w:r>
    </w:p>
    <w:p w14:paraId="3CF6CE4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63550EE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14:paraId="51289C5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14:paraId="1E027DD7" w14:textId="484079C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w:t>
      </w:r>
      <w:r w:rsidR="00DC3206">
        <w:rPr>
          <w:rFonts w:ascii="宋体" w:hAnsi="宋体"/>
          <w:sz w:val="24"/>
        </w:rPr>
        <w:t>规定媒介</w:t>
      </w:r>
      <w:r>
        <w:rPr>
          <w:rFonts w:ascii="宋体" w:hAnsi="宋体"/>
          <w:sz w:val="24"/>
        </w:rPr>
        <w:t>公告。基金份额持有人大会通知应至少载明以下内容：</w:t>
      </w:r>
    </w:p>
    <w:p w14:paraId="60A2587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14:paraId="4F2923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2）会议拟审议的事项、议事程序和表决方式；</w:t>
      </w:r>
    </w:p>
    <w:p w14:paraId="7833792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14:paraId="69BC95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14:paraId="02AF0E8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14:paraId="10CD461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14:paraId="2E0662D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14:paraId="460A4FA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49DD3E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5D79E9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4、基金份额持有人出席会议的方式</w:t>
      </w:r>
    </w:p>
    <w:p w14:paraId="3BEBAD8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基金份额持有人大会可通过现场开会方式、通讯开会方式或法律法规、监管机构允许的其他方式召开，会议的召开方式由会议召集人确定。</w:t>
      </w:r>
    </w:p>
    <w:p w14:paraId="5B6C96A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FDCDF4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76FB49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636FC5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（2）通讯开会。通讯开会系指基金份额持有人将其对表决事项的投票以会议通知载明的形式或基金合同约定的其他方式在表决截止日以前送达至召集人指定的地址或系统。</w:t>
      </w:r>
    </w:p>
    <w:p w14:paraId="51E8109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14:paraId="4ED05A0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14:paraId="2A1A7F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5A303D2" w14:textId="088E420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3）本人直接出具表决意见或授权他人代表出具表决意见的，基金份额持有人所持有的基金份额不小于在权益登记日基金总份额的二分之一（含二分之一）；若</w:t>
      </w:r>
      <w:r>
        <w:rPr>
          <w:rFonts w:ascii="宋体" w:hAnsi="宋体"/>
          <w:sz w:val="24"/>
        </w:rPr>
        <w:lastRenderedPageBreak/>
        <w:t>本人直接出具表决意见或授权他人代表出具表决意见</w:t>
      </w:r>
      <w:r w:rsidR="00192193">
        <w:rPr>
          <w:rFonts w:ascii="宋体" w:hAnsi="宋体" w:hint="eastAsia"/>
          <w:sz w:val="24"/>
        </w:rPr>
        <w:t>的</w:t>
      </w:r>
      <w:r>
        <w:rPr>
          <w:rFonts w:ascii="宋体" w:hAnsi="宋体"/>
          <w:sz w:val="24"/>
        </w:rPr>
        <w:t>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9D675CA" w14:textId="6C8D9AC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003434B8">
        <w:rPr>
          <w:rFonts w:ascii="宋体" w:hAnsi="宋体" w:hint="eastAsia"/>
          <w:sz w:val="24"/>
        </w:rPr>
        <w:t>。</w:t>
      </w:r>
    </w:p>
    <w:p w14:paraId="6371B2C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1BE55C4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14:paraId="4913038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14:paraId="797A96F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6EFFAFB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14:paraId="6205F6A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14:paraId="19D404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14:paraId="75ACB7C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7E12F839" w14:textId="0F78381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w:t>
      </w:r>
      <w:r w:rsidR="003D36B3">
        <w:rPr>
          <w:rFonts w:ascii="宋体" w:hAnsi="宋体" w:hint="eastAsia"/>
          <w:sz w:val="24"/>
        </w:rPr>
        <w:t>7</w:t>
      </w:r>
      <w:r>
        <w:rPr>
          <w:rFonts w:ascii="宋体" w:hAnsi="宋体"/>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w:t>
      </w:r>
      <w:r>
        <w:rPr>
          <w:rFonts w:ascii="宋体" w:hAnsi="宋体"/>
          <w:sz w:val="24"/>
        </w:rPr>
        <w:lastRenderedPageBreak/>
        <w:t>金托管人授权代表均未能主持大会，则由出席大会的基金份额持有人和代理人所持表决权的50%以上（含50%）选举产生一名基金份额持有人或代理人作为该次基金份额持有人大会的主持人。基金管理人和基金托管人拒不出席或主持基金份额持有人大会，不影响基金份额持有人大会作出的决议的效力。</w:t>
      </w:r>
    </w:p>
    <w:p w14:paraId="38C9A60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14:paraId="2AF450F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79D2BA1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14:paraId="243A048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14:paraId="60CDB3B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14:paraId="4E73940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14:paraId="4302744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5033E0A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713E08C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14:paraId="73E2ED1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3AF6E7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14:paraId="5C2CB71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14:paraId="3A790FF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5165BD4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71A80F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14:paraId="5ED264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864EFD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14:paraId="6350DC7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3025F21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AC5D6D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14:paraId="52CFD88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基金份额持有人大会的决议，召集人应当自通过之日起5日内报中国证监会备案。</w:t>
      </w:r>
    </w:p>
    <w:p w14:paraId="0AB3D9B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基金份额持有人大会的决议自表决通过之日起生效。法律法规另有规定的，从其规定。</w:t>
      </w:r>
    </w:p>
    <w:p w14:paraId="30B40D4F" w14:textId="120D666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基金份额持有人大会决议自生效之日起依照《信息披露办法》的规定在</w:t>
      </w:r>
      <w:r w:rsidR="00DC3206">
        <w:rPr>
          <w:rFonts w:ascii="宋体" w:hAnsi="宋体"/>
          <w:sz w:val="24"/>
        </w:rPr>
        <w:t>规定媒介</w:t>
      </w:r>
      <w:r>
        <w:rPr>
          <w:rFonts w:ascii="宋体" w:hAnsi="宋体"/>
          <w:sz w:val="24"/>
        </w:rPr>
        <w:t>上公告。如果采用通讯方式进行表决，在公告基金份额持有人大会决议时，必须将公证书全文、公证机构、公证员姓名等一同公告。</w:t>
      </w:r>
    </w:p>
    <w:p w14:paraId="066F62A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14:paraId="7A2830B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9、实施侧袋机制期间基金份额持有人大会的特殊约定</w:t>
      </w:r>
    </w:p>
    <w:p w14:paraId="72E13E4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61F48B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（1）基金份额持有人行使提议权、召集权、提名权所需单独或合计代表相关基金份额10%以上（含10%）；</w:t>
      </w:r>
    </w:p>
    <w:p w14:paraId="3935785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（2）现场开会的到会者在权益登记日代表的基金份额不少于本基金在权益登记日相关基金份额的二分之一（含二分之一）；</w:t>
      </w:r>
    </w:p>
    <w:p w14:paraId="5357402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（3）通讯开会的直接出具表决意见或授权他人代表出具表决意见的基金份额持有人所持有的基金份额不小于在权益登记日相关基金份额的二分之一（含二分之一）；</w:t>
      </w:r>
    </w:p>
    <w:p w14:paraId="5544229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31F06E6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（5）现场开会由出席大会的基金份额持有人和代理人所持表决权的50%以上（含50%）选举产生一名基金份额持有人或代理人作为该次基金份额持有人大会的主持人；</w:t>
      </w:r>
    </w:p>
    <w:p w14:paraId="6FC7191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（6）一般决议须经参加大会的基金份额持有人或其代理人所持表决权的二分之一以上（含二分之一）通过；</w:t>
      </w:r>
    </w:p>
    <w:p w14:paraId="441A54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14:paraId="412402F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同一主侧袋账户内的每份基金份额具有平等的表决权。</w:t>
      </w:r>
    </w:p>
    <w:p w14:paraId="1D920BD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06DC9EE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（三）基金合同解除和终止的事由、程序</w:t>
      </w:r>
    </w:p>
    <w:p w14:paraId="58C8EA6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1、《基金合同》的变更</w:t>
      </w:r>
    </w:p>
    <w:p w14:paraId="2ED5F74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617CCBB7" w14:textId="271E94A0"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（2）关于《基金合同》变更的基金份额持有人大会决议自生效后方可执行，自决议生效后依照《信息披露办法》的规定在</w:t>
      </w:r>
      <w:r w:rsidR="00DC3206">
        <w:rPr>
          <w:rFonts w:ascii="宋体" w:hAnsi="宋体"/>
          <w:sz w:val="24"/>
        </w:rPr>
        <w:t>规定媒介</w:t>
      </w:r>
      <w:r>
        <w:rPr>
          <w:rFonts w:ascii="宋体" w:hAnsi="宋体"/>
          <w:sz w:val="24"/>
        </w:rPr>
        <w:t>公告。</w:t>
      </w:r>
    </w:p>
    <w:p w14:paraId="0BA012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14:paraId="16F8957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14:paraId="5989E4C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1A1B2A4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1F326454" w14:textId="5B3886B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（3）连续50个工作日出现基金份额持有人数量不满200人或者基金资产净值低于5000万元情形的，</w:t>
      </w:r>
      <w:r w:rsidR="003434B8" w:rsidRPr="000671F3">
        <w:rPr>
          <w:rFonts w:hint="eastAsia"/>
          <w:bCs/>
          <w:sz w:val="24"/>
        </w:rPr>
        <w:t>基金合同终止</w:t>
      </w:r>
      <w:r>
        <w:rPr>
          <w:rFonts w:ascii="宋体" w:hAnsi="宋体"/>
          <w:sz w:val="24"/>
        </w:rPr>
        <w:t>，不需召开基金份额持有人大会；</w:t>
      </w:r>
    </w:p>
    <w:p w14:paraId="6B3F9F4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14:paraId="02CDC8C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14:paraId="2B9B278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14:paraId="7A47F4E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358A4B3C" w14:textId="22958E2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w:t>
      </w:r>
      <w:r w:rsidR="003434B8" w:rsidRPr="000671F3">
        <w:rPr>
          <w:bCs/>
          <w:sz w:val="24"/>
        </w:rPr>
        <w:t>符合</w:t>
      </w:r>
      <w:r w:rsidR="003434B8" w:rsidRPr="000671F3">
        <w:rPr>
          <w:rFonts w:hint="eastAsia"/>
          <w:bCs/>
          <w:sz w:val="24"/>
        </w:rPr>
        <w:t>《中华人民共和国证券法》规定</w:t>
      </w:r>
      <w:r>
        <w:rPr>
          <w:rFonts w:ascii="宋体" w:hAnsi="宋体"/>
          <w:sz w:val="24"/>
        </w:rPr>
        <w:t>的注册会计师、律师以及中国证监会指定的人员组成。基金财产清算小组可以聘用必要的工作人员。</w:t>
      </w:r>
    </w:p>
    <w:p w14:paraId="1574FB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43D06C7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2DDE721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w:t>
      </w:r>
      <w:r w:rsidR="003434B8">
        <w:rPr>
          <w:rFonts w:ascii="宋体" w:hAnsi="宋体" w:hint="eastAsia"/>
          <w:sz w:val="24"/>
        </w:rPr>
        <w:t>财产</w:t>
      </w:r>
      <w:r>
        <w:rPr>
          <w:rFonts w:ascii="宋体" w:hAnsi="宋体"/>
          <w:sz w:val="24"/>
        </w:rPr>
        <w:t>；</w:t>
      </w:r>
    </w:p>
    <w:p w14:paraId="49CBBA2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27B1C6F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6A2B705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1F81755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5）聘请会计师事务所对清算报告进行外部审计，聘请律师事务所对清算报告出具法律意见书；</w:t>
      </w:r>
    </w:p>
    <w:p w14:paraId="447EC2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4DE8335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60063B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14:paraId="6A1E5A6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14:paraId="29801D2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32EB504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14:paraId="0873E8A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61B1D46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14:paraId="7E2DEC39" w14:textId="0C8B417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w:t>
      </w:r>
      <w:r w:rsidR="003434B8" w:rsidRPr="000671F3">
        <w:rPr>
          <w:bCs/>
          <w:sz w:val="24"/>
        </w:rPr>
        <w:t>符合</w:t>
      </w:r>
      <w:r w:rsidR="003434B8" w:rsidRPr="000671F3">
        <w:rPr>
          <w:rFonts w:hint="eastAsia"/>
          <w:bCs/>
          <w:sz w:val="24"/>
        </w:rPr>
        <w:t>《中华人民共和国证券法》规定的</w:t>
      </w:r>
      <w:r>
        <w:rPr>
          <w:rFonts w:ascii="宋体" w:hAnsi="宋体"/>
          <w:sz w:val="24"/>
        </w:rPr>
        <w:t>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w:t>
      </w:r>
      <w:r w:rsidR="003434B8" w:rsidRPr="000671F3">
        <w:rPr>
          <w:rFonts w:hint="eastAsia"/>
          <w:bCs/>
          <w:sz w:val="24"/>
        </w:rPr>
        <w:t>规定网站</w:t>
      </w:r>
      <w:r>
        <w:rPr>
          <w:rFonts w:ascii="宋体" w:hAnsi="宋体"/>
          <w:sz w:val="24"/>
        </w:rPr>
        <w:t>上，并将清算报告提示性公告登载在</w:t>
      </w:r>
      <w:r w:rsidR="003434B8" w:rsidRPr="000671F3">
        <w:rPr>
          <w:rFonts w:hint="eastAsia"/>
          <w:bCs/>
          <w:sz w:val="24"/>
        </w:rPr>
        <w:t>规定报刊</w:t>
      </w:r>
      <w:r>
        <w:rPr>
          <w:rFonts w:ascii="宋体" w:hAnsi="宋体"/>
          <w:sz w:val="24"/>
        </w:rPr>
        <w:t>上。</w:t>
      </w:r>
    </w:p>
    <w:p w14:paraId="42CC362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14:paraId="2F45475D" w14:textId="4280EBD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w:t>
      </w:r>
      <w:r w:rsidR="003434B8" w:rsidRPr="000671F3">
        <w:rPr>
          <w:rFonts w:hint="eastAsia"/>
          <w:bCs/>
          <w:sz w:val="24"/>
        </w:rPr>
        <w:t>不低于法律法规规定的最低期限</w:t>
      </w:r>
      <w:r>
        <w:rPr>
          <w:rFonts w:ascii="宋体" w:hAnsi="宋体"/>
          <w:sz w:val="24"/>
        </w:rPr>
        <w:t>。</w:t>
      </w:r>
    </w:p>
    <w:p w14:paraId="0FCF772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（四）争议解决方式</w:t>
      </w:r>
    </w:p>
    <w:p w14:paraId="61881791" w14:textId="77777777" w:rsidR="00DC4159" w:rsidRPr="00DC4159" w:rsidRDefault="00DC4159" w:rsidP="00DC4159">
      <w:pPr>
        <w:autoSpaceDE w:val="0"/>
        <w:autoSpaceDN w:val="0"/>
        <w:adjustRightInd w:val="0"/>
        <w:snapToGrid w:val="0"/>
        <w:spacing w:line="360" w:lineRule="auto"/>
        <w:ind w:firstLineChars="200" w:firstLine="480"/>
        <w:jc w:val="left"/>
        <w:rPr>
          <w:rFonts w:ascii="宋体" w:hAnsi="宋体"/>
          <w:sz w:val="24"/>
        </w:rPr>
      </w:pPr>
      <w:r w:rsidRPr="00DC4159">
        <w:rPr>
          <w:rFonts w:ascii="宋体" w:hAnsi="宋体" w:hint="eastAsia"/>
          <w:sz w:val="24"/>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各方当事人均有约束力，除非仲裁裁决另有规定，仲裁费由败诉方承担。</w:t>
      </w:r>
    </w:p>
    <w:p w14:paraId="3CFCF642" w14:textId="77777777" w:rsidR="00DC4159" w:rsidRPr="00DC4159" w:rsidRDefault="00DC4159" w:rsidP="00DC4159">
      <w:pPr>
        <w:autoSpaceDE w:val="0"/>
        <w:autoSpaceDN w:val="0"/>
        <w:adjustRightInd w:val="0"/>
        <w:snapToGrid w:val="0"/>
        <w:spacing w:line="360" w:lineRule="auto"/>
        <w:ind w:firstLineChars="200" w:firstLine="480"/>
        <w:jc w:val="left"/>
        <w:rPr>
          <w:rFonts w:ascii="宋体" w:hAnsi="宋体"/>
          <w:sz w:val="24"/>
        </w:rPr>
      </w:pPr>
      <w:r w:rsidRPr="00DC4159">
        <w:rPr>
          <w:rFonts w:ascii="宋体" w:hAnsi="宋体" w:hint="eastAsia"/>
          <w:sz w:val="24"/>
        </w:rPr>
        <w:t>争议处理期间，基金合同当事人应恪守各自的职责，继续忠实、勤勉、尽责地履行基金合同规定的义务，维护基金份额持有人的合法权益。</w:t>
      </w:r>
    </w:p>
    <w:p w14:paraId="39D1CF78" w14:textId="09C3B4F2" w:rsidR="00D87CF5" w:rsidRDefault="00DC4159">
      <w:pPr>
        <w:autoSpaceDE w:val="0"/>
        <w:autoSpaceDN w:val="0"/>
        <w:adjustRightInd w:val="0"/>
        <w:snapToGrid w:val="0"/>
        <w:spacing w:line="360" w:lineRule="auto"/>
        <w:ind w:firstLineChars="200" w:firstLine="480"/>
        <w:jc w:val="left"/>
        <w:rPr>
          <w:rFonts w:ascii="宋体" w:hAnsi="宋体"/>
          <w:szCs w:val="24"/>
        </w:rPr>
      </w:pPr>
      <w:r w:rsidRPr="00DC4159">
        <w:rPr>
          <w:rFonts w:ascii="宋体" w:hAnsi="宋体" w:hint="eastAsia"/>
          <w:sz w:val="24"/>
        </w:rPr>
        <w:t>《基金合同》受中国法律（不含港澳台地区法律）管辖。</w:t>
      </w:r>
    </w:p>
    <w:p w14:paraId="44AE654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（五）基金合同存放地和投资者取得基金合同的方式</w:t>
      </w:r>
    </w:p>
    <w:p w14:paraId="717156E5" w14:textId="246111C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w:t>
      </w:r>
      <w:r w:rsidR="003434B8">
        <w:rPr>
          <w:rFonts w:ascii="宋体" w:hAnsi="宋体" w:hint="eastAsia"/>
          <w:sz w:val="24"/>
        </w:rPr>
        <w:t>三</w:t>
      </w:r>
      <w:r>
        <w:rPr>
          <w:rFonts w:ascii="宋体" w:hAnsi="宋体"/>
          <w:sz w:val="24"/>
        </w:rPr>
        <w:t>份，除上报有关监管机构一份外，基金管理人、基金托管人各持有</w:t>
      </w:r>
      <w:r w:rsidR="003434B8">
        <w:rPr>
          <w:rFonts w:ascii="宋体" w:hAnsi="宋体" w:hint="eastAsia"/>
          <w:sz w:val="24"/>
        </w:rPr>
        <w:t>一</w:t>
      </w:r>
      <w:r>
        <w:rPr>
          <w:rFonts w:ascii="宋体" w:hAnsi="宋体"/>
          <w:sz w:val="24"/>
        </w:rPr>
        <w:t>份，每份具有同等的法律效力。</w:t>
      </w:r>
    </w:p>
    <w:p w14:paraId="241F8F2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14:paraId="69C447C0"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A017681" w14:textId="3AF3ED4A" w:rsidR="00D87CF5" w:rsidRDefault="00CA69EB">
      <w:pPr>
        <w:pStyle w:val="1"/>
        <w:snapToGrid w:val="0"/>
        <w:spacing w:beforeLines="0" w:before="240" w:after="240"/>
        <w:rPr>
          <w:rFonts w:ascii="宋体" w:hAnsi="宋体"/>
          <w:szCs w:val="30"/>
        </w:rPr>
      </w:pPr>
      <w:bookmarkStart w:id="35" w:name="_Toc104564203"/>
      <w:bookmarkStart w:id="36" w:name="_Hlk101017475"/>
      <w:bookmarkEnd w:id="34"/>
      <w:r>
        <w:rPr>
          <w:rFonts w:ascii="Times New Roman" w:hAnsi="Times New Roman"/>
          <w:sz w:val="30"/>
        </w:rPr>
        <w:lastRenderedPageBreak/>
        <w:t>二十、托管协议的内容摘要</w:t>
      </w:r>
      <w:bookmarkEnd w:id="35"/>
    </w:p>
    <w:p w14:paraId="152BFFF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（一）托管协议当事人</w:t>
      </w:r>
    </w:p>
    <w:p w14:paraId="54077D0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14:paraId="3E5518C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61A4D8A5" w14:textId="3AE2FC3C" w:rsidR="00D87CF5" w:rsidRDefault="00DE1828">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住所</w:t>
      </w:r>
      <w:r w:rsidR="00CA69EB">
        <w:rPr>
          <w:rFonts w:ascii="宋体" w:hAnsi="宋体"/>
          <w:sz w:val="24"/>
        </w:rPr>
        <w:t>：中国（上海）自由贸易试验区银城中路188号交通银行大楼二层（裙）</w:t>
      </w:r>
    </w:p>
    <w:p w14:paraId="0C1814E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12E7798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552EEB9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040FEF3F" w14:textId="326C84E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w:t>
      </w:r>
      <w:r w:rsidR="0089004F">
        <w:rPr>
          <w:rFonts w:ascii="宋体" w:hAnsi="宋体" w:hint="eastAsia"/>
          <w:sz w:val="24"/>
        </w:rPr>
        <w:t>时间</w:t>
      </w:r>
      <w:r>
        <w:rPr>
          <w:rFonts w:ascii="宋体" w:hAnsi="宋体"/>
          <w:sz w:val="24"/>
        </w:rPr>
        <w:t>：2005年8月4日</w:t>
      </w:r>
    </w:p>
    <w:p w14:paraId="65515EC2" w14:textId="4588DD09" w:rsidR="0089004F"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批准设立机关</w:t>
      </w:r>
      <w:r w:rsidR="0089004F" w:rsidRPr="0089004F">
        <w:rPr>
          <w:rFonts w:ascii="宋体" w:hAnsi="宋体" w:hint="eastAsia"/>
          <w:sz w:val="24"/>
        </w:rPr>
        <w:t>：中国证券监督管理委员会</w:t>
      </w:r>
    </w:p>
    <w:p w14:paraId="725A07FE" w14:textId="0832E710"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批准设立文号：中国证监会证监基金字[2005]128号</w:t>
      </w:r>
    </w:p>
    <w:p w14:paraId="02F19FC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14:paraId="0A8A41A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3FE88789" w14:textId="1E029F1D" w:rsidR="00D87CF5" w:rsidRDefault="00CA69EB" w:rsidP="00994955">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存续期间：持续经营</w:t>
      </w:r>
    </w:p>
    <w:p w14:paraId="659ECBC9" w14:textId="2EA99C07" w:rsidR="0089004F" w:rsidRPr="009F6F65" w:rsidRDefault="0089004F" w:rsidP="00994955">
      <w:pPr>
        <w:autoSpaceDE w:val="0"/>
        <w:autoSpaceDN w:val="0"/>
        <w:adjustRightInd w:val="0"/>
        <w:snapToGrid w:val="0"/>
        <w:spacing w:line="360" w:lineRule="auto"/>
        <w:ind w:firstLineChars="200" w:firstLine="480"/>
        <w:jc w:val="left"/>
        <w:rPr>
          <w:rFonts w:ascii="宋体" w:hAnsi="宋体"/>
          <w:sz w:val="24"/>
        </w:rPr>
      </w:pPr>
      <w:r w:rsidRPr="009F6F65">
        <w:rPr>
          <w:rFonts w:ascii="宋体" w:hAnsi="宋体" w:hint="eastAsia"/>
          <w:sz w:val="24"/>
        </w:rPr>
        <w:t>经营范围：基金募集、基金销售、资产管理和中国证监会许可的其他业务。</w:t>
      </w:r>
    </w:p>
    <w:p w14:paraId="56A463C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14:paraId="17BCDFB5" w14:textId="77777777" w:rsidR="005C022E" w:rsidRDefault="005C022E" w:rsidP="005C022E">
      <w:pPr>
        <w:spacing w:line="360" w:lineRule="auto"/>
        <w:ind w:firstLineChars="200" w:firstLine="480"/>
        <w:rPr>
          <w:rFonts w:ascii="宋体" w:hAnsi="宋体"/>
          <w:sz w:val="24"/>
        </w:rPr>
      </w:pPr>
      <w:r>
        <w:rPr>
          <w:rFonts w:ascii="宋体" w:hAnsi="宋体" w:hint="eastAsia"/>
          <w:sz w:val="24"/>
        </w:rPr>
        <w:t>名称：招商银行股份有限公司</w:t>
      </w:r>
    </w:p>
    <w:p w14:paraId="43DEF0E7" w14:textId="77777777" w:rsidR="005C022E" w:rsidRDefault="005C022E" w:rsidP="005C022E">
      <w:pPr>
        <w:spacing w:line="360" w:lineRule="auto"/>
        <w:ind w:firstLineChars="200" w:firstLine="480"/>
        <w:rPr>
          <w:rFonts w:ascii="宋体" w:hAnsi="宋体"/>
          <w:sz w:val="24"/>
        </w:rPr>
      </w:pPr>
      <w:r>
        <w:rPr>
          <w:rFonts w:ascii="宋体" w:hAnsi="宋体" w:hint="eastAsia"/>
          <w:sz w:val="24"/>
        </w:rPr>
        <w:t>住所：深圳市深南大道</w:t>
      </w:r>
      <w:r>
        <w:rPr>
          <w:rFonts w:ascii="宋体" w:hAnsi="宋体"/>
          <w:sz w:val="24"/>
        </w:rPr>
        <w:t>7088号招商银行大厦</w:t>
      </w:r>
    </w:p>
    <w:p w14:paraId="5ACCB910" w14:textId="77777777" w:rsidR="005C022E" w:rsidRDefault="005C022E" w:rsidP="005C022E">
      <w:pPr>
        <w:spacing w:line="360" w:lineRule="auto"/>
        <w:ind w:firstLineChars="200" w:firstLine="480"/>
        <w:rPr>
          <w:rFonts w:ascii="宋体" w:hAnsi="宋体"/>
          <w:sz w:val="24"/>
        </w:rPr>
      </w:pPr>
      <w:r>
        <w:rPr>
          <w:rFonts w:ascii="宋体" w:hAnsi="宋体" w:hint="eastAsia"/>
          <w:sz w:val="24"/>
        </w:rPr>
        <w:t>办公地址：深圳市深南大道</w:t>
      </w:r>
      <w:r>
        <w:rPr>
          <w:rFonts w:ascii="宋体" w:hAnsi="宋体"/>
          <w:sz w:val="24"/>
        </w:rPr>
        <w:t>7088号招商银行大厦</w:t>
      </w:r>
    </w:p>
    <w:p w14:paraId="7AE49145" w14:textId="77777777" w:rsidR="005C022E" w:rsidRDefault="005C022E" w:rsidP="005C022E">
      <w:pPr>
        <w:spacing w:line="360" w:lineRule="auto"/>
        <w:ind w:firstLineChars="200" w:firstLine="480"/>
        <w:rPr>
          <w:rFonts w:ascii="宋体" w:hAnsi="宋体"/>
          <w:sz w:val="24"/>
        </w:rPr>
      </w:pPr>
      <w:r>
        <w:rPr>
          <w:rFonts w:ascii="宋体" w:hAnsi="宋体" w:hint="eastAsia"/>
          <w:sz w:val="24"/>
        </w:rPr>
        <w:t>邮政编码：</w:t>
      </w:r>
      <w:r>
        <w:rPr>
          <w:rFonts w:ascii="宋体" w:hAnsi="宋体"/>
          <w:sz w:val="24"/>
        </w:rPr>
        <w:t>518040</w:t>
      </w:r>
    </w:p>
    <w:p w14:paraId="2DA60AF0" w14:textId="77777777" w:rsidR="005C022E" w:rsidRDefault="005C022E" w:rsidP="005C022E">
      <w:pPr>
        <w:spacing w:line="360" w:lineRule="auto"/>
        <w:ind w:firstLineChars="200" w:firstLine="480"/>
        <w:rPr>
          <w:rFonts w:ascii="宋体" w:hAnsi="宋体"/>
          <w:sz w:val="24"/>
        </w:rPr>
      </w:pPr>
      <w:r>
        <w:rPr>
          <w:rFonts w:ascii="宋体" w:hAnsi="宋体" w:hint="eastAsia"/>
          <w:sz w:val="24"/>
        </w:rPr>
        <w:t>法定代表人：</w:t>
      </w:r>
      <w:r>
        <w:rPr>
          <w:rFonts w:hint="eastAsia"/>
          <w:bCs/>
          <w:sz w:val="24"/>
        </w:rPr>
        <w:t>缪建民</w:t>
      </w:r>
    </w:p>
    <w:p w14:paraId="55FE713A" w14:textId="77777777" w:rsidR="005C022E" w:rsidRDefault="005C022E" w:rsidP="005C022E">
      <w:pPr>
        <w:spacing w:line="360" w:lineRule="auto"/>
        <w:ind w:firstLineChars="200" w:firstLine="480"/>
        <w:rPr>
          <w:rFonts w:ascii="宋体" w:hAnsi="宋体"/>
          <w:sz w:val="24"/>
        </w:rPr>
      </w:pPr>
      <w:r>
        <w:rPr>
          <w:rFonts w:ascii="宋体" w:hAnsi="宋体" w:hint="eastAsia"/>
          <w:sz w:val="24"/>
        </w:rPr>
        <w:t>成立时间：</w:t>
      </w:r>
      <w:r>
        <w:rPr>
          <w:rFonts w:ascii="宋体" w:hAnsi="宋体"/>
          <w:sz w:val="24"/>
        </w:rPr>
        <w:t>1987年4月8日</w:t>
      </w:r>
    </w:p>
    <w:p w14:paraId="1D4AA852" w14:textId="77777777" w:rsidR="005C022E" w:rsidRPr="00B81B95" w:rsidRDefault="005C022E" w:rsidP="005C022E">
      <w:pPr>
        <w:spacing w:line="360" w:lineRule="auto"/>
        <w:ind w:firstLineChars="200" w:firstLine="480"/>
        <w:rPr>
          <w:rFonts w:ascii="宋体" w:hAnsi="宋体"/>
          <w:bCs/>
          <w:sz w:val="24"/>
        </w:rPr>
      </w:pPr>
      <w:r w:rsidRPr="00B81B95">
        <w:rPr>
          <w:rFonts w:ascii="宋体" w:hAnsi="宋体" w:hint="eastAsia"/>
          <w:bCs/>
          <w:sz w:val="24"/>
        </w:rPr>
        <w:t>批准设立机关和批准设立文号：中国人民银行银复字（</w:t>
      </w:r>
      <w:r w:rsidRPr="00B81B95">
        <w:rPr>
          <w:rFonts w:ascii="宋体" w:hAnsi="宋体"/>
          <w:bCs/>
          <w:sz w:val="24"/>
        </w:rPr>
        <w:t>1986</w:t>
      </w:r>
      <w:r w:rsidRPr="00B81B95">
        <w:rPr>
          <w:rFonts w:ascii="宋体" w:hAnsi="宋体" w:hint="eastAsia"/>
          <w:bCs/>
          <w:sz w:val="24"/>
        </w:rPr>
        <w:t>）</w:t>
      </w:r>
      <w:r w:rsidRPr="00B81B95">
        <w:rPr>
          <w:rFonts w:ascii="宋体" w:hAnsi="宋体"/>
          <w:bCs/>
          <w:sz w:val="24"/>
        </w:rPr>
        <w:t>175</w:t>
      </w:r>
      <w:r w:rsidRPr="00B81B95">
        <w:rPr>
          <w:rFonts w:ascii="宋体" w:hAnsi="宋体" w:hint="eastAsia"/>
          <w:bCs/>
          <w:sz w:val="24"/>
        </w:rPr>
        <w:t>号文、银复（</w:t>
      </w:r>
      <w:r w:rsidRPr="00B81B95">
        <w:rPr>
          <w:rFonts w:ascii="宋体" w:hAnsi="宋体"/>
          <w:bCs/>
          <w:sz w:val="24"/>
        </w:rPr>
        <w:t>1987</w:t>
      </w:r>
      <w:r w:rsidRPr="00B81B95">
        <w:rPr>
          <w:rFonts w:ascii="宋体" w:hAnsi="宋体" w:hint="eastAsia"/>
          <w:bCs/>
          <w:sz w:val="24"/>
        </w:rPr>
        <w:t>）</w:t>
      </w:r>
      <w:r w:rsidRPr="00B81B95">
        <w:rPr>
          <w:rFonts w:ascii="宋体" w:hAnsi="宋体"/>
          <w:bCs/>
          <w:sz w:val="24"/>
        </w:rPr>
        <w:t>86</w:t>
      </w:r>
      <w:r w:rsidRPr="00B81B95">
        <w:rPr>
          <w:rFonts w:ascii="宋体" w:hAnsi="宋体" w:hint="eastAsia"/>
          <w:bCs/>
          <w:sz w:val="24"/>
        </w:rPr>
        <w:t>号文</w:t>
      </w:r>
    </w:p>
    <w:p w14:paraId="54281AFE" w14:textId="77777777" w:rsidR="005C022E" w:rsidRDefault="005C022E" w:rsidP="005C022E">
      <w:pPr>
        <w:spacing w:line="360" w:lineRule="auto"/>
        <w:ind w:firstLineChars="200" w:firstLine="480"/>
        <w:rPr>
          <w:rFonts w:ascii="宋体" w:hAnsi="宋体"/>
          <w:sz w:val="24"/>
        </w:rPr>
      </w:pPr>
      <w:r>
        <w:rPr>
          <w:rFonts w:ascii="宋体" w:hAnsi="宋体" w:hint="eastAsia"/>
          <w:sz w:val="24"/>
        </w:rPr>
        <w:t>基金托管业务批准文号：证监基金字</w:t>
      </w:r>
      <w:r>
        <w:rPr>
          <w:rFonts w:ascii="宋体" w:hAnsi="宋体"/>
          <w:sz w:val="24"/>
        </w:rPr>
        <w:t>[2002]83号</w:t>
      </w:r>
    </w:p>
    <w:p w14:paraId="21A06DDF" w14:textId="77777777" w:rsidR="005C022E" w:rsidRDefault="005C022E" w:rsidP="005C022E">
      <w:pPr>
        <w:spacing w:line="360" w:lineRule="auto"/>
        <w:ind w:firstLineChars="200" w:firstLine="480"/>
        <w:rPr>
          <w:rFonts w:ascii="宋体" w:hAnsi="宋体"/>
          <w:sz w:val="24"/>
        </w:rPr>
      </w:pPr>
      <w:r>
        <w:rPr>
          <w:rFonts w:ascii="宋体" w:hAnsi="宋体" w:hint="eastAsia"/>
          <w:sz w:val="24"/>
        </w:rPr>
        <w:t>组织形式：股份有限公司</w:t>
      </w:r>
    </w:p>
    <w:p w14:paraId="22A3D78F" w14:textId="77777777" w:rsidR="005C022E" w:rsidRDefault="005C022E" w:rsidP="005C022E">
      <w:pPr>
        <w:spacing w:line="360" w:lineRule="auto"/>
        <w:ind w:firstLineChars="200" w:firstLine="480"/>
        <w:rPr>
          <w:rFonts w:ascii="宋体" w:hAnsi="宋体"/>
          <w:sz w:val="24"/>
        </w:rPr>
      </w:pPr>
      <w:r>
        <w:rPr>
          <w:rFonts w:ascii="宋体" w:hAnsi="宋体" w:hint="eastAsia"/>
          <w:sz w:val="24"/>
        </w:rPr>
        <w:t>注册资本：人民币</w:t>
      </w:r>
      <w:r>
        <w:rPr>
          <w:rFonts w:ascii="宋体" w:hAnsi="宋体"/>
          <w:sz w:val="24"/>
        </w:rPr>
        <w:t>252.20</w:t>
      </w:r>
      <w:r>
        <w:rPr>
          <w:rFonts w:ascii="宋体" w:hAnsi="宋体" w:hint="eastAsia"/>
          <w:sz w:val="24"/>
        </w:rPr>
        <w:t>亿元</w:t>
      </w:r>
    </w:p>
    <w:p w14:paraId="1852D27C" w14:textId="35EA872E" w:rsidR="00D87CF5" w:rsidRDefault="005C022E">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存续期间：持续经营</w:t>
      </w:r>
    </w:p>
    <w:p w14:paraId="3C619A6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（二）基金托管人对基金管理人的业务监督和核查</w:t>
      </w:r>
    </w:p>
    <w:p w14:paraId="4334C78C" w14:textId="5447AF22"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lastRenderedPageBreak/>
        <w:t>1、</w:t>
      </w:r>
      <w:r w:rsidRPr="005C022E">
        <w:rPr>
          <w:rFonts w:ascii="宋体" w:hAnsi="宋体" w:hint="eastAsia"/>
          <w:sz w:val="24"/>
        </w:rPr>
        <w:t>基金托管人根据有关法律法规的规定以及《基金合同》的约定，对基金投资范围、投资比例、投资限制、关联方交易等进行监督。</w:t>
      </w:r>
    </w:p>
    <w:p w14:paraId="5AD82B50" w14:textId="10B1EBC8"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5C022E">
        <w:rPr>
          <w:rFonts w:ascii="宋体" w:hAnsi="宋体" w:hint="eastAsia"/>
          <w:sz w:val="24"/>
        </w:rPr>
        <w:t>本基金的投资范围为：</w:t>
      </w:r>
    </w:p>
    <w:p w14:paraId="320273A8"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本基金的投资范围为具有良好流动性的金融工具，包括债券（含国债、金融债、央行票据、地方政府债、政府支持债、政府支持机构债、企业债、公司债、可分离交易可转债的纯债部分、公开发行的次级债、短期融资券、超短期融资券、中期票据）、资产支持证券、债券回购、银行存款（包括定期存款、协议存款、通知存款等）、同业存单、货币市场工具以及法律法规或中国证监会允许基金投资的其他金融工具（但须符合中国证监会相关规定）。本基金不投资于股票等权益类资产，也不投资于可转换债券（可分离交易可转债的纯债部分除外）、可交换债券。</w:t>
      </w:r>
    </w:p>
    <w:p w14:paraId="231BB479"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如法律法规或监管机构以后允许基金投资其他品种，基金管理人在履行适当程序后，可以将其纳入投资范围。</w:t>
      </w:r>
    </w:p>
    <w:p w14:paraId="78E74186" w14:textId="745C2186"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5C022E">
        <w:rPr>
          <w:rFonts w:ascii="宋体" w:hAnsi="宋体" w:hint="eastAsia"/>
          <w:sz w:val="24"/>
        </w:rPr>
        <w:t>本基金各类品种的投资比例、投资限制为：</w:t>
      </w:r>
    </w:p>
    <w:p w14:paraId="5AC99B07"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基金的投资组合比例为：本基金投资于债券资产的比例不低于基金资产的80%。本基金持有的现金或到期日在一年以内的政府债券的比例合计不低于基金资产净值的5%，其中现金不包括结算备付金、存出保证金、应收申购款等。</w:t>
      </w:r>
    </w:p>
    <w:p w14:paraId="034D445F"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如果法律法规或中国证监会变更投资品种的投资比例限制，基金管理人在履行适当程序后，可以调整上述投资品种的投资比例。</w:t>
      </w:r>
    </w:p>
    <w:p w14:paraId="4644A868"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基金的投资组合应遵循以下限制：</w:t>
      </w:r>
    </w:p>
    <w:p w14:paraId="52FD8AF4" w14:textId="08CC0898"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1）本基金投资于债券资产的比例不低于基金资产的80%；</w:t>
      </w:r>
    </w:p>
    <w:p w14:paraId="63C89612" w14:textId="68C7330B"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2）本基金持有的现金或到期日在一年以内的政府债券的比例合计不低于基金资产净值的5%，其中现金不包括结算备付金、存出保证金、应收申购款等；</w:t>
      </w:r>
    </w:p>
    <w:p w14:paraId="21320BCE" w14:textId="77FBA029"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3）本基金持有一家公司发行的证券，其市值不超过基金资产净值的10%；</w:t>
      </w:r>
    </w:p>
    <w:p w14:paraId="17FB9A75" w14:textId="0737590E"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4）本基金管理人管理的全部基金持有一家公司发行的证券，不超过该证券的10％，完全按照有关指数的构成比例进行证券投资的基金品种可以不受此条款规定的比例限制；</w:t>
      </w:r>
    </w:p>
    <w:p w14:paraId="2A612BF5" w14:textId="413ECABF"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5）本基金投资于同一原始权益人的各类资产支持证券的比例，不得超过基金资产净值的10％；</w:t>
      </w:r>
    </w:p>
    <w:p w14:paraId="6CE02B58" w14:textId="1C02D36A"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6）本基金持有的全部资产支持证券，其市值不得超过基金资产净值的20％；</w:t>
      </w:r>
    </w:p>
    <w:p w14:paraId="6EEBCAE6" w14:textId="0BFBCA75"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7）本基金持有的同一（指同一信用级别）资产支持证券的比例，不得超过该</w:t>
      </w:r>
      <w:r w:rsidRPr="005C022E">
        <w:rPr>
          <w:rFonts w:ascii="宋体" w:hAnsi="宋体" w:hint="eastAsia"/>
          <w:sz w:val="24"/>
        </w:rPr>
        <w:lastRenderedPageBreak/>
        <w:t>资产支持证券规模的10％；</w:t>
      </w:r>
    </w:p>
    <w:p w14:paraId="66D3C42D" w14:textId="35E923D4"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8）本基金管理人管理的全部基金投资于同一原始权益人的各类资产支持证券，不得超过其各类资产支持证券合计规模的10％；</w:t>
      </w:r>
    </w:p>
    <w:p w14:paraId="6519DE78" w14:textId="1831B076"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9）本基金应投资于信用级别评级为AA+以上（含AA+）的资产支持证券。基金持有资产支持证券期间，如果其信用等级下降、不再符合投资标准，应在评级报告发布之日起3个月内予以全部卖出；</w:t>
      </w:r>
    </w:p>
    <w:p w14:paraId="2C787F8E" w14:textId="16650D4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10）本基金进入全国银行间同业市场进行债券回购的资金余额不得超过基金资产净值的40%，进入全国银行间同业市场进行债券回购的最长期限为1年，债券回购到期后不得展期；</w:t>
      </w:r>
    </w:p>
    <w:p w14:paraId="25C23BE3" w14:textId="4F92601A"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11）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27802A04" w14:textId="2FA48608"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12）本基金与私募类证券资管产品及中国证监会认定的其他主体为交易对手开展逆回购交易的，可接受质押品的资质要求应当与基金合同约定的投资范围保持一致；</w:t>
      </w:r>
    </w:p>
    <w:p w14:paraId="7AD897EB" w14:textId="381D58FD"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13）本基金资产总值不超过基金资产净值的140%；</w:t>
      </w:r>
    </w:p>
    <w:p w14:paraId="6249029D" w14:textId="1668FF9D"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14）法律法规及中国证监会规定的和《基金合同》约定的其他投资限制。</w:t>
      </w:r>
    </w:p>
    <w:p w14:paraId="25F61EC6" w14:textId="2B2CD84A"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除上述</w:t>
      </w:r>
      <w:r w:rsidRPr="005C022E">
        <w:rPr>
          <w:rFonts w:ascii="宋体" w:hAnsi="宋体" w:hint="eastAsia"/>
          <w:sz w:val="24"/>
        </w:rPr>
        <w:t>2</w:t>
      </w:r>
      <w:r>
        <w:rPr>
          <w:rFonts w:ascii="宋体" w:hAnsi="宋体" w:hint="eastAsia"/>
          <w:sz w:val="24"/>
        </w:rPr>
        <w:t>）、</w:t>
      </w:r>
      <w:r w:rsidRPr="005C022E">
        <w:rPr>
          <w:rFonts w:ascii="宋体" w:hAnsi="宋体" w:hint="eastAsia"/>
          <w:sz w:val="24"/>
        </w:rPr>
        <w:t>9</w:t>
      </w:r>
      <w:r>
        <w:rPr>
          <w:rFonts w:ascii="宋体" w:hAnsi="宋体" w:hint="eastAsia"/>
          <w:sz w:val="24"/>
        </w:rPr>
        <w:t>）、</w:t>
      </w:r>
      <w:r>
        <w:rPr>
          <w:rFonts w:ascii="宋体" w:hAnsi="宋体"/>
          <w:sz w:val="24"/>
        </w:rPr>
        <w:t>1</w:t>
      </w:r>
      <w:r w:rsidRPr="005C022E">
        <w:rPr>
          <w:rFonts w:ascii="宋体" w:hAnsi="宋体" w:hint="eastAsia"/>
          <w:sz w:val="24"/>
        </w:rPr>
        <w:t>1</w:t>
      </w:r>
      <w:r>
        <w:rPr>
          <w:rFonts w:ascii="宋体" w:hAnsi="宋体" w:hint="eastAsia"/>
          <w:sz w:val="24"/>
        </w:rPr>
        <w:t>）、</w:t>
      </w:r>
      <w:r w:rsidRPr="005C022E">
        <w:rPr>
          <w:rFonts w:ascii="宋体" w:hAnsi="宋体" w:hint="eastAsia"/>
          <w:sz w:val="24"/>
        </w:rPr>
        <w:t>12）情形之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6E074E52" w14:textId="2F556482"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Pr="005C022E">
        <w:rPr>
          <w:rFonts w:ascii="宋体" w:hAnsi="宋体" w:hint="eastAsia"/>
          <w:sz w:val="24"/>
        </w:rPr>
        <w:t>本基金财产不得用于以下投资或者活动：</w:t>
      </w:r>
    </w:p>
    <w:p w14:paraId="29548911" w14:textId="04468EE6"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1）承销证券；</w:t>
      </w:r>
    </w:p>
    <w:p w14:paraId="2B1B0C98" w14:textId="2BB31F39"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2）违反规定向他人贷款或者提供担保；</w:t>
      </w:r>
    </w:p>
    <w:p w14:paraId="47BEFEA2" w14:textId="6E581769"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3）从事承担无限责任的投资；</w:t>
      </w:r>
    </w:p>
    <w:p w14:paraId="053B5769" w14:textId="6B14FF3A"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4）买卖其他基金份额，但是中国证监会另有规定的除外；</w:t>
      </w:r>
    </w:p>
    <w:p w14:paraId="5095005B" w14:textId="07C7F8F0"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5）向其基金管理人、基金托管人出资；</w:t>
      </w:r>
    </w:p>
    <w:p w14:paraId="7F3B7926" w14:textId="29F3FE3D"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6）从事内幕交易、操纵证券交易价格及其他不正当的证券交易活动；</w:t>
      </w:r>
    </w:p>
    <w:p w14:paraId="27A39BB2" w14:textId="0D6BDB0A"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7）法律、行政法规和中国证监会规定禁止的其他活动。</w:t>
      </w:r>
    </w:p>
    <w:p w14:paraId="4A98BCED"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基金管理人运用基金财产买卖基金管理人、基金托管人及其控股股东、实际控</w:t>
      </w:r>
      <w:r w:rsidRPr="005C022E">
        <w:rPr>
          <w:rFonts w:ascii="宋体" w:hAnsi="宋体" w:hint="eastAsia"/>
          <w:sz w:val="24"/>
        </w:rPr>
        <w:lastRenderedPageBreak/>
        <w:t>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094B1F4"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如法律、行政法规或监管部门取消上述规定，如适用于本基金，基金管理人在履行适当程序后，本基金可不受上述规定的限制。</w:t>
      </w:r>
    </w:p>
    <w:p w14:paraId="437BC006" w14:textId="3B855589"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w:t>
      </w:r>
      <w:r w:rsidRPr="005C022E">
        <w:rPr>
          <w:rFonts w:ascii="宋体" w:hAnsi="宋体" w:hint="eastAsia"/>
          <w:sz w:val="24"/>
        </w:rPr>
        <w:t>基金管理人应当自基金合同生效日起6个月内使基金的投资组合比例符合基金合同的有关约定。在上述期间内，本基金的投资范围、投资策略应当符合基金合同的约定。基金托管人对基金的投资的监督与检查自基金合同生效之日起开始。</w:t>
      </w:r>
    </w:p>
    <w:p w14:paraId="7D826C9C" w14:textId="4E2495CC"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w:t>
      </w:r>
      <w:r w:rsidRPr="005C022E">
        <w:rPr>
          <w:rFonts w:ascii="宋体" w:hAnsi="宋体"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0F8D92FD" w14:textId="740CC575"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5C022E">
        <w:rPr>
          <w:rFonts w:ascii="宋体" w:hAnsi="宋体" w:hint="eastAsia"/>
          <w:sz w:val="24"/>
        </w:rPr>
        <w:t>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454CA031"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本基金投资银行存款应符合如下规定：</w:t>
      </w:r>
    </w:p>
    <w:p w14:paraId="27AA5F0E" w14:textId="38DF606C"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5C022E">
        <w:rPr>
          <w:rFonts w:ascii="宋体" w:hAnsi="宋体" w:hint="eastAsia"/>
          <w:sz w:val="24"/>
        </w:rPr>
        <w:t>本基金投资于有固定期限银行存款的比例，不得超过基金资产净值的30%，但投资于有存款期限，根据协议可提前支取的银行存款不受上述比例限制;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14:paraId="4E0D5B1A"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有关法律法规或监管部门制定或修改新的定期存款投资政策，基金管理人履行适当程序后，可相应调整投资组合限制的规定。</w:t>
      </w:r>
    </w:p>
    <w:p w14:paraId="716CC511" w14:textId="6B6A206B"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5C022E">
        <w:rPr>
          <w:rFonts w:ascii="宋体" w:hAnsi="宋体" w:hint="eastAsia"/>
          <w:sz w:val="24"/>
        </w:rPr>
        <w:t>基金管理人负责对本基金存款银行的评估与研究，建立健全银行存款的业务流程、岗位职责、风险控制措施和监察稽核制度，切实防范有关风险。基金托</w:t>
      </w:r>
      <w:r w:rsidRPr="005C022E">
        <w:rPr>
          <w:rFonts w:ascii="宋体" w:hAnsi="宋体" w:hint="eastAsia"/>
          <w:sz w:val="24"/>
        </w:rPr>
        <w:lastRenderedPageBreak/>
        <w:t>管人负责对本基金银行定期存款业务的监督与核查，审查、复核相关协议、账户资料、投资指令、存款证实书等有关文件，切实履行托管职责。</w:t>
      </w:r>
    </w:p>
    <w:p w14:paraId="74D10818" w14:textId="7F444AAF"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1）基金管理人负责控制信用风险。信用风险主要包括存款银行的信用等级、存款银行的支付能力等涉及到存款银行选择方面的风险。因选择存款银行不当造成基金财产损失的，由基金管理人承担责任。</w:t>
      </w:r>
    </w:p>
    <w:p w14:paraId="123088B7" w14:textId="325F0A24"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2）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6AF9A207" w14:textId="6C7CB583"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3）基金管理人须加强内部风险控制制度的建设。如因基金管理人员工职务行为导致基金财产受到损失的，需由基金管理人承担由此造成的损失。</w:t>
      </w:r>
    </w:p>
    <w:p w14:paraId="05C9E6AD" w14:textId="40AA7536"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4）基金管理人与基金托管人在开展基金存款业务时，应严格遵守《基金法》、《运作办法》等有关法律法规，以及国家有关账户管理、利率管理、支付结算等的各项规定。</w:t>
      </w:r>
    </w:p>
    <w:p w14:paraId="2DA31F57" w14:textId="3BB58050"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Pr="005C022E">
        <w:rPr>
          <w:rFonts w:ascii="宋体" w:hAnsi="宋体" w:hint="eastAsia"/>
          <w:sz w:val="24"/>
        </w:rPr>
        <w:t>基金投资银行存款协议的签订、账户开设与管理、投资指令与资金划付、账目核对、到期兑付、提前支取</w:t>
      </w:r>
    </w:p>
    <w:p w14:paraId="65F611B0" w14:textId="29A533D1"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5C022E">
        <w:rPr>
          <w:rFonts w:ascii="宋体" w:hAnsi="宋体" w:hint="eastAsia"/>
          <w:sz w:val="24"/>
        </w:rPr>
        <w:t>基金投资银行存款协议的签订</w:t>
      </w:r>
    </w:p>
    <w:p w14:paraId="2C1178E9" w14:textId="0144B4D5"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1）基金管理人应与符合资格的存款银行总行或其授权分行签订《存款协议书》。《存款协议书》的格式范本由基金托管人、基金管理人、存款银行总行或其授权分行共同商定。</w:t>
      </w:r>
    </w:p>
    <w:p w14:paraId="355852AB" w14:textId="22F1BC32"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2）基金托管人依据相关法规对《存款协议书》的内容进行复核，审查存款银行资格等。</w:t>
      </w:r>
    </w:p>
    <w:p w14:paraId="186843AA" w14:textId="52C25805"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3）基金管理人应在《存款协议书》中明确存款证实书或其他有效存款凭证的办理方式、邮寄地址、联系人和联系电话，以及存款证实书或其他有效凭证在邮寄过程中遗失后，存款余额的确认及兑付办法等。</w:t>
      </w:r>
    </w:p>
    <w:p w14:paraId="72F8868E" w14:textId="213E292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4）由存款银行指定的存放存款的分支机构（以下简称“存款分支机构”）寄送或上门交付存款证实书或其他有效存款凭证的，基金托管人可向存款分支机构的上级行发出存款余额询证函，存款分支机构及其上级行应予配合。</w:t>
      </w:r>
    </w:p>
    <w:p w14:paraId="434EDF76" w14:textId="75EA9B1F"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5）基金管理人应在《存款协议书》中规定，基金存放到期或提前兑付的资金</w:t>
      </w:r>
      <w:r w:rsidRPr="005C022E">
        <w:rPr>
          <w:rFonts w:ascii="宋体" w:hAnsi="宋体" w:hint="eastAsia"/>
          <w:sz w:val="24"/>
        </w:rPr>
        <w:lastRenderedPageBreak/>
        <w:t>应全部划转到指定的基金托管账户，并在《存款协议书》写明账户名称和账号，未划入指定账户的，由存款银行承担一切责任。</w:t>
      </w:r>
    </w:p>
    <w:p w14:paraId="43DF7EAB" w14:textId="26735448"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6）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700B46ED" w14:textId="4C2A849D"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7）基金管理人应在《存款协议书》中规定，因定期存款产生的存单不得被质押或以任何方式被抵押，不得用于转让和背书。</w:t>
      </w:r>
    </w:p>
    <w:p w14:paraId="7BACE602" w14:textId="68F6BBF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5C022E">
        <w:rPr>
          <w:rFonts w:ascii="宋体" w:hAnsi="宋体" w:hint="eastAsia"/>
          <w:sz w:val="24"/>
        </w:rPr>
        <w:t>基金投资银行存款时的账户开设与管理</w:t>
      </w:r>
    </w:p>
    <w:p w14:paraId="3300DAEE" w14:textId="4AC726FF"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1）基金投资于银行存款时，基金管理人应当依据基金管理人与存款银行签订的《存款协议书》等，以基金的名义在存款银行总行或授权分行指定的分支机构开立银行账户。</w:t>
      </w:r>
    </w:p>
    <w:p w14:paraId="42DBAE35" w14:textId="1A6905F3"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2）基金投资于银行存款时的预留印鉴由基金托管人保管和使用。</w:t>
      </w:r>
    </w:p>
    <w:p w14:paraId="00B7079E" w14:textId="21534C6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Pr="005C022E">
        <w:rPr>
          <w:rFonts w:ascii="宋体" w:hAnsi="宋体" w:hint="eastAsia"/>
          <w:sz w:val="24"/>
        </w:rPr>
        <w:t>存款凭证传递、账目核对及到期兑付</w:t>
      </w:r>
    </w:p>
    <w:p w14:paraId="08ABDC25" w14:textId="16120CF3"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1）存款证实书等存款凭证传递</w:t>
      </w:r>
    </w:p>
    <w:p w14:paraId="44291D35"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存款资金只能存放于存款银行总行或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78524E35" w14:textId="33133A49"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2）存款凭证的遗失补办</w:t>
      </w:r>
    </w:p>
    <w:p w14:paraId="088F4895"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存款凭证在邮寄过程中遗失的，由基金管理人向存款银行提出补办申请，基金管理人应督促存款银行尽快补办存款凭证，并按以上（1）的方式快递或上门交付至托管人，原存款凭证自动作废。</w:t>
      </w:r>
    </w:p>
    <w:p w14:paraId="7BE04362" w14:textId="6FE8AC30"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3）账目核对</w:t>
      </w:r>
    </w:p>
    <w:p w14:paraId="6585FCD6"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每个工作日，基金管理人应与基金托管人核对各项银行存款投资余额及应计利</w:t>
      </w:r>
      <w:r w:rsidRPr="005C022E">
        <w:rPr>
          <w:rFonts w:ascii="宋体" w:hAnsi="宋体" w:hint="eastAsia"/>
          <w:sz w:val="24"/>
        </w:rPr>
        <w:lastRenderedPageBreak/>
        <w:t>息。</w:t>
      </w:r>
    </w:p>
    <w:p w14:paraId="60418FDB"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4E38B6E6"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存款银行应配合基金托管人对存款凭证的询证，并在询证函上加盖存款银行公章寄送至基金托管人指定联系人。</w:t>
      </w:r>
    </w:p>
    <w:p w14:paraId="70CD766F" w14:textId="77A7E7EA"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4）到期兑付</w:t>
      </w:r>
    </w:p>
    <w:p w14:paraId="15457B36"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基金管理人提前通知基金托管人通过快递将存款凭证原件寄给存款银行分支机构指定的会计主管。存款银行未收到存款凭证原件的，应向基金托管人电话询问。存款到期前基金管理人与存款银行确认存款凭证收到并于到期日兑付存款本息事宜。</w:t>
      </w:r>
    </w:p>
    <w:p w14:paraId="259475E6"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4B7BC3A2"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660CF7D7"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如果存款到期日为法定节假日，存款银行顺延至到期后第一个工作日支付，存款银行需按原协议约定利率和实际延期天数支付延期利息。</w:t>
      </w:r>
    </w:p>
    <w:p w14:paraId="1A8CD2B7" w14:textId="22B46654"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w:t>
      </w:r>
      <w:r w:rsidRPr="005C022E">
        <w:rPr>
          <w:rFonts w:ascii="宋体" w:hAnsi="宋体" w:hint="eastAsia"/>
          <w:sz w:val="24"/>
        </w:rPr>
        <w:t>提前支取</w:t>
      </w:r>
    </w:p>
    <w:p w14:paraId="277C87A1"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如果在存款期限内，由于基金规模发生缩减的原因或者出于流动性管理的需要等原因，基金管理人可以提前支取全部或部分资金。</w:t>
      </w:r>
    </w:p>
    <w:p w14:paraId="6F6BFA76"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提前支取的具体事项按照基金管理人与存款银行签订的《存款协议书》执行。</w:t>
      </w:r>
    </w:p>
    <w:p w14:paraId="1C746BF1" w14:textId="35667DC5"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w:t>
      </w:r>
      <w:r w:rsidRPr="005C022E">
        <w:rPr>
          <w:rFonts w:ascii="宋体" w:hAnsi="宋体" w:hint="eastAsia"/>
          <w:sz w:val="24"/>
        </w:rPr>
        <w:t>基金投资银行存款的监督</w:t>
      </w:r>
    </w:p>
    <w:p w14:paraId="395DC5C2"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基金托管人发现基金管理人在进行存款投资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若因基金管理</w:t>
      </w:r>
      <w:r w:rsidRPr="005C022E">
        <w:rPr>
          <w:rFonts w:ascii="宋体" w:hAnsi="宋体" w:hint="eastAsia"/>
          <w:sz w:val="24"/>
        </w:rPr>
        <w:lastRenderedPageBreak/>
        <w:t>人拒不执行造成基金财产损失的，相关损失由基金管理人承担，基金托管人不承担任何责任。</w:t>
      </w:r>
    </w:p>
    <w:p w14:paraId="5D7868B5" w14:textId="2E485A09"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w:t>
      </w:r>
      <w:r w:rsidRPr="005C022E">
        <w:rPr>
          <w:rFonts w:ascii="宋体" w:hAnsi="宋体" w:hint="eastAsia"/>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与基金托管人协商解决。</w:t>
      </w:r>
    </w:p>
    <w:p w14:paraId="6F55E1A9"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4CBEFE8A" w14:textId="438BCD91"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w:t>
      </w:r>
      <w:r w:rsidRPr="005C022E">
        <w:rPr>
          <w:rFonts w:ascii="宋体" w:hAnsi="宋体" w:hint="eastAsia"/>
          <w:sz w:val="24"/>
        </w:rPr>
        <w:t>基金管理人应当对投资中期票据业务进行研究，认真评估中期票据投资业务的风险，本着审慎、勤勉尽责的原则进行中期票据的投资业务，并应符合法律法规及监管机构的相关规定。</w:t>
      </w:r>
    </w:p>
    <w:p w14:paraId="5637CE92" w14:textId="6F81FCF2"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6、</w:t>
      </w:r>
      <w:r w:rsidRPr="005C022E">
        <w:rPr>
          <w:rFonts w:ascii="宋体" w:hAnsi="宋体" w:hint="eastAsia"/>
          <w:sz w:val="24"/>
        </w:rPr>
        <w:t>基金托管人根据有关法律法规的规定及《基金合同》的约定，对各类基金份额的基金资产净值计算及基金份额净值计算、基金费用开支及收入确定、基金收益分配、相关信息披露、基金宣传推介材料中登载基金业绩表现数据等进行监督和核查。</w:t>
      </w:r>
    </w:p>
    <w:p w14:paraId="35FC9A18" w14:textId="4FC6659E"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7、</w:t>
      </w:r>
      <w:r w:rsidRPr="005C022E">
        <w:rPr>
          <w:rFonts w:ascii="宋体" w:hAnsi="宋体" w:hint="eastAsia"/>
          <w:sz w:val="24"/>
        </w:rPr>
        <w:t>基金托管人发现基金管理人的上述事项及投资指令或实际投资运作违反法律法规、《基金合同》和本托管协议的规定，应及时以电话、邮件或书面提示等方</w:t>
      </w:r>
      <w:r w:rsidRPr="005C022E">
        <w:rPr>
          <w:rFonts w:ascii="宋体" w:hAnsi="宋体" w:hint="eastAsia"/>
          <w:sz w:val="24"/>
        </w:rPr>
        <w:lastRenderedPageBreak/>
        <w:t>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36B06981" w14:textId="719B2350"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8、</w:t>
      </w:r>
      <w:r w:rsidRPr="005C022E">
        <w:rPr>
          <w:rFonts w:ascii="宋体" w:hAnsi="宋体" w:hint="eastAsia"/>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8CC4B16" w14:textId="667D3496"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9、</w:t>
      </w:r>
      <w:r w:rsidRPr="005C022E">
        <w:rPr>
          <w:rFonts w:ascii="宋体" w:hAnsi="宋体" w:hint="eastAsia"/>
          <w:sz w:val="24"/>
        </w:rPr>
        <w:t>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406960EF" w14:textId="18FDC4A8"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w:t>
      </w:r>
      <w:r w:rsidRPr="005C022E">
        <w:rPr>
          <w:rFonts w:ascii="宋体" w:hAnsi="宋体" w:hint="eastAsia"/>
          <w:sz w:val="24"/>
        </w:rPr>
        <w:t>基金托管人发现基金管理人有重大违规行为，应及时报告中国证监会，同时通知基金管理人限期纠正。</w:t>
      </w:r>
    </w:p>
    <w:p w14:paraId="25B897C7" w14:textId="0B20652A"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w:t>
      </w:r>
      <w:r w:rsidRPr="005C022E">
        <w:rPr>
          <w:rFonts w:ascii="宋体" w:hAnsi="宋体" w:hint="eastAsia"/>
          <w:sz w:val="24"/>
        </w:rPr>
        <w:t>侧袋机制的实施和投资运作安排</w:t>
      </w:r>
    </w:p>
    <w:p w14:paraId="35A376CC"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5B115137"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侧袋机制实施期间，基金合同约定的投资组合比例、投资策略、组合限制、业绩比较基准、风险收益特征等约定仅适用于主袋账户。</w:t>
      </w:r>
    </w:p>
    <w:p w14:paraId="31575E42" w14:textId="51E90570" w:rsidR="00D87CF5" w:rsidRDefault="005C022E">
      <w:pPr>
        <w:autoSpaceDE w:val="0"/>
        <w:autoSpaceDN w:val="0"/>
        <w:adjustRightInd w:val="0"/>
        <w:snapToGrid w:val="0"/>
        <w:spacing w:line="360" w:lineRule="auto"/>
        <w:ind w:firstLineChars="200" w:firstLine="480"/>
        <w:jc w:val="left"/>
        <w:rPr>
          <w:rFonts w:ascii="宋体" w:hAnsi="宋体"/>
          <w:szCs w:val="24"/>
        </w:rPr>
      </w:pPr>
      <w:r w:rsidRPr="005C022E">
        <w:rPr>
          <w:rFonts w:ascii="宋体" w:hAnsi="宋体" w:hint="eastAsia"/>
          <w:sz w:val="24"/>
        </w:rPr>
        <w:t>侧袋账户的实施条件、实施程序、运作安排、投资安排、特定资产的处置变现和支付等对投资者权益有重大影响的事项详见招募说明书的规定。</w:t>
      </w:r>
    </w:p>
    <w:p w14:paraId="7FC7D6E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（三）基金管理人对基金托管人的业务核查</w:t>
      </w:r>
    </w:p>
    <w:p w14:paraId="76FC0B59" w14:textId="040FB872" w:rsidR="005C022E" w:rsidRPr="005C022E" w:rsidRDefault="005C022E" w:rsidP="005C022E">
      <w:pPr>
        <w:autoSpaceDE w:val="0"/>
        <w:autoSpaceDN w:val="0"/>
        <w:adjustRightInd w:val="0"/>
        <w:snapToGri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w:t>
      </w:r>
      <w:r w:rsidRPr="005C022E">
        <w:rPr>
          <w:rFonts w:ascii="宋体" w:hAnsi="宋体" w:cs="宋体" w:hint="eastAsia"/>
          <w:color w:val="000000"/>
          <w:sz w:val="24"/>
          <w:szCs w:val="24"/>
        </w:rPr>
        <w:t>基金管理人对基金托管人履行托管职责情况进行核查，核查事项包括基金托管人安全保管基金财产、开设基金财产的资金账户、证券账户等投资所需账户、复核基金管理人计算的各类基金份额的基金资产净值和基金份额净值、根据基金管理人指令办理清算交收、相关信息披露和监督基金投资运作等行为。</w:t>
      </w:r>
    </w:p>
    <w:p w14:paraId="3E4C4773" w14:textId="502FA37F" w:rsidR="005C022E" w:rsidRPr="005C022E" w:rsidRDefault="005C022E" w:rsidP="005C022E">
      <w:pPr>
        <w:autoSpaceDE w:val="0"/>
        <w:autoSpaceDN w:val="0"/>
        <w:adjustRightInd w:val="0"/>
        <w:snapToGrid w:val="0"/>
        <w:spacing w:line="360" w:lineRule="auto"/>
        <w:ind w:firstLineChars="200" w:firstLine="480"/>
        <w:jc w:val="left"/>
        <w:rPr>
          <w:rFonts w:ascii="宋体" w:hAnsi="宋体" w:cs="宋体"/>
          <w:color w:val="000000"/>
          <w:sz w:val="24"/>
          <w:szCs w:val="24"/>
        </w:rPr>
      </w:pPr>
      <w:r>
        <w:rPr>
          <w:rFonts w:ascii="宋体" w:hAnsi="宋体" w:cs="宋体"/>
          <w:color w:val="000000"/>
          <w:sz w:val="24"/>
          <w:szCs w:val="24"/>
        </w:rPr>
        <w:lastRenderedPageBreak/>
        <w:t>2</w:t>
      </w:r>
      <w:r>
        <w:rPr>
          <w:rFonts w:ascii="宋体" w:hAnsi="宋体" w:cs="宋体" w:hint="eastAsia"/>
          <w:color w:val="000000"/>
          <w:sz w:val="24"/>
          <w:szCs w:val="24"/>
        </w:rPr>
        <w:t>、</w:t>
      </w:r>
      <w:r w:rsidRPr="005C022E">
        <w:rPr>
          <w:rFonts w:ascii="宋体" w:hAnsi="宋体" w:cs="宋体" w:hint="eastAsia"/>
          <w:color w:val="000000"/>
          <w:sz w:val="24"/>
          <w:szCs w:val="24"/>
        </w:rPr>
        <w:t>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0F5DD2D5" w14:textId="1390F296" w:rsidR="005C022E" w:rsidRPr="005C022E" w:rsidRDefault="005C022E" w:rsidP="005C022E">
      <w:pPr>
        <w:autoSpaceDE w:val="0"/>
        <w:autoSpaceDN w:val="0"/>
        <w:adjustRightInd w:val="0"/>
        <w:snapToGri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w:t>
      </w:r>
      <w:r w:rsidRPr="005C022E">
        <w:rPr>
          <w:rFonts w:ascii="宋体" w:hAnsi="宋体" w:cs="宋体" w:hint="eastAsia"/>
          <w:color w:val="000000"/>
          <w:sz w:val="24"/>
          <w:szCs w:val="24"/>
        </w:rPr>
        <w:t>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7029A1CD" w14:textId="28D75DE5" w:rsidR="00D87CF5" w:rsidRDefault="005C022E">
      <w:pPr>
        <w:autoSpaceDE w:val="0"/>
        <w:autoSpaceDN w:val="0"/>
        <w:adjustRightInd w:val="0"/>
        <w:snapToGrid w:val="0"/>
        <w:spacing w:line="360" w:lineRule="auto"/>
        <w:ind w:firstLineChars="200" w:firstLine="480"/>
        <w:jc w:val="left"/>
        <w:rPr>
          <w:rFonts w:ascii="宋体" w:hAnsi="宋体"/>
          <w:szCs w:val="24"/>
        </w:rPr>
      </w:pPr>
      <w:r>
        <w:rPr>
          <w:rFonts w:ascii="宋体" w:hAnsi="宋体" w:cs="宋体" w:hint="eastAsia"/>
          <w:color w:val="000000"/>
          <w:sz w:val="24"/>
          <w:szCs w:val="24"/>
        </w:rPr>
        <w:t>4、</w:t>
      </w:r>
      <w:r w:rsidRPr="005C022E">
        <w:rPr>
          <w:rFonts w:ascii="宋体" w:hAnsi="宋体" w:cs="宋体" w:hint="eastAsia"/>
          <w:color w:val="000000"/>
          <w:sz w:val="24"/>
          <w:szCs w:val="24"/>
        </w:rPr>
        <w:t>基金管理人发现基金托管人有重大违规行为，应及时报告中国证监会，同时通知基金托管人限期纠正，并将纠正结果报告中国证监会。</w:t>
      </w:r>
    </w:p>
    <w:p w14:paraId="08311D1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（四）基金财产保管</w:t>
      </w:r>
    </w:p>
    <w:p w14:paraId="49546C42" w14:textId="688C45C8"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1054B1">
        <w:rPr>
          <w:rFonts w:ascii="宋体" w:hAnsi="宋体" w:hint="eastAsia"/>
          <w:sz w:val="24"/>
        </w:rPr>
        <w:t>基金财产保管的原则</w:t>
      </w:r>
    </w:p>
    <w:p w14:paraId="46CA043B" w14:textId="3696C099"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1054B1">
        <w:rPr>
          <w:rFonts w:ascii="宋体" w:hAnsi="宋体" w:hint="eastAsia"/>
          <w:sz w:val="24"/>
        </w:rPr>
        <w:t>基金财产应独立于基金管理人、基金托管人的固有财产。</w:t>
      </w:r>
    </w:p>
    <w:p w14:paraId="4F11269F" w14:textId="6DC47DC6"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sidRPr="001054B1">
        <w:rPr>
          <w:rFonts w:ascii="宋体" w:hAnsi="宋体" w:hint="eastAsia"/>
          <w:sz w:val="24"/>
        </w:rPr>
        <w:t>基金托管人应安全保管基金财产。</w:t>
      </w:r>
    </w:p>
    <w:p w14:paraId="60037DC6" w14:textId="6C6842D9"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r w:rsidRPr="001054B1">
        <w:rPr>
          <w:rFonts w:ascii="宋体" w:hAnsi="宋体" w:hint="eastAsia"/>
          <w:sz w:val="24"/>
        </w:rPr>
        <w:t>基金托管人按照规定开设基金财产的资金账户和证券账户等投资所需的相关账户。</w:t>
      </w:r>
    </w:p>
    <w:p w14:paraId="00FCF0DF" w14:textId="04C57F42"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w:t>
      </w:r>
      <w:r w:rsidRPr="001054B1">
        <w:rPr>
          <w:rFonts w:ascii="宋体" w:hAnsi="宋体" w:hint="eastAsia"/>
          <w:sz w:val="24"/>
        </w:rPr>
        <w:t>基金托管人对所托管的不同基金财产分别设置账户，确保基金财产的完整与独立。</w:t>
      </w:r>
    </w:p>
    <w:p w14:paraId="02B1499F" w14:textId="03B0BB08"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w:t>
      </w:r>
      <w:r w:rsidRPr="001054B1">
        <w:rPr>
          <w:rFonts w:ascii="宋体" w:hAnsi="宋体" w:hint="eastAsia"/>
          <w:sz w:val="24"/>
        </w:rPr>
        <w:t>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14:paraId="66620B7D" w14:textId="22CD505F"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w:t>
      </w:r>
      <w:r w:rsidRPr="001054B1">
        <w:rPr>
          <w:rFonts w:ascii="宋体" w:hAnsi="宋体" w:hint="eastAsia"/>
          <w:sz w:val="24"/>
        </w:rPr>
        <w:t>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5A5F9EA0" w14:textId="166F9E57"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w:t>
      </w:r>
      <w:r w:rsidRPr="001054B1">
        <w:rPr>
          <w:rFonts w:ascii="宋体" w:hAnsi="宋体" w:hint="eastAsia"/>
          <w:sz w:val="24"/>
        </w:rPr>
        <w:t>基金托管人对因为基金管理人投资产生的存放或存管在基金托管人以外</w:t>
      </w:r>
      <w:r w:rsidRPr="001054B1">
        <w:rPr>
          <w:rFonts w:ascii="宋体" w:hAnsi="宋体" w:hint="eastAsia"/>
          <w:sz w:val="24"/>
        </w:rPr>
        <w:lastRenderedPageBreak/>
        <w:t>机构的基金资产，或交由证券公司负责清算交收的基金资产及其收益，由于该等机构或该机构会员单位等本协议当事人外第三方的欺诈、疏忽、过失或破产等原因给基金资产造成的损失等不承担责任。</w:t>
      </w:r>
    </w:p>
    <w:p w14:paraId="2155340C" w14:textId="6855BF2D"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w:t>
      </w:r>
      <w:r w:rsidRPr="001054B1">
        <w:rPr>
          <w:rFonts w:ascii="宋体" w:hAnsi="宋体" w:hint="eastAsia"/>
          <w:sz w:val="24"/>
        </w:rPr>
        <w:t>除依据法律法规和基金合同的规定外，基金托管人不得委托第三人托管基金财产。</w:t>
      </w:r>
    </w:p>
    <w:p w14:paraId="5CBA749E" w14:textId="3F5C17C3"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1054B1">
        <w:rPr>
          <w:rFonts w:ascii="宋体" w:hAnsi="宋体" w:hint="eastAsia"/>
          <w:sz w:val="24"/>
        </w:rPr>
        <w:t>基金募集期间及募集资金的验资</w:t>
      </w:r>
    </w:p>
    <w:p w14:paraId="7818BD71" w14:textId="6C052945"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1054B1">
        <w:rPr>
          <w:rFonts w:ascii="宋体" w:hAnsi="宋体" w:hint="eastAsia"/>
          <w:sz w:val="24"/>
        </w:rPr>
        <w:t>基金募集期间募集认购款项应开立“基金募集专户”。该账户由基金管理人或基金管理人委托的登记机构开立并管理。</w:t>
      </w:r>
    </w:p>
    <w:p w14:paraId="68289567" w14:textId="38514EF4"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sidRPr="001054B1">
        <w:rPr>
          <w:rFonts w:ascii="宋体" w:hAnsi="宋体" w:hint="eastAsia"/>
          <w:sz w:val="24"/>
        </w:rPr>
        <w:t>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符合《中华人民共和国证券法》规定的会计师事务所进行验资，出具验资报告。出具的验资报告由参加验资的2名或2名以上中国注册会计师签字方为有效。</w:t>
      </w:r>
    </w:p>
    <w:p w14:paraId="77F88C45" w14:textId="5F1C22A7"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r w:rsidRPr="001054B1">
        <w:rPr>
          <w:rFonts w:ascii="宋体" w:hAnsi="宋体" w:hint="eastAsia"/>
          <w:sz w:val="24"/>
        </w:rPr>
        <w:t>若基金募集期限届满，未能达到基金合同生效的条件，由基金管理人按规定办理退款等事宜。</w:t>
      </w:r>
    </w:p>
    <w:p w14:paraId="152A3CF0" w14:textId="29E764AE"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Pr="001054B1">
        <w:rPr>
          <w:rFonts w:ascii="宋体" w:hAnsi="宋体" w:hint="eastAsia"/>
          <w:sz w:val="24"/>
        </w:rPr>
        <w:t>基金资金账户的开立和管理</w:t>
      </w:r>
    </w:p>
    <w:p w14:paraId="10707F0F" w14:textId="41003FCC"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1054B1">
        <w:rPr>
          <w:rFonts w:ascii="宋体" w:hAnsi="宋体" w:hint="eastAsia"/>
          <w:sz w:val="24"/>
        </w:rPr>
        <w:t>基金托管人以本基金的名义在其营业机构开立基金的资金账户（也可称为“托管账户”），保管基金的银行存款，并根据基金管理人的指令办理资金收付。托管账户名称应为“交银施罗德稳安30天滚动持有债券型证券投资基金”，预留印鉴为基金托管人印章。</w:t>
      </w:r>
    </w:p>
    <w:p w14:paraId="46C71AF2" w14:textId="371E11E8"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1054B1">
        <w:rPr>
          <w:rFonts w:ascii="宋体" w:hAnsi="宋体" w:hint="eastAsia"/>
          <w:sz w:val="24"/>
        </w:rPr>
        <w:t>基金资金账户的开立和使用，限于满足开展本基金业务的需要。基金托管人和基金管理人不得假借本基金的名义开立任何其他银行账户；亦不得使用基金的任何账户进行本基金业务以外的活动。</w:t>
      </w:r>
    </w:p>
    <w:p w14:paraId="5F618E1A" w14:textId="3B37718E"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Pr="001054B1">
        <w:rPr>
          <w:rFonts w:ascii="宋体" w:hAnsi="宋体" w:hint="eastAsia"/>
          <w:sz w:val="24"/>
        </w:rPr>
        <w:t>基金资金账户的开立和管理应符合法律法规及银行业监督管理机构的有关规定。</w:t>
      </w:r>
    </w:p>
    <w:p w14:paraId="3C9573A1" w14:textId="17D49F8A"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w:t>
      </w:r>
      <w:r w:rsidRPr="001054B1">
        <w:rPr>
          <w:rFonts w:ascii="宋体" w:hAnsi="宋体" w:hint="eastAsia"/>
          <w:sz w:val="24"/>
        </w:rPr>
        <w:t>基金证券账户和结算备付金账户的开立和管理</w:t>
      </w:r>
    </w:p>
    <w:p w14:paraId="4C81CED0" w14:textId="347EFE73"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1054B1">
        <w:rPr>
          <w:rFonts w:ascii="宋体" w:hAnsi="宋体" w:hint="eastAsia"/>
          <w:sz w:val="24"/>
        </w:rPr>
        <w:t>基金托管人在中国证券登记结算有限责任公司上海分公司、深圳分公司为基金开立基金托管人与基金联名的证券账户。</w:t>
      </w:r>
    </w:p>
    <w:p w14:paraId="2AE7EDE9" w14:textId="5C9997A7"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1054B1">
        <w:rPr>
          <w:rFonts w:ascii="宋体" w:hAnsi="宋体" w:hint="eastAsia"/>
          <w:sz w:val="24"/>
        </w:rPr>
        <w:t>基金证券账户的开立和使用，仅限于满足开展本基金业务的需要。基金</w:t>
      </w:r>
      <w:r w:rsidRPr="001054B1">
        <w:rPr>
          <w:rFonts w:ascii="宋体" w:hAnsi="宋体" w:hint="eastAsia"/>
          <w:sz w:val="24"/>
        </w:rPr>
        <w:lastRenderedPageBreak/>
        <w:t>托管人和基金管理人不得出借或未经对方同意擅自转让基金的任何证券账户，亦不得使用基金的任何账户进行本基金业务以外的活动。</w:t>
      </w:r>
    </w:p>
    <w:p w14:paraId="1E9ED026" w14:textId="61C9299C"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Pr="001054B1">
        <w:rPr>
          <w:rFonts w:ascii="宋体" w:hAnsi="宋体" w:hint="eastAsia"/>
          <w:sz w:val="24"/>
        </w:rPr>
        <w:t>基金证券账户的开立和证券账户卡的保管由基金托管人负责，账户资产的管理和运用由基金管理人负责。</w:t>
      </w:r>
    </w:p>
    <w:p w14:paraId="4DA406BD" w14:textId="749164AE"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w:t>
      </w:r>
      <w:r w:rsidRPr="001054B1">
        <w:rPr>
          <w:rFonts w:ascii="宋体" w:hAnsi="宋体" w:hint="eastAsia"/>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14:paraId="28A35EB2" w14:textId="3E5D2BCC"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w:t>
      </w:r>
      <w:r w:rsidRPr="001054B1">
        <w:rPr>
          <w:rFonts w:ascii="宋体" w:hAnsi="宋体" w:hint="eastAsia"/>
          <w:sz w:val="24"/>
        </w:rPr>
        <w:t>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1E74AAEF" w14:textId="4E7D9253"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w:t>
      </w:r>
      <w:r w:rsidRPr="001054B1">
        <w:rPr>
          <w:rFonts w:ascii="宋体" w:hAnsi="宋体" w:hint="eastAsia"/>
          <w:sz w:val="24"/>
        </w:rPr>
        <w:t>债券托管账户的开设和管理</w:t>
      </w:r>
    </w:p>
    <w:p w14:paraId="7CCE453F" w14:textId="77777777"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sidRPr="001054B1">
        <w:rPr>
          <w:rFonts w:ascii="宋体" w:hAnsi="宋体" w:hint="eastAsia"/>
          <w:sz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10438B75" w14:textId="55DDB631"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6、</w:t>
      </w:r>
      <w:r w:rsidRPr="001054B1">
        <w:rPr>
          <w:rFonts w:ascii="宋体" w:hAnsi="宋体" w:hint="eastAsia"/>
          <w:sz w:val="24"/>
        </w:rPr>
        <w:t>其他账户的开立和管理</w:t>
      </w:r>
    </w:p>
    <w:p w14:paraId="0A49CDDD" w14:textId="152FD242"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1054B1">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4C6B6044" w14:textId="07B34B61"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1054B1">
        <w:rPr>
          <w:rFonts w:ascii="宋体" w:hAnsi="宋体" w:hint="eastAsia"/>
          <w:sz w:val="24"/>
        </w:rPr>
        <w:t>法律法规等有关规定对相关账户的开立和管理另有规定的，从其规定办理。</w:t>
      </w:r>
    </w:p>
    <w:p w14:paraId="4E58E765" w14:textId="3243DA74"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7、</w:t>
      </w:r>
      <w:r w:rsidRPr="001054B1">
        <w:rPr>
          <w:rFonts w:ascii="宋体" w:hAnsi="宋体" w:hint="eastAsia"/>
          <w:sz w:val="24"/>
        </w:rPr>
        <w:t>基金财产投资的有关有价凭证等的保管</w:t>
      </w:r>
    </w:p>
    <w:p w14:paraId="43B1ED9A" w14:textId="77777777"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sidRPr="001054B1">
        <w:rPr>
          <w:rFonts w:ascii="宋体" w:hAnsi="宋体" w:hint="eastAsia"/>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1BF4F39B" w14:textId="54467F5F"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8、</w:t>
      </w:r>
      <w:r w:rsidRPr="001054B1">
        <w:rPr>
          <w:rFonts w:ascii="宋体" w:hAnsi="宋体" w:hint="eastAsia"/>
          <w:sz w:val="24"/>
        </w:rPr>
        <w:t>与基金财产有关的重大合同的保管</w:t>
      </w:r>
    </w:p>
    <w:p w14:paraId="1F323FCD" w14:textId="77777777"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sidRPr="001054B1">
        <w:rPr>
          <w:rFonts w:ascii="宋体" w:hAnsi="宋体" w:hint="eastAsia"/>
          <w:sz w:val="24"/>
        </w:rPr>
        <w:t>由基金管理人代表基金签署的、与基金财产有关的重大合同的原件分别由基金</w:t>
      </w:r>
      <w:r w:rsidRPr="001054B1">
        <w:rPr>
          <w:rFonts w:ascii="宋体" w:hAnsi="宋体" w:hint="eastAsia"/>
          <w:sz w:val="24"/>
        </w:rPr>
        <w:lastRenderedPageBreak/>
        <w:t>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不低于法律法规规定的最低期限。</w:t>
      </w:r>
    </w:p>
    <w:p w14:paraId="4A3B207C" w14:textId="77777777" w:rsidR="001054B1" w:rsidRDefault="001054B1" w:rsidP="00B76D07">
      <w:pPr>
        <w:adjustRightInd w:val="0"/>
        <w:snapToGrid w:val="0"/>
        <w:spacing w:line="360" w:lineRule="auto"/>
        <w:ind w:firstLineChars="200" w:firstLine="480"/>
        <w:rPr>
          <w:rFonts w:ascii="宋体" w:hAnsi="宋体"/>
          <w:sz w:val="24"/>
        </w:rPr>
      </w:pPr>
      <w:r w:rsidRPr="001054B1">
        <w:rPr>
          <w:rFonts w:ascii="宋体" w:hAnsi="宋体"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73E6C383" w14:textId="77777777" w:rsidR="00B76D07" w:rsidRPr="003073D4" w:rsidRDefault="00B76D07" w:rsidP="00B76D07">
      <w:pPr>
        <w:adjustRightInd w:val="0"/>
        <w:snapToGrid w:val="0"/>
        <w:spacing w:line="360" w:lineRule="auto"/>
        <w:ind w:firstLineChars="200" w:firstLine="480"/>
        <w:rPr>
          <w:bCs/>
          <w:sz w:val="24"/>
        </w:rPr>
      </w:pPr>
      <w:r w:rsidRPr="003073D4">
        <w:rPr>
          <w:rFonts w:hint="eastAsia"/>
          <w:bCs/>
          <w:sz w:val="24"/>
        </w:rPr>
        <w:t>（五）基金资产净值计算与复核</w:t>
      </w:r>
    </w:p>
    <w:p w14:paraId="1E8BA70D" w14:textId="72E18362"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w:t>
      </w:r>
      <w:r w:rsidRPr="001054B1">
        <w:rPr>
          <w:rFonts w:ascii="宋体" w:hAnsi="宋体" w:cs="宋体" w:hint="eastAsia"/>
          <w:color w:val="000000"/>
          <w:sz w:val="24"/>
          <w:szCs w:val="24"/>
        </w:rPr>
        <w:t>基金资产净值的计算、复核与完成的时间及程序</w:t>
      </w:r>
    </w:p>
    <w:p w14:paraId="6E9457CA" w14:textId="3A23E87B"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w:t>
      </w:r>
      <w:r w:rsidRPr="001054B1">
        <w:rPr>
          <w:rFonts w:ascii="宋体" w:hAnsi="宋体" w:cs="宋体" w:hint="eastAsia"/>
          <w:color w:val="000000"/>
          <w:sz w:val="24"/>
          <w:szCs w:val="24"/>
        </w:rPr>
        <w:t>基金资产净值</w:t>
      </w:r>
    </w:p>
    <w:p w14:paraId="4BF8D7D1" w14:textId="7777777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sidRPr="001054B1">
        <w:rPr>
          <w:rFonts w:ascii="宋体" w:hAnsi="宋体" w:cs="宋体" w:hint="eastAsia"/>
          <w:color w:val="000000"/>
          <w:sz w:val="24"/>
          <w:szCs w:val="24"/>
        </w:rPr>
        <w:t>基金资产净值是指基金资产总值减去基金负债后的价值。</w:t>
      </w:r>
    </w:p>
    <w:p w14:paraId="247C5B72" w14:textId="7777777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sidRPr="001054B1">
        <w:rPr>
          <w:rFonts w:ascii="宋体" w:hAnsi="宋体" w:cs="宋体" w:hint="eastAsia"/>
          <w:color w:val="000000"/>
          <w:sz w:val="24"/>
          <w:szCs w:val="24"/>
        </w:rPr>
        <w:t>各类基金份额的基金份额净值是按照每个工作日闭市后，任一类基金份额的基金资产净值除以当日该类基金份额的余额数量计算，精确到0.0001元，小数点后第五位四舍五入。基金管理人可以设立大额赎回情形下的净值精度应急调整机制，具体可参见相关公告。国家另有规定的，从其规定。</w:t>
      </w:r>
    </w:p>
    <w:p w14:paraId="51CCFB2E" w14:textId="7777777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sidRPr="001054B1">
        <w:rPr>
          <w:rFonts w:ascii="宋体" w:hAnsi="宋体" w:cs="宋体" w:hint="eastAsia"/>
          <w:color w:val="000000"/>
          <w:sz w:val="24"/>
          <w:szCs w:val="24"/>
        </w:rPr>
        <w:t>基金管理人于每个工作日分别计算各类基金份额的基金资产净值、基金份额净值，经基金托管人复核，按规定公告，但基金管理人根据法律法规或基金合同的规定暂停估值时除外。</w:t>
      </w:r>
    </w:p>
    <w:p w14:paraId="3FCCFA96" w14:textId="692A660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w:t>
      </w:r>
      <w:r w:rsidRPr="001054B1">
        <w:rPr>
          <w:rFonts w:ascii="宋体" w:hAnsi="宋体" w:cs="宋体" w:hint="eastAsia"/>
          <w:color w:val="000000"/>
          <w:sz w:val="24"/>
          <w:szCs w:val="24"/>
        </w:rPr>
        <w:t>复核程序</w:t>
      </w:r>
    </w:p>
    <w:p w14:paraId="35B63565" w14:textId="7777777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sidRPr="001054B1">
        <w:rPr>
          <w:rFonts w:ascii="宋体" w:hAnsi="宋体" w:cs="宋体" w:hint="eastAsia"/>
          <w:color w:val="000000"/>
          <w:sz w:val="24"/>
          <w:szCs w:val="24"/>
        </w:rPr>
        <w:t>基金管理人每个工作日对基金资产进行估值后，将各类基金份额的基金资产净值、基金份额净值发送基金托管人，经基金托管人复核无误后，由基金管理人依据基金合同和相关法律法规的规定对外公布。</w:t>
      </w:r>
    </w:p>
    <w:p w14:paraId="2A2B228F" w14:textId="43D70FE3"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w:t>
      </w:r>
      <w:r w:rsidRPr="001054B1">
        <w:rPr>
          <w:rFonts w:ascii="宋体" w:hAnsi="宋体" w:cs="宋体" w:hint="eastAsia"/>
          <w:color w:val="000000"/>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14:paraId="53D98AA2" w14:textId="270B0934"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w:t>
      </w:r>
      <w:r w:rsidRPr="001054B1">
        <w:rPr>
          <w:rFonts w:ascii="宋体" w:hAnsi="宋体" w:cs="宋体" w:hint="eastAsia"/>
          <w:color w:val="000000"/>
          <w:sz w:val="24"/>
          <w:szCs w:val="24"/>
        </w:rPr>
        <w:t>基金资产的估值</w:t>
      </w:r>
    </w:p>
    <w:p w14:paraId="5BA85C04" w14:textId="7777777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sidRPr="001054B1">
        <w:rPr>
          <w:rFonts w:ascii="宋体" w:hAnsi="宋体" w:cs="宋体" w:hint="eastAsia"/>
          <w:color w:val="000000"/>
          <w:sz w:val="24"/>
          <w:szCs w:val="24"/>
        </w:rPr>
        <w:t>基金管理人及基金托管人应当按照《基金合同》的约定进行估值。</w:t>
      </w:r>
    </w:p>
    <w:p w14:paraId="64DEE642" w14:textId="0AA9F32C"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3、</w:t>
      </w:r>
      <w:r w:rsidRPr="001054B1">
        <w:rPr>
          <w:rFonts w:ascii="宋体" w:hAnsi="宋体" w:cs="宋体" w:hint="eastAsia"/>
          <w:color w:val="000000"/>
          <w:sz w:val="24"/>
          <w:szCs w:val="24"/>
        </w:rPr>
        <w:t>基金份额净值错误的处理方式</w:t>
      </w:r>
    </w:p>
    <w:p w14:paraId="563465E4" w14:textId="7777777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sidRPr="001054B1">
        <w:rPr>
          <w:rFonts w:ascii="宋体" w:hAnsi="宋体" w:cs="宋体" w:hint="eastAsia"/>
          <w:color w:val="000000"/>
          <w:sz w:val="24"/>
          <w:szCs w:val="24"/>
        </w:rPr>
        <w:t>基金管理人及基金托管人应当按照《基金合同》的约定处理份额净值错误。</w:t>
      </w:r>
    </w:p>
    <w:p w14:paraId="3335B598" w14:textId="24A8A800"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w:t>
      </w:r>
      <w:r w:rsidRPr="001054B1">
        <w:rPr>
          <w:rFonts w:ascii="宋体" w:hAnsi="宋体" w:cs="宋体" w:hint="eastAsia"/>
          <w:color w:val="000000"/>
          <w:sz w:val="24"/>
          <w:szCs w:val="24"/>
        </w:rPr>
        <w:t>基金会计制度</w:t>
      </w:r>
    </w:p>
    <w:p w14:paraId="2E8452EC" w14:textId="7777777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sidRPr="001054B1">
        <w:rPr>
          <w:rFonts w:ascii="宋体" w:hAnsi="宋体" w:cs="宋体" w:hint="eastAsia"/>
          <w:color w:val="000000"/>
          <w:sz w:val="24"/>
          <w:szCs w:val="24"/>
        </w:rPr>
        <w:t>按国家有关部门规定的会计制度执行。</w:t>
      </w:r>
    </w:p>
    <w:p w14:paraId="256E053F" w14:textId="5575AE2D"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w:t>
      </w:r>
      <w:r w:rsidRPr="001054B1">
        <w:rPr>
          <w:rFonts w:ascii="宋体" w:hAnsi="宋体" w:cs="宋体" w:hint="eastAsia"/>
          <w:color w:val="000000"/>
          <w:sz w:val="24"/>
          <w:szCs w:val="24"/>
        </w:rPr>
        <w:t>基金账册的建立</w:t>
      </w:r>
    </w:p>
    <w:p w14:paraId="08CC0FBE" w14:textId="7777777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sidRPr="001054B1">
        <w:rPr>
          <w:rFonts w:ascii="宋体" w:hAnsi="宋体" w:cs="宋体" w:hint="eastAsia"/>
          <w:color w:val="000000"/>
          <w:sz w:val="24"/>
          <w:szCs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178494F0" w14:textId="35D8EE1A"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w:t>
      </w:r>
      <w:r w:rsidRPr="001054B1">
        <w:rPr>
          <w:rFonts w:ascii="宋体" w:hAnsi="宋体" w:cs="宋体" w:hint="eastAsia"/>
          <w:color w:val="000000"/>
          <w:sz w:val="24"/>
          <w:szCs w:val="24"/>
        </w:rPr>
        <w:t>基金财务报表与报告的编制和复核</w:t>
      </w:r>
    </w:p>
    <w:p w14:paraId="54527568" w14:textId="35FED962"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w:t>
      </w:r>
      <w:r w:rsidRPr="001054B1">
        <w:rPr>
          <w:rFonts w:ascii="宋体" w:hAnsi="宋体" w:cs="宋体" w:hint="eastAsia"/>
          <w:color w:val="000000"/>
          <w:sz w:val="24"/>
          <w:szCs w:val="24"/>
        </w:rPr>
        <w:t>财务报表的编制</w:t>
      </w:r>
    </w:p>
    <w:p w14:paraId="7A6EF5C9" w14:textId="7777777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sidRPr="001054B1">
        <w:rPr>
          <w:rFonts w:ascii="宋体" w:hAnsi="宋体" w:cs="宋体" w:hint="eastAsia"/>
          <w:color w:val="000000"/>
          <w:sz w:val="24"/>
          <w:szCs w:val="24"/>
        </w:rPr>
        <w:t>基金财务报表由基金管理人编制，基金托管人复核。</w:t>
      </w:r>
    </w:p>
    <w:p w14:paraId="0DD82C83" w14:textId="2F4C634F"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w:t>
      </w:r>
      <w:r w:rsidRPr="001054B1">
        <w:rPr>
          <w:rFonts w:ascii="宋体" w:hAnsi="宋体" w:cs="宋体" w:hint="eastAsia"/>
          <w:color w:val="000000"/>
          <w:sz w:val="24"/>
          <w:szCs w:val="24"/>
        </w:rPr>
        <w:t>报表复核</w:t>
      </w:r>
    </w:p>
    <w:p w14:paraId="3930673F" w14:textId="7777777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sidRPr="001054B1">
        <w:rPr>
          <w:rFonts w:ascii="宋体" w:hAnsi="宋体" w:cs="宋体" w:hint="eastAsia"/>
          <w:color w:val="000000"/>
          <w:sz w:val="24"/>
          <w:szCs w:val="24"/>
        </w:rPr>
        <w:t>基金托管人在收到基金管理人编制的基金财务报表后，进行独立的复核。核对不符时，应及时通知基金管理人共同查出原因，进行调整，直至双方数据完全一致。</w:t>
      </w:r>
    </w:p>
    <w:p w14:paraId="10F5A492" w14:textId="7D39BEC0"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w:t>
      </w:r>
      <w:r w:rsidRPr="001054B1">
        <w:rPr>
          <w:rFonts w:ascii="宋体" w:hAnsi="宋体" w:cs="宋体" w:hint="eastAsia"/>
          <w:color w:val="000000"/>
          <w:sz w:val="24"/>
          <w:szCs w:val="24"/>
        </w:rPr>
        <w:t>财务报表的编制与复核时间安排</w:t>
      </w:r>
    </w:p>
    <w:p w14:paraId="3AB72FDC" w14:textId="7777777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sidRPr="001054B1">
        <w:rPr>
          <w:rFonts w:ascii="宋体" w:hAnsi="宋体" w:cs="宋体" w:hint="eastAsia"/>
          <w:color w:val="000000"/>
          <w:sz w:val="24"/>
          <w:szCs w:val="24"/>
        </w:rPr>
        <w:t>基金管理人、基金托管人应当在每月结束后5个工作日内完成月度报表的编制及复核；在季度结束之日起15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中的财务会计报告应当经过符合《中华人民共和国证券法》规定的会计师事务所审计。基金合同生效不足两个月的，基金管理人可以不编制当期季度报告、中期报告或者年度报告。</w:t>
      </w:r>
    </w:p>
    <w:p w14:paraId="20B3D4F4" w14:textId="10E22622"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7、</w:t>
      </w:r>
      <w:r w:rsidRPr="001054B1">
        <w:rPr>
          <w:rFonts w:ascii="宋体" w:hAnsi="宋体" w:cs="宋体" w:hint="eastAsia"/>
          <w:color w:val="000000"/>
          <w:sz w:val="24"/>
          <w:szCs w:val="24"/>
        </w:rPr>
        <w:t>在有需要时，基金管理人应每季度向基金托管人提供基金业绩比较基准的基础数据和编制结果。</w:t>
      </w:r>
    </w:p>
    <w:p w14:paraId="2DFD59CD" w14:textId="1D51471E"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8、</w:t>
      </w:r>
      <w:r w:rsidRPr="001054B1">
        <w:rPr>
          <w:rFonts w:ascii="宋体" w:hAnsi="宋体" w:cs="宋体" w:hint="eastAsia"/>
          <w:color w:val="000000"/>
          <w:sz w:val="24"/>
          <w:szCs w:val="24"/>
        </w:rPr>
        <w:t>实施侧袋机制期间的基金资产估值</w:t>
      </w:r>
    </w:p>
    <w:p w14:paraId="4D8AF626" w14:textId="26A0D096" w:rsidR="004A3D01" w:rsidRPr="008C6BAB" w:rsidRDefault="001054B1" w:rsidP="001054B1">
      <w:pPr>
        <w:spacing w:line="360" w:lineRule="auto"/>
        <w:ind w:firstLine="480"/>
        <w:rPr>
          <w:rFonts w:ascii="宋体" w:hAnsi="宋体" w:cs="宋体"/>
          <w:color w:val="000000"/>
          <w:sz w:val="24"/>
          <w:szCs w:val="24"/>
        </w:rPr>
      </w:pPr>
      <w:r w:rsidRPr="001054B1">
        <w:rPr>
          <w:rFonts w:ascii="宋体" w:hAnsi="宋体" w:cs="宋体" w:hint="eastAsia"/>
          <w:color w:val="000000"/>
          <w:sz w:val="24"/>
          <w:szCs w:val="24"/>
        </w:rPr>
        <w:t>本基金实施侧袋机制的，应根据基金合同的约定对主袋账户资产进行估值并披露主袋账户的基金净值信息，暂停披露侧袋账户份额净值。</w:t>
      </w:r>
    </w:p>
    <w:p w14:paraId="03595079" w14:textId="6EB116CC" w:rsidR="004A3D01" w:rsidRPr="008C6BAB" w:rsidRDefault="004A3D01" w:rsidP="00B76D07">
      <w:pPr>
        <w:widowControl/>
        <w:spacing w:line="360" w:lineRule="auto"/>
        <w:ind w:firstLine="480"/>
        <w:rPr>
          <w:rFonts w:ascii="宋体" w:hAnsi="宋体" w:cs="宋体"/>
          <w:color w:val="000000"/>
          <w:sz w:val="24"/>
          <w:szCs w:val="24"/>
        </w:rPr>
      </w:pPr>
      <w:r>
        <w:rPr>
          <w:rFonts w:ascii="宋体" w:hAnsi="宋体" w:cs="宋体" w:hint="eastAsia"/>
          <w:color w:val="000000"/>
          <w:sz w:val="24"/>
        </w:rPr>
        <w:t>（六）</w:t>
      </w:r>
      <w:r w:rsidRPr="004A3D01">
        <w:rPr>
          <w:rFonts w:ascii="宋体" w:hAnsi="宋体" w:cs="宋体" w:hint="eastAsia"/>
          <w:color w:val="000000"/>
          <w:sz w:val="24"/>
        </w:rPr>
        <w:t>基金份额持有人名册的保管</w:t>
      </w:r>
    </w:p>
    <w:p w14:paraId="2F5C6029" w14:textId="77777777" w:rsidR="004A3D01" w:rsidRPr="004A3D01" w:rsidRDefault="004A3D01" w:rsidP="004A3D01">
      <w:pPr>
        <w:widowControl/>
        <w:spacing w:line="360" w:lineRule="auto"/>
        <w:ind w:firstLine="480"/>
        <w:rPr>
          <w:rFonts w:ascii="宋体" w:hAnsi="宋体" w:cs="宋体"/>
          <w:bCs/>
          <w:color w:val="000000"/>
          <w:sz w:val="24"/>
        </w:rPr>
      </w:pPr>
      <w:r w:rsidRPr="004A3D01">
        <w:rPr>
          <w:rFonts w:ascii="宋体" w:hAnsi="宋体" w:cs="宋体" w:hint="eastAsia"/>
          <w:bCs/>
          <w:color w:val="000000"/>
          <w:sz w:val="24"/>
        </w:rPr>
        <w:lastRenderedPageBreak/>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低于法律法规规定的最低年限。如不能妥善保管，则按相关法律法规承担责任。</w:t>
      </w:r>
    </w:p>
    <w:p w14:paraId="27176376" w14:textId="4E859C9E" w:rsidR="00D87CF5" w:rsidRDefault="004A3D01">
      <w:pPr>
        <w:autoSpaceDE w:val="0"/>
        <w:autoSpaceDN w:val="0"/>
        <w:adjustRightInd w:val="0"/>
        <w:snapToGrid w:val="0"/>
        <w:spacing w:line="360" w:lineRule="auto"/>
        <w:ind w:firstLineChars="200" w:firstLine="480"/>
        <w:jc w:val="left"/>
        <w:rPr>
          <w:rFonts w:ascii="宋体" w:hAnsi="宋体"/>
          <w:szCs w:val="24"/>
        </w:rPr>
      </w:pPr>
      <w:r w:rsidRPr="004A3D01">
        <w:rPr>
          <w:rFonts w:ascii="宋体" w:hAnsi="宋体" w:cs="宋体" w:hint="eastAsia"/>
          <w:bCs/>
          <w:color w:val="000000"/>
          <w:sz w:val="24"/>
        </w:rPr>
        <w:t>在基金托管人要求或编制中期报告及年度报告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14:paraId="474F6C6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（七）争议解决方式</w:t>
      </w:r>
    </w:p>
    <w:p w14:paraId="38DA1A2A" w14:textId="77777777" w:rsidR="001054B1" w:rsidRPr="001054B1" w:rsidRDefault="001054B1" w:rsidP="001054B1">
      <w:pPr>
        <w:autoSpaceDE w:val="0"/>
        <w:autoSpaceDN w:val="0"/>
        <w:adjustRightInd w:val="0"/>
        <w:snapToGrid w:val="0"/>
        <w:spacing w:line="360" w:lineRule="auto"/>
        <w:ind w:firstLineChars="200" w:firstLine="480"/>
        <w:jc w:val="left"/>
        <w:rPr>
          <w:rFonts w:ascii="宋体" w:hAnsi="宋体" w:cs="宋体"/>
          <w:bCs/>
          <w:color w:val="000000"/>
          <w:sz w:val="24"/>
        </w:rPr>
      </w:pPr>
      <w:r w:rsidRPr="001054B1">
        <w:rPr>
          <w:rFonts w:ascii="宋体" w:hAnsi="宋体" w:cs="宋体" w:hint="eastAsia"/>
          <w:bCs/>
          <w:color w:val="000000"/>
          <w:sz w:val="24"/>
        </w:rPr>
        <w:t>双方当事人同意，因本协议而产生的或与本协议有关的一切争议，如经友好协商未能解决的，任何一方均有权将争议提交深圳国际仲裁院，按照深圳国际仲裁院届时有效的仲裁规则进行仲裁。仲裁地点为深圳市。仲裁裁决是终局的，对双方当事人均有约束力，除非仲裁裁决另有规定，仲裁费用由败诉方承担。</w:t>
      </w:r>
    </w:p>
    <w:p w14:paraId="222A86C4" w14:textId="77777777" w:rsidR="001054B1" w:rsidRPr="001054B1" w:rsidRDefault="001054B1" w:rsidP="001054B1">
      <w:pPr>
        <w:autoSpaceDE w:val="0"/>
        <w:autoSpaceDN w:val="0"/>
        <w:adjustRightInd w:val="0"/>
        <w:snapToGrid w:val="0"/>
        <w:spacing w:line="360" w:lineRule="auto"/>
        <w:ind w:firstLineChars="200" w:firstLine="480"/>
        <w:jc w:val="left"/>
        <w:rPr>
          <w:rFonts w:ascii="宋体" w:hAnsi="宋体" w:cs="宋体"/>
          <w:bCs/>
          <w:color w:val="000000"/>
          <w:sz w:val="24"/>
        </w:rPr>
      </w:pPr>
      <w:r w:rsidRPr="001054B1">
        <w:rPr>
          <w:rFonts w:ascii="宋体" w:hAnsi="宋体" w:cs="宋体" w:hint="eastAsia"/>
          <w:bCs/>
          <w:color w:val="000000"/>
          <w:sz w:val="24"/>
        </w:rPr>
        <w:t>争议处理期间，双方当事人应恪守基金管理人和基金托管人职责，各自继续忠实、勤勉、尽责地履行基金合同和本托管协议规定的义务，维护基金份额持有人的合法权益。</w:t>
      </w:r>
    </w:p>
    <w:p w14:paraId="0EB4ADB6" w14:textId="3EF493FA" w:rsidR="00D87CF5" w:rsidRDefault="001054B1">
      <w:pPr>
        <w:autoSpaceDE w:val="0"/>
        <w:autoSpaceDN w:val="0"/>
        <w:adjustRightInd w:val="0"/>
        <w:snapToGrid w:val="0"/>
        <w:spacing w:line="360" w:lineRule="auto"/>
        <w:ind w:firstLineChars="200" w:firstLine="480"/>
        <w:jc w:val="left"/>
        <w:rPr>
          <w:rFonts w:ascii="宋体" w:hAnsi="宋体"/>
          <w:szCs w:val="24"/>
        </w:rPr>
      </w:pPr>
      <w:r w:rsidRPr="001054B1">
        <w:rPr>
          <w:rFonts w:ascii="宋体" w:hAnsi="宋体" w:cs="宋体" w:hint="eastAsia"/>
          <w:bCs/>
          <w:color w:val="000000"/>
          <w:sz w:val="24"/>
        </w:rPr>
        <w:t>本协议受中华人民共和国法律（不含港澳台地区法律）管辖。</w:t>
      </w:r>
    </w:p>
    <w:p w14:paraId="4478E912" w14:textId="14EE38D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w:t>
      </w:r>
      <w:r w:rsidR="001054B1" w:rsidRPr="001054B1">
        <w:rPr>
          <w:rFonts w:ascii="宋体" w:hAnsi="宋体" w:hint="eastAsia"/>
          <w:sz w:val="24"/>
        </w:rPr>
        <w:t>托管协议的变更、终止与基金财产的清算</w:t>
      </w:r>
    </w:p>
    <w:p w14:paraId="4BF136C2" w14:textId="4FF2EF4D" w:rsidR="001054B1" w:rsidRPr="001054B1" w:rsidRDefault="001054B1" w:rsidP="001054B1">
      <w:pPr>
        <w:autoSpaceDE w:val="0"/>
        <w:autoSpaceDN w:val="0"/>
        <w:adjustRightInd w:val="0"/>
        <w:snapToGri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w:t>
      </w:r>
      <w:r w:rsidRPr="001054B1">
        <w:rPr>
          <w:rFonts w:ascii="宋体" w:hAnsi="宋体" w:cs="宋体" w:hint="eastAsia"/>
          <w:color w:val="000000"/>
          <w:sz w:val="24"/>
          <w:szCs w:val="24"/>
        </w:rPr>
        <w:t>托管协议的变更程序</w:t>
      </w:r>
    </w:p>
    <w:p w14:paraId="7FCE8DE9" w14:textId="77777777" w:rsidR="001054B1" w:rsidRPr="001054B1" w:rsidRDefault="001054B1" w:rsidP="001054B1">
      <w:pPr>
        <w:autoSpaceDE w:val="0"/>
        <w:autoSpaceDN w:val="0"/>
        <w:adjustRightInd w:val="0"/>
        <w:snapToGrid w:val="0"/>
        <w:spacing w:line="360" w:lineRule="auto"/>
        <w:ind w:firstLineChars="200" w:firstLine="480"/>
        <w:jc w:val="left"/>
        <w:rPr>
          <w:rFonts w:ascii="宋体" w:hAnsi="宋体" w:cs="宋体"/>
          <w:color w:val="000000"/>
          <w:sz w:val="24"/>
          <w:szCs w:val="24"/>
        </w:rPr>
      </w:pPr>
      <w:r w:rsidRPr="001054B1">
        <w:rPr>
          <w:rFonts w:ascii="宋体" w:hAnsi="宋体" w:cs="宋体" w:hint="eastAsia"/>
          <w:color w:val="000000"/>
          <w:sz w:val="24"/>
          <w:szCs w:val="24"/>
        </w:rPr>
        <w:t>本协议双方当事人经协商一致，可以对协议进行修改。修改后的新协议，其内容不得与基金合同的规定有任何冲突。基金托管协议的变更应报中国证监会备案。</w:t>
      </w:r>
    </w:p>
    <w:p w14:paraId="322710E4" w14:textId="70266EFA" w:rsidR="001054B1" w:rsidRPr="001054B1" w:rsidRDefault="001054B1" w:rsidP="001054B1">
      <w:pPr>
        <w:autoSpaceDE w:val="0"/>
        <w:autoSpaceDN w:val="0"/>
        <w:adjustRightInd w:val="0"/>
        <w:snapToGri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w:t>
      </w:r>
      <w:r w:rsidRPr="001054B1">
        <w:rPr>
          <w:rFonts w:ascii="宋体" w:hAnsi="宋体" w:cs="宋体" w:hint="eastAsia"/>
          <w:color w:val="000000"/>
          <w:sz w:val="24"/>
          <w:szCs w:val="24"/>
        </w:rPr>
        <w:t>基金托管协议终止的情形</w:t>
      </w:r>
    </w:p>
    <w:p w14:paraId="1FBFCE60" w14:textId="182A2F46" w:rsidR="001054B1" w:rsidRPr="001054B1" w:rsidRDefault="001054B1" w:rsidP="001054B1">
      <w:pPr>
        <w:autoSpaceDE w:val="0"/>
        <w:autoSpaceDN w:val="0"/>
        <w:adjustRightInd w:val="0"/>
        <w:snapToGri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w:t>
      </w:r>
      <w:r w:rsidRPr="001054B1">
        <w:rPr>
          <w:rFonts w:ascii="宋体" w:hAnsi="宋体" w:cs="宋体" w:hint="eastAsia"/>
          <w:color w:val="000000"/>
          <w:sz w:val="24"/>
          <w:szCs w:val="24"/>
        </w:rPr>
        <w:t>《基金合同》终止；</w:t>
      </w:r>
    </w:p>
    <w:p w14:paraId="1C5D00A9" w14:textId="65BF5C73" w:rsidR="001054B1" w:rsidRPr="001054B1" w:rsidRDefault="001054B1" w:rsidP="001054B1">
      <w:pPr>
        <w:autoSpaceDE w:val="0"/>
        <w:autoSpaceDN w:val="0"/>
        <w:adjustRightInd w:val="0"/>
        <w:snapToGri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w:t>
      </w:r>
      <w:r w:rsidRPr="001054B1">
        <w:rPr>
          <w:rFonts w:ascii="宋体" w:hAnsi="宋体" w:cs="宋体" w:hint="eastAsia"/>
          <w:color w:val="000000"/>
          <w:sz w:val="24"/>
          <w:szCs w:val="24"/>
        </w:rPr>
        <w:t>基金托管人因解散、破产、撤销等事由，不能继续担任基金托管人的职务，而在6个月内无其他适当的托管机构承接其原有权利义务；</w:t>
      </w:r>
    </w:p>
    <w:p w14:paraId="36EF0752" w14:textId="13F990E3" w:rsidR="001054B1" w:rsidRPr="001054B1" w:rsidRDefault="009618BB" w:rsidP="001054B1">
      <w:pPr>
        <w:autoSpaceDE w:val="0"/>
        <w:autoSpaceDN w:val="0"/>
        <w:adjustRightInd w:val="0"/>
        <w:snapToGri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w:t>
      </w:r>
      <w:r w:rsidR="001054B1" w:rsidRPr="001054B1">
        <w:rPr>
          <w:rFonts w:ascii="宋体" w:hAnsi="宋体" w:cs="宋体" w:hint="eastAsia"/>
          <w:color w:val="000000"/>
          <w:sz w:val="24"/>
          <w:szCs w:val="24"/>
        </w:rPr>
        <w:t>基金管理人因解散、破产、撤销等事由，不能继续担任基金管理人的职务，而在6个月内无其他适当的基金管理机构承接其原有权利义务；</w:t>
      </w:r>
    </w:p>
    <w:p w14:paraId="0AF8A9E9" w14:textId="386824DE" w:rsidR="001054B1" w:rsidRPr="001054B1" w:rsidRDefault="009618BB" w:rsidP="001054B1">
      <w:pPr>
        <w:autoSpaceDE w:val="0"/>
        <w:autoSpaceDN w:val="0"/>
        <w:adjustRightInd w:val="0"/>
        <w:snapToGri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（4）</w:t>
      </w:r>
      <w:r w:rsidR="001054B1" w:rsidRPr="001054B1">
        <w:rPr>
          <w:rFonts w:ascii="宋体" w:hAnsi="宋体" w:cs="宋体" w:hint="eastAsia"/>
          <w:color w:val="000000"/>
          <w:sz w:val="24"/>
          <w:szCs w:val="24"/>
        </w:rPr>
        <w:t>发生法律法规或《基金合同》规定的其他终止事项。</w:t>
      </w:r>
    </w:p>
    <w:p w14:paraId="009B1050" w14:textId="775F80B9" w:rsidR="001054B1" w:rsidRPr="001054B1" w:rsidRDefault="009618BB" w:rsidP="001054B1">
      <w:pPr>
        <w:autoSpaceDE w:val="0"/>
        <w:autoSpaceDN w:val="0"/>
        <w:adjustRightInd w:val="0"/>
        <w:snapToGri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w:t>
      </w:r>
      <w:r w:rsidR="001054B1" w:rsidRPr="001054B1">
        <w:rPr>
          <w:rFonts w:ascii="宋体" w:hAnsi="宋体" w:cs="宋体" w:hint="eastAsia"/>
          <w:color w:val="000000"/>
          <w:sz w:val="24"/>
          <w:szCs w:val="24"/>
        </w:rPr>
        <w:t>基金财产的清算</w:t>
      </w:r>
    </w:p>
    <w:p w14:paraId="05B5AB1C" w14:textId="3D95718F" w:rsidR="00866E08" w:rsidRDefault="001054B1" w:rsidP="00F0698E">
      <w:pPr>
        <w:autoSpaceDE w:val="0"/>
        <w:autoSpaceDN w:val="0"/>
        <w:adjustRightInd w:val="0"/>
        <w:snapToGrid w:val="0"/>
        <w:spacing w:line="360" w:lineRule="auto"/>
        <w:ind w:firstLineChars="200" w:firstLine="480"/>
        <w:jc w:val="left"/>
        <w:rPr>
          <w:rFonts w:ascii="宋体" w:hAnsi="宋体"/>
          <w:szCs w:val="24"/>
        </w:rPr>
      </w:pPr>
      <w:r w:rsidRPr="001054B1">
        <w:rPr>
          <w:rFonts w:ascii="宋体" w:hAnsi="宋体" w:cs="宋体" w:hint="eastAsia"/>
          <w:color w:val="000000"/>
          <w:sz w:val="24"/>
          <w:szCs w:val="24"/>
        </w:rPr>
        <w:t>基金管理人与基金托管人按照《基金合同》的约定处理基金财产的清算。</w:t>
      </w:r>
      <w:r w:rsidR="00CA69EB">
        <w:rPr>
          <w:rFonts w:ascii="宋体" w:hAnsi="宋体"/>
          <w:sz w:val="24"/>
        </w:rPr>
        <w:br w:type="page"/>
      </w:r>
    </w:p>
    <w:p w14:paraId="2571FE48" w14:textId="1FA4C085" w:rsidR="00D87CF5" w:rsidRDefault="00CA69EB">
      <w:pPr>
        <w:pStyle w:val="1"/>
        <w:snapToGrid w:val="0"/>
        <w:spacing w:beforeLines="0" w:before="240" w:after="240"/>
        <w:rPr>
          <w:rFonts w:ascii="宋体" w:hAnsi="宋体"/>
          <w:szCs w:val="30"/>
        </w:rPr>
      </w:pPr>
      <w:bookmarkStart w:id="37" w:name="_Toc104564204"/>
      <w:bookmarkEnd w:id="36"/>
      <w:r>
        <w:rPr>
          <w:rFonts w:ascii="Times New Roman" w:hAnsi="Times New Roman"/>
          <w:sz w:val="30"/>
        </w:rPr>
        <w:lastRenderedPageBreak/>
        <w:t>二十</w:t>
      </w:r>
      <w:r w:rsidR="004F3EE8">
        <w:rPr>
          <w:rFonts w:ascii="Times New Roman" w:hAnsi="Times New Roman" w:hint="eastAsia"/>
          <w:sz w:val="30"/>
        </w:rPr>
        <w:t>一</w:t>
      </w:r>
      <w:r>
        <w:rPr>
          <w:rFonts w:ascii="Times New Roman" w:hAnsi="Times New Roman"/>
          <w:sz w:val="30"/>
        </w:rPr>
        <w:t>、对基金份额持有人的服务</w:t>
      </w:r>
      <w:bookmarkEnd w:id="37"/>
    </w:p>
    <w:p w14:paraId="2134D0F9" w14:textId="77777777" w:rsidR="004F3EE8" w:rsidRPr="00AB6DA1" w:rsidRDefault="004F3EE8" w:rsidP="004F3EE8">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02419882" w14:textId="77777777" w:rsidR="004F3EE8" w:rsidRPr="00387ABE" w:rsidRDefault="004F3EE8" w:rsidP="004F3EE8">
      <w:pPr>
        <w:widowControl/>
        <w:adjustRightInd w:val="0"/>
        <w:snapToGrid w:val="0"/>
        <w:spacing w:line="360" w:lineRule="auto"/>
        <w:ind w:firstLineChars="200" w:firstLine="482"/>
        <w:rPr>
          <w:rFonts w:hAnsi="宋体"/>
          <w:b/>
          <w:kern w:val="0"/>
          <w:sz w:val="24"/>
        </w:rPr>
      </w:pPr>
      <w:r w:rsidRPr="00387ABE">
        <w:rPr>
          <w:rFonts w:hAnsi="宋体"/>
          <w:b/>
          <w:kern w:val="0"/>
          <w:sz w:val="24"/>
        </w:rPr>
        <w:t>（一）</w:t>
      </w:r>
      <w:r w:rsidRPr="00387ABE">
        <w:rPr>
          <w:rFonts w:hAnsi="宋体" w:hint="eastAsia"/>
          <w:b/>
          <w:kern w:val="0"/>
          <w:sz w:val="24"/>
        </w:rPr>
        <w:t>基金募集客户服务相关准备工作</w:t>
      </w:r>
    </w:p>
    <w:p w14:paraId="2984619C" w14:textId="77777777" w:rsidR="004F3EE8" w:rsidRPr="00AB6DA1" w:rsidRDefault="004F3EE8" w:rsidP="004F3EE8">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56A161DC" w14:textId="77777777" w:rsidR="004F3EE8" w:rsidRPr="00387ABE" w:rsidRDefault="004F3EE8" w:rsidP="004F3EE8">
      <w:pPr>
        <w:widowControl/>
        <w:adjustRightInd w:val="0"/>
        <w:snapToGrid w:val="0"/>
        <w:spacing w:line="360" w:lineRule="auto"/>
        <w:ind w:firstLineChars="200" w:firstLine="482"/>
        <w:rPr>
          <w:rFonts w:hAnsi="宋体"/>
          <w:b/>
          <w:kern w:val="0"/>
          <w:sz w:val="24"/>
        </w:rPr>
      </w:pPr>
      <w:r w:rsidRPr="00AB6DA1">
        <w:rPr>
          <w:rFonts w:hAnsi="宋体"/>
          <w:b/>
          <w:kern w:val="0"/>
          <w:sz w:val="24"/>
        </w:rPr>
        <w:t>（二）网上</w:t>
      </w:r>
      <w:r w:rsidRPr="00AB6DA1">
        <w:rPr>
          <w:rFonts w:hAnsi="宋体" w:hint="eastAsia"/>
          <w:b/>
          <w:kern w:val="0"/>
          <w:sz w:val="24"/>
        </w:rPr>
        <w:t>直销</w:t>
      </w:r>
      <w:r w:rsidRPr="00AB6DA1">
        <w:rPr>
          <w:rFonts w:hAnsi="宋体"/>
          <w:b/>
          <w:kern w:val="0"/>
          <w:sz w:val="24"/>
        </w:rPr>
        <w:t>服务</w:t>
      </w:r>
      <w:r w:rsidRPr="00387ABE">
        <w:rPr>
          <w:rFonts w:hAnsi="宋体"/>
          <w:b/>
          <w:kern w:val="0"/>
          <w:sz w:val="24"/>
        </w:rPr>
        <w:t xml:space="preserve"> </w:t>
      </w:r>
    </w:p>
    <w:p w14:paraId="08340AA5" w14:textId="77777777" w:rsidR="004F3EE8" w:rsidRPr="00AB6DA1" w:rsidRDefault="004F3EE8" w:rsidP="004F3EE8">
      <w:pPr>
        <w:widowControl/>
        <w:adjustRightInd w:val="0"/>
        <w:snapToGrid w:val="0"/>
        <w:spacing w:line="360" w:lineRule="auto"/>
        <w:ind w:firstLineChars="200" w:firstLine="480"/>
        <w:rPr>
          <w:rFonts w:hAnsi="宋体"/>
          <w:kern w:val="0"/>
          <w:sz w:val="24"/>
        </w:rPr>
      </w:pPr>
      <w:r w:rsidRPr="0058315C">
        <w:rPr>
          <w:rFonts w:hAnsi="宋体"/>
          <w:kern w:val="0"/>
          <w:sz w:val="24"/>
        </w:rPr>
        <w:t>本基金管理人已开通基金网上直销</w:t>
      </w:r>
      <w:r w:rsidRPr="0058315C">
        <w:rPr>
          <w:rFonts w:hAnsi="宋体" w:hint="eastAsia"/>
          <w:kern w:val="0"/>
          <w:sz w:val="24"/>
        </w:rPr>
        <w:t>服务</w:t>
      </w:r>
      <w:r w:rsidRPr="0058315C">
        <w:rPr>
          <w:rFonts w:hAnsi="宋体"/>
          <w:kern w:val="0"/>
          <w:sz w:val="24"/>
        </w:rPr>
        <w:t>，个人投资者可以直接通过本基金管理人的</w:t>
      </w:r>
      <w:r w:rsidRPr="0058315C">
        <w:rPr>
          <w:rFonts w:hAnsi="宋体" w:hint="eastAsia"/>
          <w:kern w:val="0"/>
          <w:sz w:val="24"/>
        </w:rPr>
        <w:t>网上直销交易平台</w:t>
      </w:r>
      <w:r w:rsidRPr="0058315C">
        <w:rPr>
          <w:rFonts w:hAnsi="宋体"/>
          <w:kern w:val="0"/>
          <w:sz w:val="24"/>
        </w:rPr>
        <w:t>办理开户手续，并在本基金募集期间</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本基金的认购业务，在本基金</w:t>
      </w:r>
      <w:r w:rsidRPr="0058315C">
        <w:rPr>
          <w:rFonts w:hAnsi="宋体"/>
          <w:kern w:val="0"/>
          <w:sz w:val="24"/>
        </w:rPr>
        <w:t>开放日常申购和赎回等业务后</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本基金的申购和赎回等业务</w:t>
      </w:r>
      <w:r w:rsidRPr="0058315C">
        <w:rPr>
          <w:rFonts w:hAnsi="宋体"/>
          <w:kern w:val="0"/>
          <w:sz w:val="24"/>
        </w:rPr>
        <w:t>，有关详情可参见相关公告</w:t>
      </w:r>
      <w:r w:rsidRPr="00AB6DA1">
        <w:rPr>
          <w:rFonts w:hAnsi="宋体"/>
          <w:kern w:val="0"/>
          <w:sz w:val="24"/>
        </w:rPr>
        <w:t>。</w:t>
      </w:r>
    </w:p>
    <w:p w14:paraId="4F8907A0" w14:textId="77777777" w:rsidR="004F3EE8" w:rsidRPr="00AB6DA1" w:rsidRDefault="004F3EE8" w:rsidP="004F3EE8">
      <w:pPr>
        <w:widowControl/>
        <w:adjustRightInd w:val="0"/>
        <w:snapToGrid w:val="0"/>
        <w:spacing w:line="360" w:lineRule="auto"/>
        <w:ind w:firstLineChars="200" w:firstLine="480"/>
        <w:rPr>
          <w:rFonts w:hAnsi="宋体"/>
          <w:kern w:val="0"/>
          <w:sz w:val="24"/>
        </w:rPr>
      </w:pPr>
      <w:r w:rsidRPr="00AB6DA1">
        <w:rPr>
          <w:rFonts w:hAnsi="宋体"/>
          <w:kern w:val="0"/>
          <w:sz w:val="24"/>
        </w:rPr>
        <w:t>基金网上直销</w:t>
      </w:r>
      <w:r w:rsidRPr="00AB6DA1">
        <w:rPr>
          <w:rFonts w:hAnsi="宋体" w:hint="eastAsia"/>
          <w:kern w:val="0"/>
          <w:sz w:val="24"/>
        </w:rPr>
        <w:t>交易平台</w:t>
      </w:r>
      <w:r w:rsidRPr="00AB6DA1">
        <w:rPr>
          <w:rFonts w:hAnsi="宋体"/>
          <w:kern w:val="0"/>
          <w:sz w:val="24"/>
        </w:rPr>
        <w:t>已开通的银行卡及各银行卡交易金额限额请参阅本</w:t>
      </w:r>
      <w:r w:rsidRPr="00AB6DA1">
        <w:rPr>
          <w:rFonts w:hAnsi="宋体" w:hint="eastAsia"/>
          <w:kern w:val="0"/>
          <w:sz w:val="24"/>
        </w:rPr>
        <w:t>基金管理人</w:t>
      </w:r>
      <w:r w:rsidRPr="00AB6DA1">
        <w:rPr>
          <w:rFonts w:hAnsi="宋体"/>
          <w:kern w:val="0"/>
          <w:sz w:val="24"/>
        </w:rPr>
        <w:t>网站。</w:t>
      </w:r>
    </w:p>
    <w:p w14:paraId="56F65AFE" w14:textId="77777777" w:rsidR="004F3EE8" w:rsidRPr="00AB6DA1" w:rsidRDefault="004F3EE8" w:rsidP="004F3EE8">
      <w:pPr>
        <w:widowControl/>
        <w:adjustRightInd w:val="0"/>
        <w:snapToGrid w:val="0"/>
        <w:spacing w:line="360" w:lineRule="auto"/>
        <w:ind w:firstLineChars="200" w:firstLine="480"/>
        <w:rPr>
          <w:rFonts w:hAnsi="宋体"/>
          <w:kern w:val="0"/>
          <w:sz w:val="24"/>
        </w:rPr>
      </w:pPr>
      <w:r w:rsidRPr="00AB6DA1">
        <w:rPr>
          <w:rFonts w:hAnsi="宋体"/>
          <w:kern w:val="0"/>
          <w:sz w:val="24"/>
        </w:rPr>
        <w:t>在条件成熟的时候，本基金管理人将根据基金网上</w:t>
      </w:r>
      <w:r w:rsidRPr="00AB6DA1">
        <w:rPr>
          <w:rFonts w:hAnsi="宋体" w:hint="eastAsia"/>
          <w:kern w:val="0"/>
          <w:sz w:val="24"/>
        </w:rPr>
        <w:t>直销</w:t>
      </w:r>
      <w:r w:rsidRPr="00AB6DA1">
        <w:rPr>
          <w:rFonts w:hAnsi="宋体"/>
          <w:kern w:val="0"/>
          <w:sz w:val="24"/>
        </w:rPr>
        <w:t>业务的发展状况，适时</w:t>
      </w:r>
      <w:r w:rsidRPr="00AB6DA1">
        <w:rPr>
          <w:rFonts w:hAnsi="宋体" w:hint="eastAsia"/>
          <w:kern w:val="0"/>
          <w:sz w:val="24"/>
        </w:rPr>
        <w:t>调整</w:t>
      </w:r>
      <w:r w:rsidRPr="00AB6DA1">
        <w:rPr>
          <w:rFonts w:hAnsi="宋体"/>
          <w:kern w:val="0"/>
          <w:sz w:val="24"/>
        </w:rPr>
        <w:t>可用于</w:t>
      </w:r>
      <w:r w:rsidRPr="00AB6DA1">
        <w:rPr>
          <w:rFonts w:hAnsi="宋体" w:hint="eastAsia"/>
          <w:kern w:val="0"/>
          <w:sz w:val="24"/>
        </w:rPr>
        <w:t>网上直销交易平台</w:t>
      </w:r>
      <w:r w:rsidRPr="00AB6DA1">
        <w:rPr>
          <w:rFonts w:hAnsi="宋体"/>
          <w:kern w:val="0"/>
          <w:sz w:val="24"/>
        </w:rPr>
        <w:t>的银行卡种类，敬请投资人留意相关公告。</w:t>
      </w:r>
    </w:p>
    <w:p w14:paraId="440DA242" w14:textId="77777777" w:rsidR="004F3EE8" w:rsidRPr="00387ABE" w:rsidRDefault="004F3EE8" w:rsidP="004F3EE8">
      <w:pPr>
        <w:widowControl/>
        <w:adjustRightInd w:val="0"/>
        <w:snapToGrid w:val="0"/>
        <w:spacing w:line="360" w:lineRule="auto"/>
        <w:ind w:firstLineChars="200" w:firstLine="482"/>
        <w:rPr>
          <w:rFonts w:hAnsi="宋体"/>
          <w:b/>
          <w:kern w:val="0"/>
          <w:sz w:val="24"/>
        </w:rPr>
      </w:pPr>
      <w:r w:rsidRPr="00AB6DA1">
        <w:rPr>
          <w:rFonts w:hAnsi="宋体"/>
          <w:b/>
          <w:kern w:val="0"/>
          <w:sz w:val="24"/>
        </w:rPr>
        <w:t>（三）信息咨询、查询服务</w:t>
      </w:r>
      <w:r w:rsidRPr="00387ABE">
        <w:rPr>
          <w:rFonts w:hAnsi="宋体"/>
          <w:b/>
          <w:kern w:val="0"/>
          <w:sz w:val="24"/>
        </w:rPr>
        <w:t xml:space="preserve"> </w:t>
      </w:r>
    </w:p>
    <w:p w14:paraId="5A168B9A"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Pr="00AB6DA1">
        <w:rPr>
          <w:rFonts w:hint="eastAsia"/>
          <w:kern w:val="0"/>
          <w:sz w:val="24"/>
        </w:rPr>
        <w:t>www.fund001.com</w:t>
      </w:r>
      <w:r w:rsidRPr="00AB6DA1">
        <w:rPr>
          <w:kern w:val="0"/>
          <w:sz w:val="24"/>
        </w:rPr>
        <w:t>）进</w:t>
      </w:r>
      <w:r w:rsidRPr="00AB6DA1">
        <w:rPr>
          <w:rFonts w:hAnsi="宋体"/>
          <w:kern w:val="0"/>
          <w:sz w:val="24"/>
        </w:rPr>
        <w:t>行咨询、查询。</w:t>
      </w:r>
      <w:r w:rsidRPr="00AB6DA1">
        <w:rPr>
          <w:kern w:val="0"/>
          <w:sz w:val="24"/>
        </w:rPr>
        <w:t xml:space="preserve"> </w:t>
      </w:r>
    </w:p>
    <w:p w14:paraId="2DF673AE"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62C0A0CB"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12E569A2" w14:textId="77777777" w:rsidR="004F3EE8" w:rsidRPr="00387ABE" w:rsidRDefault="004F3EE8" w:rsidP="004F3EE8">
      <w:pPr>
        <w:widowControl/>
        <w:adjustRightInd w:val="0"/>
        <w:snapToGrid w:val="0"/>
        <w:spacing w:line="360" w:lineRule="auto"/>
        <w:ind w:firstLineChars="200" w:firstLine="482"/>
        <w:rPr>
          <w:rFonts w:hAnsi="宋体"/>
          <w:b/>
          <w:kern w:val="0"/>
          <w:sz w:val="24"/>
        </w:rPr>
      </w:pPr>
      <w:r w:rsidRPr="00387ABE">
        <w:rPr>
          <w:rFonts w:hAnsi="宋体"/>
          <w:b/>
          <w:kern w:val="0"/>
          <w:sz w:val="24"/>
        </w:rPr>
        <w:t>（四）基金红利再投资</w:t>
      </w:r>
      <w:r w:rsidRPr="00387ABE">
        <w:rPr>
          <w:rFonts w:hAnsi="宋体"/>
          <w:b/>
          <w:kern w:val="0"/>
          <w:sz w:val="24"/>
        </w:rPr>
        <w:t xml:space="preserve"> </w:t>
      </w:r>
    </w:p>
    <w:p w14:paraId="0612362F" w14:textId="77777777" w:rsidR="004F3EE8" w:rsidRPr="00AB6DA1" w:rsidRDefault="004F3EE8" w:rsidP="004F3EE8">
      <w:pPr>
        <w:widowControl/>
        <w:adjustRightInd w:val="0"/>
        <w:snapToGrid w:val="0"/>
        <w:spacing w:line="360" w:lineRule="auto"/>
        <w:ind w:firstLineChars="200" w:firstLine="480"/>
        <w:rPr>
          <w:kern w:val="0"/>
          <w:sz w:val="24"/>
        </w:rPr>
      </w:pPr>
      <w:r w:rsidRPr="0058315C">
        <w:rPr>
          <w:kern w:val="0"/>
          <w:sz w:val="24"/>
        </w:rPr>
        <w:t>本基金收益分配时，</w:t>
      </w:r>
      <w:r w:rsidRPr="0058315C">
        <w:rPr>
          <w:rFonts w:hint="eastAsia"/>
          <w:kern w:val="0"/>
          <w:sz w:val="24"/>
        </w:rPr>
        <w:t>基金份额持有人持有的基金份额可选择现金红利或选择红利再投将现金红利自动转为</w:t>
      </w:r>
      <w:r w:rsidRPr="00DA484F">
        <w:rPr>
          <w:rFonts w:hint="eastAsia"/>
          <w:kern w:val="0"/>
          <w:sz w:val="24"/>
        </w:rPr>
        <w:t>相应类别的</w:t>
      </w:r>
      <w:r w:rsidRPr="0058315C">
        <w:rPr>
          <w:rFonts w:hint="eastAsia"/>
          <w:kern w:val="0"/>
          <w:sz w:val="24"/>
        </w:rPr>
        <w:t>基金份额进行再投资，若投资人不选择，本</w:t>
      </w:r>
      <w:r w:rsidRPr="0058315C">
        <w:rPr>
          <w:rFonts w:hint="eastAsia"/>
          <w:kern w:val="0"/>
          <w:sz w:val="24"/>
        </w:rPr>
        <w:lastRenderedPageBreak/>
        <w:t>基金默认的收益分配方式是现金分红</w:t>
      </w:r>
      <w:r>
        <w:rPr>
          <w:rFonts w:hint="eastAsia"/>
          <w:kern w:val="0"/>
          <w:sz w:val="24"/>
        </w:rPr>
        <w:t>。</w:t>
      </w:r>
      <w:r w:rsidRPr="00643F16">
        <w:rPr>
          <w:rFonts w:hint="eastAsia"/>
          <w:kern w:val="0"/>
          <w:sz w:val="24"/>
        </w:rPr>
        <w:t>再投资红利按红利再投日（</w:t>
      </w:r>
      <w:r>
        <w:rPr>
          <w:rFonts w:hint="eastAsia"/>
          <w:kern w:val="0"/>
          <w:sz w:val="24"/>
        </w:rPr>
        <w:t>即除息日）除息后的基金份额净值自动转为</w:t>
      </w:r>
      <w:r w:rsidRPr="00DA484F">
        <w:rPr>
          <w:rFonts w:hint="eastAsia"/>
          <w:kern w:val="0"/>
          <w:sz w:val="24"/>
        </w:rPr>
        <w:t>相应类别的</w:t>
      </w:r>
      <w:r>
        <w:rPr>
          <w:rFonts w:hint="eastAsia"/>
          <w:kern w:val="0"/>
          <w:sz w:val="24"/>
        </w:rPr>
        <w:t>基金份额，并免收申购费用</w:t>
      </w:r>
      <w:r w:rsidRPr="00AB6DA1">
        <w:rPr>
          <w:rFonts w:hint="eastAsia"/>
          <w:kern w:val="0"/>
          <w:sz w:val="24"/>
        </w:rPr>
        <w:t>。</w:t>
      </w:r>
      <w:r w:rsidRPr="00AB018B" w:rsidDel="009F5B89">
        <w:rPr>
          <w:rFonts w:hint="eastAsia"/>
          <w:kern w:val="0"/>
          <w:sz w:val="24"/>
        </w:rPr>
        <w:t xml:space="preserve"> </w:t>
      </w:r>
    </w:p>
    <w:p w14:paraId="03B563BF" w14:textId="77777777" w:rsidR="004F3EE8" w:rsidRPr="00387ABE" w:rsidRDefault="004F3EE8" w:rsidP="004F3EE8">
      <w:pPr>
        <w:widowControl/>
        <w:adjustRightInd w:val="0"/>
        <w:snapToGrid w:val="0"/>
        <w:spacing w:line="360" w:lineRule="auto"/>
        <w:ind w:firstLineChars="200" w:firstLine="482"/>
        <w:rPr>
          <w:rFonts w:hAnsi="宋体"/>
          <w:b/>
          <w:kern w:val="0"/>
          <w:sz w:val="24"/>
        </w:rPr>
      </w:pPr>
      <w:r w:rsidRPr="00AB6DA1">
        <w:rPr>
          <w:rFonts w:hAnsi="宋体"/>
          <w:b/>
          <w:kern w:val="0"/>
          <w:sz w:val="24"/>
        </w:rPr>
        <w:t>（五）定期定额投资计划</w:t>
      </w:r>
    </w:p>
    <w:p w14:paraId="60C0527A"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kern w:val="0"/>
          <w:sz w:val="24"/>
        </w:rPr>
        <w:t>待技术条件成熟时，基金</w:t>
      </w:r>
      <w:bookmarkStart w:id="38" w:name="OLE_LINK11"/>
      <w:r w:rsidRPr="00AB6DA1">
        <w:rPr>
          <w:kern w:val="0"/>
          <w:sz w:val="24"/>
        </w:rPr>
        <w:t>管理人可通过销售机构为投资人提供定期定额投资的服务。通过定期定额</w:t>
      </w:r>
      <w:bookmarkEnd w:id="38"/>
      <w:r w:rsidRPr="00AB6DA1">
        <w:rPr>
          <w:kern w:val="0"/>
          <w:sz w:val="24"/>
        </w:rPr>
        <w:t>投资计划，投资人可以定期定额申购基金份额，具体实施方法另行公告。</w:t>
      </w:r>
    </w:p>
    <w:p w14:paraId="4D290616"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39DB45D2"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2C125C3C"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rFonts w:hAnsi="宋体"/>
          <w:kern w:val="0"/>
          <w:sz w:val="24"/>
        </w:rPr>
        <w:t>网址：</w:t>
      </w:r>
      <w:hyperlink r:id="rId14" w:history="1">
        <w:r w:rsidRPr="00AB6DA1">
          <w:rPr>
            <w:sz w:val="24"/>
          </w:rPr>
          <w:t>www.fund001.com</w:t>
        </w:r>
      </w:hyperlink>
    </w:p>
    <w:p w14:paraId="5769468F" w14:textId="77777777" w:rsidR="004F3EE8" w:rsidRPr="00AB6DA1" w:rsidRDefault="004F3EE8" w:rsidP="004F3EE8">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7CC4B0D7" w14:textId="77777777" w:rsidR="004F3EE8" w:rsidRPr="00AB6DA1" w:rsidRDefault="004F3EE8" w:rsidP="004F3EE8">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58A99954" w14:textId="77777777" w:rsidR="00F0698E" w:rsidRDefault="004F3EE8" w:rsidP="00F0698E">
      <w:pPr>
        <w:autoSpaceDE w:val="0"/>
        <w:autoSpaceDN w:val="0"/>
        <w:adjustRightInd w:val="0"/>
        <w:snapToGrid w:val="0"/>
        <w:spacing w:line="360" w:lineRule="auto"/>
        <w:ind w:firstLineChars="200" w:firstLine="482"/>
        <w:jc w:val="left"/>
        <w:rPr>
          <w:rFonts w:hAnsi="宋体"/>
          <w:b/>
          <w:kern w:val="0"/>
          <w:sz w:val="24"/>
        </w:rPr>
      </w:pPr>
      <w:r w:rsidRPr="0001316B">
        <w:rPr>
          <w:rFonts w:hAnsi="宋体" w:hint="eastAsia"/>
          <w:b/>
          <w:kern w:val="0"/>
          <w:sz w:val="24"/>
        </w:rPr>
        <w:t>（六）如本招募说明书存在任何您</w:t>
      </w:r>
      <w:r w:rsidRPr="0001316B">
        <w:rPr>
          <w:rFonts w:hAnsi="宋体"/>
          <w:b/>
          <w:kern w:val="0"/>
          <w:sz w:val="24"/>
        </w:rPr>
        <w:t>/</w:t>
      </w:r>
      <w:r w:rsidRPr="0001316B">
        <w:rPr>
          <w:rFonts w:hAnsi="宋体" w:hint="eastAsia"/>
          <w:b/>
          <w:kern w:val="0"/>
          <w:sz w:val="24"/>
        </w:rPr>
        <w:t>贵机构无法理解的内容，请通过上述方式联系基金管理人。请确保投资前，您</w:t>
      </w:r>
      <w:r w:rsidRPr="0001316B">
        <w:rPr>
          <w:rFonts w:hAnsi="宋体"/>
          <w:b/>
          <w:kern w:val="0"/>
          <w:sz w:val="24"/>
        </w:rPr>
        <w:t>/</w:t>
      </w:r>
      <w:r w:rsidRPr="0001316B">
        <w:rPr>
          <w:rFonts w:hAnsi="宋体" w:hint="eastAsia"/>
          <w:b/>
          <w:kern w:val="0"/>
          <w:sz w:val="24"/>
        </w:rPr>
        <w:t>贵机构已经全面理解了本招募说明书。</w:t>
      </w:r>
    </w:p>
    <w:p w14:paraId="6787FBEC" w14:textId="57881A6E" w:rsidR="00866E08" w:rsidRDefault="004F3EE8" w:rsidP="00F069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br w:type="page"/>
      </w:r>
    </w:p>
    <w:p w14:paraId="66D87449" w14:textId="008CD9A7" w:rsidR="00D87CF5" w:rsidRDefault="00CA69EB">
      <w:pPr>
        <w:pStyle w:val="1"/>
        <w:snapToGrid w:val="0"/>
        <w:spacing w:beforeLines="0" w:before="240" w:after="240"/>
        <w:rPr>
          <w:rFonts w:ascii="宋体" w:hAnsi="宋体"/>
          <w:szCs w:val="30"/>
        </w:rPr>
      </w:pPr>
      <w:bookmarkStart w:id="39" w:name="_Toc104564205"/>
      <w:r>
        <w:rPr>
          <w:rFonts w:ascii="Times New Roman" w:hAnsi="Times New Roman"/>
          <w:sz w:val="30"/>
        </w:rPr>
        <w:lastRenderedPageBreak/>
        <w:t>二十</w:t>
      </w:r>
      <w:r w:rsidR="004F3EE8">
        <w:rPr>
          <w:rFonts w:ascii="Times New Roman" w:hAnsi="Times New Roman" w:hint="eastAsia"/>
          <w:sz w:val="30"/>
        </w:rPr>
        <w:t>二</w:t>
      </w:r>
      <w:r>
        <w:rPr>
          <w:rFonts w:ascii="Times New Roman" w:hAnsi="Times New Roman"/>
          <w:sz w:val="30"/>
        </w:rPr>
        <w:t>、其他应披露事项</w:t>
      </w:r>
      <w:bookmarkEnd w:id="39"/>
    </w:p>
    <w:p w14:paraId="18F1EF6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14:paraId="147A4F49" w14:textId="46BF86D3"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21FCEE28" w14:textId="77777777"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7F494C0B"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9F74832" w14:textId="3CA42777" w:rsidR="00D87CF5" w:rsidRDefault="00CA69EB">
      <w:pPr>
        <w:pStyle w:val="1"/>
        <w:snapToGrid w:val="0"/>
        <w:spacing w:beforeLines="0" w:before="240" w:after="240"/>
        <w:rPr>
          <w:rFonts w:ascii="宋体" w:hAnsi="宋体"/>
          <w:szCs w:val="30"/>
        </w:rPr>
      </w:pPr>
      <w:bookmarkStart w:id="40" w:name="_Toc104564206"/>
      <w:r>
        <w:rPr>
          <w:rFonts w:ascii="Times New Roman" w:hAnsi="Times New Roman"/>
          <w:sz w:val="30"/>
        </w:rPr>
        <w:lastRenderedPageBreak/>
        <w:t>二十</w:t>
      </w:r>
      <w:r w:rsidR="004F3EE8">
        <w:rPr>
          <w:rFonts w:ascii="Times New Roman" w:hAnsi="Times New Roman" w:hint="eastAsia"/>
          <w:sz w:val="30"/>
        </w:rPr>
        <w:t>三</w:t>
      </w:r>
      <w:r>
        <w:rPr>
          <w:rFonts w:ascii="Times New Roman" w:hAnsi="Times New Roman"/>
          <w:sz w:val="30"/>
        </w:rPr>
        <w:t>、招募说明书的存放及查阅方式</w:t>
      </w:r>
      <w:bookmarkEnd w:id="40"/>
    </w:p>
    <w:p w14:paraId="5E9965ED" w14:textId="6867AC7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3DE8250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14:paraId="0DE1D8B6"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C437D0F" w14:textId="6C514F10" w:rsidR="00D87CF5" w:rsidRDefault="00CA69EB">
      <w:pPr>
        <w:pStyle w:val="1"/>
        <w:snapToGrid w:val="0"/>
        <w:spacing w:beforeLines="0" w:before="240" w:after="240"/>
        <w:rPr>
          <w:rFonts w:ascii="宋体" w:hAnsi="宋体"/>
          <w:szCs w:val="30"/>
        </w:rPr>
      </w:pPr>
      <w:bookmarkStart w:id="41" w:name="_Toc104564207"/>
      <w:r>
        <w:rPr>
          <w:rFonts w:ascii="Times New Roman" w:hAnsi="Times New Roman"/>
          <w:sz w:val="30"/>
        </w:rPr>
        <w:lastRenderedPageBreak/>
        <w:t>二十</w:t>
      </w:r>
      <w:r w:rsidR="00ED58C8">
        <w:rPr>
          <w:rFonts w:ascii="Times New Roman" w:hAnsi="Times New Roman" w:hint="eastAsia"/>
          <w:sz w:val="30"/>
        </w:rPr>
        <w:t>四</w:t>
      </w:r>
      <w:r>
        <w:rPr>
          <w:rFonts w:ascii="Times New Roman" w:hAnsi="Times New Roman"/>
          <w:sz w:val="30"/>
        </w:rPr>
        <w:t>、备查文件</w:t>
      </w:r>
      <w:bookmarkEnd w:id="41"/>
    </w:p>
    <w:p w14:paraId="342172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14:paraId="02233E7E" w14:textId="7D7E856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w:t>
      </w:r>
      <w:r w:rsidR="00E104DC">
        <w:rPr>
          <w:rFonts w:ascii="宋体" w:hAnsi="宋体"/>
          <w:sz w:val="24"/>
        </w:rPr>
        <w:t>交银施罗德稳安30天滚动持有债券型证券投资基金</w:t>
      </w:r>
      <w:r>
        <w:rPr>
          <w:rFonts w:ascii="宋体" w:hAnsi="宋体"/>
          <w:sz w:val="24"/>
        </w:rPr>
        <w:t>募集注册的文件</w:t>
      </w:r>
    </w:p>
    <w:p w14:paraId="1D212298" w14:textId="79D158C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w:t>
      </w:r>
      <w:r w:rsidR="00E104DC">
        <w:rPr>
          <w:rFonts w:ascii="宋体" w:hAnsi="宋体"/>
          <w:sz w:val="24"/>
        </w:rPr>
        <w:t>交银施罗德稳安30天滚动持有债券型证券投资基金</w:t>
      </w:r>
      <w:r>
        <w:rPr>
          <w:rFonts w:ascii="宋体" w:hAnsi="宋体"/>
          <w:sz w:val="24"/>
        </w:rPr>
        <w:t>基金合同》</w:t>
      </w:r>
    </w:p>
    <w:p w14:paraId="1B38EB41" w14:textId="6F487EE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w:t>
      </w:r>
      <w:r w:rsidR="00E104DC">
        <w:rPr>
          <w:rFonts w:ascii="宋体" w:hAnsi="宋体"/>
          <w:sz w:val="24"/>
        </w:rPr>
        <w:t>交银施罗德稳安30天滚动持有债券型证券投资基金</w:t>
      </w:r>
      <w:r>
        <w:rPr>
          <w:rFonts w:ascii="宋体" w:hAnsi="宋体"/>
          <w:sz w:val="24"/>
        </w:rPr>
        <w:t>托管协议》</w:t>
      </w:r>
    </w:p>
    <w:p w14:paraId="71A5D26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14:paraId="0185F00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14:paraId="0A55BC9F" w14:textId="4B3A04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w:t>
      </w:r>
      <w:r w:rsidR="00E104DC">
        <w:rPr>
          <w:rFonts w:ascii="宋体" w:hAnsi="宋体"/>
          <w:sz w:val="24"/>
        </w:rPr>
        <w:t>交银施罗德稳安30天滚动持有债券型证券投资基金</w:t>
      </w:r>
      <w:r>
        <w:rPr>
          <w:rFonts w:ascii="宋体" w:hAnsi="宋体"/>
          <w:sz w:val="24"/>
        </w:rPr>
        <w:t>的法律意见书</w:t>
      </w:r>
    </w:p>
    <w:sectPr w:rsidR="00D87CF5">
      <w:footerReference w:type="default" r:id="rId15"/>
      <w:pgSz w:w="11920" w:h="16840"/>
      <w:pgMar w:top="1360" w:right="1580" w:bottom="280" w:left="1680" w:header="0" w:footer="118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D15D77" w16cid:durableId="28B2EA0B"/>
  <w16cid:commentId w16cid:paraId="4AFAABA2" w16cid:durableId="28B2E9F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C5960" w14:textId="77777777" w:rsidR="009A6921" w:rsidRDefault="009A6921">
      <w:r>
        <w:separator/>
      </w:r>
    </w:p>
  </w:endnote>
  <w:endnote w:type="continuationSeparator" w:id="0">
    <w:p w14:paraId="4C77FBD2" w14:textId="77777777" w:rsidR="009A6921" w:rsidRDefault="009A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2572C" w14:textId="77777777" w:rsidR="0075721C" w:rsidRDefault="0075721C">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56E5D4B7" wp14:editId="4A1E5808">
              <wp:simplePos x="0" y="0"/>
              <wp:positionH relativeFrom="page">
                <wp:posOffset>3726180</wp:posOffset>
              </wp:positionH>
              <wp:positionV relativeFrom="page">
                <wp:posOffset>9939020</wp:posOffset>
              </wp:positionV>
              <wp:extent cx="274320" cy="1397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03110" w14:textId="75B13DF8" w:rsidR="0075721C" w:rsidRDefault="0075721C">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D06281">
                            <w:rPr>
                              <w:rFonts w:ascii="Times New Roman" w:hAnsi="Times New Roman"/>
                              <w:noProof/>
                              <w:kern w:val="0"/>
                              <w:sz w:val="18"/>
                              <w:szCs w:val="18"/>
                            </w:rPr>
                            <w:t>1</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5D4B7"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8t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ucYCdJCix7oYNCtHFBoq9N3OgWn+w7czADH0GXHVHd3svyqkZDrhogdvVFK9g0lFWTnXvonT0cc&#10;bUG2/QdZQRiyN9IBDbVqbemgGAjQoUuPx87YVEo4jBbxZQQ3JVyFl8kicJ3zSTo97pQ276hskTUy&#10;rKDxDpwc7rQBGuA6udhYQhaMc9d8Ls4OwHE8gdDw1N7ZJFwvfyRBsllulrEXR/ONFwd57t0U69ib&#10;F+Fill/m63Ue/rRxwzhtWFVRYcNMugrjP+vbk8JHRRyVpSVnlYWzKWm12665QgcCui7cZ5sFyZ+4&#10;+edpuGvg8oJSGMXBbZR4xXy58OIinnlQ3qUXhMltMg/iJM6Lc0p3TNB/p4T6DCezaDZq6bfcAve9&#10;5kbSlhmYHJy1GV4enUhqFbgRlWutIYyP9kkpbPrPpYCKTY12erUSHcVqhu0AKFbEW1k9gnKVBGWB&#10;CGHcgdFI9R2jHkZHhvW3PVEUI/5egPrtnJkMNRnbySCihKcZNhiN5tqM82jfKbZrAHn8v4S8gT+k&#10;Zk69z1lA6nYD48CReBpddt6c7p3X84Bd/QI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DVHn8trAIAAKgFAAAOAAAA&#10;AAAAAAAAAAAAAC4CAABkcnMvZTJvRG9jLnhtbFBLAQItABQABgAIAAAAIQCqI3XO4QAAAA0BAAAP&#10;AAAAAAAAAAAAAAAAAAYFAABkcnMvZG93bnJldi54bWxQSwUGAAAAAAQABADzAAAAFAYAAAAA&#10;" o:allowincell="f" filled="f" stroked="f">
              <v:textbox inset="0,0,0,0">
                <w:txbxContent>
                  <w:p w14:paraId="3A903110" w14:textId="75B13DF8" w:rsidR="0075721C" w:rsidRDefault="0075721C">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D06281">
                      <w:rPr>
                        <w:rFonts w:ascii="Times New Roman" w:hAnsi="Times New Roman"/>
                        <w:noProof/>
                        <w:kern w:val="0"/>
                        <w:sz w:val="18"/>
                        <w:szCs w:val="18"/>
                      </w:rPr>
                      <w:t>1</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D41EA" w14:textId="77777777" w:rsidR="0075721C" w:rsidRDefault="0075721C">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50D0CECC" wp14:editId="759A4684">
              <wp:simplePos x="0" y="0"/>
              <wp:positionH relativeFrom="page">
                <wp:posOffset>3698875</wp:posOffset>
              </wp:positionH>
              <wp:positionV relativeFrom="page">
                <wp:posOffset>9827895</wp:posOffset>
              </wp:positionV>
              <wp:extent cx="425450" cy="139700"/>
              <wp:effectExtent l="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15996" w14:textId="1B6ADCA5" w:rsidR="0075721C" w:rsidRDefault="0075721C">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D06281">
                            <w:rPr>
                              <w:rFonts w:ascii="Times New Roman" w:hAnsi="Times New Roman"/>
                              <w:noProof/>
                              <w:kern w:val="0"/>
                              <w:sz w:val="18"/>
                              <w:szCs w:val="18"/>
                            </w:rPr>
                            <w:t>7</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0CECC"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hcsgIAALA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GAkSActemCjQbdyRJErz9DrDLzue/AzI+xDm12qur+T1TeNhFw3ROzYjVJyaBihQC+0hfWfXLUN&#10;0Zm2INvho6QQh+yNdEBjrTpbO6gGAnRo0+OpNZZLBZtxlMQJnFRwFL5LLwPHzSfZfLlX2rxnskPW&#10;yLGCzjtwcrjTxpIh2exiYwlZ8rZ13W/Fsw1wnHYgNFy1Z5aEa+bPNEg3y80y9uJosfHioCi8m3Id&#10;e4syvEyKd8V6XYS/bNwwzhpOKRM2zCysMP6zxh0lPkniJC0tW04tnKWk1W67bhU6EBB26T5Xcjg5&#10;u/nPabgiQC4vUgqjOLiNUq9cLC+9uIwTD8q79IIwvU0XQZzGRfk8pTsu2L+nhIYcp0mUTFo6k36R&#10;W+C+17mRrOMGRkfLuxwvT04kswrcCOpaawhvJ/tJKSz9cymg3XOjnV6tRCexmnE7upfhxGzlu5X0&#10;EQSsJAgMtAhjD4xGqh8YDTBCcqy/74liGLUfBDwCO29mQ83GdjaIqOBqjg1Gk7k201za94rvGkCe&#10;npmQN/BQau5EfGZxfF4wFlwuxxFm587Tf+d1HrSr3wAAAP//AwBQSwMEFAAGAAgAAAAhALqJqUHh&#10;AAAADQEAAA8AAABkcnMvZG93bnJldi54bWxMj8FOwzAQRO9I/IO1SNyo06pJmjROVSE4ISHScODo&#10;xG5iNV6H2G3D37M9wXFnnmZnit1sB3bRkzcOBSwXETCNrVMGOwGf9evTBpgPEpUcHGoBP9rDrry/&#10;K2Su3BUrfTmEjlEI+lwK6EMYc85922sr/cKNGsk7usnKQOfUcTXJK4Xbga+iKOFWGqQPvRz1c6/b&#10;0+FsBey/sHox3+/NR3WsTF1nEb4lJyEeH+b9FljQc/iD4VafqkNJnRp3RuXZICDerGJCyYjXaQqM&#10;kGSdkdTcpCRLgZcF/7+i/AUAAP//AwBQSwECLQAUAAYACAAAACEAtoM4kv4AAADhAQAAEwAAAAAA&#10;AAAAAAAAAAAAAAAAW0NvbnRlbnRfVHlwZXNdLnhtbFBLAQItABQABgAIAAAAIQA4/SH/1gAAAJQB&#10;AAALAAAAAAAAAAAAAAAAAC8BAABfcmVscy8ucmVsc1BLAQItABQABgAIAAAAIQDMUuhcsgIAALAF&#10;AAAOAAAAAAAAAAAAAAAAAC4CAABkcnMvZTJvRG9jLnhtbFBLAQItABQABgAIAAAAIQC6ialB4QAA&#10;AA0BAAAPAAAAAAAAAAAAAAAAAAwFAABkcnMvZG93bnJldi54bWxQSwUGAAAAAAQABADzAAAAGgYA&#10;AAAA&#10;" o:allowincell="f" filled="f" stroked="f">
              <v:textbox inset="0,0,0,0">
                <w:txbxContent>
                  <w:p w14:paraId="2E315996" w14:textId="1B6ADCA5" w:rsidR="0075721C" w:rsidRDefault="0075721C">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D06281">
                      <w:rPr>
                        <w:rFonts w:ascii="Times New Roman" w:hAnsi="Times New Roman"/>
                        <w:noProof/>
                        <w:kern w:val="0"/>
                        <w:sz w:val="18"/>
                        <w:szCs w:val="18"/>
                      </w:rPr>
                      <w:t>7</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8D9FD" w14:textId="77777777" w:rsidR="009A6921" w:rsidRDefault="009A6921">
      <w:r>
        <w:separator/>
      </w:r>
    </w:p>
  </w:footnote>
  <w:footnote w:type="continuationSeparator" w:id="0">
    <w:p w14:paraId="17808E22" w14:textId="77777777" w:rsidR="009A6921" w:rsidRDefault="009A69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4F967" w14:textId="77777777" w:rsidR="0075721C" w:rsidRDefault="0075721C">
    <w:pPr>
      <w:pStyle w:val="a3"/>
      <w:jc w:val="right"/>
    </w:pPr>
    <w:r>
      <w:rPr>
        <w:noProof/>
      </w:rPr>
      <w:drawing>
        <wp:anchor distT="0" distB="0" distL="114300" distR="114300" simplePos="0" relativeHeight="251655680" behindDoc="0" locked="0" layoutInCell="1" allowOverlap="1" wp14:anchorId="6C81FDCB" wp14:editId="51F248F6">
          <wp:simplePos x="0" y="0"/>
          <wp:positionH relativeFrom="column">
            <wp:posOffset>19050</wp:posOffset>
          </wp:positionH>
          <wp:positionV relativeFrom="paragraph">
            <wp:posOffset>-152400</wp:posOffset>
          </wp:positionV>
          <wp:extent cx="1714500" cy="238125"/>
          <wp:effectExtent l="19050" t="0" r="0" b="0"/>
          <wp:wrapNone/>
          <wp:docPr id="9" name="图片 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14:paraId="01A0D27E" w14:textId="19A0A4BB" w:rsidR="0075721C" w:rsidRDefault="0075721C">
    <w:pPr>
      <w:pStyle w:val="a3"/>
      <w:jc w:val="right"/>
      <w:rPr>
        <w:rFonts w:ascii="宋体" w:hAnsi="宋体"/>
      </w:rPr>
    </w:pPr>
    <w:r w:rsidRPr="00910807">
      <w:rPr>
        <w:rFonts w:ascii="宋体" w:hAnsi="宋体" w:hint="eastAsia"/>
      </w:rPr>
      <w:t>交银施罗德稳安30天滚动持有债券型证券投资基金</w:t>
    </w:r>
    <w:r>
      <w:rPr>
        <w:rFonts w:ascii="宋体" w:hAnsi="宋体" w:hint="eastAsia"/>
      </w:rPr>
      <w:t>(更新)招募说明书(202</w:t>
    </w:r>
    <w:r>
      <w:rPr>
        <w:rFonts w:ascii="宋体" w:hAnsi="宋体"/>
      </w:rPr>
      <w:t>3</w:t>
    </w:r>
    <w:r>
      <w:rPr>
        <w:rFonts w:ascii="宋体" w:hAnsi="宋体" w:hint="eastAsia"/>
      </w:rPr>
      <w:t>年第</w:t>
    </w:r>
    <w:r>
      <w:rPr>
        <w:rFonts w:ascii="宋体" w:hAnsi="宋体"/>
      </w:rPr>
      <w:t>1</w:t>
    </w:r>
    <w:r>
      <w:rPr>
        <w:rFonts w:ascii="宋体" w:hAnsi="宋体" w:hint="eastAsia"/>
      </w:rPr>
      <w:t>号)</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89252" w14:textId="77777777" w:rsidR="0075721C" w:rsidRDefault="0075721C">
    <w:pPr>
      <w:pStyle w:val="11"/>
      <w:jc w:val="right"/>
    </w:pPr>
  </w:p>
  <w:p w14:paraId="78D22F20" w14:textId="77777777" w:rsidR="0075721C" w:rsidRDefault="0075721C">
    <w:pPr>
      <w:pStyle w:val="11"/>
      <w:jc w:val="right"/>
    </w:pPr>
  </w:p>
  <w:p w14:paraId="3266C893" w14:textId="77777777" w:rsidR="0075721C" w:rsidRDefault="0075721C">
    <w:pPr>
      <w:pStyle w:val="a3"/>
      <w:jc w:val="right"/>
    </w:pPr>
  </w:p>
  <w:p w14:paraId="2C298340" w14:textId="77777777" w:rsidR="0075721C" w:rsidRDefault="0075721C">
    <w:pPr>
      <w:pStyle w:val="a3"/>
      <w:jc w:val="right"/>
    </w:pPr>
    <w:r>
      <w:rPr>
        <w:noProof/>
      </w:rPr>
      <w:drawing>
        <wp:anchor distT="0" distB="0" distL="114300" distR="114300" simplePos="0" relativeHeight="251656704" behindDoc="0" locked="0" layoutInCell="1" allowOverlap="1" wp14:anchorId="092405CC" wp14:editId="45FF233F">
          <wp:simplePos x="0" y="0"/>
          <wp:positionH relativeFrom="column">
            <wp:posOffset>19050</wp:posOffset>
          </wp:positionH>
          <wp:positionV relativeFrom="paragraph">
            <wp:posOffset>-152400</wp:posOffset>
          </wp:positionV>
          <wp:extent cx="1714500" cy="238125"/>
          <wp:effectExtent l="19050" t="0" r="0" b="0"/>
          <wp:wrapNone/>
          <wp:docPr id="10" name="图片 10"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14:paraId="4F9CEB8A" w14:textId="42DC4EE8" w:rsidR="0075721C" w:rsidRDefault="0075721C">
    <w:pPr>
      <w:pStyle w:val="a3"/>
      <w:jc w:val="right"/>
      <w:rPr>
        <w:rFonts w:ascii="宋体" w:hAnsi="宋体"/>
      </w:rPr>
    </w:pPr>
    <w:r>
      <w:rPr>
        <w:rFonts w:ascii="宋体" w:hAnsi="宋体" w:hint="eastAsia"/>
      </w:rPr>
      <w:t>交银施罗德稳安3</w:t>
    </w:r>
    <w:r>
      <w:rPr>
        <w:rFonts w:ascii="宋体" w:hAnsi="宋体"/>
      </w:rPr>
      <w:t>0天滚动持有</w:t>
    </w:r>
    <w:r>
      <w:rPr>
        <w:rFonts w:ascii="宋体" w:hAnsi="宋体" w:hint="eastAsia"/>
      </w:rPr>
      <w:t>债券型证券投资基金（更新）招募说明书(202</w:t>
    </w:r>
    <w:r>
      <w:rPr>
        <w:rFonts w:ascii="宋体" w:hAnsi="宋体"/>
      </w:rPr>
      <w:t>3</w:t>
    </w:r>
    <w:r>
      <w:rPr>
        <w:rFonts w:ascii="宋体" w:hAnsi="宋体" w:hint="eastAsia"/>
      </w:rPr>
      <w:t>年第</w:t>
    </w:r>
    <w:r>
      <w:rPr>
        <w:rFonts w:ascii="宋体" w:hAnsi="宋体"/>
      </w:rPr>
      <w:t>1</w:t>
    </w:r>
    <w:r>
      <w:rPr>
        <w:rFonts w:ascii="宋体" w:hAnsi="宋体" w:hint="eastAsia"/>
      </w:rPr>
      <w:t>号)</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64997" w14:textId="77777777" w:rsidR="0075721C" w:rsidRDefault="0075721C">
    <w:pPr>
      <w:pStyle w:val="a3"/>
      <w:jc w:val="right"/>
    </w:pPr>
  </w:p>
  <w:p w14:paraId="68F1FECB" w14:textId="5C701B3A" w:rsidR="0075721C" w:rsidRDefault="0075721C">
    <w:pPr>
      <w:pStyle w:val="a3"/>
      <w:jc w:val="right"/>
    </w:pPr>
  </w:p>
  <w:p w14:paraId="26C8A2E4" w14:textId="625CC222" w:rsidR="0075721C" w:rsidRDefault="0075721C">
    <w:pPr>
      <w:pStyle w:val="a3"/>
      <w:jc w:val="right"/>
    </w:pPr>
    <w:r>
      <w:rPr>
        <w:noProof/>
      </w:rPr>
      <w:drawing>
        <wp:anchor distT="0" distB="0" distL="114300" distR="114300" simplePos="0" relativeHeight="251657728" behindDoc="0" locked="0" layoutInCell="1" allowOverlap="1" wp14:anchorId="67F8144E" wp14:editId="19DEE410">
          <wp:simplePos x="0" y="0"/>
          <wp:positionH relativeFrom="margin">
            <wp:align>left</wp:align>
          </wp:positionH>
          <wp:positionV relativeFrom="paragraph">
            <wp:posOffset>4445</wp:posOffset>
          </wp:positionV>
          <wp:extent cx="1714500" cy="238125"/>
          <wp:effectExtent l="0" t="0" r="0" b="9525"/>
          <wp:wrapNone/>
          <wp:docPr id="7" name="图片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14:paraId="7A1DC2F1" w14:textId="291694F2" w:rsidR="0075721C" w:rsidRDefault="0075721C">
    <w:pPr>
      <w:pStyle w:val="a3"/>
      <w:jc w:val="right"/>
    </w:pPr>
  </w:p>
  <w:p w14:paraId="62CC87A4" w14:textId="18CC043C" w:rsidR="0075721C" w:rsidRDefault="0075721C">
    <w:pPr>
      <w:pStyle w:val="a3"/>
      <w:jc w:val="right"/>
      <w:rPr>
        <w:rFonts w:ascii="宋体" w:hAnsi="宋体"/>
      </w:rPr>
    </w:pPr>
    <w:r>
      <w:rPr>
        <w:rFonts w:ascii="宋体" w:hAnsi="宋体" w:hint="eastAsia"/>
      </w:rPr>
      <w:t>交银施罗德稳安3</w:t>
    </w:r>
    <w:r>
      <w:rPr>
        <w:rFonts w:ascii="宋体" w:hAnsi="宋体"/>
      </w:rPr>
      <w:t>0</w:t>
    </w:r>
    <w:r>
      <w:rPr>
        <w:rFonts w:ascii="宋体" w:hAnsi="宋体" w:hint="eastAsia"/>
      </w:rPr>
      <w:t>天滚动持有债券型证券投资基金(更新)招募说明书（2023年第</w:t>
    </w:r>
    <w:r>
      <w:rPr>
        <w:rFonts w:ascii="宋体" w:hAnsi="宋体"/>
      </w:rPr>
      <w:t>1</w:t>
    </w:r>
    <w:r>
      <w:rPr>
        <w:rFonts w:ascii="宋体" w:hAnsi="宋体" w:hint="eastAsia"/>
      </w:rPr>
      <w:t>号）</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081D"/>
    <w:rsid w:val="00001EEA"/>
    <w:rsid w:val="00003EC9"/>
    <w:rsid w:val="0000560A"/>
    <w:rsid w:val="0001266E"/>
    <w:rsid w:val="00012E56"/>
    <w:rsid w:val="00012FF2"/>
    <w:rsid w:val="00017358"/>
    <w:rsid w:val="00022A58"/>
    <w:rsid w:val="00026A29"/>
    <w:rsid w:val="00026D00"/>
    <w:rsid w:val="00027C73"/>
    <w:rsid w:val="00030964"/>
    <w:rsid w:val="00030B79"/>
    <w:rsid w:val="00030F3E"/>
    <w:rsid w:val="00034BFD"/>
    <w:rsid w:val="000368A2"/>
    <w:rsid w:val="00044AFD"/>
    <w:rsid w:val="00044E2C"/>
    <w:rsid w:val="000457B7"/>
    <w:rsid w:val="0004614E"/>
    <w:rsid w:val="00046212"/>
    <w:rsid w:val="000500B8"/>
    <w:rsid w:val="000506ED"/>
    <w:rsid w:val="00050B7E"/>
    <w:rsid w:val="000543D5"/>
    <w:rsid w:val="00055370"/>
    <w:rsid w:val="00055792"/>
    <w:rsid w:val="00055F52"/>
    <w:rsid w:val="00061C0D"/>
    <w:rsid w:val="0006212F"/>
    <w:rsid w:val="0006220F"/>
    <w:rsid w:val="000647B8"/>
    <w:rsid w:val="0006506B"/>
    <w:rsid w:val="0006551A"/>
    <w:rsid w:val="000700AC"/>
    <w:rsid w:val="000705A6"/>
    <w:rsid w:val="00074647"/>
    <w:rsid w:val="00074A79"/>
    <w:rsid w:val="0007638A"/>
    <w:rsid w:val="00076778"/>
    <w:rsid w:val="00076B6E"/>
    <w:rsid w:val="000816EA"/>
    <w:rsid w:val="00081744"/>
    <w:rsid w:val="000828CE"/>
    <w:rsid w:val="000833CB"/>
    <w:rsid w:val="00083491"/>
    <w:rsid w:val="00084078"/>
    <w:rsid w:val="000843B3"/>
    <w:rsid w:val="000869C2"/>
    <w:rsid w:val="00087F4C"/>
    <w:rsid w:val="000905B7"/>
    <w:rsid w:val="00090648"/>
    <w:rsid w:val="00093546"/>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113"/>
    <w:rsid w:val="000E7544"/>
    <w:rsid w:val="000F0C17"/>
    <w:rsid w:val="000F2904"/>
    <w:rsid w:val="000F34A1"/>
    <w:rsid w:val="000F5226"/>
    <w:rsid w:val="000F5583"/>
    <w:rsid w:val="000F6050"/>
    <w:rsid w:val="000F66FF"/>
    <w:rsid w:val="000F698D"/>
    <w:rsid w:val="000F75F7"/>
    <w:rsid w:val="000F7D42"/>
    <w:rsid w:val="001008A5"/>
    <w:rsid w:val="00100C86"/>
    <w:rsid w:val="001054B1"/>
    <w:rsid w:val="0011339C"/>
    <w:rsid w:val="001135B0"/>
    <w:rsid w:val="00113FAA"/>
    <w:rsid w:val="00115AE5"/>
    <w:rsid w:val="00116489"/>
    <w:rsid w:val="0011648B"/>
    <w:rsid w:val="001166C1"/>
    <w:rsid w:val="00116874"/>
    <w:rsid w:val="001177A3"/>
    <w:rsid w:val="001240EB"/>
    <w:rsid w:val="0012443D"/>
    <w:rsid w:val="00127053"/>
    <w:rsid w:val="0013021D"/>
    <w:rsid w:val="00130B5E"/>
    <w:rsid w:val="0013182D"/>
    <w:rsid w:val="0013199C"/>
    <w:rsid w:val="00131CEE"/>
    <w:rsid w:val="0013315B"/>
    <w:rsid w:val="00134FCF"/>
    <w:rsid w:val="00135AD8"/>
    <w:rsid w:val="0013630D"/>
    <w:rsid w:val="001367F2"/>
    <w:rsid w:val="00137340"/>
    <w:rsid w:val="001412E8"/>
    <w:rsid w:val="0014250F"/>
    <w:rsid w:val="00144B52"/>
    <w:rsid w:val="00145527"/>
    <w:rsid w:val="00151749"/>
    <w:rsid w:val="00153D66"/>
    <w:rsid w:val="001566CA"/>
    <w:rsid w:val="0015725E"/>
    <w:rsid w:val="00162F69"/>
    <w:rsid w:val="00164946"/>
    <w:rsid w:val="0016545C"/>
    <w:rsid w:val="00165756"/>
    <w:rsid w:val="00166762"/>
    <w:rsid w:val="0017362C"/>
    <w:rsid w:val="0017392F"/>
    <w:rsid w:val="00174FFF"/>
    <w:rsid w:val="00175E51"/>
    <w:rsid w:val="0018184C"/>
    <w:rsid w:val="0018198F"/>
    <w:rsid w:val="00181C62"/>
    <w:rsid w:val="00181DE8"/>
    <w:rsid w:val="00183642"/>
    <w:rsid w:val="001860C4"/>
    <w:rsid w:val="00186FAE"/>
    <w:rsid w:val="001917D4"/>
    <w:rsid w:val="001917FC"/>
    <w:rsid w:val="00191D7F"/>
    <w:rsid w:val="00192193"/>
    <w:rsid w:val="001925A2"/>
    <w:rsid w:val="00195218"/>
    <w:rsid w:val="00197A55"/>
    <w:rsid w:val="00197F7E"/>
    <w:rsid w:val="001A1623"/>
    <w:rsid w:val="001A2263"/>
    <w:rsid w:val="001A25DB"/>
    <w:rsid w:val="001B4531"/>
    <w:rsid w:val="001B5BDB"/>
    <w:rsid w:val="001B6974"/>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3AFD"/>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0616"/>
    <w:rsid w:val="002308B4"/>
    <w:rsid w:val="00231A62"/>
    <w:rsid w:val="0023578C"/>
    <w:rsid w:val="00235AC5"/>
    <w:rsid w:val="002377E0"/>
    <w:rsid w:val="00240BB6"/>
    <w:rsid w:val="00242D24"/>
    <w:rsid w:val="002432CA"/>
    <w:rsid w:val="00243D40"/>
    <w:rsid w:val="0024455A"/>
    <w:rsid w:val="00245250"/>
    <w:rsid w:val="002477CB"/>
    <w:rsid w:val="00247BF6"/>
    <w:rsid w:val="00250A33"/>
    <w:rsid w:val="00251126"/>
    <w:rsid w:val="00252015"/>
    <w:rsid w:val="002524D2"/>
    <w:rsid w:val="00252802"/>
    <w:rsid w:val="00260280"/>
    <w:rsid w:val="00261A50"/>
    <w:rsid w:val="002634C3"/>
    <w:rsid w:val="00263FEA"/>
    <w:rsid w:val="0026530A"/>
    <w:rsid w:val="00265B3A"/>
    <w:rsid w:val="0027052E"/>
    <w:rsid w:val="00271E9D"/>
    <w:rsid w:val="00271F7D"/>
    <w:rsid w:val="00274E85"/>
    <w:rsid w:val="0027595C"/>
    <w:rsid w:val="002777F6"/>
    <w:rsid w:val="00277907"/>
    <w:rsid w:val="00277928"/>
    <w:rsid w:val="00280C42"/>
    <w:rsid w:val="00281B73"/>
    <w:rsid w:val="00282183"/>
    <w:rsid w:val="002833C9"/>
    <w:rsid w:val="00284181"/>
    <w:rsid w:val="00285E5C"/>
    <w:rsid w:val="00287A95"/>
    <w:rsid w:val="00290B63"/>
    <w:rsid w:val="00290E73"/>
    <w:rsid w:val="00293415"/>
    <w:rsid w:val="00294689"/>
    <w:rsid w:val="0029539A"/>
    <w:rsid w:val="002963BC"/>
    <w:rsid w:val="002A017E"/>
    <w:rsid w:val="002A1A82"/>
    <w:rsid w:val="002A20D9"/>
    <w:rsid w:val="002A2FB0"/>
    <w:rsid w:val="002A4D32"/>
    <w:rsid w:val="002A5F87"/>
    <w:rsid w:val="002A6C60"/>
    <w:rsid w:val="002A7147"/>
    <w:rsid w:val="002B017B"/>
    <w:rsid w:val="002B0DC0"/>
    <w:rsid w:val="002B2664"/>
    <w:rsid w:val="002B31C6"/>
    <w:rsid w:val="002B4E21"/>
    <w:rsid w:val="002B5000"/>
    <w:rsid w:val="002B57A1"/>
    <w:rsid w:val="002B78AA"/>
    <w:rsid w:val="002C0E23"/>
    <w:rsid w:val="002C383C"/>
    <w:rsid w:val="002C5795"/>
    <w:rsid w:val="002D15BB"/>
    <w:rsid w:val="002D1C13"/>
    <w:rsid w:val="002D1FEB"/>
    <w:rsid w:val="002D3109"/>
    <w:rsid w:val="002D378C"/>
    <w:rsid w:val="002D6413"/>
    <w:rsid w:val="002D6F14"/>
    <w:rsid w:val="002D74D5"/>
    <w:rsid w:val="002E4922"/>
    <w:rsid w:val="002E4B2C"/>
    <w:rsid w:val="002E50D0"/>
    <w:rsid w:val="002E5261"/>
    <w:rsid w:val="002F00BB"/>
    <w:rsid w:val="002F1DE7"/>
    <w:rsid w:val="002F2627"/>
    <w:rsid w:val="002F2748"/>
    <w:rsid w:val="002F6445"/>
    <w:rsid w:val="002F6580"/>
    <w:rsid w:val="002F6DE8"/>
    <w:rsid w:val="002F74D8"/>
    <w:rsid w:val="002F7BBE"/>
    <w:rsid w:val="002F7C72"/>
    <w:rsid w:val="002F7EDC"/>
    <w:rsid w:val="003003A8"/>
    <w:rsid w:val="0030091B"/>
    <w:rsid w:val="00301E62"/>
    <w:rsid w:val="00304063"/>
    <w:rsid w:val="00304BE6"/>
    <w:rsid w:val="0030555F"/>
    <w:rsid w:val="00305A3B"/>
    <w:rsid w:val="00305BB4"/>
    <w:rsid w:val="0030645F"/>
    <w:rsid w:val="003073D4"/>
    <w:rsid w:val="003117B9"/>
    <w:rsid w:val="00311C71"/>
    <w:rsid w:val="00313073"/>
    <w:rsid w:val="0031336C"/>
    <w:rsid w:val="0031339F"/>
    <w:rsid w:val="00313F3E"/>
    <w:rsid w:val="003154CC"/>
    <w:rsid w:val="00323F65"/>
    <w:rsid w:val="00326147"/>
    <w:rsid w:val="00330064"/>
    <w:rsid w:val="0033051E"/>
    <w:rsid w:val="0033401D"/>
    <w:rsid w:val="00334456"/>
    <w:rsid w:val="00336150"/>
    <w:rsid w:val="00336E99"/>
    <w:rsid w:val="00342417"/>
    <w:rsid w:val="003434B8"/>
    <w:rsid w:val="003454EC"/>
    <w:rsid w:val="00345E10"/>
    <w:rsid w:val="00346537"/>
    <w:rsid w:val="00347B94"/>
    <w:rsid w:val="003527DD"/>
    <w:rsid w:val="003547A2"/>
    <w:rsid w:val="00355171"/>
    <w:rsid w:val="00360882"/>
    <w:rsid w:val="003609D7"/>
    <w:rsid w:val="003612F4"/>
    <w:rsid w:val="00362702"/>
    <w:rsid w:val="00362A37"/>
    <w:rsid w:val="00362CF0"/>
    <w:rsid w:val="00362D5D"/>
    <w:rsid w:val="00364AC5"/>
    <w:rsid w:val="00365D15"/>
    <w:rsid w:val="0036702F"/>
    <w:rsid w:val="00367C56"/>
    <w:rsid w:val="00367F3A"/>
    <w:rsid w:val="00370BDF"/>
    <w:rsid w:val="00372FA2"/>
    <w:rsid w:val="003735E9"/>
    <w:rsid w:val="0037379E"/>
    <w:rsid w:val="003739FE"/>
    <w:rsid w:val="003749D5"/>
    <w:rsid w:val="003752D3"/>
    <w:rsid w:val="00380705"/>
    <w:rsid w:val="0038254F"/>
    <w:rsid w:val="003828EC"/>
    <w:rsid w:val="00382F1A"/>
    <w:rsid w:val="00383488"/>
    <w:rsid w:val="003843BB"/>
    <w:rsid w:val="003859DA"/>
    <w:rsid w:val="00386153"/>
    <w:rsid w:val="00386BA7"/>
    <w:rsid w:val="00390B48"/>
    <w:rsid w:val="0039213A"/>
    <w:rsid w:val="00393BF6"/>
    <w:rsid w:val="00393DAF"/>
    <w:rsid w:val="00395D4D"/>
    <w:rsid w:val="00396D64"/>
    <w:rsid w:val="00397A06"/>
    <w:rsid w:val="003A0FAF"/>
    <w:rsid w:val="003A1921"/>
    <w:rsid w:val="003A2824"/>
    <w:rsid w:val="003A2895"/>
    <w:rsid w:val="003A38BD"/>
    <w:rsid w:val="003A38C8"/>
    <w:rsid w:val="003A6045"/>
    <w:rsid w:val="003A72D0"/>
    <w:rsid w:val="003B22FD"/>
    <w:rsid w:val="003B3004"/>
    <w:rsid w:val="003B3680"/>
    <w:rsid w:val="003B3A47"/>
    <w:rsid w:val="003B4168"/>
    <w:rsid w:val="003B42FF"/>
    <w:rsid w:val="003B4860"/>
    <w:rsid w:val="003B62D2"/>
    <w:rsid w:val="003B66A3"/>
    <w:rsid w:val="003C27F7"/>
    <w:rsid w:val="003C62C1"/>
    <w:rsid w:val="003C6FA4"/>
    <w:rsid w:val="003D0B3E"/>
    <w:rsid w:val="003D2352"/>
    <w:rsid w:val="003D36B3"/>
    <w:rsid w:val="003D3863"/>
    <w:rsid w:val="003D3D0A"/>
    <w:rsid w:val="003E03DA"/>
    <w:rsid w:val="003E0800"/>
    <w:rsid w:val="003E1584"/>
    <w:rsid w:val="003E33DE"/>
    <w:rsid w:val="003E3593"/>
    <w:rsid w:val="003E585F"/>
    <w:rsid w:val="003E6049"/>
    <w:rsid w:val="003E678B"/>
    <w:rsid w:val="003E67F9"/>
    <w:rsid w:val="003F0D27"/>
    <w:rsid w:val="003F1C98"/>
    <w:rsid w:val="003F2D96"/>
    <w:rsid w:val="003F317C"/>
    <w:rsid w:val="003F3C94"/>
    <w:rsid w:val="003F4813"/>
    <w:rsid w:val="00406384"/>
    <w:rsid w:val="00406654"/>
    <w:rsid w:val="00406F61"/>
    <w:rsid w:val="0041100B"/>
    <w:rsid w:val="004114F3"/>
    <w:rsid w:val="00412187"/>
    <w:rsid w:val="00412894"/>
    <w:rsid w:val="004130C3"/>
    <w:rsid w:val="00413E71"/>
    <w:rsid w:val="00416271"/>
    <w:rsid w:val="0041787F"/>
    <w:rsid w:val="00421363"/>
    <w:rsid w:val="00421921"/>
    <w:rsid w:val="00422100"/>
    <w:rsid w:val="00422E73"/>
    <w:rsid w:val="004254D3"/>
    <w:rsid w:val="00425687"/>
    <w:rsid w:val="004264C9"/>
    <w:rsid w:val="0042746B"/>
    <w:rsid w:val="00432AAC"/>
    <w:rsid w:val="00433B69"/>
    <w:rsid w:val="004369AD"/>
    <w:rsid w:val="00436DD6"/>
    <w:rsid w:val="00442492"/>
    <w:rsid w:val="00444FB7"/>
    <w:rsid w:val="00450674"/>
    <w:rsid w:val="00451EC6"/>
    <w:rsid w:val="004533E3"/>
    <w:rsid w:val="004533FE"/>
    <w:rsid w:val="00454715"/>
    <w:rsid w:val="00454D80"/>
    <w:rsid w:val="00456785"/>
    <w:rsid w:val="0046186A"/>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D01"/>
    <w:rsid w:val="004A3F90"/>
    <w:rsid w:val="004A5F59"/>
    <w:rsid w:val="004A6F1F"/>
    <w:rsid w:val="004B17D8"/>
    <w:rsid w:val="004B2323"/>
    <w:rsid w:val="004B62C3"/>
    <w:rsid w:val="004C0BC8"/>
    <w:rsid w:val="004C461A"/>
    <w:rsid w:val="004C7D23"/>
    <w:rsid w:val="004D04BC"/>
    <w:rsid w:val="004D0634"/>
    <w:rsid w:val="004D0783"/>
    <w:rsid w:val="004D0CB5"/>
    <w:rsid w:val="004D11CB"/>
    <w:rsid w:val="004D282C"/>
    <w:rsid w:val="004D2DFB"/>
    <w:rsid w:val="004D49E3"/>
    <w:rsid w:val="004D7163"/>
    <w:rsid w:val="004E0366"/>
    <w:rsid w:val="004E1C30"/>
    <w:rsid w:val="004E3342"/>
    <w:rsid w:val="004E45AC"/>
    <w:rsid w:val="004E4672"/>
    <w:rsid w:val="004E5593"/>
    <w:rsid w:val="004E7A1E"/>
    <w:rsid w:val="004E7C76"/>
    <w:rsid w:val="004E7F1A"/>
    <w:rsid w:val="004F0352"/>
    <w:rsid w:val="004F0740"/>
    <w:rsid w:val="004F364F"/>
    <w:rsid w:val="004F3EE8"/>
    <w:rsid w:val="004F415D"/>
    <w:rsid w:val="004F4980"/>
    <w:rsid w:val="004F66F4"/>
    <w:rsid w:val="004F7710"/>
    <w:rsid w:val="00502A45"/>
    <w:rsid w:val="005042C1"/>
    <w:rsid w:val="0050542C"/>
    <w:rsid w:val="005061DB"/>
    <w:rsid w:val="0050699B"/>
    <w:rsid w:val="005109BC"/>
    <w:rsid w:val="00512DC1"/>
    <w:rsid w:val="00514C6B"/>
    <w:rsid w:val="005161EC"/>
    <w:rsid w:val="0051709F"/>
    <w:rsid w:val="005175EB"/>
    <w:rsid w:val="00521A18"/>
    <w:rsid w:val="00522079"/>
    <w:rsid w:val="00522622"/>
    <w:rsid w:val="0052450E"/>
    <w:rsid w:val="00524D09"/>
    <w:rsid w:val="005251FF"/>
    <w:rsid w:val="005252B7"/>
    <w:rsid w:val="00525410"/>
    <w:rsid w:val="00527CD0"/>
    <w:rsid w:val="00530703"/>
    <w:rsid w:val="00530763"/>
    <w:rsid w:val="00534EFD"/>
    <w:rsid w:val="005362F2"/>
    <w:rsid w:val="00541A1B"/>
    <w:rsid w:val="00543B42"/>
    <w:rsid w:val="0054651A"/>
    <w:rsid w:val="00546EA9"/>
    <w:rsid w:val="005474CD"/>
    <w:rsid w:val="00547D7E"/>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6766D"/>
    <w:rsid w:val="00573637"/>
    <w:rsid w:val="00574C59"/>
    <w:rsid w:val="00575771"/>
    <w:rsid w:val="00576CE2"/>
    <w:rsid w:val="005770AC"/>
    <w:rsid w:val="00577C1A"/>
    <w:rsid w:val="00577FAA"/>
    <w:rsid w:val="0058041D"/>
    <w:rsid w:val="005826AA"/>
    <w:rsid w:val="00583CE7"/>
    <w:rsid w:val="00585674"/>
    <w:rsid w:val="005856E9"/>
    <w:rsid w:val="005867BB"/>
    <w:rsid w:val="00587452"/>
    <w:rsid w:val="00587F1F"/>
    <w:rsid w:val="00591C2A"/>
    <w:rsid w:val="00592461"/>
    <w:rsid w:val="00592539"/>
    <w:rsid w:val="00596A05"/>
    <w:rsid w:val="00596D6D"/>
    <w:rsid w:val="00597284"/>
    <w:rsid w:val="00597F8F"/>
    <w:rsid w:val="005A1EA2"/>
    <w:rsid w:val="005A2467"/>
    <w:rsid w:val="005A300D"/>
    <w:rsid w:val="005A4CCC"/>
    <w:rsid w:val="005A5858"/>
    <w:rsid w:val="005A6E51"/>
    <w:rsid w:val="005A7749"/>
    <w:rsid w:val="005A7C7F"/>
    <w:rsid w:val="005A7D88"/>
    <w:rsid w:val="005B130C"/>
    <w:rsid w:val="005B14FF"/>
    <w:rsid w:val="005B3B71"/>
    <w:rsid w:val="005B4B1B"/>
    <w:rsid w:val="005B4F0F"/>
    <w:rsid w:val="005B58F0"/>
    <w:rsid w:val="005B74FA"/>
    <w:rsid w:val="005C022E"/>
    <w:rsid w:val="005C0E62"/>
    <w:rsid w:val="005C0F5B"/>
    <w:rsid w:val="005C2E15"/>
    <w:rsid w:val="005C403B"/>
    <w:rsid w:val="005C4908"/>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588F"/>
    <w:rsid w:val="006067DC"/>
    <w:rsid w:val="00610629"/>
    <w:rsid w:val="00611BCD"/>
    <w:rsid w:val="0061258D"/>
    <w:rsid w:val="006142EC"/>
    <w:rsid w:val="006155A5"/>
    <w:rsid w:val="00617824"/>
    <w:rsid w:val="00624214"/>
    <w:rsid w:val="00625419"/>
    <w:rsid w:val="006257C5"/>
    <w:rsid w:val="00626D1A"/>
    <w:rsid w:val="00627429"/>
    <w:rsid w:val="0063089C"/>
    <w:rsid w:val="00632A91"/>
    <w:rsid w:val="006345E8"/>
    <w:rsid w:val="006357B2"/>
    <w:rsid w:val="0063765C"/>
    <w:rsid w:val="00637B92"/>
    <w:rsid w:val="006403CB"/>
    <w:rsid w:val="006410B0"/>
    <w:rsid w:val="0064139F"/>
    <w:rsid w:val="00641404"/>
    <w:rsid w:val="00641EDA"/>
    <w:rsid w:val="00642B97"/>
    <w:rsid w:val="00643680"/>
    <w:rsid w:val="00644453"/>
    <w:rsid w:val="00644B32"/>
    <w:rsid w:val="00645337"/>
    <w:rsid w:val="0064639A"/>
    <w:rsid w:val="0064646F"/>
    <w:rsid w:val="00646523"/>
    <w:rsid w:val="00646685"/>
    <w:rsid w:val="00647BDD"/>
    <w:rsid w:val="0065273C"/>
    <w:rsid w:val="00656A74"/>
    <w:rsid w:val="0065720A"/>
    <w:rsid w:val="00657221"/>
    <w:rsid w:val="00661FC1"/>
    <w:rsid w:val="00662D44"/>
    <w:rsid w:val="006630E9"/>
    <w:rsid w:val="00663FED"/>
    <w:rsid w:val="00664B64"/>
    <w:rsid w:val="006678E3"/>
    <w:rsid w:val="00667A9C"/>
    <w:rsid w:val="006712E8"/>
    <w:rsid w:val="00673D67"/>
    <w:rsid w:val="006775A4"/>
    <w:rsid w:val="00677DA7"/>
    <w:rsid w:val="00680212"/>
    <w:rsid w:val="00680C90"/>
    <w:rsid w:val="00681036"/>
    <w:rsid w:val="006823AD"/>
    <w:rsid w:val="00682C29"/>
    <w:rsid w:val="00684048"/>
    <w:rsid w:val="00685872"/>
    <w:rsid w:val="00685AD7"/>
    <w:rsid w:val="00686FD8"/>
    <w:rsid w:val="00691963"/>
    <w:rsid w:val="00692124"/>
    <w:rsid w:val="00692D96"/>
    <w:rsid w:val="00693C96"/>
    <w:rsid w:val="00696339"/>
    <w:rsid w:val="00696982"/>
    <w:rsid w:val="006A039D"/>
    <w:rsid w:val="006A3F85"/>
    <w:rsid w:val="006A48FA"/>
    <w:rsid w:val="006A56F1"/>
    <w:rsid w:val="006A6810"/>
    <w:rsid w:val="006A6E5C"/>
    <w:rsid w:val="006B0972"/>
    <w:rsid w:val="006B3153"/>
    <w:rsid w:val="006B3254"/>
    <w:rsid w:val="006B3763"/>
    <w:rsid w:val="006B5871"/>
    <w:rsid w:val="006B6BB1"/>
    <w:rsid w:val="006B7212"/>
    <w:rsid w:val="006C01D9"/>
    <w:rsid w:val="006C14C3"/>
    <w:rsid w:val="006C29DC"/>
    <w:rsid w:val="006C452D"/>
    <w:rsid w:val="006C4B6F"/>
    <w:rsid w:val="006C4E9B"/>
    <w:rsid w:val="006C589D"/>
    <w:rsid w:val="006C769C"/>
    <w:rsid w:val="006C7A95"/>
    <w:rsid w:val="006D0651"/>
    <w:rsid w:val="006D11E8"/>
    <w:rsid w:val="006D17D0"/>
    <w:rsid w:val="006D35B8"/>
    <w:rsid w:val="006D4B0E"/>
    <w:rsid w:val="006D753C"/>
    <w:rsid w:val="006E079A"/>
    <w:rsid w:val="006E0A00"/>
    <w:rsid w:val="006E306D"/>
    <w:rsid w:val="006E4BEC"/>
    <w:rsid w:val="006E6968"/>
    <w:rsid w:val="006F04C6"/>
    <w:rsid w:val="006F08A0"/>
    <w:rsid w:val="006F2A97"/>
    <w:rsid w:val="006F7AD7"/>
    <w:rsid w:val="00702627"/>
    <w:rsid w:val="0070359F"/>
    <w:rsid w:val="0070464C"/>
    <w:rsid w:val="0070471F"/>
    <w:rsid w:val="00705474"/>
    <w:rsid w:val="00705B46"/>
    <w:rsid w:val="007076B2"/>
    <w:rsid w:val="00711BBB"/>
    <w:rsid w:val="0071340A"/>
    <w:rsid w:val="00713FC7"/>
    <w:rsid w:val="00716FD1"/>
    <w:rsid w:val="00720D0F"/>
    <w:rsid w:val="007218A9"/>
    <w:rsid w:val="0072241C"/>
    <w:rsid w:val="007245A5"/>
    <w:rsid w:val="00727DFF"/>
    <w:rsid w:val="00730441"/>
    <w:rsid w:val="00731628"/>
    <w:rsid w:val="007337B5"/>
    <w:rsid w:val="00734108"/>
    <w:rsid w:val="007343AD"/>
    <w:rsid w:val="0073448D"/>
    <w:rsid w:val="00735087"/>
    <w:rsid w:val="00736FA0"/>
    <w:rsid w:val="0074053E"/>
    <w:rsid w:val="007478D9"/>
    <w:rsid w:val="0075000E"/>
    <w:rsid w:val="00751120"/>
    <w:rsid w:val="00752156"/>
    <w:rsid w:val="00753A7A"/>
    <w:rsid w:val="00756E77"/>
    <w:rsid w:val="007570C2"/>
    <w:rsid w:val="0075721C"/>
    <w:rsid w:val="007577C2"/>
    <w:rsid w:val="00757C6A"/>
    <w:rsid w:val="0076038F"/>
    <w:rsid w:val="00760D77"/>
    <w:rsid w:val="007617E5"/>
    <w:rsid w:val="00765823"/>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A65B4"/>
    <w:rsid w:val="007A73CC"/>
    <w:rsid w:val="007B05BD"/>
    <w:rsid w:val="007B31A5"/>
    <w:rsid w:val="007B3327"/>
    <w:rsid w:val="007B3533"/>
    <w:rsid w:val="007B4996"/>
    <w:rsid w:val="007B6926"/>
    <w:rsid w:val="007B692B"/>
    <w:rsid w:val="007B6FA3"/>
    <w:rsid w:val="007B705D"/>
    <w:rsid w:val="007B7329"/>
    <w:rsid w:val="007C0DA5"/>
    <w:rsid w:val="007C10A0"/>
    <w:rsid w:val="007C18DF"/>
    <w:rsid w:val="007C5764"/>
    <w:rsid w:val="007C61D0"/>
    <w:rsid w:val="007C6FAA"/>
    <w:rsid w:val="007C768F"/>
    <w:rsid w:val="007D251F"/>
    <w:rsid w:val="007D4F91"/>
    <w:rsid w:val="007D4FA2"/>
    <w:rsid w:val="007E0874"/>
    <w:rsid w:val="007E0FAD"/>
    <w:rsid w:val="007E60E9"/>
    <w:rsid w:val="007E63F3"/>
    <w:rsid w:val="007E6F5A"/>
    <w:rsid w:val="007F0916"/>
    <w:rsid w:val="007F1126"/>
    <w:rsid w:val="007F1E7D"/>
    <w:rsid w:val="007F2A79"/>
    <w:rsid w:val="007F3026"/>
    <w:rsid w:val="007F42DD"/>
    <w:rsid w:val="007F4E0F"/>
    <w:rsid w:val="007F77CA"/>
    <w:rsid w:val="008011ED"/>
    <w:rsid w:val="00801636"/>
    <w:rsid w:val="00801D31"/>
    <w:rsid w:val="0080209C"/>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36CAE"/>
    <w:rsid w:val="00843042"/>
    <w:rsid w:val="00843C37"/>
    <w:rsid w:val="00844886"/>
    <w:rsid w:val="00844C2D"/>
    <w:rsid w:val="00846D68"/>
    <w:rsid w:val="008518E5"/>
    <w:rsid w:val="00852B15"/>
    <w:rsid w:val="00856135"/>
    <w:rsid w:val="008575A3"/>
    <w:rsid w:val="00857A96"/>
    <w:rsid w:val="00861FE5"/>
    <w:rsid w:val="0086376D"/>
    <w:rsid w:val="00866E08"/>
    <w:rsid w:val="008703C2"/>
    <w:rsid w:val="0087209F"/>
    <w:rsid w:val="008806CC"/>
    <w:rsid w:val="008849E6"/>
    <w:rsid w:val="0088513E"/>
    <w:rsid w:val="00886300"/>
    <w:rsid w:val="00886443"/>
    <w:rsid w:val="0089004F"/>
    <w:rsid w:val="0089099F"/>
    <w:rsid w:val="00890AAF"/>
    <w:rsid w:val="00892F7A"/>
    <w:rsid w:val="00894CEB"/>
    <w:rsid w:val="00896A62"/>
    <w:rsid w:val="00897B88"/>
    <w:rsid w:val="008A0759"/>
    <w:rsid w:val="008A113D"/>
    <w:rsid w:val="008A678B"/>
    <w:rsid w:val="008B0034"/>
    <w:rsid w:val="008B0702"/>
    <w:rsid w:val="008B2397"/>
    <w:rsid w:val="008B33B5"/>
    <w:rsid w:val="008B3CD6"/>
    <w:rsid w:val="008B6003"/>
    <w:rsid w:val="008B691D"/>
    <w:rsid w:val="008C0477"/>
    <w:rsid w:val="008C4D11"/>
    <w:rsid w:val="008D3832"/>
    <w:rsid w:val="008D54FA"/>
    <w:rsid w:val="008D5C05"/>
    <w:rsid w:val="008D6490"/>
    <w:rsid w:val="008D6FFD"/>
    <w:rsid w:val="008E1191"/>
    <w:rsid w:val="008E342E"/>
    <w:rsid w:val="008E4D9C"/>
    <w:rsid w:val="008E566D"/>
    <w:rsid w:val="008E588C"/>
    <w:rsid w:val="008F0C39"/>
    <w:rsid w:val="008F52D9"/>
    <w:rsid w:val="008F6BC6"/>
    <w:rsid w:val="0090273D"/>
    <w:rsid w:val="00902B4C"/>
    <w:rsid w:val="00903FC5"/>
    <w:rsid w:val="0090403F"/>
    <w:rsid w:val="009071FF"/>
    <w:rsid w:val="00910807"/>
    <w:rsid w:val="009108DB"/>
    <w:rsid w:val="009112EB"/>
    <w:rsid w:val="00913191"/>
    <w:rsid w:val="009131F2"/>
    <w:rsid w:val="00916431"/>
    <w:rsid w:val="00916D52"/>
    <w:rsid w:val="00917DBE"/>
    <w:rsid w:val="00920297"/>
    <w:rsid w:val="0092605A"/>
    <w:rsid w:val="0092689A"/>
    <w:rsid w:val="0093228E"/>
    <w:rsid w:val="009325E1"/>
    <w:rsid w:val="0093330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6F8A"/>
    <w:rsid w:val="009575A0"/>
    <w:rsid w:val="00957C6C"/>
    <w:rsid w:val="00960338"/>
    <w:rsid w:val="00960AA2"/>
    <w:rsid w:val="009618BB"/>
    <w:rsid w:val="009649DC"/>
    <w:rsid w:val="00966EB2"/>
    <w:rsid w:val="00970C67"/>
    <w:rsid w:val="00971F0E"/>
    <w:rsid w:val="00974456"/>
    <w:rsid w:val="00975096"/>
    <w:rsid w:val="009808F8"/>
    <w:rsid w:val="009855FA"/>
    <w:rsid w:val="009901A2"/>
    <w:rsid w:val="00991483"/>
    <w:rsid w:val="0099296D"/>
    <w:rsid w:val="009935AA"/>
    <w:rsid w:val="00993F94"/>
    <w:rsid w:val="00994955"/>
    <w:rsid w:val="009951B2"/>
    <w:rsid w:val="009A039C"/>
    <w:rsid w:val="009A2859"/>
    <w:rsid w:val="009A4E90"/>
    <w:rsid w:val="009A50B8"/>
    <w:rsid w:val="009A6921"/>
    <w:rsid w:val="009A737B"/>
    <w:rsid w:val="009B1823"/>
    <w:rsid w:val="009B406F"/>
    <w:rsid w:val="009B443A"/>
    <w:rsid w:val="009B44D8"/>
    <w:rsid w:val="009B4D09"/>
    <w:rsid w:val="009B61ED"/>
    <w:rsid w:val="009B69FE"/>
    <w:rsid w:val="009B6DD1"/>
    <w:rsid w:val="009C1332"/>
    <w:rsid w:val="009C4A4F"/>
    <w:rsid w:val="009C6D34"/>
    <w:rsid w:val="009C7CFA"/>
    <w:rsid w:val="009D2E97"/>
    <w:rsid w:val="009D328E"/>
    <w:rsid w:val="009D3438"/>
    <w:rsid w:val="009D3B88"/>
    <w:rsid w:val="009D3F03"/>
    <w:rsid w:val="009D40B6"/>
    <w:rsid w:val="009D4D3A"/>
    <w:rsid w:val="009D54E1"/>
    <w:rsid w:val="009D7AD4"/>
    <w:rsid w:val="009E1231"/>
    <w:rsid w:val="009E1A57"/>
    <w:rsid w:val="009E36CA"/>
    <w:rsid w:val="009E3B7F"/>
    <w:rsid w:val="009E4B6B"/>
    <w:rsid w:val="009E6470"/>
    <w:rsid w:val="009E7175"/>
    <w:rsid w:val="009F08CB"/>
    <w:rsid w:val="009F1E5E"/>
    <w:rsid w:val="009F1F19"/>
    <w:rsid w:val="009F403B"/>
    <w:rsid w:val="009F497B"/>
    <w:rsid w:val="009F5331"/>
    <w:rsid w:val="009F5E39"/>
    <w:rsid w:val="009F6453"/>
    <w:rsid w:val="009F6AD6"/>
    <w:rsid w:val="009F6F30"/>
    <w:rsid w:val="009F6F65"/>
    <w:rsid w:val="009F7BFB"/>
    <w:rsid w:val="00A0081F"/>
    <w:rsid w:val="00A01B61"/>
    <w:rsid w:val="00A03BCB"/>
    <w:rsid w:val="00A048F3"/>
    <w:rsid w:val="00A04CA6"/>
    <w:rsid w:val="00A052DD"/>
    <w:rsid w:val="00A062A4"/>
    <w:rsid w:val="00A06E6F"/>
    <w:rsid w:val="00A112C8"/>
    <w:rsid w:val="00A12A49"/>
    <w:rsid w:val="00A12D3C"/>
    <w:rsid w:val="00A135C4"/>
    <w:rsid w:val="00A13CB5"/>
    <w:rsid w:val="00A13FEC"/>
    <w:rsid w:val="00A164E8"/>
    <w:rsid w:val="00A200C3"/>
    <w:rsid w:val="00A21103"/>
    <w:rsid w:val="00A217B9"/>
    <w:rsid w:val="00A21E3C"/>
    <w:rsid w:val="00A23419"/>
    <w:rsid w:val="00A24BBD"/>
    <w:rsid w:val="00A26D62"/>
    <w:rsid w:val="00A27D2E"/>
    <w:rsid w:val="00A30D78"/>
    <w:rsid w:val="00A31032"/>
    <w:rsid w:val="00A31CCF"/>
    <w:rsid w:val="00A32598"/>
    <w:rsid w:val="00A33EF8"/>
    <w:rsid w:val="00A3432E"/>
    <w:rsid w:val="00A358F5"/>
    <w:rsid w:val="00A36B0D"/>
    <w:rsid w:val="00A375DE"/>
    <w:rsid w:val="00A40DFB"/>
    <w:rsid w:val="00A435BF"/>
    <w:rsid w:val="00A448B0"/>
    <w:rsid w:val="00A46981"/>
    <w:rsid w:val="00A5210B"/>
    <w:rsid w:val="00A524EC"/>
    <w:rsid w:val="00A52570"/>
    <w:rsid w:val="00A52F4A"/>
    <w:rsid w:val="00A531D6"/>
    <w:rsid w:val="00A53304"/>
    <w:rsid w:val="00A54346"/>
    <w:rsid w:val="00A55211"/>
    <w:rsid w:val="00A569C9"/>
    <w:rsid w:val="00A57E0C"/>
    <w:rsid w:val="00A6039D"/>
    <w:rsid w:val="00A631B5"/>
    <w:rsid w:val="00A63351"/>
    <w:rsid w:val="00A6487D"/>
    <w:rsid w:val="00A65788"/>
    <w:rsid w:val="00A65DF5"/>
    <w:rsid w:val="00A66D3E"/>
    <w:rsid w:val="00A676CE"/>
    <w:rsid w:val="00A7001C"/>
    <w:rsid w:val="00A70A43"/>
    <w:rsid w:val="00A728EE"/>
    <w:rsid w:val="00A7294B"/>
    <w:rsid w:val="00A75807"/>
    <w:rsid w:val="00A77913"/>
    <w:rsid w:val="00A80737"/>
    <w:rsid w:val="00A8209D"/>
    <w:rsid w:val="00A82740"/>
    <w:rsid w:val="00A82822"/>
    <w:rsid w:val="00A835B0"/>
    <w:rsid w:val="00A846D5"/>
    <w:rsid w:val="00A860C9"/>
    <w:rsid w:val="00A878AB"/>
    <w:rsid w:val="00A9028F"/>
    <w:rsid w:val="00A9137F"/>
    <w:rsid w:val="00A9483B"/>
    <w:rsid w:val="00A94F2C"/>
    <w:rsid w:val="00A972E1"/>
    <w:rsid w:val="00AA2FFA"/>
    <w:rsid w:val="00AA3F8C"/>
    <w:rsid w:val="00AA6E6B"/>
    <w:rsid w:val="00AB10CC"/>
    <w:rsid w:val="00AB3052"/>
    <w:rsid w:val="00AB3A13"/>
    <w:rsid w:val="00AB4248"/>
    <w:rsid w:val="00AB4520"/>
    <w:rsid w:val="00AB572D"/>
    <w:rsid w:val="00AB5A86"/>
    <w:rsid w:val="00AB6170"/>
    <w:rsid w:val="00AB707C"/>
    <w:rsid w:val="00AC0B37"/>
    <w:rsid w:val="00AC2185"/>
    <w:rsid w:val="00AC3068"/>
    <w:rsid w:val="00AC3C48"/>
    <w:rsid w:val="00AC4067"/>
    <w:rsid w:val="00AC4956"/>
    <w:rsid w:val="00AC53DF"/>
    <w:rsid w:val="00AC54F8"/>
    <w:rsid w:val="00AC692A"/>
    <w:rsid w:val="00AD0F08"/>
    <w:rsid w:val="00AD1585"/>
    <w:rsid w:val="00AD1747"/>
    <w:rsid w:val="00AD235B"/>
    <w:rsid w:val="00AD3971"/>
    <w:rsid w:val="00AD560B"/>
    <w:rsid w:val="00AD5BBB"/>
    <w:rsid w:val="00AE02B5"/>
    <w:rsid w:val="00AE0494"/>
    <w:rsid w:val="00AE0B28"/>
    <w:rsid w:val="00AE0C8D"/>
    <w:rsid w:val="00AE0D50"/>
    <w:rsid w:val="00AE1947"/>
    <w:rsid w:val="00AE242E"/>
    <w:rsid w:val="00AE2D8E"/>
    <w:rsid w:val="00AE4405"/>
    <w:rsid w:val="00AE4C9F"/>
    <w:rsid w:val="00AE6520"/>
    <w:rsid w:val="00AE7A40"/>
    <w:rsid w:val="00AE7EF9"/>
    <w:rsid w:val="00AF2272"/>
    <w:rsid w:val="00AF2568"/>
    <w:rsid w:val="00AF4A88"/>
    <w:rsid w:val="00AF60FC"/>
    <w:rsid w:val="00AF619D"/>
    <w:rsid w:val="00B0038A"/>
    <w:rsid w:val="00B01A75"/>
    <w:rsid w:val="00B02D39"/>
    <w:rsid w:val="00B03711"/>
    <w:rsid w:val="00B03B6B"/>
    <w:rsid w:val="00B046D1"/>
    <w:rsid w:val="00B04CC3"/>
    <w:rsid w:val="00B0552F"/>
    <w:rsid w:val="00B119BB"/>
    <w:rsid w:val="00B1338B"/>
    <w:rsid w:val="00B168D4"/>
    <w:rsid w:val="00B17DE2"/>
    <w:rsid w:val="00B17E18"/>
    <w:rsid w:val="00B2096A"/>
    <w:rsid w:val="00B20E8D"/>
    <w:rsid w:val="00B32541"/>
    <w:rsid w:val="00B3267F"/>
    <w:rsid w:val="00B32F32"/>
    <w:rsid w:val="00B35F87"/>
    <w:rsid w:val="00B379DA"/>
    <w:rsid w:val="00B37A67"/>
    <w:rsid w:val="00B41203"/>
    <w:rsid w:val="00B41500"/>
    <w:rsid w:val="00B43B6D"/>
    <w:rsid w:val="00B5297F"/>
    <w:rsid w:val="00B52E16"/>
    <w:rsid w:val="00B53812"/>
    <w:rsid w:val="00B53C36"/>
    <w:rsid w:val="00B5652A"/>
    <w:rsid w:val="00B623DA"/>
    <w:rsid w:val="00B62736"/>
    <w:rsid w:val="00B62A71"/>
    <w:rsid w:val="00B62EF9"/>
    <w:rsid w:val="00B630C6"/>
    <w:rsid w:val="00B65DC0"/>
    <w:rsid w:val="00B67C2D"/>
    <w:rsid w:val="00B70D91"/>
    <w:rsid w:val="00B71248"/>
    <w:rsid w:val="00B72FA0"/>
    <w:rsid w:val="00B73209"/>
    <w:rsid w:val="00B76D07"/>
    <w:rsid w:val="00B76FE6"/>
    <w:rsid w:val="00B7708B"/>
    <w:rsid w:val="00B7709A"/>
    <w:rsid w:val="00B7721B"/>
    <w:rsid w:val="00B80E25"/>
    <w:rsid w:val="00B81F83"/>
    <w:rsid w:val="00B8347E"/>
    <w:rsid w:val="00B83DA9"/>
    <w:rsid w:val="00B84B4A"/>
    <w:rsid w:val="00B8589C"/>
    <w:rsid w:val="00B86BAC"/>
    <w:rsid w:val="00B97B35"/>
    <w:rsid w:val="00BA0DCC"/>
    <w:rsid w:val="00BA3196"/>
    <w:rsid w:val="00BA3509"/>
    <w:rsid w:val="00BA3BF2"/>
    <w:rsid w:val="00BA5877"/>
    <w:rsid w:val="00BA736F"/>
    <w:rsid w:val="00BB124C"/>
    <w:rsid w:val="00BB17E3"/>
    <w:rsid w:val="00BB1CDB"/>
    <w:rsid w:val="00BB2110"/>
    <w:rsid w:val="00BB3147"/>
    <w:rsid w:val="00BB3645"/>
    <w:rsid w:val="00BB521C"/>
    <w:rsid w:val="00BB547E"/>
    <w:rsid w:val="00BB69B7"/>
    <w:rsid w:val="00BC071A"/>
    <w:rsid w:val="00BC2581"/>
    <w:rsid w:val="00BC3F55"/>
    <w:rsid w:val="00BC481A"/>
    <w:rsid w:val="00BC4D26"/>
    <w:rsid w:val="00BC555D"/>
    <w:rsid w:val="00BC6112"/>
    <w:rsid w:val="00BC658E"/>
    <w:rsid w:val="00BD0218"/>
    <w:rsid w:val="00BD1869"/>
    <w:rsid w:val="00BD200B"/>
    <w:rsid w:val="00BD63DF"/>
    <w:rsid w:val="00BD64D4"/>
    <w:rsid w:val="00BD6F0F"/>
    <w:rsid w:val="00BD7C4B"/>
    <w:rsid w:val="00BE33E8"/>
    <w:rsid w:val="00BF2332"/>
    <w:rsid w:val="00BF2BEB"/>
    <w:rsid w:val="00BF3197"/>
    <w:rsid w:val="00BF4C70"/>
    <w:rsid w:val="00BF511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152CC"/>
    <w:rsid w:val="00C200CC"/>
    <w:rsid w:val="00C22B21"/>
    <w:rsid w:val="00C23593"/>
    <w:rsid w:val="00C23845"/>
    <w:rsid w:val="00C248E6"/>
    <w:rsid w:val="00C31846"/>
    <w:rsid w:val="00C32A33"/>
    <w:rsid w:val="00C367FB"/>
    <w:rsid w:val="00C36871"/>
    <w:rsid w:val="00C41389"/>
    <w:rsid w:val="00C41BB7"/>
    <w:rsid w:val="00C42379"/>
    <w:rsid w:val="00C44004"/>
    <w:rsid w:val="00C445F4"/>
    <w:rsid w:val="00C506F1"/>
    <w:rsid w:val="00C517B7"/>
    <w:rsid w:val="00C54DF3"/>
    <w:rsid w:val="00C60DDA"/>
    <w:rsid w:val="00C610B6"/>
    <w:rsid w:val="00C6257F"/>
    <w:rsid w:val="00C63117"/>
    <w:rsid w:val="00C640C7"/>
    <w:rsid w:val="00C65784"/>
    <w:rsid w:val="00C67BDD"/>
    <w:rsid w:val="00C70F24"/>
    <w:rsid w:val="00C717F6"/>
    <w:rsid w:val="00C72FD7"/>
    <w:rsid w:val="00C7736B"/>
    <w:rsid w:val="00C8155C"/>
    <w:rsid w:val="00C826BC"/>
    <w:rsid w:val="00C82F58"/>
    <w:rsid w:val="00C83E60"/>
    <w:rsid w:val="00C851B9"/>
    <w:rsid w:val="00C907F0"/>
    <w:rsid w:val="00C92D1B"/>
    <w:rsid w:val="00C93A91"/>
    <w:rsid w:val="00C947A8"/>
    <w:rsid w:val="00C95601"/>
    <w:rsid w:val="00C97C53"/>
    <w:rsid w:val="00CA1947"/>
    <w:rsid w:val="00CA1C91"/>
    <w:rsid w:val="00CA2B64"/>
    <w:rsid w:val="00CA323D"/>
    <w:rsid w:val="00CA54A0"/>
    <w:rsid w:val="00CA69EB"/>
    <w:rsid w:val="00CA730B"/>
    <w:rsid w:val="00CB5286"/>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06281"/>
    <w:rsid w:val="00D0725A"/>
    <w:rsid w:val="00D114ED"/>
    <w:rsid w:val="00D1261E"/>
    <w:rsid w:val="00D13F32"/>
    <w:rsid w:val="00D14B5E"/>
    <w:rsid w:val="00D15528"/>
    <w:rsid w:val="00D15EFD"/>
    <w:rsid w:val="00D1685E"/>
    <w:rsid w:val="00D171BA"/>
    <w:rsid w:val="00D2310D"/>
    <w:rsid w:val="00D25B74"/>
    <w:rsid w:val="00D25CA1"/>
    <w:rsid w:val="00D31474"/>
    <w:rsid w:val="00D32215"/>
    <w:rsid w:val="00D32933"/>
    <w:rsid w:val="00D3579F"/>
    <w:rsid w:val="00D36B62"/>
    <w:rsid w:val="00D37BF5"/>
    <w:rsid w:val="00D421A7"/>
    <w:rsid w:val="00D42987"/>
    <w:rsid w:val="00D42C18"/>
    <w:rsid w:val="00D43F5E"/>
    <w:rsid w:val="00D44623"/>
    <w:rsid w:val="00D47CF6"/>
    <w:rsid w:val="00D50820"/>
    <w:rsid w:val="00D50C40"/>
    <w:rsid w:val="00D511C3"/>
    <w:rsid w:val="00D5160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6D3B"/>
    <w:rsid w:val="00D877A6"/>
    <w:rsid w:val="00D87CF5"/>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21D1"/>
    <w:rsid w:val="00DB2AC9"/>
    <w:rsid w:val="00DB3CAF"/>
    <w:rsid w:val="00DB4966"/>
    <w:rsid w:val="00DC1386"/>
    <w:rsid w:val="00DC23CC"/>
    <w:rsid w:val="00DC3206"/>
    <w:rsid w:val="00DC4159"/>
    <w:rsid w:val="00DC58E5"/>
    <w:rsid w:val="00DC7A46"/>
    <w:rsid w:val="00DD0F54"/>
    <w:rsid w:val="00DD4F7A"/>
    <w:rsid w:val="00DD5050"/>
    <w:rsid w:val="00DD5306"/>
    <w:rsid w:val="00DD5903"/>
    <w:rsid w:val="00DD5E1E"/>
    <w:rsid w:val="00DE1828"/>
    <w:rsid w:val="00DE229B"/>
    <w:rsid w:val="00DE3A2B"/>
    <w:rsid w:val="00DE4A81"/>
    <w:rsid w:val="00DE7AB8"/>
    <w:rsid w:val="00DF3188"/>
    <w:rsid w:val="00DF53D3"/>
    <w:rsid w:val="00DF5529"/>
    <w:rsid w:val="00DF6DE8"/>
    <w:rsid w:val="00DF6FB0"/>
    <w:rsid w:val="00DF76B3"/>
    <w:rsid w:val="00DF76F2"/>
    <w:rsid w:val="00E00083"/>
    <w:rsid w:val="00E009E2"/>
    <w:rsid w:val="00E01DE7"/>
    <w:rsid w:val="00E02488"/>
    <w:rsid w:val="00E0411F"/>
    <w:rsid w:val="00E0494E"/>
    <w:rsid w:val="00E0572E"/>
    <w:rsid w:val="00E10005"/>
    <w:rsid w:val="00E104DC"/>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04E"/>
    <w:rsid w:val="00E36419"/>
    <w:rsid w:val="00E36607"/>
    <w:rsid w:val="00E37789"/>
    <w:rsid w:val="00E37E61"/>
    <w:rsid w:val="00E42265"/>
    <w:rsid w:val="00E44121"/>
    <w:rsid w:val="00E45D83"/>
    <w:rsid w:val="00E45DAA"/>
    <w:rsid w:val="00E46560"/>
    <w:rsid w:val="00E47307"/>
    <w:rsid w:val="00E475E6"/>
    <w:rsid w:val="00E47601"/>
    <w:rsid w:val="00E50456"/>
    <w:rsid w:val="00E50DB1"/>
    <w:rsid w:val="00E51053"/>
    <w:rsid w:val="00E51A6B"/>
    <w:rsid w:val="00E51A9F"/>
    <w:rsid w:val="00E51D3B"/>
    <w:rsid w:val="00E52CA8"/>
    <w:rsid w:val="00E550CE"/>
    <w:rsid w:val="00E60B86"/>
    <w:rsid w:val="00E62C43"/>
    <w:rsid w:val="00E62E45"/>
    <w:rsid w:val="00E62F7D"/>
    <w:rsid w:val="00E700B8"/>
    <w:rsid w:val="00E702B9"/>
    <w:rsid w:val="00E70588"/>
    <w:rsid w:val="00E71C3C"/>
    <w:rsid w:val="00E75FA1"/>
    <w:rsid w:val="00E76419"/>
    <w:rsid w:val="00E77787"/>
    <w:rsid w:val="00E77CD7"/>
    <w:rsid w:val="00E81954"/>
    <w:rsid w:val="00E82017"/>
    <w:rsid w:val="00E82792"/>
    <w:rsid w:val="00E83B6B"/>
    <w:rsid w:val="00E844D7"/>
    <w:rsid w:val="00E86349"/>
    <w:rsid w:val="00E92E9D"/>
    <w:rsid w:val="00E93B3C"/>
    <w:rsid w:val="00E94F24"/>
    <w:rsid w:val="00E96A7F"/>
    <w:rsid w:val="00EA031A"/>
    <w:rsid w:val="00EA0CE9"/>
    <w:rsid w:val="00EA1A40"/>
    <w:rsid w:val="00EA330D"/>
    <w:rsid w:val="00EA33F7"/>
    <w:rsid w:val="00EA5190"/>
    <w:rsid w:val="00EA52ED"/>
    <w:rsid w:val="00EA5F4C"/>
    <w:rsid w:val="00EA6109"/>
    <w:rsid w:val="00EA7FA9"/>
    <w:rsid w:val="00EB2688"/>
    <w:rsid w:val="00EB480E"/>
    <w:rsid w:val="00EB6181"/>
    <w:rsid w:val="00EB664F"/>
    <w:rsid w:val="00EB7E37"/>
    <w:rsid w:val="00EC12E8"/>
    <w:rsid w:val="00EC1357"/>
    <w:rsid w:val="00EC5ACF"/>
    <w:rsid w:val="00EC75B6"/>
    <w:rsid w:val="00ED0183"/>
    <w:rsid w:val="00ED12C4"/>
    <w:rsid w:val="00ED22A8"/>
    <w:rsid w:val="00ED2479"/>
    <w:rsid w:val="00ED4EB4"/>
    <w:rsid w:val="00ED5498"/>
    <w:rsid w:val="00ED58C8"/>
    <w:rsid w:val="00ED5D09"/>
    <w:rsid w:val="00ED7107"/>
    <w:rsid w:val="00EE106C"/>
    <w:rsid w:val="00EE2221"/>
    <w:rsid w:val="00EE276F"/>
    <w:rsid w:val="00EE2982"/>
    <w:rsid w:val="00EE634F"/>
    <w:rsid w:val="00EE783D"/>
    <w:rsid w:val="00EF0A7D"/>
    <w:rsid w:val="00EF369D"/>
    <w:rsid w:val="00EF38A7"/>
    <w:rsid w:val="00EF6A39"/>
    <w:rsid w:val="00F00B38"/>
    <w:rsid w:val="00F01C80"/>
    <w:rsid w:val="00F0376E"/>
    <w:rsid w:val="00F044B3"/>
    <w:rsid w:val="00F04917"/>
    <w:rsid w:val="00F053E9"/>
    <w:rsid w:val="00F05E83"/>
    <w:rsid w:val="00F0698E"/>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1DC3"/>
    <w:rsid w:val="00F45532"/>
    <w:rsid w:val="00F45ED2"/>
    <w:rsid w:val="00F46A29"/>
    <w:rsid w:val="00F505B5"/>
    <w:rsid w:val="00F53A82"/>
    <w:rsid w:val="00F53C4F"/>
    <w:rsid w:val="00F56905"/>
    <w:rsid w:val="00F56A51"/>
    <w:rsid w:val="00F61899"/>
    <w:rsid w:val="00F650A0"/>
    <w:rsid w:val="00F66CD4"/>
    <w:rsid w:val="00F66E01"/>
    <w:rsid w:val="00F7129A"/>
    <w:rsid w:val="00F7180D"/>
    <w:rsid w:val="00F727A7"/>
    <w:rsid w:val="00F729D7"/>
    <w:rsid w:val="00F7660E"/>
    <w:rsid w:val="00F774CD"/>
    <w:rsid w:val="00F80A5B"/>
    <w:rsid w:val="00F80F59"/>
    <w:rsid w:val="00F82E69"/>
    <w:rsid w:val="00F83244"/>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5D71"/>
    <w:rsid w:val="00FD6BFE"/>
    <w:rsid w:val="00FE3408"/>
    <w:rsid w:val="00FE3FF3"/>
    <w:rsid w:val="00FE5004"/>
    <w:rsid w:val="00FE6D8B"/>
    <w:rsid w:val="00FF39EF"/>
    <w:rsid w:val="00FF459F"/>
    <w:rsid w:val="00FF4D4F"/>
    <w:rsid w:val="00FF5FCD"/>
    <w:rsid w:val="00FF6814"/>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65C812"/>
  <w15:docId w15:val="{A30C9F84-434F-4EC2-B3C3-124D70BA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qFormat/>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qFormat/>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qFormat/>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styleId="af5">
    <w:name w:val="Normal Indent"/>
    <w:aliases w:val="特点,表正文,正文非缩进,段1,正文缩进1,ALT+Z"/>
    <w:basedOn w:val="a"/>
    <w:rsid w:val="00DC3206"/>
    <w:pPr>
      <w:ind w:firstLineChars="200" w:firstLine="420"/>
    </w:pPr>
    <w:rPr>
      <w:rFonts w:ascii="Times New Roman" w:hAnsi="Times New Roman"/>
      <w:szCs w:val="20"/>
    </w:rPr>
  </w:style>
  <w:style w:type="character" w:customStyle="1" w:styleId="Char">
    <w:name w:val="批注文字 Char"/>
    <w:qFormat/>
    <w:rsid w:val="00DC3206"/>
    <w:rPr>
      <w:kern w:val="2"/>
      <w:sz w:val="21"/>
    </w:rPr>
  </w:style>
  <w:style w:type="paragraph" w:styleId="af6">
    <w:name w:val="Revision"/>
    <w:hidden/>
    <w:uiPriority w:val="99"/>
    <w:semiHidden/>
    <w:rsid w:val="004F3EE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797601">
      <w:bodyDiv w:val="1"/>
      <w:marLeft w:val="0"/>
      <w:marRight w:val="0"/>
      <w:marTop w:val="0"/>
      <w:marBottom w:val="0"/>
      <w:divBdr>
        <w:top w:val="none" w:sz="0" w:space="0" w:color="auto"/>
        <w:left w:val="none" w:sz="0" w:space="0" w:color="auto"/>
        <w:bottom w:val="none" w:sz="0" w:space="0" w:color="auto"/>
        <w:right w:val="none" w:sz="0" w:space="0" w:color="auto"/>
      </w:divBdr>
    </w:div>
    <w:div w:id="1422870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jysld.com&#25110;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6154C8-4A0F-416C-86EA-6256A5A65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124</Pages>
  <Words>12656</Words>
  <Characters>72140</Characters>
  <Application>Microsoft Office Word</Application>
  <DocSecurity>0</DocSecurity>
  <Lines>601</Lines>
  <Paragraphs>169</Paragraphs>
  <ScaleCrop>false</ScaleCrop>
  <Company>Microsoft</Company>
  <LinksUpToDate>false</LinksUpToDate>
  <CharactersWithSpaces>84627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系统用户</dc:creator>
  <cp:lastModifiedBy>张婧</cp:lastModifiedBy>
  <cp:revision>3</cp:revision>
  <cp:lastPrinted>2022-07-15T02:22:00Z</cp:lastPrinted>
  <dcterms:created xsi:type="dcterms:W3CDTF">2023-09-21T08:16:00Z</dcterms:created>
  <dcterms:modified xsi:type="dcterms:W3CDTF">2023-09-21T08:16:00Z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