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50024" w14:textId="77777777" w:rsidR="0041517B" w:rsidRPr="00EB07BC" w:rsidRDefault="0041517B">
      <w:pPr>
        <w:rPr>
          <w:sz w:val="32"/>
        </w:rPr>
      </w:pPr>
    </w:p>
    <w:p w14:paraId="62330E49" w14:textId="77777777" w:rsidR="0041517B" w:rsidRPr="00EB07BC" w:rsidRDefault="0041517B">
      <w:pPr>
        <w:rPr>
          <w:sz w:val="32"/>
        </w:rPr>
      </w:pPr>
    </w:p>
    <w:p w14:paraId="5BB802F9" w14:textId="77777777" w:rsidR="0041517B" w:rsidRPr="00EB07BC" w:rsidRDefault="0041517B">
      <w:pPr>
        <w:rPr>
          <w:sz w:val="32"/>
        </w:rPr>
      </w:pPr>
    </w:p>
    <w:p w14:paraId="3D56FF58" w14:textId="3620380C" w:rsidR="0041517B" w:rsidRPr="00EB07BC" w:rsidRDefault="00F931F3">
      <w:pPr>
        <w:jc w:val="center"/>
        <w:rPr>
          <w:sz w:val="32"/>
        </w:rPr>
      </w:pPr>
      <w:r>
        <w:rPr>
          <w:noProof/>
        </w:rPr>
        <w:drawing>
          <wp:inline distT="0" distB="0" distL="0" distR="0" wp14:anchorId="43F0B527" wp14:editId="5CFECD8B">
            <wp:extent cx="4343400" cy="571500"/>
            <wp:effectExtent l="0" t="0" r="0" b="0"/>
            <wp:docPr id="9"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D8EBA98" w14:textId="77777777" w:rsidR="00007225" w:rsidRDefault="0000722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7993B12" w14:textId="77777777" w:rsidR="00007225" w:rsidRDefault="0000722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C7C2A48" w14:textId="77777777" w:rsidR="00007225" w:rsidRDefault="00F07F0D">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交银施罗德货币市场证券投资基金</w:t>
      </w:r>
    </w:p>
    <w:p w14:paraId="526EF907" w14:textId="77777777" w:rsidR="00007225" w:rsidRDefault="00F07F0D">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06545877" w14:textId="45DB0218" w:rsidR="00007225" w:rsidRDefault="00F07F0D">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w:t>
      </w:r>
      <w:r w:rsidR="00EA10E6">
        <w:rPr>
          <w:rFonts w:ascii="Times New Roman" w:hAnsi="Times New Roman"/>
          <w:b/>
          <w:color w:val="000000"/>
          <w:sz w:val="32"/>
          <w:szCs w:val="32"/>
        </w:rPr>
        <w:t>第</w:t>
      </w:r>
      <w:r w:rsidR="00C02464">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14:paraId="6CD27551"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0EB8515"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65D5CC2"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6BC480F"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025292A"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CA8EF33"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7ED412E" w14:textId="77777777" w:rsidR="00007225" w:rsidRDefault="00F07F0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13EA7F25" w14:textId="77777777" w:rsidR="00007225" w:rsidRDefault="00F07F0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261C6477"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A4701A6"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116FDAC" w14:textId="7DEC23B6" w:rsidR="00007225" w:rsidRDefault="00EA10E6">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C02464">
        <w:rPr>
          <w:rFonts w:ascii="Times New Roman" w:hAnsi="Times New Roman" w:hint="eastAsia"/>
          <w:b/>
          <w:spacing w:val="2"/>
          <w:w w:val="99"/>
          <w:kern w:val="0"/>
          <w:sz w:val="28"/>
          <w:szCs w:val="32"/>
        </w:rPr>
        <w:t>九</w:t>
      </w:r>
      <w:r>
        <w:rPr>
          <w:rFonts w:ascii="Times New Roman" w:hAnsi="Times New Roman"/>
          <w:b/>
          <w:spacing w:val="2"/>
          <w:w w:val="99"/>
          <w:kern w:val="0"/>
          <w:sz w:val="28"/>
          <w:szCs w:val="32"/>
        </w:rPr>
        <w:t>月</w:t>
      </w:r>
    </w:p>
    <w:p w14:paraId="6A0E6415" w14:textId="77777777" w:rsidR="00007225" w:rsidRDefault="00007225">
      <w:pPr>
        <w:autoSpaceDE w:val="0"/>
        <w:autoSpaceDN w:val="0"/>
        <w:adjustRightInd w:val="0"/>
        <w:snapToGrid w:val="0"/>
        <w:spacing w:line="360" w:lineRule="auto"/>
        <w:ind w:left="1347" w:rightChars="6" w:right="13"/>
        <w:rPr>
          <w:rFonts w:ascii="宋体" w:hAnsi="宋体"/>
          <w:kern w:val="0"/>
          <w:sz w:val="32"/>
          <w:szCs w:val="32"/>
        </w:rPr>
        <w:sectPr w:rsidR="00007225">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4522671A" w14:textId="77777777" w:rsidR="00007225" w:rsidRDefault="00F07F0D">
      <w:pPr>
        <w:pStyle w:val="1"/>
        <w:snapToGrid w:val="0"/>
        <w:spacing w:beforeLines="0" w:before="240" w:after="240"/>
        <w:rPr>
          <w:rFonts w:ascii="宋体" w:hAnsi="宋体"/>
          <w:kern w:val="0"/>
        </w:rPr>
      </w:pPr>
      <w:bookmarkStart w:id="0" w:name="_Toc324920538"/>
      <w:bookmarkStart w:id="1" w:name="_Toc496884613"/>
      <w:bookmarkStart w:id="2" w:name="_Toc137828426"/>
      <w:r>
        <w:rPr>
          <w:rFonts w:ascii="Times New Roman" w:hAnsi="Times New Roman"/>
          <w:kern w:val="0"/>
        </w:rPr>
        <w:lastRenderedPageBreak/>
        <w:t>重要提示</w:t>
      </w:r>
      <w:bookmarkEnd w:id="0"/>
      <w:bookmarkEnd w:id="1"/>
      <w:bookmarkEnd w:id="2"/>
    </w:p>
    <w:p w14:paraId="53DA1DD8" w14:textId="77777777" w:rsidR="00007225" w:rsidRDefault="00F07F0D">
      <w:pPr>
        <w:autoSpaceDE w:val="0"/>
        <w:autoSpaceDN w:val="0"/>
        <w:adjustRightInd w:val="0"/>
        <w:snapToGrid w:val="0"/>
        <w:spacing w:line="360" w:lineRule="auto"/>
        <w:ind w:leftChars="50" w:left="105" w:firstLineChars="200" w:firstLine="480"/>
        <w:rPr>
          <w:rFonts w:ascii="宋体" w:hAnsi="宋体"/>
          <w:kern w:val="0"/>
          <w:sz w:val="24"/>
        </w:rPr>
      </w:pPr>
      <w:proofErr w:type="gramStart"/>
      <w:r>
        <w:rPr>
          <w:rFonts w:ascii="Times New Roman" w:hAnsi="Times New Roman"/>
          <w:kern w:val="0"/>
          <w:sz w:val="24"/>
        </w:rPr>
        <w:t>交银施罗</w:t>
      </w:r>
      <w:proofErr w:type="gramEnd"/>
      <w:r>
        <w:rPr>
          <w:rFonts w:ascii="Times New Roman" w:hAnsi="Times New Roman"/>
          <w:kern w:val="0"/>
          <w:sz w:val="24"/>
        </w:rPr>
        <w:t>德货币市场证券投资基金（以下简称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2005</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21</w:t>
      </w:r>
      <w:r>
        <w:rPr>
          <w:rFonts w:ascii="Times New Roman" w:hAnsi="Times New Roman"/>
          <w:kern w:val="0"/>
          <w:sz w:val="24"/>
        </w:rPr>
        <w:t>日中国证券监督管理委员会证</w:t>
      </w:r>
      <w:proofErr w:type="gramStart"/>
      <w:r>
        <w:rPr>
          <w:rFonts w:ascii="Times New Roman" w:hAnsi="Times New Roman"/>
          <w:kern w:val="0"/>
          <w:sz w:val="24"/>
        </w:rPr>
        <w:t>监基金字</w:t>
      </w:r>
      <w:proofErr w:type="gramEnd"/>
      <w:r>
        <w:rPr>
          <w:rFonts w:ascii="Times New Roman" w:hAnsi="Times New Roman"/>
          <w:kern w:val="0"/>
          <w:sz w:val="24"/>
        </w:rPr>
        <w:t>【</w:t>
      </w:r>
      <w:r>
        <w:rPr>
          <w:rFonts w:ascii="Times New Roman" w:hAnsi="Times New Roman"/>
          <w:kern w:val="0"/>
          <w:sz w:val="24"/>
        </w:rPr>
        <w:t>2005</w:t>
      </w:r>
      <w:r>
        <w:rPr>
          <w:rFonts w:ascii="Times New Roman" w:hAnsi="Times New Roman"/>
          <w:kern w:val="0"/>
          <w:sz w:val="24"/>
        </w:rPr>
        <w:t>】</w:t>
      </w:r>
      <w:r>
        <w:rPr>
          <w:rFonts w:ascii="Times New Roman" w:hAnsi="Times New Roman"/>
          <w:kern w:val="0"/>
          <w:sz w:val="24"/>
        </w:rPr>
        <w:t>204</w:t>
      </w:r>
      <w:r>
        <w:rPr>
          <w:rFonts w:ascii="Times New Roman" w:hAnsi="Times New Roman"/>
          <w:kern w:val="0"/>
          <w:sz w:val="24"/>
        </w:rPr>
        <w:t>号文核准募集。本</w:t>
      </w:r>
      <w:proofErr w:type="gramStart"/>
      <w:r>
        <w:rPr>
          <w:rFonts w:ascii="Times New Roman" w:hAnsi="Times New Roman"/>
          <w:kern w:val="0"/>
          <w:sz w:val="24"/>
        </w:rPr>
        <w:t>基金基金</w:t>
      </w:r>
      <w:proofErr w:type="gramEnd"/>
      <w:r>
        <w:rPr>
          <w:rFonts w:ascii="Times New Roman" w:hAnsi="Times New Roman"/>
          <w:kern w:val="0"/>
          <w:sz w:val="24"/>
        </w:rPr>
        <w:t>合同于</w:t>
      </w:r>
      <w:r>
        <w:rPr>
          <w:rFonts w:ascii="Times New Roman" w:hAnsi="Times New Roman"/>
          <w:kern w:val="0"/>
          <w:sz w:val="24"/>
        </w:rPr>
        <w:t>2006</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日正式生效。</w:t>
      </w:r>
    </w:p>
    <w:p w14:paraId="71B7D9A8" w14:textId="77777777" w:rsidR="00007225" w:rsidRDefault="00F07F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w:t>
      </w:r>
      <w:proofErr w:type="gramStart"/>
      <w:r>
        <w:rPr>
          <w:rFonts w:ascii="Times New Roman" w:hAnsi="Times New Roman"/>
          <w:kern w:val="0"/>
          <w:sz w:val="24"/>
        </w:rPr>
        <w:t>募</w:t>
      </w:r>
      <w:proofErr w:type="gramEnd"/>
      <w:r>
        <w:rPr>
          <w:rFonts w:ascii="Times New Roman" w:hAnsi="Times New Roman"/>
          <w:kern w:val="0"/>
          <w:sz w:val="24"/>
        </w:rPr>
        <w:t>集的核准，并不表明其对本基金的价值和收益</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14:paraId="3525FB57" w14:textId="77777777" w:rsidR="00007225" w:rsidRDefault="00F07F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投资者购买本基金并不等于将资金作为存款存放在银行或存款类金融机构，本基金管理人不保证本基金一定盈利，也不保证最低收益。</w:t>
      </w:r>
    </w:p>
    <w:p w14:paraId="0D281572" w14:textId="77777777" w:rsidR="00007225" w:rsidRDefault="00F07F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投资有风险，投资者在认（申）</w:t>
      </w:r>
      <w:proofErr w:type="gramStart"/>
      <w:r>
        <w:rPr>
          <w:rFonts w:ascii="Times New Roman" w:hAnsi="Times New Roman"/>
          <w:kern w:val="0"/>
          <w:sz w:val="24"/>
        </w:rPr>
        <w:t>购本基金</w:t>
      </w:r>
      <w:proofErr w:type="gramEnd"/>
      <w:r>
        <w:rPr>
          <w:rFonts w:ascii="Times New Roman" w:hAnsi="Times New Roman"/>
          <w:kern w:val="0"/>
          <w:sz w:val="24"/>
        </w:rPr>
        <w:t>前应认真阅读本招募说明书。基金的过往业绩并不代表其未来表现。基金管理人管理的其他基金的业绩并不构成对本基金业绩表现的保证。</w:t>
      </w:r>
    </w:p>
    <w:p w14:paraId="55CB6BE9" w14:textId="1AC9626F" w:rsidR="00007225" w:rsidRDefault="00C841CA">
      <w:pPr>
        <w:autoSpaceDE w:val="0"/>
        <w:autoSpaceDN w:val="0"/>
        <w:adjustRightInd w:val="0"/>
        <w:snapToGrid w:val="0"/>
        <w:spacing w:line="360" w:lineRule="auto"/>
        <w:ind w:leftChars="50" w:left="105" w:firstLineChars="200" w:firstLine="480"/>
        <w:rPr>
          <w:rFonts w:ascii="宋体" w:hAnsi="宋体"/>
          <w:kern w:val="0"/>
          <w:sz w:val="24"/>
        </w:rPr>
      </w:pPr>
      <w:r w:rsidRPr="00E96140">
        <w:rPr>
          <w:rFonts w:ascii="Times New Roman" w:hAnsi="Times New Roman" w:hint="eastAsia"/>
          <w:kern w:val="0"/>
          <w:sz w:val="24"/>
        </w:rPr>
        <w:t>本次更新招募说明书主要对本基金</w:t>
      </w:r>
      <w:r>
        <w:rPr>
          <w:rFonts w:ascii="Times New Roman" w:hAnsi="Times New Roman" w:hint="eastAsia"/>
          <w:kern w:val="0"/>
          <w:sz w:val="24"/>
        </w:rPr>
        <w:t>调整收益分配原则</w:t>
      </w:r>
      <w:r w:rsidR="008A6D96">
        <w:rPr>
          <w:rFonts w:ascii="Times New Roman" w:hAnsi="Times New Roman" w:hint="eastAsia"/>
          <w:kern w:val="0"/>
          <w:sz w:val="24"/>
        </w:rPr>
        <w:t>等</w:t>
      </w:r>
      <w:r w:rsidRPr="00E96140">
        <w:rPr>
          <w:rFonts w:ascii="Times New Roman" w:hAnsi="Times New Roman" w:hint="eastAsia"/>
          <w:kern w:val="0"/>
          <w:sz w:val="24"/>
        </w:rPr>
        <w:t>信息进行更新，前述内容更新截止日为</w:t>
      </w:r>
      <w:r>
        <w:rPr>
          <w:rFonts w:ascii="Times New Roman" w:hAnsi="Times New Roman" w:hint="eastAsia"/>
          <w:kern w:val="0"/>
          <w:sz w:val="24"/>
        </w:rPr>
        <w:t>202</w:t>
      </w:r>
      <w:r>
        <w:rPr>
          <w:rFonts w:ascii="Times New Roman" w:hAnsi="Times New Roman"/>
          <w:kern w:val="0"/>
          <w:sz w:val="24"/>
        </w:rPr>
        <w:t>3</w:t>
      </w:r>
      <w:r w:rsidRPr="00E96140">
        <w:rPr>
          <w:rFonts w:ascii="Times New Roman" w:hAnsi="Times New Roman" w:hint="eastAsia"/>
          <w:kern w:val="0"/>
          <w:sz w:val="24"/>
        </w:rPr>
        <w:t>年</w:t>
      </w:r>
      <w:r w:rsidR="00DC4FA8">
        <w:rPr>
          <w:rFonts w:ascii="Times New Roman" w:hAnsi="Times New Roman"/>
          <w:kern w:val="0"/>
          <w:sz w:val="24"/>
        </w:rPr>
        <w:t>9</w:t>
      </w:r>
      <w:r w:rsidRPr="00E96140">
        <w:rPr>
          <w:rFonts w:ascii="Times New Roman" w:hAnsi="Times New Roman" w:hint="eastAsia"/>
          <w:kern w:val="0"/>
          <w:sz w:val="24"/>
        </w:rPr>
        <w:t>月</w:t>
      </w:r>
      <w:r w:rsidR="00DC4FA8">
        <w:rPr>
          <w:rFonts w:ascii="Times New Roman" w:hAnsi="Times New Roman"/>
          <w:kern w:val="0"/>
          <w:sz w:val="24"/>
        </w:rPr>
        <w:t>21</w:t>
      </w:r>
      <w:r w:rsidRPr="00E96140">
        <w:rPr>
          <w:rFonts w:ascii="Times New Roman" w:hAnsi="Times New Roman" w:hint="eastAsia"/>
          <w:kern w:val="0"/>
          <w:sz w:val="24"/>
        </w:rPr>
        <w:t>日。除非另有说明，</w:t>
      </w:r>
      <w:r w:rsidR="00F07F0D">
        <w:rPr>
          <w:rFonts w:ascii="Times New Roman" w:hAnsi="Times New Roman"/>
          <w:kern w:val="0"/>
          <w:sz w:val="24"/>
        </w:rPr>
        <w:t>本招募说明书所载</w:t>
      </w:r>
      <w:r>
        <w:rPr>
          <w:rFonts w:ascii="Times New Roman" w:hAnsi="Times New Roman" w:hint="eastAsia"/>
          <w:kern w:val="0"/>
          <w:sz w:val="24"/>
        </w:rPr>
        <w:t>其他</w:t>
      </w:r>
      <w:r w:rsidR="00F07F0D">
        <w:rPr>
          <w:rFonts w:ascii="Times New Roman" w:hAnsi="Times New Roman"/>
          <w:kern w:val="0"/>
          <w:sz w:val="24"/>
        </w:rPr>
        <w:t>内容截止日为</w:t>
      </w:r>
      <w:r w:rsidR="00F07F0D">
        <w:rPr>
          <w:rFonts w:ascii="Times New Roman" w:hAnsi="Times New Roman"/>
          <w:kern w:val="0"/>
          <w:sz w:val="24"/>
        </w:rPr>
        <w:t>2023</w:t>
      </w:r>
      <w:r w:rsidR="00F07F0D">
        <w:rPr>
          <w:rFonts w:ascii="Times New Roman" w:hAnsi="Times New Roman"/>
          <w:kern w:val="0"/>
          <w:sz w:val="24"/>
        </w:rPr>
        <w:t>年</w:t>
      </w:r>
      <w:r w:rsidR="00F07F0D">
        <w:rPr>
          <w:rFonts w:ascii="Times New Roman" w:hAnsi="Times New Roman"/>
          <w:kern w:val="0"/>
          <w:sz w:val="24"/>
        </w:rPr>
        <w:t>05</w:t>
      </w:r>
      <w:r w:rsidR="00F07F0D">
        <w:rPr>
          <w:rFonts w:ascii="Times New Roman" w:hAnsi="Times New Roman"/>
          <w:kern w:val="0"/>
          <w:sz w:val="24"/>
        </w:rPr>
        <w:t>月</w:t>
      </w:r>
      <w:r w:rsidR="00F07F0D">
        <w:rPr>
          <w:rFonts w:ascii="Times New Roman" w:hAnsi="Times New Roman"/>
          <w:kern w:val="0"/>
          <w:sz w:val="24"/>
        </w:rPr>
        <w:t>27</w:t>
      </w:r>
      <w:r w:rsidR="00F07F0D">
        <w:rPr>
          <w:rFonts w:ascii="Times New Roman" w:hAnsi="Times New Roman"/>
          <w:kern w:val="0"/>
          <w:sz w:val="24"/>
        </w:rPr>
        <w:t>日，有关财务数据和净值表现截止日为</w:t>
      </w:r>
      <w:r w:rsidR="00F07F0D">
        <w:rPr>
          <w:rFonts w:ascii="Times New Roman" w:hAnsi="Times New Roman"/>
          <w:kern w:val="0"/>
          <w:sz w:val="24"/>
        </w:rPr>
        <w:t>2023</w:t>
      </w:r>
      <w:r w:rsidR="00F07F0D">
        <w:rPr>
          <w:rFonts w:ascii="Times New Roman" w:hAnsi="Times New Roman"/>
          <w:kern w:val="0"/>
          <w:sz w:val="24"/>
        </w:rPr>
        <w:t>年</w:t>
      </w:r>
      <w:r w:rsidR="00F07F0D">
        <w:rPr>
          <w:rFonts w:ascii="Times New Roman" w:hAnsi="Times New Roman"/>
          <w:kern w:val="0"/>
          <w:sz w:val="24"/>
        </w:rPr>
        <w:t>03</w:t>
      </w:r>
      <w:r w:rsidR="00F07F0D">
        <w:rPr>
          <w:rFonts w:ascii="Times New Roman" w:hAnsi="Times New Roman"/>
          <w:kern w:val="0"/>
          <w:sz w:val="24"/>
        </w:rPr>
        <w:t>月</w:t>
      </w:r>
      <w:r w:rsidR="00F07F0D">
        <w:rPr>
          <w:rFonts w:ascii="Times New Roman" w:hAnsi="Times New Roman"/>
          <w:kern w:val="0"/>
          <w:sz w:val="24"/>
        </w:rPr>
        <w:t>31</w:t>
      </w:r>
      <w:r w:rsidR="00F07F0D">
        <w:rPr>
          <w:rFonts w:ascii="Times New Roman" w:hAnsi="Times New Roman"/>
          <w:kern w:val="0"/>
          <w:sz w:val="24"/>
        </w:rPr>
        <w:t>日。本招募说明书所载的财务数据未经审计。</w:t>
      </w:r>
    </w:p>
    <w:p w14:paraId="77F7BE01" w14:textId="77777777" w:rsidR="00007225" w:rsidRDefault="00007225">
      <w:pPr>
        <w:autoSpaceDE w:val="0"/>
        <w:autoSpaceDN w:val="0"/>
        <w:adjustRightInd w:val="0"/>
        <w:snapToGrid w:val="0"/>
        <w:spacing w:before="51" w:line="360" w:lineRule="auto"/>
        <w:ind w:left="120" w:rightChars="6" w:right="13" w:firstLine="480"/>
        <w:rPr>
          <w:rFonts w:ascii="宋体" w:hAnsi="宋体"/>
          <w:kern w:val="0"/>
          <w:szCs w:val="24"/>
        </w:rPr>
        <w:sectPr w:rsidR="00007225">
          <w:headerReference w:type="default" r:id="rId12"/>
          <w:pgSz w:w="11920" w:h="16840"/>
          <w:pgMar w:top="1440" w:right="1680" w:bottom="280" w:left="1680" w:header="0" w:footer="1073" w:gutter="0"/>
          <w:pgNumType w:start="1"/>
          <w:cols w:space="720"/>
        </w:sectPr>
      </w:pPr>
    </w:p>
    <w:p w14:paraId="76412FEF" w14:textId="77777777" w:rsidR="0097360B" w:rsidRPr="0097360B" w:rsidRDefault="00F07F0D" w:rsidP="0097360B">
      <w:pPr>
        <w:pStyle w:val="af3"/>
        <w:snapToGrid w:val="0"/>
        <w:spacing w:after="240" w:line="360" w:lineRule="auto"/>
        <w:jc w:val="center"/>
        <w:rPr>
          <w:rFonts w:ascii="宋体" w:hAnsi="宋体"/>
          <w:noProof/>
          <w:sz w:val="24"/>
        </w:rPr>
      </w:pPr>
      <w:r w:rsidRPr="0097360B">
        <w:rPr>
          <w:rFonts w:ascii="宋体" w:hAnsi="宋体"/>
          <w:color w:val="000000"/>
          <w:position w:val="-4"/>
          <w:sz w:val="24"/>
          <w:szCs w:val="30"/>
        </w:rPr>
        <w:lastRenderedPageBreak/>
        <w:t>目</w:t>
      </w:r>
      <w:r w:rsidRPr="0097360B">
        <w:rPr>
          <w:rFonts w:ascii="宋体" w:hAnsi="宋体"/>
          <w:color w:val="000000"/>
          <w:position w:val="-4"/>
          <w:sz w:val="24"/>
          <w:szCs w:val="30"/>
        </w:rPr>
        <w:tab/>
        <w:t>录</w:t>
      </w:r>
      <w:r w:rsidR="0097360B" w:rsidRPr="0097360B">
        <w:rPr>
          <w:rFonts w:ascii="宋体" w:hAnsi="宋体"/>
          <w:color w:val="000000"/>
          <w:position w:val="-4"/>
          <w:sz w:val="24"/>
          <w:szCs w:val="30"/>
        </w:rPr>
        <w:fldChar w:fldCharType="begin"/>
      </w:r>
      <w:r w:rsidR="0097360B" w:rsidRPr="0097360B">
        <w:rPr>
          <w:rFonts w:ascii="宋体" w:hAnsi="宋体"/>
          <w:color w:val="000000"/>
          <w:position w:val="-4"/>
          <w:sz w:val="24"/>
          <w:szCs w:val="30"/>
        </w:rPr>
        <w:instrText xml:space="preserve"> TOC \o "1-3" \f - \h \t "-1" </w:instrText>
      </w:r>
      <w:r w:rsidR="0097360B" w:rsidRPr="0097360B">
        <w:rPr>
          <w:rFonts w:ascii="宋体" w:hAnsi="宋体"/>
          <w:color w:val="000000"/>
          <w:position w:val="-4"/>
          <w:sz w:val="24"/>
          <w:szCs w:val="30"/>
        </w:rPr>
        <w:fldChar w:fldCharType="separate"/>
      </w:r>
    </w:p>
    <w:p w14:paraId="3DD8E287" w14:textId="6B2D6F8F" w:rsidR="0097360B" w:rsidRPr="00971922" w:rsidRDefault="00AE3A4C" w:rsidP="0097360B">
      <w:pPr>
        <w:pStyle w:val="11"/>
        <w:tabs>
          <w:tab w:val="right" w:leader="dot" w:pos="8550"/>
        </w:tabs>
        <w:spacing w:line="360" w:lineRule="auto"/>
        <w:rPr>
          <w:rFonts w:ascii="宋体" w:hAnsi="宋体"/>
          <w:noProof/>
          <w:sz w:val="24"/>
        </w:rPr>
      </w:pPr>
      <w:hyperlink w:anchor="_Toc137828426" w:history="1">
        <w:r w:rsidR="0097360B" w:rsidRPr="0097360B">
          <w:rPr>
            <w:rStyle w:val="af0"/>
            <w:rFonts w:ascii="宋体" w:hAnsi="宋体" w:hint="eastAsia"/>
            <w:noProof/>
            <w:kern w:val="0"/>
            <w:sz w:val="24"/>
          </w:rPr>
          <w:t>重要提示</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_Toc137828426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w:t>
        </w:r>
        <w:r w:rsidR="0097360B" w:rsidRPr="0097360B">
          <w:rPr>
            <w:rFonts w:ascii="宋体" w:hAnsi="宋体"/>
            <w:noProof/>
            <w:sz w:val="24"/>
          </w:rPr>
          <w:fldChar w:fldCharType="end"/>
        </w:r>
      </w:hyperlink>
    </w:p>
    <w:p w14:paraId="447734E0" w14:textId="14A4C823" w:rsidR="0097360B" w:rsidRPr="00971922" w:rsidRDefault="00AE3A4C" w:rsidP="0097360B">
      <w:pPr>
        <w:pStyle w:val="11"/>
        <w:tabs>
          <w:tab w:val="right" w:leader="dot" w:pos="8550"/>
        </w:tabs>
        <w:spacing w:line="360" w:lineRule="auto"/>
        <w:rPr>
          <w:rFonts w:ascii="宋体" w:hAnsi="宋体"/>
          <w:noProof/>
          <w:sz w:val="24"/>
        </w:rPr>
      </w:pPr>
      <w:hyperlink w:anchor="_Toc137828427" w:history="1">
        <w:r w:rsidR="0097360B" w:rsidRPr="0097360B">
          <w:rPr>
            <w:rStyle w:val="af0"/>
            <w:rFonts w:ascii="宋体" w:hAnsi="宋体" w:hint="eastAsia"/>
            <w:noProof/>
            <w:sz w:val="24"/>
          </w:rPr>
          <w:t>一、绪言</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_Toc137828427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3</w:t>
        </w:r>
        <w:r w:rsidR="0097360B" w:rsidRPr="0097360B">
          <w:rPr>
            <w:rFonts w:ascii="宋体" w:hAnsi="宋体"/>
            <w:noProof/>
            <w:sz w:val="24"/>
          </w:rPr>
          <w:fldChar w:fldCharType="end"/>
        </w:r>
      </w:hyperlink>
    </w:p>
    <w:p w14:paraId="2C345B6E" w14:textId="31F81FAB" w:rsidR="0097360B" w:rsidRPr="00971922" w:rsidRDefault="00AE3A4C" w:rsidP="0097360B">
      <w:pPr>
        <w:pStyle w:val="11"/>
        <w:tabs>
          <w:tab w:val="right" w:leader="dot" w:pos="8550"/>
        </w:tabs>
        <w:spacing w:line="360" w:lineRule="auto"/>
        <w:rPr>
          <w:rFonts w:ascii="宋体" w:hAnsi="宋体"/>
          <w:noProof/>
          <w:sz w:val="24"/>
        </w:rPr>
      </w:pPr>
      <w:hyperlink w:anchor="_Toc137828428" w:history="1">
        <w:r w:rsidR="0097360B" w:rsidRPr="0097360B">
          <w:rPr>
            <w:rStyle w:val="af0"/>
            <w:rFonts w:ascii="宋体" w:hAnsi="宋体" w:hint="eastAsia"/>
            <w:noProof/>
            <w:sz w:val="24"/>
          </w:rPr>
          <w:t>二、释义</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_Toc137828428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4</w:t>
        </w:r>
        <w:r w:rsidR="0097360B" w:rsidRPr="0097360B">
          <w:rPr>
            <w:rFonts w:ascii="宋体" w:hAnsi="宋体"/>
            <w:noProof/>
            <w:sz w:val="24"/>
          </w:rPr>
          <w:fldChar w:fldCharType="end"/>
        </w:r>
      </w:hyperlink>
    </w:p>
    <w:p w14:paraId="6FA44D92" w14:textId="3936E227" w:rsidR="0097360B" w:rsidRPr="00971922" w:rsidRDefault="00AE3A4C" w:rsidP="0097360B">
      <w:pPr>
        <w:pStyle w:val="11"/>
        <w:tabs>
          <w:tab w:val="right" w:leader="dot" w:pos="8550"/>
        </w:tabs>
        <w:spacing w:line="360" w:lineRule="auto"/>
        <w:rPr>
          <w:rFonts w:ascii="宋体" w:hAnsi="宋体"/>
          <w:noProof/>
          <w:sz w:val="24"/>
        </w:rPr>
      </w:pPr>
      <w:hyperlink w:anchor="_Toc137828429" w:history="1">
        <w:r w:rsidR="0097360B" w:rsidRPr="0097360B">
          <w:rPr>
            <w:rStyle w:val="af0"/>
            <w:rFonts w:ascii="宋体" w:hAnsi="宋体" w:hint="eastAsia"/>
            <w:noProof/>
            <w:sz w:val="24"/>
          </w:rPr>
          <w:t>三、基金管理人</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_Toc137828429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9</w:t>
        </w:r>
        <w:r w:rsidR="0097360B" w:rsidRPr="0097360B">
          <w:rPr>
            <w:rFonts w:ascii="宋体" w:hAnsi="宋体"/>
            <w:noProof/>
            <w:sz w:val="24"/>
          </w:rPr>
          <w:fldChar w:fldCharType="end"/>
        </w:r>
      </w:hyperlink>
    </w:p>
    <w:p w14:paraId="0D40C63D" w14:textId="459CE141" w:rsidR="0097360B" w:rsidRPr="00971922" w:rsidRDefault="00AE3A4C" w:rsidP="0097360B">
      <w:pPr>
        <w:pStyle w:val="11"/>
        <w:tabs>
          <w:tab w:val="right" w:leader="dot" w:pos="8550"/>
        </w:tabs>
        <w:spacing w:line="360" w:lineRule="auto"/>
        <w:rPr>
          <w:rFonts w:ascii="宋体" w:hAnsi="宋体"/>
          <w:noProof/>
          <w:sz w:val="24"/>
        </w:rPr>
      </w:pPr>
      <w:hyperlink w:anchor="_Toc137828430" w:history="1">
        <w:r w:rsidR="0097360B" w:rsidRPr="0097360B">
          <w:rPr>
            <w:rStyle w:val="af0"/>
            <w:rFonts w:ascii="宋体" w:hAnsi="宋体" w:hint="eastAsia"/>
            <w:noProof/>
            <w:sz w:val="24"/>
          </w:rPr>
          <w:t>四、基金托管人</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_Toc137828430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17</w:t>
        </w:r>
        <w:r w:rsidR="0097360B" w:rsidRPr="0097360B">
          <w:rPr>
            <w:rFonts w:ascii="宋体" w:hAnsi="宋体"/>
            <w:noProof/>
            <w:sz w:val="24"/>
          </w:rPr>
          <w:fldChar w:fldCharType="end"/>
        </w:r>
      </w:hyperlink>
    </w:p>
    <w:p w14:paraId="0901D0BB" w14:textId="24322CE5" w:rsidR="0097360B" w:rsidRPr="00971922" w:rsidRDefault="00AE3A4C" w:rsidP="0097360B">
      <w:pPr>
        <w:pStyle w:val="11"/>
        <w:tabs>
          <w:tab w:val="right" w:leader="dot" w:pos="8550"/>
        </w:tabs>
        <w:spacing w:line="360" w:lineRule="auto"/>
        <w:rPr>
          <w:rFonts w:ascii="宋体" w:hAnsi="宋体"/>
          <w:noProof/>
          <w:sz w:val="24"/>
        </w:rPr>
      </w:pPr>
      <w:hyperlink w:anchor="_Toc137828431" w:history="1">
        <w:r w:rsidR="0097360B" w:rsidRPr="0097360B">
          <w:rPr>
            <w:rStyle w:val="af0"/>
            <w:rFonts w:ascii="宋体" w:hAnsi="宋体" w:hint="eastAsia"/>
            <w:noProof/>
            <w:sz w:val="24"/>
          </w:rPr>
          <w:t>五、相关服务机构</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_Toc137828431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20</w:t>
        </w:r>
        <w:r w:rsidR="0097360B" w:rsidRPr="0097360B">
          <w:rPr>
            <w:rFonts w:ascii="宋体" w:hAnsi="宋体"/>
            <w:noProof/>
            <w:sz w:val="24"/>
          </w:rPr>
          <w:fldChar w:fldCharType="end"/>
        </w:r>
      </w:hyperlink>
    </w:p>
    <w:p w14:paraId="25B13CC0" w14:textId="429070D1" w:rsidR="0097360B" w:rsidRPr="00971922" w:rsidRDefault="00AE3A4C" w:rsidP="0097360B">
      <w:pPr>
        <w:pStyle w:val="11"/>
        <w:tabs>
          <w:tab w:val="right" w:leader="dot" w:pos="8550"/>
        </w:tabs>
        <w:spacing w:line="360" w:lineRule="auto"/>
        <w:rPr>
          <w:rFonts w:ascii="宋体" w:hAnsi="宋体"/>
          <w:noProof/>
          <w:sz w:val="24"/>
        </w:rPr>
      </w:pPr>
      <w:hyperlink w:anchor="_Toc137828432" w:history="1">
        <w:r w:rsidR="0097360B" w:rsidRPr="0097360B">
          <w:rPr>
            <w:rStyle w:val="af0"/>
            <w:rFonts w:ascii="宋体" w:hAnsi="宋体" w:hint="eastAsia"/>
            <w:noProof/>
            <w:sz w:val="24"/>
          </w:rPr>
          <w:t>六、基金的募集</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_Toc137828432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57</w:t>
        </w:r>
        <w:r w:rsidR="0097360B" w:rsidRPr="0097360B">
          <w:rPr>
            <w:rFonts w:ascii="宋体" w:hAnsi="宋体"/>
            <w:noProof/>
            <w:sz w:val="24"/>
          </w:rPr>
          <w:fldChar w:fldCharType="end"/>
        </w:r>
      </w:hyperlink>
    </w:p>
    <w:p w14:paraId="1B7448AD" w14:textId="7C5CBAA4" w:rsidR="0097360B" w:rsidRPr="00971922" w:rsidRDefault="00AE3A4C" w:rsidP="0097360B">
      <w:pPr>
        <w:pStyle w:val="11"/>
        <w:tabs>
          <w:tab w:val="right" w:leader="dot" w:pos="8550"/>
        </w:tabs>
        <w:spacing w:line="360" w:lineRule="auto"/>
        <w:rPr>
          <w:rFonts w:ascii="宋体" w:hAnsi="宋体"/>
          <w:noProof/>
          <w:sz w:val="24"/>
        </w:rPr>
      </w:pPr>
      <w:hyperlink w:anchor="_Toc137828433" w:history="1">
        <w:r w:rsidR="0097360B" w:rsidRPr="0097360B">
          <w:rPr>
            <w:rStyle w:val="af0"/>
            <w:rFonts w:ascii="宋体" w:hAnsi="宋体" w:hint="eastAsia"/>
            <w:noProof/>
            <w:sz w:val="24"/>
          </w:rPr>
          <w:t>七、基金合同的生效</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_Toc137828433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58</w:t>
        </w:r>
        <w:r w:rsidR="0097360B" w:rsidRPr="0097360B">
          <w:rPr>
            <w:rFonts w:ascii="宋体" w:hAnsi="宋体"/>
            <w:noProof/>
            <w:sz w:val="24"/>
          </w:rPr>
          <w:fldChar w:fldCharType="end"/>
        </w:r>
      </w:hyperlink>
    </w:p>
    <w:p w14:paraId="5714CDCB" w14:textId="6D0DCC9A" w:rsidR="0097360B" w:rsidRPr="00971922" w:rsidRDefault="00AE3A4C" w:rsidP="0097360B">
      <w:pPr>
        <w:pStyle w:val="11"/>
        <w:tabs>
          <w:tab w:val="right" w:leader="dot" w:pos="8550"/>
        </w:tabs>
        <w:spacing w:line="360" w:lineRule="auto"/>
        <w:rPr>
          <w:rFonts w:ascii="宋体" w:hAnsi="宋体"/>
          <w:noProof/>
          <w:sz w:val="24"/>
        </w:rPr>
      </w:pPr>
      <w:hyperlink w:anchor="_Toc137828434" w:history="1">
        <w:r w:rsidR="0097360B" w:rsidRPr="0097360B">
          <w:rPr>
            <w:rStyle w:val="af0"/>
            <w:rFonts w:ascii="宋体" w:hAnsi="宋体" w:hint="eastAsia"/>
            <w:noProof/>
            <w:sz w:val="24"/>
          </w:rPr>
          <w:t>八、基金份额的分级</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_Toc137828434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59</w:t>
        </w:r>
        <w:r w:rsidR="0097360B" w:rsidRPr="0097360B">
          <w:rPr>
            <w:rFonts w:ascii="宋体" w:hAnsi="宋体"/>
            <w:noProof/>
            <w:sz w:val="24"/>
          </w:rPr>
          <w:fldChar w:fldCharType="end"/>
        </w:r>
      </w:hyperlink>
    </w:p>
    <w:p w14:paraId="5427C062" w14:textId="559413C1" w:rsidR="0097360B" w:rsidRPr="00971922" w:rsidRDefault="00AE3A4C" w:rsidP="0097360B">
      <w:pPr>
        <w:pStyle w:val="11"/>
        <w:tabs>
          <w:tab w:val="right" w:leader="dot" w:pos="8550"/>
        </w:tabs>
        <w:spacing w:line="360" w:lineRule="auto"/>
        <w:rPr>
          <w:rFonts w:ascii="宋体" w:hAnsi="宋体"/>
          <w:noProof/>
          <w:sz w:val="24"/>
        </w:rPr>
      </w:pPr>
      <w:hyperlink w:anchor="_Toc137828435" w:history="1">
        <w:r w:rsidR="0097360B" w:rsidRPr="0097360B">
          <w:rPr>
            <w:rStyle w:val="af0"/>
            <w:rFonts w:ascii="宋体" w:hAnsi="宋体" w:hint="eastAsia"/>
            <w:noProof/>
            <w:sz w:val="24"/>
          </w:rPr>
          <w:t>九、基金份额的申购、赎回及其他业务</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_Toc137828435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60</w:t>
        </w:r>
        <w:r w:rsidR="0097360B" w:rsidRPr="0097360B">
          <w:rPr>
            <w:rFonts w:ascii="宋体" w:hAnsi="宋体"/>
            <w:noProof/>
            <w:sz w:val="24"/>
          </w:rPr>
          <w:fldChar w:fldCharType="end"/>
        </w:r>
      </w:hyperlink>
    </w:p>
    <w:p w14:paraId="140C4F10" w14:textId="5F895FEB" w:rsidR="0097360B" w:rsidRPr="00971922" w:rsidRDefault="00AE3A4C" w:rsidP="0097360B">
      <w:pPr>
        <w:pStyle w:val="11"/>
        <w:tabs>
          <w:tab w:val="right" w:leader="dot" w:pos="8550"/>
        </w:tabs>
        <w:spacing w:line="360" w:lineRule="auto"/>
        <w:rPr>
          <w:rFonts w:ascii="宋体" w:hAnsi="宋体"/>
          <w:noProof/>
          <w:sz w:val="24"/>
        </w:rPr>
      </w:pPr>
      <w:hyperlink w:anchor="_Toc137828436" w:history="1">
        <w:r w:rsidR="0097360B" w:rsidRPr="0097360B">
          <w:rPr>
            <w:rStyle w:val="af0"/>
            <w:rFonts w:ascii="宋体" w:hAnsi="宋体" w:hint="eastAsia"/>
            <w:noProof/>
            <w:sz w:val="24"/>
          </w:rPr>
          <w:t>十、基金的转换</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_Toc137828436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69</w:t>
        </w:r>
        <w:r w:rsidR="0097360B" w:rsidRPr="0097360B">
          <w:rPr>
            <w:rFonts w:ascii="宋体" w:hAnsi="宋体"/>
            <w:noProof/>
            <w:sz w:val="24"/>
          </w:rPr>
          <w:fldChar w:fldCharType="end"/>
        </w:r>
      </w:hyperlink>
    </w:p>
    <w:p w14:paraId="3741DC06" w14:textId="7156DC03" w:rsidR="0097360B" w:rsidRPr="00971922" w:rsidRDefault="00AE3A4C" w:rsidP="0097360B">
      <w:pPr>
        <w:pStyle w:val="11"/>
        <w:tabs>
          <w:tab w:val="right" w:leader="dot" w:pos="8550"/>
        </w:tabs>
        <w:spacing w:line="360" w:lineRule="auto"/>
        <w:rPr>
          <w:rFonts w:ascii="宋体" w:hAnsi="宋体"/>
          <w:noProof/>
          <w:sz w:val="24"/>
        </w:rPr>
      </w:pPr>
      <w:hyperlink w:anchor="_Toc137828437" w:history="1">
        <w:r w:rsidR="0097360B" w:rsidRPr="0097360B">
          <w:rPr>
            <w:rStyle w:val="af0"/>
            <w:rFonts w:ascii="宋体" w:hAnsi="宋体" w:hint="eastAsia"/>
            <w:noProof/>
            <w:sz w:val="24"/>
          </w:rPr>
          <w:t>十一、基金的投资</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_Toc137828437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76</w:t>
        </w:r>
        <w:r w:rsidR="0097360B" w:rsidRPr="0097360B">
          <w:rPr>
            <w:rFonts w:ascii="宋体" w:hAnsi="宋体"/>
            <w:noProof/>
            <w:sz w:val="24"/>
          </w:rPr>
          <w:fldChar w:fldCharType="end"/>
        </w:r>
      </w:hyperlink>
    </w:p>
    <w:p w14:paraId="74A2A965" w14:textId="3004AE0F" w:rsidR="0097360B" w:rsidRPr="00971922" w:rsidRDefault="00AE3A4C" w:rsidP="0097360B">
      <w:pPr>
        <w:pStyle w:val="11"/>
        <w:tabs>
          <w:tab w:val="right" w:leader="dot" w:pos="8550"/>
        </w:tabs>
        <w:spacing w:line="360" w:lineRule="auto"/>
        <w:rPr>
          <w:rFonts w:ascii="宋体" w:hAnsi="宋体"/>
          <w:noProof/>
          <w:sz w:val="24"/>
        </w:rPr>
      </w:pPr>
      <w:hyperlink w:anchor="_Toc137828438" w:history="1">
        <w:r w:rsidR="0097360B" w:rsidRPr="0097360B">
          <w:rPr>
            <w:rStyle w:val="af0"/>
            <w:rFonts w:ascii="宋体" w:hAnsi="宋体" w:hint="eastAsia"/>
            <w:noProof/>
            <w:sz w:val="24"/>
          </w:rPr>
          <w:t>十二、基金的业绩</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_Toc137828438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89</w:t>
        </w:r>
        <w:r w:rsidR="0097360B" w:rsidRPr="0097360B">
          <w:rPr>
            <w:rFonts w:ascii="宋体" w:hAnsi="宋体"/>
            <w:noProof/>
            <w:sz w:val="24"/>
          </w:rPr>
          <w:fldChar w:fldCharType="end"/>
        </w:r>
      </w:hyperlink>
    </w:p>
    <w:p w14:paraId="1F497204" w14:textId="278C3A22" w:rsidR="0097360B" w:rsidRPr="00971922" w:rsidRDefault="00AE3A4C" w:rsidP="0097360B">
      <w:pPr>
        <w:pStyle w:val="11"/>
        <w:tabs>
          <w:tab w:val="right" w:leader="dot" w:pos="8550"/>
        </w:tabs>
        <w:spacing w:line="360" w:lineRule="auto"/>
        <w:rPr>
          <w:rFonts w:ascii="宋体" w:hAnsi="宋体"/>
          <w:noProof/>
          <w:sz w:val="24"/>
        </w:rPr>
      </w:pPr>
      <w:hyperlink w:anchor="_Toc137828439" w:history="1">
        <w:r w:rsidR="0097360B" w:rsidRPr="0097360B">
          <w:rPr>
            <w:rStyle w:val="af0"/>
            <w:rFonts w:ascii="宋体" w:hAnsi="宋体" w:hint="eastAsia"/>
            <w:noProof/>
            <w:sz w:val="24"/>
          </w:rPr>
          <w:t>十三、基金的财产</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_Toc137828439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92</w:t>
        </w:r>
        <w:r w:rsidR="0097360B" w:rsidRPr="0097360B">
          <w:rPr>
            <w:rFonts w:ascii="宋体" w:hAnsi="宋体"/>
            <w:noProof/>
            <w:sz w:val="24"/>
          </w:rPr>
          <w:fldChar w:fldCharType="end"/>
        </w:r>
      </w:hyperlink>
    </w:p>
    <w:p w14:paraId="5FA7D3B3" w14:textId="73540A46" w:rsidR="0097360B" w:rsidRPr="00971922" w:rsidRDefault="00AE3A4C" w:rsidP="0097360B">
      <w:pPr>
        <w:pStyle w:val="11"/>
        <w:tabs>
          <w:tab w:val="right" w:leader="dot" w:pos="8550"/>
        </w:tabs>
        <w:spacing w:line="360" w:lineRule="auto"/>
        <w:rPr>
          <w:rFonts w:ascii="宋体" w:hAnsi="宋体"/>
          <w:noProof/>
          <w:sz w:val="24"/>
        </w:rPr>
      </w:pPr>
      <w:hyperlink w:anchor="_Toc137828440" w:history="1">
        <w:r w:rsidR="0097360B" w:rsidRPr="0097360B">
          <w:rPr>
            <w:rStyle w:val="af0"/>
            <w:rFonts w:ascii="宋体" w:hAnsi="宋体" w:hint="eastAsia"/>
            <w:noProof/>
            <w:sz w:val="24"/>
          </w:rPr>
          <w:t>十四、基金资产的估值</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_Toc137828440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93</w:t>
        </w:r>
        <w:r w:rsidR="0097360B" w:rsidRPr="0097360B">
          <w:rPr>
            <w:rFonts w:ascii="宋体" w:hAnsi="宋体"/>
            <w:noProof/>
            <w:sz w:val="24"/>
          </w:rPr>
          <w:fldChar w:fldCharType="end"/>
        </w:r>
      </w:hyperlink>
    </w:p>
    <w:p w14:paraId="44716879" w14:textId="7B6E94A1" w:rsidR="0097360B" w:rsidRPr="00971922" w:rsidRDefault="00AE3A4C" w:rsidP="0097360B">
      <w:pPr>
        <w:pStyle w:val="11"/>
        <w:tabs>
          <w:tab w:val="right" w:leader="dot" w:pos="8550"/>
        </w:tabs>
        <w:spacing w:line="360" w:lineRule="auto"/>
        <w:rPr>
          <w:rFonts w:ascii="宋体" w:hAnsi="宋体"/>
          <w:noProof/>
          <w:sz w:val="24"/>
        </w:rPr>
      </w:pPr>
      <w:hyperlink w:anchor="_Toc137828441" w:history="1">
        <w:r w:rsidR="0097360B" w:rsidRPr="0097360B">
          <w:rPr>
            <w:rStyle w:val="af0"/>
            <w:rFonts w:ascii="宋体" w:hAnsi="宋体" w:hint="eastAsia"/>
            <w:noProof/>
            <w:sz w:val="24"/>
          </w:rPr>
          <w:t>十五、基金收益与分配</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_Toc137828441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98</w:t>
        </w:r>
        <w:r w:rsidR="0097360B" w:rsidRPr="0097360B">
          <w:rPr>
            <w:rFonts w:ascii="宋体" w:hAnsi="宋体"/>
            <w:noProof/>
            <w:sz w:val="24"/>
          </w:rPr>
          <w:fldChar w:fldCharType="end"/>
        </w:r>
      </w:hyperlink>
    </w:p>
    <w:p w14:paraId="4DC1B9C1" w14:textId="73F8A65B" w:rsidR="0097360B" w:rsidRPr="00971922" w:rsidRDefault="00AE3A4C" w:rsidP="0097360B">
      <w:pPr>
        <w:pStyle w:val="11"/>
        <w:tabs>
          <w:tab w:val="right" w:leader="dot" w:pos="8550"/>
        </w:tabs>
        <w:spacing w:line="360" w:lineRule="auto"/>
        <w:rPr>
          <w:rFonts w:ascii="宋体" w:hAnsi="宋体"/>
          <w:noProof/>
          <w:sz w:val="24"/>
        </w:rPr>
      </w:pPr>
      <w:hyperlink w:anchor="_Toc137828442" w:history="1">
        <w:r w:rsidR="0097360B" w:rsidRPr="0097360B">
          <w:rPr>
            <w:rStyle w:val="af0"/>
            <w:rFonts w:ascii="宋体" w:hAnsi="宋体" w:hint="eastAsia"/>
            <w:noProof/>
            <w:sz w:val="24"/>
          </w:rPr>
          <w:t>十六、基金的费用与税收</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_Toc137828442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101</w:t>
        </w:r>
        <w:r w:rsidR="0097360B" w:rsidRPr="0097360B">
          <w:rPr>
            <w:rFonts w:ascii="宋体" w:hAnsi="宋体"/>
            <w:noProof/>
            <w:sz w:val="24"/>
          </w:rPr>
          <w:fldChar w:fldCharType="end"/>
        </w:r>
      </w:hyperlink>
    </w:p>
    <w:p w14:paraId="1C000C1D" w14:textId="5F8B2E05" w:rsidR="0097360B" w:rsidRPr="00971922" w:rsidRDefault="00AE3A4C" w:rsidP="0097360B">
      <w:pPr>
        <w:pStyle w:val="11"/>
        <w:tabs>
          <w:tab w:val="right" w:leader="dot" w:pos="8550"/>
        </w:tabs>
        <w:spacing w:line="360" w:lineRule="auto"/>
        <w:rPr>
          <w:rFonts w:ascii="宋体" w:hAnsi="宋体"/>
          <w:noProof/>
          <w:sz w:val="24"/>
        </w:rPr>
      </w:pPr>
      <w:hyperlink w:anchor="_Toc137828443" w:history="1">
        <w:r w:rsidR="0097360B" w:rsidRPr="0097360B">
          <w:rPr>
            <w:rStyle w:val="af0"/>
            <w:rFonts w:ascii="宋体" w:hAnsi="宋体" w:hint="eastAsia"/>
            <w:noProof/>
            <w:sz w:val="24"/>
          </w:rPr>
          <w:t>十七、基金的会计与审计</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_Toc137828443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104</w:t>
        </w:r>
        <w:r w:rsidR="0097360B" w:rsidRPr="0097360B">
          <w:rPr>
            <w:rFonts w:ascii="宋体" w:hAnsi="宋体"/>
            <w:noProof/>
            <w:sz w:val="24"/>
          </w:rPr>
          <w:fldChar w:fldCharType="end"/>
        </w:r>
      </w:hyperlink>
    </w:p>
    <w:p w14:paraId="48DD76B2" w14:textId="0AD8D3E8" w:rsidR="0097360B" w:rsidRPr="00971922" w:rsidRDefault="00AE3A4C" w:rsidP="0097360B">
      <w:pPr>
        <w:pStyle w:val="11"/>
        <w:tabs>
          <w:tab w:val="right" w:leader="dot" w:pos="8550"/>
        </w:tabs>
        <w:spacing w:line="360" w:lineRule="auto"/>
        <w:rPr>
          <w:rFonts w:ascii="宋体" w:hAnsi="宋体"/>
          <w:noProof/>
          <w:sz w:val="24"/>
        </w:rPr>
      </w:pPr>
      <w:hyperlink w:anchor="_Toc137828444" w:history="1">
        <w:r w:rsidR="0097360B" w:rsidRPr="0097360B">
          <w:rPr>
            <w:rStyle w:val="af0"/>
            <w:rFonts w:ascii="宋体" w:hAnsi="宋体" w:hint="eastAsia"/>
            <w:noProof/>
            <w:sz w:val="24"/>
          </w:rPr>
          <w:t>十八、基金的信息披露</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_Toc137828444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105</w:t>
        </w:r>
        <w:r w:rsidR="0097360B" w:rsidRPr="0097360B">
          <w:rPr>
            <w:rFonts w:ascii="宋体" w:hAnsi="宋体"/>
            <w:noProof/>
            <w:sz w:val="24"/>
          </w:rPr>
          <w:fldChar w:fldCharType="end"/>
        </w:r>
      </w:hyperlink>
    </w:p>
    <w:p w14:paraId="731F7369" w14:textId="0B08964F" w:rsidR="0097360B" w:rsidRPr="00971922" w:rsidRDefault="00AE3A4C" w:rsidP="0097360B">
      <w:pPr>
        <w:pStyle w:val="11"/>
        <w:tabs>
          <w:tab w:val="right" w:leader="dot" w:pos="8550"/>
        </w:tabs>
        <w:spacing w:line="360" w:lineRule="auto"/>
        <w:rPr>
          <w:rFonts w:ascii="宋体" w:hAnsi="宋体"/>
          <w:noProof/>
          <w:sz w:val="24"/>
        </w:rPr>
      </w:pPr>
      <w:hyperlink w:anchor="_Toc137828445" w:history="1">
        <w:r w:rsidR="0097360B" w:rsidRPr="0097360B">
          <w:rPr>
            <w:rStyle w:val="af0"/>
            <w:rFonts w:ascii="宋体" w:hAnsi="宋体" w:hint="eastAsia"/>
            <w:noProof/>
            <w:sz w:val="24"/>
          </w:rPr>
          <w:t>十九、风险揭示</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_Toc137828445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111</w:t>
        </w:r>
        <w:r w:rsidR="0097360B" w:rsidRPr="0097360B">
          <w:rPr>
            <w:rFonts w:ascii="宋体" w:hAnsi="宋体"/>
            <w:noProof/>
            <w:sz w:val="24"/>
          </w:rPr>
          <w:fldChar w:fldCharType="end"/>
        </w:r>
      </w:hyperlink>
    </w:p>
    <w:p w14:paraId="189B80CD" w14:textId="0273F255" w:rsidR="0097360B" w:rsidRPr="00971922" w:rsidRDefault="00AE3A4C" w:rsidP="0097360B">
      <w:pPr>
        <w:pStyle w:val="11"/>
        <w:tabs>
          <w:tab w:val="right" w:leader="dot" w:pos="8550"/>
        </w:tabs>
        <w:spacing w:line="360" w:lineRule="auto"/>
        <w:rPr>
          <w:rFonts w:ascii="宋体" w:hAnsi="宋体"/>
          <w:noProof/>
          <w:sz w:val="24"/>
        </w:rPr>
      </w:pPr>
      <w:hyperlink w:anchor="_Toc137828446" w:history="1">
        <w:r w:rsidR="0097360B" w:rsidRPr="0097360B">
          <w:rPr>
            <w:rStyle w:val="af0"/>
            <w:rFonts w:ascii="宋体" w:hAnsi="宋体" w:hint="eastAsia"/>
            <w:noProof/>
            <w:sz w:val="24"/>
          </w:rPr>
          <w:t>二十、基金合同的终止与基金财产的清算</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_Toc137828446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115</w:t>
        </w:r>
        <w:r w:rsidR="0097360B" w:rsidRPr="0097360B">
          <w:rPr>
            <w:rFonts w:ascii="宋体" w:hAnsi="宋体"/>
            <w:noProof/>
            <w:sz w:val="24"/>
          </w:rPr>
          <w:fldChar w:fldCharType="end"/>
        </w:r>
      </w:hyperlink>
    </w:p>
    <w:p w14:paraId="20A9037A" w14:textId="502C5567" w:rsidR="0097360B" w:rsidRPr="00971922" w:rsidRDefault="00AE3A4C" w:rsidP="0097360B">
      <w:pPr>
        <w:pStyle w:val="11"/>
        <w:tabs>
          <w:tab w:val="right" w:leader="dot" w:pos="8550"/>
        </w:tabs>
        <w:spacing w:line="360" w:lineRule="auto"/>
        <w:rPr>
          <w:rFonts w:ascii="宋体" w:hAnsi="宋体"/>
          <w:noProof/>
          <w:sz w:val="24"/>
        </w:rPr>
      </w:pPr>
      <w:hyperlink w:anchor="_Toc137828447" w:history="1">
        <w:r w:rsidR="0097360B" w:rsidRPr="0097360B">
          <w:rPr>
            <w:rStyle w:val="af0"/>
            <w:rFonts w:ascii="宋体" w:hAnsi="宋体" w:hint="eastAsia"/>
            <w:noProof/>
            <w:sz w:val="24"/>
          </w:rPr>
          <w:t>二十一、基金合同内容摘要</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_Toc137828447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117</w:t>
        </w:r>
        <w:r w:rsidR="0097360B" w:rsidRPr="0097360B">
          <w:rPr>
            <w:rFonts w:ascii="宋体" w:hAnsi="宋体"/>
            <w:noProof/>
            <w:sz w:val="24"/>
          </w:rPr>
          <w:fldChar w:fldCharType="end"/>
        </w:r>
      </w:hyperlink>
    </w:p>
    <w:p w14:paraId="0EF73258" w14:textId="40DF8AD8" w:rsidR="0097360B" w:rsidRPr="00971922" w:rsidRDefault="00AE3A4C" w:rsidP="0097360B">
      <w:pPr>
        <w:pStyle w:val="11"/>
        <w:tabs>
          <w:tab w:val="right" w:leader="dot" w:pos="8550"/>
        </w:tabs>
        <w:spacing w:line="360" w:lineRule="auto"/>
        <w:rPr>
          <w:rFonts w:ascii="宋体" w:hAnsi="宋体"/>
          <w:noProof/>
          <w:sz w:val="24"/>
        </w:rPr>
      </w:pPr>
      <w:hyperlink w:anchor="_Toc137828448" w:history="1">
        <w:r w:rsidR="0097360B" w:rsidRPr="0097360B">
          <w:rPr>
            <w:rStyle w:val="af0"/>
            <w:rFonts w:ascii="宋体" w:hAnsi="宋体" w:hint="eastAsia"/>
            <w:noProof/>
            <w:sz w:val="24"/>
          </w:rPr>
          <w:t>二十二、托管协议的内容摘要</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_Toc137828448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130</w:t>
        </w:r>
        <w:r w:rsidR="0097360B" w:rsidRPr="0097360B">
          <w:rPr>
            <w:rFonts w:ascii="宋体" w:hAnsi="宋体"/>
            <w:noProof/>
            <w:sz w:val="24"/>
          </w:rPr>
          <w:fldChar w:fldCharType="end"/>
        </w:r>
      </w:hyperlink>
    </w:p>
    <w:p w14:paraId="3C531756" w14:textId="2143A2F7" w:rsidR="0097360B" w:rsidRPr="00971922" w:rsidRDefault="00AE3A4C" w:rsidP="0097360B">
      <w:pPr>
        <w:pStyle w:val="11"/>
        <w:tabs>
          <w:tab w:val="right" w:leader="dot" w:pos="8550"/>
        </w:tabs>
        <w:spacing w:line="360" w:lineRule="auto"/>
        <w:rPr>
          <w:rFonts w:ascii="宋体" w:hAnsi="宋体"/>
          <w:noProof/>
          <w:sz w:val="24"/>
        </w:rPr>
      </w:pPr>
      <w:hyperlink w:anchor="_Toc137828449" w:history="1">
        <w:r w:rsidR="0097360B" w:rsidRPr="0097360B">
          <w:rPr>
            <w:rStyle w:val="af0"/>
            <w:rFonts w:ascii="宋体" w:hAnsi="宋体" w:hint="eastAsia"/>
            <w:noProof/>
            <w:sz w:val="24"/>
          </w:rPr>
          <w:t>二十三、对基金份额持有人的服务</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_Toc137828449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140</w:t>
        </w:r>
        <w:r w:rsidR="0097360B" w:rsidRPr="0097360B">
          <w:rPr>
            <w:rFonts w:ascii="宋体" w:hAnsi="宋体"/>
            <w:noProof/>
            <w:sz w:val="24"/>
          </w:rPr>
          <w:fldChar w:fldCharType="end"/>
        </w:r>
      </w:hyperlink>
    </w:p>
    <w:p w14:paraId="5AB30F03" w14:textId="4B246BD8" w:rsidR="0097360B" w:rsidRPr="00971922" w:rsidRDefault="00AE3A4C" w:rsidP="0097360B">
      <w:pPr>
        <w:pStyle w:val="11"/>
        <w:tabs>
          <w:tab w:val="right" w:leader="dot" w:pos="8550"/>
        </w:tabs>
        <w:spacing w:line="360" w:lineRule="auto"/>
        <w:rPr>
          <w:rFonts w:ascii="宋体" w:hAnsi="宋体"/>
          <w:noProof/>
          <w:sz w:val="24"/>
        </w:rPr>
      </w:pPr>
      <w:hyperlink w:anchor="_Toc137828450" w:history="1">
        <w:r w:rsidR="0097360B" w:rsidRPr="0097360B">
          <w:rPr>
            <w:rStyle w:val="af0"/>
            <w:rFonts w:ascii="宋体" w:hAnsi="宋体" w:hint="eastAsia"/>
            <w:noProof/>
            <w:sz w:val="24"/>
          </w:rPr>
          <w:t>二十四、其他应披露事项</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_Toc137828450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142</w:t>
        </w:r>
        <w:r w:rsidR="0097360B" w:rsidRPr="0097360B">
          <w:rPr>
            <w:rFonts w:ascii="宋体" w:hAnsi="宋体"/>
            <w:noProof/>
            <w:sz w:val="24"/>
          </w:rPr>
          <w:fldChar w:fldCharType="end"/>
        </w:r>
      </w:hyperlink>
    </w:p>
    <w:p w14:paraId="2253DEF4" w14:textId="6886E234" w:rsidR="0097360B" w:rsidRPr="00971922" w:rsidRDefault="00AE3A4C" w:rsidP="0097360B">
      <w:pPr>
        <w:pStyle w:val="11"/>
        <w:tabs>
          <w:tab w:val="right" w:leader="dot" w:pos="8550"/>
        </w:tabs>
        <w:spacing w:line="360" w:lineRule="auto"/>
        <w:rPr>
          <w:rFonts w:ascii="宋体" w:hAnsi="宋体"/>
          <w:noProof/>
          <w:sz w:val="24"/>
        </w:rPr>
      </w:pPr>
      <w:hyperlink w:anchor="_Toc137828451" w:history="1">
        <w:r w:rsidR="0097360B" w:rsidRPr="0097360B">
          <w:rPr>
            <w:rStyle w:val="af0"/>
            <w:rFonts w:ascii="宋体" w:hAnsi="宋体" w:hint="eastAsia"/>
            <w:noProof/>
            <w:sz w:val="24"/>
          </w:rPr>
          <w:t>二十五、招募说明书的存放及查阅方式</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_Toc137828451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144</w:t>
        </w:r>
        <w:r w:rsidR="0097360B" w:rsidRPr="0097360B">
          <w:rPr>
            <w:rFonts w:ascii="宋体" w:hAnsi="宋体"/>
            <w:noProof/>
            <w:sz w:val="24"/>
          </w:rPr>
          <w:fldChar w:fldCharType="end"/>
        </w:r>
      </w:hyperlink>
    </w:p>
    <w:p w14:paraId="069CE998" w14:textId="4CA139F8" w:rsidR="0097360B" w:rsidRPr="00971922" w:rsidRDefault="00AE3A4C" w:rsidP="0097360B">
      <w:pPr>
        <w:pStyle w:val="11"/>
        <w:tabs>
          <w:tab w:val="right" w:leader="dot" w:pos="8550"/>
        </w:tabs>
        <w:spacing w:line="360" w:lineRule="auto"/>
        <w:rPr>
          <w:rFonts w:ascii="宋体" w:hAnsi="宋体"/>
          <w:noProof/>
          <w:sz w:val="24"/>
        </w:rPr>
      </w:pPr>
      <w:hyperlink w:anchor="_Toc137828452" w:history="1">
        <w:r w:rsidR="0097360B" w:rsidRPr="0097360B">
          <w:rPr>
            <w:rStyle w:val="af0"/>
            <w:rFonts w:ascii="宋体" w:hAnsi="宋体" w:hint="eastAsia"/>
            <w:noProof/>
            <w:sz w:val="24"/>
          </w:rPr>
          <w:t>二十六、备查文件</w:t>
        </w:r>
        <w:r w:rsidR="0097360B" w:rsidRPr="0097360B">
          <w:rPr>
            <w:rFonts w:ascii="宋体" w:hAnsi="宋体"/>
            <w:noProof/>
            <w:sz w:val="24"/>
          </w:rPr>
          <w:tab/>
        </w:r>
        <w:r w:rsidR="0097360B" w:rsidRPr="0097360B">
          <w:rPr>
            <w:rFonts w:ascii="宋体" w:hAnsi="宋体"/>
            <w:noProof/>
            <w:sz w:val="24"/>
          </w:rPr>
          <w:fldChar w:fldCharType="begin"/>
        </w:r>
        <w:r w:rsidR="0097360B" w:rsidRPr="0097360B">
          <w:rPr>
            <w:rFonts w:ascii="宋体" w:hAnsi="宋体"/>
            <w:noProof/>
            <w:sz w:val="24"/>
          </w:rPr>
          <w:instrText xml:space="preserve"> PAGEREF _Toc137828452 \h </w:instrText>
        </w:r>
        <w:r w:rsidR="0097360B" w:rsidRPr="0097360B">
          <w:rPr>
            <w:rFonts w:ascii="宋体" w:hAnsi="宋体"/>
            <w:noProof/>
            <w:sz w:val="24"/>
          </w:rPr>
        </w:r>
        <w:r w:rsidR="0097360B" w:rsidRPr="0097360B">
          <w:rPr>
            <w:rFonts w:ascii="宋体" w:hAnsi="宋体"/>
            <w:noProof/>
            <w:sz w:val="24"/>
          </w:rPr>
          <w:fldChar w:fldCharType="separate"/>
        </w:r>
        <w:r>
          <w:rPr>
            <w:rFonts w:ascii="宋体" w:hAnsi="宋体"/>
            <w:noProof/>
            <w:sz w:val="24"/>
          </w:rPr>
          <w:t>145</w:t>
        </w:r>
        <w:r w:rsidR="0097360B" w:rsidRPr="0097360B">
          <w:rPr>
            <w:rFonts w:ascii="宋体" w:hAnsi="宋体"/>
            <w:noProof/>
            <w:sz w:val="24"/>
          </w:rPr>
          <w:fldChar w:fldCharType="end"/>
        </w:r>
      </w:hyperlink>
    </w:p>
    <w:p w14:paraId="1E559F32" w14:textId="3AD1FFFC" w:rsidR="00007225" w:rsidRDefault="0097360B" w:rsidP="005C6F03">
      <w:pPr>
        <w:pStyle w:val="af3"/>
        <w:snapToGrid w:val="0"/>
        <w:spacing w:after="240" w:line="360" w:lineRule="auto"/>
        <w:jc w:val="center"/>
        <w:rPr>
          <w:b w:val="0"/>
          <w:bCs w:val="0"/>
        </w:rPr>
        <w:sectPr w:rsidR="00007225">
          <w:pgSz w:w="11920" w:h="16840"/>
          <w:pgMar w:top="1480" w:right="1680" w:bottom="280" w:left="1680" w:header="0" w:footer="1073" w:gutter="0"/>
          <w:cols w:space="720"/>
        </w:sectPr>
      </w:pPr>
      <w:r w:rsidRPr="0097360B">
        <w:rPr>
          <w:rFonts w:ascii="宋体" w:hAnsi="宋体"/>
          <w:b w:val="0"/>
          <w:bCs w:val="0"/>
          <w:color w:val="000000"/>
          <w:position w:val="-4"/>
          <w:sz w:val="24"/>
          <w:szCs w:val="30"/>
        </w:rPr>
        <w:fldChar w:fldCharType="end"/>
      </w:r>
    </w:p>
    <w:p w14:paraId="55C90CC4" w14:textId="77777777" w:rsidR="00007225" w:rsidRDefault="00F07F0D">
      <w:pPr>
        <w:pStyle w:val="1"/>
        <w:snapToGrid w:val="0"/>
        <w:spacing w:beforeLines="0" w:before="240" w:after="240"/>
        <w:rPr>
          <w:rFonts w:ascii="宋体" w:hAnsi="宋体"/>
          <w:szCs w:val="30"/>
        </w:rPr>
      </w:pPr>
      <w:bookmarkStart w:id="3" w:name="_Toc137828427"/>
      <w:r>
        <w:rPr>
          <w:rFonts w:ascii="Times New Roman" w:hAnsi="Times New Roman"/>
          <w:sz w:val="30"/>
        </w:rPr>
        <w:lastRenderedPageBreak/>
        <w:t>一、绪言</w:t>
      </w:r>
      <w:bookmarkEnd w:id="3"/>
    </w:p>
    <w:p w14:paraId="1CFB9F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货币市场证券投资基金招募说明书（更新）》（以下简称“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货币市场基金管理暂行规定》（以下简称“《暂行规定》”）、《货币市场基金信息披露特别规定》（以下简称“《信息披露特别规定》”）、《公开募集开放式证券投资基金流动性风险管理规定》（以下简称《流动性规定》）和其他相关法律法规的规定以及《交银施罗德货币市场证券投资基金基金合同》（以下简称“基金合同”）编写。</w:t>
      </w:r>
    </w:p>
    <w:p w14:paraId="7C26E6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B6304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w:t>
      </w:r>
      <w:proofErr w:type="gramStart"/>
      <w:r>
        <w:rPr>
          <w:rFonts w:ascii="宋体" w:hAnsi="宋体"/>
          <w:sz w:val="24"/>
        </w:rPr>
        <w:t>投资者自依基金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20A0E98F"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82CC886" w14:textId="77777777" w:rsidR="00007225" w:rsidRDefault="00F07F0D">
      <w:pPr>
        <w:pStyle w:val="1"/>
        <w:snapToGrid w:val="0"/>
        <w:spacing w:beforeLines="0" w:before="240" w:after="240"/>
        <w:rPr>
          <w:rFonts w:ascii="宋体" w:hAnsi="宋体"/>
          <w:szCs w:val="30"/>
        </w:rPr>
      </w:pPr>
      <w:bookmarkStart w:id="4" w:name="_Toc137828428"/>
      <w:r>
        <w:rPr>
          <w:rFonts w:ascii="Times New Roman" w:hAnsi="Times New Roman"/>
          <w:sz w:val="30"/>
        </w:rPr>
        <w:lastRenderedPageBreak/>
        <w:t>二、释义</w:t>
      </w:r>
      <w:bookmarkEnd w:id="4"/>
    </w:p>
    <w:p w14:paraId="491591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本招募说明书中，除非文意另有所指，下列词语或简称具有如下含义：</w:t>
      </w:r>
    </w:p>
    <w:p w14:paraId="5B8166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基金或本基金：指交银施罗德货币市场证券投资基金；</w:t>
      </w:r>
    </w:p>
    <w:p w14:paraId="0E4209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基金合同：指《交银施罗德货币市场证券投资基金基金合同》及其任何有效的修订和补充；</w:t>
      </w:r>
    </w:p>
    <w:p w14:paraId="166FB7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招募说明书：指《交银施罗德货币市场证券投资基金招募说明书》及其更新；</w:t>
      </w:r>
    </w:p>
    <w:p w14:paraId="56CD05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发售公告：指《交银施罗德货币市场证券投资基金基金份额发售公告》；</w:t>
      </w:r>
    </w:p>
    <w:p w14:paraId="1250FD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基金产品资料概要：指《交银施罗德货币市场证券投资基金基金产品资料概要》及其更新；</w:t>
      </w:r>
    </w:p>
    <w:p w14:paraId="480F01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托管协议：指基金管理人与基金托管人签订的《交银施罗德货币市场证券投资基金托管协议》及其任何有效的修订和补充；</w:t>
      </w:r>
    </w:p>
    <w:p w14:paraId="02ADA9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法律法规：指中国现时有效并公布实施的法律、行政法规、部门规章及规范性文件、地方性法规、地方政府规章及规范性文件；</w:t>
      </w:r>
    </w:p>
    <w:p w14:paraId="5B454D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《证券法》：指《中华人民共和国证券法》及颁布机关对其不时</w:t>
      </w:r>
      <w:proofErr w:type="gramStart"/>
      <w:r>
        <w:rPr>
          <w:rFonts w:ascii="宋体" w:hAnsi="宋体"/>
          <w:sz w:val="24"/>
        </w:rPr>
        <w:t>作出</w:t>
      </w:r>
      <w:proofErr w:type="gramEnd"/>
      <w:r>
        <w:rPr>
          <w:rFonts w:ascii="宋体" w:hAnsi="宋体"/>
          <w:sz w:val="24"/>
        </w:rPr>
        <w:t>的修订；</w:t>
      </w:r>
    </w:p>
    <w:p w14:paraId="0CAFE0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《基金法》：指自2004年6月1日起施行的《中华人民共和国证券投资基金法》及颁布机关对其不时</w:t>
      </w:r>
      <w:proofErr w:type="gramStart"/>
      <w:r>
        <w:rPr>
          <w:rFonts w:ascii="宋体" w:hAnsi="宋体"/>
          <w:sz w:val="24"/>
        </w:rPr>
        <w:t>作出</w:t>
      </w:r>
      <w:proofErr w:type="gramEnd"/>
      <w:r>
        <w:rPr>
          <w:rFonts w:ascii="宋体" w:hAnsi="宋体"/>
          <w:sz w:val="24"/>
        </w:rPr>
        <w:t>的修订；</w:t>
      </w:r>
    </w:p>
    <w:p w14:paraId="524CC3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《销售办法》：指自2011年10月1日起施行的《证券投资基金销售管理办法》；</w:t>
      </w:r>
    </w:p>
    <w:p w14:paraId="6607B6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《运作办法》：指自2004年7月1日起施行的《证券投资基金运作管理办法》；</w:t>
      </w:r>
    </w:p>
    <w:p w14:paraId="50E779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《信息披露办法》：指自2019年9月1日起施行的《公开募集证券投资基金信息披露管理办法》；</w:t>
      </w:r>
    </w:p>
    <w:p w14:paraId="5B3E9B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《暂行规定》：指中国证监会和中国人民银行于2004 年8月16日联合发布并于该日施行的《货币市场基金管理暂行规定》；</w:t>
      </w:r>
    </w:p>
    <w:p w14:paraId="0BE03B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《信息披露特别规定》：指自</w:t>
      </w:r>
      <w:proofErr w:type="gramStart"/>
      <w:r>
        <w:rPr>
          <w:rFonts w:ascii="宋体" w:hAnsi="宋体"/>
          <w:sz w:val="24"/>
        </w:rPr>
        <w:t>2005</w:t>
      </w:r>
      <w:proofErr w:type="gramEnd"/>
      <w:r>
        <w:rPr>
          <w:rFonts w:ascii="宋体" w:hAnsi="宋体"/>
          <w:sz w:val="24"/>
        </w:rPr>
        <w:t>月4月1日起施行的《证券投资基金信息披露编报规则第5号&lt;货币市场基金信息披露特别规定&gt;》；</w:t>
      </w:r>
    </w:p>
    <w:p w14:paraId="3461A5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《流动性规定》：指中国证监会2017年8月31日颁布、同年10月1日实施的《公开募集开放式证券投资基金流动性风险管理规定》及颁布机关对其不时做出的修订；</w:t>
      </w:r>
    </w:p>
    <w:p w14:paraId="212523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业务规则：指《交银施罗德基金管理有限公司开放式基金业务规则》；</w:t>
      </w:r>
    </w:p>
    <w:p w14:paraId="28CC9D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中国：指中华人民共和国(就本招募说明书而言，不包括香港特别行政区、澳</w:t>
      </w:r>
      <w:r>
        <w:rPr>
          <w:rFonts w:ascii="宋体" w:hAnsi="宋体"/>
          <w:sz w:val="24"/>
        </w:rPr>
        <w:lastRenderedPageBreak/>
        <w:t>门特别行政区及台湾地区)</w:t>
      </w:r>
    </w:p>
    <w:p w14:paraId="4CCA05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中国证监会：指中国证券监督管理委员会；</w:t>
      </w:r>
    </w:p>
    <w:p w14:paraId="7D5286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银行业监管机构：指中国银行业监督管理委员会或其他经国务院授权的机构；</w:t>
      </w:r>
    </w:p>
    <w:p w14:paraId="621106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基金合同当事人：指受基金合同约束，根据基金合同享受权利并承担义务的基金管理人、基金托管人和基金份额持有人；</w:t>
      </w:r>
    </w:p>
    <w:p w14:paraId="42429C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基金管理人或本基金管理人：指交银施罗德基金管理有限公司；</w:t>
      </w:r>
    </w:p>
    <w:p w14:paraId="108AA4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基金托管人：指中国农业银行股份有限公司；</w:t>
      </w:r>
    </w:p>
    <w:p w14:paraId="31D21D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基金份额持有人：指依法并依基金合同、招募说明书取得并持有基金份额的投资者；</w:t>
      </w:r>
    </w:p>
    <w:p w14:paraId="64B310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投资者：指个人投资者、机构投资者和合格境外机构投资者的总称；</w:t>
      </w:r>
    </w:p>
    <w:p w14:paraId="448B6A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个人投资者：指符合法律法规规定可以投资开放式证券投资基金的自然人；</w:t>
      </w:r>
    </w:p>
    <w:p w14:paraId="33830A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机构投资者：指符合法律法规规定可以投资开放式证券投资基金的在中国境内注册登记或经有关政府部门批准设立的法人、社会团体和其他组织、机构；</w:t>
      </w:r>
    </w:p>
    <w:p w14:paraId="453C45F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合格境外机构投资者：指符合法律法规规定可投资于中国境内证券市场的中国境外的机构投资者；</w:t>
      </w:r>
    </w:p>
    <w:p w14:paraId="3454EF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销售机构：指交银施罗德基金管理有限公司及基金代销机构；</w:t>
      </w:r>
    </w:p>
    <w:p w14:paraId="3970C7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基金代销机构：指取得基金代销业务资格，接受基金管理人委托并与基金管理人签订了代销协议，代为办理基金销售服务业务的机构；</w:t>
      </w:r>
    </w:p>
    <w:p w14:paraId="369A34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基金销售网点：指交银施罗德基金管理有限公司的直销网点及基金代销机构的代销网点；</w:t>
      </w:r>
    </w:p>
    <w:p w14:paraId="54D566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注册登记业务：指基金登记、存管、清算和交收业务，具体内容包括投资者基金账户管理、基金份额注册登记、清算及基金交易确认、发放红利、建立并保管基金份额持有人名册等；</w:t>
      </w:r>
    </w:p>
    <w:p w14:paraId="19D112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注册登记机构：指交银施罗德基金管理有限公司或由其委托办理基金注册登记业务的机构；</w:t>
      </w:r>
    </w:p>
    <w:p w14:paraId="04D0EA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元：指中国法定货币人民币元；</w:t>
      </w:r>
    </w:p>
    <w:p w14:paraId="5DB336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服务费：也称持续销售和服务费用，主要用于支付销售机构佣金以及基金管理人的基金营销广告费、促销活动费、基金份额持有人服务费等，该笔费用从各级基金份额的基金财产中扣除，属于基金的营运费用；</w:t>
      </w:r>
    </w:p>
    <w:p w14:paraId="3F333B89" w14:textId="4E0E70A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基金份额等级：指本基金根据投资者持有本基金的基金份额数量所设定的不同</w:t>
      </w:r>
      <w:r>
        <w:rPr>
          <w:rFonts w:ascii="宋体" w:hAnsi="宋体"/>
          <w:sz w:val="24"/>
        </w:rPr>
        <w:lastRenderedPageBreak/>
        <w:t>等级。本基金对投资者持有的基金份额按等级适用不同的销售服务费费率，并分别公布各级基金份额的</w:t>
      </w:r>
      <w:r w:rsidR="00F87260">
        <w:rPr>
          <w:rFonts w:ascii="宋体" w:hAnsi="宋体"/>
          <w:sz w:val="24"/>
        </w:rPr>
        <w:t>每万份基金已实现收益</w:t>
      </w:r>
      <w:r>
        <w:rPr>
          <w:rFonts w:ascii="宋体" w:hAnsi="宋体"/>
          <w:sz w:val="24"/>
        </w:rPr>
        <w:t>和基金</w:t>
      </w:r>
      <w:proofErr w:type="gramStart"/>
      <w:r>
        <w:rPr>
          <w:rFonts w:ascii="宋体" w:hAnsi="宋体"/>
          <w:sz w:val="24"/>
        </w:rPr>
        <w:t>七日年化收益率</w:t>
      </w:r>
      <w:proofErr w:type="gramEnd"/>
      <w:r>
        <w:rPr>
          <w:rFonts w:ascii="宋体" w:hAnsi="宋体"/>
          <w:sz w:val="24"/>
        </w:rPr>
        <w:t>；</w:t>
      </w:r>
    </w:p>
    <w:p w14:paraId="2B7FDE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基金份额的升级：指当投资者在单个基金账户保留的某级基金份额达到上</w:t>
      </w:r>
      <w:proofErr w:type="gramStart"/>
      <w:r>
        <w:rPr>
          <w:rFonts w:ascii="宋体" w:hAnsi="宋体"/>
          <w:sz w:val="24"/>
        </w:rPr>
        <w:t>一级基金</w:t>
      </w:r>
      <w:proofErr w:type="gramEnd"/>
      <w:r>
        <w:rPr>
          <w:rFonts w:ascii="宋体" w:hAnsi="宋体"/>
          <w:sz w:val="24"/>
        </w:rPr>
        <w:t>份额的最低份额要求时，基金的注册登记机构自动将投资者在该基金账户保留的该级基金份额全部升级为上</w:t>
      </w:r>
      <w:proofErr w:type="gramStart"/>
      <w:r>
        <w:rPr>
          <w:rFonts w:ascii="宋体" w:hAnsi="宋体"/>
          <w:sz w:val="24"/>
        </w:rPr>
        <w:t>一级基金</w:t>
      </w:r>
      <w:proofErr w:type="gramEnd"/>
      <w:r>
        <w:rPr>
          <w:rFonts w:ascii="宋体" w:hAnsi="宋体"/>
          <w:sz w:val="24"/>
        </w:rPr>
        <w:t>份额；</w:t>
      </w:r>
    </w:p>
    <w:p w14:paraId="63754B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基金份额的降级：指当投资者在单个基金账户保留的某级基金份额不能满足该级基金份额最低份额要求时，基金的注册登记机构自动将投资者在该基金账户保留的该级基金份额全部降级为下</w:t>
      </w:r>
      <w:proofErr w:type="gramStart"/>
      <w:r>
        <w:rPr>
          <w:rFonts w:ascii="宋体" w:hAnsi="宋体"/>
          <w:sz w:val="24"/>
        </w:rPr>
        <w:t>一级基金</w:t>
      </w:r>
      <w:proofErr w:type="gramEnd"/>
      <w:r>
        <w:rPr>
          <w:rFonts w:ascii="宋体" w:hAnsi="宋体"/>
          <w:sz w:val="24"/>
        </w:rPr>
        <w:t>份额；</w:t>
      </w:r>
    </w:p>
    <w:p w14:paraId="25D28D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基金合同生效日：指本基金募集达到法律法规规定及基金合同规定的条件，基金管理人聘请法定机构验资并办理完毕基金合同备案手续并获得中国证监会书面确认之日；</w:t>
      </w:r>
    </w:p>
    <w:p w14:paraId="199642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开放日：指销售机构为投资者办理基金申购、赎回等业务的工作日；</w:t>
      </w:r>
    </w:p>
    <w:p w14:paraId="3492F9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募集期：指自基金份额发售之日起不超过3个月的期间；</w:t>
      </w:r>
    </w:p>
    <w:p w14:paraId="056B6D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基金存续期：指基金合同生效后合法存续的不定期之期间；</w:t>
      </w:r>
    </w:p>
    <w:p w14:paraId="055B83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日/天：指公历日；</w:t>
      </w:r>
    </w:p>
    <w:p w14:paraId="22C257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月：指公历月；</w:t>
      </w:r>
    </w:p>
    <w:p w14:paraId="14A144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工作日：指上海证券交易所和深圳证券交易所的正常交易日；</w:t>
      </w:r>
    </w:p>
    <w:p w14:paraId="09C7C9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T日：指销售机构确认的投资者有效申请工作日；</w:t>
      </w:r>
    </w:p>
    <w:p w14:paraId="509B2A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T+n日：指自T日起第n</w:t>
      </w:r>
      <w:proofErr w:type="gramStart"/>
      <w:r>
        <w:rPr>
          <w:rFonts w:ascii="宋体" w:hAnsi="宋体"/>
          <w:sz w:val="24"/>
        </w:rPr>
        <w:t>个</w:t>
      </w:r>
      <w:proofErr w:type="gramEnd"/>
      <w:r>
        <w:rPr>
          <w:rFonts w:ascii="宋体" w:hAnsi="宋体"/>
          <w:sz w:val="24"/>
        </w:rPr>
        <w:t>工作日（不包含T日）；</w:t>
      </w:r>
    </w:p>
    <w:p w14:paraId="6BCA69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发售：指在本基金募集期内，销售机构向投资者销售本基金份额的行为；</w:t>
      </w:r>
    </w:p>
    <w:p w14:paraId="4F4569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认购：指在本基金募集期内，投资者购买本基金份额的行为；</w:t>
      </w:r>
    </w:p>
    <w:p w14:paraId="34ECD7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申购：指基金合同生效后，基金投资者根据基金销售网点规定的手续，向基金管理人提出申请购买基金份额的行为。本基金的申购自基金合同生效后不超过30日的时间开始办理；</w:t>
      </w:r>
    </w:p>
    <w:p w14:paraId="7D18C8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赎回：指基金合同生效后，基金投资者根据基金销售网点规定的手续，向基金管理人提出申请卖出基金份额的行为。本基金的赎回自基金合同生效后不超过30日的时间开始办理；</w:t>
      </w:r>
    </w:p>
    <w:p w14:paraId="3AC62E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转托管：指投资者将其持有的同一基金账户下的基金份额从某一交易账户转入另一交易账户的业务；</w:t>
      </w:r>
    </w:p>
    <w:p w14:paraId="5FE9AE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投资指令：指基金管理人在运用基金财产进行投资时，向基金托管人发出的资</w:t>
      </w:r>
      <w:r>
        <w:rPr>
          <w:rFonts w:ascii="宋体" w:hAnsi="宋体"/>
          <w:sz w:val="24"/>
        </w:rPr>
        <w:lastRenderedPageBreak/>
        <w:t>金划拨及实物</w:t>
      </w:r>
      <w:proofErr w:type="gramStart"/>
      <w:r>
        <w:rPr>
          <w:rFonts w:ascii="宋体" w:hAnsi="宋体"/>
          <w:sz w:val="24"/>
        </w:rPr>
        <w:t>券</w:t>
      </w:r>
      <w:proofErr w:type="gramEnd"/>
      <w:r>
        <w:rPr>
          <w:rFonts w:ascii="宋体" w:hAnsi="宋体"/>
          <w:sz w:val="24"/>
        </w:rPr>
        <w:t>调拨等指令；</w:t>
      </w:r>
    </w:p>
    <w:p w14:paraId="22D4C5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基金账户：指基金注册登记机构给投资者开立的用于记录投资者持有的由该注册登记机构登记注册的开放式基金份额变动及结余情况的账户；</w:t>
      </w:r>
    </w:p>
    <w:p w14:paraId="57A83F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交易账户：指各销售机构为投资者开立的记录投资者通过该销售机构办理基金交易所引起的基金份额的变动及结余情况的账户；</w:t>
      </w:r>
    </w:p>
    <w:p w14:paraId="6C97C5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定期定额投资计划：指投资者通过向有关销售机构提交申请，约定每期申购日、扣款金额及扣款方式，由指定的销售机构在投资者指定资金账户内自动扣款并于每期约定申购日提交基金申购申请的一种投资方式；</w:t>
      </w:r>
    </w:p>
    <w:p w14:paraId="1576D5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基金收益：指基金投资所得银行存款利息、债券利息、买卖债券差价以及其他合法收益；</w:t>
      </w:r>
    </w:p>
    <w:p w14:paraId="0AF80A68" w14:textId="4369563F" w:rsidR="00007225" w:rsidRDefault="00F8726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每万份基金已实现收益</w:t>
      </w:r>
      <w:r w:rsidR="00F07F0D">
        <w:rPr>
          <w:rFonts w:ascii="宋体" w:hAnsi="宋体"/>
          <w:sz w:val="24"/>
        </w:rPr>
        <w:t>：指</w:t>
      </w:r>
      <w:r w:rsidRPr="006A5B56">
        <w:rPr>
          <w:rFonts w:ascii="宋体" w:hAnsi="宋体" w:hint="eastAsia"/>
          <w:color w:val="000000"/>
          <w:sz w:val="24"/>
          <w:szCs w:val="21"/>
        </w:rPr>
        <w:t>按照相关法规计算的每万份基金份额的日已实现收益</w:t>
      </w:r>
      <w:r w:rsidR="00F07F0D">
        <w:rPr>
          <w:rFonts w:ascii="宋体" w:hAnsi="宋体"/>
          <w:sz w:val="24"/>
        </w:rPr>
        <w:t>；</w:t>
      </w:r>
    </w:p>
    <w:p w14:paraId="68B400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w:t>
      </w:r>
      <w:proofErr w:type="gramStart"/>
      <w:r>
        <w:rPr>
          <w:rFonts w:ascii="宋体" w:hAnsi="宋体"/>
          <w:sz w:val="24"/>
        </w:rPr>
        <w:t>七日年化收益率</w:t>
      </w:r>
      <w:proofErr w:type="gramEnd"/>
      <w:r>
        <w:rPr>
          <w:rFonts w:ascii="宋体" w:hAnsi="宋体"/>
          <w:sz w:val="24"/>
        </w:rPr>
        <w:t>（%）：指以最近七日（含节假日）收益折算的</w:t>
      </w:r>
      <w:proofErr w:type="gramStart"/>
      <w:r>
        <w:rPr>
          <w:rFonts w:ascii="宋体" w:hAnsi="宋体"/>
          <w:sz w:val="24"/>
        </w:rPr>
        <w:t>年资产</w:t>
      </w:r>
      <w:proofErr w:type="gramEnd"/>
      <w:r>
        <w:rPr>
          <w:rFonts w:ascii="宋体" w:hAnsi="宋体"/>
          <w:sz w:val="24"/>
        </w:rPr>
        <w:t>收益率；</w:t>
      </w:r>
    </w:p>
    <w:p w14:paraId="5C7CD0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基金资产总值：指基金所购买的各类证券及票据价值、银行存款本息和本基金应收的申购基金款以及其他投资所形成的价值总和；</w:t>
      </w:r>
    </w:p>
    <w:p w14:paraId="3B5038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基金资产净值：指基金资产总值扣除负债后的净资产值；</w:t>
      </w:r>
    </w:p>
    <w:p w14:paraId="0FA66C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基金份额净值：指计算日基金资产净值除以计算日发行在外的基金份额总数；</w:t>
      </w:r>
    </w:p>
    <w:p w14:paraId="7EAB54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基金资产估值：指计算评估基金资产和负债的价值，以确定基金资产净值的过程；</w:t>
      </w:r>
    </w:p>
    <w:p w14:paraId="0DCCA9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摊</w:t>
      </w:r>
      <w:proofErr w:type="gramStart"/>
      <w:r>
        <w:rPr>
          <w:rFonts w:ascii="宋体" w:hAnsi="宋体"/>
          <w:sz w:val="24"/>
        </w:rPr>
        <w:t>余成本</w:t>
      </w:r>
      <w:proofErr w:type="gramEnd"/>
      <w:r>
        <w:rPr>
          <w:rFonts w:ascii="宋体" w:hAnsi="宋体"/>
          <w:sz w:val="24"/>
        </w:rPr>
        <w:t>法：即估值对象以买入成本列示， 按票面利率或协议利率并考虑其买入时的溢价与折价，在其剩余存续期限内平均摊销，每日计提损益；</w:t>
      </w:r>
    </w:p>
    <w:p w14:paraId="7F9B8D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流动性受限资产：指由于法律法规、监管、合同或操作障碍等原因无法以合理价格予以变现的资产，包括但不限于到期日在10个交易日以上的逆回购与银行定期存款（</w:t>
      </w:r>
      <w:proofErr w:type="gramStart"/>
      <w:r>
        <w:rPr>
          <w:rFonts w:ascii="宋体" w:hAnsi="宋体"/>
          <w:sz w:val="24"/>
        </w:rPr>
        <w:t>含协议</w:t>
      </w:r>
      <w:proofErr w:type="gramEnd"/>
      <w:r>
        <w:rPr>
          <w:rFonts w:ascii="宋体" w:hAnsi="宋体"/>
          <w:sz w:val="24"/>
        </w:rPr>
        <w:t>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0D8387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指定媒介：指中国证监会指定的用以进行信息披露的全国性报刊及指定互联网网站（包括基金管理人网站、基金托管人网站、中国证监会基金电子披露网站）等</w:t>
      </w:r>
      <w:r>
        <w:rPr>
          <w:rFonts w:ascii="宋体" w:hAnsi="宋体"/>
          <w:sz w:val="24"/>
        </w:rPr>
        <w:lastRenderedPageBreak/>
        <w:t>媒介；不可抗力：指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14:paraId="09E2102B"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92E570" w14:textId="77777777" w:rsidR="00007225" w:rsidRDefault="00F07F0D">
      <w:pPr>
        <w:pStyle w:val="1"/>
        <w:snapToGrid w:val="0"/>
        <w:spacing w:beforeLines="0" w:before="240" w:after="240"/>
        <w:rPr>
          <w:rFonts w:ascii="宋体" w:hAnsi="宋体"/>
          <w:szCs w:val="30"/>
        </w:rPr>
      </w:pPr>
      <w:bookmarkStart w:id="5" w:name="_Toc137828429"/>
      <w:r>
        <w:rPr>
          <w:rFonts w:ascii="Times New Roman" w:hAnsi="Times New Roman"/>
          <w:sz w:val="30"/>
        </w:rPr>
        <w:lastRenderedPageBreak/>
        <w:t>三、基金管理人</w:t>
      </w:r>
      <w:bookmarkEnd w:id="5"/>
    </w:p>
    <w:p w14:paraId="5E78CC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5B54FF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6D512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73BA2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65E899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275D67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554D2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621D65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1CC7EA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C7CE2C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1E15E7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4964E4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3E9781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007225" w14:paraId="0CB638F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54039C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BF4784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007225" w14:paraId="1A46929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5B4566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262FB1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007225" w14:paraId="16BB3E3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073904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C72448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007225" w14:paraId="4E46D0B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84DA72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46127CB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0DC105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40F122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7DC1E8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2FE1549" w14:textId="0E755523"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14:paraId="38833EDA" w14:textId="3B1E7F83"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w:t>
      </w:r>
      <w:proofErr w:type="gramStart"/>
      <w:r>
        <w:rPr>
          <w:rFonts w:ascii="宋体" w:hAnsi="宋体"/>
          <w:sz w:val="24"/>
        </w:rPr>
        <w:t>内控案防</w:t>
      </w:r>
      <w:proofErr w:type="gramEnd"/>
      <w:r>
        <w:rPr>
          <w:rFonts w:ascii="宋体" w:hAnsi="宋体"/>
          <w:sz w:val="24"/>
        </w:rPr>
        <w:t>办副总经理。历任交通银行总行国际业务部外汇资金处交易员、澳门分行资金部主管、总行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14:paraId="1E0F06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w:t>
      </w:r>
      <w:r w:rsidR="000A1A07">
        <w:rPr>
          <w:rFonts w:ascii="宋体" w:hAnsi="宋体"/>
          <w:sz w:val="24"/>
        </w:rPr>
        <w:t>，</w:t>
      </w:r>
      <w:r w:rsidR="000A1A07" w:rsidRPr="00147852">
        <w:rPr>
          <w:rFonts w:ascii="宋体" w:hAnsi="宋体" w:hint="eastAsia"/>
          <w:sz w:val="24"/>
        </w:rPr>
        <w:t>第十、十一、十二届</w:t>
      </w:r>
      <w:r w:rsidR="000A1A07">
        <w:rPr>
          <w:rFonts w:ascii="宋体" w:hAnsi="宋体"/>
          <w:sz w:val="24"/>
        </w:rPr>
        <w:t>民盟中央委员、</w:t>
      </w:r>
      <w:r w:rsidR="000A1A07" w:rsidRPr="00147852">
        <w:rPr>
          <w:rFonts w:ascii="宋体" w:hAnsi="宋体" w:hint="eastAsia"/>
          <w:sz w:val="24"/>
        </w:rPr>
        <w:t>第十一、十二、十三届</w:t>
      </w:r>
      <w:r w:rsidR="000A1A07">
        <w:rPr>
          <w:rFonts w:ascii="宋体" w:hAnsi="宋体"/>
          <w:sz w:val="24"/>
        </w:rPr>
        <w:t>全国政协委员</w:t>
      </w:r>
      <w:r>
        <w:rPr>
          <w:rFonts w:ascii="宋体" w:hAnsi="宋体"/>
          <w:sz w:val="24"/>
        </w:rPr>
        <w:t>。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18911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w:t>
      </w:r>
      <w:proofErr w:type="gramStart"/>
      <w:r>
        <w:rPr>
          <w:rFonts w:ascii="宋体" w:hAnsi="宋体"/>
          <w:sz w:val="24"/>
        </w:rPr>
        <w:t>兼产品</w:t>
      </w:r>
      <w:proofErr w:type="gramEnd"/>
      <w:r>
        <w:rPr>
          <w:rFonts w:ascii="宋体" w:hAnsi="宋体"/>
          <w:sz w:val="24"/>
        </w:rPr>
        <w:t>及分销主管、香港行政总裁兼亚太区机构业务主管、澳大利亚行政总裁兼亚太区联席主管等职。</w:t>
      </w:r>
    </w:p>
    <w:p w14:paraId="42601B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7C1D3F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w:t>
      </w:r>
      <w:proofErr w:type="gramStart"/>
      <w:r>
        <w:rPr>
          <w:rFonts w:ascii="宋体" w:hAnsi="宋体"/>
          <w:sz w:val="24"/>
        </w:rPr>
        <w:t>非银司副</w:t>
      </w:r>
      <w:proofErr w:type="gramEnd"/>
      <w:r>
        <w:rPr>
          <w:rFonts w:ascii="宋体" w:hAnsi="宋体"/>
          <w:sz w:val="24"/>
        </w:rPr>
        <w:t>巡视员、副司长，银监会</w:t>
      </w:r>
      <w:proofErr w:type="gramStart"/>
      <w:r>
        <w:rPr>
          <w:rFonts w:ascii="宋体" w:hAnsi="宋体"/>
          <w:sz w:val="24"/>
        </w:rPr>
        <w:t>非银部副</w:t>
      </w:r>
      <w:proofErr w:type="gramEnd"/>
      <w:r>
        <w:rPr>
          <w:rFonts w:ascii="宋体" w:hAnsi="宋体"/>
          <w:sz w:val="24"/>
        </w:rPr>
        <w:t>主任，银行监管一部副主任、巡视员，汇金公司派出董事。</w:t>
      </w:r>
    </w:p>
    <w:p w14:paraId="091EAA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w:t>
      </w:r>
      <w:proofErr w:type="gramStart"/>
      <w:r>
        <w:rPr>
          <w:rFonts w:ascii="宋体" w:hAnsi="宋体"/>
          <w:sz w:val="24"/>
        </w:rPr>
        <w:t>大学民商经济</w:t>
      </w:r>
      <w:proofErr w:type="gramEnd"/>
      <w:r>
        <w:rPr>
          <w:rFonts w:ascii="宋体" w:hAnsi="宋体"/>
          <w:sz w:val="24"/>
        </w:rPr>
        <w:t>法学院教授，兼任基金业协会自律监察委员会委员。历任证监会办公厅副处长、上市公司</w:t>
      </w:r>
      <w:proofErr w:type="gramStart"/>
      <w:r>
        <w:rPr>
          <w:rFonts w:ascii="宋体" w:hAnsi="宋体"/>
          <w:sz w:val="24"/>
        </w:rPr>
        <w:t>监管部</w:t>
      </w:r>
      <w:proofErr w:type="gramEnd"/>
      <w:r>
        <w:rPr>
          <w:rFonts w:ascii="宋体" w:hAnsi="宋体"/>
          <w:sz w:val="24"/>
        </w:rPr>
        <w:t>处长、行政处罚委员会专职委员、副主任审理员，兼任证监会上市公司并购重组审核委员会委员、行政复议委员会委员。</w:t>
      </w:r>
    </w:p>
    <w:p w14:paraId="788968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w:t>
      </w:r>
      <w:proofErr w:type="gramStart"/>
      <w:r>
        <w:rPr>
          <w:rFonts w:ascii="宋体" w:hAnsi="宋体"/>
          <w:sz w:val="24"/>
        </w:rPr>
        <w:t>江学者</w:t>
      </w:r>
      <w:proofErr w:type="gramEnd"/>
      <w:r>
        <w:rPr>
          <w:rFonts w:ascii="宋体" w:hAnsi="宋体"/>
          <w:sz w:val="24"/>
        </w:rPr>
        <w:t>讲座教授。现任香港大学工业工程系荣誉教授，亚洲风险</w:t>
      </w:r>
      <w:proofErr w:type="gramStart"/>
      <w:r>
        <w:rPr>
          <w:rFonts w:ascii="宋体" w:hAnsi="宋体"/>
          <w:sz w:val="24"/>
        </w:rPr>
        <w:t>及危机</w:t>
      </w:r>
      <w:proofErr w:type="gramEnd"/>
      <w:r>
        <w:rPr>
          <w:rFonts w:ascii="宋体" w:hAnsi="宋体"/>
          <w:sz w:val="24"/>
        </w:rPr>
        <w:t>管理协会主席，兼任深交所上市的中联重科集团独立非执行董事。历任香港城市大学管理科学讲座教授，湖南省政协委员并兼任湖南大学工商管理学院院长。</w:t>
      </w:r>
    </w:p>
    <w:p w14:paraId="4A7A23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4AB5B5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3801AD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w:t>
      </w:r>
      <w:proofErr w:type="gramStart"/>
      <w:r>
        <w:rPr>
          <w:rFonts w:ascii="宋体" w:hAnsi="宋体"/>
          <w:sz w:val="24"/>
        </w:rPr>
        <w:t>近律师</w:t>
      </w:r>
      <w:proofErr w:type="gramEnd"/>
      <w:r>
        <w:rPr>
          <w:rFonts w:ascii="宋体" w:hAnsi="宋体"/>
          <w:sz w:val="24"/>
        </w:rPr>
        <w:t>行律师。</w:t>
      </w:r>
    </w:p>
    <w:p w14:paraId="337AF5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0F30DD99" w14:textId="2655A381"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w:t>
      </w:r>
      <w:r w:rsidR="00FE32FD">
        <w:rPr>
          <w:rFonts w:ascii="宋体" w:hAnsi="宋体" w:hint="eastAsia"/>
          <w:sz w:val="24"/>
        </w:rPr>
        <w:t>高级专家、</w:t>
      </w:r>
      <w:r>
        <w:rPr>
          <w:rFonts w:ascii="宋体" w:hAnsi="宋体"/>
          <w:sz w:val="24"/>
        </w:rPr>
        <w:t>市场总监。历任平安人寿保险公司上海分公司行政督导、营销管理经理，交银施罗德基金管理有限公司行政部总经理助理、西部营销中心总经理、机构理财部（上海）总经理</w:t>
      </w:r>
      <w:proofErr w:type="gramStart"/>
      <w:r>
        <w:rPr>
          <w:rFonts w:ascii="宋体" w:hAnsi="宋体"/>
          <w:sz w:val="24"/>
        </w:rPr>
        <w:t>兼产品</w:t>
      </w:r>
      <w:proofErr w:type="gramEnd"/>
      <w:r>
        <w:rPr>
          <w:rFonts w:ascii="宋体" w:hAnsi="宋体"/>
          <w:sz w:val="24"/>
        </w:rPr>
        <w:t>开发部总经理。</w:t>
      </w:r>
    </w:p>
    <w:p w14:paraId="60B1FC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274172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14D3A2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15FE78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sz w:val="24"/>
        </w:rPr>
        <w:t>风控副</w:t>
      </w:r>
      <w:proofErr w:type="gramEnd"/>
      <w:r>
        <w:rPr>
          <w:rFonts w:ascii="宋体" w:hAnsi="宋体"/>
          <w:sz w:val="24"/>
        </w:rPr>
        <w:t>总监、投资运营总监。</w:t>
      </w:r>
    </w:p>
    <w:p w14:paraId="5E746E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33D085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14:paraId="61973AA2" w14:textId="02362DE2"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季参平先生:基金经理。美国密歇根大学金融工程硕士、对外经济贸易大学经济学学士，11年金融行业从业经验。2012年至2017年任瑞士银行外汇和利率交易员、联席董事。2017年加入交银施罗德基金管理有限公司，现任固定收益</w:t>
      </w:r>
      <w:proofErr w:type="gramStart"/>
      <w:r>
        <w:rPr>
          <w:rFonts w:ascii="宋体" w:hAnsi="宋体"/>
          <w:sz w:val="24"/>
        </w:rPr>
        <w:t>部基金</w:t>
      </w:r>
      <w:proofErr w:type="gramEnd"/>
      <w:r>
        <w:rPr>
          <w:rFonts w:ascii="宋体" w:hAnsi="宋体"/>
          <w:sz w:val="24"/>
        </w:rPr>
        <w:t>经理。曾</w:t>
      </w:r>
      <w:proofErr w:type="gramStart"/>
      <w:r>
        <w:rPr>
          <w:rFonts w:ascii="宋体" w:hAnsi="宋体"/>
          <w:sz w:val="24"/>
        </w:rPr>
        <w:t>任基金</w:t>
      </w:r>
      <w:proofErr w:type="gramEnd"/>
      <w:r>
        <w:rPr>
          <w:rFonts w:ascii="宋体" w:hAnsi="宋体"/>
          <w:sz w:val="24"/>
        </w:rPr>
        <w:t>经理助理。</w:t>
      </w:r>
      <w:proofErr w:type="gramStart"/>
      <w:r>
        <w:rPr>
          <w:rFonts w:ascii="宋体" w:hAnsi="宋体"/>
          <w:sz w:val="24"/>
        </w:rPr>
        <w:t>曾任交银</w:t>
      </w:r>
      <w:proofErr w:type="gramEnd"/>
      <w:r>
        <w:rPr>
          <w:rFonts w:ascii="宋体" w:hAnsi="宋体"/>
          <w:sz w:val="24"/>
        </w:rPr>
        <w:t>施罗德天运宝货币市场基金(2019年07月26日至2019年09月18日)</w:t>
      </w:r>
      <w:r w:rsidR="00750A4D">
        <w:rPr>
          <w:rFonts w:ascii="宋体" w:hAnsi="宋体" w:hint="eastAsia"/>
          <w:sz w:val="24"/>
        </w:rPr>
        <w:t>、</w:t>
      </w:r>
      <w:r w:rsidR="00750A4D">
        <w:rPr>
          <w:rFonts w:ascii="宋体" w:hAnsi="宋体"/>
          <w:sz w:val="24"/>
        </w:rPr>
        <w:t>交银施罗德中债1-3年政策性金融</w:t>
      </w:r>
      <w:proofErr w:type="gramStart"/>
      <w:r w:rsidR="00750A4D">
        <w:rPr>
          <w:rFonts w:ascii="宋体" w:hAnsi="宋体"/>
          <w:sz w:val="24"/>
        </w:rPr>
        <w:t>债指数</w:t>
      </w:r>
      <w:proofErr w:type="gramEnd"/>
      <w:r w:rsidR="00750A4D">
        <w:rPr>
          <w:rFonts w:ascii="宋体" w:hAnsi="宋体"/>
          <w:sz w:val="24"/>
        </w:rPr>
        <w:t>证券投资基金(2020年08月20日</w:t>
      </w:r>
      <w:r w:rsidR="009B636E">
        <w:rPr>
          <w:rFonts w:ascii="宋体" w:hAnsi="宋体" w:hint="eastAsia"/>
          <w:sz w:val="24"/>
        </w:rPr>
        <w:t>至</w:t>
      </w:r>
      <w:r w:rsidR="00750A4D">
        <w:rPr>
          <w:rFonts w:ascii="宋体" w:hAnsi="宋体" w:hint="eastAsia"/>
          <w:sz w:val="24"/>
        </w:rPr>
        <w:t>2</w:t>
      </w:r>
      <w:r w:rsidR="00750A4D">
        <w:rPr>
          <w:rFonts w:ascii="宋体" w:hAnsi="宋体"/>
          <w:sz w:val="24"/>
        </w:rPr>
        <w:t>023</w:t>
      </w:r>
      <w:r w:rsidR="00750A4D">
        <w:rPr>
          <w:rFonts w:ascii="宋体" w:hAnsi="宋体" w:hint="eastAsia"/>
          <w:sz w:val="24"/>
        </w:rPr>
        <w:t>年8月</w:t>
      </w:r>
      <w:r w:rsidR="007D719C">
        <w:rPr>
          <w:rFonts w:ascii="宋体" w:hAnsi="宋体"/>
          <w:sz w:val="24"/>
        </w:rPr>
        <w:t>29</w:t>
      </w:r>
      <w:r w:rsidR="00750A4D">
        <w:rPr>
          <w:rFonts w:ascii="宋体" w:hAnsi="宋体" w:hint="eastAsia"/>
          <w:sz w:val="24"/>
        </w:rPr>
        <w:t>日</w:t>
      </w:r>
      <w:r w:rsidR="00750A4D">
        <w:rPr>
          <w:rFonts w:ascii="宋体" w:hAnsi="宋体"/>
          <w:sz w:val="24"/>
        </w:rPr>
        <w:t>)</w:t>
      </w:r>
      <w:r>
        <w:rPr>
          <w:rFonts w:ascii="宋体" w:hAnsi="宋体"/>
          <w:sz w:val="24"/>
        </w:rPr>
        <w:t>的基金</w:t>
      </w:r>
      <w:bookmarkStart w:id="6" w:name="_GoBack"/>
      <w:bookmarkEnd w:id="6"/>
      <w:r>
        <w:rPr>
          <w:rFonts w:ascii="宋体" w:hAnsi="宋体"/>
          <w:sz w:val="24"/>
        </w:rPr>
        <w:t>经理。现任交银施罗德现金宝货币市场基金</w:t>
      </w:r>
      <w:r>
        <w:rPr>
          <w:rFonts w:ascii="宋体" w:hAnsi="宋体"/>
          <w:sz w:val="24"/>
        </w:rPr>
        <w:lastRenderedPageBreak/>
        <w:t>(2019年07月26日至今)、交银施罗德天</w:t>
      </w:r>
      <w:proofErr w:type="gramStart"/>
      <w:r>
        <w:rPr>
          <w:rFonts w:ascii="宋体" w:hAnsi="宋体"/>
          <w:sz w:val="24"/>
        </w:rPr>
        <w:t>鑫</w:t>
      </w:r>
      <w:proofErr w:type="gramEnd"/>
      <w:r>
        <w:rPr>
          <w:rFonts w:ascii="宋体" w:hAnsi="宋体"/>
          <w:sz w:val="24"/>
        </w:rPr>
        <w:t>宝货币市场基金(2019年07月26日至今)、交银施罗德货币市场证券投资基金(2019年07月26日至今)、交银施罗德裕</w:t>
      </w:r>
      <w:proofErr w:type="gramStart"/>
      <w:r>
        <w:rPr>
          <w:rFonts w:ascii="宋体" w:hAnsi="宋体"/>
          <w:sz w:val="24"/>
        </w:rPr>
        <w:t>通纯债</w:t>
      </w:r>
      <w:proofErr w:type="gramEnd"/>
      <w:r>
        <w:rPr>
          <w:rFonts w:ascii="宋体" w:hAnsi="宋体"/>
          <w:sz w:val="24"/>
        </w:rPr>
        <w:t>债券型证券投资基金(2019年10月12日至今)、交银施罗德裕</w:t>
      </w:r>
      <w:proofErr w:type="gramStart"/>
      <w:r>
        <w:rPr>
          <w:rFonts w:ascii="宋体" w:hAnsi="宋体"/>
          <w:sz w:val="24"/>
        </w:rPr>
        <w:t>祥纯债</w:t>
      </w:r>
      <w:proofErr w:type="gramEnd"/>
      <w:r>
        <w:rPr>
          <w:rFonts w:ascii="宋体" w:hAnsi="宋体"/>
          <w:sz w:val="24"/>
        </w:rPr>
        <w:t>债券型证券投资基金(2020年07月09日至今)、交银施罗德中债1-3年农发行债券指数证券投资基金(2021年08月19日至今)、交银施罗德丰润收益债券型证券投资基金(2021年08月19日至今)、交银施罗德裕</w:t>
      </w:r>
      <w:proofErr w:type="gramStart"/>
      <w:r>
        <w:rPr>
          <w:rFonts w:ascii="宋体" w:hAnsi="宋体"/>
          <w:sz w:val="24"/>
        </w:rPr>
        <w:t>景纯债</w:t>
      </w:r>
      <w:proofErr w:type="gramEnd"/>
      <w:r>
        <w:rPr>
          <w:rFonts w:ascii="宋体" w:hAnsi="宋体"/>
          <w:sz w:val="24"/>
        </w:rPr>
        <w:t>一年定期开放债券型证券投资基金(2021年09月09日至今)、交银施罗德</w:t>
      </w:r>
      <w:proofErr w:type="gramStart"/>
      <w:r>
        <w:rPr>
          <w:rFonts w:ascii="宋体" w:hAnsi="宋体"/>
          <w:sz w:val="24"/>
        </w:rPr>
        <w:t>裕道纯债</w:t>
      </w:r>
      <w:proofErr w:type="gramEnd"/>
      <w:r>
        <w:rPr>
          <w:rFonts w:ascii="宋体" w:hAnsi="宋体"/>
          <w:sz w:val="24"/>
        </w:rPr>
        <w:t>一年定期开放债券型发起式证券投资基金(2022年03月29日至今)、交银施罗德中债1-5年政策性金融</w:t>
      </w:r>
      <w:proofErr w:type="gramStart"/>
      <w:r>
        <w:rPr>
          <w:rFonts w:ascii="宋体" w:hAnsi="宋体"/>
          <w:sz w:val="24"/>
        </w:rPr>
        <w:t>债指数</w:t>
      </w:r>
      <w:proofErr w:type="gramEnd"/>
      <w:r>
        <w:rPr>
          <w:rFonts w:ascii="宋体" w:hAnsi="宋体"/>
          <w:sz w:val="24"/>
        </w:rPr>
        <w:t>证券投资基金(2022年06月08日至今)的基金经理。</w:t>
      </w:r>
    </w:p>
    <w:p w14:paraId="01B13A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0714D4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陈晓秋女士(2006年01月20日至2009年10月30日)；</w:t>
      </w:r>
    </w:p>
    <w:p w14:paraId="4538CD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李家春先生(2006年12月27日至2011年06月08日)；</w:t>
      </w:r>
    </w:p>
    <w:p w14:paraId="2F3C3C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林洪钧先生(2011年06月09日至2015年05月31日)；</w:t>
      </w:r>
    </w:p>
    <w:p w14:paraId="34EAFCC2" w14:textId="77777777" w:rsidR="00007225" w:rsidRDefault="00F07F0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黄莹洁女士(2015年05月27日至2019年08月02日)</w:t>
      </w:r>
      <w:r w:rsidR="0028193D">
        <w:rPr>
          <w:rFonts w:ascii="宋体" w:hAnsi="宋体" w:hint="eastAsia"/>
          <w:sz w:val="24"/>
        </w:rPr>
        <w:t>；</w:t>
      </w:r>
    </w:p>
    <w:p w14:paraId="35EF5FAA" w14:textId="77777777" w:rsidR="0028193D" w:rsidRPr="0028193D" w:rsidRDefault="0028193D" w:rsidP="002819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连端清先生(2015年10月16日至2019年08月02日)。</w:t>
      </w:r>
    </w:p>
    <w:p w14:paraId="3B35D7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B9EBB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389CA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482957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50BD7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6261A5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5710CF59" w14:textId="5A73B5A1"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w:t>
      </w:r>
      <w:r w:rsidR="000A1A07">
        <w:rPr>
          <w:rFonts w:ascii="宋体" w:hAnsi="宋体"/>
          <w:sz w:val="24"/>
        </w:rPr>
        <w:t>2023年</w:t>
      </w:r>
      <w:r w:rsidR="00197098">
        <w:rPr>
          <w:rFonts w:ascii="宋体" w:hAnsi="宋体" w:hint="eastAsia"/>
          <w:sz w:val="24"/>
        </w:rPr>
        <w:t>0</w:t>
      </w:r>
      <w:r w:rsidR="00197098">
        <w:rPr>
          <w:rFonts w:ascii="宋体" w:hAnsi="宋体"/>
          <w:sz w:val="24"/>
        </w:rPr>
        <w:t>9</w:t>
      </w:r>
      <w:r>
        <w:rPr>
          <w:rFonts w:ascii="宋体" w:hAnsi="宋体"/>
          <w:sz w:val="24"/>
        </w:rPr>
        <w:t>月</w:t>
      </w:r>
      <w:r w:rsidR="00197098">
        <w:rPr>
          <w:rFonts w:ascii="宋体" w:hAnsi="宋体"/>
          <w:sz w:val="24"/>
        </w:rPr>
        <w:t>21</w:t>
      </w:r>
      <w:r>
        <w:rPr>
          <w:rFonts w:ascii="宋体" w:hAnsi="宋体"/>
          <w:sz w:val="24"/>
        </w:rPr>
        <w:t>日，期后变动（如有）敬请关注基金管理人发布的相关公告。</w:t>
      </w:r>
    </w:p>
    <w:p w14:paraId="3AEF73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0F3D63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14:paraId="412B24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F1268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704694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ECB5C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5、进行基金会计核算并编制基金财务会计报告；</w:t>
      </w:r>
    </w:p>
    <w:p w14:paraId="3AB6DA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13D865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6FC3D9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478B4F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14:paraId="46711B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7C4345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3BBF16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2CC6197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46CC30F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14:paraId="227E5C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64A7CC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144F56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42B902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4EA370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6F286E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（5）依照法律、行政法规有关规定，由中国证监会规定禁止的其他行为。</w:t>
      </w:r>
    </w:p>
    <w:p w14:paraId="7D214A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1268C1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3ED830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06BD43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25E2EF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0E0AE1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527EDF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14:paraId="684DBD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4、不以任何形式为其他组织或个人进行证券交易。</w:t>
      </w:r>
    </w:p>
    <w:p w14:paraId="097ECD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60980C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442CDC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81B30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1628C2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34AA85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0CC32E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36CC0B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4CD03A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6B63FF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6434E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0F277D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8FB4C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5BA225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767288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22FA00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6BF988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14:paraId="5EEED1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14:paraId="0AE552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1AA1E8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w:t>
      </w:r>
      <w:r>
        <w:rPr>
          <w:rFonts w:ascii="宋体" w:hAnsi="宋体"/>
          <w:sz w:val="24"/>
        </w:rPr>
        <w:lastRenderedPageBreak/>
        <w:t>就潜在风险与相关部门协调，审阅公司审计报告及监察情况。</w:t>
      </w:r>
    </w:p>
    <w:p w14:paraId="506A09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0F011C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8B2AD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39AEC0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02D3F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2D71E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14:paraId="71CA0C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14:paraId="6F4E0D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14:paraId="2079E4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7F4164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0AA8A3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028844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40C125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CB943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7A63E7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5C18B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（3）建立、健全岗位责任制</w:t>
      </w:r>
    </w:p>
    <w:p w14:paraId="4D0905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6E3514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055FCC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14:paraId="473593F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D7AEE9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201FA1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787AB7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w:t>
      </w:r>
      <w:proofErr w:type="gramStart"/>
      <w:r>
        <w:rPr>
          <w:rFonts w:ascii="宋体" w:hAnsi="宋体"/>
          <w:sz w:val="24"/>
        </w:rPr>
        <w:t>券</w:t>
      </w:r>
      <w:proofErr w:type="gramEnd"/>
      <w:r>
        <w:rPr>
          <w:rFonts w:ascii="宋体" w:hAnsi="宋体"/>
          <w:sz w:val="24"/>
        </w:rPr>
        <w:t>的风险，以便公司及时采取有效的措施，对风险进行分散、控制和规避，尽可能地减少损失。</w:t>
      </w:r>
    </w:p>
    <w:p w14:paraId="16DE5E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6BD852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64D5BAD3"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6D2444" w14:textId="77777777" w:rsidR="00007225" w:rsidRDefault="00F07F0D">
      <w:pPr>
        <w:pStyle w:val="1"/>
        <w:snapToGrid w:val="0"/>
        <w:spacing w:beforeLines="0" w:before="240" w:after="240"/>
        <w:rPr>
          <w:rFonts w:ascii="宋体" w:hAnsi="宋体"/>
          <w:szCs w:val="30"/>
        </w:rPr>
      </w:pPr>
      <w:bookmarkStart w:id="7" w:name="_Toc137828430"/>
      <w:r>
        <w:rPr>
          <w:rFonts w:ascii="Times New Roman" w:hAnsi="Times New Roman"/>
          <w:sz w:val="30"/>
        </w:rPr>
        <w:lastRenderedPageBreak/>
        <w:t>四、基金托管人</w:t>
      </w:r>
      <w:bookmarkEnd w:id="7"/>
    </w:p>
    <w:p w14:paraId="541528F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4AD11A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52EC65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14:paraId="5200CC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03A9BB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w:t>
      </w:r>
      <w:proofErr w:type="gramStart"/>
      <w:r>
        <w:rPr>
          <w:rFonts w:ascii="宋体" w:hAnsi="宋体"/>
          <w:sz w:val="24"/>
        </w:rPr>
        <w:t>凯</w:t>
      </w:r>
      <w:proofErr w:type="gramEnd"/>
      <w:r>
        <w:rPr>
          <w:rFonts w:ascii="宋体" w:hAnsi="宋体"/>
          <w:sz w:val="24"/>
        </w:rPr>
        <w:t>晨世贸中心东座</w:t>
      </w:r>
    </w:p>
    <w:p w14:paraId="219952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14:paraId="11FBCF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14:paraId="0444F8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w:t>
      </w:r>
      <w:proofErr w:type="gramStart"/>
      <w:r>
        <w:rPr>
          <w:rFonts w:ascii="宋体" w:hAnsi="宋体"/>
          <w:sz w:val="24"/>
        </w:rPr>
        <w:t>会银监复</w:t>
      </w:r>
      <w:proofErr w:type="gramEnd"/>
      <w:r>
        <w:rPr>
          <w:rFonts w:ascii="宋体" w:hAnsi="宋体"/>
          <w:sz w:val="24"/>
        </w:rPr>
        <w:t>[2009]13号</w:t>
      </w:r>
    </w:p>
    <w:p w14:paraId="64FB61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w:t>
      </w:r>
      <w:proofErr w:type="gramStart"/>
      <w:r>
        <w:rPr>
          <w:rFonts w:ascii="宋体" w:hAnsi="宋体"/>
          <w:sz w:val="24"/>
        </w:rPr>
        <w:t>证监基字</w:t>
      </w:r>
      <w:proofErr w:type="gramEnd"/>
      <w:r>
        <w:rPr>
          <w:rFonts w:ascii="宋体" w:hAnsi="宋体"/>
          <w:sz w:val="24"/>
        </w:rPr>
        <w:t>[1998]23号</w:t>
      </w:r>
    </w:p>
    <w:p w14:paraId="1ADB98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14:paraId="756BAF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F3E77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5A7D4C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13FF6D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w:t>
      </w:r>
      <w:proofErr w:type="gramStart"/>
      <w:r>
        <w:rPr>
          <w:rFonts w:ascii="宋体" w:hAnsi="宋体"/>
          <w:sz w:val="24"/>
        </w:rPr>
        <w:t>一</w:t>
      </w:r>
      <w:proofErr w:type="gramEnd"/>
      <w:r>
        <w:rPr>
          <w:rFonts w:ascii="宋体" w:hAnsi="宋体"/>
          <w:sz w:val="24"/>
        </w:rPr>
        <w:t>楠</w:t>
      </w:r>
    </w:p>
    <w:p w14:paraId="492861F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D43A7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w:t>
      </w:r>
      <w:proofErr w:type="gramStart"/>
      <w:r>
        <w:rPr>
          <w:rFonts w:ascii="宋体" w:hAnsi="宋体"/>
          <w:sz w:val="24"/>
        </w:rPr>
        <w:t>公正第三</w:t>
      </w:r>
      <w:proofErr w:type="gramEnd"/>
      <w:r>
        <w:rPr>
          <w:rFonts w:ascii="宋体" w:hAnsi="宋体"/>
          <w:sz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w:t>
      </w:r>
      <w:proofErr w:type="gramStart"/>
      <w:r>
        <w:rPr>
          <w:rFonts w:ascii="宋体" w:hAnsi="宋体"/>
          <w:sz w:val="24"/>
        </w:rPr>
        <w:t>募基金</w:t>
      </w:r>
      <w:proofErr w:type="gramEnd"/>
      <w:r>
        <w:rPr>
          <w:rFonts w:ascii="宋体" w:hAnsi="宋体"/>
          <w:sz w:val="24"/>
        </w:rPr>
        <w:t>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14:paraId="178F50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中国农业银行证券投资基金托管部于1998年5月经中国证监会和中国人民银行批准成立，目前内设风险合</w:t>
      </w:r>
      <w:proofErr w:type="gramStart"/>
      <w:r>
        <w:rPr>
          <w:rFonts w:ascii="宋体" w:hAnsi="宋体"/>
          <w:sz w:val="24"/>
        </w:rPr>
        <w:t>规</w:t>
      </w:r>
      <w:proofErr w:type="gramEnd"/>
      <w:r>
        <w:rPr>
          <w:rFonts w:ascii="宋体" w:hAnsi="宋体"/>
          <w:sz w:val="24"/>
        </w:rPr>
        <w:t>部/综合管理部、业务管理部、客户一部、客户二部、客户三部、客户四部、系统与信息管理部、营运管理部、营运一部、营运二部，拥有先进的安全防范设施和基金托管业务系统。</w:t>
      </w:r>
    </w:p>
    <w:p w14:paraId="7016BB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3317FF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283名，其中具有高级职称的专家60名，服务团队成员专业水平高、业务素质好、服务能力强，高级管理层均有20年以上金融从业经验和高级技术职称，精通国内外证券市场的运作。</w:t>
      </w:r>
    </w:p>
    <w:p w14:paraId="3AA13F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14:paraId="5704D2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截止到2023年3月31日，中国农业银行托管的封闭式证券投资基金和开放式证券投资基金共808只。</w:t>
      </w:r>
    </w:p>
    <w:p w14:paraId="6F0C0DDA"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14:paraId="3C7C5B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09CE5E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4CFD75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2、内部控制组织结构</w:t>
      </w:r>
    </w:p>
    <w:p w14:paraId="32A399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494333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14:paraId="320AB59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Pr>
          <w:rFonts w:ascii="宋体" w:hAnsi="宋体"/>
          <w:sz w:val="24"/>
        </w:rPr>
        <w:t>操作区</w:t>
      </w:r>
      <w:proofErr w:type="gramEnd"/>
      <w:r>
        <w:rPr>
          <w:rFonts w:ascii="宋体" w:hAnsi="宋体"/>
          <w:sz w:val="24"/>
        </w:rPr>
        <w:t>专门设置，封闭管理，实施音像监控；业务信息由专职信息披露人负责，防止泄密；业务实现自动化操作，防止人为事故的发生，技术系统完整、独立。</w:t>
      </w:r>
    </w:p>
    <w:p w14:paraId="5FE463D3"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14:paraId="57D681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B4326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14:paraId="3A2DDD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14:paraId="0CA6EA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14:paraId="7A8FFB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14:paraId="00A9FFA4"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C0F18D" w14:textId="77777777" w:rsidR="00007225" w:rsidRDefault="00F07F0D">
      <w:pPr>
        <w:pStyle w:val="1"/>
        <w:snapToGrid w:val="0"/>
        <w:spacing w:beforeLines="0" w:before="240" w:after="240"/>
        <w:rPr>
          <w:rFonts w:ascii="宋体" w:hAnsi="宋体"/>
          <w:szCs w:val="30"/>
        </w:rPr>
      </w:pPr>
      <w:bookmarkStart w:id="8" w:name="_Toc137828431"/>
      <w:r>
        <w:rPr>
          <w:rFonts w:ascii="Times New Roman" w:hAnsi="Times New Roman"/>
          <w:sz w:val="30"/>
        </w:rPr>
        <w:lastRenderedPageBreak/>
        <w:t>五、相关服务机构</w:t>
      </w:r>
      <w:bookmarkEnd w:id="8"/>
    </w:p>
    <w:p w14:paraId="48FF5F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080C10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1DF4E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7ECD15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1CB25A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14D9E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19C488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3B2B7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1A4808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5883E4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6E227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CFF36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5D588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BDA7E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个人投资者可以通过本公司网上直销交易平台办理开户、本基金的赎回、转换及定期定额投资等业务，具体交易细则请参阅本公司网站。</w:t>
      </w:r>
    </w:p>
    <w:p w14:paraId="583061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5325DA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6E2E15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14:paraId="78F057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37536A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14:paraId="16244F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0A1703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14:paraId="2FF037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14:paraId="2D89411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14:paraId="059288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14:paraId="619E1A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（2）名称：中国工商银行股份有限公司</w:t>
      </w:r>
    </w:p>
    <w:p w14:paraId="097A73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14:paraId="39AE95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办公地址：北京市复兴门内大街55号</w:t>
      </w:r>
    </w:p>
    <w:p w14:paraId="799F98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14:paraId="7AB2FC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14:paraId="3F8AA7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14:paraId="455A2B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（3）名称：华夏银行股份有限公司</w:t>
      </w:r>
    </w:p>
    <w:p w14:paraId="2F32BC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14:paraId="486759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14:paraId="3FF2F9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14:paraId="67569F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14:paraId="012D70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14:paraId="47523D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（4）名称：江苏银行股份有限公司</w:t>
      </w:r>
    </w:p>
    <w:p w14:paraId="39176F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14:paraId="5317A0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14:paraId="4C62AED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14:paraId="00DB46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14:paraId="7725C9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14:paraId="7FB0FE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14:paraId="44275F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14:paraId="357E3F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14:paraId="474A26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（5）名称：平安银行股份有限公司</w:t>
      </w:r>
    </w:p>
    <w:p w14:paraId="02B1A4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73FBE3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2148CE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011BC9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221021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5FE41D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4D535A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11B302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1B79E7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（6）名称：北京银行股份有限公司</w:t>
      </w:r>
    </w:p>
    <w:p w14:paraId="2EC579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14:paraId="68C689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办公地址：北京市西城区金融大街甲17号首层</w:t>
      </w:r>
    </w:p>
    <w:p w14:paraId="23A4C1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14:paraId="02ABA4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14:paraId="0DCDB4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14:paraId="2796DE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14:paraId="61E881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14:paraId="2FBF43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（7）名称：宁波银行股份有限公司</w:t>
      </w:r>
    </w:p>
    <w:p w14:paraId="578AD6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0446BE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2910E6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0866B3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670240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胡技勋</w:t>
      </w:r>
      <w:proofErr w:type="gramEnd"/>
    </w:p>
    <w:p w14:paraId="5C7ABF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6C03CD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68F07A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（8）名称：中国光大银行股份有限公司</w:t>
      </w:r>
    </w:p>
    <w:p w14:paraId="6CA2E9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40EE53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14:paraId="11FAAD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58DD4A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14:paraId="3C8D75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14:paraId="19EFBC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14:paraId="1D18FE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14:paraId="62E04E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52409F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（9）名称：中国民生银行股份有限公司</w:t>
      </w:r>
    </w:p>
    <w:p w14:paraId="1424B3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5F1306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77F526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12E2E5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257A22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5981CF9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6406A1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 95568</w:t>
      </w:r>
    </w:p>
    <w:p w14:paraId="6D6932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77CD7C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（10）名称：广发银行股份有限公司</w:t>
      </w:r>
    </w:p>
    <w:p w14:paraId="211D83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住所：广州市越秀区东风东路713号</w:t>
      </w:r>
    </w:p>
    <w:p w14:paraId="044C76F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法定代表人：杨明生</w:t>
      </w:r>
    </w:p>
    <w:p w14:paraId="047BB0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联系人：李晓鹏</w:t>
      </w:r>
    </w:p>
    <w:p w14:paraId="18274F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客户服务电话：800-830-8003，400-830-8003</w:t>
      </w:r>
    </w:p>
    <w:p w14:paraId="370F2C8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网址：www.gdb.com.cn</w:t>
      </w:r>
    </w:p>
    <w:p w14:paraId="5C2B72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（11）名称：中国农业银行股份有限公司</w:t>
      </w:r>
    </w:p>
    <w:p w14:paraId="09C851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64F293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w:t>
      </w:r>
      <w:proofErr w:type="gramStart"/>
      <w:r>
        <w:rPr>
          <w:rFonts w:ascii="宋体" w:hAnsi="宋体"/>
          <w:sz w:val="24"/>
        </w:rPr>
        <w:t>凯</w:t>
      </w:r>
      <w:proofErr w:type="gramEnd"/>
      <w:r>
        <w:rPr>
          <w:rFonts w:ascii="宋体" w:hAnsi="宋体"/>
          <w:sz w:val="24"/>
        </w:rPr>
        <w:t>晨世贸中心东座</w:t>
      </w:r>
    </w:p>
    <w:p w14:paraId="492092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14:paraId="01A32D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6C1C02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099487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14:paraId="2212AE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41BA66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270329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（12）名称：招商银行股份有限公司</w:t>
      </w:r>
    </w:p>
    <w:p w14:paraId="3F4EE9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51720A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1EFF7C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4A548F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2902B2D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67928B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7BF652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33C4F0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25491E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（13）名称：交通银行股份有限公司</w:t>
      </w:r>
    </w:p>
    <w:p w14:paraId="013552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新区银</w:t>
      </w:r>
      <w:proofErr w:type="gramEnd"/>
      <w:r>
        <w:rPr>
          <w:rFonts w:ascii="宋体" w:hAnsi="宋体"/>
          <w:sz w:val="24"/>
        </w:rPr>
        <w:t>城中路188号</w:t>
      </w:r>
    </w:p>
    <w:p w14:paraId="75B66C5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城中路188号</w:t>
      </w:r>
    </w:p>
    <w:p w14:paraId="72675F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02B6A7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电话：（021）58781234</w:t>
      </w:r>
    </w:p>
    <w:p w14:paraId="345140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2C2C78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4104D9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720C04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521310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（14）名称：杭州银行股份有限公司</w:t>
      </w:r>
    </w:p>
    <w:p w14:paraId="407C74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14:paraId="018AE2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14:paraId="480FA5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14:paraId="1B3AEB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14:paraId="3E5F65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14:paraId="6CC46C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14:paraId="46724F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14:paraId="2A6173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14:paraId="779F0C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（15）名称：中信银行股份有限公司</w:t>
      </w:r>
    </w:p>
    <w:p w14:paraId="2BA16A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6A748F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14A5B15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3390A0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4E61CF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1971EA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424777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4AC817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7946AE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（16）名称：东莞农村商业银行股份有限公司</w:t>
      </w:r>
    </w:p>
    <w:p w14:paraId="27A33A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14:paraId="3BFCB4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14:paraId="68B038F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14:paraId="4B8653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14:paraId="7B3FBFF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14:paraId="57B4DA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14:paraId="5039A8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客户服务电话：（0769）961122</w:t>
      </w:r>
    </w:p>
    <w:p w14:paraId="4F072C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14:paraId="613DB9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（17）名称：江苏常熟农村商业银行股份有限公司</w:t>
      </w:r>
    </w:p>
    <w:p w14:paraId="180771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14:paraId="7099A8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14:paraId="51F4F7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14:paraId="3DBF6B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14:paraId="738399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14:paraId="1A953C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14:paraId="6A31AF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14:paraId="0F364E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14:paraId="316571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（18）名称：江苏江南农村商业银行股份有限公司</w:t>
      </w:r>
    </w:p>
    <w:p w14:paraId="1BC4E8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14:paraId="6C1F48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14:paraId="071D24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14:paraId="040FDD5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14:paraId="6FAA00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14:paraId="67DC89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14:paraId="128200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14:paraId="20544D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14:paraId="5D3286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（19）名称：光大证券股份有限公司</w:t>
      </w:r>
    </w:p>
    <w:p w14:paraId="766B6A7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11DFAC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4CDBF6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2D9473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332CE3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5C127B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4C2BCE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478B23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3FED34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（20）名称：中信证券股份有限公司</w:t>
      </w:r>
    </w:p>
    <w:p w14:paraId="0A02105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住所：广东省深圳市福田区中心三路8号卓越时代广场（二期）北座</w:t>
      </w:r>
    </w:p>
    <w:p w14:paraId="0C38EC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7EE484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1FC779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427E939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0CF024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73C0A1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（21）名称：中国中金财富证券有限公司</w:t>
      </w:r>
    </w:p>
    <w:p w14:paraId="3FFB65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2A68E4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15224D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600EBF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30DB6D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6CFABB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6A05ED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00639E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（22）名称：东北证券股份有限公司</w:t>
      </w:r>
    </w:p>
    <w:p w14:paraId="08BA12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14:paraId="655553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14:paraId="155F04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法定代表人：矫正中</w:t>
      </w:r>
    </w:p>
    <w:p w14:paraId="79464D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14:paraId="1909F6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联系人：潘锴</w:t>
      </w:r>
    </w:p>
    <w:p w14:paraId="2E37159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14:paraId="1244F1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14:paraId="79DEFD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（23）名称：中银国际证券有限责任公司</w:t>
      </w:r>
    </w:p>
    <w:p w14:paraId="7AA254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住所：上海市银城中路200号39层</w:t>
      </w:r>
    </w:p>
    <w:p w14:paraId="408AC7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办公地址：中国上海浦东银城中路200号中银大厦39-40层</w:t>
      </w:r>
    </w:p>
    <w:p w14:paraId="270EAC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法定代表人：许刚</w:t>
      </w:r>
    </w:p>
    <w:p w14:paraId="790143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407FBE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客户服务电话：400-620-8888</w:t>
      </w:r>
    </w:p>
    <w:p w14:paraId="7FB2C9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网址：www.bocichina.com</w:t>
      </w:r>
    </w:p>
    <w:p w14:paraId="08E3B1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（24）名称：华</w:t>
      </w:r>
      <w:proofErr w:type="gramStart"/>
      <w:r>
        <w:rPr>
          <w:rFonts w:ascii="宋体" w:hAnsi="宋体"/>
          <w:sz w:val="24"/>
        </w:rPr>
        <w:t>福证券</w:t>
      </w:r>
      <w:proofErr w:type="gramEnd"/>
      <w:r>
        <w:rPr>
          <w:rFonts w:ascii="宋体" w:hAnsi="宋体"/>
          <w:sz w:val="24"/>
        </w:rPr>
        <w:t>有限责任公司</w:t>
      </w:r>
    </w:p>
    <w:p w14:paraId="220B34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w:t>
      </w:r>
      <w:proofErr w:type="gramStart"/>
      <w:r>
        <w:rPr>
          <w:rFonts w:ascii="宋体" w:hAnsi="宋体"/>
          <w:sz w:val="24"/>
        </w:rPr>
        <w:t>五四</w:t>
      </w:r>
      <w:proofErr w:type="gramEnd"/>
      <w:r>
        <w:rPr>
          <w:rFonts w:ascii="宋体" w:hAnsi="宋体"/>
          <w:sz w:val="24"/>
        </w:rPr>
        <w:t>路157号新天地大厦7、8层</w:t>
      </w:r>
    </w:p>
    <w:p w14:paraId="22F885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w:t>
      </w:r>
      <w:proofErr w:type="gramStart"/>
      <w:r>
        <w:rPr>
          <w:rFonts w:ascii="宋体" w:hAnsi="宋体"/>
          <w:sz w:val="24"/>
        </w:rPr>
        <w:t>五四</w:t>
      </w:r>
      <w:proofErr w:type="gramEnd"/>
      <w:r>
        <w:rPr>
          <w:rFonts w:ascii="宋体" w:hAnsi="宋体"/>
          <w:sz w:val="24"/>
        </w:rPr>
        <w:t>路新天地大厦7至10层</w:t>
      </w:r>
    </w:p>
    <w:p w14:paraId="332D84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w:t>
      </w:r>
      <w:proofErr w:type="gramStart"/>
      <w:r>
        <w:rPr>
          <w:rFonts w:ascii="宋体" w:hAnsi="宋体"/>
          <w:sz w:val="24"/>
        </w:rPr>
        <w:t>琳</w:t>
      </w:r>
      <w:proofErr w:type="gramEnd"/>
    </w:p>
    <w:p w14:paraId="744610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14:paraId="3EF683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14:paraId="120FB8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14:paraId="00368F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14:paraId="48368E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（25）名称：东兴证券股份有限公司</w:t>
      </w:r>
    </w:p>
    <w:p w14:paraId="701109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589B7A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5FC282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14:paraId="440DCB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6053D6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汤漫川</w:t>
      </w:r>
      <w:proofErr w:type="gramEnd"/>
    </w:p>
    <w:p w14:paraId="0B6067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14:paraId="0C807D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385639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（26）名称：东方证券股份有限公司</w:t>
      </w:r>
    </w:p>
    <w:p w14:paraId="5EE68A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14:paraId="4D4A10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14:paraId="2D69BB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14:paraId="4C3E91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14:paraId="17701B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14:paraId="42E047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14:paraId="31342C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14:paraId="399D4A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（27）名称：方正证券股份有限公司</w:t>
      </w:r>
    </w:p>
    <w:p w14:paraId="6245BC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284C92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1C8AAC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0F02A6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73C20F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76CA05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联系人：徐锦福</w:t>
      </w:r>
    </w:p>
    <w:p w14:paraId="3F3E19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4C6B28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460775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（28）名称：中国民族证券有限责任公司</w:t>
      </w:r>
    </w:p>
    <w:p w14:paraId="273137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住所：北京市西城区金融街5号新盛大厦A座6-9层</w:t>
      </w:r>
    </w:p>
    <w:p w14:paraId="261DE1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办公地址：北京市西城区金融街5号新盛大厦A座6-9层</w:t>
      </w:r>
    </w:p>
    <w:p w14:paraId="636D7C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法定代表人：赵大建</w:t>
      </w:r>
    </w:p>
    <w:p w14:paraId="7A437A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客户服务电话：400-889-5618</w:t>
      </w:r>
    </w:p>
    <w:p w14:paraId="09BA0B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网址：www.e5618.com</w:t>
      </w:r>
    </w:p>
    <w:p w14:paraId="415B76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（29）名称：安信证券股份有限公司</w:t>
      </w:r>
    </w:p>
    <w:p w14:paraId="6CDFB8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14:paraId="5DC024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14:paraId="2F3A83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14:paraId="72D8D1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14:paraId="02E5C6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4401546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02106F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14:paraId="4B918D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14:paraId="29F46D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w:t>
      </w:r>
      <w:proofErr w:type="gramStart"/>
      <w:r>
        <w:rPr>
          <w:rFonts w:ascii="宋体" w:hAnsi="宋体"/>
          <w:sz w:val="24"/>
        </w:rPr>
        <w:t>国元证券</w:t>
      </w:r>
      <w:proofErr w:type="gramEnd"/>
      <w:r>
        <w:rPr>
          <w:rFonts w:ascii="宋体" w:hAnsi="宋体"/>
          <w:sz w:val="24"/>
        </w:rPr>
        <w:t>股份有限公司</w:t>
      </w:r>
    </w:p>
    <w:p w14:paraId="211128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14:paraId="2A4478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14:paraId="1FBC8A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14:paraId="1F112C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14:paraId="70E982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14:paraId="492E8E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14:paraId="1A2D02A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14:paraId="4BCC30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14:paraId="73655C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（31）名称：中航证券有限公司</w:t>
      </w:r>
    </w:p>
    <w:p w14:paraId="1295B2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w:t>
      </w:r>
      <w:proofErr w:type="gramStart"/>
      <w:r>
        <w:rPr>
          <w:rFonts w:ascii="宋体" w:hAnsi="宋体"/>
          <w:sz w:val="24"/>
        </w:rPr>
        <w:t>红谷滩</w:t>
      </w:r>
      <w:proofErr w:type="gramEnd"/>
      <w:r>
        <w:rPr>
          <w:rFonts w:ascii="宋体" w:hAnsi="宋体"/>
          <w:sz w:val="24"/>
        </w:rPr>
        <w:t>新区红谷中大道1619号国际金融大厦41楼</w:t>
      </w:r>
    </w:p>
    <w:p w14:paraId="13E915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w:t>
      </w:r>
      <w:proofErr w:type="gramStart"/>
      <w:r>
        <w:rPr>
          <w:rFonts w:ascii="宋体" w:hAnsi="宋体"/>
          <w:sz w:val="24"/>
        </w:rPr>
        <w:t>红谷滩</w:t>
      </w:r>
      <w:proofErr w:type="gramEnd"/>
      <w:r>
        <w:rPr>
          <w:rFonts w:ascii="宋体" w:hAnsi="宋体"/>
          <w:sz w:val="24"/>
        </w:rPr>
        <w:t>新区红谷中大道1619号国际金融大厦41楼</w:t>
      </w:r>
    </w:p>
    <w:p w14:paraId="6FE97B7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法定代表人：杜航</w:t>
      </w:r>
    </w:p>
    <w:p w14:paraId="6B31E95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14:paraId="74D133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14:paraId="18BC21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14:paraId="04564F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14:paraId="7E433A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14:paraId="7426A4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（32）名称：中</w:t>
      </w:r>
      <w:proofErr w:type="gramStart"/>
      <w:r>
        <w:rPr>
          <w:rFonts w:ascii="宋体" w:hAnsi="宋体"/>
          <w:sz w:val="24"/>
        </w:rPr>
        <w:t>信建投证券</w:t>
      </w:r>
      <w:proofErr w:type="gramEnd"/>
      <w:r>
        <w:rPr>
          <w:rFonts w:ascii="宋体" w:hAnsi="宋体"/>
          <w:sz w:val="24"/>
        </w:rPr>
        <w:t>股份有限公司</w:t>
      </w:r>
    </w:p>
    <w:p w14:paraId="0990D1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13D1C7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71CE8E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1C3C93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5AFCCD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2F6443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346E03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7B929A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422C61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（33）名称：国信证券股份有限公司</w:t>
      </w:r>
    </w:p>
    <w:p w14:paraId="3BB0CC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089547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61D803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14:paraId="37029F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7AB369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4FE3A7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14:paraId="6BB0C09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76D880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6ABAF2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（34）名称：恒泰证券股份有限公司</w:t>
      </w:r>
    </w:p>
    <w:p w14:paraId="20F142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14:paraId="62945C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14:paraId="709BEC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14:paraId="28DB809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14:paraId="07E180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14:paraId="710669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联系人：王旭华</w:t>
      </w:r>
    </w:p>
    <w:p w14:paraId="1E0EB99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14:paraId="35F21A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14:paraId="23FE52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（35）名称：华泰证券股份有限公司</w:t>
      </w:r>
    </w:p>
    <w:p w14:paraId="6EA36E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0EDD87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w:t>
      </w:r>
      <w:proofErr w:type="gramStart"/>
      <w:r>
        <w:rPr>
          <w:rFonts w:ascii="宋体" w:hAnsi="宋体"/>
          <w:sz w:val="24"/>
        </w:rPr>
        <w:t>邺</w:t>
      </w:r>
      <w:proofErr w:type="gramEnd"/>
      <w:r>
        <w:rPr>
          <w:rFonts w:ascii="宋体" w:hAnsi="宋体"/>
          <w:sz w:val="24"/>
        </w:rPr>
        <w:t>区江东中路228号华泰证券广场</w:t>
      </w:r>
    </w:p>
    <w:p w14:paraId="639F92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7BBE08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4452F1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3D0DA4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w:t>
      </w:r>
      <w:proofErr w:type="gramStart"/>
      <w:r>
        <w:rPr>
          <w:rFonts w:ascii="宋体" w:hAnsi="宋体"/>
          <w:sz w:val="24"/>
        </w:rPr>
        <w:t>豪</w:t>
      </w:r>
      <w:proofErr w:type="gramEnd"/>
    </w:p>
    <w:p w14:paraId="4F6147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620076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46C0A3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（36）名称：湘财证券股份有限公司</w:t>
      </w:r>
    </w:p>
    <w:p w14:paraId="674027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14:paraId="232C98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14:paraId="00D24A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14:paraId="1E8860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14:paraId="70FB9B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14:paraId="7F8D1B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钟康莺</w:t>
      </w:r>
      <w:proofErr w:type="gramEnd"/>
    </w:p>
    <w:p w14:paraId="636CA5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14:paraId="5A227C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14:paraId="782136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（37）名称：兴业证券股份有限公司</w:t>
      </w:r>
    </w:p>
    <w:p w14:paraId="2D40F2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2F9F2FD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08FBBC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3C7684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29BB2D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0CDD2E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1C3F13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3AC912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（38）名称：广发证券股份有限公司</w:t>
      </w:r>
    </w:p>
    <w:p w14:paraId="4EE93C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住所：广州市黄埔区中新广州知识城腾飞一街2号618室</w:t>
      </w:r>
    </w:p>
    <w:p w14:paraId="64B108D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w:t>
      </w:r>
      <w:proofErr w:type="gramStart"/>
      <w:r>
        <w:rPr>
          <w:rFonts w:ascii="宋体" w:hAnsi="宋体"/>
          <w:sz w:val="24"/>
        </w:rPr>
        <w:t>马场路</w:t>
      </w:r>
      <w:proofErr w:type="gramEnd"/>
      <w:r>
        <w:rPr>
          <w:rFonts w:ascii="宋体" w:hAnsi="宋体"/>
          <w:sz w:val="24"/>
        </w:rPr>
        <w:t>26号广发证券大厦</w:t>
      </w:r>
    </w:p>
    <w:p w14:paraId="76AD56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72CA4B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55C4D1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7AA916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马梦洁</w:t>
      </w:r>
      <w:proofErr w:type="gramEnd"/>
    </w:p>
    <w:p w14:paraId="43CFF5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1C0B00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6D1776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（39）名称：海通证券股份有限公司</w:t>
      </w:r>
    </w:p>
    <w:p w14:paraId="381774C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76E8FE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637FAF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348854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6D0DEF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4A9804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44EFF4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448DCB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0EB6BF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（40）名称：华</w:t>
      </w:r>
      <w:proofErr w:type="gramStart"/>
      <w:r>
        <w:rPr>
          <w:rFonts w:ascii="宋体" w:hAnsi="宋体"/>
          <w:sz w:val="24"/>
        </w:rPr>
        <w:t>龙证券</w:t>
      </w:r>
      <w:proofErr w:type="gramEnd"/>
      <w:r>
        <w:rPr>
          <w:rFonts w:ascii="宋体" w:hAnsi="宋体"/>
          <w:sz w:val="24"/>
        </w:rPr>
        <w:t>股份有限公司</w:t>
      </w:r>
    </w:p>
    <w:p w14:paraId="13E05D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14:paraId="217544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14:paraId="2ACC20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14:paraId="740735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14:paraId="539E29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14:paraId="75A743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14:paraId="2CE246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14:paraId="7FB3B9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14:paraId="2CDAAD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（41）名称：华</w:t>
      </w:r>
      <w:proofErr w:type="gramStart"/>
      <w:r>
        <w:rPr>
          <w:rFonts w:ascii="宋体" w:hAnsi="宋体"/>
          <w:sz w:val="24"/>
        </w:rPr>
        <w:t>宝证券</w:t>
      </w:r>
      <w:proofErr w:type="gramEnd"/>
      <w:r>
        <w:rPr>
          <w:rFonts w:ascii="宋体" w:hAnsi="宋体"/>
          <w:sz w:val="24"/>
        </w:rPr>
        <w:t>股份有限公司</w:t>
      </w:r>
    </w:p>
    <w:p w14:paraId="5C2CBE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3B9FE5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w:t>
      </w:r>
      <w:proofErr w:type="gramStart"/>
      <w:r>
        <w:rPr>
          <w:rFonts w:ascii="宋体" w:hAnsi="宋体"/>
          <w:sz w:val="24"/>
        </w:rPr>
        <w:t>新区世纪</w:t>
      </w:r>
      <w:proofErr w:type="gramEnd"/>
      <w:r>
        <w:rPr>
          <w:rFonts w:ascii="宋体" w:hAnsi="宋体"/>
          <w:sz w:val="24"/>
        </w:rPr>
        <w:t>大道100号上海环球金融中心57楼</w:t>
      </w:r>
    </w:p>
    <w:p w14:paraId="002CDB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53F506E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电话：（021）68777222</w:t>
      </w:r>
    </w:p>
    <w:p w14:paraId="7A1640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42BF11D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371D3E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7802E1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219D9D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w:t>
      </w:r>
      <w:proofErr w:type="gramStart"/>
      <w:r>
        <w:rPr>
          <w:rFonts w:ascii="宋体" w:hAnsi="宋体"/>
          <w:sz w:val="24"/>
        </w:rPr>
        <w:t>长城国瑞证券</w:t>
      </w:r>
      <w:proofErr w:type="gramEnd"/>
      <w:r>
        <w:rPr>
          <w:rFonts w:ascii="宋体" w:hAnsi="宋体"/>
          <w:sz w:val="24"/>
        </w:rPr>
        <w:t>有限公司</w:t>
      </w:r>
    </w:p>
    <w:p w14:paraId="36ABBB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14:paraId="7533C4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14:paraId="5E0B25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14:paraId="6CA42D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14:paraId="717D2D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14:paraId="6A5394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14:paraId="238609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14:paraId="6814B7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14:paraId="7DBE09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（43）名称：爱建证券有限责任公司</w:t>
      </w:r>
    </w:p>
    <w:p w14:paraId="7E7096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14:paraId="404F19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大道1600号32楼</w:t>
      </w:r>
    </w:p>
    <w:p w14:paraId="3596A3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14:paraId="6F1414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14:paraId="70729E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14:paraId="784445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14:paraId="6E1D68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14:paraId="7938D1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14:paraId="13DB83B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（44）名称：长江证券股份有限公司</w:t>
      </w:r>
    </w:p>
    <w:p w14:paraId="6757CF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14:paraId="2EB1F6D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14:paraId="7C564A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14:paraId="1575E3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14:paraId="669350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14:paraId="3C7861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14:paraId="712F6C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客户服务电话：95579或4008-888-999</w:t>
      </w:r>
    </w:p>
    <w:p w14:paraId="43517A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14:paraId="27E1E8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（45）名称：招商证券股份有限公司</w:t>
      </w:r>
    </w:p>
    <w:p w14:paraId="20AB61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69BCAB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061131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5CB732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7B1E89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5D9B6C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2EAF90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2050F3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5CA81E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（46）名称：国泰君安证券股份有限公司</w:t>
      </w:r>
    </w:p>
    <w:p w14:paraId="3899B9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7C62BD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72FD9E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06A38D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4B76E6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2B83CE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7A8D6E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1EDED0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64F98D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（47）名称：中国银河证券股份有限公司</w:t>
      </w:r>
    </w:p>
    <w:p w14:paraId="54B5D7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5F0C4F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7653F6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陈共炎</w:t>
      </w:r>
      <w:proofErr w:type="gramEnd"/>
    </w:p>
    <w:p w14:paraId="0E158A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6B818D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642EDF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7553E8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2F1B4A7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w:t>
      </w:r>
      <w:proofErr w:type="gramStart"/>
      <w:r>
        <w:rPr>
          <w:rFonts w:ascii="宋体" w:hAnsi="宋体"/>
          <w:sz w:val="24"/>
        </w:rPr>
        <w:t>申万宏源证券</w:t>
      </w:r>
      <w:proofErr w:type="gramEnd"/>
      <w:r>
        <w:rPr>
          <w:rFonts w:ascii="宋体" w:hAnsi="宋体"/>
          <w:sz w:val="24"/>
        </w:rPr>
        <w:t>有限公司</w:t>
      </w:r>
    </w:p>
    <w:p w14:paraId="4503F7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444AB9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办公地址：上海市徐汇区长乐路989号世纪商贸广场45层</w:t>
      </w:r>
    </w:p>
    <w:p w14:paraId="01BD45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551FC2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3E7566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38DD5C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1F420F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445CEF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（49）名称：国都证券股份有限公司</w:t>
      </w:r>
    </w:p>
    <w:p w14:paraId="3C5C94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46AF85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14:paraId="568E74F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14:paraId="32292B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708500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14:paraId="3972E2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（50）名称：平安证券股份有限公司</w:t>
      </w:r>
    </w:p>
    <w:p w14:paraId="0761D1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4EA4DC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25A7A9E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2C2D67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64DCBB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03011C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郑舒丽</w:t>
      </w:r>
      <w:proofErr w:type="gramEnd"/>
    </w:p>
    <w:p w14:paraId="5CB88D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2F0F9D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050BD3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（51）名称：中信证券（山东）有限责任公司</w:t>
      </w:r>
    </w:p>
    <w:p w14:paraId="31B9FD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47314F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w:t>
      </w:r>
      <w:proofErr w:type="gramStart"/>
      <w:r>
        <w:rPr>
          <w:rFonts w:ascii="宋体" w:hAnsi="宋体"/>
          <w:sz w:val="24"/>
        </w:rPr>
        <w:t>翔广场东</w:t>
      </w:r>
      <w:proofErr w:type="gramEnd"/>
      <w:r>
        <w:rPr>
          <w:rFonts w:ascii="宋体" w:hAnsi="宋体"/>
          <w:sz w:val="24"/>
        </w:rPr>
        <w:t>座5层</w:t>
      </w:r>
    </w:p>
    <w:p w14:paraId="49C00F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682E5F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561CB6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2680CE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366C39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70DD6F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7A0EF3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（52）名称：</w:t>
      </w:r>
      <w:proofErr w:type="gramStart"/>
      <w:r>
        <w:rPr>
          <w:rFonts w:ascii="宋体" w:hAnsi="宋体"/>
          <w:sz w:val="24"/>
        </w:rPr>
        <w:t>申万宏</w:t>
      </w:r>
      <w:proofErr w:type="gramEnd"/>
      <w:r>
        <w:rPr>
          <w:rFonts w:ascii="宋体" w:hAnsi="宋体"/>
          <w:sz w:val="24"/>
        </w:rPr>
        <w:t>源西部证券有限公司</w:t>
      </w:r>
    </w:p>
    <w:p w14:paraId="2A9336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6CA828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0A363F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5E2439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2EC8AF5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63FAF9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2E525C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28A140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4D24EA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（53）名称：中泰证券股份有限公司</w:t>
      </w:r>
    </w:p>
    <w:p w14:paraId="1C51A8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03B9F6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1020B8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52596C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14:paraId="4BA68E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4FA75C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62893D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4604DA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434045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（54）名称：江海证券有限公司</w:t>
      </w:r>
    </w:p>
    <w:p w14:paraId="13B860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w:t>
      </w:r>
      <w:proofErr w:type="gramStart"/>
      <w:r>
        <w:rPr>
          <w:rFonts w:ascii="宋体" w:hAnsi="宋体"/>
          <w:sz w:val="24"/>
        </w:rPr>
        <w:t>坊区赣水路</w:t>
      </w:r>
      <w:proofErr w:type="gramEnd"/>
      <w:r>
        <w:rPr>
          <w:rFonts w:ascii="宋体" w:hAnsi="宋体"/>
          <w:sz w:val="24"/>
        </w:rPr>
        <w:t>56号</w:t>
      </w:r>
    </w:p>
    <w:p w14:paraId="234B9C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26B78A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6A43F6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4C56D7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3AA611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0FFB93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414FE0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（55）名称：中国国际金融股份有限公司</w:t>
      </w:r>
    </w:p>
    <w:p w14:paraId="3058C0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57DCA1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462980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毕明建</w:t>
      </w:r>
      <w:proofErr w:type="gramEnd"/>
    </w:p>
    <w:p w14:paraId="412C02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电话：（010）65051166</w:t>
      </w:r>
    </w:p>
    <w:p w14:paraId="5069FF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0D7092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32ABA1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7D6AE8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（56）名称：瑞银证券有限责任公司</w:t>
      </w:r>
    </w:p>
    <w:p w14:paraId="0971C4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w:t>
      </w:r>
      <w:proofErr w:type="gramStart"/>
      <w:r>
        <w:rPr>
          <w:rFonts w:ascii="宋体" w:hAnsi="宋体"/>
          <w:sz w:val="24"/>
        </w:rPr>
        <w:t>英蓝国际</w:t>
      </w:r>
      <w:proofErr w:type="gramEnd"/>
      <w:r>
        <w:rPr>
          <w:rFonts w:ascii="宋体" w:hAnsi="宋体"/>
          <w:sz w:val="24"/>
        </w:rPr>
        <w:t>金融中心12层、15层</w:t>
      </w:r>
    </w:p>
    <w:p w14:paraId="6C8106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w:t>
      </w:r>
      <w:proofErr w:type="gramStart"/>
      <w:r>
        <w:rPr>
          <w:rFonts w:ascii="宋体" w:hAnsi="宋体"/>
          <w:sz w:val="24"/>
        </w:rPr>
        <w:t>英蓝国际</w:t>
      </w:r>
      <w:proofErr w:type="gramEnd"/>
      <w:r>
        <w:rPr>
          <w:rFonts w:ascii="宋体" w:hAnsi="宋体"/>
          <w:sz w:val="24"/>
        </w:rPr>
        <w:t>金融中心12层、15层</w:t>
      </w:r>
    </w:p>
    <w:p w14:paraId="2CF1FFF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14:paraId="5AF493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14:paraId="73CB4B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14:paraId="592B8B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14:paraId="76918C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14:paraId="48DA10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14:paraId="70AEB2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（57）名称：长城证券有限责任公司</w:t>
      </w:r>
    </w:p>
    <w:p w14:paraId="78F29E0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0EA466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53F1AA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792C0F9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2A5E44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7D76FB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58987A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6C9BF0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（58）名称：国金证券股份有限公司</w:t>
      </w:r>
    </w:p>
    <w:p w14:paraId="3557AC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7F6F6F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711804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4171F2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4B799B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133CD3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1F830B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015F5D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42A3BD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（59）名称：渤海证券股份有限公司</w:t>
      </w:r>
    </w:p>
    <w:p w14:paraId="1E9A13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14:paraId="17F247A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w:t>
      </w:r>
      <w:proofErr w:type="gramStart"/>
      <w:r>
        <w:rPr>
          <w:rFonts w:ascii="宋体" w:hAnsi="宋体"/>
          <w:sz w:val="24"/>
        </w:rPr>
        <w:t>南开区宾水</w:t>
      </w:r>
      <w:proofErr w:type="gramEnd"/>
      <w:r>
        <w:rPr>
          <w:rFonts w:ascii="宋体" w:hAnsi="宋体"/>
          <w:sz w:val="24"/>
        </w:rPr>
        <w:t>西道8号</w:t>
      </w:r>
    </w:p>
    <w:p w14:paraId="44B420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14:paraId="4D5CE1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14:paraId="7F3EF0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14:paraId="2CA5C2A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14:paraId="6E2A15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14:paraId="5F943B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14:paraId="54BEAD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（60）名称：信</w:t>
      </w:r>
      <w:proofErr w:type="gramStart"/>
      <w:r>
        <w:rPr>
          <w:rFonts w:ascii="宋体" w:hAnsi="宋体"/>
          <w:sz w:val="24"/>
        </w:rPr>
        <w:t>达证券</w:t>
      </w:r>
      <w:proofErr w:type="gramEnd"/>
      <w:r>
        <w:rPr>
          <w:rFonts w:ascii="宋体" w:hAnsi="宋体"/>
          <w:sz w:val="24"/>
        </w:rPr>
        <w:t>股份有限公司</w:t>
      </w:r>
    </w:p>
    <w:p w14:paraId="321C8A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0C058B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4BB639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28D6AF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14:paraId="4F23F1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30F9FF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01BAE4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79DDCF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14:paraId="4D5F24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（61）名称：西南证券股份有限公司</w:t>
      </w:r>
    </w:p>
    <w:p w14:paraId="55FF0D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14:paraId="34A2EA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14:paraId="69085C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w:t>
      </w:r>
      <w:proofErr w:type="gramStart"/>
      <w:r>
        <w:rPr>
          <w:rFonts w:ascii="宋体" w:hAnsi="宋体"/>
          <w:sz w:val="24"/>
        </w:rPr>
        <w:t>坚</w:t>
      </w:r>
      <w:proofErr w:type="gramEnd"/>
    </w:p>
    <w:p w14:paraId="00D51C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14:paraId="0AC14E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14:paraId="34FA27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14:paraId="7BCD5B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14:paraId="102FBF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14:paraId="12E3B3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（62）名称：国新证券股份有限公司</w:t>
      </w:r>
    </w:p>
    <w:p w14:paraId="446666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2771BF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51CC50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法定代表人：宋德清</w:t>
      </w:r>
    </w:p>
    <w:p w14:paraId="2636C8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1EBE90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0FB7D3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1A39EC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3B2965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14:paraId="3E19BC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（63）名称：中原证券股份有限公司</w:t>
      </w:r>
    </w:p>
    <w:p w14:paraId="7C5955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14:paraId="0A246C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14:paraId="326BA7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菅</w:t>
      </w:r>
      <w:proofErr w:type="gramEnd"/>
      <w:r>
        <w:rPr>
          <w:rFonts w:ascii="宋体" w:hAnsi="宋体"/>
          <w:sz w:val="24"/>
        </w:rPr>
        <w:t>明军</w:t>
      </w:r>
    </w:p>
    <w:p w14:paraId="6705155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程月艳</w:t>
      </w:r>
      <w:proofErr w:type="gramEnd"/>
      <w:r>
        <w:rPr>
          <w:rFonts w:ascii="宋体" w:hAnsi="宋体"/>
          <w:sz w:val="24"/>
        </w:rPr>
        <w:t xml:space="preserve"> 李盼</w:t>
      </w:r>
      <w:proofErr w:type="gramStart"/>
      <w:r>
        <w:rPr>
          <w:rFonts w:ascii="宋体" w:hAnsi="宋体"/>
          <w:sz w:val="24"/>
        </w:rPr>
        <w:t>盼</w:t>
      </w:r>
      <w:proofErr w:type="gramEnd"/>
    </w:p>
    <w:p w14:paraId="490F93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14:paraId="75883B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14:paraId="0669F8A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14:paraId="2A7574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（64）名称：联</w:t>
      </w:r>
      <w:proofErr w:type="gramStart"/>
      <w:r>
        <w:rPr>
          <w:rFonts w:ascii="宋体" w:hAnsi="宋体"/>
          <w:sz w:val="24"/>
        </w:rPr>
        <w:t>讯证券</w:t>
      </w:r>
      <w:proofErr w:type="gramEnd"/>
      <w:r>
        <w:rPr>
          <w:rFonts w:ascii="宋体" w:hAnsi="宋体"/>
          <w:sz w:val="24"/>
        </w:rPr>
        <w:t>股份有限公司</w:t>
      </w:r>
    </w:p>
    <w:p w14:paraId="77068E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14:paraId="519E9F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14:paraId="4D6875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14:paraId="3B8389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14:paraId="4048B45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14:paraId="403A3C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14:paraId="15401E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14:paraId="57CF82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14:paraId="4EC64F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（65）名称：华西证券股份有限公司</w:t>
      </w:r>
    </w:p>
    <w:p w14:paraId="28E80D4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69512F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6A91BC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740B88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7977F43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09E1D0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联系人：周志茹</w:t>
      </w:r>
    </w:p>
    <w:p w14:paraId="3706DB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1D2212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3F3E0D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（66）名称：东莞证券股份有限公司</w:t>
      </w:r>
    </w:p>
    <w:p w14:paraId="4A8D79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w:t>
      </w:r>
      <w:proofErr w:type="gramStart"/>
      <w:r>
        <w:rPr>
          <w:rFonts w:ascii="宋体" w:hAnsi="宋体"/>
          <w:sz w:val="24"/>
        </w:rPr>
        <w:t>莞</w:t>
      </w:r>
      <w:proofErr w:type="gramEnd"/>
      <w:r>
        <w:rPr>
          <w:rFonts w:ascii="宋体" w:hAnsi="宋体"/>
          <w:sz w:val="24"/>
        </w:rPr>
        <w:t>城区可园南路一号</w:t>
      </w:r>
    </w:p>
    <w:p w14:paraId="3081D0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w:t>
      </w:r>
      <w:proofErr w:type="gramStart"/>
      <w:r>
        <w:rPr>
          <w:rFonts w:ascii="宋体" w:hAnsi="宋体"/>
          <w:sz w:val="24"/>
        </w:rPr>
        <w:t>莞</w:t>
      </w:r>
      <w:proofErr w:type="gramEnd"/>
      <w:r>
        <w:rPr>
          <w:rFonts w:ascii="宋体" w:hAnsi="宋体"/>
          <w:sz w:val="24"/>
        </w:rPr>
        <w:t>城区可园南路一号</w:t>
      </w:r>
    </w:p>
    <w:p w14:paraId="7F237C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14:paraId="0F7C03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14:paraId="23ADDE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14:paraId="602D6B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14:paraId="497283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14:paraId="4918D7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（67）名称：中信证券华南股份有限公司</w:t>
      </w:r>
    </w:p>
    <w:p w14:paraId="590728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02BC51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0D84AC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胡伏云</w:t>
      </w:r>
      <w:proofErr w:type="gramEnd"/>
    </w:p>
    <w:p w14:paraId="35ECF8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5F0BAC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5DD848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4D6926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55F167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291D39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（68）名称：第一创业证券股份有限公司</w:t>
      </w:r>
    </w:p>
    <w:p w14:paraId="61402BB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75D90F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14:paraId="23365D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77AB0A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77B5D39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1582BE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14:paraId="53DE26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0C694B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3E8ED2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（69）名称：德</w:t>
      </w:r>
      <w:proofErr w:type="gramStart"/>
      <w:r>
        <w:rPr>
          <w:rFonts w:ascii="宋体" w:hAnsi="宋体"/>
          <w:sz w:val="24"/>
        </w:rPr>
        <w:t>邦</w:t>
      </w:r>
      <w:proofErr w:type="gramEnd"/>
      <w:r>
        <w:rPr>
          <w:rFonts w:ascii="宋体" w:hAnsi="宋体"/>
          <w:sz w:val="24"/>
        </w:rPr>
        <w:t>证券有限责任公司</w:t>
      </w:r>
    </w:p>
    <w:p w14:paraId="082740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住所：上海市普陀区曹杨路510号南半幢9楼</w:t>
      </w:r>
    </w:p>
    <w:p w14:paraId="64D4B9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4FE369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6258FC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0AE1ED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18540AD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6B30EF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4F55D6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（70）名称：天</w:t>
      </w:r>
      <w:proofErr w:type="gramStart"/>
      <w:r>
        <w:rPr>
          <w:rFonts w:ascii="宋体" w:hAnsi="宋体"/>
          <w:sz w:val="24"/>
        </w:rPr>
        <w:t>相投资</w:t>
      </w:r>
      <w:proofErr w:type="gramEnd"/>
      <w:r>
        <w:rPr>
          <w:rFonts w:ascii="宋体" w:hAnsi="宋体"/>
          <w:sz w:val="24"/>
        </w:rPr>
        <w:t>顾问有限公司</w:t>
      </w:r>
    </w:p>
    <w:p w14:paraId="2B0AAF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14:paraId="53FA7F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14:paraId="4BFD74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14:paraId="55594F3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14:paraId="5E41CC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14:paraId="1D4C2F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14:paraId="0EC0E9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14:paraId="19D85A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14:paraId="1C20B8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（71）名称：北京钱景财富投资管理有限公司</w:t>
      </w:r>
    </w:p>
    <w:p w14:paraId="2E5C79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2CB809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2B5BEC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00839F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548817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040124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3AD235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2D6BF8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2233B3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（72）名称：上海大智慧基金销售有限公司</w:t>
      </w:r>
    </w:p>
    <w:p w14:paraId="34857A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新区杨</w:t>
      </w:r>
      <w:proofErr w:type="gramEnd"/>
      <w:r>
        <w:rPr>
          <w:rFonts w:ascii="宋体" w:hAnsi="宋体"/>
          <w:sz w:val="24"/>
        </w:rPr>
        <w:t>高南路428号1号楼10-11层</w:t>
      </w:r>
    </w:p>
    <w:p w14:paraId="7FAE79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新区杨</w:t>
      </w:r>
      <w:proofErr w:type="gramEnd"/>
      <w:r>
        <w:rPr>
          <w:rFonts w:ascii="宋体" w:hAnsi="宋体"/>
          <w:sz w:val="24"/>
        </w:rPr>
        <w:t>高南路428号1号楼10-11层</w:t>
      </w:r>
    </w:p>
    <w:p w14:paraId="637454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00C9B6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555E46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传真：021-20219923</w:t>
      </w:r>
    </w:p>
    <w:p w14:paraId="1CC801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w:t>
      </w:r>
      <w:proofErr w:type="gramStart"/>
      <w:r>
        <w:rPr>
          <w:rFonts w:ascii="宋体" w:hAnsi="宋体"/>
          <w:sz w:val="24"/>
        </w:rPr>
        <w:t>蜓</w:t>
      </w:r>
      <w:proofErr w:type="gramEnd"/>
    </w:p>
    <w:p w14:paraId="3FF52C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3BC598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2684F8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（73）名称：上海利得基金销售有限公司</w:t>
      </w:r>
    </w:p>
    <w:p w14:paraId="5646A6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14:paraId="6F78E4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14:paraId="0BDF21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0A1617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0C87D3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51C839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0950B3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780768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4F4B4C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（74）名称：上海</w:t>
      </w:r>
      <w:proofErr w:type="gramStart"/>
      <w:r>
        <w:rPr>
          <w:rFonts w:ascii="宋体" w:hAnsi="宋体"/>
          <w:sz w:val="24"/>
        </w:rPr>
        <w:t>凯</w:t>
      </w:r>
      <w:proofErr w:type="gramEnd"/>
      <w:r>
        <w:rPr>
          <w:rFonts w:ascii="宋体" w:hAnsi="宋体"/>
          <w:sz w:val="24"/>
        </w:rPr>
        <w:t>石财富基金销售有限公司</w:t>
      </w:r>
    </w:p>
    <w:p w14:paraId="16C272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3CB2C5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w:t>
      </w:r>
      <w:proofErr w:type="gramStart"/>
      <w:r>
        <w:rPr>
          <w:rFonts w:ascii="宋体" w:hAnsi="宋体"/>
          <w:sz w:val="24"/>
        </w:rPr>
        <w:t>凯石大厦</w:t>
      </w:r>
      <w:proofErr w:type="gramEnd"/>
      <w:r>
        <w:rPr>
          <w:rFonts w:ascii="宋体" w:hAnsi="宋体"/>
          <w:sz w:val="24"/>
        </w:rPr>
        <w:t>4楼</w:t>
      </w:r>
    </w:p>
    <w:p w14:paraId="314228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522362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328CDD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612273A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01BC5E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3275FC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73687D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（75）名称：北京虹点基金销售有限公司</w:t>
      </w:r>
    </w:p>
    <w:p w14:paraId="0A9EF6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0F62E3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5FCA8A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783294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477D721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328E58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19D610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443AFD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网址：www.hongdianfund.com/</w:t>
      </w:r>
    </w:p>
    <w:p w14:paraId="261A5B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（76）名称：诺亚正行(上海)基金销售投资顾问有限公司</w:t>
      </w:r>
    </w:p>
    <w:p w14:paraId="5C4484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4B8B16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31F6B1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5FF626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012017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473DC5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27E0CB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75F0D3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32F0AF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（77）名称：上海好买基金销售有限公司</w:t>
      </w:r>
    </w:p>
    <w:p w14:paraId="5699D9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673C21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08D2DB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1C38B1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45EC17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0D4EB8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20045F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62D0411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（78）名称：上海长</w:t>
      </w:r>
      <w:proofErr w:type="gramStart"/>
      <w:r>
        <w:rPr>
          <w:rFonts w:ascii="宋体" w:hAnsi="宋体"/>
          <w:sz w:val="24"/>
        </w:rPr>
        <w:t>量基金</w:t>
      </w:r>
      <w:proofErr w:type="gramEnd"/>
      <w:r>
        <w:rPr>
          <w:rFonts w:ascii="宋体" w:hAnsi="宋体"/>
          <w:sz w:val="24"/>
        </w:rPr>
        <w:t>销售投资顾问有限公司</w:t>
      </w:r>
    </w:p>
    <w:p w14:paraId="6A5DBA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28C645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w:t>
      </w:r>
      <w:proofErr w:type="gramStart"/>
      <w:r>
        <w:rPr>
          <w:rFonts w:ascii="宋体" w:hAnsi="宋体"/>
          <w:sz w:val="24"/>
        </w:rPr>
        <w:t>景国际</w:t>
      </w:r>
      <w:proofErr w:type="gramEnd"/>
      <w:r>
        <w:rPr>
          <w:rFonts w:ascii="宋体" w:hAnsi="宋体"/>
          <w:sz w:val="24"/>
        </w:rPr>
        <w:t>B座16层</w:t>
      </w:r>
    </w:p>
    <w:p w14:paraId="596673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4A645B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0705D8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06467A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58DD0D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33653C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4DCE7B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（79）名称：深圳</w:t>
      </w:r>
      <w:proofErr w:type="gramStart"/>
      <w:r>
        <w:rPr>
          <w:rFonts w:ascii="宋体" w:hAnsi="宋体"/>
          <w:sz w:val="24"/>
        </w:rPr>
        <w:t>众禄基金</w:t>
      </w:r>
      <w:proofErr w:type="gramEnd"/>
      <w:r>
        <w:rPr>
          <w:rFonts w:ascii="宋体" w:hAnsi="宋体"/>
          <w:sz w:val="24"/>
        </w:rPr>
        <w:t>销售有限公司</w:t>
      </w:r>
    </w:p>
    <w:p w14:paraId="055279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4809728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2D7AE7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法定代表人：薛峰</w:t>
      </w:r>
    </w:p>
    <w:p w14:paraId="5F13DA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17C0E5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5E20BC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28F145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4AF8B8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42BC94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（80）名称：蚂蚁（杭州）基金销售有限公司</w:t>
      </w:r>
    </w:p>
    <w:p w14:paraId="579888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w:t>
      </w:r>
      <w:proofErr w:type="gramStart"/>
      <w:r>
        <w:rPr>
          <w:rFonts w:ascii="宋体" w:hAnsi="宋体"/>
          <w:sz w:val="24"/>
        </w:rPr>
        <w:t>一</w:t>
      </w:r>
      <w:proofErr w:type="gramEnd"/>
      <w:r>
        <w:rPr>
          <w:rFonts w:ascii="宋体" w:hAnsi="宋体"/>
          <w:sz w:val="24"/>
        </w:rPr>
        <w:t>西路969号3幢5层599室</w:t>
      </w:r>
    </w:p>
    <w:p w14:paraId="11ADE6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5779D52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77F3E4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6283BC7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72E168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4C6D70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（81）名称：深圳市新兰德证券投资咨询有限公司</w:t>
      </w:r>
    </w:p>
    <w:p w14:paraId="1D7F12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2EE5C5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3FE749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270AE1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67877E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540FBC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7ABD42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49B0B1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1A9A99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（82）名称：北京</w:t>
      </w:r>
      <w:proofErr w:type="gramStart"/>
      <w:r>
        <w:rPr>
          <w:rFonts w:ascii="宋体" w:hAnsi="宋体"/>
          <w:sz w:val="24"/>
        </w:rPr>
        <w:t>展恒基金</w:t>
      </w:r>
      <w:proofErr w:type="gramEnd"/>
      <w:r>
        <w:rPr>
          <w:rFonts w:ascii="宋体" w:hAnsi="宋体"/>
          <w:sz w:val="24"/>
        </w:rPr>
        <w:t>销售股份有限公司</w:t>
      </w:r>
    </w:p>
    <w:p w14:paraId="37F3DF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21DB47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746329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1B2930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163F4B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1537B8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15A88B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7E0BAE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网址：www.myfund.com</w:t>
      </w:r>
    </w:p>
    <w:p w14:paraId="212A9F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（83）名称：一路财富（北京）信息科技有限公司</w:t>
      </w:r>
    </w:p>
    <w:p w14:paraId="7B2A88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29D689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2659B5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5A8D34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761196F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1BD9FB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14A50C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1AE9D46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1786D79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（84）名称：和讯信息科技有限公司</w:t>
      </w:r>
    </w:p>
    <w:p w14:paraId="2B08FF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w:t>
      </w:r>
      <w:proofErr w:type="gramStart"/>
      <w:r>
        <w:rPr>
          <w:rFonts w:ascii="宋体" w:hAnsi="宋体"/>
          <w:sz w:val="24"/>
        </w:rPr>
        <w:t>22号泛利大厦</w:t>
      </w:r>
      <w:proofErr w:type="gramEnd"/>
      <w:r>
        <w:rPr>
          <w:rFonts w:ascii="宋体" w:hAnsi="宋体"/>
          <w:sz w:val="24"/>
        </w:rPr>
        <w:t>10层</w:t>
      </w:r>
    </w:p>
    <w:p w14:paraId="134E81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w:t>
      </w:r>
      <w:proofErr w:type="gramStart"/>
      <w:r>
        <w:rPr>
          <w:rFonts w:ascii="宋体" w:hAnsi="宋体"/>
          <w:sz w:val="24"/>
        </w:rPr>
        <w:t>22号泛利大厦</w:t>
      </w:r>
      <w:proofErr w:type="gramEnd"/>
      <w:r>
        <w:rPr>
          <w:rFonts w:ascii="宋体" w:hAnsi="宋体"/>
          <w:sz w:val="24"/>
        </w:rPr>
        <w:t>10层</w:t>
      </w:r>
    </w:p>
    <w:p w14:paraId="45D8A4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231FF2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1BB068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59A1D0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2FD4D1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128419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70DBB3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（85）名称：上海天天基金销售有限公司</w:t>
      </w:r>
    </w:p>
    <w:p w14:paraId="378272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2265A3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3043B2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302C75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34B1A5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1E13E0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7B9546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28BFAB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5C1764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（86）名称：上海联泰基金销售有限公司</w:t>
      </w:r>
    </w:p>
    <w:p w14:paraId="086E93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151850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办公地址：上海市长宁区福泉北路518号8座3楼</w:t>
      </w:r>
    </w:p>
    <w:p w14:paraId="60E803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3FEB8B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4A4A865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280FD0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凌秋艳</w:t>
      </w:r>
      <w:proofErr w:type="gramEnd"/>
    </w:p>
    <w:p w14:paraId="01C760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58D60A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266159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（87）名称：珠海盈米财富管理有限公司</w:t>
      </w:r>
    </w:p>
    <w:p w14:paraId="7FAC38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0D0898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14:paraId="1DCE4B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0E3801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15A45D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5D9B3F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w:t>
      </w:r>
      <w:proofErr w:type="gramStart"/>
      <w:r>
        <w:rPr>
          <w:rFonts w:ascii="宋体" w:hAnsi="宋体"/>
          <w:sz w:val="24"/>
        </w:rPr>
        <w:t>嫦</w:t>
      </w:r>
      <w:proofErr w:type="gramEnd"/>
    </w:p>
    <w:p w14:paraId="27CF33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52FAD5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7BCE88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（88）名称：上海基</w:t>
      </w:r>
      <w:proofErr w:type="gramStart"/>
      <w:r>
        <w:rPr>
          <w:rFonts w:ascii="宋体" w:hAnsi="宋体"/>
          <w:sz w:val="24"/>
        </w:rPr>
        <w:t>煜</w:t>
      </w:r>
      <w:proofErr w:type="gramEnd"/>
      <w:r>
        <w:rPr>
          <w:rFonts w:ascii="宋体" w:hAnsi="宋体"/>
          <w:sz w:val="24"/>
        </w:rPr>
        <w:t>基金销售有限公司</w:t>
      </w:r>
    </w:p>
    <w:p w14:paraId="3D4F2E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21BEEB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34607E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74D6913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668ED7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10E004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7D1971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54231A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61AA6E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w:t>
      </w:r>
      <w:proofErr w:type="gramStart"/>
      <w:r>
        <w:rPr>
          <w:rFonts w:ascii="宋体" w:hAnsi="宋体"/>
          <w:sz w:val="24"/>
        </w:rPr>
        <w:t>宜信普泽</w:t>
      </w:r>
      <w:proofErr w:type="gramEnd"/>
      <w:r>
        <w:rPr>
          <w:rFonts w:ascii="宋体" w:hAnsi="宋体"/>
          <w:sz w:val="24"/>
        </w:rPr>
        <w:t>投资顾问（北京）有限公司</w:t>
      </w:r>
    </w:p>
    <w:p w14:paraId="624F13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0EB640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00C6605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5569DD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电话：010-52855713</w:t>
      </w:r>
    </w:p>
    <w:p w14:paraId="596B8A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0DB102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5AA95B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2E22A4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02153D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（90）名称：浙江同花</w:t>
      </w:r>
      <w:proofErr w:type="gramStart"/>
      <w:r>
        <w:rPr>
          <w:rFonts w:ascii="宋体" w:hAnsi="宋体"/>
          <w:sz w:val="24"/>
        </w:rPr>
        <w:t>顺基金</w:t>
      </w:r>
      <w:proofErr w:type="gramEnd"/>
      <w:r>
        <w:rPr>
          <w:rFonts w:ascii="宋体" w:hAnsi="宋体"/>
          <w:sz w:val="24"/>
        </w:rPr>
        <w:t>销售有限公司</w:t>
      </w:r>
    </w:p>
    <w:p w14:paraId="03E21C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14635A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w:t>
      </w:r>
      <w:proofErr w:type="gramStart"/>
      <w:r>
        <w:rPr>
          <w:rFonts w:ascii="宋体" w:hAnsi="宋体"/>
          <w:sz w:val="24"/>
        </w:rPr>
        <w:t>翠柏路</w:t>
      </w:r>
      <w:proofErr w:type="gramEnd"/>
      <w:r>
        <w:rPr>
          <w:rFonts w:ascii="宋体" w:hAnsi="宋体"/>
          <w:sz w:val="24"/>
        </w:rPr>
        <w:t>7号电子商务产业园2号楼 2楼</w:t>
      </w:r>
    </w:p>
    <w:p w14:paraId="42889D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凌</w:t>
      </w:r>
      <w:proofErr w:type="gramEnd"/>
      <w:r>
        <w:rPr>
          <w:rFonts w:ascii="宋体" w:hAnsi="宋体"/>
          <w:sz w:val="24"/>
        </w:rPr>
        <w:t>顺平</w:t>
      </w:r>
    </w:p>
    <w:p w14:paraId="0E12FF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09D890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541B18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2E7CD9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06B04C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346B1E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（91）名称：中信期货有限公司</w:t>
      </w:r>
    </w:p>
    <w:p w14:paraId="0C83C4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3623FD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1DCA49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746CC7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0C352A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6EB473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w:t>
      </w:r>
      <w:proofErr w:type="gramStart"/>
      <w:r>
        <w:rPr>
          <w:rFonts w:ascii="宋体" w:hAnsi="宋体"/>
          <w:sz w:val="24"/>
        </w:rPr>
        <w:t>莹</w:t>
      </w:r>
      <w:proofErr w:type="gramEnd"/>
    </w:p>
    <w:p w14:paraId="1BBF676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18EF21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28EADC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（92）名称：上海陆金</w:t>
      </w:r>
      <w:proofErr w:type="gramStart"/>
      <w:r>
        <w:rPr>
          <w:rFonts w:ascii="宋体" w:hAnsi="宋体"/>
          <w:sz w:val="24"/>
        </w:rPr>
        <w:t>所资产</w:t>
      </w:r>
      <w:proofErr w:type="gramEnd"/>
      <w:r>
        <w:rPr>
          <w:rFonts w:ascii="宋体" w:hAnsi="宋体"/>
          <w:sz w:val="24"/>
        </w:rPr>
        <w:t>管理有限公司</w:t>
      </w:r>
    </w:p>
    <w:p w14:paraId="5526B7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4949B8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2C484D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6CCAE1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3E3A24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传真：（021）22066653</w:t>
      </w:r>
    </w:p>
    <w:p w14:paraId="578B88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宁博宇</w:t>
      </w:r>
      <w:proofErr w:type="gramEnd"/>
    </w:p>
    <w:p w14:paraId="1F0542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27DA18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74F9CD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（93）名称：北京中</w:t>
      </w:r>
      <w:proofErr w:type="gramStart"/>
      <w:r>
        <w:rPr>
          <w:rFonts w:ascii="宋体" w:hAnsi="宋体"/>
          <w:sz w:val="24"/>
        </w:rPr>
        <w:t>植基金</w:t>
      </w:r>
      <w:proofErr w:type="gramEnd"/>
      <w:r>
        <w:rPr>
          <w:rFonts w:ascii="宋体" w:hAnsi="宋体"/>
          <w:sz w:val="24"/>
        </w:rPr>
        <w:t>销售有限公司</w:t>
      </w:r>
    </w:p>
    <w:p w14:paraId="2E3D41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7F0584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w:t>
      </w:r>
      <w:proofErr w:type="gramStart"/>
      <w:r>
        <w:rPr>
          <w:rFonts w:ascii="宋体" w:hAnsi="宋体"/>
          <w:sz w:val="24"/>
        </w:rPr>
        <w:t>嘉盛中心</w:t>
      </w:r>
      <w:proofErr w:type="gramEnd"/>
      <w:r>
        <w:rPr>
          <w:rFonts w:ascii="宋体" w:hAnsi="宋体"/>
          <w:sz w:val="24"/>
        </w:rPr>
        <w:t>30层3001室</w:t>
      </w:r>
    </w:p>
    <w:p w14:paraId="11AFFF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27DECB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291EC0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1BB99E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3AF49D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554B09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3AC595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（94）名称：北京汇成基金销售有限公司</w:t>
      </w:r>
    </w:p>
    <w:p w14:paraId="48FA08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3B1636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w:t>
      </w:r>
      <w:proofErr w:type="gramStart"/>
      <w:r>
        <w:rPr>
          <w:rFonts w:ascii="宋体" w:hAnsi="宋体"/>
          <w:sz w:val="24"/>
        </w:rPr>
        <w:t>环球财讯中心</w:t>
      </w:r>
      <w:proofErr w:type="gramEnd"/>
      <w:r>
        <w:rPr>
          <w:rFonts w:ascii="宋体" w:hAnsi="宋体"/>
          <w:sz w:val="24"/>
        </w:rPr>
        <w:t>D座4层401-2</w:t>
      </w:r>
    </w:p>
    <w:p w14:paraId="5E2356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0CC6C3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40565A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4BD2E63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74D750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033294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467C38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（95）名称：奕丰基金销售有限公司</w:t>
      </w:r>
    </w:p>
    <w:p w14:paraId="267F55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E10DB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67CBA0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09CCE4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14688E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0A3179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271BCC9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客户服务电话：400-684-0500</w:t>
      </w:r>
    </w:p>
    <w:p w14:paraId="7084085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144072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（96）名称：北京唐鼎耀华投资咨询有限公司</w:t>
      </w:r>
    </w:p>
    <w:p w14:paraId="076460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w:t>
      </w:r>
      <w:proofErr w:type="gramStart"/>
      <w:r>
        <w:rPr>
          <w:rFonts w:ascii="宋体" w:hAnsi="宋体"/>
          <w:sz w:val="24"/>
        </w:rPr>
        <w:t>百泉街10号</w:t>
      </w:r>
      <w:proofErr w:type="gramEnd"/>
      <w:r>
        <w:rPr>
          <w:rFonts w:ascii="宋体" w:hAnsi="宋体"/>
          <w:sz w:val="24"/>
        </w:rPr>
        <w:t>2栋236室</w:t>
      </w:r>
    </w:p>
    <w:p w14:paraId="30D7BB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5F4356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35623D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14EFE8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52C693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2725B2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6C495C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556143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（97）名称：北京</w:t>
      </w:r>
      <w:proofErr w:type="gramStart"/>
      <w:r>
        <w:rPr>
          <w:rFonts w:ascii="宋体" w:hAnsi="宋体"/>
          <w:sz w:val="24"/>
        </w:rPr>
        <w:t>创金启富基金</w:t>
      </w:r>
      <w:proofErr w:type="gramEnd"/>
      <w:r>
        <w:rPr>
          <w:rFonts w:ascii="宋体" w:hAnsi="宋体"/>
          <w:sz w:val="24"/>
        </w:rPr>
        <w:t>销售有限公司</w:t>
      </w:r>
    </w:p>
    <w:p w14:paraId="0F71C3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w:t>
      </w:r>
      <w:proofErr w:type="gramStart"/>
      <w:r>
        <w:rPr>
          <w:rFonts w:ascii="宋体" w:hAnsi="宋体"/>
          <w:sz w:val="24"/>
        </w:rPr>
        <w:t>水大厦</w:t>
      </w:r>
      <w:proofErr w:type="gramEnd"/>
      <w:r>
        <w:rPr>
          <w:rFonts w:ascii="宋体" w:hAnsi="宋体"/>
          <w:sz w:val="24"/>
        </w:rPr>
        <w:t>215A</w:t>
      </w:r>
    </w:p>
    <w:p w14:paraId="1A5DEF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20AEB1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68E4EE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319EC5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32FB27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681B72F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00166A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7708A1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（98）名称：上海云湾投资管理有限公司</w:t>
      </w:r>
    </w:p>
    <w:p w14:paraId="2117873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1EABAE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3B4BF3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6BBC1E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2ADE534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2E2CB3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03E9CC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3B6882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335535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（99）名称：中证金牛（北京）投资咨询有限公司</w:t>
      </w:r>
    </w:p>
    <w:p w14:paraId="66FFF4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北京市丰台区东管头1号2号楼2-45室</w:t>
      </w:r>
    </w:p>
    <w:p w14:paraId="045EC8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w:t>
      </w:r>
      <w:proofErr w:type="gramStart"/>
      <w:r>
        <w:rPr>
          <w:rFonts w:ascii="宋体" w:hAnsi="宋体"/>
          <w:sz w:val="24"/>
        </w:rPr>
        <w:t>环球财讯中心</w:t>
      </w:r>
      <w:proofErr w:type="gramEnd"/>
      <w:r>
        <w:rPr>
          <w:rFonts w:ascii="宋体" w:hAnsi="宋体"/>
          <w:sz w:val="24"/>
        </w:rPr>
        <w:t>A座5层</w:t>
      </w:r>
    </w:p>
    <w:p w14:paraId="4334CA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5B51A0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657F91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69F5FC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孟汉霄</w:t>
      </w:r>
      <w:proofErr w:type="gramEnd"/>
    </w:p>
    <w:p w14:paraId="1CF60F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26BDB3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568F09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（100）名称：北京新</w:t>
      </w:r>
      <w:proofErr w:type="gramStart"/>
      <w:r>
        <w:rPr>
          <w:rFonts w:ascii="宋体" w:hAnsi="宋体"/>
          <w:sz w:val="24"/>
        </w:rPr>
        <w:t>浪仓石基金</w:t>
      </w:r>
      <w:proofErr w:type="gramEnd"/>
      <w:r>
        <w:rPr>
          <w:rFonts w:ascii="宋体" w:hAnsi="宋体"/>
          <w:sz w:val="24"/>
        </w:rPr>
        <w:t>销售有限公司</w:t>
      </w:r>
    </w:p>
    <w:p w14:paraId="487CC7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760703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0618C3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7F15BD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0020F6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0BA960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7BE43D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7E0F26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2644A7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（101）名称：北京肯特瑞基金销售有限公司</w:t>
      </w:r>
    </w:p>
    <w:p w14:paraId="32E3A9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62F5AA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w:t>
      </w:r>
      <w:proofErr w:type="gramStart"/>
      <w:r>
        <w:rPr>
          <w:rFonts w:ascii="宋体" w:hAnsi="宋体"/>
          <w:sz w:val="24"/>
        </w:rPr>
        <w:t>经济技术开发区科创十一</w:t>
      </w:r>
      <w:proofErr w:type="gramEnd"/>
      <w:r>
        <w:rPr>
          <w:rFonts w:ascii="宋体" w:hAnsi="宋体"/>
          <w:sz w:val="24"/>
        </w:rPr>
        <w:t>街18号院京东集团总部A座15层</w:t>
      </w:r>
    </w:p>
    <w:p w14:paraId="0589EF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17A555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3CCA8F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41E109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713935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3AC74FD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0B4DBB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（102）名称：北京雪球基金销售有限公司</w:t>
      </w:r>
    </w:p>
    <w:p w14:paraId="401B13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住所：北京市朝阳区阜通东大街1号院6号楼2单元21层222507</w:t>
      </w:r>
    </w:p>
    <w:p w14:paraId="69D7EC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办公地址：北京市朝阳区创远路 34 </w:t>
      </w:r>
      <w:proofErr w:type="gramStart"/>
      <w:r>
        <w:rPr>
          <w:rFonts w:ascii="宋体" w:hAnsi="宋体"/>
          <w:sz w:val="24"/>
        </w:rPr>
        <w:t>号院融新</w:t>
      </w:r>
      <w:proofErr w:type="gramEnd"/>
      <w:r>
        <w:rPr>
          <w:rFonts w:ascii="宋体" w:hAnsi="宋体"/>
          <w:sz w:val="24"/>
        </w:rPr>
        <w:t>科技中心 C 座 17 层</w:t>
      </w:r>
    </w:p>
    <w:p w14:paraId="1B93D5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117AF2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34B7C4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08FEC0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w:t>
      </w:r>
      <w:proofErr w:type="gramStart"/>
      <w:r>
        <w:rPr>
          <w:rFonts w:ascii="宋体" w:hAnsi="宋体"/>
          <w:sz w:val="24"/>
        </w:rPr>
        <w:t>芳</w:t>
      </w:r>
      <w:proofErr w:type="gramEnd"/>
    </w:p>
    <w:p w14:paraId="302B1B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00D58D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1B9379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w:t>
      </w:r>
      <w:proofErr w:type="gramStart"/>
      <w:r>
        <w:rPr>
          <w:rFonts w:ascii="宋体" w:hAnsi="宋体"/>
          <w:sz w:val="24"/>
        </w:rPr>
        <w:t>凤凰金</w:t>
      </w:r>
      <w:proofErr w:type="gramEnd"/>
      <w:r>
        <w:rPr>
          <w:rFonts w:ascii="宋体" w:hAnsi="宋体"/>
          <w:sz w:val="24"/>
        </w:rPr>
        <w:t>信（银川）投资管理有限公司</w:t>
      </w:r>
    </w:p>
    <w:p w14:paraId="03BB9A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w:t>
      </w:r>
      <w:proofErr w:type="gramStart"/>
      <w:r>
        <w:rPr>
          <w:rFonts w:ascii="宋体" w:hAnsi="宋体"/>
          <w:sz w:val="24"/>
        </w:rPr>
        <w:t>凤区阅</w:t>
      </w:r>
      <w:proofErr w:type="gramEnd"/>
      <w:r>
        <w:rPr>
          <w:rFonts w:ascii="宋体" w:hAnsi="宋体"/>
          <w:sz w:val="24"/>
        </w:rPr>
        <w:t>海湾中央商务区万寿路142号14层1402(750000)</w:t>
      </w:r>
    </w:p>
    <w:p w14:paraId="4F1C6F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w:t>
      </w:r>
      <w:proofErr w:type="gramStart"/>
      <w:r>
        <w:rPr>
          <w:rFonts w:ascii="宋体" w:hAnsi="宋体"/>
          <w:sz w:val="24"/>
        </w:rPr>
        <w:t>朝阳区紫月</w:t>
      </w:r>
      <w:proofErr w:type="gramEnd"/>
      <w:r>
        <w:rPr>
          <w:rFonts w:ascii="宋体" w:hAnsi="宋体"/>
          <w:sz w:val="24"/>
        </w:rPr>
        <w:t>路</w:t>
      </w:r>
      <w:proofErr w:type="gramStart"/>
      <w:r>
        <w:rPr>
          <w:rFonts w:ascii="宋体" w:hAnsi="宋体"/>
          <w:sz w:val="24"/>
        </w:rPr>
        <w:t>18号院朝来</w:t>
      </w:r>
      <w:proofErr w:type="gramEnd"/>
      <w:r>
        <w:rPr>
          <w:rFonts w:ascii="宋体" w:hAnsi="宋体"/>
          <w:sz w:val="24"/>
        </w:rPr>
        <w:t>高科技产业园18号楼 (100000)</w:t>
      </w:r>
    </w:p>
    <w:p w14:paraId="10EBA8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3B9F23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63195A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14:paraId="5EB93A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03129A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7BBEF9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14:paraId="6880D4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（104）名称：深圳市金斧子基金销售有限公司</w:t>
      </w:r>
    </w:p>
    <w:p w14:paraId="316182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04D692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36CB9E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赖任军</w:t>
      </w:r>
      <w:proofErr w:type="gramEnd"/>
    </w:p>
    <w:p w14:paraId="3C7BBDD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722F3F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19A682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23F021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4E3C79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01035F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（105）名称：格</w:t>
      </w:r>
      <w:proofErr w:type="gramStart"/>
      <w:r>
        <w:rPr>
          <w:rFonts w:ascii="宋体" w:hAnsi="宋体"/>
          <w:sz w:val="24"/>
        </w:rPr>
        <w:t>上富信投资</w:t>
      </w:r>
      <w:proofErr w:type="gramEnd"/>
      <w:r>
        <w:rPr>
          <w:rFonts w:ascii="宋体" w:hAnsi="宋体"/>
          <w:sz w:val="24"/>
        </w:rPr>
        <w:t>顾问有限公司</w:t>
      </w:r>
    </w:p>
    <w:p w14:paraId="796F57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3F7A7B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58D7D6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法定代表人：李悦章</w:t>
      </w:r>
    </w:p>
    <w:p w14:paraId="6B56E8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002B2B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132BA2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0C04AF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2ADF34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4FEC52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（106）名称：上海万得基金销售有限公司</w:t>
      </w:r>
    </w:p>
    <w:p w14:paraId="382462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66ECDF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2850A2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387A4C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46D6B0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353B60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41F3CCF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410B5E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6C4098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（107）名称：天津万家财富资产管理有限公司</w:t>
      </w:r>
    </w:p>
    <w:p w14:paraId="053A1C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w:t>
      </w:r>
      <w:proofErr w:type="gramStart"/>
      <w:r>
        <w:rPr>
          <w:rFonts w:ascii="宋体" w:hAnsi="宋体"/>
          <w:sz w:val="24"/>
        </w:rPr>
        <w:t>滨海浙商大厦</w:t>
      </w:r>
      <w:proofErr w:type="gramEnd"/>
      <w:r>
        <w:rPr>
          <w:rFonts w:ascii="宋体" w:hAnsi="宋体"/>
          <w:sz w:val="24"/>
        </w:rPr>
        <w:t>公寓2-2413室</w:t>
      </w:r>
    </w:p>
    <w:p w14:paraId="216F6D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4AC460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6AB34F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7C08182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5D9447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w:t>
      </w:r>
      <w:proofErr w:type="gramStart"/>
      <w:r>
        <w:rPr>
          <w:rFonts w:ascii="宋体" w:hAnsi="宋体"/>
          <w:sz w:val="24"/>
        </w:rPr>
        <w:t>芳</w:t>
      </w:r>
      <w:proofErr w:type="gramEnd"/>
    </w:p>
    <w:p w14:paraId="1C87A2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1A65D7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4FFA5E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（108）名称：上海挖财金融信息服务有限公司</w:t>
      </w:r>
    </w:p>
    <w:p w14:paraId="5317CF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5377F7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3C650D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0BD3F6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5DA13E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0DFA3A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李娟</w:t>
      </w:r>
    </w:p>
    <w:p w14:paraId="53AD36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37087A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5B5003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（109）名称：嘉实财富管理有限公司</w:t>
      </w:r>
    </w:p>
    <w:p w14:paraId="27AE82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新区世纪</w:t>
      </w:r>
      <w:proofErr w:type="gramEnd"/>
      <w:r>
        <w:rPr>
          <w:rFonts w:ascii="宋体" w:hAnsi="宋体"/>
          <w:sz w:val="24"/>
        </w:rPr>
        <w:t>大道8号上海国金中心办公楼二期53层5312-15单元</w:t>
      </w:r>
    </w:p>
    <w:p w14:paraId="6CD6F6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0DBA1D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37FB61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41DC7E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42ED02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197B91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348C0C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7BB5D2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（110）名称：南京苏宁基金销售有限公司</w:t>
      </w:r>
    </w:p>
    <w:p w14:paraId="096B1B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6D0DF27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4B1C19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10195B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37C6CF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611EA9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705150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7A7AD5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55606A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（111）名称：北京度小满基金销售有限公司</w:t>
      </w:r>
    </w:p>
    <w:p w14:paraId="6EDED0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w:t>
      </w:r>
      <w:proofErr w:type="gramStart"/>
      <w:r>
        <w:rPr>
          <w:rFonts w:ascii="宋体" w:hAnsi="宋体"/>
          <w:sz w:val="24"/>
        </w:rPr>
        <w:t>地十街</w:t>
      </w:r>
      <w:proofErr w:type="gramEnd"/>
      <w:r>
        <w:rPr>
          <w:rFonts w:ascii="宋体" w:hAnsi="宋体"/>
          <w:sz w:val="24"/>
        </w:rPr>
        <w:t>10号1幢1层101</w:t>
      </w:r>
    </w:p>
    <w:p w14:paraId="7502EA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w:t>
      </w:r>
      <w:proofErr w:type="gramStart"/>
      <w:r>
        <w:rPr>
          <w:rFonts w:ascii="宋体" w:hAnsi="宋体"/>
          <w:sz w:val="24"/>
        </w:rPr>
        <w:t>奎</w:t>
      </w:r>
      <w:proofErr w:type="gramEnd"/>
      <w:r>
        <w:rPr>
          <w:rFonts w:ascii="宋体" w:hAnsi="宋体"/>
          <w:sz w:val="24"/>
        </w:rPr>
        <w:t>科大厦</w:t>
      </w:r>
    </w:p>
    <w:p w14:paraId="0BF74D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296653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558F71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7AF980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50BB8C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4604EB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45BE44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（112）名称：上海华夏财富投资管理有限公司</w:t>
      </w:r>
    </w:p>
    <w:p w14:paraId="2F6192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4D2C33E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33CF9C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法定代表人： </w:t>
      </w:r>
      <w:proofErr w:type="gramStart"/>
      <w:r>
        <w:rPr>
          <w:rFonts w:ascii="宋体" w:hAnsi="宋体"/>
          <w:sz w:val="24"/>
        </w:rPr>
        <w:t>毛淮平</w:t>
      </w:r>
      <w:proofErr w:type="gramEnd"/>
    </w:p>
    <w:p w14:paraId="3EBD53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0031C4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1040FC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2816F2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135F7B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510BEE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（113）名称：江苏汇林保大基金销售有限公司</w:t>
      </w:r>
    </w:p>
    <w:p w14:paraId="51C4F2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0B943A3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508A90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6EDAFD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623CEE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569FF2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51390F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150BE1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03E7E1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w:t>
      </w:r>
      <w:proofErr w:type="gramStart"/>
      <w:r>
        <w:rPr>
          <w:rFonts w:ascii="宋体" w:hAnsi="宋体"/>
          <w:sz w:val="24"/>
        </w:rPr>
        <w:t>玄元保险</w:t>
      </w:r>
      <w:proofErr w:type="gramEnd"/>
      <w:r>
        <w:rPr>
          <w:rFonts w:ascii="宋体" w:hAnsi="宋体"/>
          <w:sz w:val="24"/>
        </w:rPr>
        <w:t>代理有限公司</w:t>
      </w:r>
    </w:p>
    <w:p w14:paraId="71D103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7A8017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1F000C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5FF179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4DCAE9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7C72ED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60142A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00A14D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（115）名称：阳光人寿保险股份有限公司</w:t>
      </w:r>
    </w:p>
    <w:p w14:paraId="4738E0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6C1BFE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090859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2068D4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电话：（010）85632771</w:t>
      </w:r>
    </w:p>
    <w:p w14:paraId="70BD535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2A327F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6E41F9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74156D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751B30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（116）名称：大连</w:t>
      </w:r>
      <w:proofErr w:type="gramStart"/>
      <w:r>
        <w:rPr>
          <w:rFonts w:ascii="宋体" w:hAnsi="宋体"/>
          <w:sz w:val="24"/>
        </w:rPr>
        <w:t>网金基金</w:t>
      </w:r>
      <w:proofErr w:type="gramEnd"/>
      <w:r>
        <w:rPr>
          <w:rFonts w:ascii="宋体" w:hAnsi="宋体"/>
          <w:sz w:val="24"/>
        </w:rPr>
        <w:t>销售有限公司</w:t>
      </w:r>
    </w:p>
    <w:p w14:paraId="2F28F9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51F6C5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0309BB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275DFA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5B6A40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63811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0002BBD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03ED67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45B4C4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（117）名称：泛华</w:t>
      </w:r>
      <w:proofErr w:type="gramStart"/>
      <w:r>
        <w:rPr>
          <w:rFonts w:ascii="宋体" w:hAnsi="宋体"/>
          <w:sz w:val="24"/>
        </w:rPr>
        <w:t>普益基金</w:t>
      </w:r>
      <w:proofErr w:type="gramEnd"/>
      <w:r>
        <w:rPr>
          <w:rFonts w:ascii="宋体" w:hAnsi="宋体"/>
          <w:sz w:val="24"/>
        </w:rPr>
        <w:t>销售有限公司</w:t>
      </w:r>
    </w:p>
    <w:p w14:paraId="42D0EE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645E2A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w:t>
      </w:r>
      <w:proofErr w:type="gramStart"/>
      <w:r>
        <w:rPr>
          <w:rFonts w:ascii="宋体" w:hAnsi="宋体"/>
          <w:sz w:val="24"/>
        </w:rPr>
        <w:t>照壁西顺街</w:t>
      </w:r>
      <w:proofErr w:type="gramEnd"/>
      <w:r>
        <w:rPr>
          <w:rFonts w:ascii="宋体" w:hAnsi="宋体"/>
          <w:sz w:val="24"/>
        </w:rPr>
        <w:t>399号1栋1</w:t>
      </w:r>
      <w:proofErr w:type="gramStart"/>
      <w:r>
        <w:rPr>
          <w:rFonts w:ascii="宋体" w:hAnsi="宋体"/>
          <w:sz w:val="24"/>
        </w:rPr>
        <w:t>单元龙</w:t>
      </w:r>
      <w:proofErr w:type="gramEnd"/>
      <w:r>
        <w:rPr>
          <w:rFonts w:ascii="宋体" w:hAnsi="宋体"/>
          <w:sz w:val="24"/>
        </w:rPr>
        <w:t>湖西</w:t>
      </w:r>
      <w:proofErr w:type="gramStart"/>
      <w:r>
        <w:rPr>
          <w:rFonts w:ascii="宋体" w:hAnsi="宋体"/>
          <w:sz w:val="24"/>
        </w:rPr>
        <w:t>宸</w:t>
      </w:r>
      <w:proofErr w:type="gramEnd"/>
      <w:r>
        <w:rPr>
          <w:rFonts w:ascii="宋体" w:hAnsi="宋体"/>
          <w:sz w:val="24"/>
        </w:rPr>
        <w:t>天街B座1201号</w:t>
      </w:r>
    </w:p>
    <w:p w14:paraId="0B9E49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5288ED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6A171C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13AA44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隋亚方</w:t>
      </w:r>
      <w:proofErr w:type="gramEnd"/>
    </w:p>
    <w:p w14:paraId="060D51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47F0A1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757006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w:t>
      </w:r>
      <w:proofErr w:type="gramStart"/>
      <w:r>
        <w:rPr>
          <w:rFonts w:ascii="宋体" w:hAnsi="宋体"/>
          <w:sz w:val="24"/>
        </w:rPr>
        <w:t>和耕传承</w:t>
      </w:r>
      <w:proofErr w:type="gramEnd"/>
      <w:r>
        <w:rPr>
          <w:rFonts w:ascii="宋体" w:hAnsi="宋体"/>
          <w:sz w:val="24"/>
        </w:rPr>
        <w:t>基金销售有限公司</w:t>
      </w:r>
    </w:p>
    <w:p w14:paraId="65AFE7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28505C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2DFCA6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508B9B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16CC9C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42964F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联系人：胡静华</w:t>
      </w:r>
    </w:p>
    <w:p w14:paraId="1B6D48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4A8E44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4EF8EB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（119）名称：上海</w:t>
      </w:r>
      <w:proofErr w:type="gramStart"/>
      <w:r>
        <w:rPr>
          <w:rFonts w:ascii="宋体" w:hAnsi="宋体"/>
          <w:sz w:val="24"/>
        </w:rPr>
        <w:t>钜</w:t>
      </w:r>
      <w:proofErr w:type="gramEnd"/>
      <w:r>
        <w:rPr>
          <w:rFonts w:ascii="宋体" w:hAnsi="宋体"/>
          <w:sz w:val="24"/>
        </w:rPr>
        <w:t>派</w:t>
      </w:r>
      <w:proofErr w:type="gramStart"/>
      <w:r>
        <w:rPr>
          <w:rFonts w:ascii="宋体" w:hAnsi="宋体"/>
          <w:sz w:val="24"/>
        </w:rPr>
        <w:t>钰茂基金</w:t>
      </w:r>
      <w:proofErr w:type="gramEnd"/>
      <w:r>
        <w:rPr>
          <w:rFonts w:ascii="宋体" w:hAnsi="宋体"/>
          <w:sz w:val="24"/>
        </w:rPr>
        <w:t>销售有限公司</w:t>
      </w:r>
    </w:p>
    <w:p w14:paraId="3E6624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6FA2C1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w:t>
      </w:r>
      <w:proofErr w:type="gramStart"/>
      <w:r>
        <w:rPr>
          <w:rFonts w:ascii="宋体" w:hAnsi="宋体"/>
          <w:sz w:val="24"/>
        </w:rPr>
        <w:t>弄中庚</w:t>
      </w:r>
      <w:proofErr w:type="gramEnd"/>
      <w:r>
        <w:rPr>
          <w:rFonts w:ascii="宋体" w:hAnsi="宋体"/>
          <w:sz w:val="24"/>
        </w:rPr>
        <w:t>环球创意中心T2栋9层</w:t>
      </w:r>
    </w:p>
    <w:p w14:paraId="51EB26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洪思夷</w:t>
      </w:r>
      <w:proofErr w:type="gramEnd"/>
    </w:p>
    <w:p w14:paraId="4523E9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0DC7A8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w:t>
      </w:r>
      <w:proofErr w:type="gramStart"/>
      <w:r>
        <w:rPr>
          <w:rFonts w:ascii="宋体" w:hAnsi="宋体"/>
          <w:sz w:val="24"/>
        </w:rPr>
        <w:t>世</w:t>
      </w:r>
      <w:proofErr w:type="gramEnd"/>
      <w:r>
        <w:rPr>
          <w:rFonts w:ascii="宋体" w:hAnsi="宋体"/>
          <w:sz w:val="24"/>
        </w:rPr>
        <w:t>之</w:t>
      </w:r>
    </w:p>
    <w:p w14:paraId="3F86C2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2FD809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0DF2D4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（120）名称：济安财富（北京）基金销售有限公司</w:t>
      </w:r>
    </w:p>
    <w:p w14:paraId="37D370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45A082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39B0B9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4BBBA4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78A73BF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42B4EC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31DABB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2F4734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59AD24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62637E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1E041C1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1EB5AE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3AFC63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7F8592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424433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4D7256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36680B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50976F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（三）出具法律意见书的律师事务所</w:t>
      </w:r>
    </w:p>
    <w:p w14:paraId="5CA469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名称：上海源泰律师事务所</w:t>
      </w:r>
    </w:p>
    <w:p w14:paraId="2A6F9C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住所：上海浦东南路256号华夏银行大厦1405室</w:t>
      </w:r>
    </w:p>
    <w:p w14:paraId="16E22D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办公地址：上海浦东南路256号华夏银行大厦1405室</w:t>
      </w:r>
    </w:p>
    <w:p w14:paraId="7DFCE3F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负责人：廖海</w:t>
      </w:r>
    </w:p>
    <w:p w14:paraId="69C30F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电话：（021）51150298</w:t>
      </w:r>
    </w:p>
    <w:p w14:paraId="7B3154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传真：（021）51150398</w:t>
      </w:r>
    </w:p>
    <w:p w14:paraId="2E7BEE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联系人：廖海</w:t>
      </w:r>
    </w:p>
    <w:p w14:paraId="6389FC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经办律师：梁丽金、刘佳</w:t>
      </w:r>
    </w:p>
    <w:p w14:paraId="3F992A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201D9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名称：德勤华永会计师事务所（特殊普通合伙）</w:t>
      </w:r>
    </w:p>
    <w:p w14:paraId="4C09CB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住所：上海市延安东路222号外</w:t>
      </w:r>
      <w:proofErr w:type="gramStart"/>
      <w:r>
        <w:rPr>
          <w:rFonts w:ascii="宋体" w:hAnsi="宋体"/>
          <w:sz w:val="24"/>
        </w:rPr>
        <w:t>滩中心</w:t>
      </w:r>
      <w:proofErr w:type="gramEnd"/>
      <w:r>
        <w:rPr>
          <w:rFonts w:ascii="宋体" w:hAnsi="宋体"/>
          <w:sz w:val="24"/>
        </w:rPr>
        <w:t>30楼</w:t>
      </w:r>
    </w:p>
    <w:p w14:paraId="2EE2D36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办公地址：上海市延安东路222号外</w:t>
      </w:r>
      <w:proofErr w:type="gramStart"/>
      <w:r>
        <w:rPr>
          <w:rFonts w:ascii="宋体" w:hAnsi="宋体"/>
          <w:sz w:val="24"/>
        </w:rPr>
        <w:t>滩中心</w:t>
      </w:r>
      <w:proofErr w:type="gramEnd"/>
      <w:r>
        <w:rPr>
          <w:rFonts w:ascii="宋体" w:hAnsi="宋体"/>
          <w:sz w:val="24"/>
        </w:rPr>
        <w:t>30楼</w:t>
      </w:r>
    </w:p>
    <w:p w14:paraId="4ED580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执行事务合伙人：曾顺福</w:t>
      </w:r>
    </w:p>
    <w:p w14:paraId="6F9E0D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电话：（010）85207788</w:t>
      </w:r>
    </w:p>
    <w:p w14:paraId="1D77AE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联系人：汪芳</w:t>
      </w:r>
    </w:p>
    <w:p w14:paraId="137CB20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经办注册会计师：汪芳、刘芳</w:t>
      </w:r>
      <w:proofErr w:type="gramStart"/>
      <w:r>
        <w:rPr>
          <w:rFonts w:ascii="宋体" w:hAnsi="宋体"/>
          <w:sz w:val="24"/>
        </w:rPr>
        <w:t>芳</w:t>
      </w:r>
      <w:proofErr w:type="gramEnd"/>
    </w:p>
    <w:p w14:paraId="31C56FAF"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E5A6390" w14:textId="77777777" w:rsidR="00007225" w:rsidRDefault="00F07F0D">
      <w:pPr>
        <w:pStyle w:val="1"/>
        <w:snapToGrid w:val="0"/>
        <w:spacing w:beforeLines="0" w:before="240" w:after="240"/>
        <w:rPr>
          <w:rFonts w:ascii="宋体" w:hAnsi="宋体"/>
          <w:szCs w:val="30"/>
        </w:rPr>
      </w:pPr>
      <w:bookmarkStart w:id="9" w:name="_Toc137828432"/>
      <w:r>
        <w:rPr>
          <w:rFonts w:ascii="Times New Roman" w:hAnsi="Times New Roman"/>
          <w:sz w:val="30"/>
        </w:rPr>
        <w:lastRenderedPageBreak/>
        <w:t>六、基金的募集</w:t>
      </w:r>
      <w:bookmarkEnd w:id="9"/>
    </w:p>
    <w:p w14:paraId="6CAA87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本基金由基金管理人依照《基金法》、《运作办法》、《销售办法》、《暂行规定》、基金合同及其他有关规定，并经中国证监会证</w:t>
      </w:r>
      <w:proofErr w:type="gramStart"/>
      <w:r>
        <w:rPr>
          <w:rFonts w:ascii="宋体" w:hAnsi="宋体"/>
          <w:sz w:val="24"/>
        </w:rPr>
        <w:t>监基金字</w:t>
      </w:r>
      <w:proofErr w:type="gramEnd"/>
      <w:r>
        <w:rPr>
          <w:rFonts w:ascii="宋体" w:hAnsi="宋体"/>
          <w:sz w:val="24"/>
        </w:rPr>
        <w:t>[2005]204号文批准募集发售。</w:t>
      </w:r>
    </w:p>
    <w:p w14:paraId="650D804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本基金为契约型开放式货币市场基金。基金存续期间为不定期。</w:t>
      </w:r>
    </w:p>
    <w:p w14:paraId="51FE24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本基金募集期间基金份额净值为人民币1.00元，按面值发售。本基金采用固定份额净值，基金</w:t>
      </w:r>
      <w:proofErr w:type="gramStart"/>
      <w:r>
        <w:rPr>
          <w:rFonts w:ascii="宋体" w:hAnsi="宋体"/>
          <w:sz w:val="24"/>
        </w:rPr>
        <w:t>帐面</w:t>
      </w:r>
      <w:proofErr w:type="gramEnd"/>
      <w:r>
        <w:rPr>
          <w:rFonts w:ascii="宋体" w:hAnsi="宋体"/>
          <w:sz w:val="24"/>
        </w:rPr>
        <w:t>份额净值始终保持为1.00元。</w:t>
      </w:r>
    </w:p>
    <w:p w14:paraId="1DB979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本基金的募集期限不超过3个月，自基金份额开始发售之日起计算。</w:t>
      </w:r>
    </w:p>
    <w:p w14:paraId="6F6718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本基金自2005年12月27日至2006年1月16日进行发售。</w:t>
      </w:r>
    </w:p>
    <w:p w14:paraId="6126F2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本基金募集期共募集4,741,255,133.16份基金份额，有效认购户数为38,343户。</w:t>
      </w:r>
    </w:p>
    <w:p w14:paraId="2E427665"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6C4C3AD" w14:textId="77777777" w:rsidR="00007225" w:rsidRDefault="00F07F0D">
      <w:pPr>
        <w:pStyle w:val="1"/>
        <w:snapToGrid w:val="0"/>
        <w:spacing w:beforeLines="0" w:before="240" w:after="240"/>
        <w:rPr>
          <w:rFonts w:ascii="宋体" w:hAnsi="宋体"/>
          <w:szCs w:val="30"/>
        </w:rPr>
      </w:pPr>
      <w:bookmarkStart w:id="10" w:name="_Toc137828433"/>
      <w:r>
        <w:rPr>
          <w:rFonts w:ascii="Times New Roman" w:hAnsi="Times New Roman"/>
          <w:sz w:val="30"/>
        </w:rPr>
        <w:lastRenderedPageBreak/>
        <w:t>七、基金合同的生效</w:t>
      </w:r>
      <w:bookmarkEnd w:id="10"/>
    </w:p>
    <w:p w14:paraId="0593AC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根据有关规定，本基金满足基金合同生效条件，基金合同已于2006年1月20日正式生效。自基金合同生效之日起，本基金管理人正式开始管理本基金。</w:t>
      </w:r>
    </w:p>
    <w:p w14:paraId="0D4E61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合同生效后，基金份额持有人数量</w:t>
      </w:r>
      <w:proofErr w:type="gramStart"/>
      <w:r>
        <w:rPr>
          <w:rFonts w:ascii="宋体" w:hAnsi="宋体"/>
          <w:sz w:val="24"/>
        </w:rPr>
        <w:t>不满两百</w:t>
      </w:r>
      <w:proofErr w:type="gramEnd"/>
      <w:r>
        <w:rPr>
          <w:rFonts w:ascii="宋体" w:hAnsi="宋体"/>
          <w:sz w:val="24"/>
        </w:rPr>
        <w:t>人或者基金资产净值低于五千万元的，基金管理人应当及时报告中国证监会；连续20个工作日出现上述情形的，基金管理人应向中国证监会说明原因并报送解决方案。</w:t>
      </w:r>
    </w:p>
    <w:p w14:paraId="12EC326A"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56D830" w14:textId="77777777" w:rsidR="00007225" w:rsidRDefault="00F07F0D">
      <w:pPr>
        <w:pStyle w:val="1"/>
        <w:snapToGrid w:val="0"/>
        <w:spacing w:beforeLines="0" w:before="240" w:after="240"/>
        <w:rPr>
          <w:rFonts w:ascii="宋体" w:hAnsi="宋体"/>
          <w:szCs w:val="30"/>
        </w:rPr>
      </w:pPr>
      <w:bookmarkStart w:id="11" w:name="_Toc137828434"/>
      <w:r>
        <w:rPr>
          <w:rFonts w:ascii="Times New Roman" w:hAnsi="Times New Roman"/>
          <w:sz w:val="30"/>
        </w:rPr>
        <w:lastRenderedPageBreak/>
        <w:t>八、基金份额的分级</w:t>
      </w:r>
      <w:bookmarkEnd w:id="11"/>
    </w:p>
    <w:p w14:paraId="40B06E72" w14:textId="240BD84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为了满足投资者的理财需求，本基金自2007年6月22日起实行销售服务费分级收费方式，根据投资者持有本基金的份额等级适用不同的销售服务费率。自2007年6月22日起，本基金分设两级基金份额：A</w:t>
      </w:r>
      <w:proofErr w:type="gramStart"/>
      <w:r>
        <w:rPr>
          <w:rFonts w:ascii="宋体" w:hAnsi="宋体"/>
          <w:sz w:val="24"/>
        </w:rPr>
        <w:t>级基金</w:t>
      </w:r>
      <w:proofErr w:type="gramEnd"/>
      <w:r>
        <w:rPr>
          <w:rFonts w:ascii="宋体" w:hAnsi="宋体"/>
          <w:sz w:val="24"/>
        </w:rPr>
        <w:t>份额和B</w:t>
      </w:r>
      <w:proofErr w:type="gramStart"/>
      <w:r>
        <w:rPr>
          <w:rFonts w:ascii="宋体" w:hAnsi="宋体"/>
          <w:sz w:val="24"/>
        </w:rPr>
        <w:t>级基金</w:t>
      </w:r>
      <w:proofErr w:type="gramEnd"/>
      <w:r>
        <w:rPr>
          <w:rFonts w:ascii="宋体" w:hAnsi="宋体"/>
          <w:sz w:val="24"/>
        </w:rPr>
        <w:t>份额，单个基金账户保留的基金份额低于500万份的享受A</w:t>
      </w:r>
      <w:proofErr w:type="gramStart"/>
      <w:r>
        <w:rPr>
          <w:rFonts w:ascii="宋体" w:hAnsi="宋体"/>
          <w:sz w:val="24"/>
        </w:rPr>
        <w:t>级基金</w:t>
      </w:r>
      <w:proofErr w:type="gramEnd"/>
      <w:r>
        <w:rPr>
          <w:rFonts w:ascii="宋体" w:hAnsi="宋体"/>
          <w:sz w:val="24"/>
        </w:rPr>
        <w:t>份额的收益，单个基金账户保留的基金份额达到或超过500万份的享受B</w:t>
      </w:r>
      <w:proofErr w:type="gramStart"/>
      <w:r>
        <w:rPr>
          <w:rFonts w:ascii="宋体" w:hAnsi="宋体"/>
          <w:sz w:val="24"/>
        </w:rPr>
        <w:t>级基金</w:t>
      </w:r>
      <w:proofErr w:type="gramEnd"/>
      <w:r>
        <w:rPr>
          <w:rFonts w:ascii="宋体" w:hAnsi="宋体"/>
          <w:sz w:val="24"/>
        </w:rPr>
        <w:t>份额的收益。两级基金份额单独设置基金代码，并单独公布</w:t>
      </w:r>
      <w:r w:rsidR="00F87260">
        <w:rPr>
          <w:rFonts w:ascii="宋体" w:hAnsi="宋体"/>
          <w:sz w:val="24"/>
        </w:rPr>
        <w:t>每万份基金已实现收益</w:t>
      </w:r>
      <w:r>
        <w:rPr>
          <w:rFonts w:ascii="宋体" w:hAnsi="宋体"/>
          <w:sz w:val="24"/>
        </w:rPr>
        <w:t>和</w:t>
      </w:r>
      <w:proofErr w:type="gramStart"/>
      <w:r>
        <w:rPr>
          <w:rFonts w:ascii="宋体" w:hAnsi="宋体"/>
          <w:sz w:val="24"/>
        </w:rPr>
        <w:t>七日年化收益率</w:t>
      </w:r>
      <w:proofErr w:type="gramEnd"/>
      <w:r>
        <w:rPr>
          <w:rFonts w:ascii="宋体" w:hAnsi="宋体"/>
          <w:sz w:val="24"/>
        </w:rPr>
        <w:t>。基金份额分级标准以及各级基金份额适用的费率如下：</w:t>
      </w:r>
    </w:p>
    <w:tbl>
      <w:tblPr>
        <w:tblW w:w="5000" w:type="pct"/>
        <w:tblCellMar>
          <w:left w:w="0" w:type="dxa"/>
          <w:right w:w="0" w:type="dxa"/>
        </w:tblCellMar>
        <w:tblLook w:val="0000" w:firstRow="0" w:lastRow="0" w:firstColumn="0" w:lastColumn="0" w:noHBand="0" w:noVBand="0"/>
      </w:tblPr>
      <w:tblGrid>
        <w:gridCol w:w="1544"/>
        <w:gridCol w:w="4634"/>
        <w:gridCol w:w="2472"/>
      </w:tblGrid>
      <w:tr w:rsidR="00007225" w14:paraId="76F72C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89F06B"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5D90D0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proofErr w:type="gramStart"/>
            <w:r>
              <w:rPr>
                <w:rFonts w:ascii="Times New Roman" w:hAnsi="Times New Roman"/>
                <w:color w:val="000000"/>
                <w:kern w:val="0"/>
                <w:sz w:val="25"/>
                <w:szCs w:val="24"/>
              </w:rPr>
              <w:t>级基金</w:t>
            </w:r>
            <w:proofErr w:type="gramEnd"/>
            <w:r>
              <w:rPr>
                <w:rFonts w:ascii="Times New Roman" w:hAnsi="Times New Roman"/>
                <w:color w:val="000000"/>
                <w:kern w:val="0"/>
                <w:sz w:val="25"/>
                <w:szCs w:val="24"/>
              </w:rPr>
              <w:t>份额</w:t>
            </w:r>
          </w:p>
        </w:tc>
        <w:tc>
          <w:tcPr>
            <w:tcW w:w="400" w:type="pct"/>
            <w:tcBorders>
              <w:top w:val="single" w:sz="4" w:space="0" w:color="auto"/>
              <w:left w:val="single" w:sz="4" w:space="0" w:color="auto"/>
              <w:bottom w:val="single" w:sz="4" w:space="0" w:color="auto"/>
              <w:right w:val="single" w:sz="4" w:space="0" w:color="auto"/>
            </w:tcBorders>
            <w:vAlign w:val="center"/>
          </w:tcPr>
          <w:p w14:paraId="72D52B9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B</w:t>
            </w:r>
            <w:proofErr w:type="gramStart"/>
            <w:r>
              <w:rPr>
                <w:rFonts w:ascii="Times New Roman" w:hAnsi="Times New Roman"/>
                <w:color w:val="000000"/>
                <w:kern w:val="0"/>
                <w:sz w:val="25"/>
                <w:szCs w:val="24"/>
              </w:rPr>
              <w:t>级基金</w:t>
            </w:r>
            <w:proofErr w:type="gramEnd"/>
            <w:r>
              <w:rPr>
                <w:rFonts w:ascii="Times New Roman" w:hAnsi="Times New Roman"/>
                <w:color w:val="000000"/>
                <w:kern w:val="0"/>
                <w:sz w:val="25"/>
                <w:szCs w:val="24"/>
              </w:rPr>
              <w:t>份额</w:t>
            </w:r>
          </w:p>
        </w:tc>
      </w:tr>
      <w:tr w:rsidR="00007225" w14:paraId="45316A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62F9D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分级标准（单个基金账户保留的基金份额）</w:t>
            </w:r>
          </w:p>
        </w:tc>
        <w:tc>
          <w:tcPr>
            <w:tcW w:w="750" w:type="pct"/>
            <w:tcBorders>
              <w:top w:val="single" w:sz="4" w:space="0" w:color="auto"/>
              <w:left w:val="single" w:sz="4" w:space="0" w:color="auto"/>
              <w:bottom w:val="single" w:sz="4" w:space="0" w:color="auto"/>
              <w:right w:val="single" w:sz="4" w:space="0" w:color="auto"/>
            </w:tcBorders>
            <w:vAlign w:val="center"/>
          </w:tcPr>
          <w:p w14:paraId="0716BF3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&lt;500</w:t>
            </w:r>
            <w:r>
              <w:rPr>
                <w:rFonts w:ascii="Times New Roman" w:hAnsi="Times New Roman"/>
                <w:color w:val="000000"/>
                <w:kern w:val="0"/>
                <w:sz w:val="25"/>
                <w:szCs w:val="24"/>
              </w:rPr>
              <w:t>万份</w:t>
            </w:r>
          </w:p>
        </w:tc>
        <w:tc>
          <w:tcPr>
            <w:tcW w:w="400" w:type="pct"/>
            <w:tcBorders>
              <w:top w:val="single" w:sz="4" w:space="0" w:color="auto"/>
              <w:left w:val="single" w:sz="4" w:space="0" w:color="auto"/>
              <w:bottom w:val="single" w:sz="4" w:space="0" w:color="auto"/>
              <w:right w:val="single" w:sz="4" w:space="0" w:color="auto"/>
            </w:tcBorders>
            <w:vAlign w:val="center"/>
          </w:tcPr>
          <w:p w14:paraId="0EB15C5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万份</w:t>
            </w:r>
          </w:p>
        </w:tc>
      </w:tr>
      <w:tr w:rsidR="00007225" w14:paraId="2864BA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CAB1C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管理费率</w:t>
            </w:r>
            <w:r>
              <w:rPr>
                <w:rFonts w:ascii="Times New Roman" w:hAnsi="Times New Roman"/>
                <w:color w:val="000000"/>
                <w:kern w:val="0"/>
                <w:sz w:val="25"/>
                <w:szCs w:val="24"/>
              </w:rPr>
              <w:t>(</w:t>
            </w:r>
            <w:r>
              <w:rPr>
                <w:rFonts w:ascii="Times New Roman" w:hAnsi="Times New Roman"/>
                <w:color w:val="000000"/>
                <w:kern w:val="0"/>
                <w:sz w:val="25"/>
                <w:szCs w:val="24"/>
              </w:rPr>
              <w:t>年费率</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211FA8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c>
          <w:tcPr>
            <w:tcW w:w="400" w:type="pct"/>
            <w:tcBorders>
              <w:top w:val="single" w:sz="4" w:space="0" w:color="auto"/>
              <w:left w:val="single" w:sz="4" w:space="0" w:color="auto"/>
              <w:bottom w:val="single" w:sz="4" w:space="0" w:color="auto"/>
              <w:right w:val="single" w:sz="4" w:space="0" w:color="auto"/>
            </w:tcBorders>
            <w:vAlign w:val="center"/>
          </w:tcPr>
          <w:p w14:paraId="66C4D67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r>
      <w:tr w:rsidR="00007225" w14:paraId="7B546F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44184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托管费率</w:t>
            </w:r>
            <w:r>
              <w:rPr>
                <w:rFonts w:ascii="Times New Roman" w:hAnsi="Times New Roman"/>
                <w:color w:val="000000"/>
                <w:kern w:val="0"/>
                <w:sz w:val="25"/>
                <w:szCs w:val="24"/>
              </w:rPr>
              <w:t>(</w:t>
            </w:r>
            <w:r>
              <w:rPr>
                <w:rFonts w:ascii="Times New Roman" w:hAnsi="Times New Roman"/>
                <w:color w:val="000000"/>
                <w:kern w:val="0"/>
                <w:sz w:val="25"/>
                <w:szCs w:val="24"/>
              </w:rPr>
              <w:t>年费率</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E63B19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400" w:type="pct"/>
            <w:tcBorders>
              <w:top w:val="single" w:sz="4" w:space="0" w:color="auto"/>
              <w:left w:val="single" w:sz="4" w:space="0" w:color="auto"/>
              <w:bottom w:val="single" w:sz="4" w:space="0" w:color="auto"/>
              <w:right w:val="single" w:sz="4" w:space="0" w:color="auto"/>
            </w:tcBorders>
            <w:vAlign w:val="center"/>
          </w:tcPr>
          <w:p w14:paraId="11A17D6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007225" w14:paraId="5C1708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4ED27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销售服务费率</w:t>
            </w:r>
            <w:r>
              <w:rPr>
                <w:rFonts w:ascii="Times New Roman" w:hAnsi="Times New Roman"/>
                <w:color w:val="000000"/>
                <w:kern w:val="0"/>
                <w:sz w:val="25"/>
                <w:szCs w:val="24"/>
              </w:rPr>
              <w:t>(</w:t>
            </w:r>
            <w:r>
              <w:rPr>
                <w:rFonts w:ascii="Times New Roman" w:hAnsi="Times New Roman"/>
                <w:color w:val="000000"/>
                <w:kern w:val="0"/>
                <w:sz w:val="25"/>
                <w:szCs w:val="24"/>
              </w:rPr>
              <w:t>年费率</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7EDEDE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400" w:type="pct"/>
            <w:tcBorders>
              <w:top w:val="single" w:sz="4" w:space="0" w:color="auto"/>
              <w:left w:val="single" w:sz="4" w:space="0" w:color="auto"/>
              <w:bottom w:val="single" w:sz="4" w:space="0" w:color="auto"/>
              <w:right w:val="single" w:sz="4" w:space="0" w:color="auto"/>
            </w:tcBorders>
            <w:vAlign w:val="center"/>
          </w:tcPr>
          <w:p w14:paraId="7DCDD2A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7AB349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调整本基金的分级标准和对各级基金份额计提的销售服务费年费率，基金管理人应在调整前依照《信息披露办法》和《信息披露特别规定》的有关规定在中国证监会指定媒介上公告并报中国证监会备案。</w:t>
      </w:r>
    </w:p>
    <w:p w14:paraId="4B14D03C"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8856E87" w14:textId="77777777" w:rsidR="00007225" w:rsidRDefault="00F07F0D">
      <w:pPr>
        <w:pStyle w:val="1"/>
        <w:snapToGrid w:val="0"/>
        <w:spacing w:beforeLines="0" w:before="240" w:after="240"/>
        <w:rPr>
          <w:rFonts w:ascii="宋体" w:hAnsi="宋体"/>
          <w:szCs w:val="30"/>
        </w:rPr>
      </w:pPr>
      <w:bookmarkStart w:id="12" w:name="_Toc137828435"/>
      <w:r>
        <w:rPr>
          <w:rFonts w:ascii="Times New Roman" w:hAnsi="Times New Roman"/>
          <w:sz w:val="30"/>
        </w:rPr>
        <w:lastRenderedPageBreak/>
        <w:t>九、基金份额的申购、赎回及其他业务</w:t>
      </w:r>
      <w:bookmarkEnd w:id="12"/>
    </w:p>
    <w:p w14:paraId="31EE1DF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 申购和赎回的场所</w:t>
      </w:r>
    </w:p>
    <w:p w14:paraId="170150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1、本基金管理人的直销网点</w:t>
      </w:r>
    </w:p>
    <w:p w14:paraId="288B2C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14:paraId="7E2AB9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481B46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97454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2期21-22楼</w:t>
      </w:r>
    </w:p>
    <w:p w14:paraId="5ECBA5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5998F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2F288C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1B04D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3A789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6D417D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488F4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个人投资者可以通过本公司网上直销交易平台办理开户、本基金的赎回、转换及定期定额投资等业务，具体交易细则请参阅本公司网站。网上直销交易平台网址：www.fund001.com</w:t>
      </w:r>
    </w:p>
    <w:p w14:paraId="1526C7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2、办理本基金代销业务的各代销机构的代销网点</w:t>
      </w:r>
    </w:p>
    <w:p w14:paraId="0BC37E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本基金的代销机构的代销网点请见本招募说明书“五、相关服务机构”章节或拨打本公司客户服务电话进行咨询。</w:t>
      </w:r>
    </w:p>
    <w:p w14:paraId="65D0AA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投资者可通过上述场所按照规定的方式进行申购或赎回。本基金管理人可根据情况增减基金代销机构，并在管理人网站公示。</w:t>
      </w:r>
    </w:p>
    <w:p w14:paraId="112CFD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管理人或其指定的代销机构开通电话、传真或网上等交易方式，投资者可以通过上述方式进行申购与赎回。</w:t>
      </w:r>
    </w:p>
    <w:p w14:paraId="061296D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 申购和赎回的开放日及时间</w:t>
      </w:r>
    </w:p>
    <w:p w14:paraId="123194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1315A0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基金的开放日是指为投资者办理基金申购、赎回等业务的证券交易所交易日。销售机构在开放日的具体业务办理时间为上海证券交易所、深圳证券交易所交易日的交易时间。</w:t>
      </w:r>
    </w:p>
    <w:p w14:paraId="3FCCA3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w:t>
      </w:r>
      <w:r>
        <w:rPr>
          <w:rFonts w:ascii="宋体" w:hAnsi="宋体"/>
          <w:sz w:val="24"/>
        </w:rPr>
        <w:lastRenderedPageBreak/>
        <w:t>理人将视情况对前述开放日及具体业务办理时间进行相应的调整并公告。</w:t>
      </w:r>
    </w:p>
    <w:p w14:paraId="28A697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投资者在基金合同约定之外的日期和时间提出申购、赎回申请的，其基金份额申购、赎回价格为下次办理基金份额申购、赎回时间所在开放日的价格。</w:t>
      </w:r>
    </w:p>
    <w:p w14:paraId="1A06D4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14:paraId="13015B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本基金已于2006年1月23日起开始办理申购业务。</w:t>
      </w:r>
    </w:p>
    <w:p w14:paraId="3620FF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14:paraId="2B0984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本基金已于从2006年2月8日起开始办理赎回业务。</w:t>
      </w:r>
    </w:p>
    <w:p w14:paraId="273571B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 申购和赎回的原则</w:t>
      </w:r>
    </w:p>
    <w:p w14:paraId="48576DE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1、“确定价”原则，即本基金的申购、赎回价格为每份基金份额1.00元。</w:t>
      </w:r>
    </w:p>
    <w:p w14:paraId="5D1F8E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1EA8F5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3、投资者申购基金份额时，必须全额交付申购款项，投资者交付款项后，申购申请方为有效。</w:t>
      </w:r>
    </w:p>
    <w:p w14:paraId="35664EC8" w14:textId="040E7296" w:rsidR="00007225" w:rsidRDefault="009403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F07F0D">
        <w:rPr>
          <w:rFonts w:ascii="宋体" w:hAnsi="宋体"/>
          <w:sz w:val="24"/>
        </w:rPr>
        <w:t>、赎回遵循“先进先出”原则，即按照投资者认（申）购的先后次序进行顺序赎回。</w:t>
      </w:r>
    </w:p>
    <w:p w14:paraId="30E90C66" w14:textId="394EA6A8" w:rsidR="00007225" w:rsidRDefault="009403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F07F0D">
        <w:rPr>
          <w:rFonts w:ascii="宋体" w:hAnsi="宋体"/>
          <w:sz w:val="24"/>
        </w:rPr>
        <w:t>、当日的申购和赎回申请可以在基金管理人规定的时间以前撤销。</w:t>
      </w:r>
    </w:p>
    <w:p w14:paraId="778D72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基金管理人在不损害基金份额持有人权益的情况下可更改上述原则。在变更上述原则时，基金管理人应在变更依照《信息披露办法》和《信息披露特别规定》的有关规定在指定媒介上公告。</w:t>
      </w:r>
    </w:p>
    <w:p w14:paraId="0866FE9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 申购和赎回的数额限定</w:t>
      </w:r>
    </w:p>
    <w:p w14:paraId="7241C2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5FC3BB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代销机构申购基金份额最低限额为单笔0.01元人民币；投资者通过直销网点申购基金份额最低限额为单笔100万元人民币，追加申购的最低金额为单笔10万元人民币；已在直销网点有认购或申购过本基金管理人管理的任一基金（包括本基金）记录的投资者不受首次申购最低金额的限制。本基金直销网点单笔申购最低金额可由基金管理人酌情调整。</w:t>
      </w:r>
    </w:p>
    <w:p w14:paraId="730688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投资者可多次申购，对单个投资者累计持有份额不设上限限制。法律法规、中国证监会另有规定的除外。</w:t>
      </w:r>
    </w:p>
    <w:p w14:paraId="5CB312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5CE7E55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投资者可将其全部或部分基金份额赎回。</w:t>
      </w:r>
    </w:p>
    <w:p w14:paraId="4755AC1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单笔赎回不得少于0.01份基金份额，如果销售机构业务规则规定的最低单笔赎</w:t>
      </w:r>
      <w:r>
        <w:rPr>
          <w:rFonts w:ascii="宋体" w:hAnsi="宋体"/>
          <w:sz w:val="24"/>
        </w:rPr>
        <w:lastRenderedPageBreak/>
        <w:t>回份额高于0.01份，以该销售机构的规定为准。</w:t>
      </w:r>
    </w:p>
    <w:p w14:paraId="3CB6FF3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536A92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每个工作日投资者在单个交易账户保留的本基金最低份额余额为0。</w:t>
      </w:r>
    </w:p>
    <w:p w14:paraId="3A8A47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5E0F4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赎回的份额以及最低保留余额的数量限制，基金管理人必须在调整前依照《信息披露办法》和《信息披露特别规定》的有关规定在指定媒介上公告。</w:t>
      </w:r>
    </w:p>
    <w:p w14:paraId="021A89E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 申购和赎回的程序</w:t>
      </w:r>
    </w:p>
    <w:p w14:paraId="4F2810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4F0316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2、申购和赎回的确认与通知</w:t>
      </w:r>
    </w:p>
    <w:p w14:paraId="44917A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正常情况下，T日规定时间受理的申请，基金注册登记机构在T＋1日内为投资者对该交易的有效性进行确认，在T＋2日后(包括该日)投资者可向销售机构查询申购、赎回的成交情况。</w:t>
      </w:r>
    </w:p>
    <w:p w14:paraId="1C1ED6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3、申购和赎回款项支付</w:t>
      </w:r>
    </w:p>
    <w:p w14:paraId="66138E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申购采用全额缴款方式，若申购资金在规定时间内未全额到账则申购不成功，若申购不成功或无效，申购款项将退回投资者账户。</w:t>
      </w:r>
    </w:p>
    <w:p w14:paraId="174D91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投资者赎回申请成功后，基金管理人将指示基金托管人在T＋2日（包括该日）内从托管账户将赎回款项划出，经销售机构</w:t>
      </w:r>
      <w:proofErr w:type="gramStart"/>
      <w:r>
        <w:rPr>
          <w:rFonts w:ascii="宋体" w:hAnsi="宋体"/>
          <w:sz w:val="24"/>
        </w:rPr>
        <w:t>划往基金</w:t>
      </w:r>
      <w:proofErr w:type="gramEnd"/>
      <w:r>
        <w:rPr>
          <w:rFonts w:ascii="宋体" w:hAnsi="宋体"/>
          <w:sz w:val="24"/>
        </w:rPr>
        <w:t>份额持有人银行账户。在发生巨额赎回的情形时，款项的支付办法参照基金合同的有关条款处理。</w:t>
      </w:r>
    </w:p>
    <w:p w14:paraId="15C531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4、申购和赎回基金份额的注册登记</w:t>
      </w:r>
    </w:p>
    <w:p w14:paraId="4919E9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投资者申购申请受理后，注册登记机构在T+1日为投资者办理增加权益的登记手续，投资者自T+2日起可赎回该部分基金份额。</w:t>
      </w:r>
    </w:p>
    <w:p w14:paraId="020DA2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投资者赎回基金成功后，注册登记机构在T+1日为投资者办理扣除权益的登记手续。</w:t>
      </w:r>
    </w:p>
    <w:p w14:paraId="6029D7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对上述注册登记办理时间进行调整，但不得实质影响投资者的合法权益，并最迟于开始实施前依照《信息披露办法》和《信息披露特别规定》的有关规定在指定媒介上公告。</w:t>
      </w:r>
    </w:p>
    <w:p w14:paraId="404D64B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（六） 申购和赎回的数额和价格</w:t>
      </w:r>
    </w:p>
    <w:p w14:paraId="741D5A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1、申购份额的计算</w:t>
      </w:r>
    </w:p>
    <w:p w14:paraId="25307B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4FF07E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申购份额＝申购总金额÷基金份额净值</w:t>
      </w:r>
    </w:p>
    <w:p w14:paraId="582362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：假定T</w:t>
      </w:r>
      <w:proofErr w:type="gramStart"/>
      <w:r>
        <w:rPr>
          <w:rFonts w:ascii="宋体" w:hAnsi="宋体"/>
          <w:sz w:val="24"/>
        </w:rPr>
        <w:t>日某投资者</w:t>
      </w:r>
      <w:proofErr w:type="gramEnd"/>
      <w:r>
        <w:rPr>
          <w:rFonts w:ascii="宋体" w:hAnsi="宋体"/>
          <w:sz w:val="24"/>
        </w:rPr>
        <w:t>投资10,000元申购本基金，则其可得到的申购份额计算如下：</w:t>
      </w:r>
    </w:p>
    <w:p w14:paraId="6099B4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申购份额=10,000/1.00=10,000份</w:t>
      </w:r>
    </w:p>
    <w:p w14:paraId="03AF0AA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申购份数保留至小数点后2位，小数点2位以后的部分四舍五入，四舍五入部分所代表的资产</w:t>
      </w:r>
      <w:proofErr w:type="gramStart"/>
      <w:r>
        <w:rPr>
          <w:rFonts w:ascii="宋体" w:hAnsi="宋体"/>
          <w:sz w:val="24"/>
        </w:rPr>
        <w:t>归基金</w:t>
      </w:r>
      <w:proofErr w:type="gramEnd"/>
      <w:r>
        <w:rPr>
          <w:rFonts w:ascii="宋体" w:hAnsi="宋体"/>
          <w:sz w:val="24"/>
        </w:rPr>
        <w:t>所有。</w:t>
      </w:r>
    </w:p>
    <w:p w14:paraId="6D38E6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2、基金赎回金额的计算（不包含特殊情况）</w:t>
      </w:r>
    </w:p>
    <w:p w14:paraId="3ADCDB28" w14:textId="61D7484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赎回金额=赎回份额×基金份额净值+该份额对应的未付收益</w:t>
      </w:r>
    </w:p>
    <w:p w14:paraId="45D04DE5" w14:textId="530406A8"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例二：假定某投资者在T日赎回10,000份本基金，且假设该10,000份基金份额对应的未支付收益为15.00元，则其获得的赎回金额计算如下：</w:t>
      </w:r>
    </w:p>
    <w:p w14:paraId="63492527" w14:textId="5C804535"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赎回金额=10,000×1.00+15.00=10,015.00元</w:t>
      </w:r>
    </w:p>
    <w:p w14:paraId="082336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赎回总额以人民币元为单位，保留至小数点后2位，小数点2位以后的部分四舍五入，四舍五入部分所代表的资产</w:t>
      </w:r>
      <w:proofErr w:type="gramStart"/>
      <w:r>
        <w:rPr>
          <w:rFonts w:ascii="宋体" w:hAnsi="宋体"/>
          <w:sz w:val="24"/>
        </w:rPr>
        <w:t>归基金</w:t>
      </w:r>
      <w:proofErr w:type="gramEnd"/>
      <w:r>
        <w:rPr>
          <w:rFonts w:ascii="宋体" w:hAnsi="宋体"/>
          <w:sz w:val="24"/>
        </w:rPr>
        <w:t>所有。</w:t>
      </w:r>
    </w:p>
    <w:p w14:paraId="49F3F384" w14:textId="195C3D6C"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3、本基金每个工作日公告前一工作日各级基金份额的</w:t>
      </w:r>
      <w:r w:rsidR="00F87260">
        <w:rPr>
          <w:rFonts w:ascii="宋体" w:hAnsi="宋体"/>
          <w:sz w:val="24"/>
        </w:rPr>
        <w:t>每万份基金已实现收益</w:t>
      </w:r>
      <w:r>
        <w:rPr>
          <w:rFonts w:ascii="宋体" w:hAnsi="宋体"/>
          <w:sz w:val="24"/>
        </w:rPr>
        <w:t>和基金</w:t>
      </w:r>
      <w:proofErr w:type="gramStart"/>
      <w:r>
        <w:rPr>
          <w:rFonts w:ascii="宋体" w:hAnsi="宋体"/>
          <w:sz w:val="24"/>
        </w:rPr>
        <w:t>七日年化收益率</w:t>
      </w:r>
      <w:proofErr w:type="gramEnd"/>
      <w:r>
        <w:rPr>
          <w:rFonts w:ascii="宋体" w:hAnsi="宋体"/>
          <w:sz w:val="24"/>
        </w:rPr>
        <w:t>。遇特殊情况，经中国证监会同意，可以适当延迟计算或公告。</w:t>
      </w:r>
    </w:p>
    <w:p w14:paraId="2ED1E2C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（七）基金的申购费和赎回费</w:t>
      </w:r>
    </w:p>
    <w:p w14:paraId="44F68F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另有规定或基金合同另有约定外，本基金的申购和赎回费率为零。当本基金前10名基金份额持有人的持有份额合计超过基金总份额50%，且本基金投资组合中现金、国债、中央银行票据、政策性金融债券以及5个交易日内到期的其他金融工具占基金资产净值的比例合计低于10%且偏离度为负时，基金管理人应当对当日单个基金份额持有人超过基金总份额1%以上的赎回申请征收1%的强制赎回费用，并将上述赎回费用全额计入基金财产。</w:t>
      </w:r>
    </w:p>
    <w:p w14:paraId="41F61C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2、网上直销的有关费率</w:t>
      </w:r>
    </w:p>
    <w:p w14:paraId="199D4F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公司网站的“交银施罗德基金管理有限公司网上直销交易平台”（以下简称“网上直销交易平台”）办理开户和本基金的赎回、定期定额投资和转换等业务。通过网上直销交</w:t>
      </w:r>
      <w:r>
        <w:rPr>
          <w:rFonts w:ascii="宋体" w:hAnsi="宋体"/>
          <w:sz w:val="24"/>
        </w:rPr>
        <w:lastRenderedPageBreak/>
        <w:t>易平台办理本基金转换出业务的个人投资者将享受转换费中相应申购补差费率的优惠，其他费率标准不变。具体优惠费率请参见公司网站列示的网上直销定期定额投资及转换费率表或相关公告。</w:t>
      </w:r>
    </w:p>
    <w:p w14:paraId="42F9BB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01AAA46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（八）暂停申购的情形及处理方式</w:t>
      </w:r>
    </w:p>
    <w:p w14:paraId="0A72A7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发生下列情况时，基金管理人可暂停接受基金投资者的申购申请：</w:t>
      </w:r>
    </w:p>
    <w:p w14:paraId="6B98E1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1、不可抗力的原因导致基金无法正常运作；</w:t>
      </w:r>
    </w:p>
    <w:p w14:paraId="6304BB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2、证券交易场所在交易时间非正常停市；</w:t>
      </w:r>
    </w:p>
    <w:p w14:paraId="4790BE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3、基金财产规模过大，使基金管理人无法找到合适的投资品种，或可能对基金业绩产生负面影响，从而损害现有基金份额持有人的利益；</w:t>
      </w:r>
    </w:p>
    <w:p w14:paraId="16DD81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4、基金管理人认为会有损于现有基金份额持有人利益的某笔申购；</w:t>
      </w:r>
    </w:p>
    <w:p w14:paraId="4AC1809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5、法律法规规定或中国证监会认定的其他可暂停申购的情形；</w:t>
      </w:r>
    </w:p>
    <w:p w14:paraId="7C6F92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14:paraId="5F5CA9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7、基金管理人接受某笔或者某些申购申请有可能导致单一投资者持有基金份额的比例超过50%，或者变相规避50%集中度的情形时。出现上述情形时，基金管理人有权将上述申购申请全部或部分确认失败。</w:t>
      </w:r>
    </w:p>
    <w:p w14:paraId="00F010D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发生上述1到6项暂停申购情形时，申购款项将全额退还投资者。基金管理人依照《信息披露办法》和《信息披露特别规定》的有关规定在指定媒介上公告。</w:t>
      </w:r>
    </w:p>
    <w:p w14:paraId="14C3BC5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（九）暂停赎回或延缓支付赎回款项的情形及处理方式</w:t>
      </w:r>
    </w:p>
    <w:p w14:paraId="341DF9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发生下列情形时，基金管理人可暂停接受基金份额持有人的赎回申请：</w:t>
      </w:r>
    </w:p>
    <w:p w14:paraId="7CFD68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1、不可抗力的原因导致基金无法正常运作；</w:t>
      </w:r>
    </w:p>
    <w:p w14:paraId="20A530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2、证券交易场所交易时间非正常停市；</w:t>
      </w:r>
    </w:p>
    <w:p w14:paraId="7C43FA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3、因市场剧烈波动或其他原因而出现连续两个或两个以上开放日巨额赎回，导致本基金的现金支付出现困难；</w:t>
      </w:r>
    </w:p>
    <w:p w14:paraId="56E319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4、基金管理人认为会有损于现有基金份额持有人利益的某笔赎回；</w:t>
      </w:r>
    </w:p>
    <w:p w14:paraId="614C7D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w:t>
      </w:r>
      <w:r>
        <w:rPr>
          <w:rFonts w:ascii="宋体" w:hAnsi="宋体"/>
          <w:sz w:val="24"/>
        </w:rPr>
        <w:lastRenderedPageBreak/>
        <w:t>基金管理人应当暂停接受基金赎回申请或延缓支付赎回款项；</w:t>
      </w:r>
    </w:p>
    <w:p w14:paraId="4E6801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14:paraId="07102D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的，基金管理人应在当日立即向中国证监会报告备案。已接受的赎回申请，基金管理人将足额支付；如暂时不能支付的，可支付部分按每个赎回申请人已被接受的赎回申请量占已接受赎回申请总量的比例分配给赎回申请人，未支付部分由基金管理人按照发生的情况制定相应的处理办法在后续开放日予以支付。同时在出现上述第3项的情形时，对已接受的赎回申请可延期支付赎回款项，最长不超过正常支付时间20个工作日，并在中国证监会指定媒介上公告。投资者在申请赎回时可事先选择将当日可能未获受理部分予以撤销。</w:t>
      </w:r>
    </w:p>
    <w:p w14:paraId="129D39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暂停基金的赎回，基金管理人应及时在中国证监会指定媒介上刊登暂停赎回公告。</w:t>
      </w:r>
    </w:p>
    <w:p w14:paraId="34BC14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在暂停赎回的情况消除时，基金管理人应及时恢复赎回业务的办理，并依照《信息披露办法》和《信息披露特别规定》的有关规定在指定媒介上公告。</w:t>
      </w:r>
    </w:p>
    <w:p w14:paraId="2E5F9F87"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14:paraId="2577BD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7DBF37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w:t>
      </w:r>
      <w:proofErr w:type="gramStart"/>
      <w:r>
        <w:rPr>
          <w:rFonts w:ascii="宋体" w:hAnsi="宋体"/>
          <w:sz w:val="24"/>
        </w:rPr>
        <w:t>申请总</w:t>
      </w:r>
      <w:proofErr w:type="gramEnd"/>
      <w:r>
        <w:rPr>
          <w:rFonts w:ascii="宋体" w:hAnsi="宋体"/>
          <w:sz w:val="24"/>
        </w:rPr>
        <w:t>份额加上基金转换中转出申请份额总份额扣除申购</w:t>
      </w:r>
      <w:proofErr w:type="gramStart"/>
      <w:r>
        <w:rPr>
          <w:rFonts w:ascii="宋体" w:hAnsi="宋体"/>
          <w:sz w:val="24"/>
        </w:rPr>
        <w:t>申请总</w:t>
      </w:r>
      <w:proofErr w:type="gramEnd"/>
      <w:r>
        <w:rPr>
          <w:rFonts w:ascii="宋体" w:hAnsi="宋体"/>
          <w:sz w:val="24"/>
        </w:rPr>
        <w:t>份额及基金转换中转入申请份额总份额后的余额）超过上一日基金总份额的10%时，即认为发生了巨额赎回。</w:t>
      </w:r>
    </w:p>
    <w:p w14:paraId="2BC1C9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444E9C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当出现巨额赎回时，基金管理人可以根据本基金当时的资产组合状况决定全额赎回或部分顺延赎回。</w:t>
      </w:r>
    </w:p>
    <w:p w14:paraId="16E746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（1）全额赎回：当基金管理人认为有能力支付投资者的全部赎回申请时，按正常赎回程序执行。</w:t>
      </w:r>
    </w:p>
    <w:p w14:paraId="4184C5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予以延期办理。对于当日的赎回申请，应当按单个账户赎回申请量占当日赎回申请总量的比例，确定当日单个</w:t>
      </w:r>
      <w:proofErr w:type="gramStart"/>
      <w:r>
        <w:rPr>
          <w:rFonts w:ascii="宋体" w:hAnsi="宋体"/>
          <w:sz w:val="24"/>
        </w:rPr>
        <w:t>帐户</w:t>
      </w:r>
      <w:proofErr w:type="gramEnd"/>
      <w:r>
        <w:rPr>
          <w:rFonts w:ascii="宋体" w:hAnsi="宋体"/>
          <w:sz w:val="24"/>
        </w:rPr>
        <w:t>受理的赎回份额。未受理部分，除投资者在提交赎回申请时明确</w:t>
      </w:r>
      <w:proofErr w:type="gramStart"/>
      <w:r>
        <w:rPr>
          <w:rFonts w:ascii="宋体" w:hAnsi="宋体"/>
          <w:sz w:val="24"/>
        </w:rPr>
        <w:t>作出</w:t>
      </w:r>
      <w:proofErr w:type="gramEnd"/>
      <w:r>
        <w:rPr>
          <w:rFonts w:ascii="宋体" w:hAnsi="宋体"/>
          <w:sz w:val="24"/>
        </w:rPr>
        <w:t>不参加顺延下一个开放日赎回的表示外，顺延至下一个开放日赎回处理。依照上述规定转入下一个开放日的赎回不享有赎回优先权并将按该下一个开放</w:t>
      </w:r>
      <w:r>
        <w:rPr>
          <w:rFonts w:ascii="宋体" w:hAnsi="宋体"/>
          <w:sz w:val="24"/>
        </w:rPr>
        <w:lastRenderedPageBreak/>
        <w:t>日赎回申请总量计算赎回金额，以此类推，直到全部赎回为止。</w:t>
      </w:r>
    </w:p>
    <w:p w14:paraId="1D9958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14:paraId="1ED4C0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（3）巨额赎回的公告：当发生巨额赎回并顺延赎回时，基金管理人应通过邮寄、传真或者招募说明书规定的其他方式，在两日内通知基金份额持有人，说明有关处理方法，并在2日内在指定媒介上刊登公告。</w:t>
      </w:r>
    </w:p>
    <w:p w14:paraId="62F9E6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连续2个开放日以上发生巨额赎回，如基金管理人认为有必要，可暂停接受赎回申请；已经接受的赎回申请可以延缓支付赎回款项，但不得超过正常支付时间20个工作日，并应当在中国证监会指定媒体上公告。</w:t>
      </w:r>
    </w:p>
    <w:p w14:paraId="280951B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（十一）重新开放申购或赎回的公告</w:t>
      </w:r>
    </w:p>
    <w:p w14:paraId="088FBD55" w14:textId="02AD092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如果发生暂停申购或赎回的时间为一日，第二个工作日基金管理人应在中国证监会指定媒介上刊登基金重新开放申购或赎回公告并公布最近一个开放</w:t>
      </w:r>
      <w:proofErr w:type="gramStart"/>
      <w:r>
        <w:rPr>
          <w:rFonts w:ascii="宋体" w:hAnsi="宋体"/>
          <w:sz w:val="24"/>
        </w:rPr>
        <w:t>日各级</w:t>
      </w:r>
      <w:proofErr w:type="gramEnd"/>
      <w:r>
        <w:rPr>
          <w:rFonts w:ascii="宋体" w:hAnsi="宋体"/>
          <w:sz w:val="24"/>
        </w:rPr>
        <w:t>基金份额的</w:t>
      </w:r>
      <w:r w:rsidR="00F87260">
        <w:rPr>
          <w:rFonts w:ascii="宋体" w:hAnsi="宋体"/>
          <w:sz w:val="24"/>
        </w:rPr>
        <w:t>每万份基金已实现收益</w:t>
      </w:r>
      <w:r>
        <w:rPr>
          <w:rFonts w:ascii="宋体" w:hAnsi="宋体"/>
          <w:sz w:val="24"/>
        </w:rPr>
        <w:t>和基金</w:t>
      </w:r>
      <w:proofErr w:type="gramStart"/>
      <w:r>
        <w:rPr>
          <w:rFonts w:ascii="宋体" w:hAnsi="宋体"/>
          <w:sz w:val="24"/>
        </w:rPr>
        <w:t>七日年化收益率</w:t>
      </w:r>
      <w:proofErr w:type="gramEnd"/>
      <w:r>
        <w:rPr>
          <w:rFonts w:ascii="宋体" w:hAnsi="宋体"/>
          <w:sz w:val="24"/>
        </w:rPr>
        <w:t>。</w:t>
      </w:r>
    </w:p>
    <w:p w14:paraId="0D5F2B0B" w14:textId="43455B3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发生暂停的时间超过一日但少于两周，基金重新开放申购或赎回时，基金管理人应提前一个工作日在中国证监会指定媒介上刊登基金重新开放申购或赎回公告，并在重新开放申购或赎回日公告最近一个工作日各级基金份额的</w:t>
      </w:r>
      <w:r w:rsidR="00F87260">
        <w:rPr>
          <w:rFonts w:ascii="宋体" w:hAnsi="宋体"/>
          <w:sz w:val="24"/>
        </w:rPr>
        <w:t>每万份基金已实现收益</w:t>
      </w:r>
      <w:r>
        <w:rPr>
          <w:rFonts w:ascii="宋体" w:hAnsi="宋体"/>
          <w:sz w:val="24"/>
        </w:rPr>
        <w:t>和基金</w:t>
      </w:r>
      <w:proofErr w:type="gramStart"/>
      <w:r>
        <w:rPr>
          <w:rFonts w:ascii="宋体" w:hAnsi="宋体"/>
          <w:sz w:val="24"/>
        </w:rPr>
        <w:t>七日年化收益率</w:t>
      </w:r>
      <w:proofErr w:type="gramEnd"/>
      <w:r>
        <w:rPr>
          <w:rFonts w:ascii="宋体" w:hAnsi="宋体"/>
          <w:sz w:val="24"/>
        </w:rPr>
        <w:t>。</w:t>
      </w:r>
    </w:p>
    <w:p w14:paraId="1702EB36" w14:textId="56C80C7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发生暂停的时间超过两周，暂停期间，基金管理人应至少每两周重复刊登暂停公告一次。基金重新开放申购或赎回时，基金管理人依照《信息披露办法》和《信息披露特别规定》的有关规定在指定媒介上连续刊登基金重新开放申购或赎回公告并在重新开放申购或赎回日公告最近一个开放</w:t>
      </w:r>
      <w:proofErr w:type="gramStart"/>
      <w:r>
        <w:rPr>
          <w:rFonts w:ascii="宋体" w:hAnsi="宋体"/>
          <w:sz w:val="24"/>
        </w:rPr>
        <w:t>日各级</w:t>
      </w:r>
      <w:proofErr w:type="gramEnd"/>
      <w:r>
        <w:rPr>
          <w:rFonts w:ascii="宋体" w:hAnsi="宋体"/>
          <w:sz w:val="24"/>
        </w:rPr>
        <w:t>基金份额的</w:t>
      </w:r>
      <w:r w:rsidR="00F87260">
        <w:rPr>
          <w:rFonts w:ascii="宋体" w:hAnsi="宋体"/>
          <w:sz w:val="24"/>
        </w:rPr>
        <w:t>每万份基金已实现收益</w:t>
      </w:r>
      <w:r>
        <w:rPr>
          <w:rFonts w:ascii="宋体" w:hAnsi="宋体"/>
          <w:sz w:val="24"/>
        </w:rPr>
        <w:t>和基金</w:t>
      </w:r>
      <w:proofErr w:type="gramStart"/>
      <w:r>
        <w:rPr>
          <w:rFonts w:ascii="宋体" w:hAnsi="宋体"/>
          <w:sz w:val="24"/>
        </w:rPr>
        <w:t>七日年化收益率</w:t>
      </w:r>
      <w:proofErr w:type="gramEnd"/>
      <w:r>
        <w:rPr>
          <w:rFonts w:ascii="宋体" w:hAnsi="宋体"/>
          <w:sz w:val="24"/>
        </w:rPr>
        <w:t>。</w:t>
      </w:r>
    </w:p>
    <w:p w14:paraId="6606428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（十二）转托管</w:t>
      </w:r>
    </w:p>
    <w:p w14:paraId="1932C2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本基金目前实行份额托管的交易制度。基金份额持有人可办理已持有基金份额在不同销售机构之间的转托管。</w:t>
      </w:r>
    </w:p>
    <w:p w14:paraId="4B522A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进行份额转托管时，基金份额持有人可以将其某个交易账户下的基金份额全部</w:t>
      </w:r>
      <w:r>
        <w:rPr>
          <w:rFonts w:ascii="宋体" w:hAnsi="宋体"/>
          <w:sz w:val="24"/>
        </w:rPr>
        <w:lastRenderedPageBreak/>
        <w:t>或部分转托管。办理转托管业务的基金份额持有人需在转出方办理基金份额转出手续，在转入方办理基金账户注册手续。</w:t>
      </w:r>
    </w:p>
    <w:p w14:paraId="2A24F02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（十三）定期定额投资计划</w:t>
      </w:r>
    </w:p>
    <w:p w14:paraId="661E96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2006年2月20日刊登公告自2006年2月23日起开通定期定额投资计划业务，具体开通销售机构名单和业务规则参见相关公告。</w:t>
      </w:r>
    </w:p>
    <w:p w14:paraId="3E83C0B9"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（十四）定期定额赎回业务</w:t>
      </w:r>
    </w:p>
    <w:p w14:paraId="5F8556F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2007年1月18日刊登公告自即日起在中国农业银行股份有限公司下属各代销网点开通定期定额赎回业务。</w:t>
      </w:r>
    </w:p>
    <w:p w14:paraId="19653E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5C141F9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（十五）基金的</w:t>
      </w:r>
      <w:proofErr w:type="gramStart"/>
      <w:r w:rsidRPr="00BB248E">
        <w:rPr>
          <w:rFonts w:ascii="宋体" w:hAnsi="宋体" w:hint="eastAsia"/>
          <w:b/>
          <w:kern w:val="0"/>
          <w:sz w:val="24"/>
        </w:rPr>
        <w:t>非交易</w:t>
      </w:r>
      <w:proofErr w:type="gramEnd"/>
      <w:r w:rsidRPr="00BB248E">
        <w:rPr>
          <w:rFonts w:ascii="宋体" w:hAnsi="宋体" w:hint="eastAsia"/>
          <w:b/>
          <w:kern w:val="0"/>
          <w:sz w:val="24"/>
        </w:rPr>
        <w:t>过户</w:t>
      </w:r>
    </w:p>
    <w:p w14:paraId="0B0D85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基金注册登记机构只受理继承、捐赠、司法强制执行和经注册登记机构认可的其他情况下的</w:t>
      </w:r>
      <w:proofErr w:type="gramStart"/>
      <w:r>
        <w:rPr>
          <w:rFonts w:ascii="宋体" w:hAnsi="宋体"/>
          <w:sz w:val="24"/>
        </w:rPr>
        <w:t>非交易</w:t>
      </w:r>
      <w:proofErr w:type="gramEnd"/>
      <w:r>
        <w:rPr>
          <w:rFonts w:ascii="宋体" w:hAnsi="宋体"/>
          <w:sz w:val="24"/>
        </w:rPr>
        <w:t>过户。无论在上述何种情况下，接受划转的主体必须是依法可投资于本基金的个人投资者或机构投资者。</w:t>
      </w:r>
    </w:p>
    <w:p w14:paraId="20C2AE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受理基金份额持有人将其合法持有的基金份额捐赠给福利性质的基金会或社会团体；司法强制执行是指司法机构依据生效司法文书将基金份额持有人持有的基金份额强制划转给其他自然人、法人或其他组织。办理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过户必须提供基金注册登记机构要求提供的相关资料，按基金注册登记机构的规定办理，并按基金注册登记机构规定的标准收费。</w:t>
      </w:r>
    </w:p>
    <w:p w14:paraId="67B43E3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（十六）基金份额的升级和降级</w:t>
      </w:r>
    </w:p>
    <w:p w14:paraId="08C4EC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基金份额分级后，在基金存续期内的任何一个工作日，</w:t>
      </w:r>
      <w:proofErr w:type="gramStart"/>
      <w:r>
        <w:rPr>
          <w:rFonts w:ascii="宋体" w:hAnsi="宋体"/>
          <w:sz w:val="24"/>
        </w:rPr>
        <w:t>若基金</w:t>
      </w:r>
      <w:proofErr w:type="gramEnd"/>
      <w:r>
        <w:rPr>
          <w:rFonts w:ascii="宋体" w:hAnsi="宋体"/>
          <w:sz w:val="24"/>
        </w:rPr>
        <w:t>份额持有人在单个基金账户内保留的A</w:t>
      </w:r>
      <w:proofErr w:type="gramStart"/>
      <w:r>
        <w:rPr>
          <w:rFonts w:ascii="宋体" w:hAnsi="宋体"/>
          <w:sz w:val="24"/>
        </w:rPr>
        <w:t>级基金</w:t>
      </w:r>
      <w:proofErr w:type="gramEnd"/>
      <w:r>
        <w:rPr>
          <w:rFonts w:ascii="宋体" w:hAnsi="宋体"/>
          <w:sz w:val="24"/>
        </w:rPr>
        <w:t>份额达到或超过500万份，本基金的注册登记机构自动将其单个基金账户内持有的A</w:t>
      </w:r>
      <w:proofErr w:type="gramStart"/>
      <w:r>
        <w:rPr>
          <w:rFonts w:ascii="宋体" w:hAnsi="宋体"/>
          <w:sz w:val="24"/>
        </w:rPr>
        <w:t>级基金</w:t>
      </w:r>
      <w:proofErr w:type="gramEnd"/>
      <w:r>
        <w:rPr>
          <w:rFonts w:ascii="宋体" w:hAnsi="宋体"/>
          <w:sz w:val="24"/>
        </w:rPr>
        <w:t>份额升级为B</w:t>
      </w:r>
      <w:proofErr w:type="gramStart"/>
      <w:r>
        <w:rPr>
          <w:rFonts w:ascii="宋体" w:hAnsi="宋体"/>
          <w:sz w:val="24"/>
        </w:rPr>
        <w:t>级基金</w:t>
      </w:r>
      <w:proofErr w:type="gramEnd"/>
      <w:r>
        <w:rPr>
          <w:rFonts w:ascii="宋体" w:hAnsi="宋体"/>
          <w:sz w:val="24"/>
        </w:rPr>
        <w:t>份额，并于升级当日起享受B</w:t>
      </w:r>
      <w:proofErr w:type="gramStart"/>
      <w:r>
        <w:rPr>
          <w:rFonts w:ascii="宋体" w:hAnsi="宋体"/>
          <w:sz w:val="24"/>
        </w:rPr>
        <w:t>级基金</w:t>
      </w:r>
      <w:proofErr w:type="gramEnd"/>
      <w:r>
        <w:rPr>
          <w:rFonts w:ascii="宋体" w:hAnsi="宋体"/>
          <w:sz w:val="24"/>
        </w:rPr>
        <w:t>份额的收益。投资者可于升级日后的第一个工作日起对升级后的基金份额提交赎回、转换出及转托管申请。</w:t>
      </w:r>
    </w:p>
    <w:p w14:paraId="05AFD1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基金份额持有人在单个基金账户内保留的B</w:t>
      </w:r>
      <w:proofErr w:type="gramStart"/>
      <w:r>
        <w:rPr>
          <w:rFonts w:ascii="宋体" w:hAnsi="宋体"/>
          <w:sz w:val="24"/>
        </w:rPr>
        <w:t>级基金</w:t>
      </w:r>
      <w:proofErr w:type="gramEnd"/>
      <w:r>
        <w:rPr>
          <w:rFonts w:ascii="宋体" w:hAnsi="宋体"/>
          <w:sz w:val="24"/>
        </w:rPr>
        <w:t>份额的最低余额为500万份(包含500万份)。</w:t>
      </w:r>
      <w:proofErr w:type="gramStart"/>
      <w:r>
        <w:rPr>
          <w:rFonts w:ascii="宋体" w:hAnsi="宋体"/>
          <w:sz w:val="24"/>
        </w:rPr>
        <w:t>若基金</w:t>
      </w:r>
      <w:proofErr w:type="gramEnd"/>
      <w:r>
        <w:rPr>
          <w:rFonts w:ascii="宋体" w:hAnsi="宋体"/>
          <w:sz w:val="24"/>
        </w:rPr>
        <w:t>份额持有人在单个基金账户内保留的B</w:t>
      </w:r>
      <w:proofErr w:type="gramStart"/>
      <w:r>
        <w:rPr>
          <w:rFonts w:ascii="宋体" w:hAnsi="宋体"/>
          <w:sz w:val="24"/>
        </w:rPr>
        <w:t>级基金</w:t>
      </w:r>
      <w:proofErr w:type="gramEnd"/>
      <w:r>
        <w:rPr>
          <w:rFonts w:ascii="宋体" w:hAnsi="宋体"/>
          <w:sz w:val="24"/>
        </w:rPr>
        <w:t>份额低于500万份，本基金的注册登记机构自动将其在单个基金账户内持有的B</w:t>
      </w:r>
      <w:proofErr w:type="gramStart"/>
      <w:r>
        <w:rPr>
          <w:rFonts w:ascii="宋体" w:hAnsi="宋体"/>
          <w:sz w:val="24"/>
        </w:rPr>
        <w:t>级基金</w:t>
      </w:r>
      <w:proofErr w:type="gramEnd"/>
      <w:r>
        <w:rPr>
          <w:rFonts w:ascii="宋体" w:hAnsi="宋体"/>
          <w:sz w:val="24"/>
        </w:rPr>
        <w:t>份额降级为A</w:t>
      </w:r>
      <w:proofErr w:type="gramStart"/>
      <w:r>
        <w:rPr>
          <w:rFonts w:ascii="宋体" w:hAnsi="宋体"/>
          <w:sz w:val="24"/>
        </w:rPr>
        <w:t>级基金</w:t>
      </w:r>
      <w:proofErr w:type="gramEnd"/>
      <w:r>
        <w:rPr>
          <w:rFonts w:ascii="宋体" w:hAnsi="宋体"/>
          <w:sz w:val="24"/>
        </w:rPr>
        <w:t>份额，并于降级当日起享受A</w:t>
      </w:r>
      <w:proofErr w:type="gramStart"/>
      <w:r>
        <w:rPr>
          <w:rFonts w:ascii="宋体" w:hAnsi="宋体"/>
          <w:sz w:val="24"/>
        </w:rPr>
        <w:t>级基金</w:t>
      </w:r>
      <w:proofErr w:type="gramEnd"/>
      <w:r>
        <w:rPr>
          <w:rFonts w:ascii="宋体" w:hAnsi="宋体"/>
          <w:sz w:val="24"/>
        </w:rPr>
        <w:t>份额的收益。投资者可于降级日后的第一个工作日起对降级后的基金份额提交赎回、转换出及转托管申请。</w:t>
      </w:r>
    </w:p>
    <w:p w14:paraId="4500CC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注册登记机构在T日对投资者持有的基金份额进行了升降级处理，那么投资者在该日对升降级前的基金份额提交的赎回、转换出和转托管等交易申请将被确认失败，基金管理人不承担由此造成的一切损失。从T＋1日起，投资者可以正常提交上述交易申请。基金份额升降级的相关规则由基金管理</w:t>
      </w:r>
      <w:proofErr w:type="gramStart"/>
      <w:r>
        <w:rPr>
          <w:rFonts w:ascii="宋体" w:hAnsi="宋体"/>
          <w:sz w:val="24"/>
        </w:rPr>
        <w:t>人制</w:t>
      </w:r>
      <w:proofErr w:type="gramEnd"/>
      <w:r>
        <w:rPr>
          <w:rFonts w:ascii="宋体" w:hAnsi="宋体"/>
          <w:sz w:val="24"/>
        </w:rPr>
        <w:t>定。</w:t>
      </w:r>
    </w:p>
    <w:p w14:paraId="4AB08A42"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（十七）基金的冻结与解冻</w:t>
      </w:r>
    </w:p>
    <w:p w14:paraId="71B4D3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基金注册登记机构只受理国家有权机关依法要求的基金份额的冻结与解冻，以及注册登记机构认可的其他情况下的冻结与解冻。</w:t>
      </w:r>
    </w:p>
    <w:p w14:paraId="41127C95"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42438E" w14:textId="77777777" w:rsidR="00007225" w:rsidRDefault="00F07F0D">
      <w:pPr>
        <w:pStyle w:val="1"/>
        <w:snapToGrid w:val="0"/>
        <w:spacing w:beforeLines="0" w:before="240" w:after="240"/>
        <w:rPr>
          <w:rFonts w:ascii="宋体" w:hAnsi="宋体"/>
          <w:szCs w:val="30"/>
        </w:rPr>
      </w:pPr>
      <w:bookmarkStart w:id="13" w:name="_Toc137828436"/>
      <w:r>
        <w:rPr>
          <w:rFonts w:ascii="Times New Roman" w:hAnsi="Times New Roman"/>
          <w:sz w:val="30"/>
        </w:rPr>
        <w:lastRenderedPageBreak/>
        <w:t>十、基金的转换</w:t>
      </w:r>
      <w:bookmarkEnd w:id="13"/>
    </w:p>
    <w:p w14:paraId="7226A036"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4EDD1A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14:paraId="1357F73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30B3CD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本基金2006年2月20日刊登公告自2006年2月23日起开放日常转换业务。</w:t>
      </w:r>
    </w:p>
    <w:p w14:paraId="7CCE3D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0F2A44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3864A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31D522B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58A239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628972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4E0843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2E146C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6082749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07C0538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14:paraId="78500C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31F3AA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本基金遵循“份额转换”的原则，单笔转换份额不得低于1份。基金持有人可将其全部或部分基金份额转换成其它基金，单笔转换申请不受转入基金最低申购限额限制。</w:t>
      </w:r>
    </w:p>
    <w:p w14:paraId="6BEC5E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w:t>
      </w:r>
      <w:proofErr w:type="gramStart"/>
      <w:r>
        <w:rPr>
          <w:rFonts w:ascii="宋体" w:hAnsi="宋体"/>
          <w:sz w:val="24"/>
        </w:rPr>
        <w:t>基金基金</w:t>
      </w:r>
      <w:proofErr w:type="gramEnd"/>
      <w:r>
        <w:rPr>
          <w:rFonts w:ascii="宋体" w:hAnsi="宋体"/>
          <w:sz w:val="24"/>
        </w:rPr>
        <w:t>份额余额少于该基金的最低保留余额时，若当日该账户同时有该基金的基金份额减少类业务（如赎回、转换出等）被确认，基金管理人有权将投资人在该账户保留的该</w:t>
      </w:r>
      <w:proofErr w:type="gramStart"/>
      <w:r>
        <w:rPr>
          <w:rFonts w:ascii="宋体" w:hAnsi="宋体"/>
          <w:sz w:val="24"/>
        </w:rPr>
        <w:t>基金基金</w:t>
      </w:r>
      <w:proofErr w:type="gramEnd"/>
      <w:r>
        <w:rPr>
          <w:rFonts w:ascii="宋体" w:hAnsi="宋体"/>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65F2412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19BA10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1229BC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663091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05CEE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384007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w:t>
      </w:r>
      <w:proofErr w:type="gramStart"/>
      <w:r>
        <w:rPr>
          <w:rFonts w:ascii="宋体" w:hAnsi="宋体"/>
          <w:sz w:val="24"/>
        </w:rPr>
        <w:t>遇固定</w:t>
      </w:r>
      <w:proofErr w:type="gramEnd"/>
      <w:r>
        <w:rPr>
          <w:rFonts w:ascii="宋体" w:hAnsi="宋体"/>
          <w:sz w:val="24"/>
        </w:rPr>
        <w:t>费用，则按实际产生补差费用收取。</w:t>
      </w:r>
    </w:p>
    <w:p w14:paraId="0B782B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1C25BF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w:t>
      </w:r>
      <w:r>
        <w:rPr>
          <w:rFonts w:ascii="宋体" w:hAnsi="宋体"/>
          <w:sz w:val="24"/>
        </w:rPr>
        <w:lastRenderedPageBreak/>
        <w:t>转入基金的后端申购费。后端申购补差费用按照转出份额持有时间对应分档的转出基金后端申购费率减去转入基金后端申购费率差额进行补差。</w:t>
      </w:r>
    </w:p>
    <w:p w14:paraId="6F2D64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3B6734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014D96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14:paraId="188EFA7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402C02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73594E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412B1D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1C3D5C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79143F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18DD86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05791F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12CA24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6FE09F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176439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14:paraId="7AF0DF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05B0F3BE" w14:textId="7826A2E2"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：某投资者持有交</w:t>
      </w:r>
      <w:proofErr w:type="gramStart"/>
      <w:r>
        <w:rPr>
          <w:rFonts w:ascii="宋体" w:hAnsi="宋体"/>
          <w:sz w:val="24"/>
        </w:rPr>
        <w:t>银趋势</w:t>
      </w:r>
      <w:proofErr w:type="gramEnd"/>
      <w:r>
        <w:rPr>
          <w:rFonts w:ascii="宋体" w:hAnsi="宋体"/>
          <w:sz w:val="24"/>
        </w:rPr>
        <w:t>前端收费模式的A类基金份额100,000份，持有期</w:t>
      </w:r>
      <w:r>
        <w:rPr>
          <w:rFonts w:ascii="宋体" w:hAnsi="宋体"/>
          <w:sz w:val="24"/>
        </w:rPr>
        <w:lastRenderedPageBreak/>
        <w:t>半年，转换申请当日交</w:t>
      </w:r>
      <w:proofErr w:type="gramStart"/>
      <w:r>
        <w:rPr>
          <w:rFonts w:ascii="宋体" w:hAnsi="宋体"/>
          <w:sz w:val="24"/>
        </w:rPr>
        <w:t>银趋势</w:t>
      </w:r>
      <w:proofErr w:type="gramEnd"/>
      <w:r>
        <w:rPr>
          <w:rFonts w:ascii="宋体" w:hAnsi="宋体"/>
          <w:sz w:val="24"/>
        </w:rPr>
        <w:t>的A类基金份额净值为1.0100元，交</w:t>
      </w:r>
      <w:proofErr w:type="gramStart"/>
      <w:r>
        <w:rPr>
          <w:rFonts w:ascii="宋体" w:hAnsi="宋体"/>
          <w:sz w:val="24"/>
        </w:rPr>
        <w:t>银成长</w:t>
      </w:r>
      <w:proofErr w:type="gramEnd"/>
      <w:r>
        <w:rPr>
          <w:rFonts w:ascii="宋体" w:hAnsi="宋体"/>
          <w:sz w:val="24"/>
        </w:rPr>
        <w:t>的基金份额净值为2.2700元。若该投资者将100,000份交</w:t>
      </w:r>
      <w:proofErr w:type="gramStart"/>
      <w:r>
        <w:rPr>
          <w:rFonts w:ascii="宋体" w:hAnsi="宋体"/>
          <w:sz w:val="24"/>
        </w:rPr>
        <w:t>银趋势</w:t>
      </w:r>
      <w:proofErr w:type="gramEnd"/>
      <w:r>
        <w:rPr>
          <w:rFonts w:ascii="宋体" w:hAnsi="宋体"/>
          <w:sz w:val="24"/>
        </w:rPr>
        <w:t>前端A类基金份额转换为交</w:t>
      </w:r>
      <w:proofErr w:type="gramStart"/>
      <w:r>
        <w:rPr>
          <w:rFonts w:ascii="宋体" w:hAnsi="宋体"/>
          <w:sz w:val="24"/>
        </w:rPr>
        <w:t>银成长</w:t>
      </w:r>
      <w:proofErr w:type="gramEnd"/>
      <w:r>
        <w:rPr>
          <w:rFonts w:ascii="宋体" w:hAnsi="宋体"/>
          <w:sz w:val="24"/>
        </w:rPr>
        <w:t>前端基金份额，则转入交</w:t>
      </w:r>
      <w:proofErr w:type="gramStart"/>
      <w:r>
        <w:rPr>
          <w:rFonts w:ascii="宋体" w:hAnsi="宋体"/>
          <w:sz w:val="24"/>
        </w:rPr>
        <w:t>银成长</w:t>
      </w:r>
      <w:proofErr w:type="gramEnd"/>
      <w:r>
        <w:rPr>
          <w:rFonts w:ascii="宋体" w:hAnsi="宋体"/>
          <w:sz w:val="24"/>
        </w:rPr>
        <w:t>确认的基金份额为：</w:t>
      </w:r>
    </w:p>
    <w:p w14:paraId="708365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7BE1DEF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2333A0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0EA697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281301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7C3ED6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w:t>
      </w:r>
      <w:proofErr w:type="gramStart"/>
      <w:r>
        <w:rPr>
          <w:rFonts w:ascii="宋体" w:hAnsi="宋体"/>
          <w:sz w:val="24"/>
        </w:rPr>
        <w:t>银趋势</w:t>
      </w:r>
      <w:proofErr w:type="gramEnd"/>
      <w:r>
        <w:rPr>
          <w:rFonts w:ascii="宋体" w:hAnsi="宋体"/>
          <w:sz w:val="24"/>
        </w:rPr>
        <w:t>的A类基金份额净值为1.0100元。若该投资者将1,000,000份交银增利A类基金份额转换为交</w:t>
      </w:r>
      <w:proofErr w:type="gramStart"/>
      <w:r>
        <w:rPr>
          <w:rFonts w:ascii="宋体" w:hAnsi="宋体"/>
          <w:sz w:val="24"/>
        </w:rPr>
        <w:t>银趋势</w:t>
      </w:r>
      <w:proofErr w:type="gramEnd"/>
      <w:r>
        <w:rPr>
          <w:rFonts w:ascii="宋体" w:hAnsi="宋体"/>
          <w:sz w:val="24"/>
        </w:rPr>
        <w:t>前端A类基金份额，则转入交</w:t>
      </w:r>
      <w:proofErr w:type="gramStart"/>
      <w:r>
        <w:rPr>
          <w:rFonts w:ascii="宋体" w:hAnsi="宋体"/>
          <w:sz w:val="24"/>
        </w:rPr>
        <w:t>银趋势</w:t>
      </w:r>
      <w:proofErr w:type="gramEnd"/>
      <w:r>
        <w:rPr>
          <w:rFonts w:ascii="宋体" w:hAnsi="宋体"/>
          <w:sz w:val="24"/>
        </w:rPr>
        <w:t>确认的A类基金份额为：</w:t>
      </w:r>
    </w:p>
    <w:p w14:paraId="11A532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09863A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7D7500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0C9ADC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2C11A9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3CABF1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2B4CF4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24B75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63F18F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451493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4166F8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2664E23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收益为61.52元，转换申请当日交银增利A类基金份额净值为1.2700元，交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份额转换为交银增利A类基金份额，则转入确认的交银增利A类基金份额为：</w:t>
      </w:r>
    </w:p>
    <w:p w14:paraId="074816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转出确认金额=100,000×1.00=100,000元</w:t>
      </w:r>
    </w:p>
    <w:p w14:paraId="738E4C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51A4B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4CC6CF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020844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1236D6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5CE12D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58A37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627ED8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373436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692757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562FA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12EF1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14:paraId="610518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1B7F22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w:t>
      </w:r>
      <w:proofErr w:type="gramStart"/>
      <w:r>
        <w:rPr>
          <w:rFonts w:ascii="宋体" w:hAnsi="宋体"/>
          <w:sz w:val="24"/>
        </w:rPr>
        <w:t>银主题</w:t>
      </w:r>
      <w:proofErr w:type="gramEnd"/>
      <w:r>
        <w:rPr>
          <w:rFonts w:ascii="宋体" w:hAnsi="宋体"/>
          <w:sz w:val="24"/>
        </w:rPr>
        <w:t>后端收费模式的A类基金份额100,000份，持有期一年半，转换申请当日交</w:t>
      </w:r>
      <w:proofErr w:type="gramStart"/>
      <w:r>
        <w:rPr>
          <w:rFonts w:ascii="宋体" w:hAnsi="宋体"/>
          <w:sz w:val="24"/>
        </w:rPr>
        <w:t>银主题</w:t>
      </w:r>
      <w:proofErr w:type="gramEnd"/>
      <w:r>
        <w:rPr>
          <w:rFonts w:ascii="宋体" w:hAnsi="宋体"/>
          <w:sz w:val="24"/>
        </w:rPr>
        <w:t>的A类基金份额净值为1.2500元，交银稳健的基金份额净值为2.2700元。若该投资者将100,000份交</w:t>
      </w:r>
      <w:proofErr w:type="gramStart"/>
      <w:r>
        <w:rPr>
          <w:rFonts w:ascii="宋体" w:hAnsi="宋体"/>
          <w:sz w:val="24"/>
        </w:rPr>
        <w:t>银主题</w:t>
      </w:r>
      <w:proofErr w:type="gramEnd"/>
      <w:r>
        <w:rPr>
          <w:rFonts w:ascii="宋体" w:hAnsi="宋体"/>
          <w:sz w:val="24"/>
        </w:rPr>
        <w:t>后端A类基金份额转换为交银稳健后端基金份额，则转入交银稳健确认的基金份额为：</w:t>
      </w:r>
    </w:p>
    <w:p w14:paraId="77686D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7C4411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5A647B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5BE07B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4DFF70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5B8C58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w:t>
      </w:r>
      <w:proofErr w:type="gramStart"/>
      <w:r>
        <w:rPr>
          <w:rFonts w:ascii="宋体" w:hAnsi="宋体"/>
          <w:sz w:val="24"/>
        </w:rPr>
        <w:t>银货币</w:t>
      </w:r>
      <w:proofErr w:type="gramEnd"/>
      <w:r>
        <w:rPr>
          <w:rFonts w:ascii="宋体" w:hAnsi="宋体"/>
          <w:sz w:val="24"/>
        </w:rPr>
        <w:t>的基金份额净值为1.00元。若该投资者将100,000份交银先锋后端A类基金份额转换为交银</w:t>
      </w:r>
      <w:r>
        <w:rPr>
          <w:rFonts w:ascii="宋体" w:hAnsi="宋体"/>
          <w:sz w:val="24"/>
        </w:rPr>
        <w:lastRenderedPageBreak/>
        <w:t>货币，则转入交</w:t>
      </w:r>
      <w:proofErr w:type="gramStart"/>
      <w:r>
        <w:rPr>
          <w:rFonts w:ascii="宋体" w:hAnsi="宋体"/>
          <w:sz w:val="24"/>
        </w:rPr>
        <w:t>银货币</w:t>
      </w:r>
      <w:proofErr w:type="gramEnd"/>
      <w:r>
        <w:rPr>
          <w:rFonts w:ascii="宋体" w:hAnsi="宋体"/>
          <w:sz w:val="24"/>
        </w:rPr>
        <w:t>的基金份额为：</w:t>
      </w:r>
    </w:p>
    <w:p w14:paraId="323E9E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274059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6AC080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75FC85D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73A7D8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093B04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381720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6A465D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287784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0C2BE7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0B61E2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45349E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收益为61.52元，转换申请当日交银增利B类基金份额净值为1.2700元，交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份额转换为交银增利B类基金份额，则转入确认的交银增利B类基金份额为：</w:t>
      </w:r>
    </w:p>
    <w:p w14:paraId="0EAC14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7A8FCE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9E3AD8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2E847F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2C1F87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50932E22"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395DB0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5A4663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w:t>
      </w:r>
      <w:r>
        <w:rPr>
          <w:rFonts w:ascii="宋体" w:hAnsi="宋体"/>
          <w:sz w:val="24"/>
        </w:rPr>
        <w:lastRenderedPageBreak/>
        <w:t>只能转换到前端收费模式的其他基金，后端收费模式的基金只能转换到后端收费模式的其他基金。货币市场基金、债券基金C类基金份额与其他基金之间的转换不受上述收费模式的限制。</w:t>
      </w:r>
    </w:p>
    <w:p w14:paraId="595A48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w:t>
      </w:r>
      <w:proofErr w:type="gramStart"/>
      <w:r>
        <w:rPr>
          <w:rFonts w:ascii="宋体" w:hAnsi="宋体"/>
          <w:sz w:val="24"/>
        </w:rPr>
        <w:t>固定价</w:t>
      </w:r>
      <w:proofErr w:type="gramEnd"/>
      <w:r>
        <w:rPr>
          <w:rFonts w:ascii="宋体" w:hAnsi="宋体"/>
          <w:sz w:val="24"/>
        </w:rPr>
        <w:t>1.00元）。</w:t>
      </w:r>
    </w:p>
    <w:p w14:paraId="779542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w:t>
      </w:r>
      <w:proofErr w:type="gramStart"/>
      <w:r>
        <w:rPr>
          <w:rFonts w:ascii="宋体" w:hAnsi="宋体"/>
          <w:sz w:val="24"/>
        </w:rPr>
        <w:t>待支付</w:t>
      </w:r>
      <w:proofErr w:type="gramEnd"/>
      <w:r>
        <w:rPr>
          <w:rFonts w:ascii="宋体" w:hAnsi="宋体"/>
          <w:sz w:val="24"/>
        </w:rPr>
        <w:t>收益，该收益将一并计入转出金额并折算为转入基金的基金份额，但收益部分不收取转换费用。</w:t>
      </w:r>
    </w:p>
    <w:p w14:paraId="3432E0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1ED36627"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2F02B5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1608CF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w:t>
      </w:r>
      <w:proofErr w:type="gramStart"/>
      <w:r>
        <w:rPr>
          <w:rFonts w:ascii="宋体" w:hAnsi="宋体"/>
          <w:sz w:val="24"/>
        </w:rPr>
        <w:t>申请总</w:t>
      </w:r>
      <w:proofErr w:type="gramEnd"/>
      <w:r>
        <w:rPr>
          <w:rFonts w:ascii="宋体" w:hAnsi="宋体"/>
          <w:sz w:val="24"/>
        </w:rPr>
        <w:t>份额加上基金转换中转出</w:t>
      </w:r>
      <w:proofErr w:type="gramStart"/>
      <w:r>
        <w:rPr>
          <w:rFonts w:ascii="宋体" w:hAnsi="宋体"/>
          <w:sz w:val="24"/>
        </w:rPr>
        <w:t>申请总</w:t>
      </w:r>
      <w:proofErr w:type="gramEnd"/>
      <w:r>
        <w:rPr>
          <w:rFonts w:ascii="宋体" w:hAnsi="宋体"/>
          <w:sz w:val="24"/>
        </w:rPr>
        <w:t>份额后扣除申购</w:t>
      </w:r>
      <w:proofErr w:type="gramStart"/>
      <w:r>
        <w:rPr>
          <w:rFonts w:ascii="宋体" w:hAnsi="宋体"/>
          <w:sz w:val="24"/>
        </w:rPr>
        <w:t>申请总</w:t>
      </w:r>
      <w:proofErr w:type="gramEnd"/>
      <w:r>
        <w:rPr>
          <w:rFonts w:ascii="宋体" w:hAnsi="宋体"/>
          <w:sz w:val="24"/>
        </w:rPr>
        <w:t>份额及基金转换中转入</w:t>
      </w:r>
      <w:proofErr w:type="gramStart"/>
      <w:r>
        <w:rPr>
          <w:rFonts w:ascii="宋体" w:hAnsi="宋体"/>
          <w:sz w:val="24"/>
        </w:rPr>
        <w:t>申请总</w:t>
      </w:r>
      <w:proofErr w:type="gramEnd"/>
      <w:r>
        <w:rPr>
          <w:rFonts w:ascii="宋体" w:hAnsi="宋体"/>
          <w:sz w:val="24"/>
        </w:rPr>
        <w:t>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B1AF134"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A44045" w14:textId="77777777" w:rsidR="00007225" w:rsidRDefault="00F07F0D">
      <w:pPr>
        <w:pStyle w:val="1"/>
        <w:snapToGrid w:val="0"/>
        <w:spacing w:beforeLines="0" w:before="240" w:after="240"/>
        <w:rPr>
          <w:rFonts w:ascii="宋体" w:hAnsi="宋体"/>
          <w:szCs w:val="30"/>
        </w:rPr>
      </w:pPr>
      <w:bookmarkStart w:id="14" w:name="_Toc137828437"/>
      <w:r>
        <w:rPr>
          <w:rFonts w:ascii="Times New Roman" w:hAnsi="Times New Roman"/>
          <w:sz w:val="30"/>
        </w:rPr>
        <w:lastRenderedPageBreak/>
        <w:t>十一、基金的投资</w:t>
      </w:r>
      <w:bookmarkEnd w:id="14"/>
    </w:p>
    <w:p w14:paraId="4F424B97"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（一）投资理念</w:t>
      </w:r>
    </w:p>
    <w:p w14:paraId="3D5AC6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在严格控制流动性风险的前提下，通过合理安排组合期限结构、积极选择投资工具，获取高于业绩比较基准的投资收益。</w:t>
      </w:r>
    </w:p>
    <w:p w14:paraId="5E787D7A"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（二）投资目标</w:t>
      </w:r>
    </w:p>
    <w:p w14:paraId="4F72AB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本基金属于货币市场基金，投资目标是在力求本金稳妥和资产充分流动性的前提下，追求超过业绩比较基准的投资收益。</w:t>
      </w:r>
    </w:p>
    <w:p w14:paraId="7D1CDE57"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（三）投资范围</w:t>
      </w:r>
    </w:p>
    <w:p w14:paraId="578AB4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1、现金；</w:t>
      </w:r>
    </w:p>
    <w:p w14:paraId="7F36C1F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2、通知存款；</w:t>
      </w:r>
    </w:p>
    <w:p w14:paraId="72BCA4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3、一年以内（含一年）的银行定期存款、大额存单；</w:t>
      </w:r>
    </w:p>
    <w:p w14:paraId="4A087F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4、剩余期限在397天以内（含397天）的债券；</w:t>
      </w:r>
    </w:p>
    <w:p w14:paraId="430331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5、期限在一年以内（含一年）的中央银行票据；</w:t>
      </w:r>
    </w:p>
    <w:p w14:paraId="6C7C60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6、期限在一年以内（含一年）的债券回购；</w:t>
      </w:r>
    </w:p>
    <w:p w14:paraId="7A9237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7、剩余期限在397天以内（含397天）的资产支持证券；</w:t>
      </w:r>
    </w:p>
    <w:p w14:paraId="565BAD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8、中国证监会、中国人民银行认可的其他具有良好流动性的货币市场工具。</w:t>
      </w:r>
    </w:p>
    <w:p w14:paraId="1623FC6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（四）业绩比较基准</w:t>
      </w:r>
    </w:p>
    <w:p w14:paraId="7D96DA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本基金业绩比较基准为六个月银行定期存款利率（税后）。</w:t>
      </w:r>
    </w:p>
    <w:p w14:paraId="1F51ED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本基金管理人认为，业绩的选择标准需要合理、透明，为广大投资者所接受。</w:t>
      </w:r>
      <w:proofErr w:type="gramStart"/>
      <w:r>
        <w:rPr>
          <w:rFonts w:ascii="宋体" w:hAnsi="宋体"/>
          <w:sz w:val="24"/>
        </w:rPr>
        <w:t>本业绩</w:t>
      </w:r>
      <w:proofErr w:type="gramEnd"/>
      <w:r>
        <w:rPr>
          <w:rFonts w:ascii="宋体" w:hAnsi="宋体"/>
          <w:sz w:val="24"/>
        </w:rPr>
        <w:t>比较基准是投资者最熟知、最容易获得的低风险收益率。</w:t>
      </w:r>
    </w:p>
    <w:p w14:paraId="2505E9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若未来市场发生变化导致此业绩基准不再适用，基金管理人可根据市场发展状况及本基金的投资范围和投资策略，调整本基金的业绩比较基准。业绩基准的变更须经基金管理人和基金托管人协商一致。</w:t>
      </w:r>
    </w:p>
    <w:p w14:paraId="6EE6B48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（五）投资策略</w:t>
      </w:r>
    </w:p>
    <w:p w14:paraId="23A9CB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1、短期利率水平预期策略</w:t>
      </w:r>
    </w:p>
    <w:p w14:paraId="43ED3F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深入分析国家货币政策、短期资金市场利率波动、资本市场资金面的情况和流动性的变化，对短期利率走势形成合理预期，并据此调整基金货币资产的配置策略。</w:t>
      </w:r>
    </w:p>
    <w:p w14:paraId="7FABFE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2、收益率曲线分析策略</w:t>
      </w:r>
    </w:p>
    <w:p w14:paraId="044406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根据收益率曲线的变化趋势，采取相应的投资管理策略。货币市场收益率曲线的形状反映当时短期利率水平之间的关系，反映市场对较短期限经济状况的判断及对未来短期经济走势的预期。</w:t>
      </w:r>
    </w:p>
    <w:p w14:paraId="40A72A9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3、组合剩余期限策略、期限配置策略</w:t>
      </w:r>
    </w:p>
    <w:p w14:paraId="681A58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 稳定收益，锁定风险，满足组合目标期限。</w:t>
      </w:r>
    </w:p>
    <w:p w14:paraId="55CC5C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4、类别品种配置策略</w:t>
      </w:r>
    </w:p>
    <w:p w14:paraId="1C16B8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2EBF91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5、流动性管理策略</w:t>
      </w:r>
    </w:p>
    <w:p w14:paraId="063B5F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在满足基金投资者申购、赎回的资金需求前提下，通过基金资产安排（包括现金库存、资产变现、剩余期限管理或以其他措施），在保持基金资产高流动性的前提下，确保基金的稳定收益。</w:t>
      </w:r>
    </w:p>
    <w:p w14:paraId="2ED0C3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6、无风险套利策略</w:t>
      </w:r>
    </w:p>
    <w:p w14:paraId="19F897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无风险套利策略包括：</w:t>
      </w:r>
    </w:p>
    <w:p w14:paraId="70D39C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01346D4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跨品种</w:t>
      </w:r>
      <w:proofErr w:type="gramEnd"/>
      <w:r>
        <w:rPr>
          <w:rFonts w:ascii="宋体" w:hAnsi="宋体"/>
          <w:sz w:val="24"/>
        </w:rPr>
        <w:t>套利策略：根据各细分市场中不同品种的风险参数、流动性补偿和收益特征，动态调整不同期限结构品种的配置比例。</w:t>
      </w:r>
    </w:p>
    <w:p w14:paraId="534FEA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7、滚动配置策略</w:t>
      </w:r>
    </w:p>
    <w:p w14:paraId="3BD19D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根据具体投资品种的市场特性，采用持续滚动投资的方法，以提高基金资产的整体持续的变现能力。如，对N</w:t>
      </w:r>
      <w:proofErr w:type="gramStart"/>
      <w:r>
        <w:rPr>
          <w:rFonts w:ascii="宋体" w:hAnsi="宋体"/>
          <w:sz w:val="24"/>
        </w:rPr>
        <w:t>天期回购</w:t>
      </w:r>
      <w:proofErr w:type="gramEnd"/>
      <w:r>
        <w:rPr>
          <w:rFonts w:ascii="宋体" w:hAnsi="宋体"/>
          <w:sz w:val="24"/>
        </w:rPr>
        <w:t>协议进行每天等量配置，提高基金资产的流动性；在公开市场操作中，跟随人民银行每周的滚动发行，持续同品种投资，达到剩余期限的直线分布。</w:t>
      </w:r>
    </w:p>
    <w:p w14:paraId="738F76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8、信用利差策略</w:t>
      </w:r>
    </w:p>
    <w:p w14:paraId="61B61B7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通过对资产支持证券的信用评估，分析预期违约率和违约损失率的变化趋势，评估其信用利差是否合理，并预测其变化趋势，通过其信用质量的改善和信用利差的缩小获利。</w:t>
      </w:r>
    </w:p>
    <w:p w14:paraId="224903E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（六）投资程序</w:t>
      </w:r>
    </w:p>
    <w:p w14:paraId="662723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本基金采用投资决策委员会下的基金经理负责制。</w:t>
      </w:r>
    </w:p>
    <w:p w14:paraId="067F93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投资决策委员会负责确定本基金的大类资产配置比例、组合基准剩余期限、回购最高比例等重大投资决策。</w:t>
      </w:r>
    </w:p>
    <w:p w14:paraId="67534C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基金经理在投资决策委员会确定的投资范围内制定并实施具体的投资策略，向中央交易室下达投资指令。</w:t>
      </w:r>
    </w:p>
    <w:p w14:paraId="019B02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设立债券交易员，负责执行投资指令，就指令执行过程中的问题及市场面的变化对指令执行的影响等问题及时向基金经理反馈，并可提出基于市场面的具体建议。中央交易室同时负责各项投资限制的实现监控以及本基金资产与公司其他基金之间的公平交易控制。</w:t>
      </w:r>
    </w:p>
    <w:p w14:paraId="32B8AA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具体的投资管理程序如下：</w:t>
      </w:r>
    </w:p>
    <w:p w14:paraId="71748B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1、决策依据</w:t>
      </w:r>
    </w:p>
    <w:p w14:paraId="1F2687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（1）国家有关法律、法规和基金合同的有关规定。依法决策是本基金进行投资的前提；</w:t>
      </w:r>
    </w:p>
    <w:p w14:paraId="2417ACD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（2）宏观经济发展态势、微观经济运行环境和证券市场走势。这是本基金投资决策的基础；</w:t>
      </w:r>
    </w:p>
    <w:p w14:paraId="3B4F0A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（3）投资品种的风险—收益特征。在充分权衡投资对象的收益和风险的前提下</w:t>
      </w:r>
      <w:proofErr w:type="gramStart"/>
      <w:r>
        <w:rPr>
          <w:rFonts w:ascii="宋体" w:hAnsi="宋体"/>
          <w:sz w:val="24"/>
        </w:rPr>
        <w:t>作出</w:t>
      </w:r>
      <w:proofErr w:type="gramEnd"/>
      <w:r>
        <w:rPr>
          <w:rFonts w:ascii="宋体" w:hAnsi="宋体"/>
          <w:sz w:val="24"/>
        </w:rPr>
        <w:t>投资决策，是本基金维护投资者利益的重要保障。</w:t>
      </w:r>
    </w:p>
    <w:p w14:paraId="625A57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2、决策程序</w:t>
      </w:r>
    </w:p>
    <w:p w14:paraId="3ED25D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（1）投资部策略分析师、固定收益产品分析师、定量分析师各自独立完成相应的研究报告，为投资策略提供依据；</w:t>
      </w:r>
    </w:p>
    <w:p w14:paraId="2766B2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（2）投资决策委员会每月召开投资策略会议，决定基金的资产配置比例和投资重点等；</w:t>
      </w:r>
    </w:p>
    <w:p w14:paraId="29EB4C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（3）投资总监定期召集投资例会，根据投资决策委员会的决定，结合市场和公司基本面的变化，决定具体的投资策略；</w:t>
      </w:r>
    </w:p>
    <w:p w14:paraId="42E83D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（4）基金经理依据策略分析师的宏观经济分析和策略建议、固定收益产品分析师的债券市场研究和券种选择、定量分析师的定量投资策略研究，结合本基金产</w:t>
      </w:r>
      <w:r>
        <w:rPr>
          <w:rFonts w:ascii="宋体" w:hAnsi="宋体"/>
          <w:sz w:val="24"/>
        </w:rPr>
        <w:lastRenderedPageBreak/>
        <w:t>品定位及风险控制的要求，在权限范围内制定具体的投资组合方案；</w:t>
      </w:r>
    </w:p>
    <w:p w14:paraId="628346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（5）基金经理根据基金投资组合方案，向中央交易室下达交易指令；</w:t>
      </w:r>
    </w:p>
    <w:p w14:paraId="61232D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（6）中央交易室执行基金经理的交易指令，对交易情况及时反馈；</w:t>
      </w:r>
    </w:p>
    <w:p w14:paraId="1D8ACF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（7）定量分析师负责完成有关投资风险监控报告及内部基金业绩评估报告。</w:t>
      </w:r>
    </w:p>
    <w:p w14:paraId="713437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w:t>
      </w:r>
      <w:proofErr w:type="gramStart"/>
      <w:r>
        <w:rPr>
          <w:rFonts w:ascii="宋体" w:hAnsi="宋体"/>
          <w:sz w:val="24"/>
        </w:rPr>
        <w:t>作出</w:t>
      </w:r>
      <w:proofErr w:type="gramEnd"/>
      <w:r>
        <w:rPr>
          <w:rFonts w:ascii="宋体" w:hAnsi="宋体"/>
          <w:sz w:val="24"/>
        </w:rPr>
        <w:t>调整。</w:t>
      </w:r>
    </w:p>
    <w:p w14:paraId="7B3E1C5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（七）投资组合限制</w:t>
      </w:r>
    </w:p>
    <w:p w14:paraId="18D14E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1、本基金不得投资于以下金融工具：</w:t>
      </w:r>
    </w:p>
    <w:p w14:paraId="30C626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w:t>
      </w:r>
    </w:p>
    <w:p w14:paraId="3CCAD8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（2）可转换债券；</w:t>
      </w:r>
    </w:p>
    <w:p w14:paraId="4CDF39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（3）剩余期限超过397天的债券；</w:t>
      </w:r>
    </w:p>
    <w:p w14:paraId="2AA24F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（4）信用等级在AAA级以下的企业债券；</w:t>
      </w:r>
    </w:p>
    <w:p w14:paraId="2FE09D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（5）投资于以定期存款利率为基准利率的浮动利率债券，但市场条件发生变化后另有规定的，从其规定；</w:t>
      </w:r>
    </w:p>
    <w:p w14:paraId="5708E0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（6）在有关法律法规允许交易所债券可以采用摊</w:t>
      </w:r>
      <w:proofErr w:type="gramStart"/>
      <w:r>
        <w:rPr>
          <w:rFonts w:ascii="宋体" w:hAnsi="宋体"/>
          <w:sz w:val="24"/>
        </w:rPr>
        <w:t>余成本</w:t>
      </w:r>
      <w:proofErr w:type="gramEnd"/>
      <w:r>
        <w:rPr>
          <w:rFonts w:ascii="宋体" w:hAnsi="宋体"/>
          <w:sz w:val="24"/>
        </w:rPr>
        <w:t>法前，本基金暂不投资于交易所债券；</w:t>
      </w:r>
    </w:p>
    <w:p w14:paraId="0A8709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（7）中国证监会、中国人民银行禁止投资的其他金融工具。</w:t>
      </w:r>
    </w:p>
    <w:p w14:paraId="798B98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本基金拟投资于主体信用评级低于AA+的商业银行的银行存款与同业存单的，应当经基金管理人董事会审议批准，相关交易应当事先征得基金托管人的同意，并作为重大事项履行信息披露程序。</w:t>
      </w:r>
    </w:p>
    <w:p w14:paraId="7B541E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2、本基金投资组合遵循如下投资限制：</w:t>
      </w:r>
    </w:p>
    <w:p w14:paraId="651E67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（1）本基金投资组合的平均剩余期限，在每个交易日均不超过180天；</w:t>
      </w:r>
    </w:p>
    <w:p w14:paraId="5A6FA1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（2）本基金不得与基金管理人的股东进行交易，不得通过交易上的安排人为降低投资组合的平均剩余期限的真实天数；</w:t>
      </w:r>
    </w:p>
    <w:p w14:paraId="079DAD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发生巨额赎回的情形外，本基金的投资组合中，债券正回购的资金余额在每个交易日均不得超过基金资产净值的20%；因发生巨额赎回致使本基金债券正回购的资金余额超过基金资产净值20%的，基金管理人应当在5个交易日内进行调整；</w:t>
      </w:r>
    </w:p>
    <w:p w14:paraId="470D44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（4）基金持有的剩余期限不超过397天，但剩余存续期超过397天的浮动利率债券的摊</w:t>
      </w:r>
      <w:proofErr w:type="gramStart"/>
      <w:r>
        <w:rPr>
          <w:rFonts w:ascii="宋体" w:hAnsi="宋体"/>
          <w:sz w:val="24"/>
        </w:rPr>
        <w:t>余成本</w:t>
      </w:r>
      <w:proofErr w:type="gramEnd"/>
      <w:r>
        <w:rPr>
          <w:rFonts w:ascii="宋体" w:hAnsi="宋体"/>
          <w:sz w:val="24"/>
        </w:rPr>
        <w:t>总计不得超过当日基金资产净值的20%；</w:t>
      </w:r>
    </w:p>
    <w:p w14:paraId="631535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（5）买断式回购融入基础债券的剩余期限不得超过397天；</w:t>
      </w:r>
    </w:p>
    <w:p w14:paraId="3FAABA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（6）存放在具有基金托管资格的同一商业银行的存款，不得超过基金资产净值的30%；存放在不具有基金托管资格的同一商业银行的存款，不得超过基金资产净值的5%；</w:t>
      </w:r>
    </w:p>
    <w:p w14:paraId="13B1EC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（7）在全国银行间债券市场债券正回购的资金余额不得超过基金资产净值的40%；</w:t>
      </w:r>
    </w:p>
    <w:p w14:paraId="2BCAFD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（8）投资于同一公司发行的短期企业债券及短期融资</w:t>
      </w:r>
      <w:proofErr w:type="gramStart"/>
      <w:r>
        <w:rPr>
          <w:rFonts w:ascii="宋体" w:hAnsi="宋体"/>
          <w:sz w:val="24"/>
        </w:rPr>
        <w:t>券</w:t>
      </w:r>
      <w:proofErr w:type="gramEnd"/>
      <w:r>
        <w:rPr>
          <w:rFonts w:ascii="宋体" w:hAnsi="宋体"/>
          <w:sz w:val="24"/>
        </w:rPr>
        <w:t>的比例，合计不得超过基金资产净值的10%；因市场波动、基金规模变动等基金管理人之外的因素致使基金投资不符合上述比例的，基金管理人应当在10个交易日内调整完毕；</w:t>
      </w:r>
    </w:p>
    <w:p w14:paraId="255DED4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（9）本基金投资于定期存款的比例不得超过基金资产净值的30%；</w:t>
      </w:r>
    </w:p>
    <w:p w14:paraId="1F6379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（10）本基金投资于资产支持证券的比例，不得超过该资产支持证券总规模的10%；</w:t>
      </w:r>
    </w:p>
    <w:p w14:paraId="463182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（11）本基金持有的同一（指同一信用级别）资产支持证券的比例，不得超过该资产支持证券规模的10%；</w:t>
      </w:r>
    </w:p>
    <w:p w14:paraId="747B4C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（12）本基金投资于同一原始权益人的各类资产支持证券的比例，不得超过基金资产净值的10%；</w:t>
      </w:r>
    </w:p>
    <w:p w14:paraId="392FB8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（13）同一基金管理公司管理的全部证券投资基金投资于同一原始权益人的各类资产支持证券，不得超过其各类资产支持证券合计规模的10%；</w:t>
      </w:r>
    </w:p>
    <w:p w14:paraId="76CAD9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（14）本基金持有的全部资产支持证券，其市值不得超过基金资产净值的20%；</w:t>
      </w:r>
    </w:p>
    <w:p w14:paraId="5F13254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（15）本基金管理人管理的全部货币市场基金投资于同一商业银行的银行存款及其发行的同业存单与债券，不得超过该商业银行最近一个季度末净资产的10%；</w:t>
      </w:r>
    </w:p>
    <w:p w14:paraId="7C8912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14:paraId="31860B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7E6AC6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18）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613EDF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主动投资于流动性受限资产的市值合计不得超过基金资产净值的10%；因证券市场波动、基金规模变动等基金管理人之外的因素致使基金不符合前款所规定比例限制的，基金管理人不得主动新增流动性受限资产的投资；</w:t>
      </w:r>
    </w:p>
    <w:p w14:paraId="441364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及中国证监会认定的其他主体为交易对手开展逆回购交易的，可接受质押品的资质要求应当与本基金合同约定的投资范围保持一致；</w:t>
      </w:r>
    </w:p>
    <w:p w14:paraId="3705CC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（21）中国证监会、中国人民银行规定的其他比例限制。</w:t>
      </w:r>
    </w:p>
    <w:p w14:paraId="7485B1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除上述第（19）项、第（20）项外，因基金规模或市场变化导致投资组合超过以上比例限制的，基金管理人应在10个交易日内进行调整，以达到上述标准。法律法规和监管机关另有规定时，从其规定。</w:t>
      </w:r>
    </w:p>
    <w:p w14:paraId="480547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3、本基金投资的短期融资</w:t>
      </w:r>
      <w:proofErr w:type="gramStart"/>
      <w:r>
        <w:rPr>
          <w:rFonts w:ascii="宋体" w:hAnsi="宋体"/>
          <w:sz w:val="24"/>
        </w:rPr>
        <w:t>券</w:t>
      </w:r>
      <w:proofErr w:type="gramEnd"/>
      <w:r>
        <w:rPr>
          <w:rFonts w:ascii="宋体" w:hAnsi="宋体"/>
          <w:sz w:val="24"/>
        </w:rPr>
        <w:t>的信用评级，应不低于以下标准：</w:t>
      </w:r>
    </w:p>
    <w:p w14:paraId="0D8D0A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（1）国内信用评级机构评定的A-1级或相当于A-1级的短期信用级别；</w:t>
      </w:r>
    </w:p>
    <w:p w14:paraId="76DA71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（2）根据有关规定予以豁免信用评级的短期融资</w:t>
      </w:r>
      <w:proofErr w:type="gramStart"/>
      <w:r>
        <w:rPr>
          <w:rFonts w:ascii="宋体" w:hAnsi="宋体"/>
          <w:sz w:val="24"/>
        </w:rPr>
        <w:t>券</w:t>
      </w:r>
      <w:proofErr w:type="gramEnd"/>
      <w:r>
        <w:rPr>
          <w:rFonts w:ascii="宋体" w:hAnsi="宋体"/>
          <w:sz w:val="24"/>
        </w:rPr>
        <w:t>，其发行人最近三年的信用评级和跟踪评级具备下列条件之一：</w:t>
      </w:r>
    </w:p>
    <w:p w14:paraId="354DAB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①国内信用评级机构评定的AAA级或相当于AAA级的长期信用级别；</w:t>
      </w:r>
    </w:p>
    <w:p w14:paraId="7FAA03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②国际信用评级机构评定的低于中国主权评级一个级别的信用级别（例如，若中国主权评级为A-级，则低于中国主权评级一个级别的为BBB+级）；</w:t>
      </w:r>
    </w:p>
    <w:p w14:paraId="3858E7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同一发行人同时具有国内信用评级和国际信用评级的，以国内信用级别为准。</w:t>
      </w:r>
    </w:p>
    <w:p w14:paraId="45C0F6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本基金持有短期融资</w:t>
      </w:r>
      <w:proofErr w:type="gramStart"/>
      <w:r>
        <w:rPr>
          <w:rFonts w:ascii="宋体" w:hAnsi="宋体"/>
          <w:sz w:val="24"/>
        </w:rPr>
        <w:t>券</w:t>
      </w:r>
      <w:proofErr w:type="gramEnd"/>
      <w:r>
        <w:rPr>
          <w:rFonts w:ascii="宋体" w:hAnsi="宋体"/>
          <w:sz w:val="24"/>
        </w:rPr>
        <w:t>期间，如果其信用等级下降、不再符合投资标准，应在评级报告发布之日起20个交易日内予以全部减持。</w:t>
      </w:r>
    </w:p>
    <w:p w14:paraId="16C6A0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4、本基金投资的资产支持证券须具有评级资质的资信评级机构进行持续信用评级，且应不低于国内信用评级机构评定的AAA级或相当于AAA级的信用级别。　　本基金持有资产支持证券期间，如果其信用等级下降、不再符合投资标准，应在评级报告发布之日起3个月内予以全部卖出。</w:t>
      </w:r>
    </w:p>
    <w:p w14:paraId="5CF51D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5、禁止行为</w:t>
      </w:r>
    </w:p>
    <w:p w14:paraId="426881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为维护基金份额持有人的合法权益，本基金禁止从事下列行为：</w:t>
      </w:r>
    </w:p>
    <w:p w14:paraId="3E4FDA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187654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（2）将基金财产用于向他人贷款或者提供担保；</w:t>
      </w:r>
    </w:p>
    <w:p w14:paraId="0E852F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（3）从事可能使基金承担无限责任的投资；</w:t>
      </w:r>
    </w:p>
    <w:p w14:paraId="2681FB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（4）买卖其他基金份额，但国务院另有规定的除外；</w:t>
      </w:r>
    </w:p>
    <w:p w14:paraId="6389E6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（5）向基金管理人、基金托管人出资或者买卖基金托管人、基金管理人发行的股票或债券；</w:t>
      </w:r>
    </w:p>
    <w:p w14:paraId="3C697E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（6）买卖与基金管理人、基金托管人有控股关系的股东或者与基金管理人、基金托管人有其他重大利害关系的公司发行的证券或承销期内承销的证券；</w:t>
      </w:r>
    </w:p>
    <w:p w14:paraId="363631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14:paraId="581A62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（8）法律法规、中国证监会及基金合同规定禁止的其他活动。</w:t>
      </w:r>
    </w:p>
    <w:p w14:paraId="073241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对上述事项，法律法规另有规定时从其规定。</w:t>
      </w:r>
    </w:p>
    <w:p w14:paraId="2E173F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如果法律法规和相关规定发生变动，基金管理人有权依据新的规定相应修改本第（七）部分“投资组合限制”中的相关条款，并依法在指定媒介公告，但不需要召开基金份额持有人大会。</w:t>
      </w:r>
    </w:p>
    <w:p w14:paraId="4CED7E4E"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（八）各种资产和负债的剩余期限的确定</w:t>
      </w:r>
    </w:p>
    <w:p w14:paraId="4E1342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1、平均剩余期限的计算公式如下：</w:t>
      </w:r>
    </w:p>
    <w:p w14:paraId="53F5172B" w14:textId="4B89D48A" w:rsidR="00007225" w:rsidRDefault="00F931F3">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04625FE7" wp14:editId="6EB5B266">
            <wp:extent cx="5588000" cy="368300"/>
            <wp:effectExtent l="0" t="0" r="0" b="0"/>
            <wp:docPr id="8"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8000" cy="368300"/>
                    </a:xfrm>
                    <a:prstGeom prst="rect">
                      <a:avLst/>
                    </a:prstGeom>
                    <a:noFill/>
                    <a:ln>
                      <a:noFill/>
                    </a:ln>
                  </pic:spPr>
                </pic:pic>
              </a:graphicData>
            </a:graphic>
          </wp:inline>
        </w:drawing>
      </w:r>
    </w:p>
    <w:p w14:paraId="7C86AE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投资于金融工具产生的资产包括现金类资产（含银行存款、清算备付金、交易保证金、证券清算款、买断式回购履约金）、一年以内（含一年）的银行定期存款、大额存单、剩余期限在397天以内（含397天）的债券、期限在一年以内（含一年）的逆回购、期限在一年以内（含一年）的中央银行票据、买断式回购产生的待回购债券、剩余期限在397天以内（含397天）的资产支持证券，以及中国证监会、中国人民银行认可的其他具有良好流动性的货币市场工具。</w:t>
      </w:r>
    </w:p>
    <w:p w14:paraId="55EBE0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投资于金融工具产生的负债包括期限在一年以内（含一年）的正回购、买断式回购产生</w:t>
      </w:r>
      <w:proofErr w:type="gramStart"/>
      <w:r>
        <w:rPr>
          <w:rFonts w:ascii="宋体" w:hAnsi="宋体"/>
          <w:sz w:val="24"/>
        </w:rPr>
        <w:t>的待返售</w:t>
      </w:r>
      <w:proofErr w:type="gramEnd"/>
      <w:r>
        <w:rPr>
          <w:rFonts w:ascii="宋体" w:hAnsi="宋体"/>
          <w:sz w:val="24"/>
        </w:rPr>
        <w:t>债券等。</w:t>
      </w:r>
    </w:p>
    <w:p w14:paraId="550447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采用“摊余成本法”计算的附息债券成本包括债券的面值和折溢价；贴现债券成本包括债券投资成本和内在应收利息。</w:t>
      </w:r>
    </w:p>
    <w:p w14:paraId="203652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2、各类资产和负债剩余期限的确定</w:t>
      </w:r>
    </w:p>
    <w:p w14:paraId="5EFF7A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（1）银行存款、清算备付金、交易保证金的剩余期限为0天；证券清算款的剩余期限以计算日</w:t>
      </w:r>
      <w:proofErr w:type="gramStart"/>
      <w:r>
        <w:rPr>
          <w:rFonts w:ascii="宋体" w:hAnsi="宋体"/>
          <w:sz w:val="24"/>
        </w:rPr>
        <w:t>至交收日的</w:t>
      </w:r>
      <w:proofErr w:type="gramEnd"/>
      <w:r>
        <w:rPr>
          <w:rFonts w:ascii="宋体" w:hAnsi="宋体"/>
          <w:sz w:val="24"/>
        </w:rPr>
        <w:t>剩余交易日天数计算；买断式回购履约金的剩余期限以计算日至协议到期日的实际剩余天数计算。</w:t>
      </w:r>
    </w:p>
    <w:p w14:paraId="0A1A0B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（2）一年以内（含一年）银行定期存款、通知存款、大额存单的剩余期限以计算日至协议到期日的实际剩余天数计算。</w:t>
      </w:r>
    </w:p>
    <w:p w14:paraId="242752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（3）组合中债券的剩余期限是指计算日至债券到期日为止所剩余的天数，以下情况除外：允许投资的浮动利率债券的剩余期限以计算日至下一个利率调整日的实际剩余天数计算。</w:t>
      </w:r>
    </w:p>
    <w:p w14:paraId="138C7C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（4）回购（包括正回购和</w:t>
      </w:r>
      <w:proofErr w:type="gramStart"/>
      <w:r>
        <w:rPr>
          <w:rFonts w:ascii="宋体" w:hAnsi="宋体"/>
          <w:sz w:val="24"/>
        </w:rPr>
        <w:t>逆回购</w:t>
      </w:r>
      <w:proofErr w:type="gramEnd"/>
      <w:r>
        <w:rPr>
          <w:rFonts w:ascii="宋体" w:hAnsi="宋体"/>
          <w:sz w:val="24"/>
        </w:rPr>
        <w:t>）的剩余期限以计算日至回购协议到期日的实际剩余天数计算。</w:t>
      </w:r>
    </w:p>
    <w:p w14:paraId="0F8F68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（5）中央银行票据的剩余期限以计算日至中央银行票据到期日的实际剩余天数计算。</w:t>
      </w:r>
    </w:p>
    <w:p w14:paraId="0BA301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（6）买断式回购产生的待回购债券的剩余期限为</w:t>
      </w:r>
      <w:proofErr w:type="gramStart"/>
      <w:r>
        <w:rPr>
          <w:rFonts w:ascii="宋体" w:hAnsi="宋体"/>
          <w:sz w:val="24"/>
        </w:rPr>
        <w:t>该基础</w:t>
      </w:r>
      <w:proofErr w:type="gramEnd"/>
      <w:r>
        <w:rPr>
          <w:rFonts w:ascii="宋体" w:hAnsi="宋体"/>
          <w:sz w:val="24"/>
        </w:rPr>
        <w:t>债券的剩余期限。</w:t>
      </w:r>
    </w:p>
    <w:p w14:paraId="079010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（7）买断式回购产生</w:t>
      </w:r>
      <w:proofErr w:type="gramStart"/>
      <w:r>
        <w:rPr>
          <w:rFonts w:ascii="宋体" w:hAnsi="宋体"/>
          <w:sz w:val="24"/>
        </w:rPr>
        <w:t>的待返售</w:t>
      </w:r>
      <w:proofErr w:type="gramEnd"/>
      <w:r>
        <w:rPr>
          <w:rFonts w:ascii="宋体" w:hAnsi="宋体"/>
          <w:sz w:val="24"/>
        </w:rPr>
        <w:t>债券的剩余期限以计算日至回购协议到期日的实际剩余天数计算。</w:t>
      </w:r>
    </w:p>
    <w:p w14:paraId="3CDE13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（8）短期融资</w:t>
      </w:r>
      <w:proofErr w:type="gramStart"/>
      <w:r>
        <w:rPr>
          <w:rFonts w:ascii="宋体" w:hAnsi="宋体"/>
          <w:sz w:val="24"/>
        </w:rPr>
        <w:t>券</w:t>
      </w:r>
      <w:proofErr w:type="gramEnd"/>
      <w:r>
        <w:rPr>
          <w:rFonts w:ascii="宋体" w:hAnsi="宋体"/>
          <w:sz w:val="24"/>
        </w:rPr>
        <w:t>的剩余期限以计算日至短期融资</w:t>
      </w:r>
      <w:proofErr w:type="gramStart"/>
      <w:r>
        <w:rPr>
          <w:rFonts w:ascii="宋体" w:hAnsi="宋体"/>
          <w:sz w:val="24"/>
        </w:rPr>
        <w:t>券</w:t>
      </w:r>
      <w:proofErr w:type="gramEnd"/>
      <w:r>
        <w:rPr>
          <w:rFonts w:ascii="宋体" w:hAnsi="宋体"/>
          <w:sz w:val="24"/>
        </w:rPr>
        <w:t>到期日所剩余的天数计算。</w:t>
      </w:r>
    </w:p>
    <w:p w14:paraId="2E8F7F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（9）组合中资产支持证券的剩余期限是指计算日距法定最终到期日所剩余的天数，以下情况除外：允许投资的浮动利率资产支持证券的剩余期限以计算日至下一个利率调整日的实际剩余天数计算。</w:t>
      </w:r>
    </w:p>
    <w:p w14:paraId="5208D3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（10）其他情况根据法律法规或中国证监会的规定确定。</w:t>
      </w:r>
    </w:p>
    <w:p w14:paraId="37B8427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（九）投资组合比例调整</w:t>
      </w:r>
    </w:p>
    <w:p w14:paraId="32DB58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约定。因证券市场波动、基金规模变动等基金管理人之外的因素致使基金投资不符合基金合同约定的投资比例规定的，基金管理人应当在10个交易日内进行调整。法律法规另有规定的，从其规定。</w:t>
      </w:r>
    </w:p>
    <w:p w14:paraId="23E999F2"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（十）风险收益特征</w:t>
      </w:r>
    </w:p>
    <w:p w14:paraId="53C38F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货币市场基金是具有较低风险、中低收益、流动性强的证券投资基金品种。根据2017年7月1日施行的《证券期货投资者适当性管理办法》，基金管理人和销售机构已对本基金重新进行风险评级。风险评级行为不改变本基金的实质性风险收益</w:t>
      </w:r>
      <w:r>
        <w:rPr>
          <w:rFonts w:ascii="宋体" w:hAnsi="宋体"/>
          <w:sz w:val="24"/>
        </w:rPr>
        <w:lastRenderedPageBreak/>
        <w:t>特征。但由于风险等级分类标准的变化，本基金的风险等级表述可能有相应变化，具体风险评级结果应以基金管理人和销售机构提供的评级结果为准。</w:t>
      </w:r>
    </w:p>
    <w:p w14:paraId="1069447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（十一）基金管理人代表基金行使债权人权利的处理原则及方法</w:t>
      </w:r>
    </w:p>
    <w:p w14:paraId="317364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1、基金管理人按照国家有关规定代表基金独立行使债权人或其他权利人的权利，保护基金份额持有人的利益；</w:t>
      </w:r>
    </w:p>
    <w:p w14:paraId="32EA92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6BFA55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7DA39A8E"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（十二）基金投资组合报告</w:t>
      </w:r>
    </w:p>
    <w:p w14:paraId="086D44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62F279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本基金托管人中国农业银行根据本基金合同规定，于2023年04月20日复核了本报告中的财务指标、净值表现和投资组合报告等内容，保证复核内容不存在虚假记载、误导性陈述或者重大遗漏。</w:t>
      </w:r>
    </w:p>
    <w:p w14:paraId="0B2252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本投资组合报告期为2023年01月01日起至03月31日，所载财务数据未经审计师审计。</w:t>
      </w:r>
    </w:p>
    <w:p w14:paraId="3EBF54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07225" w14:paraId="20C347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D07E6B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329CCB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59FA66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8C09FE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41038F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A8FF8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45F4C1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6F5C4E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179,087,366.22</w:t>
            </w:r>
          </w:p>
        </w:tc>
        <w:tc>
          <w:tcPr>
            <w:tcW w:w="400" w:type="pct"/>
            <w:tcBorders>
              <w:top w:val="single" w:sz="4" w:space="0" w:color="auto"/>
              <w:left w:val="single" w:sz="4" w:space="0" w:color="auto"/>
              <w:bottom w:val="single" w:sz="4" w:space="0" w:color="auto"/>
              <w:right w:val="single" w:sz="4" w:space="0" w:color="auto"/>
            </w:tcBorders>
            <w:vAlign w:val="center"/>
          </w:tcPr>
          <w:p w14:paraId="5D8E8EA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35.66</w:t>
            </w:r>
          </w:p>
        </w:tc>
      </w:tr>
      <w:tr w:rsidR="00007225" w14:paraId="7AC662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9AC03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BCD12D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55597F0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179,087,366.22</w:t>
            </w:r>
          </w:p>
        </w:tc>
        <w:tc>
          <w:tcPr>
            <w:tcW w:w="400" w:type="pct"/>
            <w:tcBorders>
              <w:top w:val="single" w:sz="4" w:space="0" w:color="auto"/>
              <w:left w:val="single" w:sz="4" w:space="0" w:color="auto"/>
              <w:bottom w:val="single" w:sz="4" w:space="0" w:color="auto"/>
              <w:right w:val="single" w:sz="4" w:space="0" w:color="auto"/>
            </w:tcBorders>
            <w:vAlign w:val="center"/>
          </w:tcPr>
          <w:p w14:paraId="656BFC9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35.66</w:t>
            </w:r>
          </w:p>
        </w:tc>
      </w:tr>
      <w:tr w:rsidR="00007225" w14:paraId="273958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BCEDE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5FFECC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162B155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DDE60E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14F8CE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00A43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9A861B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BB988D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110,230,477.62</w:t>
            </w:r>
          </w:p>
        </w:tc>
        <w:tc>
          <w:tcPr>
            <w:tcW w:w="400" w:type="pct"/>
            <w:tcBorders>
              <w:top w:val="single" w:sz="4" w:space="0" w:color="auto"/>
              <w:left w:val="single" w:sz="4" w:space="0" w:color="auto"/>
              <w:bottom w:val="single" w:sz="4" w:space="0" w:color="auto"/>
              <w:right w:val="single" w:sz="4" w:space="0" w:color="auto"/>
            </w:tcBorders>
            <w:vAlign w:val="center"/>
          </w:tcPr>
          <w:p w14:paraId="07C468E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21.95</w:t>
            </w:r>
          </w:p>
        </w:tc>
      </w:tr>
      <w:tr w:rsidR="00007225" w14:paraId="2D363D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0A0B35"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45CC3F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5D6170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13D06A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38361F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DFF80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F3B3EE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4EE8B7E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212,372,359.11</w:t>
            </w:r>
          </w:p>
        </w:tc>
        <w:tc>
          <w:tcPr>
            <w:tcW w:w="400" w:type="pct"/>
            <w:tcBorders>
              <w:top w:val="single" w:sz="4" w:space="0" w:color="auto"/>
              <w:left w:val="single" w:sz="4" w:space="0" w:color="auto"/>
              <w:bottom w:val="single" w:sz="4" w:space="0" w:color="auto"/>
              <w:right w:val="single" w:sz="4" w:space="0" w:color="auto"/>
            </w:tcBorders>
            <w:vAlign w:val="center"/>
          </w:tcPr>
          <w:p w14:paraId="50E4C5C1"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42.28</w:t>
            </w:r>
          </w:p>
        </w:tc>
      </w:tr>
      <w:tr w:rsidR="00007225" w14:paraId="65AB60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522D4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5A0C47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339D7C0B"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565,128.31</w:t>
            </w:r>
          </w:p>
        </w:tc>
        <w:tc>
          <w:tcPr>
            <w:tcW w:w="400" w:type="pct"/>
            <w:tcBorders>
              <w:top w:val="single" w:sz="4" w:space="0" w:color="auto"/>
              <w:left w:val="single" w:sz="4" w:space="0" w:color="auto"/>
              <w:bottom w:val="single" w:sz="4" w:space="0" w:color="auto"/>
              <w:right w:val="single" w:sz="4" w:space="0" w:color="auto"/>
            </w:tcBorders>
            <w:vAlign w:val="center"/>
          </w:tcPr>
          <w:p w14:paraId="3BAC8D0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r w:rsidR="00007225" w14:paraId="10C492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9BF42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BF22A0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4430851"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502,255,331.26</w:t>
            </w:r>
          </w:p>
        </w:tc>
        <w:tc>
          <w:tcPr>
            <w:tcW w:w="400" w:type="pct"/>
            <w:tcBorders>
              <w:top w:val="single" w:sz="4" w:space="0" w:color="auto"/>
              <w:left w:val="single" w:sz="4" w:space="0" w:color="auto"/>
              <w:bottom w:val="single" w:sz="4" w:space="0" w:color="auto"/>
              <w:right w:val="single" w:sz="4" w:space="0" w:color="auto"/>
            </w:tcBorders>
            <w:vAlign w:val="center"/>
          </w:tcPr>
          <w:p w14:paraId="3AA2C0A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60397E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2、报告期债券回购融资情况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07225" w14:paraId="71B3A0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8BFA2C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AD473C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4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6A57B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52A445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1BA89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71F612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报告期内债券回购融资余额</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79DDF24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5.21</w:t>
            </w:r>
          </w:p>
        </w:tc>
      </w:tr>
      <w:tr w:rsidR="00007225" w14:paraId="758D8D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0F7E51"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46D9A9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其中：买断式回购融资</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7BCFFF9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6F9AF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7F2A2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vAlign w:val="center"/>
          </w:tcPr>
          <w:p w14:paraId="73823F0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66B9470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vAlign w:val="center"/>
          </w:tcPr>
          <w:p w14:paraId="6CE70D6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767BB76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CD1EB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F1FBB5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报告期末债券回购融资余额</w:t>
            </w:r>
          </w:p>
        </w:tc>
        <w:tc>
          <w:tcPr>
            <w:tcW w:w="750" w:type="pct"/>
            <w:tcBorders>
              <w:top w:val="single" w:sz="4" w:space="0" w:color="auto"/>
              <w:left w:val="single" w:sz="4" w:space="0" w:color="auto"/>
              <w:bottom w:val="single" w:sz="4" w:space="0" w:color="auto"/>
              <w:right w:val="single" w:sz="4" w:space="0" w:color="auto"/>
            </w:tcBorders>
            <w:vAlign w:val="center"/>
          </w:tcPr>
          <w:p w14:paraId="0F625A7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32,132,936.91</w:t>
            </w:r>
          </w:p>
        </w:tc>
        <w:tc>
          <w:tcPr>
            <w:tcW w:w="400" w:type="pct"/>
            <w:tcBorders>
              <w:top w:val="single" w:sz="4" w:space="0" w:color="auto"/>
              <w:left w:val="single" w:sz="4" w:space="0" w:color="auto"/>
              <w:bottom w:val="single" w:sz="4" w:space="0" w:color="auto"/>
              <w:right w:val="single" w:sz="4" w:space="0" w:color="auto"/>
            </w:tcBorders>
            <w:vAlign w:val="center"/>
          </w:tcPr>
          <w:p w14:paraId="4B36202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6.86</w:t>
            </w:r>
          </w:p>
        </w:tc>
      </w:tr>
      <w:tr w:rsidR="00007225" w14:paraId="30B2F5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38D334"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0B161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其中：买断式回购融资</w:t>
            </w:r>
          </w:p>
        </w:tc>
        <w:tc>
          <w:tcPr>
            <w:tcW w:w="750" w:type="pct"/>
            <w:tcBorders>
              <w:top w:val="single" w:sz="4" w:space="0" w:color="auto"/>
              <w:left w:val="single" w:sz="4" w:space="0" w:color="auto"/>
              <w:bottom w:val="single" w:sz="4" w:space="0" w:color="auto"/>
              <w:right w:val="single" w:sz="4" w:space="0" w:color="auto"/>
            </w:tcBorders>
            <w:vAlign w:val="center"/>
          </w:tcPr>
          <w:p w14:paraId="625AF33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630FEF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bl>
    <w:p w14:paraId="5C7BFF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注：报告期内债券回购融资余额占基金资产净值的比例为报告期内每个银行间市场交易日融资余额占资产净值比例的简单平均值。</w:t>
      </w:r>
    </w:p>
    <w:p w14:paraId="1C0972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债券正回购的资金余额超过基金资产净值的20%的说明</w:t>
      </w:r>
    </w:p>
    <w:p w14:paraId="317535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886B0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3、基金投资组合平均剩余期限</w:t>
      </w:r>
    </w:p>
    <w:p w14:paraId="621DE5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投资组合平均剩余期限基本情况</w:t>
      </w:r>
    </w:p>
    <w:tbl>
      <w:tblPr>
        <w:tblW w:w="5000" w:type="pct"/>
        <w:tblCellMar>
          <w:left w:w="0" w:type="dxa"/>
          <w:right w:w="0" w:type="dxa"/>
        </w:tblCellMar>
        <w:tblLook w:val="0000" w:firstRow="0" w:lastRow="0" w:firstColumn="0" w:lastColumn="0" w:noHBand="0" w:noVBand="0"/>
      </w:tblPr>
      <w:tblGrid>
        <w:gridCol w:w="4325"/>
        <w:gridCol w:w="4325"/>
      </w:tblGrid>
      <w:tr w:rsidR="00007225" w14:paraId="3C7690F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FEED22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8003EC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天数</w:t>
            </w:r>
          </w:p>
        </w:tc>
      </w:tr>
      <w:tr w:rsidR="00007225" w14:paraId="3DA1058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BA3769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报告期末投资组合平均剩余期限</w:t>
            </w:r>
          </w:p>
        </w:tc>
        <w:tc>
          <w:tcPr>
            <w:tcW w:w="750" w:type="pct"/>
            <w:tcBorders>
              <w:top w:val="single" w:sz="4" w:space="0" w:color="auto"/>
              <w:left w:val="single" w:sz="4" w:space="0" w:color="auto"/>
              <w:bottom w:val="single" w:sz="4" w:space="0" w:color="auto"/>
              <w:right w:val="single" w:sz="4" w:space="0" w:color="auto"/>
            </w:tcBorders>
            <w:vAlign w:val="center"/>
          </w:tcPr>
          <w:p w14:paraId="3909878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89</w:t>
            </w:r>
          </w:p>
        </w:tc>
      </w:tr>
      <w:tr w:rsidR="00007225" w14:paraId="419323A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55D204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报告期内投资组合平均剩余期限最高值</w:t>
            </w:r>
          </w:p>
        </w:tc>
        <w:tc>
          <w:tcPr>
            <w:tcW w:w="750" w:type="pct"/>
            <w:tcBorders>
              <w:top w:val="single" w:sz="4" w:space="0" w:color="auto"/>
              <w:left w:val="single" w:sz="4" w:space="0" w:color="auto"/>
              <w:bottom w:val="single" w:sz="4" w:space="0" w:color="auto"/>
              <w:right w:val="single" w:sz="4" w:space="0" w:color="auto"/>
            </w:tcBorders>
            <w:vAlign w:val="center"/>
          </w:tcPr>
          <w:p w14:paraId="40ACD5C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98</w:t>
            </w:r>
          </w:p>
        </w:tc>
      </w:tr>
      <w:tr w:rsidR="00007225" w14:paraId="06588EF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4CB225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报告期内投资组合平均剩余期限最低值</w:t>
            </w:r>
          </w:p>
        </w:tc>
        <w:tc>
          <w:tcPr>
            <w:tcW w:w="750" w:type="pct"/>
            <w:tcBorders>
              <w:top w:val="single" w:sz="4" w:space="0" w:color="auto"/>
              <w:left w:val="single" w:sz="4" w:space="0" w:color="auto"/>
              <w:bottom w:val="single" w:sz="4" w:space="0" w:color="auto"/>
              <w:right w:val="single" w:sz="4" w:space="0" w:color="auto"/>
            </w:tcBorders>
            <w:vAlign w:val="center"/>
          </w:tcPr>
          <w:p w14:paraId="3FF0722A"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69</w:t>
            </w:r>
          </w:p>
        </w:tc>
      </w:tr>
    </w:tbl>
    <w:p w14:paraId="0E70C4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报告期内投资组合平均剩余期限超过120天情况说明</w:t>
      </w:r>
    </w:p>
    <w:p w14:paraId="171C88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CB5EE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 报告期末投资组合平均剩余期限分布比例</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07225" w14:paraId="3A710F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A92825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1A0455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平均剩余期限</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C90D16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各期限资产占基金资产净值的比例（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ABD479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各期限负债占基金资产净值的比例（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5F9B48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6E72E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E3C051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2F9BAA5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26.85</w:t>
            </w:r>
          </w:p>
        </w:tc>
        <w:tc>
          <w:tcPr>
            <w:tcW w:w="400" w:type="pct"/>
            <w:tcBorders>
              <w:top w:val="single" w:sz="4" w:space="0" w:color="auto"/>
              <w:left w:val="single" w:sz="4" w:space="0" w:color="auto"/>
              <w:bottom w:val="single" w:sz="4" w:space="0" w:color="auto"/>
              <w:right w:val="single" w:sz="4" w:space="0" w:color="auto"/>
            </w:tcBorders>
            <w:vAlign w:val="center"/>
          </w:tcPr>
          <w:p w14:paraId="01E23F1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6.86</w:t>
            </w:r>
          </w:p>
        </w:tc>
      </w:tr>
      <w:tr w:rsidR="00007225" w14:paraId="0166AB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4296B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C9DA8D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1763850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FF2D1C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BA888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D37F1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EBF0D9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天（含）</w:t>
            </w:r>
            <w:r>
              <w:rPr>
                <w:rFonts w:ascii="Times New Roman" w:hAnsi="Times New Roman"/>
                <w:color w:val="000000"/>
                <w:kern w:val="0"/>
                <w:sz w:val="25"/>
                <w:szCs w:val="24"/>
              </w:rPr>
              <w:t>—60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027836D1"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12.79</w:t>
            </w:r>
          </w:p>
        </w:tc>
        <w:tc>
          <w:tcPr>
            <w:tcW w:w="400" w:type="pct"/>
            <w:tcBorders>
              <w:top w:val="single" w:sz="4" w:space="0" w:color="auto"/>
              <w:left w:val="single" w:sz="4" w:space="0" w:color="auto"/>
              <w:bottom w:val="single" w:sz="4" w:space="0" w:color="auto"/>
              <w:right w:val="single" w:sz="4" w:space="0" w:color="auto"/>
            </w:tcBorders>
            <w:vAlign w:val="center"/>
          </w:tcPr>
          <w:p w14:paraId="58DB99C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2F0EDF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8F08B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94F42F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40C873F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516999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238F33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AD23F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549F97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60</w:t>
            </w:r>
            <w:r>
              <w:rPr>
                <w:rFonts w:ascii="Times New Roman" w:hAnsi="Times New Roman"/>
                <w:color w:val="000000"/>
                <w:kern w:val="0"/>
                <w:sz w:val="25"/>
                <w:szCs w:val="24"/>
              </w:rPr>
              <w:t>天（含）</w:t>
            </w:r>
            <w:r>
              <w:rPr>
                <w:rFonts w:ascii="Times New Roman" w:hAnsi="Times New Roman"/>
                <w:color w:val="000000"/>
                <w:kern w:val="0"/>
                <w:sz w:val="25"/>
                <w:szCs w:val="24"/>
              </w:rPr>
              <w:t>—90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11F5688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33.06</w:t>
            </w:r>
          </w:p>
        </w:tc>
        <w:tc>
          <w:tcPr>
            <w:tcW w:w="400" w:type="pct"/>
            <w:tcBorders>
              <w:top w:val="single" w:sz="4" w:space="0" w:color="auto"/>
              <w:left w:val="single" w:sz="4" w:space="0" w:color="auto"/>
              <w:bottom w:val="single" w:sz="4" w:space="0" w:color="auto"/>
              <w:right w:val="single" w:sz="4" w:space="0" w:color="auto"/>
            </w:tcBorders>
            <w:vAlign w:val="center"/>
          </w:tcPr>
          <w:p w14:paraId="0EB7283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2C3B85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BA8DE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AE3C32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6EC23A8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C4D4AC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19EC69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90543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5FB8DE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90</w:t>
            </w:r>
            <w:r>
              <w:rPr>
                <w:rFonts w:ascii="Times New Roman" w:hAnsi="Times New Roman"/>
                <w:color w:val="000000"/>
                <w:kern w:val="0"/>
                <w:sz w:val="25"/>
                <w:szCs w:val="24"/>
              </w:rPr>
              <w:t>天（含）</w:t>
            </w:r>
            <w:r>
              <w:rPr>
                <w:rFonts w:ascii="Times New Roman" w:hAnsi="Times New Roman"/>
                <w:color w:val="000000"/>
                <w:kern w:val="0"/>
                <w:sz w:val="25"/>
                <w:szCs w:val="24"/>
              </w:rPr>
              <w:t>—120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4E7EF10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6.41</w:t>
            </w:r>
          </w:p>
        </w:tc>
        <w:tc>
          <w:tcPr>
            <w:tcW w:w="400" w:type="pct"/>
            <w:tcBorders>
              <w:top w:val="single" w:sz="4" w:space="0" w:color="auto"/>
              <w:left w:val="single" w:sz="4" w:space="0" w:color="auto"/>
              <w:bottom w:val="single" w:sz="4" w:space="0" w:color="auto"/>
              <w:right w:val="single" w:sz="4" w:space="0" w:color="auto"/>
            </w:tcBorders>
            <w:vAlign w:val="center"/>
          </w:tcPr>
          <w:p w14:paraId="76F1162B"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57FBB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8AEEF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5FF100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5516347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FE73F9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4C4929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4085C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65A292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r>
              <w:rPr>
                <w:rFonts w:ascii="Times New Roman" w:hAnsi="Times New Roman"/>
                <w:color w:val="000000"/>
                <w:kern w:val="0"/>
                <w:sz w:val="25"/>
                <w:szCs w:val="24"/>
              </w:rPr>
              <w:t>天（含）</w:t>
            </w:r>
            <w:r>
              <w:rPr>
                <w:rFonts w:ascii="Times New Roman" w:hAnsi="Times New Roman"/>
                <w:color w:val="000000"/>
                <w:kern w:val="0"/>
                <w:sz w:val="25"/>
                <w:szCs w:val="24"/>
              </w:rPr>
              <w:t>—397</w:t>
            </w:r>
            <w:r>
              <w:rPr>
                <w:rFonts w:ascii="Times New Roman" w:hAnsi="Times New Roman"/>
                <w:color w:val="000000"/>
                <w:kern w:val="0"/>
                <w:sz w:val="25"/>
                <w:szCs w:val="24"/>
              </w:rPr>
              <w:t>天（含）</w:t>
            </w:r>
          </w:p>
        </w:tc>
        <w:tc>
          <w:tcPr>
            <w:tcW w:w="750" w:type="pct"/>
            <w:tcBorders>
              <w:top w:val="single" w:sz="4" w:space="0" w:color="auto"/>
              <w:left w:val="single" w:sz="4" w:space="0" w:color="auto"/>
              <w:bottom w:val="single" w:sz="4" w:space="0" w:color="auto"/>
              <w:right w:val="single" w:sz="4" w:space="0" w:color="auto"/>
            </w:tcBorders>
            <w:vAlign w:val="center"/>
          </w:tcPr>
          <w:p w14:paraId="4BE94D3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27.56</w:t>
            </w:r>
          </w:p>
        </w:tc>
        <w:tc>
          <w:tcPr>
            <w:tcW w:w="400" w:type="pct"/>
            <w:tcBorders>
              <w:top w:val="single" w:sz="4" w:space="0" w:color="auto"/>
              <w:left w:val="single" w:sz="4" w:space="0" w:color="auto"/>
              <w:bottom w:val="single" w:sz="4" w:space="0" w:color="auto"/>
              <w:right w:val="single" w:sz="4" w:space="0" w:color="auto"/>
            </w:tcBorders>
            <w:vAlign w:val="center"/>
          </w:tcPr>
          <w:p w14:paraId="504398C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2D62D5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BC26E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62DBAD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4366CB0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9870F4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2FE28B22" w14:textId="77777777">
        <w:trPr>
          <w:cantSplit/>
          <w:trHeight w:val="375"/>
        </w:trPr>
        <w:tc>
          <w:tcPr>
            <w:tcW w:w="250" w:type="pct"/>
            <w:gridSpan w:val="2"/>
            <w:tcBorders>
              <w:top w:val="single" w:sz="4" w:space="0" w:color="auto"/>
              <w:left w:val="single" w:sz="4" w:space="0" w:color="auto"/>
              <w:bottom w:val="single" w:sz="4" w:space="0" w:color="auto"/>
              <w:right w:val="single" w:sz="4" w:space="0" w:color="auto"/>
            </w:tcBorders>
            <w:vAlign w:val="center"/>
          </w:tcPr>
          <w:p w14:paraId="439E3DD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合计</w:t>
            </w:r>
          </w:p>
        </w:tc>
        <w:tc>
          <w:tcPr>
            <w:tcW w:w="750" w:type="pct"/>
            <w:tcBorders>
              <w:top w:val="single" w:sz="4" w:space="0" w:color="auto"/>
              <w:left w:val="single" w:sz="4" w:space="0" w:color="auto"/>
              <w:bottom w:val="single" w:sz="4" w:space="0" w:color="auto"/>
              <w:right w:val="single" w:sz="4" w:space="0" w:color="auto"/>
            </w:tcBorders>
            <w:vAlign w:val="center"/>
          </w:tcPr>
          <w:p w14:paraId="28B6806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106.67</w:t>
            </w:r>
          </w:p>
        </w:tc>
        <w:tc>
          <w:tcPr>
            <w:tcW w:w="400" w:type="pct"/>
            <w:tcBorders>
              <w:top w:val="single" w:sz="4" w:space="0" w:color="auto"/>
              <w:left w:val="single" w:sz="4" w:space="0" w:color="auto"/>
              <w:bottom w:val="single" w:sz="4" w:space="0" w:color="auto"/>
              <w:right w:val="single" w:sz="4" w:space="0" w:color="auto"/>
            </w:tcBorders>
            <w:vAlign w:val="center"/>
          </w:tcPr>
          <w:p w14:paraId="7C67A99B"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6.86</w:t>
            </w:r>
          </w:p>
        </w:tc>
      </w:tr>
    </w:tbl>
    <w:p w14:paraId="210059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报告期内投资组合平均剩余存续期超过240天情况说明</w:t>
      </w:r>
    </w:p>
    <w:p w14:paraId="2576DF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注：本基金本报告期内投资组合平均剩余存续期限未超过240天。</w:t>
      </w:r>
    </w:p>
    <w:p w14:paraId="5C62E3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07225" w14:paraId="7C0E21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8CDB97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751961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FF824E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摊余成本（元）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DADB53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422243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30A42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6154B7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29FC3CD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B7CC3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4A831F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7DD63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18EE61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121F28A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068409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04249A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6C819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4B55EE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0D07330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30,006,855.57</w:t>
            </w:r>
          </w:p>
        </w:tc>
        <w:tc>
          <w:tcPr>
            <w:tcW w:w="400" w:type="pct"/>
            <w:tcBorders>
              <w:top w:val="single" w:sz="4" w:space="0" w:color="auto"/>
              <w:left w:val="single" w:sz="4" w:space="0" w:color="auto"/>
              <w:bottom w:val="single" w:sz="4" w:space="0" w:color="auto"/>
              <w:right w:val="single" w:sz="4" w:space="0" w:color="auto"/>
            </w:tcBorders>
            <w:vAlign w:val="center"/>
          </w:tcPr>
          <w:p w14:paraId="683CEB8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6.41</w:t>
            </w:r>
          </w:p>
        </w:tc>
      </w:tr>
      <w:tr w:rsidR="00007225" w14:paraId="7B238B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43F44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8FFFF1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1FEB173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30,006,855.57</w:t>
            </w:r>
          </w:p>
        </w:tc>
        <w:tc>
          <w:tcPr>
            <w:tcW w:w="400" w:type="pct"/>
            <w:tcBorders>
              <w:top w:val="single" w:sz="4" w:space="0" w:color="auto"/>
              <w:left w:val="single" w:sz="4" w:space="0" w:color="auto"/>
              <w:bottom w:val="single" w:sz="4" w:space="0" w:color="auto"/>
              <w:right w:val="single" w:sz="4" w:space="0" w:color="auto"/>
            </w:tcBorders>
            <w:vAlign w:val="center"/>
          </w:tcPr>
          <w:p w14:paraId="18E743D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6.41</w:t>
            </w:r>
          </w:p>
        </w:tc>
      </w:tr>
      <w:tr w:rsidR="00007225" w14:paraId="3E2B5D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9DC8B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9299F7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5CD8998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C86104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D4082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BDD57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DB2DD5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w:t>
            </w:r>
            <w:proofErr w:type="gramStart"/>
            <w:r>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41E24BC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40,102,732.81</w:t>
            </w:r>
          </w:p>
        </w:tc>
        <w:tc>
          <w:tcPr>
            <w:tcW w:w="400" w:type="pct"/>
            <w:tcBorders>
              <w:top w:val="single" w:sz="4" w:space="0" w:color="auto"/>
              <w:left w:val="single" w:sz="4" w:space="0" w:color="auto"/>
              <w:bottom w:val="single" w:sz="4" w:space="0" w:color="auto"/>
              <w:right w:val="single" w:sz="4" w:space="0" w:color="auto"/>
            </w:tcBorders>
            <w:vAlign w:val="center"/>
          </w:tcPr>
          <w:p w14:paraId="21816D0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8.56</w:t>
            </w:r>
          </w:p>
        </w:tc>
      </w:tr>
      <w:tr w:rsidR="00007225" w14:paraId="1E65FB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E21E9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3BC1E2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52DDD12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2AE93BA"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12BEA7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5BCE5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2081CD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C48907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108,977,777.84</w:t>
            </w:r>
          </w:p>
        </w:tc>
        <w:tc>
          <w:tcPr>
            <w:tcW w:w="400" w:type="pct"/>
            <w:tcBorders>
              <w:top w:val="single" w:sz="4" w:space="0" w:color="auto"/>
              <w:left w:val="single" w:sz="4" w:space="0" w:color="auto"/>
              <w:bottom w:val="single" w:sz="4" w:space="0" w:color="auto"/>
              <w:right w:val="single" w:sz="4" w:space="0" w:color="auto"/>
            </w:tcBorders>
            <w:vAlign w:val="center"/>
          </w:tcPr>
          <w:p w14:paraId="36DB364B"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23.27</w:t>
            </w:r>
          </w:p>
        </w:tc>
      </w:tr>
      <w:tr w:rsidR="00007225" w14:paraId="298BC2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3BF56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2432C6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360AD15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80DEEB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5E8241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BE7C3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3AFEFB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F8D3AD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179,087,366.22</w:t>
            </w:r>
          </w:p>
        </w:tc>
        <w:tc>
          <w:tcPr>
            <w:tcW w:w="400" w:type="pct"/>
            <w:tcBorders>
              <w:top w:val="single" w:sz="4" w:space="0" w:color="auto"/>
              <w:left w:val="single" w:sz="4" w:space="0" w:color="auto"/>
              <w:bottom w:val="single" w:sz="4" w:space="0" w:color="auto"/>
              <w:right w:val="single" w:sz="4" w:space="0" w:color="auto"/>
            </w:tcBorders>
            <w:vAlign w:val="center"/>
          </w:tcPr>
          <w:p w14:paraId="68173CB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38.24</w:t>
            </w:r>
          </w:p>
        </w:tc>
      </w:tr>
      <w:tr w:rsidR="00007225" w14:paraId="5CA523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28196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B64863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天的浮动利率债券</w:t>
            </w:r>
          </w:p>
        </w:tc>
        <w:tc>
          <w:tcPr>
            <w:tcW w:w="750" w:type="pct"/>
            <w:tcBorders>
              <w:top w:val="single" w:sz="4" w:space="0" w:color="auto"/>
              <w:left w:val="single" w:sz="4" w:space="0" w:color="auto"/>
              <w:bottom w:val="single" w:sz="4" w:space="0" w:color="auto"/>
              <w:right w:val="single" w:sz="4" w:space="0" w:color="auto"/>
            </w:tcBorders>
            <w:vAlign w:val="center"/>
          </w:tcPr>
          <w:p w14:paraId="2A7E1CD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32424D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bl>
    <w:p w14:paraId="465BE4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w:t>
      </w:r>
      <w:proofErr w:type="gramStart"/>
      <w:r>
        <w:rPr>
          <w:rFonts w:ascii="宋体" w:hAnsi="宋体"/>
          <w:sz w:val="24"/>
        </w:rPr>
        <w:t>按摊余成本</w:t>
      </w:r>
      <w:proofErr w:type="gramEnd"/>
      <w:r>
        <w:rPr>
          <w:rFonts w:ascii="宋体" w:hAnsi="宋体"/>
          <w:sz w:val="24"/>
        </w:rPr>
        <w:t>占基金资产净值比例大小排名的前十名债券投资明细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007225" w14:paraId="078E6C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E4B088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F93BEC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20B6D1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B64715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75D88C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摊余成本（元）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A54F02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1E3876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D8C9E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0C738D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220404</w:t>
            </w:r>
          </w:p>
        </w:tc>
        <w:tc>
          <w:tcPr>
            <w:tcW w:w="750" w:type="pct"/>
            <w:tcBorders>
              <w:top w:val="single" w:sz="4" w:space="0" w:color="auto"/>
              <w:left w:val="single" w:sz="4" w:space="0" w:color="auto"/>
              <w:bottom w:val="single" w:sz="4" w:space="0" w:color="auto"/>
              <w:right w:val="single" w:sz="4" w:space="0" w:color="auto"/>
            </w:tcBorders>
            <w:vAlign w:val="center"/>
          </w:tcPr>
          <w:p w14:paraId="75DBEB9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04</w:t>
            </w:r>
          </w:p>
        </w:tc>
        <w:tc>
          <w:tcPr>
            <w:tcW w:w="750" w:type="pct"/>
            <w:tcBorders>
              <w:top w:val="single" w:sz="4" w:space="0" w:color="auto"/>
              <w:left w:val="single" w:sz="4" w:space="0" w:color="auto"/>
              <w:bottom w:val="single" w:sz="4" w:space="0" w:color="auto"/>
              <w:right w:val="single" w:sz="4" w:space="0" w:color="auto"/>
            </w:tcBorders>
            <w:vAlign w:val="center"/>
          </w:tcPr>
          <w:p w14:paraId="10EAD4A2"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1BEC0DC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10,141,731.80</w:t>
            </w:r>
          </w:p>
        </w:tc>
        <w:tc>
          <w:tcPr>
            <w:tcW w:w="750" w:type="pct"/>
            <w:tcBorders>
              <w:top w:val="single" w:sz="4" w:space="0" w:color="auto"/>
              <w:left w:val="single" w:sz="4" w:space="0" w:color="auto"/>
              <w:bottom w:val="single" w:sz="4" w:space="0" w:color="auto"/>
              <w:right w:val="single" w:sz="4" w:space="0" w:color="auto"/>
            </w:tcBorders>
            <w:vAlign w:val="center"/>
          </w:tcPr>
          <w:p w14:paraId="49D8D38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2.17</w:t>
            </w:r>
          </w:p>
        </w:tc>
      </w:tr>
      <w:tr w:rsidR="00007225" w14:paraId="3176C4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1F5D0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9400B4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012283618</w:t>
            </w:r>
          </w:p>
        </w:tc>
        <w:tc>
          <w:tcPr>
            <w:tcW w:w="750" w:type="pct"/>
            <w:tcBorders>
              <w:top w:val="single" w:sz="4" w:space="0" w:color="auto"/>
              <w:left w:val="single" w:sz="4" w:space="0" w:color="auto"/>
              <w:bottom w:val="single" w:sz="4" w:space="0" w:color="auto"/>
              <w:right w:val="single" w:sz="4" w:space="0" w:color="auto"/>
            </w:tcBorders>
            <w:vAlign w:val="center"/>
          </w:tcPr>
          <w:p w14:paraId="78FDEF9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proofErr w:type="gramStart"/>
            <w:r>
              <w:rPr>
                <w:rFonts w:ascii="Times New Roman" w:hAnsi="Times New Roman"/>
                <w:color w:val="000000"/>
                <w:kern w:val="0"/>
                <w:sz w:val="25"/>
                <w:szCs w:val="24"/>
              </w:rPr>
              <w:t>武金控</w:t>
            </w:r>
            <w:proofErr w:type="gramEnd"/>
            <w:r>
              <w:rPr>
                <w:rFonts w:ascii="Times New Roman" w:hAnsi="Times New Roman"/>
                <w:color w:val="000000"/>
                <w:kern w:val="0"/>
                <w:sz w:val="25"/>
                <w:szCs w:val="24"/>
              </w:rPr>
              <w:t>SCP005</w:t>
            </w:r>
          </w:p>
        </w:tc>
        <w:tc>
          <w:tcPr>
            <w:tcW w:w="750" w:type="pct"/>
            <w:tcBorders>
              <w:top w:val="single" w:sz="4" w:space="0" w:color="auto"/>
              <w:left w:val="single" w:sz="4" w:space="0" w:color="auto"/>
              <w:bottom w:val="single" w:sz="4" w:space="0" w:color="auto"/>
              <w:right w:val="single" w:sz="4" w:space="0" w:color="auto"/>
            </w:tcBorders>
            <w:vAlign w:val="center"/>
          </w:tcPr>
          <w:p w14:paraId="40DC9E2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6AAB865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10,083,255.65</w:t>
            </w:r>
          </w:p>
        </w:tc>
        <w:tc>
          <w:tcPr>
            <w:tcW w:w="750" w:type="pct"/>
            <w:tcBorders>
              <w:top w:val="single" w:sz="4" w:space="0" w:color="auto"/>
              <w:left w:val="single" w:sz="4" w:space="0" w:color="auto"/>
              <w:bottom w:val="single" w:sz="4" w:space="0" w:color="auto"/>
              <w:right w:val="single" w:sz="4" w:space="0" w:color="auto"/>
            </w:tcBorders>
            <w:vAlign w:val="center"/>
          </w:tcPr>
          <w:p w14:paraId="514DD1C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2.15</w:t>
            </w:r>
          </w:p>
        </w:tc>
      </w:tr>
      <w:tr w:rsidR="00007225" w14:paraId="20E481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70397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059410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012380836</w:t>
            </w:r>
          </w:p>
        </w:tc>
        <w:tc>
          <w:tcPr>
            <w:tcW w:w="750" w:type="pct"/>
            <w:tcBorders>
              <w:top w:val="single" w:sz="4" w:space="0" w:color="auto"/>
              <w:left w:val="single" w:sz="4" w:space="0" w:color="auto"/>
              <w:bottom w:val="single" w:sz="4" w:space="0" w:color="auto"/>
              <w:right w:val="single" w:sz="4" w:space="0" w:color="auto"/>
            </w:tcBorders>
            <w:vAlign w:val="center"/>
          </w:tcPr>
          <w:p w14:paraId="0B1F94B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环球租赁</w:t>
            </w:r>
            <w:r>
              <w:rPr>
                <w:rFonts w:ascii="Times New Roman" w:hAnsi="Times New Roman"/>
                <w:color w:val="000000"/>
                <w:kern w:val="0"/>
                <w:sz w:val="25"/>
                <w:szCs w:val="24"/>
              </w:rPr>
              <w:t>SCP006</w:t>
            </w:r>
          </w:p>
        </w:tc>
        <w:tc>
          <w:tcPr>
            <w:tcW w:w="750" w:type="pct"/>
            <w:tcBorders>
              <w:top w:val="single" w:sz="4" w:space="0" w:color="auto"/>
              <w:left w:val="single" w:sz="4" w:space="0" w:color="auto"/>
              <w:bottom w:val="single" w:sz="4" w:space="0" w:color="auto"/>
              <w:right w:val="single" w:sz="4" w:space="0" w:color="auto"/>
            </w:tcBorders>
            <w:vAlign w:val="center"/>
          </w:tcPr>
          <w:p w14:paraId="5599D42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096DA11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10,008,783.47</w:t>
            </w:r>
          </w:p>
        </w:tc>
        <w:tc>
          <w:tcPr>
            <w:tcW w:w="750" w:type="pct"/>
            <w:tcBorders>
              <w:top w:val="single" w:sz="4" w:space="0" w:color="auto"/>
              <w:left w:val="single" w:sz="4" w:space="0" w:color="auto"/>
              <w:bottom w:val="single" w:sz="4" w:space="0" w:color="auto"/>
              <w:right w:val="single" w:sz="4" w:space="0" w:color="auto"/>
            </w:tcBorders>
            <w:vAlign w:val="center"/>
          </w:tcPr>
          <w:p w14:paraId="4DC886B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2.14</w:t>
            </w:r>
          </w:p>
        </w:tc>
      </w:tr>
      <w:tr w:rsidR="00007225" w14:paraId="023F03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4725B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97ED0D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012380968</w:t>
            </w:r>
          </w:p>
        </w:tc>
        <w:tc>
          <w:tcPr>
            <w:tcW w:w="750" w:type="pct"/>
            <w:tcBorders>
              <w:top w:val="single" w:sz="4" w:space="0" w:color="auto"/>
              <w:left w:val="single" w:sz="4" w:space="0" w:color="auto"/>
              <w:bottom w:val="single" w:sz="4" w:space="0" w:color="auto"/>
              <w:right w:val="single" w:sz="4" w:space="0" w:color="auto"/>
            </w:tcBorders>
            <w:vAlign w:val="center"/>
          </w:tcPr>
          <w:p w14:paraId="511FCA5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proofErr w:type="gramStart"/>
            <w:r>
              <w:rPr>
                <w:rFonts w:ascii="Times New Roman" w:hAnsi="Times New Roman"/>
                <w:color w:val="000000"/>
                <w:kern w:val="0"/>
                <w:sz w:val="25"/>
                <w:szCs w:val="24"/>
              </w:rPr>
              <w:t>鄂文旅</w:t>
            </w:r>
            <w:proofErr w:type="gramEnd"/>
            <w:r>
              <w:rPr>
                <w:rFonts w:ascii="Times New Roman" w:hAnsi="Times New Roman"/>
                <w:color w:val="000000"/>
                <w:kern w:val="0"/>
                <w:sz w:val="25"/>
                <w:szCs w:val="24"/>
              </w:rPr>
              <w:t>SCP003</w:t>
            </w:r>
          </w:p>
        </w:tc>
        <w:tc>
          <w:tcPr>
            <w:tcW w:w="750" w:type="pct"/>
            <w:tcBorders>
              <w:top w:val="single" w:sz="4" w:space="0" w:color="auto"/>
              <w:left w:val="single" w:sz="4" w:space="0" w:color="auto"/>
              <w:bottom w:val="single" w:sz="4" w:space="0" w:color="auto"/>
              <w:right w:val="single" w:sz="4" w:space="0" w:color="auto"/>
            </w:tcBorders>
            <w:vAlign w:val="center"/>
          </w:tcPr>
          <w:p w14:paraId="4BA312F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4A1BB55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10,006,324.17</w:t>
            </w:r>
          </w:p>
        </w:tc>
        <w:tc>
          <w:tcPr>
            <w:tcW w:w="750" w:type="pct"/>
            <w:tcBorders>
              <w:top w:val="single" w:sz="4" w:space="0" w:color="auto"/>
              <w:left w:val="single" w:sz="4" w:space="0" w:color="auto"/>
              <w:bottom w:val="single" w:sz="4" w:space="0" w:color="auto"/>
              <w:right w:val="single" w:sz="4" w:space="0" w:color="auto"/>
            </w:tcBorders>
            <w:vAlign w:val="center"/>
          </w:tcPr>
          <w:p w14:paraId="2408D77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2.14</w:t>
            </w:r>
          </w:p>
        </w:tc>
      </w:tr>
      <w:tr w:rsidR="00007225" w14:paraId="212A42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6383E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2C8DBE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012380936</w:t>
            </w:r>
          </w:p>
        </w:tc>
        <w:tc>
          <w:tcPr>
            <w:tcW w:w="750" w:type="pct"/>
            <w:tcBorders>
              <w:top w:val="single" w:sz="4" w:space="0" w:color="auto"/>
              <w:left w:val="single" w:sz="4" w:space="0" w:color="auto"/>
              <w:bottom w:val="single" w:sz="4" w:space="0" w:color="auto"/>
              <w:right w:val="single" w:sz="4" w:space="0" w:color="auto"/>
            </w:tcBorders>
            <w:vAlign w:val="center"/>
          </w:tcPr>
          <w:p w14:paraId="1EA96F0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环球租赁</w:t>
            </w:r>
            <w:r>
              <w:rPr>
                <w:rFonts w:ascii="Times New Roman" w:hAnsi="Times New Roman"/>
                <w:color w:val="000000"/>
                <w:kern w:val="0"/>
                <w:sz w:val="25"/>
                <w:szCs w:val="24"/>
              </w:rPr>
              <w:t>SCP007</w:t>
            </w:r>
          </w:p>
        </w:tc>
        <w:tc>
          <w:tcPr>
            <w:tcW w:w="750" w:type="pct"/>
            <w:tcBorders>
              <w:top w:val="single" w:sz="4" w:space="0" w:color="auto"/>
              <w:left w:val="single" w:sz="4" w:space="0" w:color="auto"/>
              <w:bottom w:val="single" w:sz="4" w:space="0" w:color="auto"/>
              <w:right w:val="single" w:sz="4" w:space="0" w:color="auto"/>
            </w:tcBorders>
            <w:vAlign w:val="center"/>
          </w:tcPr>
          <w:p w14:paraId="65165E3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2628BCD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10,004,369.52</w:t>
            </w:r>
          </w:p>
        </w:tc>
        <w:tc>
          <w:tcPr>
            <w:tcW w:w="750" w:type="pct"/>
            <w:tcBorders>
              <w:top w:val="single" w:sz="4" w:space="0" w:color="auto"/>
              <w:left w:val="single" w:sz="4" w:space="0" w:color="auto"/>
              <w:bottom w:val="single" w:sz="4" w:space="0" w:color="auto"/>
              <w:right w:val="single" w:sz="4" w:space="0" w:color="auto"/>
            </w:tcBorders>
            <w:vAlign w:val="center"/>
          </w:tcPr>
          <w:p w14:paraId="03E2718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2.14</w:t>
            </w:r>
          </w:p>
        </w:tc>
      </w:tr>
      <w:tr w:rsidR="00007225" w14:paraId="111F24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5653B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3D76B1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112283508</w:t>
            </w:r>
          </w:p>
        </w:tc>
        <w:tc>
          <w:tcPr>
            <w:tcW w:w="750" w:type="pct"/>
            <w:tcBorders>
              <w:top w:val="single" w:sz="4" w:space="0" w:color="auto"/>
              <w:left w:val="single" w:sz="4" w:space="0" w:color="auto"/>
              <w:bottom w:val="single" w:sz="4" w:space="0" w:color="auto"/>
              <w:right w:val="single" w:sz="4" w:space="0" w:color="auto"/>
            </w:tcBorders>
            <w:vAlign w:val="center"/>
          </w:tcPr>
          <w:p w14:paraId="1A349E9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成都农商银行</w:t>
            </w:r>
            <w:r>
              <w:rPr>
                <w:rFonts w:ascii="Times New Roman" w:hAnsi="Times New Roman"/>
                <w:color w:val="000000"/>
                <w:kern w:val="0"/>
                <w:sz w:val="25"/>
                <w:szCs w:val="24"/>
              </w:rPr>
              <w:t>CD129</w:t>
            </w:r>
          </w:p>
        </w:tc>
        <w:tc>
          <w:tcPr>
            <w:tcW w:w="750" w:type="pct"/>
            <w:tcBorders>
              <w:top w:val="single" w:sz="4" w:space="0" w:color="auto"/>
              <w:left w:val="single" w:sz="4" w:space="0" w:color="auto"/>
              <w:bottom w:val="single" w:sz="4" w:space="0" w:color="auto"/>
              <w:right w:val="single" w:sz="4" w:space="0" w:color="auto"/>
            </w:tcBorders>
            <w:vAlign w:val="center"/>
          </w:tcPr>
          <w:p w14:paraId="6FB4A7A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009160C2"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9,988,647.75</w:t>
            </w:r>
          </w:p>
        </w:tc>
        <w:tc>
          <w:tcPr>
            <w:tcW w:w="750" w:type="pct"/>
            <w:tcBorders>
              <w:top w:val="single" w:sz="4" w:space="0" w:color="auto"/>
              <w:left w:val="single" w:sz="4" w:space="0" w:color="auto"/>
              <w:bottom w:val="single" w:sz="4" w:space="0" w:color="auto"/>
              <w:right w:val="single" w:sz="4" w:space="0" w:color="auto"/>
            </w:tcBorders>
            <w:vAlign w:val="center"/>
          </w:tcPr>
          <w:p w14:paraId="64399BE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rsidR="00007225" w14:paraId="2D8D68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CD9B9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4D5EA6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112285586</w:t>
            </w:r>
          </w:p>
        </w:tc>
        <w:tc>
          <w:tcPr>
            <w:tcW w:w="750" w:type="pct"/>
            <w:tcBorders>
              <w:top w:val="single" w:sz="4" w:space="0" w:color="auto"/>
              <w:left w:val="single" w:sz="4" w:space="0" w:color="auto"/>
              <w:bottom w:val="single" w:sz="4" w:space="0" w:color="auto"/>
              <w:right w:val="single" w:sz="4" w:space="0" w:color="auto"/>
            </w:tcBorders>
            <w:vAlign w:val="center"/>
          </w:tcPr>
          <w:p w14:paraId="2D8E84C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中原银行</w:t>
            </w:r>
            <w:r>
              <w:rPr>
                <w:rFonts w:ascii="Times New Roman" w:hAnsi="Times New Roman"/>
                <w:color w:val="000000"/>
                <w:kern w:val="0"/>
                <w:sz w:val="25"/>
                <w:szCs w:val="24"/>
              </w:rPr>
              <w:t>CD240</w:t>
            </w:r>
          </w:p>
        </w:tc>
        <w:tc>
          <w:tcPr>
            <w:tcW w:w="750" w:type="pct"/>
            <w:tcBorders>
              <w:top w:val="single" w:sz="4" w:space="0" w:color="auto"/>
              <w:left w:val="single" w:sz="4" w:space="0" w:color="auto"/>
              <w:bottom w:val="single" w:sz="4" w:space="0" w:color="auto"/>
              <w:right w:val="single" w:sz="4" w:space="0" w:color="auto"/>
            </w:tcBorders>
            <w:vAlign w:val="center"/>
          </w:tcPr>
          <w:p w14:paraId="4F89915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6B9909B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9,974,314.42</w:t>
            </w:r>
          </w:p>
        </w:tc>
        <w:tc>
          <w:tcPr>
            <w:tcW w:w="750" w:type="pct"/>
            <w:tcBorders>
              <w:top w:val="single" w:sz="4" w:space="0" w:color="auto"/>
              <w:left w:val="single" w:sz="4" w:space="0" w:color="auto"/>
              <w:bottom w:val="single" w:sz="4" w:space="0" w:color="auto"/>
              <w:right w:val="single" w:sz="4" w:space="0" w:color="auto"/>
            </w:tcBorders>
            <w:vAlign w:val="center"/>
          </w:tcPr>
          <w:p w14:paraId="6916DF9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rsidR="00007225" w14:paraId="78856D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00D14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B68785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112285656</w:t>
            </w:r>
          </w:p>
        </w:tc>
        <w:tc>
          <w:tcPr>
            <w:tcW w:w="750" w:type="pct"/>
            <w:tcBorders>
              <w:top w:val="single" w:sz="4" w:space="0" w:color="auto"/>
              <w:left w:val="single" w:sz="4" w:space="0" w:color="auto"/>
              <w:bottom w:val="single" w:sz="4" w:space="0" w:color="auto"/>
              <w:right w:val="single" w:sz="4" w:space="0" w:color="auto"/>
            </w:tcBorders>
            <w:vAlign w:val="center"/>
          </w:tcPr>
          <w:p w14:paraId="61DC7CC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德意志银行</w:t>
            </w:r>
            <w:r>
              <w:rPr>
                <w:rFonts w:ascii="Times New Roman" w:hAnsi="Times New Roman"/>
                <w:color w:val="000000"/>
                <w:kern w:val="0"/>
                <w:sz w:val="25"/>
                <w:szCs w:val="24"/>
              </w:rPr>
              <w:t>CD008</w:t>
            </w:r>
          </w:p>
        </w:tc>
        <w:tc>
          <w:tcPr>
            <w:tcW w:w="750" w:type="pct"/>
            <w:tcBorders>
              <w:top w:val="single" w:sz="4" w:space="0" w:color="auto"/>
              <w:left w:val="single" w:sz="4" w:space="0" w:color="auto"/>
              <w:bottom w:val="single" w:sz="4" w:space="0" w:color="auto"/>
              <w:right w:val="single" w:sz="4" w:space="0" w:color="auto"/>
            </w:tcBorders>
            <w:vAlign w:val="center"/>
          </w:tcPr>
          <w:p w14:paraId="62AB2DAA"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5C03B10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9,972,333.09</w:t>
            </w:r>
          </w:p>
        </w:tc>
        <w:tc>
          <w:tcPr>
            <w:tcW w:w="750" w:type="pct"/>
            <w:tcBorders>
              <w:top w:val="single" w:sz="4" w:space="0" w:color="auto"/>
              <w:left w:val="single" w:sz="4" w:space="0" w:color="auto"/>
              <w:bottom w:val="single" w:sz="4" w:space="0" w:color="auto"/>
              <w:right w:val="single" w:sz="4" w:space="0" w:color="auto"/>
            </w:tcBorders>
            <w:vAlign w:val="center"/>
          </w:tcPr>
          <w:p w14:paraId="14AAD3A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rsidR="00007225" w14:paraId="4B5E76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C89E8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877697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2204111</w:t>
            </w:r>
          </w:p>
        </w:tc>
        <w:tc>
          <w:tcPr>
            <w:tcW w:w="750" w:type="pct"/>
            <w:tcBorders>
              <w:top w:val="single" w:sz="4" w:space="0" w:color="auto"/>
              <w:left w:val="single" w:sz="4" w:space="0" w:color="auto"/>
              <w:bottom w:val="single" w:sz="4" w:space="0" w:color="auto"/>
              <w:right w:val="single" w:sz="4" w:space="0" w:color="auto"/>
            </w:tcBorders>
            <w:vAlign w:val="center"/>
          </w:tcPr>
          <w:p w14:paraId="1815660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农发贴现</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07F6E65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25EF775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9,967,434.21</w:t>
            </w:r>
          </w:p>
        </w:tc>
        <w:tc>
          <w:tcPr>
            <w:tcW w:w="750" w:type="pct"/>
            <w:tcBorders>
              <w:top w:val="single" w:sz="4" w:space="0" w:color="auto"/>
              <w:left w:val="single" w:sz="4" w:space="0" w:color="auto"/>
              <w:bottom w:val="single" w:sz="4" w:space="0" w:color="auto"/>
              <w:right w:val="single" w:sz="4" w:space="0" w:color="auto"/>
            </w:tcBorders>
            <w:vAlign w:val="center"/>
          </w:tcPr>
          <w:p w14:paraId="6EC309D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rsidR="00007225" w14:paraId="3C22B1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FE42D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125740E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112219371</w:t>
            </w:r>
          </w:p>
        </w:tc>
        <w:tc>
          <w:tcPr>
            <w:tcW w:w="750" w:type="pct"/>
            <w:tcBorders>
              <w:top w:val="single" w:sz="4" w:space="0" w:color="auto"/>
              <w:left w:val="single" w:sz="4" w:space="0" w:color="auto"/>
              <w:bottom w:val="single" w:sz="4" w:space="0" w:color="auto"/>
              <w:right w:val="single" w:sz="4" w:space="0" w:color="auto"/>
            </w:tcBorders>
            <w:vAlign w:val="center"/>
          </w:tcPr>
          <w:p w14:paraId="3862592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恒丰银行</w:t>
            </w:r>
            <w:r>
              <w:rPr>
                <w:rFonts w:ascii="Times New Roman" w:hAnsi="Times New Roman"/>
                <w:color w:val="000000"/>
                <w:kern w:val="0"/>
                <w:sz w:val="25"/>
                <w:szCs w:val="24"/>
              </w:rPr>
              <w:t>CD371</w:t>
            </w:r>
          </w:p>
        </w:tc>
        <w:tc>
          <w:tcPr>
            <w:tcW w:w="750" w:type="pct"/>
            <w:tcBorders>
              <w:top w:val="single" w:sz="4" w:space="0" w:color="auto"/>
              <w:left w:val="single" w:sz="4" w:space="0" w:color="auto"/>
              <w:bottom w:val="single" w:sz="4" w:space="0" w:color="auto"/>
              <w:right w:val="single" w:sz="4" w:space="0" w:color="auto"/>
            </w:tcBorders>
            <w:vAlign w:val="center"/>
          </w:tcPr>
          <w:p w14:paraId="30031F96"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02DF7EF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9,955,175.72</w:t>
            </w:r>
          </w:p>
        </w:tc>
        <w:tc>
          <w:tcPr>
            <w:tcW w:w="750" w:type="pct"/>
            <w:tcBorders>
              <w:top w:val="single" w:sz="4" w:space="0" w:color="auto"/>
              <w:left w:val="single" w:sz="4" w:space="0" w:color="auto"/>
              <w:bottom w:val="single" w:sz="4" w:space="0" w:color="auto"/>
              <w:right w:val="single" w:sz="4" w:space="0" w:color="auto"/>
            </w:tcBorders>
            <w:vAlign w:val="center"/>
          </w:tcPr>
          <w:p w14:paraId="5317339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bl>
    <w:p w14:paraId="19F2DD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“影子定价”与“摊余成本法”确定的基金资产净值的偏离</w:t>
      </w:r>
    </w:p>
    <w:tbl>
      <w:tblPr>
        <w:tblW w:w="5000" w:type="pct"/>
        <w:tblCellMar>
          <w:left w:w="0" w:type="dxa"/>
          <w:right w:w="0" w:type="dxa"/>
        </w:tblCellMar>
        <w:tblLook w:val="0000" w:firstRow="0" w:lastRow="0" w:firstColumn="0" w:lastColumn="0" w:noHBand="0" w:noVBand="0"/>
      </w:tblPr>
      <w:tblGrid>
        <w:gridCol w:w="4325"/>
        <w:gridCol w:w="4325"/>
      </w:tblGrid>
      <w:tr w:rsidR="00007225" w14:paraId="2CF31B9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5231B7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EE1868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偏离情况</w:t>
            </w:r>
          </w:p>
        </w:tc>
      </w:tr>
      <w:tr w:rsidR="00007225" w14:paraId="46AAF3F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57690B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报告期内偏离度的绝对值在</w:t>
            </w:r>
            <w:r>
              <w:rPr>
                <w:rFonts w:ascii="Times New Roman" w:hAnsi="Times New Roman"/>
                <w:color w:val="000000"/>
                <w:kern w:val="0"/>
                <w:sz w:val="25"/>
                <w:szCs w:val="24"/>
              </w:rPr>
              <w:t>0.25</w:t>
            </w:r>
            <w:r>
              <w:rPr>
                <w:rFonts w:ascii="Times New Roman" w:hAnsi="Times New Roman"/>
                <w:color w:val="000000"/>
                <w:kern w:val="0"/>
                <w:sz w:val="25"/>
                <w:szCs w:val="24"/>
              </w:rPr>
              <w:t>（含）</w:t>
            </w:r>
            <w:r>
              <w:rPr>
                <w:rFonts w:ascii="Times New Roman" w:hAnsi="Times New Roman"/>
                <w:color w:val="000000"/>
                <w:kern w:val="0"/>
                <w:sz w:val="25"/>
                <w:szCs w:val="24"/>
              </w:rPr>
              <w:t>-0.5%</w:t>
            </w:r>
            <w:r>
              <w:rPr>
                <w:rFonts w:ascii="Times New Roman" w:hAnsi="Times New Roman"/>
                <w:color w:val="000000"/>
                <w:kern w:val="0"/>
                <w:sz w:val="25"/>
                <w:szCs w:val="24"/>
              </w:rPr>
              <w:t>间的次数</w:t>
            </w:r>
          </w:p>
        </w:tc>
        <w:tc>
          <w:tcPr>
            <w:tcW w:w="750" w:type="pct"/>
            <w:tcBorders>
              <w:top w:val="single" w:sz="4" w:space="0" w:color="auto"/>
              <w:left w:val="single" w:sz="4" w:space="0" w:color="auto"/>
              <w:bottom w:val="single" w:sz="4" w:space="0" w:color="auto"/>
              <w:right w:val="single" w:sz="4" w:space="0" w:color="auto"/>
            </w:tcBorders>
            <w:vAlign w:val="center"/>
          </w:tcPr>
          <w:p w14:paraId="309B08B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0</w:t>
            </w:r>
          </w:p>
        </w:tc>
      </w:tr>
      <w:tr w:rsidR="00007225" w14:paraId="2DA8AA1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75EBC4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报告期内偏离度的最高值</w:t>
            </w:r>
          </w:p>
        </w:tc>
        <w:tc>
          <w:tcPr>
            <w:tcW w:w="750" w:type="pct"/>
            <w:tcBorders>
              <w:top w:val="single" w:sz="4" w:space="0" w:color="auto"/>
              <w:left w:val="single" w:sz="4" w:space="0" w:color="auto"/>
              <w:bottom w:val="single" w:sz="4" w:space="0" w:color="auto"/>
              <w:right w:val="single" w:sz="4" w:space="0" w:color="auto"/>
            </w:tcBorders>
            <w:vAlign w:val="center"/>
          </w:tcPr>
          <w:p w14:paraId="786AA0D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0.0155%</w:t>
            </w:r>
          </w:p>
        </w:tc>
      </w:tr>
      <w:tr w:rsidR="00007225" w14:paraId="6D0F197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A926D3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报告期内偏离度的最低值</w:t>
            </w:r>
          </w:p>
        </w:tc>
        <w:tc>
          <w:tcPr>
            <w:tcW w:w="750" w:type="pct"/>
            <w:tcBorders>
              <w:top w:val="single" w:sz="4" w:space="0" w:color="auto"/>
              <w:left w:val="single" w:sz="4" w:space="0" w:color="auto"/>
              <w:bottom w:val="single" w:sz="4" w:space="0" w:color="auto"/>
              <w:right w:val="single" w:sz="4" w:space="0" w:color="auto"/>
            </w:tcBorders>
            <w:vAlign w:val="center"/>
          </w:tcPr>
          <w:p w14:paraId="1E7441DA"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-0.0236%</w:t>
            </w:r>
          </w:p>
        </w:tc>
      </w:tr>
      <w:tr w:rsidR="00007225" w14:paraId="4B7F36B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751D3A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报告期内每个工作日偏离度的绝对值的简单平均值</w:t>
            </w:r>
          </w:p>
        </w:tc>
        <w:tc>
          <w:tcPr>
            <w:tcW w:w="750" w:type="pct"/>
            <w:tcBorders>
              <w:top w:val="single" w:sz="4" w:space="0" w:color="auto"/>
              <w:left w:val="single" w:sz="4" w:space="0" w:color="auto"/>
              <w:bottom w:val="single" w:sz="4" w:space="0" w:color="auto"/>
              <w:right w:val="single" w:sz="4" w:space="0" w:color="auto"/>
            </w:tcBorders>
            <w:vAlign w:val="center"/>
          </w:tcPr>
          <w:p w14:paraId="1932C36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0.0090%</w:t>
            </w:r>
          </w:p>
        </w:tc>
      </w:tr>
    </w:tbl>
    <w:p w14:paraId="6A63AED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报告期内负偏离度的绝对值达到0.25%情况说明</w:t>
      </w:r>
    </w:p>
    <w:p w14:paraId="0D37B1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CB069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报告期内正偏离度的绝对值达到0.5%情况说明</w:t>
      </w:r>
    </w:p>
    <w:p w14:paraId="06D495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46FB2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w:t>
      </w:r>
      <w:proofErr w:type="gramStart"/>
      <w:r>
        <w:rPr>
          <w:rFonts w:ascii="宋体" w:hAnsi="宋体"/>
          <w:sz w:val="24"/>
        </w:rPr>
        <w:t>按摊余成本</w:t>
      </w:r>
      <w:proofErr w:type="gramEnd"/>
      <w:r>
        <w:rPr>
          <w:rFonts w:ascii="宋体" w:hAnsi="宋体"/>
          <w:sz w:val="24"/>
        </w:rPr>
        <w:t>占基金资产净值比例大小排名的前十名资产支持证券投资明细</w:t>
      </w:r>
    </w:p>
    <w:p w14:paraId="6C0DFD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FB0D5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9、投资组合报告附注</w:t>
      </w:r>
    </w:p>
    <w:p w14:paraId="6E0509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基金计价方法说明</w:t>
      </w:r>
    </w:p>
    <w:p w14:paraId="5241E3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本基金采用摊</w:t>
      </w:r>
      <w:proofErr w:type="gramStart"/>
      <w:r>
        <w:rPr>
          <w:rFonts w:ascii="宋体" w:hAnsi="宋体"/>
          <w:sz w:val="24"/>
        </w:rPr>
        <w:t>余成本</w:t>
      </w:r>
      <w:proofErr w:type="gramEnd"/>
      <w:r>
        <w:rPr>
          <w:rFonts w:ascii="宋体" w:hAnsi="宋体"/>
          <w:sz w:val="24"/>
        </w:rPr>
        <w:t>法计价，即计价对象以买入成本列示，按票面利率或商定利率并考虑其买入时的溢价与折价，在其剩余期限内按照实际利率</w:t>
      </w:r>
      <w:proofErr w:type="gramStart"/>
      <w:r>
        <w:rPr>
          <w:rFonts w:ascii="宋体" w:hAnsi="宋体"/>
          <w:sz w:val="24"/>
        </w:rPr>
        <w:t>和摊余成本</w:t>
      </w:r>
      <w:proofErr w:type="gramEnd"/>
      <w:r>
        <w:rPr>
          <w:rFonts w:ascii="宋体" w:hAnsi="宋体"/>
          <w:sz w:val="24"/>
        </w:rPr>
        <w:t>逐日摊销计算损益。</w:t>
      </w:r>
    </w:p>
    <w:p w14:paraId="44C559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本基金投资的前十名证券的发行主体本期是否出现被监管部门立案调查，或在报告编制日前一年内受到公开谴责、处罚的情形</w:t>
      </w:r>
    </w:p>
    <w:p w14:paraId="620ED7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6E7ADB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2022年5月25日，国家外汇管理局山东省分局公示</w:t>
      </w:r>
      <w:proofErr w:type="gramStart"/>
      <w:r>
        <w:rPr>
          <w:rFonts w:ascii="宋体" w:hAnsi="宋体"/>
          <w:sz w:val="24"/>
        </w:rPr>
        <w:t>鲁汇罚</w:t>
      </w:r>
      <w:proofErr w:type="gramEnd"/>
      <w:r>
        <w:rPr>
          <w:rFonts w:ascii="宋体" w:hAnsi="宋体"/>
          <w:sz w:val="24"/>
        </w:rPr>
        <w:t>〔2022〕5号行政处罚决定书，给予恒丰银行股份有限公司罚款95.39万元人民币罚款的行政处罚。</w:t>
      </w:r>
    </w:p>
    <w:p w14:paraId="7A51DD8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2022年5月16日，央行成都分行公示成银罚字〔2022〕17号行政处罚决定书，给予成都农村商业银行股份有限公司7.5万元人民币罚款的行政处罚。</w:t>
      </w:r>
    </w:p>
    <w:p w14:paraId="31ABF3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w:t>
      </w:r>
      <w:proofErr w:type="gramStart"/>
      <w:r>
        <w:rPr>
          <w:rFonts w:ascii="宋体" w:hAnsi="宋体"/>
          <w:sz w:val="24"/>
        </w:rPr>
        <w:t>仓证券</w:t>
      </w:r>
      <w:proofErr w:type="gramEnd"/>
      <w:r>
        <w:rPr>
          <w:rFonts w:ascii="宋体" w:hAnsi="宋体"/>
          <w:sz w:val="24"/>
        </w:rPr>
        <w:t>的投资有严格的投资决策流程控制，对上述主体发行证券的投资决</w:t>
      </w:r>
      <w:r>
        <w:rPr>
          <w:rFonts w:ascii="宋体" w:hAnsi="宋体"/>
          <w:sz w:val="24"/>
        </w:rPr>
        <w:lastRenderedPageBreak/>
        <w:t>策程序符合公司投资制度的规定。</w:t>
      </w:r>
    </w:p>
    <w:p w14:paraId="2C9D31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256DF8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007225" w14:paraId="15533A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6F1EA2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9B134F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6E4983D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007225" w14:paraId="4278A6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EF7CC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291AC1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0984B0A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E7BBB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9EBEF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A11098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0AA8882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639BB9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C4944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F785F0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77E33CA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325DA8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2DF86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6A0A01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1B29EC5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565,128.31</w:t>
            </w:r>
          </w:p>
        </w:tc>
      </w:tr>
      <w:tr w:rsidR="00007225" w14:paraId="6D98F8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14C0A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D2FEEA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02E3860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576932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91B1A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05833B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22C4151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05D076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C22B1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8FCEB9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09E7345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565,128.31</w:t>
            </w:r>
          </w:p>
        </w:tc>
      </w:tr>
    </w:tbl>
    <w:p w14:paraId="296C63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 投资组合报告附注的其他文字描述部分</w:t>
      </w:r>
    </w:p>
    <w:p w14:paraId="3E2BA1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2ADC9B81"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C467396" w14:textId="77777777" w:rsidR="00007225" w:rsidRDefault="00F07F0D">
      <w:pPr>
        <w:pStyle w:val="1"/>
        <w:snapToGrid w:val="0"/>
        <w:spacing w:beforeLines="0" w:before="240" w:after="240"/>
        <w:rPr>
          <w:rFonts w:ascii="宋体" w:hAnsi="宋体"/>
          <w:szCs w:val="30"/>
        </w:rPr>
      </w:pPr>
      <w:bookmarkStart w:id="15" w:name="_Toc137828438"/>
      <w:r>
        <w:rPr>
          <w:rFonts w:ascii="Times New Roman" w:hAnsi="Times New Roman"/>
          <w:sz w:val="30"/>
        </w:rPr>
        <w:lastRenderedPageBreak/>
        <w:t>十二、基金的业绩</w:t>
      </w:r>
      <w:bookmarkEnd w:id="15"/>
    </w:p>
    <w:p w14:paraId="65CD25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14:paraId="0A254C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53E2E49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（一）基金份额净值收益率及其与同期业绩比较基准收益率的比较</w:t>
      </w:r>
    </w:p>
    <w:tbl>
      <w:tblPr>
        <w:tblW w:w="5000" w:type="pct"/>
        <w:tblCellMar>
          <w:left w:w="0" w:type="dxa"/>
          <w:right w:w="0" w:type="dxa"/>
        </w:tblCellMar>
        <w:tblLook w:val="0000" w:firstRow="0" w:lastRow="0" w:firstColumn="0" w:lastColumn="0" w:noHBand="0" w:noVBand="0"/>
      </w:tblPr>
      <w:tblGrid>
        <w:gridCol w:w="1139"/>
        <w:gridCol w:w="1139"/>
        <w:gridCol w:w="1140"/>
        <w:gridCol w:w="1140"/>
        <w:gridCol w:w="1140"/>
        <w:gridCol w:w="1140"/>
        <w:gridCol w:w="906"/>
        <w:gridCol w:w="906"/>
      </w:tblGrid>
      <w:tr w:rsidR="00007225" w14:paraId="797451C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6931BA"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8A58C7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620B115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5DA51B7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221B441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B0F6E5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6A07ABA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4350450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007225" w14:paraId="5AB92D3A"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7E729A1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级</w:t>
            </w:r>
          </w:p>
        </w:tc>
        <w:tc>
          <w:tcPr>
            <w:tcW w:w="750" w:type="pct"/>
            <w:tcBorders>
              <w:top w:val="single" w:sz="4" w:space="0" w:color="auto"/>
              <w:left w:val="single" w:sz="4" w:space="0" w:color="auto"/>
              <w:bottom w:val="single" w:sz="4" w:space="0" w:color="auto"/>
              <w:right w:val="single" w:sz="4" w:space="0" w:color="auto"/>
            </w:tcBorders>
            <w:vAlign w:val="center"/>
          </w:tcPr>
          <w:p w14:paraId="0D8E007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1BB4407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0.4599%</w:t>
            </w:r>
          </w:p>
        </w:tc>
        <w:tc>
          <w:tcPr>
            <w:tcW w:w="750" w:type="pct"/>
            <w:tcBorders>
              <w:top w:val="single" w:sz="4" w:space="0" w:color="auto"/>
              <w:left w:val="single" w:sz="4" w:space="0" w:color="auto"/>
              <w:bottom w:val="single" w:sz="4" w:space="0" w:color="auto"/>
              <w:right w:val="single" w:sz="4" w:space="0" w:color="auto"/>
            </w:tcBorders>
            <w:vAlign w:val="center"/>
          </w:tcPr>
          <w:p w14:paraId="6D1A561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0.0004%</w:t>
            </w:r>
          </w:p>
        </w:tc>
        <w:tc>
          <w:tcPr>
            <w:tcW w:w="750" w:type="pct"/>
            <w:tcBorders>
              <w:top w:val="single" w:sz="4" w:space="0" w:color="auto"/>
              <w:left w:val="single" w:sz="4" w:space="0" w:color="auto"/>
              <w:bottom w:val="single" w:sz="4" w:space="0" w:color="auto"/>
              <w:right w:val="single" w:sz="4" w:space="0" w:color="auto"/>
            </w:tcBorders>
            <w:vAlign w:val="center"/>
          </w:tcPr>
          <w:p w14:paraId="2665C56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0.3205%</w:t>
            </w:r>
          </w:p>
        </w:tc>
        <w:tc>
          <w:tcPr>
            <w:tcW w:w="750" w:type="pct"/>
            <w:tcBorders>
              <w:top w:val="single" w:sz="4" w:space="0" w:color="auto"/>
              <w:left w:val="single" w:sz="4" w:space="0" w:color="auto"/>
              <w:bottom w:val="single" w:sz="4" w:space="0" w:color="auto"/>
              <w:right w:val="single" w:sz="4" w:space="0" w:color="auto"/>
            </w:tcBorders>
            <w:vAlign w:val="center"/>
          </w:tcPr>
          <w:p w14:paraId="29524BB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55309DA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0.1394%</w:t>
            </w:r>
          </w:p>
        </w:tc>
        <w:tc>
          <w:tcPr>
            <w:tcW w:w="750" w:type="pct"/>
            <w:tcBorders>
              <w:top w:val="single" w:sz="4" w:space="0" w:color="auto"/>
              <w:left w:val="single" w:sz="4" w:space="0" w:color="auto"/>
              <w:bottom w:val="single" w:sz="4" w:space="0" w:color="auto"/>
              <w:right w:val="single" w:sz="4" w:space="0" w:color="auto"/>
            </w:tcBorders>
            <w:vAlign w:val="center"/>
          </w:tcPr>
          <w:p w14:paraId="451BE8A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0.0004%</w:t>
            </w:r>
          </w:p>
        </w:tc>
      </w:tr>
      <w:tr w:rsidR="00007225" w14:paraId="4EC19E4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D08ECC1"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A6F640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E5E52E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1.8415%</w:t>
            </w:r>
          </w:p>
        </w:tc>
        <w:tc>
          <w:tcPr>
            <w:tcW w:w="750" w:type="pct"/>
            <w:tcBorders>
              <w:top w:val="single" w:sz="4" w:space="0" w:color="auto"/>
              <w:left w:val="single" w:sz="4" w:space="0" w:color="auto"/>
              <w:bottom w:val="single" w:sz="4" w:space="0" w:color="auto"/>
              <w:right w:val="single" w:sz="4" w:space="0" w:color="auto"/>
            </w:tcBorders>
            <w:vAlign w:val="center"/>
          </w:tcPr>
          <w:p w14:paraId="539FAF1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14:paraId="300C647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6676E6A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7A7C2C3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0.5415%</w:t>
            </w:r>
          </w:p>
        </w:tc>
        <w:tc>
          <w:tcPr>
            <w:tcW w:w="750" w:type="pct"/>
            <w:tcBorders>
              <w:top w:val="single" w:sz="4" w:space="0" w:color="auto"/>
              <w:left w:val="single" w:sz="4" w:space="0" w:color="auto"/>
              <w:bottom w:val="single" w:sz="4" w:space="0" w:color="auto"/>
              <w:right w:val="single" w:sz="4" w:space="0" w:color="auto"/>
            </w:tcBorders>
            <w:vAlign w:val="center"/>
          </w:tcPr>
          <w:p w14:paraId="08B97B7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007225" w14:paraId="40EB9F5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4E0F548"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52ECAE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F2B1AF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2.0843%</w:t>
            </w:r>
          </w:p>
        </w:tc>
        <w:tc>
          <w:tcPr>
            <w:tcW w:w="750" w:type="pct"/>
            <w:tcBorders>
              <w:top w:val="single" w:sz="4" w:space="0" w:color="auto"/>
              <w:left w:val="single" w:sz="4" w:space="0" w:color="auto"/>
              <w:bottom w:val="single" w:sz="4" w:space="0" w:color="auto"/>
              <w:right w:val="single" w:sz="4" w:space="0" w:color="auto"/>
            </w:tcBorders>
            <w:vAlign w:val="center"/>
          </w:tcPr>
          <w:p w14:paraId="53B588B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c>
          <w:tcPr>
            <w:tcW w:w="750" w:type="pct"/>
            <w:tcBorders>
              <w:top w:val="single" w:sz="4" w:space="0" w:color="auto"/>
              <w:left w:val="single" w:sz="4" w:space="0" w:color="auto"/>
              <w:bottom w:val="single" w:sz="4" w:space="0" w:color="auto"/>
              <w:right w:val="single" w:sz="4" w:space="0" w:color="auto"/>
            </w:tcBorders>
            <w:vAlign w:val="center"/>
          </w:tcPr>
          <w:p w14:paraId="764A7CF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22A806B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23155F6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0.7843%</w:t>
            </w:r>
          </w:p>
        </w:tc>
        <w:tc>
          <w:tcPr>
            <w:tcW w:w="750" w:type="pct"/>
            <w:tcBorders>
              <w:top w:val="single" w:sz="4" w:space="0" w:color="auto"/>
              <w:left w:val="single" w:sz="4" w:space="0" w:color="auto"/>
              <w:bottom w:val="single" w:sz="4" w:space="0" w:color="auto"/>
              <w:right w:val="single" w:sz="4" w:space="0" w:color="auto"/>
            </w:tcBorders>
            <w:vAlign w:val="center"/>
          </w:tcPr>
          <w:p w14:paraId="05F91D7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r>
      <w:tr w:rsidR="00007225" w14:paraId="3AA8D1A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A4DA3C7"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F90DFD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3E7E6B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1.7473%</w:t>
            </w:r>
          </w:p>
        </w:tc>
        <w:tc>
          <w:tcPr>
            <w:tcW w:w="750" w:type="pct"/>
            <w:tcBorders>
              <w:top w:val="single" w:sz="4" w:space="0" w:color="auto"/>
              <w:left w:val="single" w:sz="4" w:space="0" w:color="auto"/>
              <w:bottom w:val="single" w:sz="4" w:space="0" w:color="auto"/>
              <w:right w:val="single" w:sz="4" w:space="0" w:color="auto"/>
            </w:tcBorders>
            <w:vAlign w:val="center"/>
          </w:tcPr>
          <w:p w14:paraId="228AC98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14:paraId="4162322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1.3036%</w:t>
            </w:r>
          </w:p>
        </w:tc>
        <w:tc>
          <w:tcPr>
            <w:tcW w:w="750" w:type="pct"/>
            <w:tcBorders>
              <w:top w:val="single" w:sz="4" w:space="0" w:color="auto"/>
              <w:left w:val="single" w:sz="4" w:space="0" w:color="auto"/>
              <w:bottom w:val="single" w:sz="4" w:space="0" w:color="auto"/>
              <w:right w:val="single" w:sz="4" w:space="0" w:color="auto"/>
            </w:tcBorders>
            <w:vAlign w:val="center"/>
          </w:tcPr>
          <w:p w14:paraId="6F2B1AD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3B2BDE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0.4437%</w:t>
            </w:r>
          </w:p>
        </w:tc>
        <w:tc>
          <w:tcPr>
            <w:tcW w:w="750" w:type="pct"/>
            <w:tcBorders>
              <w:top w:val="single" w:sz="4" w:space="0" w:color="auto"/>
              <w:left w:val="single" w:sz="4" w:space="0" w:color="auto"/>
              <w:bottom w:val="single" w:sz="4" w:space="0" w:color="auto"/>
              <w:right w:val="single" w:sz="4" w:space="0" w:color="auto"/>
            </w:tcBorders>
            <w:vAlign w:val="center"/>
          </w:tcPr>
          <w:p w14:paraId="5B2BCEC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007225" w14:paraId="36C003F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97EFACE"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768B19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670BD8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2.1564%</w:t>
            </w:r>
          </w:p>
        </w:tc>
        <w:tc>
          <w:tcPr>
            <w:tcW w:w="750" w:type="pct"/>
            <w:tcBorders>
              <w:top w:val="single" w:sz="4" w:space="0" w:color="auto"/>
              <w:left w:val="single" w:sz="4" w:space="0" w:color="auto"/>
              <w:bottom w:val="single" w:sz="4" w:space="0" w:color="auto"/>
              <w:right w:val="single" w:sz="4" w:space="0" w:color="auto"/>
            </w:tcBorders>
            <w:vAlign w:val="center"/>
          </w:tcPr>
          <w:p w14:paraId="4E2494B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6C6985F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274661D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5224B65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0.8564%</w:t>
            </w:r>
          </w:p>
        </w:tc>
        <w:tc>
          <w:tcPr>
            <w:tcW w:w="750" w:type="pct"/>
            <w:tcBorders>
              <w:top w:val="single" w:sz="4" w:space="0" w:color="auto"/>
              <w:left w:val="single" w:sz="4" w:space="0" w:color="auto"/>
              <w:bottom w:val="single" w:sz="4" w:space="0" w:color="auto"/>
              <w:right w:val="single" w:sz="4" w:space="0" w:color="auto"/>
            </w:tcBorders>
            <w:vAlign w:val="center"/>
          </w:tcPr>
          <w:p w14:paraId="6574391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r>
      <w:tr w:rsidR="00007225" w14:paraId="3EA4DB0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F662E24"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E05197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4AF6E0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2.9844%</w:t>
            </w:r>
          </w:p>
        </w:tc>
        <w:tc>
          <w:tcPr>
            <w:tcW w:w="750" w:type="pct"/>
            <w:tcBorders>
              <w:top w:val="single" w:sz="4" w:space="0" w:color="auto"/>
              <w:left w:val="single" w:sz="4" w:space="0" w:color="auto"/>
              <w:bottom w:val="single" w:sz="4" w:space="0" w:color="auto"/>
              <w:right w:val="single" w:sz="4" w:space="0" w:color="auto"/>
            </w:tcBorders>
            <w:vAlign w:val="center"/>
          </w:tcPr>
          <w:p w14:paraId="091C12E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c>
          <w:tcPr>
            <w:tcW w:w="750" w:type="pct"/>
            <w:tcBorders>
              <w:top w:val="single" w:sz="4" w:space="0" w:color="auto"/>
              <w:left w:val="single" w:sz="4" w:space="0" w:color="auto"/>
              <w:bottom w:val="single" w:sz="4" w:space="0" w:color="auto"/>
              <w:right w:val="single" w:sz="4" w:space="0" w:color="auto"/>
            </w:tcBorders>
            <w:vAlign w:val="center"/>
          </w:tcPr>
          <w:p w14:paraId="150DE92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51B76B9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4A67C1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1.6844%</w:t>
            </w:r>
          </w:p>
        </w:tc>
        <w:tc>
          <w:tcPr>
            <w:tcW w:w="750" w:type="pct"/>
            <w:tcBorders>
              <w:top w:val="single" w:sz="4" w:space="0" w:color="auto"/>
              <w:left w:val="single" w:sz="4" w:space="0" w:color="auto"/>
              <w:bottom w:val="single" w:sz="4" w:space="0" w:color="auto"/>
              <w:right w:val="single" w:sz="4" w:space="0" w:color="auto"/>
            </w:tcBorders>
            <w:vAlign w:val="center"/>
          </w:tcPr>
          <w:p w14:paraId="01F211E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r>
      <w:tr w:rsidR="00007225" w14:paraId="2F8969E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574544C"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AD2B88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FE19D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3.3324%</w:t>
            </w:r>
          </w:p>
        </w:tc>
        <w:tc>
          <w:tcPr>
            <w:tcW w:w="750" w:type="pct"/>
            <w:tcBorders>
              <w:top w:val="single" w:sz="4" w:space="0" w:color="auto"/>
              <w:left w:val="single" w:sz="4" w:space="0" w:color="auto"/>
              <w:bottom w:val="single" w:sz="4" w:space="0" w:color="auto"/>
              <w:right w:val="single" w:sz="4" w:space="0" w:color="auto"/>
            </w:tcBorders>
            <w:vAlign w:val="center"/>
          </w:tcPr>
          <w:p w14:paraId="1F321E4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c>
          <w:tcPr>
            <w:tcW w:w="750" w:type="pct"/>
            <w:tcBorders>
              <w:top w:val="single" w:sz="4" w:space="0" w:color="auto"/>
              <w:left w:val="single" w:sz="4" w:space="0" w:color="auto"/>
              <w:bottom w:val="single" w:sz="4" w:space="0" w:color="auto"/>
              <w:right w:val="single" w:sz="4" w:space="0" w:color="auto"/>
            </w:tcBorders>
            <w:vAlign w:val="center"/>
          </w:tcPr>
          <w:p w14:paraId="60BF729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2B9BCF9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1376B6C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2.0324%</w:t>
            </w:r>
          </w:p>
        </w:tc>
        <w:tc>
          <w:tcPr>
            <w:tcW w:w="750" w:type="pct"/>
            <w:tcBorders>
              <w:top w:val="single" w:sz="4" w:space="0" w:color="auto"/>
              <w:left w:val="single" w:sz="4" w:space="0" w:color="auto"/>
              <w:bottom w:val="single" w:sz="4" w:space="0" w:color="auto"/>
              <w:right w:val="single" w:sz="4" w:space="0" w:color="auto"/>
            </w:tcBorders>
            <w:vAlign w:val="center"/>
          </w:tcPr>
          <w:p w14:paraId="4C4FE17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r>
      <w:tr w:rsidR="00007225" w14:paraId="20C29FA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5B063F6"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AF7B22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B7B521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2.4728%</w:t>
            </w:r>
          </w:p>
        </w:tc>
        <w:tc>
          <w:tcPr>
            <w:tcW w:w="750" w:type="pct"/>
            <w:tcBorders>
              <w:top w:val="single" w:sz="4" w:space="0" w:color="auto"/>
              <w:left w:val="single" w:sz="4" w:space="0" w:color="auto"/>
              <w:bottom w:val="single" w:sz="4" w:space="0" w:color="auto"/>
              <w:right w:val="single" w:sz="4" w:space="0" w:color="auto"/>
            </w:tcBorders>
            <w:vAlign w:val="center"/>
          </w:tcPr>
          <w:p w14:paraId="350861B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0.0015%</w:t>
            </w:r>
          </w:p>
        </w:tc>
        <w:tc>
          <w:tcPr>
            <w:tcW w:w="750" w:type="pct"/>
            <w:tcBorders>
              <w:top w:val="single" w:sz="4" w:space="0" w:color="auto"/>
              <w:left w:val="single" w:sz="4" w:space="0" w:color="auto"/>
              <w:bottom w:val="single" w:sz="4" w:space="0" w:color="auto"/>
              <w:right w:val="single" w:sz="4" w:space="0" w:color="auto"/>
            </w:tcBorders>
            <w:vAlign w:val="center"/>
          </w:tcPr>
          <w:p w14:paraId="1D98A56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1.3036%</w:t>
            </w:r>
          </w:p>
        </w:tc>
        <w:tc>
          <w:tcPr>
            <w:tcW w:w="750" w:type="pct"/>
            <w:tcBorders>
              <w:top w:val="single" w:sz="4" w:space="0" w:color="auto"/>
              <w:left w:val="single" w:sz="4" w:space="0" w:color="auto"/>
              <w:bottom w:val="single" w:sz="4" w:space="0" w:color="auto"/>
              <w:right w:val="single" w:sz="4" w:space="0" w:color="auto"/>
            </w:tcBorders>
            <w:vAlign w:val="center"/>
          </w:tcPr>
          <w:p w14:paraId="040D718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12C9021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1.1692%</w:t>
            </w:r>
          </w:p>
        </w:tc>
        <w:tc>
          <w:tcPr>
            <w:tcW w:w="750" w:type="pct"/>
            <w:tcBorders>
              <w:top w:val="single" w:sz="4" w:space="0" w:color="auto"/>
              <w:left w:val="single" w:sz="4" w:space="0" w:color="auto"/>
              <w:bottom w:val="single" w:sz="4" w:space="0" w:color="auto"/>
              <w:right w:val="single" w:sz="4" w:space="0" w:color="auto"/>
            </w:tcBorders>
            <w:vAlign w:val="center"/>
          </w:tcPr>
          <w:p w14:paraId="4462E39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0.0015%</w:t>
            </w:r>
          </w:p>
        </w:tc>
      </w:tr>
      <w:tr w:rsidR="00007225" w14:paraId="64BE87D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5749F0A"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60631C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6AF7AE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3.1470%</w:t>
            </w:r>
          </w:p>
        </w:tc>
        <w:tc>
          <w:tcPr>
            <w:tcW w:w="750" w:type="pct"/>
            <w:tcBorders>
              <w:top w:val="single" w:sz="4" w:space="0" w:color="auto"/>
              <w:left w:val="single" w:sz="4" w:space="0" w:color="auto"/>
              <w:bottom w:val="single" w:sz="4" w:space="0" w:color="auto"/>
              <w:right w:val="single" w:sz="4" w:space="0" w:color="auto"/>
            </w:tcBorders>
            <w:vAlign w:val="center"/>
          </w:tcPr>
          <w:p w14:paraId="450AB5D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0.0045%</w:t>
            </w:r>
          </w:p>
        </w:tc>
        <w:tc>
          <w:tcPr>
            <w:tcW w:w="750" w:type="pct"/>
            <w:tcBorders>
              <w:top w:val="single" w:sz="4" w:space="0" w:color="auto"/>
              <w:left w:val="single" w:sz="4" w:space="0" w:color="auto"/>
              <w:bottom w:val="single" w:sz="4" w:space="0" w:color="auto"/>
              <w:right w:val="single" w:sz="4" w:space="0" w:color="auto"/>
            </w:tcBorders>
            <w:vAlign w:val="center"/>
          </w:tcPr>
          <w:p w14:paraId="46EE4BA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1.9164%</w:t>
            </w:r>
          </w:p>
        </w:tc>
        <w:tc>
          <w:tcPr>
            <w:tcW w:w="750" w:type="pct"/>
            <w:tcBorders>
              <w:top w:val="single" w:sz="4" w:space="0" w:color="auto"/>
              <w:left w:val="single" w:sz="4" w:space="0" w:color="auto"/>
              <w:bottom w:val="single" w:sz="4" w:space="0" w:color="auto"/>
              <w:right w:val="single" w:sz="4" w:space="0" w:color="auto"/>
            </w:tcBorders>
            <w:vAlign w:val="center"/>
          </w:tcPr>
          <w:p w14:paraId="3ED8092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0.0012%</w:t>
            </w:r>
          </w:p>
        </w:tc>
        <w:tc>
          <w:tcPr>
            <w:tcW w:w="750" w:type="pct"/>
            <w:tcBorders>
              <w:top w:val="single" w:sz="4" w:space="0" w:color="auto"/>
              <w:left w:val="single" w:sz="4" w:space="0" w:color="auto"/>
              <w:bottom w:val="single" w:sz="4" w:space="0" w:color="auto"/>
              <w:right w:val="single" w:sz="4" w:space="0" w:color="auto"/>
            </w:tcBorders>
            <w:vAlign w:val="center"/>
          </w:tcPr>
          <w:p w14:paraId="00E3D05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1.2306%</w:t>
            </w:r>
          </w:p>
        </w:tc>
        <w:tc>
          <w:tcPr>
            <w:tcW w:w="750" w:type="pct"/>
            <w:tcBorders>
              <w:top w:val="single" w:sz="4" w:space="0" w:color="auto"/>
              <w:left w:val="single" w:sz="4" w:space="0" w:color="auto"/>
              <w:bottom w:val="single" w:sz="4" w:space="0" w:color="auto"/>
              <w:right w:val="single" w:sz="4" w:space="0" w:color="auto"/>
            </w:tcBorders>
            <w:vAlign w:val="center"/>
          </w:tcPr>
          <w:p w14:paraId="3EBC9C2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0.0033%</w:t>
            </w:r>
          </w:p>
        </w:tc>
      </w:tr>
      <w:tr w:rsidR="00007225" w14:paraId="45E4AAB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C6F0179"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998772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91F876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4.4725%</w:t>
            </w:r>
          </w:p>
        </w:tc>
        <w:tc>
          <w:tcPr>
            <w:tcW w:w="750" w:type="pct"/>
            <w:tcBorders>
              <w:top w:val="single" w:sz="4" w:space="0" w:color="auto"/>
              <w:left w:val="single" w:sz="4" w:space="0" w:color="auto"/>
              <w:bottom w:val="single" w:sz="4" w:space="0" w:color="auto"/>
              <w:right w:val="single" w:sz="4" w:space="0" w:color="auto"/>
            </w:tcBorders>
            <w:vAlign w:val="center"/>
          </w:tcPr>
          <w:p w14:paraId="499A66C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0.0055%</w:t>
            </w:r>
          </w:p>
        </w:tc>
        <w:tc>
          <w:tcPr>
            <w:tcW w:w="750" w:type="pct"/>
            <w:tcBorders>
              <w:top w:val="single" w:sz="4" w:space="0" w:color="auto"/>
              <w:left w:val="single" w:sz="4" w:space="0" w:color="auto"/>
              <w:bottom w:val="single" w:sz="4" w:space="0" w:color="auto"/>
              <w:right w:val="single" w:sz="4" w:space="0" w:color="auto"/>
            </w:tcBorders>
            <w:vAlign w:val="center"/>
          </w:tcPr>
          <w:p w14:paraId="436539D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2.7726%</w:t>
            </w:r>
          </w:p>
        </w:tc>
        <w:tc>
          <w:tcPr>
            <w:tcW w:w="750" w:type="pct"/>
            <w:tcBorders>
              <w:top w:val="single" w:sz="4" w:space="0" w:color="auto"/>
              <w:left w:val="single" w:sz="4" w:space="0" w:color="auto"/>
              <w:bottom w:val="single" w:sz="4" w:space="0" w:color="auto"/>
              <w:right w:val="single" w:sz="4" w:space="0" w:color="auto"/>
            </w:tcBorders>
            <w:vAlign w:val="center"/>
          </w:tcPr>
          <w:p w14:paraId="1D69596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0.0002%</w:t>
            </w:r>
          </w:p>
        </w:tc>
        <w:tc>
          <w:tcPr>
            <w:tcW w:w="750" w:type="pct"/>
            <w:tcBorders>
              <w:top w:val="single" w:sz="4" w:space="0" w:color="auto"/>
              <w:left w:val="single" w:sz="4" w:space="0" w:color="auto"/>
              <w:bottom w:val="single" w:sz="4" w:space="0" w:color="auto"/>
              <w:right w:val="single" w:sz="4" w:space="0" w:color="auto"/>
            </w:tcBorders>
            <w:vAlign w:val="center"/>
          </w:tcPr>
          <w:p w14:paraId="6D98A6C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1.6999%</w:t>
            </w:r>
          </w:p>
        </w:tc>
        <w:tc>
          <w:tcPr>
            <w:tcW w:w="750" w:type="pct"/>
            <w:tcBorders>
              <w:top w:val="single" w:sz="4" w:space="0" w:color="auto"/>
              <w:left w:val="single" w:sz="4" w:space="0" w:color="auto"/>
              <w:bottom w:val="single" w:sz="4" w:space="0" w:color="auto"/>
              <w:right w:val="single" w:sz="4" w:space="0" w:color="auto"/>
            </w:tcBorders>
            <w:vAlign w:val="center"/>
          </w:tcPr>
          <w:p w14:paraId="1442132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0.0053%</w:t>
            </w:r>
          </w:p>
        </w:tc>
      </w:tr>
      <w:tr w:rsidR="00007225" w14:paraId="756E030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076CEA7"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8E2CD2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FE483E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3.5646%</w:t>
            </w:r>
          </w:p>
        </w:tc>
        <w:tc>
          <w:tcPr>
            <w:tcW w:w="750" w:type="pct"/>
            <w:tcBorders>
              <w:top w:val="single" w:sz="4" w:space="0" w:color="auto"/>
              <w:left w:val="single" w:sz="4" w:space="0" w:color="auto"/>
              <w:bottom w:val="single" w:sz="4" w:space="0" w:color="auto"/>
              <w:right w:val="single" w:sz="4" w:space="0" w:color="auto"/>
            </w:tcBorders>
            <w:vAlign w:val="center"/>
          </w:tcPr>
          <w:p w14:paraId="0CA59DC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0.0034%</w:t>
            </w:r>
          </w:p>
        </w:tc>
        <w:tc>
          <w:tcPr>
            <w:tcW w:w="750" w:type="pct"/>
            <w:tcBorders>
              <w:top w:val="single" w:sz="4" w:space="0" w:color="auto"/>
              <w:left w:val="single" w:sz="4" w:space="0" w:color="auto"/>
              <w:bottom w:val="single" w:sz="4" w:space="0" w:color="auto"/>
              <w:right w:val="single" w:sz="4" w:space="0" w:color="auto"/>
            </w:tcBorders>
            <w:vAlign w:val="center"/>
          </w:tcPr>
          <w:p w14:paraId="48A3634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2.8000%</w:t>
            </w:r>
          </w:p>
        </w:tc>
        <w:tc>
          <w:tcPr>
            <w:tcW w:w="750" w:type="pct"/>
            <w:tcBorders>
              <w:top w:val="single" w:sz="4" w:space="0" w:color="auto"/>
              <w:left w:val="single" w:sz="4" w:space="0" w:color="auto"/>
              <w:bottom w:val="single" w:sz="4" w:space="0" w:color="auto"/>
              <w:right w:val="single" w:sz="4" w:space="0" w:color="auto"/>
            </w:tcBorders>
            <w:vAlign w:val="center"/>
          </w:tcPr>
          <w:p w14:paraId="3F23FE7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2E6287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0.7646%</w:t>
            </w:r>
          </w:p>
        </w:tc>
        <w:tc>
          <w:tcPr>
            <w:tcW w:w="750" w:type="pct"/>
            <w:tcBorders>
              <w:top w:val="single" w:sz="4" w:space="0" w:color="auto"/>
              <w:left w:val="single" w:sz="4" w:space="0" w:color="auto"/>
              <w:bottom w:val="single" w:sz="4" w:space="0" w:color="auto"/>
              <w:right w:val="single" w:sz="4" w:space="0" w:color="auto"/>
            </w:tcBorders>
            <w:vAlign w:val="center"/>
          </w:tcPr>
          <w:p w14:paraId="32AB6C7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0.0034%</w:t>
            </w:r>
          </w:p>
        </w:tc>
      </w:tr>
      <w:tr w:rsidR="00007225" w14:paraId="7549F50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876000D"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1ECBFA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282183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3.7384%</w:t>
            </w:r>
          </w:p>
        </w:tc>
        <w:tc>
          <w:tcPr>
            <w:tcW w:w="750" w:type="pct"/>
            <w:tcBorders>
              <w:top w:val="single" w:sz="4" w:space="0" w:color="auto"/>
              <w:left w:val="single" w:sz="4" w:space="0" w:color="auto"/>
              <w:bottom w:val="single" w:sz="4" w:space="0" w:color="auto"/>
              <w:right w:val="single" w:sz="4" w:space="0" w:color="auto"/>
            </w:tcBorders>
            <w:vAlign w:val="center"/>
          </w:tcPr>
          <w:p w14:paraId="03E854C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0.0030%</w:t>
            </w:r>
          </w:p>
        </w:tc>
        <w:tc>
          <w:tcPr>
            <w:tcW w:w="750" w:type="pct"/>
            <w:tcBorders>
              <w:top w:val="single" w:sz="4" w:space="0" w:color="auto"/>
              <w:left w:val="single" w:sz="4" w:space="0" w:color="auto"/>
              <w:bottom w:val="single" w:sz="4" w:space="0" w:color="auto"/>
              <w:right w:val="single" w:sz="4" w:space="0" w:color="auto"/>
            </w:tcBorders>
            <w:vAlign w:val="center"/>
          </w:tcPr>
          <w:p w14:paraId="0307EE8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3.0447%</w:t>
            </w:r>
          </w:p>
        </w:tc>
        <w:tc>
          <w:tcPr>
            <w:tcW w:w="750" w:type="pct"/>
            <w:tcBorders>
              <w:top w:val="single" w:sz="4" w:space="0" w:color="auto"/>
              <w:left w:val="single" w:sz="4" w:space="0" w:color="auto"/>
              <w:bottom w:val="single" w:sz="4" w:space="0" w:color="auto"/>
              <w:right w:val="single" w:sz="4" w:space="0" w:color="auto"/>
            </w:tcBorders>
            <w:vAlign w:val="center"/>
          </w:tcPr>
          <w:p w14:paraId="6257051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3F6B1ED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0.6937%</w:t>
            </w:r>
          </w:p>
        </w:tc>
        <w:tc>
          <w:tcPr>
            <w:tcW w:w="750" w:type="pct"/>
            <w:tcBorders>
              <w:top w:val="single" w:sz="4" w:space="0" w:color="auto"/>
              <w:left w:val="single" w:sz="4" w:space="0" w:color="auto"/>
              <w:bottom w:val="single" w:sz="4" w:space="0" w:color="auto"/>
              <w:right w:val="single" w:sz="4" w:space="0" w:color="auto"/>
            </w:tcBorders>
            <w:vAlign w:val="center"/>
          </w:tcPr>
          <w:p w14:paraId="0B8B2CF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0.0023%</w:t>
            </w:r>
          </w:p>
        </w:tc>
      </w:tr>
      <w:tr w:rsidR="00007225" w14:paraId="73605FB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149BE79"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51CF2F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2A19A6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3.2554%</w:t>
            </w:r>
          </w:p>
        </w:tc>
        <w:tc>
          <w:tcPr>
            <w:tcW w:w="750" w:type="pct"/>
            <w:tcBorders>
              <w:top w:val="single" w:sz="4" w:space="0" w:color="auto"/>
              <w:left w:val="single" w:sz="4" w:space="0" w:color="auto"/>
              <w:bottom w:val="single" w:sz="4" w:space="0" w:color="auto"/>
              <w:right w:val="single" w:sz="4" w:space="0" w:color="auto"/>
            </w:tcBorders>
            <w:vAlign w:val="center"/>
          </w:tcPr>
          <w:p w14:paraId="3CACABB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0.0036%</w:t>
            </w:r>
          </w:p>
        </w:tc>
        <w:tc>
          <w:tcPr>
            <w:tcW w:w="750" w:type="pct"/>
            <w:tcBorders>
              <w:top w:val="single" w:sz="4" w:space="0" w:color="auto"/>
              <w:left w:val="single" w:sz="4" w:space="0" w:color="auto"/>
              <w:bottom w:val="single" w:sz="4" w:space="0" w:color="auto"/>
              <w:right w:val="single" w:sz="4" w:space="0" w:color="auto"/>
            </w:tcBorders>
            <w:vAlign w:val="center"/>
          </w:tcPr>
          <w:p w14:paraId="47439C8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3.0748%</w:t>
            </w:r>
          </w:p>
        </w:tc>
        <w:tc>
          <w:tcPr>
            <w:tcW w:w="750" w:type="pct"/>
            <w:tcBorders>
              <w:top w:val="single" w:sz="4" w:space="0" w:color="auto"/>
              <w:left w:val="single" w:sz="4" w:space="0" w:color="auto"/>
              <w:bottom w:val="single" w:sz="4" w:space="0" w:color="auto"/>
              <w:right w:val="single" w:sz="4" w:space="0" w:color="auto"/>
            </w:tcBorders>
            <w:vAlign w:val="center"/>
          </w:tcPr>
          <w:p w14:paraId="07D8270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0A5F194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0.1806%</w:t>
            </w:r>
          </w:p>
        </w:tc>
        <w:tc>
          <w:tcPr>
            <w:tcW w:w="750" w:type="pct"/>
            <w:tcBorders>
              <w:top w:val="single" w:sz="4" w:space="0" w:color="auto"/>
              <w:left w:val="single" w:sz="4" w:space="0" w:color="auto"/>
              <w:bottom w:val="single" w:sz="4" w:space="0" w:color="auto"/>
              <w:right w:val="single" w:sz="4" w:space="0" w:color="auto"/>
            </w:tcBorders>
            <w:vAlign w:val="center"/>
          </w:tcPr>
          <w:p w14:paraId="7D59A6C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0.0029%</w:t>
            </w:r>
          </w:p>
        </w:tc>
      </w:tr>
      <w:tr w:rsidR="00007225" w14:paraId="7D924B1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3458CBB"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E34CF4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AFFCAF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1.5968%</w:t>
            </w:r>
          </w:p>
        </w:tc>
        <w:tc>
          <w:tcPr>
            <w:tcW w:w="750" w:type="pct"/>
            <w:tcBorders>
              <w:top w:val="single" w:sz="4" w:space="0" w:color="auto"/>
              <w:left w:val="single" w:sz="4" w:space="0" w:color="auto"/>
              <w:bottom w:val="single" w:sz="4" w:space="0" w:color="auto"/>
              <w:right w:val="single" w:sz="4" w:space="0" w:color="auto"/>
            </w:tcBorders>
            <w:vAlign w:val="center"/>
          </w:tcPr>
          <w:p w14:paraId="021AB4E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0.0023%</w:t>
            </w:r>
          </w:p>
        </w:tc>
        <w:tc>
          <w:tcPr>
            <w:tcW w:w="750" w:type="pct"/>
            <w:tcBorders>
              <w:top w:val="single" w:sz="4" w:space="0" w:color="auto"/>
              <w:left w:val="single" w:sz="4" w:space="0" w:color="auto"/>
              <w:bottom w:val="single" w:sz="4" w:space="0" w:color="auto"/>
              <w:right w:val="single" w:sz="4" w:space="0" w:color="auto"/>
            </w:tcBorders>
            <w:vAlign w:val="center"/>
          </w:tcPr>
          <w:p w14:paraId="559B0B3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2.0289%</w:t>
            </w:r>
          </w:p>
        </w:tc>
        <w:tc>
          <w:tcPr>
            <w:tcW w:w="750" w:type="pct"/>
            <w:tcBorders>
              <w:top w:val="single" w:sz="4" w:space="0" w:color="auto"/>
              <w:left w:val="single" w:sz="4" w:space="0" w:color="auto"/>
              <w:bottom w:val="single" w:sz="4" w:space="0" w:color="auto"/>
              <w:right w:val="single" w:sz="4" w:space="0" w:color="auto"/>
            </w:tcBorders>
            <w:vAlign w:val="center"/>
          </w:tcPr>
          <w:p w14:paraId="3809014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0.0003%</w:t>
            </w:r>
          </w:p>
        </w:tc>
        <w:tc>
          <w:tcPr>
            <w:tcW w:w="750" w:type="pct"/>
            <w:tcBorders>
              <w:top w:val="single" w:sz="4" w:space="0" w:color="auto"/>
              <w:left w:val="single" w:sz="4" w:space="0" w:color="auto"/>
              <w:bottom w:val="single" w:sz="4" w:space="0" w:color="auto"/>
              <w:right w:val="single" w:sz="4" w:space="0" w:color="auto"/>
            </w:tcBorders>
            <w:vAlign w:val="center"/>
          </w:tcPr>
          <w:p w14:paraId="4C833DF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-0.4321%</w:t>
            </w:r>
          </w:p>
        </w:tc>
        <w:tc>
          <w:tcPr>
            <w:tcW w:w="750" w:type="pct"/>
            <w:tcBorders>
              <w:top w:val="single" w:sz="4" w:space="0" w:color="auto"/>
              <w:left w:val="single" w:sz="4" w:space="0" w:color="auto"/>
              <w:bottom w:val="single" w:sz="4" w:space="0" w:color="auto"/>
              <w:right w:val="single" w:sz="4" w:space="0" w:color="auto"/>
            </w:tcBorders>
            <w:vAlign w:val="center"/>
          </w:tcPr>
          <w:p w14:paraId="61EDDF0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r>
      <w:tr w:rsidR="00007225" w14:paraId="3C731F7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0577DA1"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77B866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8DFA2B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1.3396%</w:t>
            </w:r>
          </w:p>
        </w:tc>
        <w:tc>
          <w:tcPr>
            <w:tcW w:w="750" w:type="pct"/>
            <w:tcBorders>
              <w:top w:val="single" w:sz="4" w:space="0" w:color="auto"/>
              <w:left w:val="single" w:sz="4" w:space="0" w:color="auto"/>
              <w:bottom w:val="single" w:sz="4" w:space="0" w:color="auto"/>
              <w:right w:val="single" w:sz="4" w:space="0" w:color="auto"/>
            </w:tcBorders>
            <w:vAlign w:val="center"/>
          </w:tcPr>
          <w:p w14:paraId="0673028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0.0049%</w:t>
            </w:r>
          </w:p>
        </w:tc>
        <w:tc>
          <w:tcPr>
            <w:tcW w:w="750" w:type="pct"/>
            <w:tcBorders>
              <w:top w:val="single" w:sz="4" w:space="0" w:color="auto"/>
              <w:left w:val="single" w:sz="4" w:space="0" w:color="auto"/>
              <w:bottom w:val="single" w:sz="4" w:space="0" w:color="auto"/>
              <w:right w:val="single" w:sz="4" w:space="0" w:color="auto"/>
            </w:tcBorders>
            <w:vAlign w:val="center"/>
          </w:tcPr>
          <w:p w14:paraId="0534D50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1.9800%</w:t>
            </w:r>
          </w:p>
        </w:tc>
        <w:tc>
          <w:tcPr>
            <w:tcW w:w="750" w:type="pct"/>
            <w:tcBorders>
              <w:top w:val="single" w:sz="4" w:space="0" w:color="auto"/>
              <w:left w:val="single" w:sz="4" w:space="0" w:color="auto"/>
              <w:bottom w:val="single" w:sz="4" w:space="0" w:color="auto"/>
              <w:right w:val="single" w:sz="4" w:space="0" w:color="auto"/>
            </w:tcBorders>
            <w:vAlign w:val="center"/>
          </w:tcPr>
          <w:p w14:paraId="56DD3B2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033C15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-0.6404%</w:t>
            </w:r>
          </w:p>
        </w:tc>
        <w:tc>
          <w:tcPr>
            <w:tcW w:w="750" w:type="pct"/>
            <w:tcBorders>
              <w:top w:val="single" w:sz="4" w:space="0" w:color="auto"/>
              <w:left w:val="single" w:sz="4" w:space="0" w:color="auto"/>
              <w:bottom w:val="single" w:sz="4" w:space="0" w:color="auto"/>
              <w:right w:val="single" w:sz="4" w:space="0" w:color="auto"/>
            </w:tcBorders>
            <w:vAlign w:val="center"/>
          </w:tcPr>
          <w:p w14:paraId="5C8D86A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0.0049%</w:t>
            </w:r>
          </w:p>
        </w:tc>
      </w:tr>
      <w:tr w:rsidR="00007225" w14:paraId="781D922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78AF0F3"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84A502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5F1B2A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3.3151%</w:t>
            </w:r>
          </w:p>
        </w:tc>
        <w:tc>
          <w:tcPr>
            <w:tcW w:w="750" w:type="pct"/>
            <w:tcBorders>
              <w:top w:val="single" w:sz="4" w:space="0" w:color="auto"/>
              <w:left w:val="single" w:sz="4" w:space="0" w:color="auto"/>
              <w:bottom w:val="single" w:sz="4" w:space="0" w:color="auto"/>
              <w:right w:val="single" w:sz="4" w:space="0" w:color="auto"/>
            </w:tcBorders>
            <w:vAlign w:val="center"/>
          </w:tcPr>
          <w:p w14:paraId="545F52E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0.0083%</w:t>
            </w:r>
          </w:p>
        </w:tc>
        <w:tc>
          <w:tcPr>
            <w:tcW w:w="750" w:type="pct"/>
            <w:tcBorders>
              <w:top w:val="single" w:sz="4" w:space="0" w:color="auto"/>
              <w:left w:val="single" w:sz="4" w:space="0" w:color="auto"/>
              <w:bottom w:val="single" w:sz="4" w:space="0" w:color="auto"/>
              <w:right w:val="single" w:sz="4" w:space="0" w:color="auto"/>
            </w:tcBorders>
            <w:vAlign w:val="center"/>
          </w:tcPr>
          <w:p w14:paraId="67FC8EE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3.4340%</w:t>
            </w:r>
          </w:p>
        </w:tc>
        <w:tc>
          <w:tcPr>
            <w:tcW w:w="750" w:type="pct"/>
            <w:tcBorders>
              <w:top w:val="single" w:sz="4" w:space="0" w:color="auto"/>
              <w:left w:val="single" w:sz="4" w:space="0" w:color="auto"/>
              <w:bottom w:val="single" w:sz="4" w:space="0" w:color="auto"/>
              <w:right w:val="single" w:sz="4" w:space="0" w:color="auto"/>
            </w:tcBorders>
            <w:vAlign w:val="center"/>
          </w:tcPr>
          <w:p w14:paraId="5F043BF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0.0011%</w:t>
            </w:r>
          </w:p>
        </w:tc>
        <w:tc>
          <w:tcPr>
            <w:tcW w:w="750" w:type="pct"/>
            <w:tcBorders>
              <w:top w:val="single" w:sz="4" w:space="0" w:color="auto"/>
              <w:left w:val="single" w:sz="4" w:space="0" w:color="auto"/>
              <w:bottom w:val="single" w:sz="4" w:space="0" w:color="auto"/>
              <w:right w:val="single" w:sz="4" w:space="0" w:color="auto"/>
            </w:tcBorders>
            <w:vAlign w:val="center"/>
          </w:tcPr>
          <w:p w14:paraId="407C739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-0.1189%</w:t>
            </w:r>
          </w:p>
        </w:tc>
        <w:tc>
          <w:tcPr>
            <w:tcW w:w="750" w:type="pct"/>
            <w:tcBorders>
              <w:top w:val="single" w:sz="4" w:space="0" w:color="auto"/>
              <w:left w:val="single" w:sz="4" w:space="0" w:color="auto"/>
              <w:bottom w:val="single" w:sz="4" w:space="0" w:color="auto"/>
              <w:right w:val="single" w:sz="4" w:space="0" w:color="auto"/>
            </w:tcBorders>
            <w:vAlign w:val="center"/>
          </w:tcPr>
          <w:p w14:paraId="016AC53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0.0072%</w:t>
            </w:r>
          </w:p>
        </w:tc>
      </w:tr>
      <w:tr w:rsidR="00007225" w14:paraId="4FF2B9C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17C7F3E"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02A3ED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FB8DB3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3.2219%</w:t>
            </w:r>
          </w:p>
        </w:tc>
        <w:tc>
          <w:tcPr>
            <w:tcW w:w="750" w:type="pct"/>
            <w:tcBorders>
              <w:top w:val="single" w:sz="4" w:space="0" w:color="auto"/>
              <w:left w:val="single" w:sz="4" w:space="0" w:color="auto"/>
              <w:bottom w:val="single" w:sz="4" w:space="0" w:color="auto"/>
              <w:right w:val="single" w:sz="4" w:space="0" w:color="auto"/>
            </w:tcBorders>
            <w:vAlign w:val="center"/>
          </w:tcPr>
          <w:p w14:paraId="61BE165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0.0063%</w:t>
            </w:r>
          </w:p>
        </w:tc>
        <w:tc>
          <w:tcPr>
            <w:tcW w:w="750" w:type="pct"/>
            <w:tcBorders>
              <w:top w:val="single" w:sz="4" w:space="0" w:color="auto"/>
              <w:left w:val="single" w:sz="4" w:space="0" w:color="auto"/>
              <w:bottom w:val="single" w:sz="4" w:space="0" w:color="auto"/>
              <w:right w:val="single" w:sz="4" w:space="0" w:color="auto"/>
            </w:tcBorders>
            <w:vAlign w:val="center"/>
          </w:tcPr>
          <w:p w14:paraId="546C914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2.4441%</w:t>
            </w:r>
          </w:p>
        </w:tc>
        <w:tc>
          <w:tcPr>
            <w:tcW w:w="750" w:type="pct"/>
            <w:tcBorders>
              <w:top w:val="single" w:sz="4" w:space="0" w:color="auto"/>
              <w:left w:val="single" w:sz="4" w:space="0" w:color="auto"/>
              <w:bottom w:val="single" w:sz="4" w:space="0" w:color="auto"/>
              <w:right w:val="single" w:sz="4" w:space="0" w:color="auto"/>
            </w:tcBorders>
            <w:vAlign w:val="center"/>
          </w:tcPr>
          <w:p w14:paraId="640F148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0.0017%</w:t>
            </w:r>
          </w:p>
        </w:tc>
        <w:tc>
          <w:tcPr>
            <w:tcW w:w="750" w:type="pct"/>
            <w:tcBorders>
              <w:top w:val="single" w:sz="4" w:space="0" w:color="auto"/>
              <w:left w:val="single" w:sz="4" w:space="0" w:color="auto"/>
              <w:bottom w:val="single" w:sz="4" w:space="0" w:color="auto"/>
              <w:right w:val="single" w:sz="4" w:space="0" w:color="auto"/>
            </w:tcBorders>
            <w:vAlign w:val="center"/>
          </w:tcPr>
          <w:p w14:paraId="319486C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0.7778%</w:t>
            </w:r>
          </w:p>
        </w:tc>
        <w:tc>
          <w:tcPr>
            <w:tcW w:w="750" w:type="pct"/>
            <w:tcBorders>
              <w:top w:val="single" w:sz="4" w:space="0" w:color="auto"/>
              <w:left w:val="single" w:sz="4" w:space="0" w:color="auto"/>
              <w:bottom w:val="single" w:sz="4" w:space="0" w:color="auto"/>
              <w:right w:val="single" w:sz="4" w:space="0" w:color="auto"/>
            </w:tcBorders>
            <w:vAlign w:val="center"/>
          </w:tcPr>
          <w:p w14:paraId="2A02FEB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0.0046%</w:t>
            </w:r>
          </w:p>
        </w:tc>
      </w:tr>
      <w:tr w:rsidR="00007225" w14:paraId="1073A03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DCEC8F6"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10056E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2006</w:t>
            </w:r>
            <w:r>
              <w:rPr>
                <w:rFonts w:ascii="Times New Roman" w:hAnsi="Times New Roman"/>
                <w:color w:val="000000"/>
                <w:kern w:val="0"/>
                <w:sz w:val="25"/>
                <w:szCs w:val="24"/>
              </w:rPr>
              <w:t>年度（自基金合同生效日至</w:t>
            </w:r>
            <w:r>
              <w:rPr>
                <w:rFonts w:ascii="Times New Roman" w:hAnsi="Times New Roman"/>
                <w:color w:val="000000"/>
                <w:kern w:val="0"/>
                <w:sz w:val="25"/>
                <w:szCs w:val="24"/>
              </w:rPr>
              <w:t>2006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512344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1.6718%</w:t>
            </w:r>
          </w:p>
        </w:tc>
        <w:tc>
          <w:tcPr>
            <w:tcW w:w="750" w:type="pct"/>
            <w:tcBorders>
              <w:top w:val="single" w:sz="4" w:space="0" w:color="auto"/>
              <w:left w:val="single" w:sz="4" w:space="0" w:color="auto"/>
              <w:bottom w:val="single" w:sz="4" w:space="0" w:color="auto"/>
              <w:right w:val="single" w:sz="4" w:space="0" w:color="auto"/>
            </w:tcBorders>
            <w:vAlign w:val="center"/>
          </w:tcPr>
          <w:p w14:paraId="166C84B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0.0022%</w:t>
            </w:r>
          </w:p>
        </w:tc>
        <w:tc>
          <w:tcPr>
            <w:tcW w:w="750" w:type="pct"/>
            <w:tcBorders>
              <w:top w:val="single" w:sz="4" w:space="0" w:color="auto"/>
              <w:left w:val="single" w:sz="4" w:space="0" w:color="auto"/>
              <w:bottom w:val="single" w:sz="4" w:space="0" w:color="auto"/>
              <w:right w:val="single" w:sz="4" w:space="0" w:color="auto"/>
            </w:tcBorders>
            <w:vAlign w:val="center"/>
          </w:tcPr>
          <w:p w14:paraId="5C2B98F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1.6231%</w:t>
            </w:r>
          </w:p>
        </w:tc>
        <w:tc>
          <w:tcPr>
            <w:tcW w:w="750" w:type="pct"/>
            <w:tcBorders>
              <w:top w:val="single" w:sz="4" w:space="0" w:color="auto"/>
              <w:left w:val="single" w:sz="4" w:space="0" w:color="auto"/>
              <w:bottom w:val="single" w:sz="4" w:space="0" w:color="auto"/>
              <w:right w:val="single" w:sz="4" w:space="0" w:color="auto"/>
            </w:tcBorders>
            <w:vAlign w:val="center"/>
          </w:tcPr>
          <w:p w14:paraId="0F9963E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0.0002%</w:t>
            </w:r>
          </w:p>
        </w:tc>
        <w:tc>
          <w:tcPr>
            <w:tcW w:w="750" w:type="pct"/>
            <w:tcBorders>
              <w:top w:val="single" w:sz="4" w:space="0" w:color="auto"/>
              <w:left w:val="single" w:sz="4" w:space="0" w:color="auto"/>
              <w:bottom w:val="single" w:sz="4" w:space="0" w:color="auto"/>
              <w:right w:val="single" w:sz="4" w:space="0" w:color="auto"/>
            </w:tcBorders>
            <w:vAlign w:val="center"/>
          </w:tcPr>
          <w:p w14:paraId="0A9A52A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0.0487%</w:t>
            </w:r>
          </w:p>
        </w:tc>
        <w:tc>
          <w:tcPr>
            <w:tcW w:w="750" w:type="pct"/>
            <w:tcBorders>
              <w:top w:val="single" w:sz="4" w:space="0" w:color="auto"/>
              <w:left w:val="single" w:sz="4" w:space="0" w:color="auto"/>
              <w:bottom w:val="single" w:sz="4" w:space="0" w:color="auto"/>
              <w:right w:val="single" w:sz="4" w:space="0" w:color="auto"/>
            </w:tcBorders>
            <w:vAlign w:val="center"/>
          </w:tcPr>
          <w:p w14:paraId="5D61EAA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r>
      <w:tr w:rsidR="00007225" w14:paraId="1D6D3D6B"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3ED5795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B</w:t>
            </w:r>
            <w:r>
              <w:rPr>
                <w:rFonts w:ascii="Times New Roman" w:hAnsi="Times New Roman"/>
                <w:color w:val="000000"/>
                <w:kern w:val="0"/>
                <w:sz w:val="25"/>
                <w:szCs w:val="24"/>
              </w:rPr>
              <w:t>级</w:t>
            </w:r>
          </w:p>
        </w:tc>
        <w:tc>
          <w:tcPr>
            <w:tcW w:w="750" w:type="pct"/>
            <w:tcBorders>
              <w:top w:val="single" w:sz="4" w:space="0" w:color="auto"/>
              <w:left w:val="single" w:sz="4" w:space="0" w:color="auto"/>
              <w:bottom w:val="single" w:sz="4" w:space="0" w:color="auto"/>
              <w:right w:val="single" w:sz="4" w:space="0" w:color="auto"/>
            </w:tcBorders>
            <w:vAlign w:val="center"/>
          </w:tcPr>
          <w:p w14:paraId="1E9D4DB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13BAF4B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0.5193%</w:t>
            </w:r>
          </w:p>
        </w:tc>
        <w:tc>
          <w:tcPr>
            <w:tcW w:w="750" w:type="pct"/>
            <w:tcBorders>
              <w:top w:val="single" w:sz="4" w:space="0" w:color="auto"/>
              <w:left w:val="single" w:sz="4" w:space="0" w:color="auto"/>
              <w:bottom w:val="single" w:sz="4" w:space="0" w:color="auto"/>
              <w:right w:val="single" w:sz="4" w:space="0" w:color="auto"/>
            </w:tcBorders>
            <w:vAlign w:val="center"/>
          </w:tcPr>
          <w:p w14:paraId="0649FF4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0.0004%</w:t>
            </w:r>
          </w:p>
        </w:tc>
        <w:tc>
          <w:tcPr>
            <w:tcW w:w="750" w:type="pct"/>
            <w:tcBorders>
              <w:top w:val="single" w:sz="4" w:space="0" w:color="auto"/>
              <w:left w:val="single" w:sz="4" w:space="0" w:color="auto"/>
              <w:bottom w:val="single" w:sz="4" w:space="0" w:color="auto"/>
              <w:right w:val="single" w:sz="4" w:space="0" w:color="auto"/>
            </w:tcBorders>
            <w:vAlign w:val="center"/>
          </w:tcPr>
          <w:p w14:paraId="5FD2D32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0.3205%</w:t>
            </w:r>
          </w:p>
        </w:tc>
        <w:tc>
          <w:tcPr>
            <w:tcW w:w="750" w:type="pct"/>
            <w:tcBorders>
              <w:top w:val="single" w:sz="4" w:space="0" w:color="auto"/>
              <w:left w:val="single" w:sz="4" w:space="0" w:color="auto"/>
              <w:bottom w:val="single" w:sz="4" w:space="0" w:color="auto"/>
              <w:right w:val="single" w:sz="4" w:space="0" w:color="auto"/>
            </w:tcBorders>
            <w:vAlign w:val="center"/>
          </w:tcPr>
          <w:p w14:paraId="35FB7E3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C27132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0.1988%</w:t>
            </w:r>
          </w:p>
        </w:tc>
        <w:tc>
          <w:tcPr>
            <w:tcW w:w="750" w:type="pct"/>
            <w:tcBorders>
              <w:top w:val="single" w:sz="4" w:space="0" w:color="auto"/>
              <w:left w:val="single" w:sz="4" w:space="0" w:color="auto"/>
              <w:bottom w:val="single" w:sz="4" w:space="0" w:color="auto"/>
              <w:right w:val="single" w:sz="4" w:space="0" w:color="auto"/>
            </w:tcBorders>
            <w:vAlign w:val="center"/>
          </w:tcPr>
          <w:p w14:paraId="52157D1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0.0004%</w:t>
            </w:r>
          </w:p>
        </w:tc>
      </w:tr>
      <w:tr w:rsidR="00007225" w14:paraId="3101ECF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2D9E5BA"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C4EB85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303663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2.0855%</w:t>
            </w:r>
          </w:p>
        </w:tc>
        <w:tc>
          <w:tcPr>
            <w:tcW w:w="750" w:type="pct"/>
            <w:tcBorders>
              <w:top w:val="single" w:sz="4" w:space="0" w:color="auto"/>
              <w:left w:val="single" w:sz="4" w:space="0" w:color="auto"/>
              <w:bottom w:val="single" w:sz="4" w:space="0" w:color="auto"/>
              <w:right w:val="single" w:sz="4" w:space="0" w:color="auto"/>
            </w:tcBorders>
            <w:vAlign w:val="center"/>
          </w:tcPr>
          <w:p w14:paraId="6474E66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14:paraId="73B8E87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17BA392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5E2E670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0.7855%</w:t>
            </w:r>
          </w:p>
        </w:tc>
        <w:tc>
          <w:tcPr>
            <w:tcW w:w="750" w:type="pct"/>
            <w:tcBorders>
              <w:top w:val="single" w:sz="4" w:space="0" w:color="auto"/>
              <w:left w:val="single" w:sz="4" w:space="0" w:color="auto"/>
              <w:bottom w:val="single" w:sz="4" w:space="0" w:color="auto"/>
              <w:right w:val="single" w:sz="4" w:space="0" w:color="auto"/>
            </w:tcBorders>
            <w:vAlign w:val="center"/>
          </w:tcPr>
          <w:p w14:paraId="3534432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007225" w14:paraId="57A912E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1EB99FE"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7F60D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FB3017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2.3292%</w:t>
            </w:r>
          </w:p>
        </w:tc>
        <w:tc>
          <w:tcPr>
            <w:tcW w:w="750" w:type="pct"/>
            <w:tcBorders>
              <w:top w:val="single" w:sz="4" w:space="0" w:color="auto"/>
              <w:left w:val="single" w:sz="4" w:space="0" w:color="auto"/>
              <w:bottom w:val="single" w:sz="4" w:space="0" w:color="auto"/>
              <w:right w:val="single" w:sz="4" w:space="0" w:color="auto"/>
            </w:tcBorders>
            <w:vAlign w:val="center"/>
          </w:tcPr>
          <w:p w14:paraId="214BA7D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c>
          <w:tcPr>
            <w:tcW w:w="750" w:type="pct"/>
            <w:tcBorders>
              <w:top w:val="single" w:sz="4" w:space="0" w:color="auto"/>
              <w:left w:val="single" w:sz="4" w:space="0" w:color="auto"/>
              <w:bottom w:val="single" w:sz="4" w:space="0" w:color="auto"/>
              <w:right w:val="single" w:sz="4" w:space="0" w:color="auto"/>
            </w:tcBorders>
            <w:vAlign w:val="center"/>
          </w:tcPr>
          <w:p w14:paraId="6E71CD3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1EDBDF4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741258B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1.0292%</w:t>
            </w:r>
          </w:p>
        </w:tc>
        <w:tc>
          <w:tcPr>
            <w:tcW w:w="750" w:type="pct"/>
            <w:tcBorders>
              <w:top w:val="single" w:sz="4" w:space="0" w:color="auto"/>
              <w:left w:val="single" w:sz="4" w:space="0" w:color="auto"/>
              <w:bottom w:val="single" w:sz="4" w:space="0" w:color="auto"/>
              <w:right w:val="single" w:sz="4" w:space="0" w:color="auto"/>
            </w:tcBorders>
            <w:vAlign w:val="center"/>
          </w:tcPr>
          <w:p w14:paraId="7EE2A38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r>
      <w:tr w:rsidR="00007225" w14:paraId="0755E68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C46975D"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B2978C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10BCB7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1.9914%</w:t>
            </w:r>
          </w:p>
        </w:tc>
        <w:tc>
          <w:tcPr>
            <w:tcW w:w="750" w:type="pct"/>
            <w:tcBorders>
              <w:top w:val="single" w:sz="4" w:space="0" w:color="auto"/>
              <w:left w:val="single" w:sz="4" w:space="0" w:color="auto"/>
              <w:bottom w:val="single" w:sz="4" w:space="0" w:color="auto"/>
              <w:right w:val="single" w:sz="4" w:space="0" w:color="auto"/>
            </w:tcBorders>
            <w:vAlign w:val="center"/>
          </w:tcPr>
          <w:p w14:paraId="4C88F47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14:paraId="3D172C1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1.3036%</w:t>
            </w:r>
          </w:p>
        </w:tc>
        <w:tc>
          <w:tcPr>
            <w:tcW w:w="750" w:type="pct"/>
            <w:tcBorders>
              <w:top w:val="single" w:sz="4" w:space="0" w:color="auto"/>
              <w:left w:val="single" w:sz="4" w:space="0" w:color="auto"/>
              <w:bottom w:val="single" w:sz="4" w:space="0" w:color="auto"/>
              <w:right w:val="single" w:sz="4" w:space="0" w:color="auto"/>
            </w:tcBorders>
            <w:vAlign w:val="center"/>
          </w:tcPr>
          <w:p w14:paraId="3D03EE7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5ADFF8D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0.6878%</w:t>
            </w:r>
          </w:p>
        </w:tc>
        <w:tc>
          <w:tcPr>
            <w:tcW w:w="750" w:type="pct"/>
            <w:tcBorders>
              <w:top w:val="single" w:sz="4" w:space="0" w:color="auto"/>
              <w:left w:val="single" w:sz="4" w:space="0" w:color="auto"/>
              <w:bottom w:val="single" w:sz="4" w:space="0" w:color="auto"/>
              <w:right w:val="single" w:sz="4" w:space="0" w:color="auto"/>
            </w:tcBorders>
            <w:vAlign w:val="center"/>
          </w:tcPr>
          <w:p w14:paraId="5D5B018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007225" w14:paraId="22B2AA0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5792D53"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4CC74B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2A54BD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2.4016%</w:t>
            </w:r>
          </w:p>
        </w:tc>
        <w:tc>
          <w:tcPr>
            <w:tcW w:w="750" w:type="pct"/>
            <w:tcBorders>
              <w:top w:val="single" w:sz="4" w:space="0" w:color="auto"/>
              <w:left w:val="single" w:sz="4" w:space="0" w:color="auto"/>
              <w:bottom w:val="single" w:sz="4" w:space="0" w:color="auto"/>
              <w:right w:val="single" w:sz="4" w:space="0" w:color="auto"/>
            </w:tcBorders>
            <w:vAlign w:val="center"/>
          </w:tcPr>
          <w:p w14:paraId="1A5C6BE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66A33D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1F71BF0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9BA564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1.1016%</w:t>
            </w:r>
          </w:p>
        </w:tc>
        <w:tc>
          <w:tcPr>
            <w:tcW w:w="750" w:type="pct"/>
            <w:tcBorders>
              <w:top w:val="single" w:sz="4" w:space="0" w:color="auto"/>
              <w:left w:val="single" w:sz="4" w:space="0" w:color="auto"/>
              <w:bottom w:val="single" w:sz="4" w:space="0" w:color="auto"/>
              <w:right w:val="single" w:sz="4" w:space="0" w:color="auto"/>
            </w:tcBorders>
            <w:vAlign w:val="center"/>
          </w:tcPr>
          <w:p w14:paraId="2C8C700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r>
      <w:tr w:rsidR="00007225" w14:paraId="73E60E9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B311D64"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641592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406D0A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3.2314%</w:t>
            </w:r>
          </w:p>
        </w:tc>
        <w:tc>
          <w:tcPr>
            <w:tcW w:w="750" w:type="pct"/>
            <w:tcBorders>
              <w:top w:val="single" w:sz="4" w:space="0" w:color="auto"/>
              <w:left w:val="single" w:sz="4" w:space="0" w:color="auto"/>
              <w:bottom w:val="single" w:sz="4" w:space="0" w:color="auto"/>
              <w:right w:val="single" w:sz="4" w:space="0" w:color="auto"/>
            </w:tcBorders>
            <w:vAlign w:val="center"/>
          </w:tcPr>
          <w:p w14:paraId="447EED6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c>
          <w:tcPr>
            <w:tcW w:w="750" w:type="pct"/>
            <w:tcBorders>
              <w:top w:val="single" w:sz="4" w:space="0" w:color="auto"/>
              <w:left w:val="single" w:sz="4" w:space="0" w:color="auto"/>
              <w:bottom w:val="single" w:sz="4" w:space="0" w:color="auto"/>
              <w:right w:val="single" w:sz="4" w:space="0" w:color="auto"/>
            </w:tcBorders>
            <w:vAlign w:val="center"/>
          </w:tcPr>
          <w:p w14:paraId="54659F4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599CE02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7250253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1.9314%</w:t>
            </w:r>
          </w:p>
        </w:tc>
        <w:tc>
          <w:tcPr>
            <w:tcW w:w="750" w:type="pct"/>
            <w:tcBorders>
              <w:top w:val="single" w:sz="4" w:space="0" w:color="auto"/>
              <w:left w:val="single" w:sz="4" w:space="0" w:color="auto"/>
              <w:bottom w:val="single" w:sz="4" w:space="0" w:color="auto"/>
              <w:right w:val="single" w:sz="4" w:space="0" w:color="auto"/>
            </w:tcBorders>
            <w:vAlign w:val="center"/>
          </w:tcPr>
          <w:p w14:paraId="07AF874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r>
      <w:tr w:rsidR="00007225" w14:paraId="020FB7A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BCB194A"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99602B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AF3610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3.5804%</w:t>
            </w:r>
          </w:p>
        </w:tc>
        <w:tc>
          <w:tcPr>
            <w:tcW w:w="750" w:type="pct"/>
            <w:tcBorders>
              <w:top w:val="single" w:sz="4" w:space="0" w:color="auto"/>
              <w:left w:val="single" w:sz="4" w:space="0" w:color="auto"/>
              <w:bottom w:val="single" w:sz="4" w:space="0" w:color="auto"/>
              <w:right w:val="single" w:sz="4" w:space="0" w:color="auto"/>
            </w:tcBorders>
            <w:vAlign w:val="center"/>
          </w:tcPr>
          <w:p w14:paraId="55DF148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c>
          <w:tcPr>
            <w:tcW w:w="750" w:type="pct"/>
            <w:tcBorders>
              <w:top w:val="single" w:sz="4" w:space="0" w:color="auto"/>
              <w:left w:val="single" w:sz="4" w:space="0" w:color="auto"/>
              <w:bottom w:val="single" w:sz="4" w:space="0" w:color="auto"/>
              <w:right w:val="single" w:sz="4" w:space="0" w:color="auto"/>
            </w:tcBorders>
            <w:vAlign w:val="center"/>
          </w:tcPr>
          <w:p w14:paraId="6A22581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429AC2F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4636A90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2.2804%</w:t>
            </w:r>
          </w:p>
        </w:tc>
        <w:tc>
          <w:tcPr>
            <w:tcW w:w="750" w:type="pct"/>
            <w:tcBorders>
              <w:top w:val="single" w:sz="4" w:space="0" w:color="auto"/>
              <w:left w:val="single" w:sz="4" w:space="0" w:color="auto"/>
              <w:bottom w:val="single" w:sz="4" w:space="0" w:color="auto"/>
              <w:right w:val="single" w:sz="4" w:space="0" w:color="auto"/>
            </w:tcBorders>
            <w:vAlign w:val="center"/>
          </w:tcPr>
          <w:p w14:paraId="39FEE12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r>
      <w:tr w:rsidR="00007225" w14:paraId="460400E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0058DDC"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2004F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76C6D7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2.7187%</w:t>
            </w:r>
          </w:p>
        </w:tc>
        <w:tc>
          <w:tcPr>
            <w:tcW w:w="750" w:type="pct"/>
            <w:tcBorders>
              <w:top w:val="single" w:sz="4" w:space="0" w:color="auto"/>
              <w:left w:val="single" w:sz="4" w:space="0" w:color="auto"/>
              <w:bottom w:val="single" w:sz="4" w:space="0" w:color="auto"/>
              <w:right w:val="single" w:sz="4" w:space="0" w:color="auto"/>
            </w:tcBorders>
            <w:vAlign w:val="center"/>
          </w:tcPr>
          <w:p w14:paraId="25B095B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0.0015%</w:t>
            </w:r>
          </w:p>
        </w:tc>
        <w:tc>
          <w:tcPr>
            <w:tcW w:w="750" w:type="pct"/>
            <w:tcBorders>
              <w:top w:val="single" w:sz="4" w:space="0" w:color="auto"/>
              <w:left w:val="single" w:sz="4" w:space="0" w:color="auto"/>
              <w:bottom w:val="single" w:sz="4" w:space="0" w:color="auto"/>
              <w:right w:val="single" w:sz="4" w:space="0" w:color="auto"/>
            </w:tcBorders>
            <w:vAlign w:val="center"/>
          </w:tcPr>
          <w:p w14:paraId="026BA63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1.3036%</w:t>
            </w:r>
          </w:p>
        </w:tc>
        <w:tc>
          <w:tcPr>
            <w:tcW w:w="750" w:type="pct"/>
            <w:tcBorders>
              <w:top w:val="single" w:sz="4" w:space="0" w:color="auto"/>
              <w:left w:val="single" w:sz="4" w:space="0" w:color="auto"/>
              <w:bottom w:val="single" w:sz="4" w:space="0" w:color="auto"/>
              <w:right w:val="single" w:sz="4" w:space="0" w:color="auto"/>
            </w:tcBorders>
            <w:vAlign w:val="center"/>
          </w:tcPr>
          <w:p w14:paraId="76D4F3B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297460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1.4151%</w:t>
            </w:r>
          </w:p>
        </w:tc>
        <w:tc>
          <w:tcPr>
            <w:tcW w:w="750" w:type="pct"/>
            <w:tcBorders>
              <w:top w:val="single" w:sz="4" w:space="0" w:color="auto"/>
              <w:left w:val="single" w:sz="4" w:space="0" w:color="auto"/>
              <w:bottom w:val="single" w:sz="4" w:space="0" w:color="auto"/>
              <w:right w:val="single" w:sz="4" w:space="0" w:color="auto"/>
            </w:tcBorders>
            <w:vAlign w:val="center"/>
          </w:tcPr>
          <w:p w14:paraId="60660CC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0.0015%</w:t>
            </w:r>
          </w:p>
        </w:tc>
      </w:tr>
      <w:tr w:rsidR="00007225" w14:paraId="158ACE1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2A3B859"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DE3EFA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C6E5BF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3.3943%</w:t>
            </w:r>
          </w:p>
        </w:tc>
        <w:tc>
          <w:tcPr>
            <w:tcW w:w="750" w:type="pct"/>
            <w:tcBorders>
              <w:top w:val="single" w:sz="4" w:space="0" w:color="auto"/>
              <w:left w:val="single" w:sz="4" w:space="0" w:color="auto"/>
              <w:bottom w:val="single" w:sz="4" w:space="0" w:color="auto"/>
              <w:right w:val="single" w:sz="4" w:space="0" w:color="auto"/>
            </w:tcBorders>
            <w:vAlign w:val="center"/>
          </w:tcPr>
          <w:p w14:paraId="20CA31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0.0045%</w:t>
            </w:r>
          </w:p>
        </w:tc>
        <w:tc>
          <w:tcPr>
            <w:tcW w:w="750" w:type="pct"/>
            <w:tcBorders>
              <w:top w:val="single" w:sz="4" w:space="0" w:color="auto"/>
              <w:left w:val="single" w:sz="4" w:space="0" w:color="auto"/>
              <w:bottom w:val="single" w:sz="4" w:space="0" w:color="auto"/>
              <w:right w:val="single" w:sz="4" w:space="0" w:color="auto"/>
            </w:tcBorders>
            <w:vAlign w:val="center"/>
          </w:tcPr>
          <w:p w14:paraId="07D0320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1.9164%</w:t>
            </w:r>
          </w:p>
        </w:tc>
        <w:tc>
          <w:tcPr>
            <w:tcW w:w="750" w:type="pct"/>
            <w:tcBorders>
              <w:top w:val="single" w:sz="4" w:space="0" w:color="auto"/>
              <w:left w:val="single" w:sz="4" w:space="0" w:color="auto"/>
              <w:bottom w:val="single" w:sz="4" w:space="0" w:color="auto"/>
              <w:right w:val="single" w:sz="4" w:space="0" w:color="auto"/>
            </w:tcBorders>
            <w:vAlign w:val="center"/>
          </w:tcPr>
          <w:p w14:paraId="591BFED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0.0012%</w:t>
            </w:r>
          </w:p>
        </w:tc>
        <w:tc>
          <w:tcPr>
            <w:tcW w:w="750" w:type="pct"/>
            <w:tcBorders>
              <w:top w:val="single" w:sz="4" w:space="0" w:color="auto"/>
              <w:left w:val="single" w:sz="4" w:space="0" w:color="auto"/>
              <w:bottom w:val="single" w:sz="4" w:space="0" w:color="auto"/>
              <w:right w:val="single" w:sz="4" w:space="0" w:color="auto"/>
            </w:tcBorders>
            <w:vAlign w:val="center"/>
          </w:tcPr>
          <w:p w14:paraId="220CAF8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1.4779%</w:t>
            </w:r>
          </w:p>
        </w:tc>
        <w:tc>
          <w:tcPr>
            <w:tcW w:w="750" w:type="pct"/>
            <w:tcBorders>
              <w:top w:val="single" w:sz="4" w:space="0" w:color="auto"/>
              <w:left w:val="single" w:sz="4" w:space="0" w:color="auto"/>
              <w:bottom w:val="single" w:sz="4" w:space="0" w:color="auto"/>
              <w:right w:val="single" w:sz="4" w:space="0" w:color="auto"/>
            </w:tcBorders>
            <w:vAlign w:val="center"/>
          </w:tcPr>
          <w:p w14:paraId="5BB6F96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0.0033%</w:t>
            </w:r>
          </w:p>
        </w:tc>
      </w:tr>
      <w:tr w:rsidR="00007225" w14:paraId="3253F35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910405D"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F81EFA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6D29DA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4.7230%</w:t>
            </w:r>
          </w:p>
        </w:tc>
        <w:tc>
          <w:tcPr>
            <w:tcW w:w="750" w:type="pct"/>
            <w:tcBorders>
              <w:top w:val="single" w:sz="4" w:space="0" w:color="auto"/>
              <w:left w:val="single" w:sz="4" w:space="0" w:color="auto"/>
              <w:bottom w:val="single" w:sz="4" w:space="0" w:color="auto"/>
              <w:right w:val="single" w:sz="4" w:space="0" w:color="auto"/>
            </w:tcBorders>
            <w:vAlign w:val="center"/>
          </w:tcPr>
          <w:p w14:paraId="18F7B37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0.0055%</w:t>
            </w:r>
          </w:p>
        </w:tc>
        <w:tc>
          <w:tcPr>
            <w:tcW w:w="750" w:type="pct"/>
            <w:tcBorders>
              <w:top w:val="single" w:sz="4" w:space="0" w:color="auto"/>
              <w:left w:val="single" w:sz="4" w:space="0" w:color="auto"/>
              <w:bottom w:val="single" w:sz="4" w:space="0" w:color="auto"/>
              <w:right w:val="single" w:sz="4" w:space="0" w:color="auto"/>
            </w:tcBorders>
            <w:vAlign w:val="center"/>
          </w:tcPr>
          <w:p w14:paraId="71ABB55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2.7726%</w:t>
            </w:r>
          </w:p>
        </w:tc>
        <w:tc>
          <w:tcPr>
            <w:tcW w:w="750" w:type="pct"/>
            <w:tcBorders>
              <w:top w:val="single" w:sz="4" w:space="0" w:color="auto"/>
              <w:left w:val="single" w:sz="4" w:space="0" w:color="auto"/>
              <w:bottom w:val="single" w:sz="4" w:space="0" w:color="auto"/>
              <w:right w:val="single" w:sz="4" w:space="0" w:color="auto"/>
            </w:tcBorders>
            <w:vAlign w:val="center"/>
          </w:tcPr>
          <w:p w14:paraId="63599D4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0.0002%</w:t>
            </w:r>
          </w:p>
        </w:tc>
        <w:tc>
          <w:tcPr>
            <w:tcW w:w="750" w:type="pct"/>
            <w:tcBorders>
              <w:top w:val="single" w:sz="4" w:space="0" w:color="auto"/>
              <w:left w:val="single" w:sz="4" w:space="0" w:color="auto"/>
              <w:bottom w:val="single" w:sz="4" w:space="0" w:color="auto"/>
              <w:right w:val="single" w:sz="4" w:space="0" w:color="auto"/>
            </w:tcBorders>
            <w:vAlign w:val="center"/>
          </w:tcPr>
          <w:p w14:paraId="7FF3AD9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1.9504%</w:t>
            </w:r>
          </w:p>
        </w:tc>
        <w:tc>
          <w:tcPr>
            <w:tcW w:w="750" w:type="pct"/>
            <w:tcBorders>
              <w:top w:val="single" w:sz="4" w:space="0" w:color="auto"/>
              <w:left w:val="single" w:sz="4" w:space="0" w:color="auto"/>
              <w:bottom w:val="single" w:sz="4" w:space="0" w:color="auto"/>
              <w:right w:val="single" w:sz="4" w:space="0" w:color="auto"/>
            </w:tcBorders>
            <w:vAlign w:val="center"/>
          </w:tcPr>
          <w:p w14:paraId="4257834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0.0053%</w:t>
            </w:r>
          </w:p>
        </w:tc>
      </w:tr>
      <w:tr w:rsidR="00007225" w14:paraId="6AABF4B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9AC15F1"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9D2B29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1B18B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3.8128%</w:t>
            </w:r>
          </w:p>
        </w:tc>
        <w:tc>
          <w:tcPr>
            <w:tcW w:w="750" w:type="pct"/>
            <w:tcBorders>
              <w:top w:val="single" w:sz="4" w:space="0" w:color="auto"/>
              <w:left w:val="single" w:sz="4" w:space="0" w:color="auto"/>
              <w:bottom w:val="single" w:sz="4" w:space="0" w:color="auto"/>
              <w:right w:val="single" w:sz="4" w:space="0" w:color="auto"/>
            </w:tcBorders>
            <w:vAlign w:val="center"/>
          </w:tcPr>
          <w:p w14:paraId="2190CD2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0.0034%</w:t>
            </w:r>
          </w:p>
        </w:tc>
        <w:tc>
          <w:tcPr>
            <w:tcW w:w="750" w:type="pct"/>
            <w:tcBorders>
              <w:top w:val="single" w:sz="4" w:space="0" w:color="auto"/>
              <w:left w:val="single" w:sz="4" w:space="0" w:color="auto"/>
              <w:bottom w:val="single" w:sz="4" w:space="0" w:color="auto"/>
              <w:right w:val="single" w:sz="4" w:space="0" w:color="auto"/>
            </w:tcBorders>
            <w:vAlign w:val="center"/>
          </w:tcPr>
          <w:p w14:paraId="4B19FC8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2.8000%</w:t>
            </w:r>
          </w:p>
        </w:tc>
        <w:tc>
          <w:tcPr>
            <w:tcW w:w="750" w:type="pct"/>
            <w:tcBorders>
              <w:top w:val="single" w:sz="4" w:space="0" w:color="auto"/>
              <w:left w:val="single" w:sz="4" w:space="0" w:color="auto"/>
              <w:bottom w:val="single" w:sz="4" w:space="0" w:color="auto"/>
              <w:right w:val="single" w:sz="4" w:space="0" w:color="auto"/>
            </w:tcBorders>
            <w:vAlign w:val="center"/>
          </w:tcPr>
          <w:p w14:paraId="3EF9677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103F2D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1.0128%</w:t>
            </w:r>
          </w:p>
        </w:tc>
        <w:tc>
          <w:tcPr>
            <w:tcW w:w="750" w:type="pct"/>
            <w:tcBorders>
              <w:top w:val="single" w:sz="4" w:space="0" w:color="auto"/>
              <w:left w:val="single" w:sz="4" w:space="0" w:color="auto"/>
              <w:bottom w:val="single" w:sz="4" w:space="0" w:color="auto"/>
              <w:right w:val="single" w:sz="4" w:space="0" w:color="auto"/>
            </w:tcBorders>
            <w:vAlign w:val="center"/>
          </w:tcPr>
          <w:p w14:paraId="0F87E01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0.0034%</w:t>
            </w:r>
          </w:p>
        </w:tc>
      </w:tr>
      <w:tr w:rsidR="00007225" w14:paraId="6FDEA13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1D7340E"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7F4E81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978562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3.9871%</w:t>
            </w:r>
          </w:p>
        </w:tc>
        <w:tc>
          <w:tcPr>
            <w:tcW w:w="750" w:type="pct"/>
            <w:tcBorders>
              <w:top w:val="single" w:sz="4" w:space="0" w:color="auto"/>
              <w:left w:val="single" w:sz="4" w:space="0" w:color="auto"/>
              <w:bottom w:val="single" w:sz="4" w:space="0" w:color="auto"/>
              <w:right w:val="single" w:sz="4" w:space="0" w:color="auto"/>
            </w:tcBorders>
            <w:vAlign w:val="center"/>
          </w:tcPr>
          <w:p w14:paraId="088DFEE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0.0030%</w:t>
            </w:r>
          </w:p>
        </w:tc>
        <w:tc>
          <w:tcPr>
            <w:tcW w:w="750" w:type="pct"/>
            <w:tcBorders>
              <w:top w:val="single" w:sz="4" w:space="0" w:color="auto"/>
              <w:left w:val="single" w:sz="4" w:space="0" w:color="auto"/>
              <w:bottom w:val="single" w:sz="4" w:space="0" w:color="auto"/>
              <w:right w:val="single" w:sz="4" w:space="0" w:color="auto"/>
            </w:tcBorders>
            <w:vAlign w:val="center"/>
          </w:tcPr>
          <w:p w14:paraId="4A7954A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3.0447%</w:t>
            </w:r>
          </w:p>
        </w:tc>
        <w:tc>
          <w:tcPr>
            <w:tcW w:w="750" w:type="pct"/>
            <w:tcBorders>
              <w:top w:val="single" w:sz="4" w:space="0" w:color="auto"/>
              <w:left w:val="single" w:sz="4" w:space="0" w:color="auto"/>
              <w:bottom w:val="single" w:sz="4" w:space="0" w:color="auto"/>
              <w:right w:val="single" w:sz="4" w:space="0" w:color="auto"/>
            </w:tcBorders>
            <w:vAlign w:val="center"/>
          </w:tcPr>
          <w:p w14:paraId="2BB1C8B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5E6CD3F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0.9424%</w:t>
            </w:r>
          </w:p>
        </w:tc>
        <w:tc>
          <w:tcPr>
            <w:tcW w:w="750" w:type="pct"/>
            <w:tcBorders>
              <w:top w:val="single" w:sz="4" w:space="0" w:color="auto"/>
              <w:left w:val="single" w:sz="4" w:space="0" w:color="auto"/>
              <w:bottom w:val="single" w:sz="4" w:space="0" w:color="auto"/>
              <w:right w:val="single" w:sz="4" w:space="0" w:color="auto"/>
            </w:tcBorders>
            <w:vAlign w:val="center"/>
          </w:tcPr>
          <w:p w14:paraId="100D78C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0.0023%</w:t>
            </w:r>
          </w:p>
        </w:tc>
      </w:tr>
      <w:tr w:rsidR="00007225" w14:paraId="766CD00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ADC772D"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6D4E74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B9077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3.5014%</w:t>
            </w:r>
          </w:p>
        </w:tc>
        <w:tc>
          <w:tcPr>
            <w:tcW w:w="750" w:type="pct"/>
            <w:tcBorders>
              <w:top w:val="single" w:sz="4" w:space="0" w:color="auto"/>
              <w:left w:val="single" w:sz="4" w:space="0" w:color="auto"/>
              <w:bottom w:val="single" w:sz="4" w:space="0" w:color="auto"/>
              <w:right w:val="single" w:sz="4" w:space="0" w:color="auto"/>
            </w:tcBorders>
            <w:vAlign w:val="center"/>
          </w:tcPr>
          <w:p w14:paraId="455FA84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0.0036%</w:t>
            </w:r>
          </w:p>
        </w:tc>
        <w:tc>
          <w:tcPr>
            <w:tcW w:w="750" w:type="pct"/>
            <w:tcBorders>
              <w:top w:val="single" w:sz="4" w:space="0" w:color="auto"/>
              <w:left w:val="single" w:sz="4" w:space="0" w:color="auto"/>
              <w:bottom w:val="single" w:sz="4" w:space="0" w:color="auto"/>
              <w:right w:val="single" w:sz="4" w:space="0" w:color="auto"/>
            </w:tcBorders>
            <w:vAlign w:val="center"/>
          </w:tcPr>
          <w:p w14:paraId="01C6D1E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3.0748%</w:t>
            </w:r>
          </w:p>
        </w:tc>
        <w:tc>
          <w:tcPr>
            <w:tcW w:w="750" w:type="pct"/>
            <w:tcBorders>
              <w:top w:val="single" w:sz="4" w:space="0" w:color="auto"/>
              <w:left w:val="single" w:sz="4" w:space="0" w:color="auto"/>
              <w:bottom w:val="single" w:sz="4" w:space="0" w:color="auto"/>
              <w:right w:val="single" w:sz="4" w:space="0" w:color="auto"/>
            </w:tcBorders>
            <w:vAlign w:val="center"/>
          </w:tcPr>
          <w:p w14:paraId="436E7FC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0128C36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0.4266%</w:t>
            </w:r>
          </w:p>
        </w:tc>
        <w:tc>
          <w:tcPr>
            <w:tcW w:w="750" w:type="pct"/>
            <w:tcBorders>
              <w:top w:val="single" w:sz="4" w:space="0" w:color="auto"/>
              <w:left w:val="single" w:sz="4" w:space="0" w:color="auto"/>
              <w:bottom w:val="single" w:sz="4" w:space="0" w:color="auto"/>
              <w:right w:val="single" w:sz="4" w:space="0" w:color="auto"/>
            </w:tcBorders>
            <w:vAlign w:val="center"/>
          </w:tcPr>
          <w:p w14:paraId="13DBE85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0.0029%</w:t>
            </w:r>
          </w:p>
        </w:tc>
      </w:tr>
      <w:tr w:rsidR="00007225" w14:paraId="504C8F5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775AF5D"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8D56CF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EC1DB9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1.8421%</w:t>
            </w:r>
          </w:p>
        </w:tc>
        <w:tc>
          <w:tcPr>
            <w:tcW w:w="750" w:type="pct"/>
            <w:tcBorders>
              <w:top w:val="single" w:sz="4" w:space="0" w:color="auto"/>
              <w:left w:val="single" w:sz="4" w:space="0" w:color="auto"/>
              <w:bottom w:val="single" w:sz="4" w:space="0" w:color="auto"/>
              <w:right w:val="single" w:sz="4" w:space="0" w:color="auto"/>
            </w:tcBorders>
            <w:vAlign w:val="center"/>
          </w:tcPr>
          <w:p w14:paraId="6E1292A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0.0023%</w:t>
            </w:r>
          </w:p>
        </w:tc>
        <w:tc>
          <w:tcPr>
            <w:tcW w:w="750" w:type="pct"/>
            <w:tcBorders>
              <w:top w:val="single" w:sz="4" w:space="0" w:color="auto"/>
              <w:left w:val="single" w:sz="4" w:space="0" w:color="auto"/>
              <w:bottom w:val="single" w:sz="4" w:space="0" w:color="auto"/>
              <w:right w:val="single" w:sz="4" w:space="0" w:color="auto"/>
            </w:tcBorders>
            <w:vAlign w:val="center"/>
          </w:tcPr>
          <w:p w14:paraId="5991570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2.0289%</w:t>
            </w:r>
          </w:p>
        </w:tc>
        <w:tc>
          <w:tcPr>
            <w:tcW w:w="750" w:type="pct"/>
            <w:tcBorders>
              <w:top w:val="single" w:sz="4" w:space="0" w:color="auto"/>
              <w:left w:val="single" w:sz="4" w:space="0" w:color="auto"/>
              <w:bottom w:val="single" w:sz="4" w:space="0" w:color="auto"/>
              <w:right w:val="single" w:sz="4" w:space="0" w:color="auto"/>
            </w:tcBorders>
            <w:vAlign w:val="center"/>
          </w:tcPr>
          <w:p w14:paraId="37C393B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0.0003%</w:t>
            </w:r>
          </w:p>
        </w:tc>
        <w:tc>
          <w:tcPr>
            <w:tcW w:w="750" w:type="pct"/>
            <w:tcBorders>
              <w:top w:val="single" w:sz="4" w:space="0" w:color="auto"/>
              <w:left w:val="single" w:sz="4" w:space="0" w:color="auto"/>
              <w:bottom w:val="single" w:sz="4" w:space="0" w:color="auto"/>
              <w:right w:val="single" w:sz="4" w:space="0" w:color="auto"/>
            </w:tcBorders>
            <w:vAlign w:val="center"/>
          </w:tcPr>
          <w:p w14:paraId="6506787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-0.1868%</w:t>
            </w:r>
          </w:p>
        </w:tc>
        <w:tc>
          <w:tcPr>
            <w:tcW w:w="750" w:type="pct"/>
            <w:tcBorders>
              <w:top w:val="single" w:sz="4" w:space="0" w:color="auto"/>
              <w:left w:val="single" w:sz="4" w:space="0" w:color="auto"/>
              <w:bottom w:val="single" w:sz="4" w:space="0" w:color="auto"/>
              <w:right w:val="single" w:sz="4" w:space="0" w:color="auto"/>
            </w:tcBorders>
            <w:vAlign w:val="center"/>
          </w:tcPr>
          <w:p w14:paraId="44496FA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r>
      <w:tr w:rsidR="00007225" w14:paraId="1E50A58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423CF41"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CD2B18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9F060E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1.5829%</w:t>
            </w:r>
          </w:p>
        </w:tc>
        <w:tc>
          <w:tcPr>
            <w:tcW w:w="750" w:type="pct"/>
            <w:tcBorders>
              <w:top w:val="single" w:sz="4" w:space="0" w:color="auto"/>
              <w:left w:val="single" w:sz="4" w:space="0" w:color="auto"/>
              <w:bottom w:val="single" w:sz="4" w:space="0" w:color="auto"/>
              <w:right w:val="single" w:sz="4" w:space="0" w:color="auto"/>
            </w:tcBorders>
            <w:vAlign w:val="center"/>
          </w:tcPr>
          <w:p w14:paraId="65C1685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0.0048%</w:t>
            </w:r>
          </w:p>
        </w:tc>
        <w:tc>
          <w:tcPr>
            <w:tcW w:w="750" w:type="pct"/>
            <w:tcBorders>
              <w:top w:val="single" w:sz="4" w:space="0" w:color="auto"/>
              <w:left w:val="single" w:sz="4" w:space="0" w:color="auto"/>
              <w:bottom w:val="single" w:sz="4" w:space="0" w:color="auto"/>
              <w:right w:val="single" w:sz="4" w:space="0" w:color="auto"/>
            </w:tcBorders>
            <w:vAlign w:val="center"/>
          </w:tcPr>
          <w:p w14:paraId="47CD7C5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1.9800%</w:t>
            </w:r>
          </w:p>
        </w:tc>
        <w:tc>
          <w:tcPr>
            <w:tcW w:w="750" w:type="pct"/>
            <w:tcBorders>
              <w:top w:val="single" w:sz="4" w:space="0" w:color="auto"/>
              <w:left w:val="single" w:sz="4" w:space="0" w:color="auto"/>
              <w:bottom w:val="single" w:sz="4" w:space="0" w:color="auto"/>
              <w:right w:val="single" w:sz="4" w:space="0" w:color="auto"/>
            </w:tcBorders>
            <w:vAlign w:val="center"/>
          </w:tcPr>
          <w:p w14:paraId="31281D8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B018A8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-0.3971%</w:t>
            </w:r>
          </w:p>
        </w:tc>
        <w:tc>
          <w:tcPr>
            <w:tcW w:w="750" w:type="pct"/>
            <w:tcBorders>
              <w:top w:val="single" w:sz="4" w:space="0" w:color="auto"/>
              <w:left w:val="single" w:sz="4" w:space="0" w:color="auto"/>
              <w:bottom w:val="single" w:sz="4" w:space="0" w:color="auto"/>
              <w:right w:val="single" w:sz="4" w:space="0" w:color="auto"/>
            </w:tcBorders>
            <w:vAlign w:val="center"/>
          </w:tcPr>
          <w:p w14:paraId="352D1A2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0.0048%</w:t>
            </w:r>
          </w:p>
        </w:tc>
      </w:tr>
      <w:tr w:rsidR="00007225" w14:paraId="75D8D39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6EB0CB4"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253150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859A95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3.5615%</w:t>
            </w:r>
          </w:p>
        </w:tc>
        <w:tc>
          <w:tcPr>
            <w:tcW w:w="750" w:type="pct"/>
            <w:tcBorders>
              <w:top w:val="single" w:sz="4" w:space="0" w:color="auto"/>
              <w:left w:val="single" w:sz="4" w:space="0" w:color="auto"/>
              <w:bottom w:val="single" w:sz="4" w:space="0" w:color="auto"/>
              <w:right w:val="single" w:sz="4" w:space="0" w:color="auto"/>
            </w:tcBorders>
            <w:vAlign w:val="center"/>
          </w:tcPr>
          <w:p w14:paraId="02C36B7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0.0083%</w:t>
            </w:r>
          </w:p>
        </w:tc>
        <w:tc>
          <w:tcPr>
            <w:tcW w:w="750" w:type="pct"/>
            <w:tcBorders>
              <w:top w:val="single" w:sz="4" w:space="0" w:color="auto"/>
              <w:left w:val="single" w:sz="4" w:space="0" w:color="auto"/>
              <w:bottom w:val="single" w:sz="4" w:space="0" w:color="auto"/>
              <w:right w:val="single" w:sz="4" w:space="0" w:color="auto"/>
            </w:tcBorders>
            <w:vAlign w:val="center"/>
          </w:tcPr>
          <w:p w14:paraId="1DFE98C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3.4340%</w:t>
            </w:r>
          </w:p>
        </w:tc>
        <w:tc>
          <w:tcPr>
            <w:tcW w:w="750" w:type="pct"/>
            <w:tcBorders>
              <w:top w:val="single" w:sz="4" w:space="0" w:color="auto"/>
              <w:left w:val="single" w:sz="4" w:space="0" w:color="auto"/>
              <w:bottom w:val="single" w:sz="4" w:space="0" w:color="auto"/>
              <w:right w:val="single" w:sz="4" w:space="0" w:color="auto"/>
            </w:tcBorders>
            <w:vAlign w:val="center"/>
          </w:tcPr>
          <w:p w14:paraId="4B3827B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0.0011%</w:t>
            </w:r>
          </w:p>
        </w:tc>
        <w:tc>
          <w:tcPr>
            <w:tcW w:w="750" w:type="pct"/>
            <w:tcBorders>
              <w:top w:val="single" w:sz="4" w:space="0" w:color="auto"/>
              <w:left w:val="single" w:sz="4" w:space="0" w:color="auto"/>
              <w:bottom w:val="single" w:sz="4" w:space="0" w:color="auto"/>
              <w:right w:val="single" w:sz="4" w:space="0" w:color="auto"/>
            </w:tcBorders>
            <w:vAlign w:val="center"/>
          </w:tcPr>
          <w:p w14:paraId="4458A06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0.1275%</w:t>
            </w:r>
          </w:p>
        </w:tc>
        <w:tc>
          <w:tcPr>
            <w:tcW w:w="750" w:type="pct"/>
            <w:tcBorders>
              <w:top w:val="single" w:sz="4" w:space="0" w:color="auto"/>
              <w:left w:val="single" w:sz="4" w:space="0" w:color="auto"/>
              <w:bottom w:val="single" w:sz="4" w:space="0" w:color="auto"/>
              <w:right w:val="single" w:sz="4" w:space="0" w:color="auto"/>
            </w:tcBorders>
            <w:vAlign w:val="center"/>
          </w:tcPr>
          <w:p w14:paraId="170D573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0.0072%</w:t>
            </w:r>
          </w:p>
        </w:tc>
      </w:tr>
      <w:tr w:rsidR="00007225" w14:paraId="3023A57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A3A418B"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7F1245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2007</w:t>
            </w:r>
            <w:r>
              <w:rPr>
                <w:rFonts w:ascii="Times New Roman" w:hAnsi="Times New Roman"/>
                <w:color w:val="000000"/>
                <w:kern w:val="0"/>
                <w:sz w:val="25"/>
                <w:szCs w:val="24"/>
              </w:rPr>
              <w:t>年度（自基金分级日起至</w:t>
            </w:r>
            <w:r>
              <w:rPr>
                <w:rFonts w:ascii="Times New Roman" w:hAnsi="Times New Roman"/>
                <w:color w:val="000000"/>
                <w:kern w:val="0"/>
                <w:sz w:val="25"/>
                <w:szCs w:val="24"/>
              </w:rPr>
              <w:t>2007</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90D372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2.1597%</w:t>
            </w:r>
          </w:p>
        </w:tc>
        <w:tc>
          <w:tcPr>
            <w:tcW w:w="750" w:type="pct"/>
            <w:tcBorders>
              <w:top w:val="single" w:sz="4" w:space="0" w:color="auto"/>
              <w:left w:val="single" w:sz="4" w:space="0" w:color="auto"/>
              <w:bottom w:val="single" w:sz="4" w:space="0" w:color="auto"/>
              <w:right w:val="single" w:sz="4" w:space="0" w:color="auto"/>
            </w:tcBorders>
            <w:vAlign w:val="center"/>
          </w:tcPr>
          <w:p w14:paraId="5B0A1A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0.0080%</w:t>
            </w:r>
          </w:p>
        </w:tc>
        <w:tc>
          <w:tcPr>
            <w:tcW w:w="750" w:type="pct"/>
            <w:tcBorders>
              <w:top w:val="single" w:sz="4" w:space="0" w:color="auto"/>
              <w:left w:val="single" w:sz="4" w:space="0" w:color="auto"/>
              <w:bottom w:val="single" w:sz="4" w:space="0" w:color="auto"/>
              <w:right w:val="single" w:sz="4" w:space="0" w:color="auto"/>
            </w:tcBorders>
            <w:vAlign w:val="center"/>
          </w:tcPr>
          <w:p w14:paraId="2D9DFAD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1.5446%</w:t>
            </w:r>
          </w:p>
        </w:tc>
        <w:tc>
          <w:tcPr>
            <w:tcW w:w="750" w:type="pct"/>
            <w:tcBorders>
              <w:top w:val="single" w:sz="4" w:space="0" w:color="auto"/>
              <w:left w:val="single" w:sz="4" w:space="0" w:color="auto"/>
              <w:bottom w:val="single" w:sz="4" w:space="0" w:color="auto"/>
              <w:right w:val="single" w:sz="4" w:space="0" w:color="auto"/>
            </w:tcBorders>
            <w:vAlign w:val="center"/>
          </w:tcPr>
          <w:p w14:paraId="20ACF20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0.0013%</w:t>
            </w:r>
          </w:p>
        </w:tc>
        <w:tc>
          <w:tcPr>
            <w:tcW w:w="750" w:type="pct"/>
            <w:tcBorders>
              <w:top w:val="single" w:sz="4" w:space="0" w:color="auto"/>
              <w:left w:val="single" w:sz="4" w:space="0" w:color="auto"/>
              <w:bottom w:val="single" w:sz="4" w:space="0" w:color="auto"/>
              <w:right w:val="single" w:sz="4" w:space="0" w:color="auto"/>
            </w:tcBorders>
            <w:vAlign w:val="center"/>
          </w:tcPr>
          <w:p w14:paraId="25CDF44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0.6151%</w:t>
            </w:r>
          </w:p>
        </w:tc>
        <w:tc>
          <w:tcPr>
            <w:tcW w:w="750" w:type="pct"/>
            <w:tcBorders>
              <w:top w:val="single" w:sz="4" w:space="0" w:color="auto"/>
              <w:left w:val="single" w:sz="4" w:space="0" w:color="auto"/>
              <w:bottom w:val="single" w:sz="4" w:space="0" w:color="auto"/>
              <w:right w:val="single" w:sz="4" w:space="0" w:color="auto"/>
            </w:tcBorders>
            <w:vAlign w:val="center"/>
          </w:tcPr>
          <w:p w14:paraId="6920F35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0.0067%</w:t>
            </w:r>
          </w:p>
        </w:tc>
      </w:tr>
    </w:tbl>
    <w:p w14:paraId="628EEEA3" w14:textId="297BA6E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注：本基金收益</w:t>
      </w:r>
      <w:proofErr w:type="gramStart"/>
      <w:r>
        <w:rPr>
          <w:rFonts w:ascii="宋体" w:hAnsi="宋体"/>
          <w:sz w:val="24"/>
        </w:rPr>
        <w:t>分配</w:t>
      </w:r>
      <w:r w:rsidR="00765E6B">
        <w:rPr>
          <w:rFonts w:ascii="宋体" w:hAnsi="宋体" w:hint="eastAsia"/>
          <w:sz w:val="24"/>
        </w:rPr>
        <w:t>自</w:t>
      </w:r>
      <w:proofErr w:type="gramEnd"/>
      <w:r w:rsidR="00765E6B">
        <w:rPr>
          <w:rFonts w:ascii="宋体" w:hAnsi="宋体" w:hint="eastAsia"/>
          <w:sz w:val="24"/>
        </w:rPr>
        <w:t>2</w:t>
      </w:r>
      <w:r w:rsidR="00765E6B">
        <w:rPr>
          <w:rFonts w:ascii="宋体" w:hAnsi="宋体"/>
          <w:sz w:val="24"/>
        </w:rPr>
        <w:t>023</w:t>
      </w:r>
      <w:r w:rsidR="00765E6B">
        <w:rPr>
          <w:rFonts w:ascii="宋体" w:hAnsi="宋体" w:hint="eastAsia"/>
          <w:sz w:val="24"/>
        </w:rPr>
        <w:t>年</w:t>
      </w:r>
      <w:r w:rsidR="006C084B">
        <w:rPr>
          <w:rFonts w:ascii="宋体" w:hAnsi="宋体"/>
          <w:sz w:val="24"/>
        </w:rPr>
        <w:t>9</w:t>
      </w:r>
      <w:r w:rsidR="00765E6B">
        <w:rPr>
          <w:rFonts w:ascii="宋体" w:hAnsi="宋体" w:hint="eastAsia"/>
          <w:sz w:val="24"/>
        </w:rPr>
        <w:t>月</w:t>
      </w:r>
      <w:r w:rsidR="006C084B">
        <w:rPr>
          <w:rFonts w:ascii="宋体" w:hAnsi="宋体"/>
          <w:sz w:val="24"/>
        </w:rPr>
        <w:t>22</w:t>
      </w:r>
      <w:r w:rsidR="00765E6B">
        <w:rPr>
          <w:rFonts w:ascii="宋体" w:hAnsi="宋体" w:hint="eastAsia"/>
          <w:sz w:val="24"/>
        </w:rPr>
        <w:t>日起由</w:t>
      </w:r>
      <w:r>
        <w:rPr>
          <w:rFonts w:ascii="宋体" w:hAnsi="宋体"/>
          <w:sz w:val="24"/>
        </w:rPr>
        <w:t>按月结转份额</w:t>
      </w:r>
      <w:r w:rsidR="00765E6B">
        <w:rPr>
          <w:rFonts w:ascii="宋体" w:hAnsi="宋体" w:hint="eastAsia"/>
          <w:sz w:val="24"/>
        </w:rPr>
        <w:t>调整为按日结转份额</w:t>
      </w:r>
      <w:r>
        <w:rPr>
          <w:rFonts w:ascii="宋体" w:hAnsi="宋体"/>
          <w:sz w:val="24"/>
        </w:rPr>
        <w:t>。</w:t>
      </w:r>
    </w:p>
    <w:p w14:paraId="2065D6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（二）自基金合同生效以来基金份额累计净值收益率变动及其与同期业绩比较基准收益率变动的比较</w:t>
      </w:r>
    </w:p>
    <w:p w14:paraId="7DE107EA" w14:textId="77777777" w:rsidR="00007225" w:rsidRDefault="00F07F0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交银施罗德货币市场证券投资基金</w:t>
      </w:r>
    </w:p>
    <w:p w14:paraId="3CF98BCD" w14:textId="77777777" w:rsidR="00007225" w:rsidRDefault="00F07F0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份额累计净值收益率与业绩比较基准收益率历史走势对比图</w:t>
      </w:r>
    </w:p>
    <w:p w14:paraId="4C75119C" w14:textId="77777777" w:rsidR="00007225" w:rsidRDefault="00F07F0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（2006年1月20日至2023年03月31日）</w:t>
      </w:r>
    </w:p>
    <w:p w14:paraId="42317B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w:t>
      </w:r>
      <w:proofErr w:type="gramStart"/>
      <w:r>
        <w:rPr>
          <w:rFonts w:ascii="宋体" w:hAnsi="宋体"/>
          <w:sz w:val="24"/>
        </w:rPr>
        <w:t>银货币</w:t>
      </w:r>
      <w:proofErr w:type="gramEnd"/>
      <w:r>
        <w:rPr>
          <w:rFonts w:ascii="宋体" w:hAnsi="宋体"/>
          <w:sz w:val="24"/>
        </w:rPr>
        <w:t>A</w:t>
      </w:r>
    </w:p>
    <w:p w14:paraId="7F50DC3F" w14:textId="535A1446" w:rsidR="00007225" w:rsidRDefault="00F931F3">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4D05E660" wp14:editId="6CF6CE6D">
            <wp:extent cx="5581650" cy="340360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03600"/>
                    </a:xfrm>
                    <a:prstGeom prst="rect">
                      <a:avLst/>
                    </a:prstGeom>
                    <a:noFill/>
                    <a:ln>
                      <a:noFill/>
                    </a:ln>
                  </pic:spPr>
                </pic:pic>
              </a:graphicData>
            </a:graphic>
          </wp:inline>
        </w:drawing>
      </w:r>
    </w:p>
    <w:p w14:paraId="5C1E52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w:t>
      </w:r>
      <w:proofErr w:type="gramStart"/>
      <w:r>
        <w:rPr>
          <w:rFonts w:ascii="宋体" w:hAnsi="宋体"/>
          <w:sz w:val="24"/>
        </w:rPr>
        <w:t>银货币</w:t>
      </w:r>
      <w:proofErr w:type="gramEnd"/>
      <w:r>
        <w:rPr>
          <w:rFonts w:ascii="宋体" w:hAnsi="宋体"/>
          <w:sz w:val="24"/>
        </w:rPr>
        <w:t>B</w:t>
      </w:r>
    </w:p>
    <w:p w14:paraId="1261FE7D" w14:textId="701FE44F" w:rsidR="00007225" w:rsidRDefault="00F931F3">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7663D952" wp14:editId="45307C5D">
            <wp:extent cx="5581650" cy="340360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403600"/>
                    </a:xfrm>
                    <a:prstGeom prst="rect">
                      <a:avLst/>
                    </a:prstGeom>
                    <a:noFill/>
                    <a:ln>
                      <a:noFill/>
                    </a:ln>
                  </pic:spPr>
                </pic:pic>
              </a:graphicData>
            </a:graphic>
          </wp:inline>
        </w:drawing>
      </w:r>
    </w:p>
    <w:p w14:paraId="546CC7B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6C35B9AC"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420FCA9" w14:textId="77777777" w:rsidR="00007225" w:rsidRDefault="00F07F0D">
      <w:pPr>
        <w:pStyle w:val="1"/>
        <w:snapToGrid w:val="0"/>
        <w:spacing w:beforeLines="0" w:before="240" w:after="240"/>
        <w:rPr>
          <w:rFonts w:ascii="宋体" w:hAnsi="宋体"/>
          <w:szCs w:val="30"/>
        </w:rPr>
      </w:pPr>
      <w:bookmarkStart w:id="16" w:name="_Toc137828439"/>
      <w:r>
        <w:rPr>
          <w:rFonts w:ascii="Times New Roman" w:hAnsi="Times New Roman"/>
          <w:sz w:val="30"/>
        </w:rPr>
        <w:lastRenderedPageBreak/>
        <w:t>十三、基金的财产</w:t>
      </w:r>
      <w:bookmarkEnd w:id="16"/>
    </w:p>
    <w:p w14:paraId="6089BEE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（一）基金资产的总值</w:t>
      </w:r>
    </w:p>
    <w:p w14:paraId="1F6E7A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基金资产总值是指购买的各类证券及票据价值、银行存款本息和基金应收的申购基金款以及其他投资所形成的价值总和。</w:t>
      </w:r>
    </w:p>
    <w:p w14:paraId="6C63B8A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14:paraId="48B089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基金资产净值是指基金资产总值扣除基金负债后的价值。其构成主要有：</w:t>
      </w:r>
    </w:p>
    <w:p w14:paraId="378B9C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1、基金份额持有人申购基金份额所支付的款项；</w:t>
      </w:r>
    </w:p>
    <w:p w14:paraId="02085E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2、运用基金财产所获得收益（亏损）；</w:t>
      </w:r>
    </w:p>
    <w:p w14:paraId="161BEAD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3、以前年度实现的尚未分配的收益或尚未弥补的亏损。</w:t>
      </w:r>
    </w:p>
    <w:p w14:paraId="480D397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14:paraId="3E6332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本基金以基金托管人的名义开立资金结算账户和托管专</w:t>
      </w:r>
      <w:proofErr w:type="gramStart"/>
      <w:r>
        <w:rPr>
          <w:rFonts w:ascii="宋体" w:hAnsi="宋体"/>
          <w:sz w:val="24"/>
        </w:rPr>
        <w:t>户用于</w:t>
      </w:r>
      <w:proofErr w:type="gramEnd"/>
      <w:r>
        <w:rPr>
          <w:rFonts w:ascii="宋体" w:hAnsi="宋体"/>
          <w:sz w:val="24"/>
        </w:rPr>
        <w:t>基金的资金结算业务，并以基金托管人和“交银施罗德货币市场证券投资基金”联名的方式开立基金证券账户、以“交银施罗德货币市场证券投资基金”的名义开立银行间债券托管账户并报中国人民银行备案。开立的基金专用账户与基金管理人、基金托管人、基金代销机构和基金注册登记机构自有的财产账户以及其他基金财产账户相独立。</w:t>
      </w:r>
    </w:p>
    <w:p w14:paraId="7EA09366"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（四）基金财产的保管与处分</w:t>
      </w:r>
    </w:p>
    <w:p w14:paraId="7143A15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1、基金财产应独立于基金管理人、基金托管人的固有财产。基金管理人、基金托管人不得将基金财产归入其固有财产。</w:t>
      </w:r>
    </w:p>
    <w:p w14:paraId="4A919F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2、基金管理人、基金托管人因基金财产的管理、运用或者其他情形而取得的财产和收益，归入基金财产。</w:t>
      </w:r>
    </w:p>
    <w:p w14:paraId="4F9C5A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3、基金管理人、基金托管人因依法解散、被依法撤销或者被依法宣告破产等原因进行清算的，基金财产不属于其清算财产。</w:t>
      </w:r>
    </w:p>
    <w:p w14:paraId="3C49C4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4、基金财产的债权，不得与基金管理人、基金托管人固有财产的债务相</w:t>
      </w:r>
      <w:proofErr w:type="gramStart"/>
      <w:r>
        <w:rPr>
          <w:rFonts w:ascii="宋体" w:hAnsi="宋体"/>
          <w:sz w:val="24"/>
        </w:rPr>
        <w:t>抵销</w:t>
      </w:r>
      <w:proofErr w:type="gramEnd"/>
      <w:r>
        <w:rPr>
          <w:rFonts w:ascii="宋体" w:hAnsi="宋体"/>
          <w:sz w:val="24"/>
        </w:rPr>
        <w:t>；不同基金财产的债权债务，不得相互</w:t>
      </w:r>
      <w:proofErr w:type="gramStart"/>
      <w:r>
        <w:rPr>
          <w:rFonts w:ascii="宋体" w:hAnsi="宋体"/>
          <w:sz w:val="24"/>
        </w:rPr>
        <w:t>抵销</w:t>
      </w:r>
      <w:proofErr w:type="gramEnd"/>
      <w:r>
        <w:rPr>
          <w:rFonts w:ascii="宋体" w:hAnsi="宋体"/>
          <w:sz w:val="24"/>
        </w:rPr>
        <w:t>。</w:t>
      </w:r>
    </w:p>
    <w:p w14:paraId="7500C2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5、非因基金财产本身承担的债务，不得对基金财产强制执行。</w:t>
      </w:r>
    </w:p>
    <w:p w14:paraId="3920E7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6、基金管理人、基金托管人可以按基金合同的规定，收取管理费、托管费及其他费用。</w:t>
      </w:r>
    </w:p>
    <w:p w14:paraId="3E6E575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7、除依法</w:t>
      </w:r>
      <w:proofErr w:type="gramStart"/>
      <w:r>
        <w:rPr>
          <w:rFonts w:ascii="宋体" w:hAnsi="宋体"/>
          <w:sz w:val="24"/>
        </w:rPr>
        <w:t>律法规</w:t>
      </w:r>
      <w:proofErr w:type="gramEnd"/>
      <w:r>
        <w:rPr>
          <w:rFonts w:ascii="宋体" w:hAnsi="宋体"/>
          <w:sz w:val="24"/>
        </w:rPr>
        <w:t>和基金合同的规定处分外，基金财产不得被处分。</w:t>
      </w:r>
    </w:p>
    <w:p w14:paraId="2A18D808"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246C52" w14:textId="77777777" w:rsidR="00007225" w:rsidRDefault="00F07F0D">
      <w:pPr>
        <w:pStyle w:val="1"/>
        <w:snapToGrid w:val="0"/>
        <w:spacing w:beforeLines="0" w:before="240" w:after="240"/>
        <w:rPr>
          <w:rFonts w:ascii="宋体" w:hAnsi="宋体"/>
          <w:szCs w:val="30"/>
        </w:rPr>
      </w:pPr>
      <w:bookmarkStart w:id="17" w:name="_Toc137828440"/>
      <w:r>
        <w:rPr>
          <w:rFonts w:ascii="Times New Roman" w:hAnsi="Times New Roman"/>
          <w:sz w:val="30"/>
        </w:rPr>
        <w:lastRenderedPageBreak/>
        <w:t>十四、基金资产的估值</w:t>
      </w:r>
      <w:bookmarkEnd w:id="17"/>
    </w:p>
    <w:p w14:paraId="0E5C4F39"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（一）估值目的</w:t>
      </w:r>
    </w:p>
    <w:p w14:paraId="0657F1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基金资产估值的目的是客观、准确地反映基金财产的价值，依据经基金资产估值后确定的基金资产净值计算出的基金份额收益。本基金采用固定份额净值，基金账面份额净值始终保持为1.00元。</w:t>
      </w:r>
    </w:p>
    <w:p w14:paraId="76D7E93A"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（二）估值日</w:t>
      </w:r>
    </w:p>
    <w:p w14:paraId="541B45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本基金的估值日为相关的证券交易场所的正常营业日以及国家法律法规规定需要对外披露基金净值的非营业日。</w:t>
      </w:r>
    </w:p>
    <w:p w14:paraId="353FEA6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14:paraId="70105C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1、本基金目前投资工具的估值方法如下：</w:t>
      </w:r>
    </w:p>
    <w:p w14:paraId="3EB637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（1）基金持有的银行存款以本金列示，按银行实际协议利率逐日计提利息；</w:t>
      </w:r>
    </w:p>
    <w:p w14:paraId="6F6A16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（2）基金持有的回购协议（封闭式回购）以成本列示，按实际利率在实际持有期间内逐日计提利息，合同利率与实际利率差异较小的，也可采用合同利率计算确定利息收入；</w:t>
      </w:r>
    </w:p>
    <w:p w14:paraId="53F6E2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（3）基金持有的附息债券、贴现</w:t>
      </w:r>
      <w:proofErr w:type="gramStart"/>
      <w:r>
        <w:rPr>
          <w:rFonts w:ascii="宋体" w:hAnsi="宋体"/>
          <w:sz w:val="24"/>
        </w:rPr>
        <w:t>券</w:t>
      </w:r>
      <w:proofErr w:type="gramEnd"/>
      <w:r>
        <w:rPr>
          <w:rFonts w:ascii="宋体" w:hAnsi="宋体"/>
          <w:sz w:val="24"/>
        </w:rPr>
        <w:t>购买时采用实际支付价款（包含交易费用）确定初始成本，每日</w:t>
      </w:r>
      <w:proofErr w:type="gramStart"/>
      <w:r>
        <w:rPr>
          <w:rFonts w:ascii="宋体" w:hAnsi="宋体"/>
          <w:sz w:val="24"/>
        </w:rPr>
        <w:t>按摊余成本</w:t>
      </w:r>
      <w:proofErr w:type="gramEnd"/>
      <w:r>
        <w:rPr>
          <w:rFonts w:ascii="宋体" w:hAnsi="宋体"/>
          <w:sz w:val="24"/>
        </w:rPr>
        <w:t>和实际利率计算确定利息收入；</w:t>
      </w:r>
    </w:p>
    <w:p w14:paraId="41505F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持有的买断式回购以协议成本列示，所产生的利息在实际持有期间内逐日计提。回购期间对涉及的金融资产根据其资产的性质进行相应的估值。回购期满时，若双方都能履约，则按协议进行交割。若融资业务到期无法履约，则继续持有现金资产，实际持有的相关资产按其性质进行估值；</w:t>
      </w:r>
    </w:p>
    <w:p w14:paraId="435E02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（5）基金持有的资产支持证券视同债券，购买时采用实际支付价款（包含交易费用）确定初始成本，每日</w:t>
      </w:r>
      <w:proofErr w:type="gramStart"/>
      <w:r>
        <w:rPr>
          <w:rFonts w:ascii="宋体" w:hAnsi="宋体"/>
          <w:sz w:val="24"/>
        </w:rPr>
        <w:t>按摊余成本</w:t>
      </w:r>
      <w:proofErr w:type="gramEnd"/>
      <w:r>
        <w:rPr>
          <w:rFonts w:ascii="宋体" w:hAnsi="宋体"/>
          <w:sz w:val="24"/>
        </w:rPr>
        <w:t>和实际利率计算确定利息收入。</w:t>
      </w:r>
    </w:p>
    <w:p w14:paraId="089790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有确凿证据表明按上述方法进行估值不能客观反映其公允价值的，基金管理人可根据具体情况与基金托管人商定后，按最能反映公允价值的价格估值。即使存在上述情况，基金管理人若采用上述(1)-(5)规定的方法为基金财产进行了估值，仍应被认为采用了适当的估值方法。</w:t>
      </w:r>
    </w:p>
    <w:p w14:paraId="39844A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3、货币市场基金存续期间，基金管理人应定期计算货币市场基金投资组合摊</w:t>
      </w:r>
      <w:proofErr w:type="gramStart"/>
      <w:r>
        <w:rPr>
          <w:rFonts w:ascii="宋体" w:hAnsi="宋体"/>
          <w:sz w:val="24"/>
        </w:rPr>
        <w:t>余成本</w:t>
      </w:r>
      <w:proofErr w:type="gramEnd"/>
      <w:r>
        <w:rPr>
          <w:rFonts w:ascii="宋体" w:hAnsi="宋体"/>
          <w:sz w:val="24"/>
        </w:rPr>
        <w:t>与其他可参考公允价值指标之间的偏离程度，并定期测试其他可参考公允价值指标确定方法的有效性。投资组合的摊</w:t>
      </w:r>
      <w:proofErr w:type="gramStart"/>
      <w:r>
        <w:rPr>
          <w:rFonts w:ascii="宋体" w:hAnsi="宋体"/>
          <w:sz w:val="24"/>
        </w:rPr>
        <w:t>余成本</w:t>
      </w:r>
      <w:proofErr w:type="gramEnd"/>
      <w:r>
        <w:rPr>
          <w:rFonts w:ascii="宋体" w:hAnsi="宋体"/>
          <w:sz w:val="24"/>
        </w:rPr>
        <w:t>与其他可参考公允价值指标产生重</w:t>
      </w:r>
      <w:r>
        <w:rPr>
          <w:rFonts w:ascii="宋体" w:hAnsi="宋体"/>
          <w:sz w:val="24"/>
        </w:rPr>
        <w:lastRenderedPageBreak/>
        <w:t>大偏离的（偏离度超过0.5%），应按其他公允价值指标对组合的账面价值进行调整，调整差额确认为“公允价值变动损益”，并按其他公允价值指标进行后续计量。如基金份额净值恢复至1元，可恢复使用摊</w:t>
      </w:r>
      <w:proofErr w:type="gramStart"/>
      <w:r>
        <w:rPr>
          <w:rFonts w:ascii="宋体" w:hAnsi="宋体"/>
          <w:sz w:val="24"/>
        </w:rPr>
        <w:t>余成本</w:t>
      </w:r>
      <w:proofErr w:type="gramEnd"/>
      <w:r>
        <w:rPr>
          <w:rFonts w:ascii="宋体" w:hAnsi="宋体"/>
          <w:sz w:val="24"/>
        </w:rPr>
        <w:t>法估算公允价值。</w:t>
      </w:r>
    </w:p>
    <w:p w14:paraId="232BC7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4、如有新增事项，按国家有关法律法规的最新规定估值。</w:t>
      </w:r>
    </w:p>
    <w:p w14:paraId="61925F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5、采用本估值方法可能对基金资产净值波动带来的影响：适用影子定价法对估值对象进行调整时，调整差额于当日计入基金资产净值，基金资产净值可能产生相应的波动。</w:t>
      </w:r>
    </w:p>
    <w:p w14:paraId="4766D36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6、如基金管理人或基金托管人发现基金估值违反基金合同订明的估值方法、程序及相关法律法规的规定或者未能充分维护基金份额持有人利益时，应立即通知对方，共同查明原因，双方协商解决。</w:t>
      </w:r>
    </w:p>
    <w:p w14:paraId="4EC99DD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27BA1A0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（四）估值对象</w:t>
      </w:r>
    </w:p>
    <w:p w14:paraId="29844F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本基金依法持有的银行存款、各类有价证券和应收款项以及其他投资等资产。</w:t>
      </w:r>
    </w:p>
    <w:p w14:paraId="53E562B3"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（五）估值程序</w:t>
      </w:r>
    </w:p>
    <w:p w14:paraId="220844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日常估值由基金管理人进行。基金资产净值由基金管理人完成估值后，将估值结果加盖业务公章以书面形式传真至基金托管人，基金托管人按法律法规、基金合同规定的估值方法、时间、程序进行复核；基金托管人复核无误后加盖业务公章返回给基金管理人；月末、年中和年末估值复核与基金会计账目的核对同时进行。</w:t>
      </w:r>
    </w:p>
    <w:p w14:paraId="323A6855" w14:textId="53941643"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w:t>
      </w:r>
      <w:r w:rsidR="00F87260">
        <w:rPr>
          <w:rFonts w:ascii="宋体" w:hAnsi="宋体" w:hint="eastAsia"/>
          <w:b/>
          <w:kern w:val="0"/>
          <w:sz w:val="24"/>
        </w:rPr>
        <w:t>每万份基金已实现收益</w:t>
      </w:r>
      <w:r w:rsidRPr="00BB248E">
        <w:rPr>
          <w:rFonts w:ascii="宋体" w:hAnsi="宋体" w:hint="eastAsia"/>
          <w:b/>
          <w:kern w:val="0"/>
          <w:sz w:val="24"/>
        </w:rPr>
        <w:t>的确认和估值错误的处理</w:t>
      </w:r>
    </w:p>
    <w:p w14:paraId="05C14492" w14:textId="7326F608"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本基金的估值采用四舍五入方式，</w:t>
      </w:r>
      <w:r w:rsidR="00F87260">
        <w:rPr>
          <w:rFonts w:ascii="宋体" w:hAnsi="宋体"/>
          <w:sz w:val="24"/>
        </w:rPr>
        <w:t>每万份基金已实现收益</w:t>
      </w:r>
      <w:r>
        <w:rPr>
          <w:rFonts w:ascii="宋体" w:hAnsi="宋体"/>
          <w:sz w:val="24"/>
        </w:rPr>
        <w:t>的计算保留到小数点后4位，基金</w:t>
      </w:r>
      <w:proofErr w:type="gramStart"/>
      <w:r>
        <w:rPr>
          <w:rFonts w:ascii="宋体" w:hAnsi="宋体"/>
          <w:sz w:val="24"/>
        </w:rPr>
        <w:t>七日年化收益率</w:t>
      </w:r>
      <w:proofErr w:type="gramEnd"/>
      <w:r>
        <w:rPr>
          <w:rFonts w:ascii="宋体" w:hAnsi="宋体"/>
          <w:sz w:val="24"/>
        </w:rPr>
        <w:t>保留到小数点后3位，国家另有规定的从其规定。</w:t>
      </w:r>
    </w:p>
    <w:p w14:paraId="627057A6" w14:textId="38B98E1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当基金资产的估值导致</w:t>
      </w:r>
      <w:r w:rsidR="00F87260">
        <w:rPr>
          <w:rFonts w:ascii="宋体" w:hAnsi="宋体"/>
          <w:sz w:val="24"/>
        </w:rPr>
        <w:t>每万份基金已实现收益</w:t>
      </w:r>
      <w:r>
        <w:rPr>
          <w:rFonts w:ascii="宋体" w:hAnsi="宋体"/>
          <w:sz w:val="24"/>
        </w:rPr>
        <w:t>小数点后4位或基金</w:t>
      </w:r>
      <w:proofErr w:type="gramStart"/>
      <w:r>
        <w:rPr>
          <w:rFonts w:ascii="宋体" w:hAnsi="宋体"/>
          <w:sz w:val="24"/>
        </w:rPr>
        <w:t>七日年化收益率</w:t>
      </w:r>
      <w:proofErr w:type="gramEnd"/>
      <w:r>
        <w:rPr>
          <w:rFonts w:ascii="宋体" w:hAnsi="宋体"/>
          <w:sz w:val="24"/>
        </w:rPr>
        <w:t>小数点后3位以内发生差错时，视为估值错误。国家另有规定的，从其规定。</w:t>
      </w:r>
    </w:p>
    <w:p w14:paraId="0ADF6781" w14:textId="748F7C1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当基金管理人确认已经发生估值错误情形时，基金管理人应当立即公告并予以纠正，并采取合理的措施防止损失进一步扩大；</w:t>
      </w:r>
      <w:proofErr w:type="gramStart"/>
      <w:r>
        <w:rPr>
          <w:rFonts w:ascii="宋体" w:hAnsi="宋体"/>
          <w:sz w:val="24"/>
        </w:rPr>
        <w:t>当错误</w:t>
      </w:r>
      <w:proofErr w:type="gramEnd"/>
      <w:r>
        <w:rPr>
          <w:rFonts w:ascii="宋体" w:hAnsi="宋体"/>
          <w:sz w:val="24"/>
        </w:rPr>
        <w:t>偏差达到或超过基金</w:t>
      </w:r>
      <w:r w:rsidR="00291931">
        <w:rPr>
          <w:rFonts w:ascii="宋体" w:hAnsi="宋体" w:hint="eastAsia"/>
          <w:sz w:val="24"/>
        </w:rPr>
        <w:t>资产</w:t>
      </w:r>
      <w:r>
        <w:rPr>
          <w:rFonts w:ascii="宋体" w:hAnsi="宋体"/>
          <w:sz w:val="24"/>
        </w:rPr>
        <w:t>净值的0.25%时，基金管理人应当及时通知基金托管人并报中国证监会；错误偏差达到基金</w:t>
      </w:r>
      <w:r w:rsidR="00291931">
        <w:rPr>
          <w:rFonts w:ascii="宋体" w:hAnsi="宋体" w:hint="eastAsia"/>
          <w:sz w:val="24"/>
        </w:rPr>
        <w:t>资产</w:t>
      </w:r>
      <w:r>
        <w:rPr>
          <w:rFonts w:ascii="宋体" w:hAnsi="宋体"/>
          <w:sz w:val="24"/>
        </w:rPr>
        <w:t>净值的0.5%时，基金管理人应当公告、通报基金托管人并报中国证监会</w:t>
      </w:r>
      <w:r>
        <w:rPr>
          <w:rFonts w:ascii="宋体" w:hAnsi="宋体"/>
          <w:sz w:val="24"/>
        </w:rPr>
        <w:lastRenderedPageBreak/>
        <w:t>备案。</w:t>
      </w:r>
    </w:p>
    <w:p w14:paraId="37927E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因基金估值错误给投资者造成损失的应先由基金管理人承担，基金管理人对不应由其承担的责任，有权向过错人追偿。基金合同的当事人应将按照以下约定处理：</w:t>
      </w:r>
    </w:p>
    <w:p w14:paraId="0A090F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14:paraId="18968F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14:paraId="62F8D2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EA8FC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33E54E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14:paraId="7F0912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A2134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（2）差错的责任方对可能导致有关当事人的直接损失负责，不对间接损失负责，并且仅对差错的有关直接当事人负责，不对第三方负责。</w:t>
      </w:r>
    </w:p>
    <w:p w14:paraId="06F764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（3）因差错而获得不当得利的当事人负有及时返还不当得利的义务。但差错责任方仍应对差错负责。如果由于获得不当得利的当事人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w:t>
      </w:r>
      <w:r>
        <w:rPr>
          <w:rFonts w:ascii="宋体" w:hAnsi="宋体"/>
          <w:sz w:val="24"/>
        </w:rPr>
        <w:lastRenderedPageBreak/>
        <w:t>损方应当将其已经获得的赔偿额加上已经获得的不当得利返还的总和超过其实际损失的差额部分支付给差错责任方。</w:t>
      </w:r>
    </w:p>
    <w:p w14:paraId="5BC9E4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（4）差错调整采用尽量恢复至假设未发生差错的正确情形的方式。</w:t>
      </w:r>
    </w:p>
    <w:p w14:paraId="6B5625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差错责任方拒绝进行赔偿时，如果因基金管理人过错造成基金财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62FAAD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（6）如果出现差错的当事人未按规定对受损方进行赔偿，并且依据法律法规、基金合同或其他规定，基金管理人自行或依据法院判决、仲裁裁决对受损方承担了赔偿责任，</w:t>
      </w:r>
      <w:proofErr w:type="gramStart"/>
      <w:r>
        <w:rPr>
          <w:rFonts w:ascii="宋体" w:hAnsi="宋体"/>
          <w:sz w:val="24"/>
        </w:rPr>
        <w:t>则基金</w:t>
      </w:r>
      <w:proofErr w:type="gramEnd"/>
      <w:r>
        <w:rPr>
          <w:rFonts w:ascii="宋体" w:hAnsi="宋体"/>
          <w:sz w:val="24"/>
        </w:rPr>
        <w:t>管理人有权向出现过错的当事人进行追索，并有权要求其赔偿或补偿由此发生的费用和遭受的损失。</w:t>
      </w:r>
    </w:p>
    <w:p w14:paraId="45CF7F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（7）按法律法规规定的其他原则处理差错。</w:t>
      </w:r>
    </w:p>
    <w:p w14:paraId="4457A5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14:paraId="7166AF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14:paraId="0B6739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（1）查明差错发生的原因，列明所有的当事人，并根据差错发生的原因确定差错的责任方；</w:t>
      </w:r>
    </w:p>
    <w:p w14:paraId="121DB2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（2）根据差错处理原则或当事人协商的方法对因差错造成的损失进行评估；</w:t>
      </w:r>
    </w:p>
    <w:p w14:paraId="1860C7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（3）根据差错处理原则或当事人协商的方法由差错的责任方进行更正和赔偿损失；</w:t>
      </w:r>
    </w:p>
    <w:p w14:paraId="53D804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（4）根据差错处理的方法，需要修改基金注册登记机构的交易数据的，由基金注册登记机构进行更正，并就差错的更正向有关当事人进行确认；</w:t>
      </w:r>
    </w:p>
    <w:p w14:paraId="2121EFED" w14:textId="1B691EE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（5）基金管理人及基金托管人基金</w:t>
      </w:r>
      <w:r w:rsidR="007B4EBD">
        <w:rPr>
          <w:rFonts w:ascii="宋体" w:hAnsi="宋体" w:hint="eastAsia"/>
          <w:sz w:val="24"/>
        </w:rPr>
        <w:t>资产</w:t>
      </w:r>
      <w:r>
        <w:rPr>
          <w:rFonts w:ascii="宋体" w:hAnsi="宋体"/>
          <w:sz w:val="24"/>
        </w:rPr>
        <w:t>净值计算错误偏差达到或超过基金</w:t>
      </w:r>
      <w:r w:rsidR="00A54BE2">
        <w:rPr>
          <w:rFonts w:ascii="宋体" w:hAnsi="宋体" w:hint="eastAsia"/>
          <w:sz w:val="24"/>
        </w:rPr>
        <w:t>资产</w:t>
      </w:r>
      <w:r>
        <w:rPr>
          <w:rFonts w:ascii="宋体" w:hAnsi="宋体"/>
          <w:sz w:val="24"/>
        </w:rPr>
        <w:t>净值的0.25%时，基金管理人应当及时通知基金托管人并报中国证监会；错误偏差达到基金</w:t>
      </w:r>
      <w:r w:rsidR="00A54BE2">
        <w:rPr>
          <w:rFonts w:ascii="宋体" w:hAnsi="宋体" w:hint="eastAsia"/>
          <w:sz w:val="24"/>
        </w:rPr>
        <w:t>资产</w:t>
      </w:r>
      <w:r>
        <w:rPr>
          <w:rFonts w:ascii="宋体" w:hAnsi="宋体"/>
          <w:sz w:val="24"/>
        </w:rPr>
        <w:t>净值的0.5%时，基金管理人应当公告、通报基金托管人并报中国证监会备案。</w:t>
      </w:r>
    </w:p>
    <w:p w14:paraId="2DFE1D7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（七）暂停估值的情形</w:t>
      </w:r>
    </w:p>
    <w:p w14:paraId="08BCDA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1、与本基金投资有关的证券交易场所遇法定节假日或因其他原因暂停营业时；</w:t>
      </w:r>
    </w:p>
    <w:p w14:paraId="50169D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2、因不可抗力或其他情形致使基金管理人无法准确评估基金财产价值时；</w:t>
      </w:r>
    </w:p>
    <w:p w14:paraId="0EAE3B9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公允价值存在重大不确定性时，经与基金托管人协商确认后，基金管理人应当暂停估值；</w:t>
      </w:r>
    </w:p>
    <w:p w14:paraId="4D3016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4、中国证监会认定的其他情形。</w:t>
      </w:r>
    </w:p>
    <w:p w14:paraId="48E38F8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14:paraId="5D05A7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1、基金管理人按估值方法的第2、3项进行估值时，所造成的误差不作为基金资产估值错误处理；</w:t>
      </w:r>
    </w:p>
    <w:p w14:paraId="3CF8A1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2948A7EE"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5F0E41" w14:textId="77777777" w:rsidR="00007225" w:rsidRDefault="00F07F0D">
      <w:pPr>
        <w:pStyle w:val="1"/>
        <w:snapToGrid w:val="0"/>
        <w:spacing w:beforeLines="0" w:before="240" w:after="240"/>
        <w:rPr>
          <w:rFonts w:ascii="宋体" w:hAnsi="宋体"/>
          <w:szCs w:val="30"/>
        </w:rPr>
      </w:pPr>
      <w:bookmarkStart w:id="18" w:name="_Toc137828441"/>
      <w:r>
        <w:rPr>
          <w:rFonts w:ascii="Times New Roman" w:hAnsi="Times New Roman"/>
          <w:sz w:val="30"/>
        </w:rPr>
        <w:lastRenderedPageBreak/>
        <w:t>十五、基金收益与分配</w:t>
      </w:r>
      <w:bookmarkEnd w:id="18"/>
    </w:p>
    <w:p w14:paraId="50B2C7A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（一）基金收益的构成</w:t>
      </w:r>
    </w:p>
    <w:p w14:paraId="75A31F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基金收益包括：基金投资所得利息收入、买卖证券差价收入、银行存款利息以及其他收入。因运用基金资产带来的成本或费用的节约计入基金收益。</w:t>
      </w:r>
    </w:p>
    <w:p w14:paraId="0DFE26B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（二）基金净收益</w:t>
      </w:r>
    </w:p>
    <w:p w14:paraId="6A1EE5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基金净收益为基金收益扣除按照有关规定可以在基金收益中扣除的费用后的余额。</w:t>
      </w:r>
    </w:p>
    <w:p w14:paraId="3E66E96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14:paraId="0D159C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1、基金收益分配原则遵循国家有关法律规定并符合基金合同的有关规定。</w:t>
      </w:r>
    </w:p>
    <w:p w14:paraId="11233ED7" w14:textId="4CA3E522" w:rsidR="00007225" w:rsidRDefault="00F07F0D" w:rsidP="000265D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2、“每日分配、按</w:t>
      </w:r>
      <w:r w:rsidR="00C84DD9">
        <w:rPr>
          <w:rFonts w:ascii="宋体" w:hAnsi="宋体" w:hint="eastAsia"/>
          <w:sz w:val="24"/>
        </w:rPr>
        <w:t>日</w:t>
      </w:r>
      <w:r>
        <w:rPr>
          <w:rFonts w:ascii="宋体" w:hAnsi="宋体"/>
          <w:sz w:val="24"/>
        </w:rPr>
        <w:t>支付”。</w:t>
      </w:r>
      <w:r w:rsidR="00BC33C2" w:rsidRPr="00BC33C2">
        <w:rPr>
          <w:rFonts w:hint="eastAsia"/>
        </w:rPr>
        <w:t xml:space="preserve"> </w:t>
      </w:r>
      <w:r w:rsidR="00BC33C2" w:rsidRPr="00BC33C2">
        <w:rPr>
          <w:rFonts w:ascii="宋体" w:hAnsi="宋体" w:hint="eastAsia"/>
          <w:sz w:val="24"/>
        </w:rPr>
        <w:t>本基金根据每日基金收益情况，以每万份基金已实现收益为基准，为投资人每日计算当日收益并分配，且每日进行支付。投资人当日收益分配的计算保留到小数点后2位，</w:t>
      </w:r>
      <w:r>
        <w:rPr>
          <w:rFonts w:ascii="宋体" w:hAnsi="宋体"/>
          <w:sz w:val="24"/>
        </w:rPr>
        <w:t>如</w:t>
      </w:r>
      <w:r w:rsidR="000265DF">
        <w:rPr>
          <w:rFonts w:ascii="宋体" w:hAnsi="宋体" w:hint="eastAsia"/>
          <w:sz w:val="24"/>
        </w:rPr>
        <w:t>当日</w:t>
      </w:r>
      <w:r>
        <w:rPr>
          <w:rFonts w:ascii="宋体" w:hAnsi="宋体"/>
          <w:sz w:val="24"/>
        </w:rPr>
        <w:t>收益计算结果为正，则小数点后第3位</w:t>
      </w:r>
      <w:proofErr w:type="gramStart"/>
      <w:r>
        <w:rPr>
          <w:rFonts w:ascii="宋体" w:hAnsi="宋体"/>
          <w:sz w:val="24"/>
        </w:rPr>
        <w:t>采用截位的</w:t>
      </w:r>
      <w:proofErr w:type="gramEnd"/>
      <w:r>
        <w:rPr>
          <w:rFonts w:ascii="宋体" w:hAnsi="宋体"/>
          <w:sz w:val="24"/>
        </w:rPr>
        <w:t>方式，如</w:t>
      </w:r>
      <w:r w:rsidR="000265DF">
        <w:rPr>
          <w:rFonts w:ascii="宋体" w:hAnsi="宋体" w:hint="eastAsia"/>
          <w:sz w:val="24"/>
        </w:rPr>
        <w:t>当日</w:t>
      </w:r>
      <w:r>
        <w:rPr>
          <w:rFonts w:ascii="宋体" w:hAnsi="宋体"/>
          <w:sz w:val="24"/>
        </w:rPr>
        <w:t>收益计算结果为负，则小数点后第3位采用</w:t>
      </w:r>
      <w:proofErr w:type="gramStart"/>
      <w:r>
        <w:rPr>
          <w:rFonts w:ascii="宋体" w:hAnsi="宋体"/>
          <w:sz w:val="24"/>
        </w:rPr>
        <w:t>非零即</w:t>
      </w:r>
      <w:proofErr w:type="gramEnd"/>
      <w:r>
        <w:rPr>
          <w:rFonts w:ascii="宋体" w:hAnsi="宋体"/>
          <w:sz w:val="24"/>
        </w:rPr>
        <w:t>入的方式，</w:t>
      </w:r>
      <w:proofErr w:type="gramStart"/>
      <w:r>
        <w:rPr>
          <w:rFonts w:ascii="宋体" w:hAnsi="宋体"/>
          <w:sz w:val="24"/>
        </w:rPr>
        <w:t>因截位或</w:t>
      </w:r>
      <w:proofErr w:type="gramEnd"/>
      <w:r>
        <w:rPr>
          <w:rFonts w:ascii="宋体" w:hAnsi="宋体"/>
          <w:sz w:val="24"/>
        </w:rPr>
        <w:t>用</w:t>
      </w:r>
      <w:proofErr w:type="gramStart"/>
      <w:r>
        <w:rPr>
          <w:rFonts w:ascii="宋体" w:hAnsi="宋体"/>
          <w:sz w:val="24"/>
        </w:rPr>
        <w:t>非零即入形成</w:t>
      </w:r>
      <w:proofErr w:type="gramEnd"/>
      <w:r>
        <w:rPr>
          <w:rFonts w:ascii="宋体" w:hAnsi="宋体"/>
          <w:sz w:val="24"/>
        </w:rPr>
        <w:t>的余额归入基金财产，参与第二个工作日的分配。</w:t>
      </w:r>
    </w:p>
    <w:p w14:paraId="102E7661" w14:textId="7711DE9C"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3、本基金每日</w:t>
      </w:r>
      <w:r w:rsidR="0022791F">
        <w:rPr>
          <w:rFonts w:ascii="宋体" w:hAnsi="宋体" w:hint="eastAsia"/>
          <w:sz w:val="24"/>
        </w:rPr>
        <w:t>进行收益支付</w:t>
      </w:r>
      <w:r>
        <w:rPr>
          <w:rFonts w:ascii="宋体" w:hAnsi="宋体"/>
          <w:sz w:val="24"/>
        </w:rPr>
        <w:t>，以人民币</w:t>
      </w:r>
      <w:proofErr w:type="gramStart"/>
      <w:r>
        <w:rPr>
          <w:rFonts w:ascii="宋体" w:hAnsi="宋体"/>
          <w:sz w:val="24"/>
        </w:rPr>
        <w:t>元方式</w:t>
      </w:r>
      <w:proofErr w:type="gramEnd"/>
      <w:r>
        <w:rPr>
          <w:rFonts w:ascii="宋体" w:hAnsi="宋体"/>
          <w:sz w:val="24"/>
        </w:rPr>
        <w:t>簿记，收益支付方式只采用红利再投资（即红利</w:t>
      </w:r>
      <w:proofErr w:type="gramStart"/>
      <w:r>
        <w:rPr>
          <w:rFonts w:ascii="宋体" w:hAnsi="宋体"/>
          <w:sz w:val="24"/>
        </w:rPr>
        <w:t>转基金</w:t>
      </w:r>
      <w:proofErr w:type="gramEnd"/>
      <w:r>
        <w:rPr>
          <w:rFonts w:ascii="宋体" w:hAnsi="宋体"/>
          <w:sz w:val="24"/>
        </w:rPr>
        <w:t>份额）方式；</w:t>
      </w:r>
      <w:r w:rsidR="0081587E" w:rsidRPr="0081587E">
        <w:rPr>
          <w:rFonts w:ascii="宋体" w:hAnsi="宋体" w:hint="eastAsia"/>
          <w:sz w:val="24"/>
        </w:rPr>
        <w:t>若当日净收益大于零时，则增加投资人基金份额，若当日净收益等于零时，则保持投资人基金份额不变；基金管理人将采取必要措施尽量避免基金净收益小于零，若当日净收益小于零时，缩减投资人基金份额</w:t>
      </w:r>
      <w:r w:rsidR="00064752">
        <w:rPr>
          <w:rFonts w:ascii="宋体" w:hAnsi="宋体" w:hint="eastAsia"/>
          <w:sz w:val="24"/>
        </w:rPr>
        <w:t>。</w:t>
      </w:r>
    </w:p>
    <w:p w14:paraId="61802A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4、当日申购的基金份额自下一个工作日起享有基金的分配权益；当日赎回的基金份额自下一个工作日起不享有基金的分配权益。</w:t>
      </w:r>
    </w:p>
    <w:p w14:paraId="5CB4E87C" w14:textId="55F0416A" w:rsidR="00007225" w:rsidRDefault="00F07F0D" w:rsidP="00F047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5、每一基金份额享有同等分配权。</w:t>
      </w:r>
    </w:p>
    <w:p w14:paraId="2347D3F6" w14:textId="7D0A5C44" w:rsidR="00007225" w:rsidRDefault="00F047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F07F0D">
        <w:rPr>
          <w:rFonts w:ascii="宋体" w:hAnsi="宋体"/>
          <w:sz w:val="24"/>
        </w:rPr>
        <w:t>、在符合相关法律法规及规范性文件的规定，且不影响基金份额持有人利益的情况下，基金管理人可酌情调整基金收益分配方式，此项调整不需要基金份额持有人大会决议通过，基金管理人应于实施更改前依照《信息披露办法》和《信息披露特别规定》的有关规定在指定媒介上公告。</w:t>
      </w:r>
    </w:p>
    <w:p w14:paraId="159B41F6" w14:textId="118297F7" w:rsidR="00007225" w:rsidRDefault="00F34FD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F07F0D">
        <w:rPr>
          <w:rFonts w:ascii="宋体" w:hAnsi="宋体"/>
          <w:sz w:val="24"/>
        </w:rPr>
        <w:t>、法律法规或监管机关另有规定的，从其规定。</w:t>
      </w:r>
    </w:p>
    <w:p w14:paraId="003E39B0" w14:textId="2E2C9A1E" w:rsidR="00007225" w:rsidRPr="005C6F03" w:rsidRDefault="00F07F0D" w:rsidP="00E652C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本基金于2006年2月13日将投资者所拥有的自2006年1月20日至2006年2月13日</w:t>
      </w:r>
      <w:r>
        <w:rPr>
          <w:rFonts w:ascii="宋体" w:hAnsi="宋体"/>
          <w:sz w:val="24"/>
        </w:rPr>
        <w:lastRenderedPageBreak/>
        <w:t>的累计收益进行首次集中支付，并按1元面值直接结转为基金份额，不进行现金支付。2006年3月</w:t>
      </w:r>
      <w:r w:rsidR="000D65D2">
        <w:rPr>
          <w:rFonts w:ascii="宋体" w:hAnsi="宋体" w:hint="eastAsia"/>
          <w:sz w:val="24"/>
        </w:rPr>
        <w:t>至2</w:t>
      </w:r>
      <w:r w:rsidR="000D65D2">
        <w:rPr>
          <w:rFonts w:ascii="宋体" w:hAnsi="宋体"/>
          <w:sz w:val="24"/>
        </w:rPr>
        <w:t>023</w:t>
      </w:r>
      <w:r w:rsidR="000D65D2">
        <w:rPr>
          <w:rFonts w:ascii="宋体" w:hAnsi="宋体" w:hint="eastAsia"/>
          <w:sz w:val="24"/>
        </w:rPr>
        <w:t>年</w:t>
      </w:r>
      <w:r w:rsidR="00442BB9">
        <w:rPr>
          <w:rFonts w:ascii="宋体" w:hAnsi="宋体"/>
          <w:sz w:val="24"/>
        </w:rPr>
        <w:t>9</w:t>
      </w:r>
      <w:r w:rsidR="000D65D2">
        <w:rPr>
          <w:rFonts w:ascii="宋体" w:hAnsi="宋体" w:hint="eastAsia"/>
          <w:sz w:val="24"/>
        </w:rPr>
        <w:t>月</w:t>
      </w:r>
      <w:r>
        <w:rPr>
          <w:rFonts w:ascii="宋体" w:hAnsi="宋体"/>
          <w:sz w:val="24"/>
        </w:rPr>
        <w:t>，本基金投资者的累计收益定于每月第一个工作日集中支付并按1元面值自动转为基金份额。</w:t>
      </w:r>
      <w:r w:rsidR="00D90D32" w:rsidRPr="00D90D32">
        <w:rPr>
          <w:rFonts w:ascii="宋体" w:hAnsi="宋体" w:hint="eastAsia"/>
          <w:sz w:val="24"/>
        </w:rPr>
        <w:t>从2023年9月22日起，本基金每日例行按照基金合同的约定对</w:t>
      </w:r>
      <w:proofErr w:type="gramStart"/>
      <w:r w:rsidR="00D90D32" w:rsidRPr="00D90D32">
        <w:rPr>
          <w:rFonts w:ascii="宋体" w:hAnsi="宋体" w:hint="eastAsia"/>
          <w:sz w:val="24"/>
        </w:rPr>
        <w:t>当天实现</w:t>
      </w:r>
      <w:proofErr w:type="gramEnd"/>
      <w:r w:rsidR="00D90D32" w:rsidRPr="00D90D32">
        <w:rPr>
          <w:rFonts w:ascii="宋体" w:hAnsi="宋体" w:hint="eastAsia"/>
          <w:sz w:val="24"/>
        </w:rPr>
        <w:t>的收益进行收益结转(如遇节假日可顺延)，</w:t>
      </w:r>
      <w:r w:rsidR="00D90D32">
        <w:rPr>
          <w:rFonts w:ascii="宋体" w:hAnsi="宋体" w:hint="eastAsia"/>
          <w:sz w:val="24"/>
        </w:rPr>
        <w:t>截至</w:t>
      </w:r>
      <w:r w:rsidR="00093482">
        <w:rPr>
          <w:rFonts w:ascii="宋体" w:hAnsi="宋体" w:hint="eastAsia"/>
          <w:sz w:val="24"/>
        </w:rPr>
        <w:t>该</w:t>
      </w:r>
      <w:r w:rsidR="00D90D32">
        <w:rPr>
          <w:rFonts w:ascii="宋体" w:hAnsi="宋体" w:hint="eastAsia"/>
          <w:sz w:val="24"/>
        </w:rPr>
        <w:t>日的累计</w:t>
      </w:r>
      <w:r w:rsidR="00DC2A23">
        <w:rPr>
          <w:rFonts w:ascii="宋体" w:hAnsi="宋体" w:hint="eastAsia"/>
          <w:sz w:val="24"/>
        </w:rPr>
        <w:t>未支付收益</w:t>
      </w:r>
      <w:r w:rsidR="00D90D32" w:rsidRPr="00442BB9">
        <w:rPr>
          <w:rFonts w:ascii="宋体" w:hAnsi="宋体" w:hint="eastAsia"/>
          <w:sz w:val="24"/>
        </w:rPr>
        <w:t>于</w:t>
      </w:r>
      <w:r w:rsidR="0092048B">
        <w:rPr>
          <w:rFonts w:ascii="宋体" w:hAnsi="宋体" w:hint="eastAsia"/>
          <w:sz w:val="24"/>
        </w:rPr>
        <w:t>该</w:t>
      </w:r>
      <w:r w:rsidR="00D90D32" w:rsidRPr="00442BB9">
        <w:rPr>
          <w:rFonts w:ascii="宋体" w:hAnsi="宋体" w:hint="eastAsia"/>
          <w:sz w:val="24"/>
        </w:rPr>
        <w:t>日</w:t>
      </w:r>
      <w:r w:rsidR="0064250F">
        <w:rPr>
          <w:rFonts w:ascii="宋体" w:hAnsi="宋体" w:hint="eastAsia"/>
          <w:sz w:val="24"/>
        </w:rPr>
        <w:t>进行结转</w:t>
      </w:r>
      <w:r w:rsidR="00D90D32" w:rsidRPr="00D90D32">
        <w:rPr>
          <w:rFonts w:ascii="宋体" w:hAnsi="宋体" w:hint="eastAsia"/>
          <w:sz w:val="24"/>
        </w:rPr>
        <w:t>。</w:t>
      </w:r>
      <w:r w:rsidR="009D673D" w:rsidRPr="00D90D32">
        <w:rPr>
          <w:rFonts w:ascii="宋体" w:hAnsi="宋体" w:hint="eastAsia"/>
          <w:sz w:val="24"/>
        </w:rPr>
        <w:t>每日例行的收益结转不再另行公告</w:t>
      </w:r>
      <w:r w:rsidR="009D673D">
        <w:rPr>
          <w:rFonts w:ascii="宋体" w:hAnsi="宋体" w:hint="eastAsia"/>
          <w:sz w:val="24"/>
        </w:rPr>
        <w:t>，</w:t>
      </w:r>
      <w:r>
        <w:rPr>
          <w:rFonts w:ascii="宋体" w:hAnsi="宋体"/>
          <w:sz w:val="24"/>
        </w:rPr>
        <w:t>如遇特殊情况，将另行公告。</w:t>
      </w:r>
    </w:p>
    <w:p w14:paraId="6E37B4B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（四）基金收益公告</w:t>
      </w:r>
    </w:p>
    <w:p w14:paraId="6A1C5E31" w14:textId="002148A5"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本基金的基金合同生效后,将于开始办理基金份额申购或者赎回当日,公告截止前一日各级基金份额的基金资产净值、基金合同生效至前一日期间各级基金份额的</w:t>
      </w:r>
      <w:r w:rsidR="00F87260">
        <w:rPr>
          <w:rFonts w:ascii="宋体" w:hAnsi="宋体"/>
          <w:sz w:val="24"/>
        </w:rPr>
        <w:t>每万份基金已实现收益</w:t>
      </w:r>
      <w:r>
        <w:rPr>
          <w:rFonts w:ascii="宋体" w:hAnsi="宋体"/>
          <w:sz w:val="24"/>
        </w:rPr>
        <w:t>、前一日的</w:t>
      </w:r>
      <w:proofErr w:type="gramStart"/>
      <w:r>
        <w:rPr>
          <w:rFonts w:ascii="宋体" w:hAnsi="宋体"/>
          <w:sz w:val="24"/>
        </w:rPr>
        <w:t>七日年化收益率</w:t>
      </w:r>
      <w:proofErr w:type="gramEnd"/>
      <w:r>
        <w:rPr>
          <w:rFonts w:ascii="宋体" w:hAnsi="宋体"/>
          <w:sz w:val="24"/>
        </w:rPr>
        <w:t>。</w:t>
      </w:r>
    </w:p>
    <w:p w14:paraId="5D566F51" w14:textId="17EC89F5"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本基金每一工作日公告截止前一工作日（含节假日）的各级基金份额的</w:t>
      </w:r>
      <w:r w:rsidR="00F87260">
        <w:rPr>
          <w:rFonts w:ascii="宋体" w:hAnsi="宋体"/>
          <w:sz w:val="24"/>
        </w:rPr>
        <w:t>每万份基金已实现收益</w:t>
      </w:r>
      <w:r>
        <w:rPr>
          <w:rFonts w:ascii="宋体" w:hAnsi="宋体"/>
          <w:sz w:val="24"/>
        </w:rPr>
        <w:t>和基金</w:t>
      </w:r>
      <w:proofErr w:type="gramStart"/>
      <w:r>
        <w:rPr>
          <w:rFonts w:ascii="宋体" w:hAnsi="宋体"/>
          <w:sz w:val="24"/>
        </w:rPr>
        <w:t>七日年化收益率</w:t>
      </w:r>
      <w:proofErr w:type="gramEnd"/>
      <w:r>
        <w:rPr>
          <w:rFonts w:ascii="宋体" w:hAnsi="宋体"/>
          <w:sz w:val="24"/>
        </w:rPr>
        <w:t>。基金收益公告由基金管理人编制，并由基金托管人复核后公告。遇特殊情况，可以适当延迟计算或公告。</w:t>
      </w:r>
    </w:p>
    <w:p w14:paraId="57F95762" w14:textId="72A5A1F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某级基金份额的日</w:t>
      </w:r>
      <w:r w:rsidR="00F87260">
        <w:rPr>
          <w:rFonts w:ascii="宋体" w:hAnsi="宋体"/>
          <w:sz w:val="24"/>
        </w:rPr>
        <w:t>每万份基金已实现收益</w:t>
      </w:r>
      <w:r>
        <w:rPr>
          <w:rFonts w:ascii="宋体" w:hAnsi="宋体"/>
          <w:sz w:val="24"/>
        </w:rPr>
        <w:t>=[当日该级基金份额的基金</w:t>
      </w:r>
      <w:r w:rsidR="00684495">
        <w:rPr>
          <w:rFonts w:ascii="宋体" w:hAnsi="宋体" w:hint="eastAsia"/>
          <w:color w:val="000000"/>
          <w:sz w:val="24"/>
        </w:rPr>
        <w:t>已实现收益</w:t>
      </w:r>
      <w:r>
        <w:rPr>
          <w:rFonts w:ascii="宋体" w:hAnsi="宋体"/>
          <w:sz w:val="24"/>
        </w:rPr>
        <w:t>/当日该级基金份额的总额]×10000</w:t>
      </w:r>
    </w:p>
    <w:p w14:paraId="139A2618" w14:textId="5743FEE3"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期间某级基金份额的</w:t>
      </w:r>
      <w:r w:rsidR="00F87260">
        <w:rPr>
          <w:rFonts w:ascii="宋体" w:hAnsi="宋体"/>
          <w:sz w:val="24"/>
        </w:rPr>
        <w:t>每万份基金已实现收益</w:t>
      </w:r>
      <w:r>
        <w:rPr>
          <w:rFonts w:ascii="宋体" w:hAnsi="宋体"/>
          <w:sz w:val="24"/>
        </w:rPr>
        <w:t>＝</w:t>
      </w:r>
      <w:r w:rsidR="00F931F3">
        <w:rPr>
          <w:rFonts w:ascii="宋体" w:hAnsi="宋体"/>
          <w:noProof/>
          <w:kern w:val="0"/>
          <w:sz w:val="24"/>
        </w:rPr>
        <w:drawing>
          <wp:inline distT="0" distB="0" distL="0" distR="0" wp14:anchorId="6F9526EE" wp14:editId="49B60479">
            <wp:extent cx="1460500" cy="539750"/>
            <wp:effectExtent l="0" t="0" r="0" b="0"/>
            <wp:docPr id="5" name="图片 5"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00" cy="539750"/>
                    </a:xfrm>
                    <a:prstGeom prst="rect">
                      <a:avLst/>
                    </a:prstGeom>
                    <a:noFill/>
                    <a:ln>
                      <a:noFill/>
                    </a:ln>
                  </pic:spPr>
                </pic:pic>
              </a:graphicData>
            </a:graphic>
          </wp:inline>
        </w:drawing>
      </w:r>
    </w:p>
    <w:p w14:paraId="1BB411E1" w14:textId="68511D1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其中,r1为期间首日该级基金份额的基金</w:t>
      </w:r>
      <w:r w:rsidR="003728D4">
        <w:rPr>
          <w:rFonts w:ascii="宋体" w:hAnsi="宋体" w:hint="eastAsia"/>
          <w:color w:val="000000"/>
          <w:sz w:val="24"/>
        </w:rPr>
        <w:t>已实现收益</w:t>
      </w:r>
      <w:r>
        <w:rPr>
          <w:rFonts w:ascii="宋体" w:hAnsi="宋体"/>
          <w:sz w:val="24"/>
        </w:rPr>
        <w:t>,s1为期间首日该级基金份额的总额,rw为第w日该级基金份额的基金</w:t>
      </w:r>
      <w:r w:rsidR="003728D4">
        <w:rPr>
          <w:rFonts w:ascii="宋体" w:hAnsi="宋体" w:hint="eastAsia"/>
          <w:color w:val="000000"/>
          <w:sz w:val="24"/>
        </w:rPr>
        <w:t>已实现收益</w:t>
      </w:r>
      <w:r>
        <w:rPr>
          <w:rFonts w:ascii="宋体" w:hAnsi="宋体"/>
          <w:sz w:val="24"/>
        </w:rPr>
        <w:t>,sw为第w日该级基金份额的总额,rn为期间最后一日该级基金份额的基金</w:t>
      </w:r>
      <w:r w:rsidR="003728D4">
        <w:rPr>
          <w:rFonts w:ascii="宋体" w:hAnsi="宋体" w:hint="eastAsia"/>
          <w:color w:val="000000"/>
          <w:sz w:val="24"/>
        </w:rPr>
        <w:t>已实现收益</w:t>
      </w:r>
      <w:r>
        <w:rPr>
          <w:rFonts w:ascii="宋体" w:hAnsi="宋体"/>
          <w:sz w:val="24"/>
        </w:rPr>
        <w:t>,sn为期间最后一日该级基金份额的总额。</w:t>
      </w:r>
    </w:p>
    <w:p w14:paraId="661EB0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上述收益的精度为0.0001元，第5位采用四舍五入的方式。</w:t>
      </w:r>
    </w:p>
    <w:p w14:paraId="425A1E45" w14:textId="7BA312B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某级基金份额的</w:t>
      </w:r>
      <w:proofErr w:type="gramStart"/>
      <w:r>
        <w:rPr>
          <w:rFonts w:ascii="宋体" w:hAnsi="宋体"/>
          <w:sz w:val="24"/>
        </w:rPr>
        <w:t>七日年化收益率</w:t>
      </w:r>
      <w:proofErr w:type="gramEnd"/>
      <w:r>
        <w:rPr>
          <w:rFonts w:ascii="宋体" w:hAnsi="宋体"/>
          <w:sz w:val="24"/>
        </w:rPr>
        <w:t>=</w:t>
      </w:r>
      <w:r w:rsidR="00F931F3">
        <w:rPr>
          <w:rFonts w:ascii="宋体" w:hAnsi="宋体"/>
          <w:noProof/>
          <w:kern w:val="0"/>
          <w:sz w:val="24"/>
        </w:rPr>
        <w:drawing>
          <wp:inline distT="0" distB="0" distL="0" distR="0" wp14:anchorId="745A6AB6" wp14:editId="44B1D31F">
            <wp:extent cx="2222500" cy="577850"/>
            <wp:effectExtent l="0" t="0" r="0" b="0"/>
            <wp:docPr id="6" name="图片 6"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5212566102420208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2500" cy="577850"/>
                    </a:xfrm>
                    <a:prstGeom prst="rect">
                      <a:avLst/>
                    </a:prstGeom>
                    <a:noFill/>
                    <a:ln>
                      <a:noFill/>
                    </a:ln>
                  </pic:spPr>
                </pic:pic>
              </a:graphicData>
            </a:graphic>
          </wp:inline>
        </w:drawing>
      </w:r>
    </w:p>
    <w:p w14:paraId="16480813" w14:textId="7568C39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其中Ri为最近第i</w:t>
      </w:r>
      <w:proofErr w:type="gramStart"/>
      <w:r>
        <w:rPr>
          <w:rFonts w:ascii="宋体" w:hAnsi="宋体"/>
          <w:sz w:val="24"/>
        </w:rPr>
        <w:t>个</w:t>
      </w:r>
      <w:proofErr w:type="gramEnd"/>
      <w:r>
        <w:rPr>
          <w:rFonts w:ascii="宋体" w:hAnsi="宋体"/>
          <w:sz w:val="24"/>
        </w:rPr>
        <w:t>公历日（包括计算当日，i=1，2，…，7）该级基金份额的</w:t>
      </w:r>
      <w:r w:rsidR="00F87260">
        <w:rPr>
          <w:rFonts w:ascii="宋体" w:hAnsi="宋体"/>
          <w:sz w:val="24"/>
        </w:rPr>
        <w:t>每万份基金已实现收益</w:t>
      </w:r>
      <w:r>
        <w:rPr>
          <w:rFonts w:ascii="宋体" w:hAnsi="宋体"/>
          <w:sz w:val="24"/>
        </w:rPr>
        <w:t>，基金</w:t>
      </w:r>
      <w:proofErr w:type="gramStart"/>
      <w:r>
        <w:rPr>
          <w:rFonts w:ascii="宋体" w:hAnsi="宋体"/>
          <w:sz w:val="24"/>
        </w:rPr>
        <w:t>七日年化收益率</w:t>
      </w:r>
      <w:proofErr w:type="gramEnd"/>
      <w:r>
        <w:rPr>
          <w:rFonts w:ascii="宋体" w:hAnsi="宋体"/>
          <w:sz w:val="24"/>
        </w:rPr>
        <w:t>采用四舍五入方式保留小数点后3位。</w:t>
      </w:r>
    </w:p>
    <w:p w14:paraId="646A6D8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14:paraId="61F9EAAD" w14:textId="731253C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基金收益分配方案由基金管理人拟定，并由基金托管人核实后确定。本基金按</w:t>
      </w:r>
      <w:r>
        <w:rPr>
          <w:rFonts w:ascii="宋体" w:hAnsi="宋体"/>
          <w:sz w:val="24"/>
        </w:rPr>
        <w:lastRenderedPageBreak/>
        <w:t>日计算</w:t>
      </w:r>
      <w:r w:rsidR="000D119F">
        <w:rPr>
          <w:rFonts w:ascii="宋体" w:hAnsi="宋体" w:hint="eastAsia"/>
          <w:sz w:val="24"/>
        </w:rPr>
        <w:t>并分配</w:t>
      </w:r>
      <w:r>
        <w:rPr>
          <w:rFonts w:ascii="宋体" w:hAnsi="宋体"/>
          <w:sz w:val="24"/>
        </w:rPr>
        <w:t>收益，基金管理人</w:t>
      </w:r>
      <w:proofErr w:type="gramStart"/>
      <w:r>
        <w:rPr>
          <w:rFonts w:ascii="宋体" w:hAnsi="宋体"/>
          <w:sz w:val="24"/>
        </w:rPr>
        <w:t>不</w:t>
      </w:r>
      <w:proofErr w:type="gramEnd"/>
      <w:r>
        <w:rPr>
          <w:rFonts w:ascii="宋体" w:hAnsi="宋体"/>
          <w:sz w:val="24"/>
        </w:rPr>
        <w:t>另行公告基金收益分配方案。</w:t>
      </w:r>
    </w:p>
    <w:p w14:paraId="4BACE5F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14:paraId="42FFC7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收益分配采用红利再投资方式，免收再投资费用。</w:t>
      </w:r>
    </w:p>
    <w:p w14:paraId="7ACBE7A9"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B833082" w14:textId="77777777" w:rsidR="00007225" w:rsidRDefault="00F07F0D">
      <w:pPr>
        <w:pStyle w:val="1"/>
        <w:snapToGrid w:val="0"/>
        <w:spacing w:beforeLines="0" w:before="240" w:after="240"/>
        <w:rPr>
          <w:rFonts w:ascii="宋体" w:hAnsi="宋体"/>
          <w:szCs w:val="30"/>
        </w:rPr>
      </w:pPr>
      <w:bookmarkStart w:id="19" w:name="_Toc137828442"/>
      <w:r>
        <w:rPr>
          <w:rFonts w:ascii="Times New Roman" w:hAnsi="Times New Roman"/>
          <w:sz w:val="30"/>
        </w:rPr>
        <w:lastRenderedPageBreak/>
        <w:t>十六、基金的费用与税收</w:t>
      </w:r>
      <w:bookmarkEnd w:id="19"/>
    </w:p>
    <w:p w14:paraId="72E8DDA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 基金费用的种类</w:t>
      </w:r>
    </w:p>
    <w:p w14:paraId="6A8BC4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0EFE60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FC169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3、基金销售服务费；</w:t>
      </w:r>
    </w:p>
    <w:p w14:paraId="49EDB3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4、基金合同生效后的基金信息披露费用；</w:t>
      </w:r>
    </w:p>
    <w:p w14:paraId="3F13C2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5、基金合同生效后与基金相关的会计师费、律师费；</w:t>
      </w:r>
    </w:p>
    <w:p w14:paraId="741E63D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6、基金份额持有人大会费用；</w:t>
      </w:r>
    </w:p>
    <w:p w14:paraId="4CE928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14:paraId="27C8E7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8、按照国家有关规定和基金合同约定可以在基金财产中列支的其他费用。</w:t>
      </w:r>
    </w:p>
    <w:p w14:paraId="6153F4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合同终止清算时所发生费用，按实际支出额从基金财产总值中扣除。</w:t>
      </w:r>
    </w:p>
    <w:p w14:paraId="6CD2D1E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 基金费用计提方法、计提标准和支付方式</w:t>
      </w:r>
    </w:p>
    <w:p w14:paraId="6ECA77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686131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73A98F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本基金的管理费按基金资产净值的0.15%年费率计提。管理费的计算方法如下：</w:t>
      </w:r>
    </w:p>
    <w:p w14:paraId="4AE3B1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14:paraId="1C2D0C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H为每日应付的基金管理费</w:t>
      </w:r>
    </w:p>
    <w:p w14:paraId="07581B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5A2301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款指令，基金托管人复核后于次月前2个工作日内从基金财产中一次性支付给基金管理人。若遇法定节假日、公休假等，支付日期顺延。</w:t>
      </w:r>
    </w:p>
    <w:p w14:paraId="0C08A6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2F5FE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本基金的托管费按基金资产净值的0.05%的年费率计提。托管费的计算方法如下：</w:t>
      </w:r>
    </w:p>
    <w:p w14:paraId="723C86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14:paraId="16FD74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H为每日应支付的基金托管费</w:t>
      </w:r>
    </w:p>
    <w:p w14:paraId="145B59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F7C67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基金托管费每日计提，按月支付，由基金管理人向基金托管人发送基金托管费划款指令，基金托管人复核后于次月前2个工作日内从基金财产中一次性支取。若遇法定节假日、公休假等，支付日期顺延。</w:t>
      </w:r>
    </w:p>
    <w:p w14:paraId="3297FB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与基金销售有关的费用</w:t>
      </w:r>
    </w:p>
    <w:p w14:paraId="0B9B9E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6C1D96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本基金申购费的费率为零，详见“基金份额的申购、赎回及其他业务”一章。</w:t>
      </w:r>
    </w:p>
    <w:p w14:paraId="462791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715ED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本基金赎回费的费率为零，详见“基金份额的申购、赎回及其他业务”一章。</w:t>
      </w:r>
    </w:p>
    <w:p w14:paraId="1F531D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14:paraId="528DD5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14:paraId="265323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（4）销售服务费</w:t>
      </w:r>
    </w:p>
    <w:p w14:paraId="5E8035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本基金各级基金份额按照不同的费率计提销售服务费，在通常情况下，本基金A</w:t>
      </w:r>
      <w:proofErr w:type="gramStart"/>
      <w:r>
        <w:rPr>
          <w:rFonts w:ascii="宋体" w:hAnsi="宋体"/>
          <w:sz w:val="24"/>
        </w:rPr>
        <w:t>级基金</w:t>
      </w:r>
      <w:proofErr w:type="gramEnd"/>
      <w:r>
        <w:rPr>
          <w:rFonts w:ascii="宋体" w:hAnsi="宋体"/>
          <w:sz w:val="24"/>
        </w:rPr>
        <w:t>份额的销售服务费年费率为0.25%，B</w:t>
      </w:r>
      <w:proofErr w:type="gramStart"/>
      <w:r>
        <w:rPr>
          <w:rFonts w:ascii="宋体" w:hAnsi="宋体"/>
          <w:sz w:val="24"/>
        </w:rPr>
        <w:t>级基金</w:t>
      </w:r>
      <w:proofErr w:type="gramEnd"/>
      <w:r>
        <w:rPr>
          <w:rFonts w:ascii="宋体" w:hAnsi="宋体"/>
          <w:sz w:val="24"/>
        </w:rPr>
        <w:t>份额的年费率为0.01%。各级基金份额的销售服务费计提的计算公式如下：</w:t>
      </w:r>
    </w:p>
    <w:p w14:paraId="77878D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H＝E×R÷当年天数</w:t>
      </w:r>
    </w:p>
    <w:p w14:paraId="265B8C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H为每级基金份额每日应计提的销售服务费</w:t>
      </w:r>
    </w:p>
    <w:p w14:paraId="212992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E为前一日该级基金份额的基金资产净值</w:t>
      </w:r>
    </w:p>
    <w:p w14:paraId="52F23B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R为该级基金份额的销售服务费率</w:t>
      </w:r>
    </w:p>
    <w:p w14:paraId="31F407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调整对各级基金份额计提的销售服务费率，但销售服务费年费率最高不超过0.25%。基金管理人应在调整前依照《信息披露办法》和《信息披露特别规定》的有关规定在中国证监会指定媒介上公告并报中国证监会备案。</w:t>
      </w:r>
    </w:p>
    <w:p w14:paraId="79C2CC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级基金份额的基金销售服务费每日计提，按月支付。由基金管理人向基金托管人发送基金销售管理费划付指令，基金托管人复核后于次月前2个工作日内从基金财产中一次性支付给基金管理人，若遇法定节假日、休息日等，支付日期顺延。</w:t>
      </w:r>
    </w:p>
    <w:p w14:paraId="413369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基金销售服务费主要用于支付销售机构佣金，以及基金管理人的基金营销广告费、促销活动费、持有人服务费等。</w:t>
      </w:r>
    </w:p>
    <w:p w14:paraId="6C59E3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上述（一）基金费用的种类中4－8项费用由基金托管人根据有关法规及相应协议规定，按费用实际支出金额列入当期费用，从基金财产中支付。</w:t>
      </w:r>
    </w:p>
    <w:p w14:paraId="4F763C9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 不列入基金费用的项目</w:t>
      </w:r>
    </w:p>
    <w:p w14:paraId="05FE3F4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基金管理人和基金托管人因未履行或未完全履行义务导致的费用支出或基金财</w:t>
      </w:r>
      <w:r>
        <w:rPr>
          <w:rFonts w:ascii="宋体" w:hAnsi="宋体"/>
          <w:sz w:val="24"/>
        </w:rPr>
        <w:lastRenderedPageBreak/>
        <w:t>产的损失，以及处理与基金运作无关的事项发生的费用等不列入基金费用。</w:t>
      </w:r>
    </w:p>
    <w:p w14:paraId="05CD33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基金募集期间的信息披露费、会计师费、律师费及其他费用，不得从基金财产中列支。其他具体不列入基金费用的项目依据中国证监会有关规定执行。</w:t>
      </w:r>
    </w:p>
    <w:p w14:paraId="2C2C211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（四）基金管理费、托管费、销售服务费率的调整</w:t>
      </w:r>
    </w:p>
    <w:p w14:paraId="33FD24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基金管理人和基金托管人可根据基金发展情况调整基金管理费率、基金托管费率和销售服务费率。调高基金管理费率、基金托管费率、销售服务费率，</w:t>
      </w:r>
      <w:proofErr w:type="gramStart"/>
      <w:r>
        <w:rPr>
          <w:rFonts w:ascii="宋体" w:hAnsi="宋体"/>
          <w:sz w:val="24"/>
        </w:rPr>
        <w:t>须召开</w:t>
      </w:r>
      <w:proofErr w:type="gramEnd"/>
      <w:r>
        <w:rPr>
          <w:rFonts w:ascii="宋体" w:hAnsi="宋体"/>
          <w:sz w:val="24"/>
        </w:rPr>
        <w:t>基金份额持有人大会审议；调低基金管理费率、基金托管费率、销售服务费率，无须召开基金份额持有人大会。基金管理人必须最迟于新的费率实施日前依照《信息披露办法》和《信息披露特别规定》的有关规定在指定媒介上公告。</w:t>
      </w:r>
    </w:p>
    <w:p w14:paraId="1160AEA2"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 基金税收</w:t>
      </w:r>
    </w:p>
    <w:p w14:paraId="451834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基金运作过程中涉及的各类纳税主体，其纳税义务按国家税收法律法规执行。</w:t>
      </w:r>
    </w:p>
    <w:p w14:paraId="4CAC708F"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E66EA61" w14:textId="77777777" w:rsidR="00007225" w:rsidRDefault="00F07F0D">
      <w:pPr>
        <w:pStyle w:val="1"/>
        <w:snapToGrid w:val="0"/>
        <w:spacing w:beforeLines="0" w:before="240" w:after="240"/>
        <w:rPr>
          <w:rFonts w:ascii="宋体" w:hAnsi="宋体"/>
          <w:szCs w:val="30"/>
        </w:rPr>
      </w:pPr>
      <w:bookmarkStart w:id="20" w:name="_Toc137828443"/>
      <w:r>
        <w:rPr>
          <w:rFonts w:ascii="Times New Roman" w:hAnsi="Times New Roman"/>
          <w:sz w:val="30"/>
        </w:rPr>
        <w:lastRenderedPageBreak/>
        <w:t>十七、基金的会计与审计</w:t>
      </w:r>
      <w:bookmarkEnd w:id="20"/>
    </w:p>
    <w:p w14:paraId="1D3A493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14:paraId="601732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74E7CE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2、基金的会计年度为公历年度的1月1日至12月31日；基金募集所在会计年度按如下原则：如果基金合同生效少于2个月，可以并入下一个会计年度；</w:t>
      </w:r>
    </w:p>
    <w:p w14:paraId="7BE049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6672EA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61A4FF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11E6CD9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5E6AC6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414F996A"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（二）基金审计</w:t>
      </w:r>
    </w:p>
    <w:p w14:paraId="25BD45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1、本基金管理人聘请与基金管理人、基金托管人相互独立的具有证券、期货相关从业资格的会计师事务所及其注册会计师对本基金的年度财务报表进行审计。</w:t>
      </w:r>
    </w:p>
    <w:p w14:paraId="6931A8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2、会计师事务所更换经办注册会计师，应事先征得基金管理人和基金托管人同意，并报中国证监会备案。</w:t>
      </w:r>
    </w:p>
    <w:p w14:paraId="312041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或基金托管人）认为有充足理由更换会计师事务所，须经基金托管人（或基金管理人）同意，并报中国证监会备案。更换会计师事务所应由基金管理人按照《信息披露办法》的有关规定在中国证监会指定媒介上公告。</w:t>
      </w:r>
    </w:p>
    <w:p w14:paraId="3D78BB85"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BEA745" w14:textId="77777777" w:rsidR="00007225" w:rsidRDefault="00F07F0D">
      <w:pPr>
        <w:pStyle w:val="1"/>
        <w:snapToGrid w:val="0"/>
        <w:spacing w:beforeLines="0" w:before="240" w:after="240"/>
        <w:rPr>
          <w:rFonts w:ascii="宋体" w:hAnsi="宋体"/>
          <w:szCs w:val="30"/>
        </w:rPr>
      </w:pPr>
      <w:bookmarkStart w:id="21" w:name="_Toc137828444"/>
      <w:r>
        <w:rPr>
          <w:rFonts w:ascii="Times New Roman" w:hAnsi="Times New Roman"/>
          <w:sz w:val="30"/>
        </w:rPr>
        <w:lastRenderedPageBreak/>
        <w:t>十八、基金的信息披露</w:t>
      </w:r>
      <w:bookmarkEnd w:id="21"/>
    </w:p>
    <w:p w14:paraId="3C23E6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本基金的信息披露应符合《基金法》、《运作办法》、《信息披露办法》、《流动性规定》、基金合同及其他有关规定。</w:t>
      </w:r>
    </w:p>
    <w:p w14:paraId="485332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3AC3A4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7E8694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BED7C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本基金信息披露义务人承诺公开披露的基金信息，不得有下列行为：</w:t>
      </w:r>
    </w:p>
    <w:p w14:paraId="30DC4A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0E2517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400C3B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3048CE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4335B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7150F2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497B00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本基金公开披露的信息应采用中文文本。如同时采用外文文本的，基金信息披露义务人应保证不同文本的内容一致。不同文本之间发生歧义的，以中文文本为准。</w:t>
      </w:r>
    </w:p>
    <w:p w14:paraId="0ED717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6CAFDA2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（一）公开披露的基金信息</w:t>
      </w:r>
    </w:p>
    <w:p w14:paraId="315131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12E42C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56959F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基金募集申请经中国证监会核准后，基金管理人在基金份额发售前，依照《信息披露办法》和《信息披露特别规定》的有关规定将基金招募说明书、基金合同摘</w:t>
      </w:r>
      <w:r>
        <w:rPr>
          <w:rFonts w:ascii="宋体" w:hAnsi="宋体"/>
          <w:sz w:val="24"/>
        </w:rPr>
        <w:lastRenderedPageBreak/>
        <w:t>要登载在指定报刊和网站上；基金管理人、基金托管人应当将基金合同、基金托管协议登载在网站上。</w:t>
      </w:r>
    </w:p>
    <w:p w14:paraId="450B9B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694D76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BB797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2D3B4F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754B2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2、发售公告</w:t>
      </w:r>
    </w:p>
    <w:p w14:paraId="6745B1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基金管理人应当就基金份额发售的具体事宜编制基金份额发售公告，并在披露招募说明书的当日登载于指定报刊和网站上。</w:t>
      </w:r>
    </w:p>
    <w:p w14:paraId="77B9A3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27B002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基金管理人应当在本基金合同生效的次日在指定报刊和网站上登载基金合同生效公告。</w:t>
      </w:r>
    </w:p>
    <w:p w14:paraId="265C18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362C7A12" w14:textId="5A4D75F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本基金合同生效后，在开始办理基金份额申购或者赎回前，基金管理人应当至少每周公告一次各级基金份额的基金资产净值、</w:t>
      </w:r>
      <w:r w:rsidR="00F87260">
        <w:rPr>
          <w:rFonts w:ascii="宋体" w:hAnsi="宋体"/>
          <w:sz w:val="24"/>
        </w:rPr>
        <w:t>每万份基金已实现收益</w:t>
      </w:r>
      <w:r>
        <w:rPr>
          <w:rFonts w:ascii="宋体" w:hAnsi="宋体"/>
          <w:sz w:val="24"/>
        </w:rPr>
        <w:t>和基金</w:t>
      </w:r>
      <w:proofErr w:type="gramStart"/>
      <w:r>
        <w:rPr>
          <w:rFonts w:ascii="宋体" w:hAnsi="宋体"/>
          <w:sz w:val="24"/>
        </w:rPr>
        <w:t>七日年化收益率</w:t>
      </w:r>
      <w:proofErr w:type="gramEnd"/>
      <w:r>
        <w:rPr>
          <w:rFonts w:ascii="宋体" w:hAnsi="宋体"/>
          <w:sz w:val="24"/>
        </w:rPr>
        <w:t>。</w:t>
      </w:r>
    </w:p>
    <w:p w14:paraId="6353E5B8" w14:textId="68B3FB18"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基金管理人应于开始办理基金份额申购或者赎回当日，在指定报刊和网站上披</w:t>
      </w:r>
      <w:r>
        <w:rPr>
          <w:rFonts w:ascii="宋体" w:hAnsi="宋体"/>
          <w:sz w:val="24"/>
        </w:rPr>
        <w:lastRenderedPageBreak/>
        <w:t>露截止前一日各级基金份额的基金资产净值、基金合同生效至前一日期间各级基金份额的</w:t>
      </w:r>
      <w:r w:rsidR="00F87260">
        <w:rPr>
          <w:rFonts w:ascii="宋体" w:hAnsi="宋体"/>
          <w:sz w:val="24"/>
        </w:rPr>
        <w:t>每万份基金已实现收益</w:t>
      </w:r>
      <w:r>
        <w:rPr>
          <w:rFonts w:ascii="宋体" w:hAnsi="宋体"/>
          <w:sz w:val="24"/>
        </w:rPr>
        <w:t>、前一日的基金</w:t>
      </w:r>
      <w:proofErr w:type="gramStart"/>
      <w:r>
        <w:rPr>
          <w:rFonts w:ascii="宋体" w:hAnsi="宋体"/>
          <w:sz w:val="24"/>
        </w:rPr>
        <w:t>七日年化收益率</w:t>
      </w:r>
      <w:proofErr w:type="gramEnd"/>
      <w:r>
        <w:rPr>
          <w:rFonts w:ascii="宋体" w:hAnsi="宋体"/>
          <w:sz w:val="24"/>
        </w:rPr>
        <w:t>。</w:t>
      </w:r>
    </w:p>
    <w:p w14:paraId="24A0B43D" w14:textId="37A09C08"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基金管理人应当至少于每个开放日的次日，通过指定网站、基金销售机构网站或者营业网点披露截止开放</w:t>
      </w:r>
      <w:proofErr w:type="gramStart"/>
      <w:r>
        <w:rPr>
          <w:rFonts w:ascii="宋体" w:hAnsi="宋体"/>
          <w:sz w:val="24"/>
        </w:rPr>
        <w:t>日各级</w:t>
      </w:r>
      <w:proofErr w:type="gramEnd"/>
      <w:r>
        <w:rPr>
          <w:rFonts w:ascii="宋体" w:hAnsi="宋体"/>
          <w:sz w:val="24"/>
        </w:rPr>
        <w:t>基金份额的</w:t>
      </w:r>
      <w:r w:rsidR="00F87260">
        <w:rPr>
          <w:rFonts w:ascii="宋体" w:hAnsi="宋体"/>
          <w:sz w:val="24"/>
        </w:rPr>
        <w:t>每万份基金已实现收益</w:t>
      </w:r>
      <w:r>
        <w:rPr>
          <w:rFonts w:ascii="宋体" w:hAnsi="宋体"/>
          <w:sz w:val="24"/>
        </w:rPr>
        <w:t>和</w:t>
      </w:r>
      <w:proofErr w:type="gramStart"/>
      <w:r>
        <w:rPr>
          <w:rFonts w:ascii="宋体" w:hAnsi="宋体"/>
          <w:sz w:val="24"/>
        </w:rPr>
        <w:t>七日年化收益率</w:t>
      </w:r>
      <w:proofErr w:type="gramEnd"/>
      <w:r>
        <w:rPr>
          <w:rFonts w:ascii="宋体" w:hAnsi="宋体"/>
          <w:sz w:val="24"/>
        </w:rPr>
        <w:t>。若遇法定节假日，应于节假日结束后第二个自然日披露节假日期间各级基金份额的</w:t>
      </w:r>
      <w:r w:rsidR="00F87260">
        <w:rPr>
          <w:rFonts w:ascii="宋体" w:hAnsi="宋体"/>
          <w:sz w:val="24"/>
        </w:rPr>
        <w:t>每万份基金已实现收益</w:t>
      </w:r>
      <w:r>
        <w:rPr>
          <w:rFonts w:ascii="宋体" w:hAnsi="宋体"/>
          <w:sz w:val="24"/>
        </w:rPr>
        <w:t>、节假日最后一日的</w:t>
      </w:r>
      <w:proofErr w:type="gramStart"/>
      <w:r>
        <w:rPr>
          <w:rFonts w:ascii="宋体" w:hAnsi="宋体"/>
          <w:sz w:val="24"/>
        </w:rPr>
        <w:t>七日年化收益率</w:t>
      </w:r>
      <w:proofErr w:type="gramEnd"/>
      <w:r>
        <w:rPr>
          <w:rFonts w:ascii="宋体" w:hAnsi="宋体"/>
          <w:sz w:val="24"/>
        </w:rPr>
        <w:t>，以及节假日后首个开放日的</w:t>
      </w:r>
      <w:r w:rsidR="00F87260">
        <w:rPr>
          <w:rFonts w:ascii="宋体" w:hAnsi="宋体"/>
          <w:sz w:val="24"/>
        </w:rPr>
        <w:t>每万份基金已实现收益</w:t>
      </w:r>
      <w:r>
        <w:rPr>
          <w:rFonts w:ascii="宋体" w:hAnsi="宋体"/>
          <w:sz w:val="24"/>
        </w:rPr>
        <w:t>和</w:t>
      </w:r>
      <w:proofErr w:type="gramStart"/>
      <w:r>
        <w:rPr>
          <w:rFonts w:ascii="宋体" w:hAnsi="宋体"/>
          <w:sz w:val="24"/>
        </w:rPr>
        <w:t>七日年化收益率</w:t>
      </w:r>
      <w:proofErr w:type="gramEnd"/>
      <w:r>
        <w:rPr>
          <w:rFonts w:ascii="宋体" w:hAnsi="宋体"/>
          <w:sz w:val="24"/>
        </w:rPr>
        <w:t>。</w:t>
      </w:r>
    </w:p>
    <w:p w14:paraId="442F4D52" w14:textId="278EB3BA"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基金管理人应当在不晚于半年度和年度最后一日的次日，在指定网站披露半年度和年度最后一日的各级基金份额的</w:t>
      </w:r>
      <w:r w:rsidR="00F87260">
        <w:rPr>
          <w:rFonts w:ascii="宋体" w:hAnsi="宋体"/>
          <w:sz w:val="24"/>
        </w:rPr>
        <w:t>每万份基金已实现收益</w:t>
      </w:r>
      <w:r>
        <w:rPr>
          <w:rFonts w:ascii="宋体" w:hAnsi="宋体"/>
          <w:sz w:val="24"/>
        </w:rPr>
        <w:t>和</w:t>
      </w:r>
      <w:proofErr w:type="gramStart"/>
      <w:r>
        <w:rPr>
          <w:rFonts w:ascii="宋体" w:hAnsi="宋体"/>
          <w:sz w:val="24"/>
        </w:rPr>
        <w:t>7日年化收益率</w:t>
      </w:r>
      <w:proofErr w:type="gramEnd"/>
      <w:r>
        <w:rPr>
          <w:rFonts w:ascii="宋体" w:hAnsi="宋体"/>
          <w:sz w:val="24"/>
        </w:rPr>
        <w:t>。</w:t>
      </w:r>
    </w:p>
    <w:p w14:paraId="65B60F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5、基金定期报告，包括基金年度报告、基金中期报告和基金季度报告</w:t>
      </w:r>
    </w:p>
    <w:p w14:paraId="147855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763AD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76091E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56F18C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0BB46F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43088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74EC7A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6、临时报告</w:t>
      </w:r>
    </w:p>
    <w:p w14:paraId="2F115B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47FE35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7E65D7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14:paraId="240CE0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1D17DD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37A5D5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700D8D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52EC6A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52CFFA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FCC64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2F26CB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7E68D8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173805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B3759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756C0D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D41EF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759E58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56A4B55A" w14:textId="785BE72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w:t>
      </w:r>
      <w:r w:rsidR="007B4EBD">
        <w:rPr>
          <w:rFonts w:ascii="宋体" w:hAnsi="宋体" w:hint="eastAsia"/>
          <w:sz w:val="24"/>
        </w:rPr>
        <w:t>资产</w:t>
      </w:r>
      <w:r>
        <w:rPr>
          <w:rFonts w:ascii="宋体" w:hAnsi="宋体"/>
          <w:sz w:val="24"/>
        </w:rPr>
        <w:t>净值计价错误</w:t>
      </w:r>
      <w:proofErr w:type="gramStart"/>
      <w:r>
        <w:rPr>
          <w:rFonts w:ascii="宋体" w:hAnsi="宋体"/>
          <w:sz w:val="24"/>
        </w:rPr>
        <w:t>达基金</w:t>
      </w:r>
      <w:proofErr w:type="gramEnd"/>
      <w:r w:rsidR="007B4EBD">
        <w:rPr>
          <w:rFonts w:ascii="宋体" w:hAnsi="宋体" w:hint="eastAsia"/>
          <w:sz w:val="24"/>
        </w:rPr>
        <w:t>资产</w:t>
      </w:r>
      <w:r>
        <w:rPr>
          <w:rFonts w:ascii="宋体" w:hAnsi="宋体"/>
          <w:sz w:val="24"/>
        </w:rPr>
        <w:t>净值百分之零点五；</w:t>
      </w:r>
    </w:p>
    <w:p w14:paraId="07CE14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17）影子定价确定的基金资产净值与摊</w:t>
      </w:r>
      <w:proofErr w:type="gramStart"/>
      <w:r>
        <w:rPr>
          <w:rFonts w:ascii="宋体" w:hAnsi="宋体"/>
          <w:sz w:val="24"/>
        </w:rPr>
        <w:t>余成本</w:t>
      </w:r>
      <w:proofErr w:type="gramEnd"/>
      <w:r>
        <w:rPr>
          <w:rFonts w:ascii="宋体" w:hAnsi="宋体"/>
          <w:sz w:val="24"/>
        </w:rPr>
        <w:t>法计算的基金资产净值的偏离度的绝对值达到或超过基金资产净值的0.5%；</w:t>
      </w:r>
    </w:p>
    <w:p w14:paraId="07EB3A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18）本基金开始办理申购、赎回；</w:t>
      </w:r>
    </w:p>
    <w:p w14:paraId="6621F94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19）本基金发生巨额赎回并延期办理；</w:t>
      </w:r>
    </w:p>
    <w:p w14:paraId="4063F0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20）本基金连续发生巨额赎回并暂停接受赎回申请或延缓支付赎回款项；</w:t>
      </w:r>
    </w:p>
    <w:p w14:paraId="5508A0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21）本基金暂停接受申购、赎回申请或重新接受申购、赎回申请；</w:t>
      </w:r>
    </w:p>
    <w:p w14:paraId="46FADA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22）发生涉及基金申购、赎回事项调整或潜在影响投资者赎回等重大事项时；</w:t>
      </w:r>
    </w:p>
    <w:p w14:paraId="20AE9D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23）本基金投资于主体信用评级低于AA+的商业银行的银行存款与同业存单；</w:t>
      </w:r>
    </w:p>
    <w:p w14:paraId="65E9AA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24）基金信息披露义务人认为可能对基金份额持有人权益或者基金份额的价格产生重大影响的其他事项或中国证监会规定的其他事项。</w:t>
      </w:r>
    </w:p>
    <w:p w14:paraId="502CAA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7、澄清公告</w:t>
      </w:r>
    </w:p>
    <w:p w14:paraId="5C9505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C06B0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8、基金份额持有人大会决议</w:t>
      </w:r>
    </w:p>
    <w:p w14:paraId="07B7DB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3360C3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基金份额持有人依法自行召集基金份额持有人大会，基金管理人、本基金托管人对基金份额持有人大会决定的事项不依法履行信息披露义务的，召集人应当履行相关信息披露义务。</w:t>
      </w:r>
    </w:p>
    <w:p w14:paraId="222721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9、中国证监会规定的其他信息。</w:t>
      </w:r>
    </w:p>
    <w:p w14:paraId="522E1E2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（二）信息披露事务管理</w:t>
      </w:r>
    </w:p>
    <w:p w14:paraId="4E4725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A6E7C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1BA719D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4971D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44834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w:t>
      </w:r>
      <w:r>
        <w:rPr>
          <w:rFonts w:ascii="宋体" w:hAnsi="宋体"/>
          <w:sz w:val="24"/>
        </w:rPr>
        <w:lastRenderedPageBreak/>
        <w:t>其他公共媒介披露信息，但是其他公共媒介不得早于指定媒介披露信息，并且在不同媒介上披露同一信息的内容应当一致。</w:t>
      </w:r>
    </w:p>
    <w:p w14:paraId="410F05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84353F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9F91A4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（三）信息披露文件的存放与查阅</w:t>
      </w:r>
    </w:p>
    <w:p w14:paraId="7472C1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716DC1A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w:t>
      </w:r>
      <w:r w:rsidRPr="00BB248E">
        <w:rPr>
          <w:rFonts w:ascii="宋体" w:hAnsi="宋体" w:hint="eastAsia"/>
          <w:kern w:val="0"/>
          <w:sz w:val="24"/>
        </w:rPr>
        <w:t>本基金信息披露事项以法律法规规定及本章节约定的内容为准。</w:t>
      </w:r>
    </w:p>
    <w:p w14:paraId="1AABA726"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638112E" w14:textId="77777777" w:rsidR="00007225" w:rsidRDefault="00F07F0D">
      <w:pPr>
        <w:pStyle w:val="1"/>
        <w:snapToGrid w:val="0"/>
        <w:spacing w:beforeLines="0" w:before="240" w:after="240"/>
        <w:rPr>
          <w:rFonts w:ascii="宋体" w:hAnsi="宋体"/>
          <w:szCs w:val="30"/>
        </w:rPr>
      </w:pPr>
      <w:bookmarkStart w:id="22" w:name="_Toc137828445"/>
      <w:r>
        <w:rPr>
          <w:rFonts w:ascii="Times New Roman" w:hAnsi="Times New Roman"/>
          <w:sz w:val="30"/>
        </w:rPr>
        <w:lastRenderedPageBreak/>
        <w:t>十九、风险揭示</w:t>
      </w:r>
      <w:bookmarkEnd w:id="22"/>
    </w:p>
    <w:p w14:paraId="6FF7EA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14E374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74E98F8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3F3389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基金是否和投资者的风险承受能力相适应。</w:t>
      </w:r>
    </w:p>
    <w:p w14:paraId="373974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323471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20ECAD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w:t>
      </w:r>
      <w:r>
        <w:rPr>
          <w:rFonts w:ascii="宋体" w:hAnsi="宋体"/>
          <w:sz w:val="24"/>
        </w:rPr>
        <w:lastRenderedPageBreak/>
        <w:t>担。</w:t>
      </w:r>
    </w:p>
    <w:p w14:paraId="32D2CA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本基金面临的主要风险是利率风险、经济周期风险、再投资风险、流动性风险、信用风险、交易对手违约风险、政策风险等。</w:t>
      </w:r>
    </w:p>
    <w:p w14:paraId="5BA35DB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proofErr w:type="gramStart"/>
      <w:r>
        <w:rPr>
          <w:rFonts w:ascii="宋体" w:hAnsi="宋体"/>
          <w:sz w:val="24"/>
        </w:rPr>
        <w:t>一</w:t>
      </w:r>
      <w:proofErr w:type="gramEnd"/>
      <w:r>
        <w:rPr>
          <w:rFonts w:ascii="宋体" w:hAnsi="宋体"/>
          <w:sz w:val="24"/>
        </w:rPr>
        <w:t>) 利率风险</w:t>
      </w:r>
    </w:p>
    <w:p w14:paraId="254E29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由于中央银行的利率的调整和短期利率的波动产生本基金的利率风险。由于利率的波动基金持有人会面临投资收益率低于或高于业绩基准的风险。</w:t>
      </w:r>
    </w:p>
    <w:p w14:paraId="4295BB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 经济周期风险</w:t>
      </w:r>
    </w:p>
    <w:p w14:paraId="0541AB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随着经济的周期性变化，国家经济和各个行业也呈周期性变化，从而影响到证券市场和短期资金市场的走势，给本基金的投资收益带来风险。</w:t>
      </w:r>
    </w:p>
    <w:p w14:paraId="436919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 再投资风险</w:t>
      </w:r>
    </w:p>
    <w:p w14:paraId="3213E7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债券偿付本息后以及回购到期后的再投资获得的收益取决于再投资时的利率水平和再投资的策略。</w:t>
      </w:r>
      <w:proofErr w:type="gramStart"/>
      <w:r>
        <w:rPr>
          <w:rFonts w:ascii="宋体" w:hAnsi="宋体"/>
          <w:sz w:val="24"/>
        </w:rPr>
        <w:t>因未来</w:t>
      </w:r>
      <w:proofErr w:type="gramEnd"/>
      <w:r>
        <w:rPr>
          <w:rFonts w:ascii="宋体" w:hAnsi="宋体"/>
          <w:sz w:val="24"/>
        </w:rPr>
        <w:t>市场利率的变化而引起再投资收益率的不确定性为再投资风险。</w:t>
      </w:r>
    </w:p>
    <w:p w14:paraId="409944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 流动性风险</w:t>
      </w:r>
    </w:p>
    <w:p w14:paraId="52D48D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流动性风险主要是指因基金资产变现的难易程度所导致基金收益变动的风险。本基金投资对象的流动性相对较好，但是在特殊市场情况下（加息或是市场资金紧张的情况下）也会出现部分品种的交易不活跃、成交量不足的情形，此时如果基金赎回金额较大，可能因流动性风险的存在导致基金收益出现波动。</w:t>
      </w:r>
    </w:p>
    <w:p w14:paraId="3F3AB0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4983B5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CD530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79B961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14:paraId="57E2E5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368B70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w:t>
      </w:r>
      <w:proofErr w:type="gramStart"/>
      <w:r>
        <w:rPr>
          <w:rFonts w:ascii="宋体" w:hAnsi="宋体"/>
          <w:sz w:val="24"/>
        </w:rPr>
        <w:t>申请总</w:t>
      </w:r>
      <w:proofErr w:type="gramEnd"/>
      <w:r>
        <w:rPr>
          <w:rFonts w:ascii="宋体" w:hAnsi="宋体"/>
          <w:sz w:val="24"/>
        </w:rPr>
        <w:t>份额加上基金转</w:t>
      </w:r>
      <w:r>
        <w:rPr>
          <w:rFonts w:ascii="宋体" w:hAnsi="宋体"/>
          <w:sz w:val="24"/>
        </w:rPr>
        <w:lastRenderedPageBreak/>
        <w:t>换中转出申请份额总份额扣除申购</w:t>
      </w:r>
      <w:proofErr w:type="gramStart"/>
      <w:r>
        <w:rPr>
          <w:rFonts w:ascii="宋体" w:hAnsi="宋体"/>
          <w:sz w:val="24"/>
        </w:rPr>
        <w:t>申请总</w:t>
      </w:r>
      <w:proofErr w:type="gramEnd"/>
      <w:r>
        <w:rPr>
          <w:rFonts w:ascii="宋体" w:hAnsi="宋体"/>
          <w:sz w:val="24"/>
        </w:rPr>
        <w:t>份额及基金转换中转入申请份额总份额后的余额）超过上一日基金总份额的10%时，即认为发生了巨额赎回。</w:t>
      </w:r>
    </w:p>
    <w:p w14:paraId="1E6731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当出现巨额赎回时，基金管理人可以根据本基金当时的资产组合状况决定全额赎回或部分顺延赎回。</w:t>
      </w:r>
    </w:p>
    <w:p w14:paraId="77D33C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（1）全额赎回：当基金管理人认为有能力支付投资者的全部赎回申请时，按正常赎回程序执行。</w:t>
      </w:r>
    </w:p>
    <w:p w14:paraId="7DCCE7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予以延期办理。对于当日的赎回申请，应当按单个账户赎回申请量占当日赎回申请总量的比例，确定当日单个</w:t>
      </w:r>
      <w:proofErr w:type="gramStart"/>
      <w:r>
        <w:rPr>
          <w:rFonts w:ascii="宋体" w:hAnsi="宋体"/>
          <w:sz w:val="24"/>
        </w:rPr>
        <w:t>帐户</w:t>
      </w:r>
      <w:proofErr w:type="gramEnd"/>
      <w:r>
        <w:rPr>
          <w:rFonts w:ascii="宋体" w:hAnsi="宋体"/>
          <w:sz w:val="24"/>
        </w:rPr>
        <w:t>受理的赎回份额。未受理部分，除投资者在提交赎回申请时明确</w:t>
      </w:r>
      <w:proofErr w:type="gramStart"/>
      <w:r>
        <w:rPr>
          <w:rFonts w:ascii="宋体" w:hAnsi="宋体"/>
          <w:sz w:val="24"/>
        </w:rPr>
        <w:t>作出</w:t>
      </w:r>
      <w:proofErr w:type="gramEnd"/>
      <w:r>
        <w:rPr>
          <w:rFonts w:ascii="宋体" w:hAnsi="宋体"/>
          <w:sz w:val="24"/>
        </w:rPr>
        <w:t>不参加顺延下一个开放日赎回的表示外，顺延至下一个开放日赎回处理。依照上述规定转入下一个开放日的赎回不享有赎回优先权并将按该下一个开放日赎回申请总量计算赎回金额，以此类推，直到全部赎回为止。</w:t>
      </w:r>
    </w:p>
    <w:p w14:paraId="38DB4F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14:paraId="507E49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本基金连续2个开放日以上发生巨额赎回，如基金管理人认为有必要，可暂停接受赎回申请；已经接受的赎回申请可以延缓支付赎回款项，但不得超过正常支付时间20个工作日，并应当在中国证监会指定媒介上公告。</w:t>
      </w:r>
    </w:p>
    <w:p w14:paraId="17E0A3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1FE54BD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3A9B37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w:t>
      </w:r>
      <w:r>
        <w:rPr>
          <w:rFonts w:ascii="宋体" w:hAnsi="宋体"/>
          <w:sz w:val="24"/>
        </w:rPr>
        <w:lastRenderedPageBreak/>
        <w:t>动性风险管理工具时，有可能无法按合同约定的时限支付赎回款项。</w:t>
      </w:r>
    </w:p>
    <w:p w14:paraId="6FAEB1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 信用风险</w:t>
      </w:r>
    </w:p>
    <w:p w14:paraId="1BD98B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当基金持有的债券、票据的发行人违约，不按时偿付本金或利息时，将直接导致基金资产的损失，产生信用风险。</w:t>
      </w:r>
    </w:p>
    <w:p w14:paraId="03DAAB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 交易对手违约风险</w:t>
      </w:r>
    </w:p>
    <w:p w14:paraId="76FB4F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235D7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 政策风险</w:t>
      </w:r>
    </w:p>
    <w:p w14:paraId="069ABC0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政策风险主要指由于国家财政政策或货币政策的变动导致货币市场波动所引发本基金收益产生损失的风险。</w:t>
      </w:r>
    </w:p>
    <w:p w14:paraId="792B10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 其他风险</w:t>
      </w:r>
    </w:p>
    <w:p w14:paraId="04357E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除上面提到的风险外，本基金还存在其他风险，如投资操作风险、技术风险、不可抗力风险等等。</w:t>
      </w:r>
    </w:p>
    <w:p w14:paraId="135096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取红利再投资的分配方式，且每日计算收益并分配。但本基金的收益有正有负。当本基金的收益为正时，投资者的基金份额相应增加；当本基金的收益为负时，投资者的基金份额会相应减少；当本基金的收益为零时，投资者的基金份额保持不变。</w:t>
      </w:r>
    </w:p>
    <w:p w14:paraId="15A1681A"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C23662A" w14:textId="77777777" w:rsidR="00007225" w:rsidRDefault="00F07F0D">
      <w:pPr>
        <w:pStyle w:val="1"/>
        <w:snapToGrid w:val="0"/>
        <w:spacing w:beforeLines="0" w:before="240" w:after="240"/>
        <w:rPr>
          <w:rFonts w:ascii="宋体" w:hAnsi="宋体"/>
          <w:szCs w:val="30"/>
        </w:rPr>
      </w:pPr>
      <w:bookmarkStart w:id="23" w:name="_Toc137828446"/>
      <w:r>
        <w:rPr>
          <w:rFonts w:ascii="Times New Roman" w:hAnsi="Times New Roman"/>
          <w:sz w:val="30"/>
        </w:rPr>
        <w:lastRenderedPageBreak/>
        <w:t>二十、基金合同的终止与基金财产的清算</w:t>
      </w:r>
      <w:bookmarkEnd w:id="23"/>
    </w:p>
    <w:p w14:paraId="2513465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（一）基金合同的终止</w:t>
      </w:r>
    </w:p>
    <w:p w14:paraId="6F7ED6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出现下列情况之一的，基金合同终止：</w:t>
      </w:r>
    </w:p>
    <w:p w14:paraId="6FF86E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8B047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2、基金管理人职责终止，而在6个月内没有新基金管理人承接其原有职责的；</w:t>
      </w:r>
    </w:p>
    <w:p w14:paraId="0DAE0A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3、基金托管人职责终止，而在6个月内没有新基金托管人承接其原有职责的；</w:t>
      </w:r>
    </w:p>
    <w:p w14:paraId="68DF7D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4、基金合同规定的其他情况或中国证监会允许的其它情况。</w:t>
      </w:r>
    </w:p>
    <w:p w14:paraId="60E847A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（二）基金财产清算小组</w:t>
      </w:r>
    </w:p>
    <w:p w14:paraId="4A12AD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自基金合同终止之日起30个工作日内成立基金财产清算小组，清算财产小组必须在中国证监会的监督下进行基金清算。</w:t>
      </w:r>
    </w:p>
    <w:p w14:paraId="499C0E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基金财产清算小组成员由基金管理人、基金托管人、具有从事证券相关业务资格的注册会计师、律师以及中国证监会指定的人员组成。基金清算小组可以聘请必要的工作人员。</w:t>
      </w:r>
    </w:p>
    <w:p w14:paraId="02E029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基金财产清算小组接管基金资产后，负责基金财产的保管、清理、估价、变现和分配。基金财产清算小组可以依法进行必要的民事活动。</w:t>
      </w:r>
    </w:p>
    <w:p w14:paraId="6C9C6FA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（三）清算程序</w:t>
      </w:r>
    </w:p>
    <w:p w14:paraId="4874DC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1、基金合同终止后，由基金财产清算小组统一接管基金资产；</w:t>
      </w:r>
    </w:p>
    <w:p w14:paraId="4629A8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2、对基金财产进行清理和确认；</w:t>
      </w:r>
    </w:p>
    <w:p w14:paraId="472394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3、对基金资产进行估值和变现；</w:t>
      </w:r>
    </w:p>
    <w:p w14:paraId="3AF9CB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4、对基金财产进行分配；</w:t>
      </w:r>
    </w:p>
    <w:p w14:paraId="1C0035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5、制作清算报告；</w:t>
      </w:r>
    </w:p>
    <w:p w14:paraId="4F0402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6、聘请会计师事务所对清算报告进行外部审计，聘请律师事务所对清算报告出具法律意见书；</w:t>
      </w:r>
    </w:p>
    <w:p w14:paraId="67E44A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7、将清算报告报中国证监会备案并公告。</w:t>
      </w:r>
    </w:p>
    <w:p w14:paraId="3C0ADCB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14:paraId="07C1B4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清算费用是指基金财产清算小组在进行基金清算过程中发生的所有合理费用，清算费用由清算小组优先从基金财产中支付。</w:t>
      </w:r>
    </w:p>
    <w:p w14:paraId="2D427E1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（五）基金资产按下列顺序清偿</w:t>
      </w:r>
    </w:p>
    <w:p w14:paraId="6AEBC2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14:paraId="718D83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2、交纳所欠税款；</w:t>
      </w:r>
    </w:p>
    <w:p w14:paraId="5CFD3A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14:paraId="79BFDE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14:paraId="50CA99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基金财产按前款1-4项规定依顺序清偿，在上一顺序权利人未得以清偿前，不进行对下一顺序权利人的分配。</w:t>
      </w:r>
    </w:p>
    <w:p w14:paraId="0767E80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（六）基金清算的公告</w:t>
      </w:r>
    </w:p>
    <w:p w14:paraId="383D32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清算过程中的有关重大事项将及时公告；基金财产清算报告经会计师事务所审计并由律师事务所出具法律意见书后报中国证监会备案并公告。</w:t>
      </w:r>
    </w:p>
    <w:p w14:paraId="1EBBD0AE"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（七）基金清算账册及文件的保存</w:t>
      </w:r>
    </w:p>
    <w:p w14:paraId="26416A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基金清算账册及有关文件由基金托管人保存15年以上。</w:t>
      </w:r>
    </w:p>
    <w:p w14:paraId="3695ADDB"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73B8287" w14:textId="77777777" w:rsidR="00007225" w:rsidRDefault="00F07F0D">
      <w:pPr>
        <w:pStyle w:val="1"/>
        <w:snapToGrid w:val="0"/>
        <w:spacing w:beforeLines="0" w:before="240" w:after="240"/>
        <w:rPr>
          <w:rFonts w:ascii="宋体" w:hAnsi="宋体"/>
          <w:szCs w:val="30"/>
        </w:rPr>
      </w:pPr>
      <w:bookmarkStart w:id="24" w:name="_Toc137828447"/>
      <w:r>
        <w:rPr>
          <w:rFonts w:ascii="Times New Roman" w:hAnsi="Times New Roman"/>
          <w:sz w:val="30"/>
        </w:rPr>
        <w:lastRenderedPageBreak/>
        <w:t>二十一、基金合同内容摘要</w:t>
      </w:r>
      <w:bookmarkEnd w:id="24"/>
    </w:p>
    <w:p w14:paraId="310B31F6"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（一）基金合同当事人及权利义务</w:t>
      </w:r>
    </w:p>
    <w:p w14:paraId="158877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2F64AC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14:paraId="443B67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w:t>
      </w:r>
    </w:p>
    <w:p w14:paraId="3607E6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682D1258" w14:textId="78C011B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w:t>
      </w:r>
      <w:r w:rsidR="00113815">
        <w:rPr>
          <w:rFonts w:ascii="宋体" w:hAnsi="宋体" w:hint="eastAsia"/>
          <w:sz w:val="24"/>
        </w:rPr>
        <w:t>管理费</w:t>
      </w:r>
      <w:r>
        <w:rPr>
          <w:rFonts w:ascii="宋体" w:hAnsi="宋体"/>
          <w:sz w:val="24"/>
        </w:rPr>
        <w:t>以及法律法规规定或监管部门批准的其他收入；</w:t>
      </w:r>
    </w:p>
    <w:p w14:paraId="2425A0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5292A7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（5）召集基金份额持有人大会；</w:t>
      </w:r>
    </w:p>
    <w:p w14:paraId="5F3592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2545B9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7EEAF728" w14:textId="7E362D76"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（8）选择、委托、更换基金代销机构，对代销机构的相关行为进行监督和处理。如认为基金代销机构违反</w:t>
      </w:r>
      <w:r w:rsidR="00590DBE">
        <w:rPr>
          <w:rFonts w:ascii="宋体" w:hAnsi="宋体" w:hint="eastAsia"/>
          <w:sz w:val="24"/>
        </w:rPr>
        <w:t>本</w:t>
      </w:r>
      <w:r>
        <w:rPr>
          <w:rFonts w:ascii="宋体" w:hAnsi="宋体"/>
          <w:sz w:val="24"/>
        </w:rPr>
        <w:t>基金合同、代销协议及法律法规的规定，应呈报中国证监会和其他监管部门，并采取必要措施保护基金份额持有人的利益；</w:t>
      </w:r>
    </w:p>
    <w:p w14:paraId="1718C38D" w14:textId="20E31998"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（9）依据</w:t>
      </w:r>
      <w:r w:rsidR="00590DBE">
        <w:rPr>
          <w:rFonts w:ascii="宋体" w:hAnsi="宋体" w:hint="eastAsia"/>
          <w:sz w:val="24"/>
        </w:rPr>
        <w:t>本</w:t>
      </w:r>
      <w:r>
        <w:rPr>
          <w:rFonts w:ascii="宋体" w:hAnsi="宋体"/>
          <w:sz w:val="24"/>
        </w:rPr>
        <w:t>基金合同及有关法律法规规定决定基金收益的分配方案；</w:t>
      </w:r>
    </w:p>
    <w:p w14:paraId="2C12C2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（10）在基金合同约定的范围内，拒绝或暂停受理申购与赎回申请；</w:t>
      </w:r>
    </w:p>
    <w:p w14:paraId="66B01CE6" w14:textId="65F44262"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（11）在符合有关法律法规和基金合同的前提下，制订和调整业务规则，决定和调整除调高托管费率</w:t>
      </w:r>
      <w:r w:rsidR="00590DBE">
        <w:rPr>
          <w:rFonts w:ascii="宋体" w:hAnsi="宋体" w:hint="eastAsia"/>
          <w:sz w:val="24"/>
        </w:rPr>
        <w:t>、</w:t>
      </w:r>
      <w:r>
        <w:rPr>
          <w:rFonts w:ascii="宋体" w:hAnsi="宋体"/>
          <w:sz w:val="24"/>
        </w:rPr>
        <w:t>管理费率</w:t>
      </w:r>
      <w:r w:rsidR="00590DBE">
        <w:rPr>
          <w:rFonts w:ascii="宋体" w:hAnsi="宋体" w:hint="eastAsia"/>
          <w:sz w:val="24"/>
        </w:rPr>
        <w:t>、销售服务费率</w:t>
      </w:r>
      <w:r>
        <w:rPr>
          <w:rFonts w:ascii="宋体" w:hAnsi="宋体"/>
          <w:sz w:val="24"/>
        </w:rPr>
        <w:t>之外的相关费率结构和收费方式；</w:t>
      </w:r>
    </w:p>
    <w:p w14:paraId="0D519A9F" w14:textId="66A39E3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（12）依照法律法规为基金的利益行使因基金财产投资所产生的权利；</w:t>
      </w:r>
    </w:p>
    <w:p w14:paraId="0EA56A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7B03E3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5F3CC5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（15）选择、更换律师、审计师、证券经纪商或其他为基金提供服务的外部机</w:t>
      </w:r>
      <w:r>
        <w:rPr>
          <w:rFonts w:ascii="宋体" w:hAnsi="宋体"/>
          <w:sz w:val="24"/>
        </w:rPr>
        <w:lastRenderedPageBreak/>
        <w:t>构；</w:t>
      </w:r>
    </w:p>
    <w:p w14:paraId="39776B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（16）法律法规和基金合同规定的其他权利。</w:t>
      </w:r>
    </w:p>
    <w:p w14:paraId="3558E4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14:paraId="2E4CE7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（1）办理基金备案手续；</w:t>
      </w:r>
    </w:p>
    <w:p w14:paraId="574BB2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（2）自基金合同生效之日起,以诚实信用、勤勉尽责的原则管理和运用基金财产；</w:t>
      </w:r>
    </w:p>
    <w:p w14:paraId="0DFC9CD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（3）配备足够的具有专业资格的人员进行基金投资分析、决策，以专业化的经营方式管理和运作基金财产；</w:t>
      </w:r>
    </w:p>
    <w:p w14:paraId="2F198E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（4）办理或者委托经中国证监会认定的其他机构代为办理基金份额的发售、申购、赎回和登记事宜；</w:t>
      </w:r>
    </w:p>
    <w:p w14:paraId="0271B0F8" w14:textId="2DF8898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w:t>
      </w:r>
      <w:proofErr w:type="gramStart"/>
      <w:r>
        <w:rPr>
          <w:rFonts w:ascii="宋体" w:hAnsi="宋体"/>
          <w:sz w:val="24"/>
        </w:rPr>
        <w:t>独立,</w:t>
      </w:r>
      <w:proofErr w:type="gramEnd"/>
      <w:r>
        <w:rPr>
          <w:rFonts w:ascii="宋体" w:hAnsi="宋体"/>
          <w:sz w:val="24"/>
        </w:rPr>
        <w:t>对所管理的不同基金分别管理，分别记账，进行投资；</w:t>
      </w:r>
    </w:p>
    <w:p w14:paraId="5E9EDD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0FA5702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58CCF038" w14:textId="32C1D89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w:t>
      </w:r>
    </w:p>
    <w:p w14:paraId="492882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2340E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22D56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705BE2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（12）保守基金商业秘密，不泄露基金投资计划、投资意向等。除《基金法》、基金合同及其他有关规定另有规定外，在基金信息公开披露前应予保密，不得向他人泄露；</w:t>
      </w:r>
    </w:p>
    <w:p w14:paraId="101435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（13）按照基金合同的约定确定基金收益分配方案，及时向基金份额持有人分配收益；</w:t>
      </w:r>
    </w:p>
    <w:p w14:paraId="724CDF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0A2AE5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2AB7D4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p>
    <w:p w14:paraId="69511D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EE1D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34DF08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6B4B38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3FCD8AA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（21）基金托管人因违反基金合同造成基金财产损失时，应为基金份额持有人利益向基金托管人追偿；</w:t>
      </w:r>
    </w:p>
    <w:p w14:paraId="4B4DCFC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（22）以基金管理人名义，代表基金份额持有人利益行使诉讼权利或实施其他法律行为；</w:t>
      </w:r>
    </w:p>
    <w:p w14:paraId="032A24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（23）基金管理人在募集期间未能达到基金的备案条件，基金合同不能生效，基金管理人承担全部募集费用，将已募集资金并加计募集期内产生的利息在募集期结束后30天内退还基金认购人；</w:t>
      </w:r>
    </w:p>
    <w:p w14:paraId="02C8DB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（24）执行生效的基金份额持有人大会的决定；</w:t>
      </w:r>
    </w:p>
    <w:p w14:paraId="6E9443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（25）不从事任何有损基金及其他基金当事人利益的活动；</w:t>
      </w:r>
    </w:p>
    <w:p w14:paraId="48F6DE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（26）法律法规和基金合同规定的其他义务。</w:t>
      </w:r>
    </w:p>
    <w:p w14:paraId="41D125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0F9659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14:paraId="15FD5A8A" w14:textId="55C5C4D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w:t>
      </w:r>
      <w:r w:rsidR="003D1624">
        <w:rPr>
          <w:rFonts w:ascii="宋体" w:hAnsi="宋体" w:hint="eastAsia"/>
          <w:sz w:val="24"/>
        </w:rPr>
        <w:t>本</w:t>
      </w:r>
      <w:r>
        <w:rPr>
          <w:rFonts w:ascii="宋体" w:hAnsi="宋体"/>
          <w:sz w:val="24"/>
        </w:rPr>
        <w:t>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14:paraId="338720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（2）依基金合同约定获得基金托管费以及法律法规规定或监管部门批准的其他收入；</w:t>
      </w:r>
    </w:p>
    <w:p w14:paraId="61F3A3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w:t>
      </w:r>
      <w:r>
        <w:rPr>
          <w:rFonts w:ascii="宋体" w:hAnsi="宋体"/>
          <w:sz w:val="24"/>
        </w:rPr>
        <w:lastRenderedPageBreak/>
        <w:t>同及国家法律法规行为，应呈报中国证监会，并采取必要措施保护基金份额持有人的利益；</w:t>
      </w:r>
    </w:p>
    <w:p w14:paraId="5AC9D9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（4）以基金托管人和基金联名的方式在中国证券登记结算有限责任公司上海分公司和深圳分公司开设证券账户；</w:t>
      </w:r>
    </w:p>
    <w:p w14:paraId="0CB0105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（5）以基金托管人名义开立证券交易资金账户，用于证券交易资金清算；</w:t>
      </w:r>
    </w:p>
    <w:p w14:paraId="596EF1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（6）以基金的名义在中央国债登记结算有限公司开设银行间债券托管账户，负责基金的债券及资金的清算；</w:t>
      </w:r>
    </w:p>
    <w:p w14:paraId="10265D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（7）提议召开基金份额持有人大会；</w:t>
      </w:r>
    </w:p>
    <w:p w14:paraId="2ADB0C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（8）在基金管理人更换时，提名新的基金管理人；</w:t>
      </w:r>
    </w:p>
    <w:p w14:paraId="308A6F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14:paraId="49D338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14:paraId="473D1D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0E93DD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（2）设立专门的资产托管部，具有符合要求的营业场所，配备足够的、合格的熟悉基金托管业务的专职人员，负责基金财产托管事宜；</w:t>
      </w:r>
    </w:p>
    <w:p w14:paraId="59B38E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不同的基金分别设置账户，独立核算，分账管理，保证不同基金之间在名册登记、账户设置、资金划拨、账册记录等方面相互独立；</w:t>
      </w:r>
    </w:p>
    <w:p w14:paraId="586135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244886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0D6091A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（6）按规定开设基金财产的资金账户和证券账户，按照基金合同的约定，根据基金管理人的投资指令，及时办理清算、交割事宜；</w:t>
      </w:r>
    </w:p>
    <w:p w14:paraId="4CC131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2A876B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283203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21AFC9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w:t>
      </w:r>
      <w:r>
        <w:rPr>
          <w:rFonts w:ascii="宋体" w:hAnsi="宋体"/>
          <w:sz w:val="24"/>
        </w:rPr>
        <w:lastRenderedPageBreak/>
        <w:t>基金管理人在各重要方面的运作是否严格按照基金合同的规定进行；如果基金管理人有未执行基金合同规定的行为，还应当说明基金托管人是否采取了适当的措施；</w:t>
      </w:r>
    </w:p>
    <w:p w14:paraId="6FE481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（11）按有关规定，保存基金托管业务活动的记录、账册、报表和其他相关资料；</w:t>
      </w:r>
    </w:p>
    <w:p w14:paraId="2C513A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432BCB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0227E6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4FD0BD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（15）按照规定召集基金份额持有人大会或配合基金份额持有人依法自行召集基金份额持有人大会；</w:t>
      </w:r>
    </w:p>
    <w:p w14:paraId="15FFAB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（16）按照规定监督基金管理人的投资运作；</w:t>
      </w:r>
    </w:p>
    <w:p w14:paraId="0C70D6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5FDA88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（18）面临解散、依法被撤销或者被依法宣告破产时，及时报告中国证监会和银行监管机构，并通知基金管理人；</w:t>
      </w:r>
    </w:p>
    <w:p w14:paraId="5DA689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58F8AF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（20）基金管理人因违反基金合同造成基金财产损失时，应为基金份额持有人的利益向基金管理人追偿；</w:t>
      </w:r>
    </w:p>
    <w:p w14:paraId="577E59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（21）执行生效的基金份额持有人大会的决定；</w:t>
      </w:r>
    </w:p>
    <w:p w14:paraId="2541CB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（22）不从事任何有损基金及其他基金当事人利益的活动；</w:t>
      </w:r>
    </w:p>
    <w:p w14:paraId="682B04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（23）法律法规和基金合同规定的其他义务。</w:t>
      </w:r>
    </w:p>
    <w:p w14:paraId="5562A8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33C3B812" w14:textId="32A16BAF" w:rsidR="00007225" w:rsidRDefault="00F07F0D" w:rsidP="00F9754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14:paraId="767968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2AB087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514C8D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（3）依法转让或者申请赎回其持有的基金份额；</w:t>
      </w:r>
    </w:p>
    <w:p w14:paraId="00EBB4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14:paraId="6D88A6C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w:t>
      </w:r>
      <w:r>
        <w:rPr>
          <w:rFonts w:ascii="宋体" w:hAnsi="宋体"/>
          <w:sz w:val="24"/>
        </w:rPr>
        <w:lastRenderedPageBreak/>
        <w:t>议事项行使表决权；</w:t>
      </w:r>
    </w:p>
    <w:p w14:paraId="2E7454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3FE151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1FDC7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（8）对基金管理人、基金托管人、基金份额发售机构损害其合法权益的行为依法提起诉讼；</w:t>
      </w:r>
    </w:p>
    <w:p w14:paraId="3FED5B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14:paraId="0FD163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14:paraId="6EDACF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（1）遵守基金合同；</w:t>
      </w:r>
    </w:p>
    <w:p w14:paraId="5B5ADF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（2）缴纳基金认购、申购款项及法律法规和基金合同所规定的费用；</w:t>
      </w:r>
    </w:p>
    <w:p w14:paraId="483DE1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（3）在持有的基金份额范围内，承担基金亏损或者基金合同终止的有限责任；</w:t>
      </w:r>
    </w:p>
    <w:p w14:paraId="08FA68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（4）不从事任何有损基金及基金份额持有人合法权益的活动；</w:t>
      </w:r>
    </w:p>
    <w:p w14:paraId="099806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（5）返还在基金交易过程中因任何原因，自基金管理人、基金托管人及基金管理人的代理人处获得的不当得利；</w:t>
      </w:r>
    </w:p>
    <w:p w14:paraId="284E2F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（6）执行生效的基金份额持有人大会的决定；</w:t>
      </w:r>
    </w:p>
    <w:p w14:paraId="5A7D47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（7）法律法规和基金合同规定的其他义务。</w:t>
      </w:r>
    </w:p>
    <w:p w14:paraId="132FC55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基金合同当事各方的权利和义务以基金合同为依据，不因基金财产账户名称的改变而有所改变。</w:t>
      </w:r>
    </w:p>
    <w:p w14:paraId="2AB28CD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w:t>
      </w:r>
    </w:p>
    <w:p w14:paraId="1ED320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基金份额持有人大会由基金份额持有人或基金份额持有人的合法授权代表共同组成。</w:t>
      </w:r>
    </w:p>
    <w:p w14:paraId="24A2FC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一、召开事由</w:t>
      </w:r>
    </w:p>
    <w:p w14:paraId="1BC6B3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14:paraId="30F180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3BCAAE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6983B9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7D791D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2A74D2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w:t>
      </w:r>
    </w:p>
    <w:p w14:paraId="5EB143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（6）提高销售服务费费率；</w:t>
      </w:r>
    </w:p>
    <w:p w14:paraId="51737B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（7）变更基金类别；</w:t>
      </w:r>
    </w:p>
    <w:p w14:paraId="565475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011F02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1DAB19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（10）对基金当事人权利和义务产生重大影响的事项；</w:t>
      </w:r>
    </w:p>
    <w:p w14:paraId="47F7A0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（11）法律法规、基金合同或中国证监会规定的其他应当召开基金份额持有人大会的事项。</w:t>
      </w:r>
    </w:p>
    <w:p w14:paraId="01D182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5D89FF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（1）调低基金管理费、基金托管费、基金销售服务费；</w:t>
      </w:r>
    </w:p>
    <w:p w14:paraId="1209F5BC" w14:textId="75ACEE3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（2）在基金合同规定范围内变更本基金的申购费率、赎回费率或收费方式；</w:t>
      </w:r>
    </w:p>
    <w:p w14:paraId="2324E2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因相应</w:t>
      </w:r>
      <w:proofErr w:type="gramEnd"/>
      <w:r>
        <w:rPr>
          <w:rFonts w:ascii="宋体" w:hAnsi="宋体"/>
          <w:sz w:val="24"/>
        </w:rPr>
        <w:t>的法律法规发生变动而应当对基金合同进行修改；</w:t>
      </w:r>
    </w:p>
    <w:p w14:paraId="59095B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（4）对基金合同的修改对基金份额持有人利益无实质性不利影响或修改不涉及基金合同当事人权利义务关系发生变化；</w:t>
      </w:r>
    </w:p>
    <w:p w14:paraId="56F57C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（5）除按照法律法规和基金合同规定应当召开基金份额持有人大会的以外的其他情形。</w:t>
      </w:r>
    </w:p>
    <w:p w14:paraId="22A893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二、会议召集人及召集方式</w:t>
      </w:r>
    </w:p>
    <w:p w14:paraId="38304DBA" w14:textId="063BA56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r w:rsidR="00E80A46">
        <w:rPr>
          <w:rFonts w:ascii="宋体" w:hAnsi="宋体" w:hint="eastAsia"/>
          <w:sz w:val="24"/>
        </w:rPr>
        <w:t>；</w:t>
      </w:r>
    </w:p>
    <w:p w14:paraId="3022AE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3D8ADEA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138D3A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w:t>
      </w:r>
    </w:p>
    <w:p w14:paraId="2BFB24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基金管理人决定召集的，应当自出具书面决定之日起60日内召开；基金管理人决定不召集，代表基金份额10%以上（含10%）的基金份额持有人仍认为有必要召开</w:t>
      </w:r>
      <w:r>
        <w:rPr>
          <w:rFonts w:ascii="宋体" w:hAnsi="宋体"/>
          <w:sz w:val="24"/>
        </w:rPr>
        <w:lastRenderedPageBreak/>
        <w:t>的，应当向基金托管人提出书面提议。</w:t>
      </w:r>
    </w:p>
    <w:p w14:paraId="5CC39E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基金托管人应当自收到书面提议之日起10日内决定是否召集，并书面告知提出提议的基金份额持有人代表和基金管理人；基金托管人决定召集的，应当自出具书面决定之日起60日内召开。</w:t>
      </w:r>
    </w:p>
    <w:p w14:paraId="57B262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5、如在上述第4条情况下，基金管理人、基金托管人都不召集的，代表基金份额10%以上（含10%）的基金份额持有人有权自行召集，并至少提前30日报中国证监会备案。</w:t>
      </w:r>
    </w:p>
    <w:p w14:paraId="716CFC5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7D186A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三、召开基金份额持有人大会的通知时间、通知内容、通知方式</w:t>
      </w:r>
    </w:p>
    <w:p w14:paraId="2CAAFD40" w14:textId="3945FA6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1、召开基金份额持有人大会，召集人应于会议召开前30天，在中国证监会指定媒介上公告。基金份额持有人大会通知应至少载明以下内容：</w:t>
      </w:r>
    </w:p>
    <w:p w14:paraId="36C254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（1）会议召开的时间、地点、方式；</w:t>
      </w:r>
    </w:p>
    <w:p w14:paraId="5837FF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w:t>
      </w:r>
    </w:p>
    <w:p w14:paraId="774B7B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（3）有权出席基金份额持有人大会的基金份额持有人的权利登记日；</w:t>
      </w:r>
    </w:p>
    <w:p w14:paraId="25D967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（4）代理投票授权委托书送达时间和地点；</w:t>
      </w:r>
    </w:p>
    <w:p w14:paraId="206289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7F516F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通讯方式和书面表决方式，并在会议通知中说明本次基金份额持有人大会所采取的具体通讯方式、委托的公证机关及其联系方式和联系人、书面表决意见的寄交的截止时间和收取方式。</w:t>
      </w:r>
    </w:p>
    <w:p w14:paraId="721D79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四、基金份额持有人出席会议的方式</w:t>
      </w:r>
    </w:p>
    <w:p w14:paraId="6FC607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基金份额持有人大会可通过现场开会方式或通讯开会方式召开。</w:t>
      </w:r>
    </w:p>
    <w:p w14:paraId="1B2A13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会议的召开方式由会议召集人确定，但更换基金管理人和基金托管人必须以现场开会方式召开。</w:t>
      </w:r>
    </w:p>
    <w:p w14:paraId="3836C1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1、现场开会。由基金份额持有人本人出席或以代理投票授权委托书委派代表出席，现场开会时基金管理人和基金托管人的授权代表应当列席基金份额持有人大会，基金管理人或托管人</w:t>
      </w:r>
      <w:proofErr w:type="gramStart"/>
      <w:r>
        <w:rPr>
          <w:rFonts w:ascii="宋体" w:hAnsi="宋体"/>
          <w:sz w:val="24"/>
        </w:rPr>
        <w:t>拒不派</w:t>
      </w:r>
      <w:proofErr w:type="gramEnd"/>
      <w:r>
        <w:rPr>
          <w:rFonts w:ascii="宋体" w:hAnsi="宋体"/>
          <w:sz w:val="24"/>
        </w:rPr>
        <w:t>代表列席的，不影响表决效力。现场开会同时符合以下条件时，可以进行基金份额持有人大会议程：</w:t>
      </w:r>
    </w:p>
    <w:p w14:paraId="27AAA4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w:t>
      </w:r>
      <w:r>
        <w:rPr>
          <w:rFonts w:ascii="宋体" w:hAnsi="宋体"/>
          <w:sz w:val="24"/>
        </w:rPr>
        <w:lastRenderedPageBreak/>
        <w:t>有基金份额的凭证及委托人出具的代理投票授权委托书符合法律法规、基金合同和会议通知的规定；</w:t>
      </w:r>
    </w:p>
    <w:p w14:paraId="5880D0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（2）经核对，汇总到会者出示的在权利登记日持有基金份额的凭证显示，有效的基金份额不少于在权利登记日本基金总份额的50%（含50%）。</w:t>
      </w:r>
    </w:p>
    <w:p w14:paraId="60C3B1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2、通讯开会。通讯开会应以书面方式进行表决。在同时符合以下条件时，通讯开会的方式视为有效：</w:t>
      </w:r>
    </w:p>
    <w:p w14:paraId="4E71D7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（1）会议召集人按基金合同规定公布会议通知后，在2个工作日内连续公布相关提示性公告；</w:t>
      </w:r>
    </w:p>
    <w:p w14:paraId="0059D2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在基金托管人（如果基金托管人为召集人，则为基金管理人）和公证机关的监督下按照会议通知规定的方式收取基金份额持有人的书面表决意见；基金托管人或基金管理人经通知拒不参加收取书面表决意见的，不影响表决效力；</w:t>
      </w:r>
    </w:p>
    <w:p w14:paraId="10E8FA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本人直接出具书面意见或授权他人代为出具书面意见的基金份额持有人所持有的基金份额不少于在权利登记日基金总份额的50%（含50%）；</w:t>
      </w:r>
    </w:p>
    <w:p w14:paraId="54DB24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提交的持有基金份额的凭证、受托出具书面意见的代理人出具的委托人持有基金份额的凭证及委托人出具的代理投票授权委托书符合法律法规、基金合同和会议通知的规定；</w:t>
      </w:r>
    </w:p>
    <w:p w14:paraId="761323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14:paraId="5736BD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五、议事内容与程序</w:t>
      </w:r>
    </w:p>
    <w:p w14:paraId="6A0F65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6BB225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w:t>
      </w:r>
      <w:proofErr w:type="gramStart"/>
      <w:r>
        <w:rPr>
          <w:rFonts w:ascii="宋体" w:hAnsi="宋体"/>
          <w:sz w:val="24"/>
        </w:rPr>
        <w:t>如修改</w:t>
      </w:r>
      <w:proofErr w:type="gramEnd"/>
      <w:r>
        <w:rPr>
          <w:rFonts w:ascii="宋体" w:hAnsi="宋体"/>
          <w:sz w:val="24"/>
        </w:rPr>
        <w:t>基金合同、终止基金合同、转换基金运作方式、更换基金管理人、更换基金托管人、与其他基金合并、变更基金类别、变更基金投资目标、范围或策略；变更基金份额持有人大会程序以及法律法规及基金合同规定的其他事项。</w:t>
      </w:r>
    </w:p>
    <w:p w14:paraId="2C499D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基金管理人、基金托管人、单独或合并持有权利登记日基金总份额10%以上（含10%）的基金份额持有人可以在大会召集人发出会议通知前向大会召集人提交需由基金份额持有人大会审议表决的提案。</w:t>
      </w:r>
    </w:p>
    <w:p w14:paraId="1F2DC8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大会召集人应当按照以下原则对提案进行审核：</w:t>
      </w:r>
    </w:p>
    <w:p w14:paraId="3A6312F2" w14:textId="5239A91A"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（1）关联性。对于涉及事项与本基金有直接关系，并且不超出法律法规和基金合同规定的基金份额持有人大会职权范围的提案，大会召集人应将提案提交大会</w:t>
      </w:r>
      <w:r>
        <w:rPr>
          <w:rFonts w:ascii="宋体" w:hAnsi="宋体"/>
          <w:sz w:val="24"/>
        </w:rPr>
        <w:lastRenderedPageBreak/>
        <w:t>审议；对于不符合上述要求的，不提交基金份额持有人大会审议。如果召集人决定不将基金份额持有人提案提交大会表决，应当在</w:t>
      </w:r>
      <w:r w:rsidR="00406E30">
        <w:rPr>
          <w:rFonts w:ascii="宋体" w:hAnsi="宋体" w:hint="eastAsia"/>
          <w:sz w:val="24"/>
        </w:rPr>
        <w:t>该次</w:t>
      </w:r>
      <w:r>
        <w:rPr>
          <w:rFonts w:ascii="宋体" w:hAnsi="宋体"/>
          <w:sz w:val="24"/>
        </w:rPr>
        <w:t>基金份额持有人大会上进行解释和说明。</w:t>
      </w:r>
    </w:p>
    <w:p w14:paraId="05DAA4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2FF52D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独或合并持有权利登记日基金总份额10%以上（含10%）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的除外。</w:t>
      </w:r>
    </w:p>
    <w:p w14:paraId="6BE708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94062A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5615F2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300CFFB" w14:textId="4CA2FC0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出席或主持大会，则由出席大会的基金份额持有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14:paraId="713788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A6974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在通讯开会的情况下，公告会议通知时应当同时公布提案，在所通知的表决截止日期后2个工作日内统计全部有效表决，在公证机关监督下形成决议。</w:t>
      </w:r>
    </w:p>
    <w:p w14:paraId="3AA9AF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六、表决</w:t>
      </w:r>
    </w:p>
    <w:p w14:paraId="1AB401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06B375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2DC086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1、一般决议，一般决议须经参加大会的基金份额持有人所持表决权的50%以上</w:t>
      </w:r>
      <w:r>
        <w:rPr>
          <w:rFonts w:ascii="宋体" w:hAnsi="宋体"/>
          <w:sz w:val="24"/>
        </w:rPr>
        <w:lastRenderedPageBreak/>
        <w:t>（含50%）通过方为有效；除下列第2项所规定的须以特别决议通过事项以外的其他事项均以一般决议的方式通过。</w:t>
      </w:r>
    </w:p>
    <w:p w14:paraId="4E050C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所持表决权的三分之二以上（含三分之二）通过方可为有效。转换基金运作方式、更换基金管理人或者基金托管人、终止基金合同以特别决议通过方为有效。</w:t>
      </w:r>
    </w:p>
    <w:p w14:paraId="32CD26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033E7C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14:paraId="0F4A09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266B8D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七、计票</w:t>
      </w:r>
    </w:p>
    <w:p w14:paraId="071DBE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1B346CFE" w14:textId="23AC945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计票的效力。</w:t>
      </w:r>
    </w:p>
    <w:p w14:paraId="4545FC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28F59F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14:paraId="7207515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w:t>
      </w:r>
    </w:p>
    <w:p w14:paraId="1DC7C1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35C2D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w:t>
      </w:r>
      <w:r>
        <w:rPr>
          <w:rFonts w:ascii="宋体" w:hAnsi="宋体"/>
          <w:sz w:val="24"/>
        </w:rPr>
        <w:lastRenderedPageBreak/>
        <w:t>票，并由公证机关对其计票过程予以公证。基金管理人或托管人</w:t>
      </w:r>
      <w:proofErr w:type="gramStart"/>
      <w:r>
        <w:rPr>
          <w:rFonts w:ascii="宋体" w:hAnsi="宋体"/>
          <w:sz w:val="24"/>
        </w:rPr>
        <w:t>拒不派</w:t>
      </w:r>
      <w:proofErr w:type="gramEnd"/>
      <w:r>
        <w:rPr>
          <w:rFonts w:ascii="宋体" w:hAnsi="宋体"/>
          <w:sz w:val="24"/>
        </w:rPr>
        <w:t>代表监督计票的，不影响计票效力。</w:t>
      </w:r>
    </w:p>
    <w:p w14:paraId="52505C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八、生效与公告</w:t>
      </w:r>
    </w:p>
    <w:p w14:paraId="6FFF253E" w14:textId="4B21E5C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基金份额持有人大会表决通过的事项，召集人应当自通过之日起5日内报中国证监会核准或</w:t>
      </w:r>
      <w:r w:rsidR="009C7779">
        <w:rPr>
          <w:rFonts w:ascii="宋体" w:hAnsi="宋体" w:hint="eastAsia"/>
          <w:sz w:val="24"/>
        </w:rPr>
        <w:t>者</w:t>
      </w:r>
      <w:r>
        <w:rPr>
          <w:rFonts w:ascii="宋体" w:hAnsi="宋体"/>
          <w:sz w:val="24"/>
        </w:rPr>
        <w:t>备案。</w:t>
      </w:r>
    </w:p>
    <w:p w14:paraId="2A44ACAB" w14:textId="5B17BC3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基金份额持有人大会决定的事项自中国证监会依法核准或</w:t>
      </w:r>
      <w:r w:rsidR="009C7779">
        <w:rPr>
          <w:rFonts w:ascii="宋体" w:hAnsi="宋体" w:hint="eastAsia"/>
          <w:sz w:val="24"/>
        </w:rPr>
        <w:t>者</w:t>
      </w:r>
      <w:r>
        <w:rPr>
          <w:rFonts w:ascii="宋体" w:hAnsi="宋体"/>
          <w:sz w:val="24"/>
        </w:rPr>
        <w:t>出具无异议意见之日起生效。</w:t>
      </w:r>
    </w:p>
    <w:p w14:paraId="27A0DA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基金份额持有人大会决议自生效之日起两日内在中国证监会指定媒介上公告。</w:t>
      </w:r>
    </w:p>
    <w:p w14:paraId="60E6DF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如果采用通讯方式进行表决，在公告基金份额持有人大会决议时，必须将公证书全文、公证机关、公证员姓名等一同公告。</w:t>
      </w:r>
    </w:p>
    <w:p w14:paraId="141E11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基金管理人、基金托管人和基金份额持有人应当执行生效的基金份额持有人大会的决定。</w:t>
      </w:r>
    </w:p>
    <w:p w14:paraId="6088EE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基金份额持有人大会决议对全体基金份额持有人、基金管理人、基金托管人均有约束力。</w:t>
      </w:r>
    </w:p>
    <w:p w14:paraId="003D7EB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（三）基金合同的变更与终止</w:t>
      </w:r>
    </w:p>
    <w:p w14:paraId="523424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355CB4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1、下列涉及到基金合同内容变更的事项</w:t>
      </w:r>
      <w:proofErr w:type="gramStart"/>
      <w:r>
        <w:rPr>
          <w:rFonts w:ascii="宋体" w:hAnsi="宋体"/>
          <w:sz w:val="24"/>
        </w:rPr>
        <w:t>须召开</w:t>
      </w:r>
      <w:proofErr w:type="gramEnd"/>
      <w:r>
        <w:rPr>
          <w:rFonts w:ascii="宋体" w:hAnsi="宋体"/>
          <w:sz w:val="24"/>
        </w:rPr>
        <w:t>基金份额持有人大会：</w:t>
      </w:r>
    </w:p>
    <w:p w14:paraId="4082BF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（1）更换基金管理人；</w:t>
      </w:r>
    </w:p>
    <w:p w14:paraId="72F095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（2）更换基金托管人；</w:t>
      </w:r>
    </w:p>
    <w:p w14:paraId="12ABF9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w:t>
      </w:r>
    </w:p>
    <w:p w14:paraId="6A9CE3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（4）提高基金管理人、基金托管人的报酬标准；</w:t>
      </w:r>
    </w:p>
    <w:p w14:paraId="1FD2A3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（5）变更基金类别；</w:t>
      </w:r>
    </w:p>
    <w:p w14:paraId="6EE06B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（6）变更基金投资目标、范围或策略；</w:t>
      </w:r>
    </w:p>
    <w:p w14:paraId="329228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（7）变更基金份额持有人大会程序；</w:t>
      </w:r>
    </w:p>
    <w:p w14:paraId="2C39AC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（8）对基金当事人权利和义务产生重大影响的事项；</w:t>
      </w:r>
    </w:p>
    <w:p w14:paraId="3B95A3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（9）法律法规、基金合同或中国证监会规定的其他事项。</w:t>
      </w:r>
    </w:p>
    <w:p w14:paraId="76AA94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2、除非法律法规和基金合同另有规定，对基金合同的变更应当召开基金份额持有人大会的，基金合同变更的内容应经基金份额持有人大会决议通过，并报中国证监会核准或备案。</w:t>
      </w:r>
    </w:p>
    <w:p w14:paraId="091AD2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3、依现行有效的有关法律法规，对基金合同的</w:t>
      </w:r>
      <w:proofErr w:type="gramStart"/>
      <w:r>
        <w:rPr>
          <w:rFonts w:ascii="宋体" w:hAnsi="宋体"/>
          <w:sz w:val="24"/>
        </w:rPr>
        <w:t>变更自</w:t>
      </w:r>
      <w:proofErr w:type="gramEnd"/>
      <w:r>
        <w:rPr>
          <w:rFonts w:ascii="宋体" w:hAnsi="宋体"/>
          <w:sz w:val="24"/>
        </w:rPr>
        <w:t>中国证监会核准或出具</w:t>
      </w:r>
      <w:r>
        <w:rPr>
          <w:rFonts w:ascii="宋体" w:hAnsi="宋体"/>
          <w:sz w:val="24"/>
        </w:rPr>
        <w:lastRenderedPageBreak/>
        <w:t>无异议意见之日起生效。</w:t>
      </w:r>
    </w:p>
    <w:p w14:paraId="64FF50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本基金合同和依现行有效的有关法律法规，对基金合同的变更须基金份额持有人大会决议通过和须报中国证监会核准以外的情形，经基金管理人和基金托管人同意可对基金合同进行变更后公布，并报中国证监会备案。</w:t>
      </w:r>
    </w:p>
    <w:p w14:paraId="31C9247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w:t>
      </w:r>
    </w:p>
    <w:p w14:paraId="0C8815B0" w14:textId="38767AB0" w:rsidR="00007225" w:rsidRDefault="001537E1">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有</w:t>
      </w:r>
      <w:r w:rsidR="00F07F0D">
        <w:rPr>
          <w:rFonts w:ascii="宋体" w:hAnsi="宋体"/>
          <w:sz w:val="24"/>
        </w:rPr>
        <w:t>下列</w:t>
      </w:r>
      <w:r>
        <w:rPr>
          <w:rFonts w:ascii="宋体" w:hAnsi="宋体" w:hint="eastAsia"/>
          <w:sz w:val="24"/>
        </w:rPr>
        <w:t>情形</w:t>
      </w:r>
      <w:r w:rsidR="00F07F0D">
        <w:rPr>
          <w:rFonts w:ascii="宋体" w:hAnsi="宋体"/>
          <w:sz w:val="24"/>
        </w:rPr>
        <w:t>之一的，基金合同</w:t>
      </w:r>
      <w:r>
        <w:rPr>
          <w:rFonts w:ascii="宋体" w:hAnsi="宋体" w:hint="eastAsia"/>
          <w:sz w:val="24"/>
        </w:rPr>
        <w:t>应当</w:t>
      </w:r>
      <w:r w:rsidR="00F07F0D">
        <w:rPr>
          <w:rFonts w:ascii="宋体" w:hAnsi="宋体"/>
          <w:sz w:val="24"/>
        </w:rPr>
        <w:t>终止：</w:t>
      </w:r>
    </w:p>
    <w:p w14:paraId="5BB4C6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基金份额持有人大会决定终止的；</w:t>
      </w:r>
    </w:p>
    <w:p w14:paraId="412ED9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D4825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14:paraId="13DD12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4、中国证监会规定的其他情况。</w:t>
      </w:r>
    </w:p>
    <w:p w14:paraId="231CFF2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（四）争议的处理和适用的法律</w:t>
      </w:r>
    </w:p>
    <w:p w14:paraId="2A75CF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应提交中国国际经济贸易仲裁委员会根据该会当时有效的仲裁规则进行仲裁，仲裁的地点在上海分会，仲裁裁决是终局性的并对各方当事人具有约束力，仲裁费由败诉方承担。</w:t>
      </w:r>
    </w:p>
    <w:p w14:paraId="04A9AB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本基金合同受中国法律管辖。</w:t>
      </w:r>
    </w:p>
    <w:p w14:paraId="7C317A9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（五）基金合同存放地及投资者取得基金合同的方式</w:t>
      </w:r>
    </w:p>
    <w:p w14:paraId="1138005E" w14:textId="2695736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基金合同可印制成册，供投资者在基金管理人、基金托管人、代销机构的办公场所和营业场所查阅；投资者也可按工本费购买基金合同复制件或复印件，但内容应以</w:t>
      </w:r>
      <w:r w:rsidR="00821C25">
        <w:rPr>
          <w:rFonts w:ascii="宋体" w:hAnsi="宋体" w:hint="eastAsia"/>
          <w:sz w:val="24"/>
        </w:rPr>
        <w:t>本</w:t>
      </w:r>
      <w:r>
        <w:rPr>
          <w:rFonts w:ascii="宋体" w:hAnsi="宋体"/>
          <w:sz w:val="24"/>
        </w:rPr>
        <w:t>基金合同正本为准。</w:t>
      </w:r>
    </w:p>
    <w:p w14:paraId="2C72DB02"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48B2CB" w14:textId="77777777" w:rsidR="00007225" w:rsidRDefault="00F07F0D">
      <w:pPr>
        <w:pStyle w:val="1"/>
        <w:snapToGrid w:val="0"/>
        <w:spacing w:beforeLines="0" w:before="240" w:after="240"/>
        <w:rPr>
          <w:rFonts w:ascii="宋体" w:hAnsi="宋体"/>
          <w:szCs w:val="30"/>
        </w:rPr>
      </w:pPr>
      <w:bookmarkStart w:id="25" w:name="_Toc137828448"/>
      <w:r>
        <w:rPr>
          <w:rFonts w:ascii="Times New Roman" w:hAnsi="Times New Roman"/>
          <w:sz w:val="30"/>
        </w:rPr>
        <w:lastRenderedPageBreak/>
        <w:t>二十二、托管协议的内容摘要</w:t>
      </w:r>
      <w:bookmarkEnd w:id="25"/>
    </w:p>
    <w:p w14:paraId="78FFF22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0DF8DA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w:t>
      </w:r>
    </w:p>
    <w:p w14:paraId="1EED77EF" w14:textId="05E633C5" w:rsidR="00007225" w:rsidRDefault="00F07F0D" w:rsidP="000F33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71EC06D" w14:textId="344D7839" w:rsidR="00007225" w:rsidRDefault="00F9754C" w:rsidP="000F331D">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注册地址</w:t>
      </w:r>
      <w:r w:rsidR="00F07F0D">
        <w:rPr>
          <w:rFonts w:ascii="宋体" w:hAnsi="宋体"/>
          <w:sz w:val="24"/>
        </w:rPr>
        <w:t>：中国(上海)自由贸易试验区银城中路188号交通银行大楼二层（裙）</w:t>
      </w:r>
    </w:p>
    <w:p w14:paraId="11C8DCB5" w14:textId="1B09E4B9" w:rsidR="00007225" w:rsidRDefault="00F07F0D" w:rsidP="000F33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sidR="00F9754C">
        <w:rPr>
          <w:rFonts w:ascii="宋体" w:hAnsi="宋体" w:hint="eastAsia"/>
          <w:sz w:val="24"/>
        </w:rPr>
        <w:t>二</w:t>
      </w:r>
      <w:r>
        <w:rPr>
          <w:rFonts w:ascii="宋体" w:hAnsi="宋体"/>
          <w:sz w:val="24"/>
        </w:rPr>
        <w:t>期21-22楼</w:t>
      </w:r>
    </w:p>
    <w:p w14:paraId="492AD325" w14:textId="3FD77380" w:rsidR="00007225" w:rsidRDefault="00F07F0D" w:rsidP="000F33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70F9137"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u w:val="single"/>
        </w:rPr>
      </w:pPr>
      <w:r w:rsidRPr="00F9754C">
        <w:rPr>
          <w:rFonts w:ascii="宋体" w:hAnsi="宋体" w:hint="eastAsia"/>
          <w:sz w:val="24"/>
        </w:rPr>
        <w:t>经营范围：基金募集、基金销售、资产管理和中国证监会许可的其它业务</w:t>
      </w:r>
    </w:p>
    <w:p w14:paraId="2B42E50A"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rPr>
      </w:pPr>
      <w:r w:rsidRPr="00F9754C">
        <w:rPr>
          <w:rFonts w:ascii="宋体" w:hAnsi="宋体" w:hint="eastAsia"/>
          <w:sz w:val="24"/>
        </w:rPr>
        <w:t>组织形式：</w:t>
      </w:r>
      <w:r w:rsidRPr="00F9754C">
        <w:rPr>
          <w:rFonts w:ascii="宋体" w:hAnsi="宋体" w:hint="eastAsia"/>
          <w:sz w:val="24"/>
        </w:rPr>
        <w:tab/>
        <w:t>有限公司</w:t>
      </w:r>
    </w:p>
    <w:p w14:paraId="4059866D"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rPr>
      </w:pPr>
      <w:r w:rsidRPr="00F9754C">
        <w:rPr>
          <w:rFonts w:ascii="宋体" w:hAnsi="宋体" w:hint="eastAsia"/>
          <w:sz w:val="24"/>
        </w:rPr>
        <w:t>营业期限：持续经营</w:t>
      </w:r>
    </w:p>
    <w:p w14:paraId="4586DC9D"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rPr>
      </w:pPr>
      <w:r w:rsidRPr="00F9754C">
        <w:rPr>
          <w:rFonts w:ascii="宋体" w:hAnsi="宋体" w:hint="eastAsia"/>
          <w:sz w:val="24"/>
        </w:rPr>
        <w:t>电话：021-61055050</w:t>
      </w:r>
    </w:p>
    <w:p w14:paraId="61CA44C8"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rPr>
      </w:pPr>
      <w:r w:rsidRPr="00F9754C">
        <w:rPr>
          <w:rFonts w:ascii="宋体" w:hAnsi="宋体" w:hint="eastAsia"/>
          <w:sz w:val="24"/>
        </w:rPr>
        <w:t>传真：021-61055034</w:t>
      </w:r>
    </w:p>
    <w:p w14:paraId="27BD8D04"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rPr>
      </w:pPr>
      <w:r w:rsidRPr="00F9754C">
        <w:rPr>
          <w:rFonts w:ascii="宋体" w:hAnsi="宋体" w:hint="eastAsia"/>
          <w:sz w:val="24"/>
        </w:rPr>
        <w:t>成立日期：</w:t>
      </w:r>
      <w:r w:rsidRPr="00F9754C">
        <w:rPr>
          <w:rFonts w:ascii="宋体" w:hAnsi="宋体"/>
          <w:sz w:val="24"/>
        </w:rPr>
        <w:t>2005年</w:t>
      </w:r>
      <w:r w:rsidRPr="00F9754C">
        <w:rPr>
          <w:rFonts w:ascii="宋体" w:hAnsi="宋体" w:hint="eastAsia"/>
          <w:sz w:val="24"/>
        </w:rPr>
        <w:t>8</w:t>
      </w:r>
      <w:r w:rsidRPr="00F9754C">
        <w:rPr>
          <w:rFonts w:ascii="宋体" w:hAnsi="宋体"/>
          <w:sz w:val="24"/>
        </w:rPr>
        <w:t>月</w:t>
      </w:r>
      <w:r w:rsidRPr="00F9754C">
        <w:rPr>
          <w:rFonts w:ascii="宋体" w:hAnsi="宋体" w:hint="eastAsia"/>
          <w:sz w:val="24"/>
        </w:rPr>
        <w:t xml:space="preserve">4日 </w:t>
      </w:r>
    </w:p>
    <w:p w14:paraId="2AA77068" w14:textId="40745F59" w:rsidR="00007225" w:rsidRDefault="00F9754C" w:rsidP="000F331D">
      <w:pPr>
        <w:autoSpaceDE w:val="0"/>
        <w:autoSpaceDN w:val="0"/>
        <w:adjustRightInd w:val="0"/>
        <w:snapToGrid w:val="0"/>
        <w:spacing w:line="360" w:lineRule="auto"/>
        <w:ind w:firstLineChars="200" w:firstLine="480"/>
        <w:jc w:val="left"/>
        <w:rPr>
          <w:rFonts w:ascii="宋体" w:hAnsi="宋体"/>
          <w:szCs w:val="24"/>
        </w:rPr>
      </w:pPr>
      <w:r w:rsidRPr="00F9754C">
        <w:rPr>
          <w:rFonts w:ascii="宋体" w:hAnsi="宋体" w:hint="eastAsia"/>
          <w:sz w:val="24"/>
        </w:rPr>
        <w:t>注册资本：2亿元人民币</w:t>
      </w:r>
    </w:p>
    <w:p w14:paraId="74900F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w:t>
      </w:r>
    </w:p>
    <w:p w14:paraId="20CB9E05"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名称：中国农业银行股份有限公司</w:t>
      </w:r>
    </w:p>
    <w:p w14:paraId="3E79D8FE"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注册地址：北京市东城区建国门内大街69号</w:t>
      </w:r>
    </w:p>
    <w:p w14:paraId="6386646F"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办公地址：北京市西城区复兴门内大街28号</w:t>
      </w:r>
      <w:proofErr w:type="gramStart"/>
      <w:r>
        <w:rPr>
          <w:rFonts w:ascii="宋体" w:hAnsi="宋体" w:hint="eastAsia"/>
          <w:color w:val="000000"/>
          <w:sz w:val="24"/>
          <w:szCs w:val="21"/>
        </w:rPr>
        <w:t>凯</w:t>
      </w:r>
      <w:proofErr w:type="gramEnd"/>
      <w:r>
        <w:rPr>
          <w:rFonts w:ascii="宋体" w:hAnsi="宋体" w:hint="eastAsia"/>
          <w:color w:val="000000"/>
          <w:sz w:val="24"/>
          <w:szCs w:val="21"/>
        </w:rPr>
        <w:t>晨世贸中心东座九层</w:t>
      </w:r>
    </w:p>
    <w:p w14:paraId="35C7E033"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邮政编码：100031</w:t>
      </w:r>
    </w:p>
    <w:p w14:paraId="4FF0D141"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法定代表人：</w:t>
      </w:r>
      <w:r w:rsidRPr="003E397A">
        <w:rPr>
          <w:rFonts w:ascii="宋体" w:hAnsi="宋体" w:hint="eastAsia"/>
          <w:color w:val="000000"/>
          <w:sz w:val="24"/>
          <w:szCs w:val="21"/>
        </w:rPr>
        <w:t>谷</w:t>
      </w:r>
      <w:r w:rsidRPr="00381198">
        <w:rPr>
          <w:rFonts w:ascii="宋体" w:hAnsi="宋体" w:hint="eastAsia"/>
          <w:color w:val="000000"/>
          <w:sz w:val="24"/>
          <w:szCs w:val="21"/>
        </w:rPr>
        <w:t>澍</w:t>
      </w:r>
    </w:p>
    <w:p w14:paraId="64988473"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成立时间：2009年1月15日</w:t>
      </w:r>
    </w:p>
    <w:p w14:paraId="4A1E27D0"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基金托管资格批文及文号：中国证监会</w:t>
      </w:r>
      <w:proofErr w:type="gramStart"/>
      <w:r>
        <w:rPr>
          <w:rFonts w:ascii="宋体" w:hAnsi="宋体" w:hint="eastAsia"/>
          <w:color w:val="000000"/>
          <w:sz w:val="24"/>
          <w:szCs w:val="21"/>
        </w:rPr>
        <w:t>证监基字</w:t>
      </w:r>
      <w:proofErr w:type="gramEnd"/>
      <w:r>
        <w:rPr>
          <w:rFonts w:ascii="宋体" w:hAnsi="宋体" w:hint="eastAsia"/>
          <w:color w:val="000000"/>
          <w:sz w:val="24"/>
          <w:szCs w:val="21"/>
        </w:rPr>
        <w:t>[1998]23号</w:t>
      </w:r>
    </w:p>
    <w:p w14:paraId="01EA2FF5"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注册资本：</w:t>
      </w:r>
      <w:r w:rsidRPr="003E397A">
        <w:rPr>
          <w:rFonts w:ascii="宋体" w:hAnsi="宋体"/>
          <w:color w:val="000000"/>
          <w:sz w:val="24"/>
          <w:szCs w:val="21"/>
        </w:rPr>
        <w:t>34,998,303.4</w:t>
      </w:r>
      <w:r>
        <w:rPr>
          <w:rFonts w:ascii="宋体" w:hAnsi="宋体" w:hint="eastAsia"/>
          <w:color w:val="000000"/>
          <w:sz w:val="24"/>
          <w:szCs w:val="21"/>
        </w:rPr>
        <w:t>万元人民币</w:t>
      </w:r>
    </w:p>
    <w:p w14:paraId="103E71DE"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存续期间：持续经营</w:t>
      </w:r>
    </w:p>
    <w:p w14:paraId="46A31D67"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w:t>
      </w:r>
      <w:r>
        <w:rPr>
          <w:rFonts w:ascii="宋体" w:hAnsi="宋体" w:hint="eastAsia"/>
          <w:color w:val="000000"/>
          <w:sz w:val="24"/>
          <w:szCs w:val="21"/>
        </w:rPr>
        <w:lastRenderedPageBreak/>
        <w:t>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BB000F">
        <w:rPr>
          <w:rFonts w:ascii="宋体" w:hAnsi="宋体" w:hint="eastAsia"/>
          <w:color w:val="000000"/>
          <w:sz w:val="24"/>
          <w:szCs w:val="21"/>
        </w:rPr>
        <w:t>；保险兼业代理业务</w:t>
      </w:r>
      <w:r>
        <w:rPr>
          <w:rFonts w:ascii="宋体" w:hAnsi="宋体" w:hint="eastAsia"/>
          <w:color w:val="000000"/>
          <w:sz w:val="24"/>
          <w:szCs w:val="21"/>
        </w:rPr>
        <w:t>。</w:t>
      </w:r>
    </w:p>
    <w:p w14:paraId="4C160253"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（二）基金托管人和基金管理人之间的业务监督、核查</w:t>
      </w:r>
    </w:p>
    <w:p w14:paraId="036413F5" w14:textId="320B07E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w:t>
      </w:r>
      <w:r w:rsidR="00F77CAF">
        <w:rPr>
          <w:rFonts w:ascii="宋体" w:hAnsi="宋体" w:hint="eastAsia"/>
          <w:sz w:val="24"/>
        </w:rPr>
        <w:t>《</w:t>
      </w:r>
      <w:r>
        <w:rPr>
          <w:rFonts w:ascii="宋体" w:hAnsi="宋体"/>
          <w:sz w:val="24"/>
        </w:rPr>
        <w:t>基金合同</w:t>
      </w:r>
      <w:r w:rsidR="00F77CAF">
        <w:rPr>
          <w:rFonts w:ascii="宋体" w:hAnsi="宋体" w:hint="eastAsia"/>
          <w:sz w:val="24"/>
        </w:rPr>
        <w:t>》</w:t>
      </w:r>
      <w:r>
        <w:rPr>
          <w:rFonts w:ascii="宋体" w:hAnsi="宋体"/>
          <w:sz w:val="24"/>
        </w:rPr>
        <w:t>、本协议和有关基金法规的规定，基金托管人对基金的投资对象、基金财产的投资组合比例、基金财产的核算、基金资产净值的计算、基金管理人报酬的计提和支付、基金费用的支付、基金申购资金的到账和赎回资金的划付、基金收益分配、基金的融资条件等行为的合法性、合</w:t>
      </w:r>
      <w:proofErr w:type="gramStart"/>
      <w:r>
        <w:rPr>
          <w:rFonts w:ascii="宋体" w:hAnsi="宋体"/>
          <w:sz w:val="24"/>
        </w:rPr>
        <w:t>规</w:t>
      </w:r>
      <w:proofErr w:type="gramEnd"/>
      <w:r>
        <w:rPr>
          <w:rFonts w:ascii="宋体" w:hAnsi="宋体"/>
          <w:sz w:val="24"/>
        </w:rPr>
        <w:t>性进行监督和核查，其中对基金的投资比例的监督和检查自</w:t>
      </w:r>
      <w:r w:rsidR="00F77CAF">
        <w:rPr>
          <w:rFonts w:ascii="宋体" w:hAnsi="宋体" w:hint="eastAsia"/>
          <w:sz w:val="24"/>
        </w:rPr>
        <w:t>《</w:t>
      </w:r>
      <w:r>
        <w:rPr>
          <w:rFonts w:ascii="宋体" w:hAnsi="宋体"/>
          <w:sz w:val="24"/>
        </w:rPr>
        <w:t>基金合同</w:t>
      </w:r>
      <w:r w:rsidR="00F77CAF">
        <w:rPr>
          <w:rFonts w:ascii="宋体" w:hAnsi="宋体" w:hint="eastAsia"/>
          <w:sz w:val="24"/>
        </w:rPr>
        <w:t>》</w:t>
      </w:r>
      <w:r>
        <w:rPr>
          <w:rFonts w:ascii="宋体" w:hAnsi="宋体"/>
          <w:sz w:val="24"/>
        </w:rPr>
        <w:t>生效六个月</w:t>
      </w:r>
      <w:r w:rsidR="00F77CAF">
        <w:rPr>
          <w:rFonts w:ascii="宋体" w:hAnsi="宋体" w:hint="eastAsia"/>
          <w:sz w:val="24"/>
        </w:rPr>
        <w:t>之后</w:t>
      </w:r>
      <w:r>
        <w:rPr>
          <w:rFonts w:ascii="宋体" w:hAnsi="宋体"/>
          <w:sz w:val="24"/>
        </w:rPr>
        <w:t>开始。</w:t>
      </w:r>
    </w:p>
    <w:p w14:paraId="315E3D66" w14:textId="74B1B60C"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基金托管人发现基金管理人违反《基金法》、</w:t>
      </w:r>
      <w:r w:rsidR="00FB7472">
        <w:rPr>
          <w:rFonts w:ascii="宋体" w:hAnsi="宋体" w:hint="eastAsia"/>
          <w:sz w:val="24"/>
        </w:rPr>
        <w:t>《</w:t>
      </w:r>
      <w:r>
        <w:rPr>
          <w:rFonts w:ascii="宋体" w:hAnsi="宋体"/>
          <w:sz w:val="24"/>
        </w:rPr>
        <w:t>基金合同</w:t>
      </w:r>
      <w:r w:rsidR="00FB7472">
        <w:rPr>
          <w:rFonts w:ascii="宋体" w:hAnsi="宋体" w:hint="eastAsia"/>
          <w:sz w:val="24"/>
        </w:rPr>
        <w:t>》</w:t>
      </w:r>
      <w:r>
        <w:rPr>
          <w:rFonts w:ascii="宋体" w:hAnsi="宋体"/>
          <w:sz w:val="24"/>
        </w:rPr>
        <w:t>、本协议或有关基金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基金托管人有义务要求基金管理人赔偿因其过失致使投资者遭受的损失。</w:t>
      </w:r>
    </w:p>
    <w:p w14:paraId="076650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14:paraId="7B187A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基金合同》、本协议及其他有关规定，基金管理人就基金托管人是否及时执行基金管理人的划款指令、是否擅自动用基金财产、是否按时将分配给基金份额持有人的收益划入分红派息账户等事项，对基金托管人进行监督和核查。</w:t>
      </w:r>
    </w:p>
    <w:p w14:paraId="7529F4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基金管理人定期对基金托管人保管的基金财产进行核查。基金管理人发现基金托管人未对基金财产实行分账管理、擅自挪用基金财产、因基金托管人的过错导致</w:t>
      </w:r>
      <w:r>
        <w:rPr>
          <w:rFonts w:ascii="宋体" w:hAnsi="宋体"/>
          <w:sz w:val="24"/>
        </w:rPr>
        <w:lastRenderedPageBreak/>
        <w:t>基金财产灭失、减损或处于危险状态的，基金管理人应立即以书面的方式要求基金托管人予以纠正并采取必要的补救措施。基金管理人有义务要求基金托管人赔偿基金因此所遭受的损失。</w:t>
      </w:r>
    </w:p>
    <w:p w14:paraId="659BDA39" w14:textId="3F6B3F9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基金管理人发现基金托管人的行为违反《基金法》、</w:t>
      </w:r>
      <w:r w:rsidR="00FB7472">
        <w:rPr>
          <w:rFonts w:ascii="宋体" w:hAnsi="宋体" w:hint="eastAsia"/>
          <w:sz w:val="24"/>
        </w:rPr>
        <w:t>《</w:t>
      </w:r>
      <w:r>
        <w:rPr>
          <w:rFonts w:ascii="宋体" w:hAnsi="宋体"/>
          <w:sz w:val="24"/>
        </w:rPr>
        <w:t>基金合同</w:t>
      </w:r>
      <w:r w:rsidR="00FB7472">
        <w:rPr>
          <w:rFonts w:ascii="宋体" w:hAnsi="宋体" w:hint="eastAsia"/>
          <w:sz w:val="24"/>
        </w:rPr>
        <w:t>》</w:t>
      </w:r>
      <w:r>
        <w:rPr>
          <w:rFonts w:ascii="宋体" w:hAnsi="宋体"/>
          <w:sz w:val="24"/>
        </w:rPr>
        <w:t>、本协议或有关基金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14:paraId="270FAD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基金管理人发现基金托管人有重大违规行为，应立即报告中国证监会，同时通知基金托管人限期纠正。</w:t>
      </w:r>
    </w:p>
    <w:p w14:paraId="1F6DA3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14:paraId="4C2F33F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（三）基金财产保管</w:t>
      </w:r>
    </w:p>
    <w:p w14:paraId="49EA89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一、基金财产保管的原则</w:t>
      </w:r>
    </w:p>
    <w:p w14:paraId="459CED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1、基金托管人应依法持有并安全、完整地保管基金财产。未经基金管理人的正当指令，不得自行运用、处分、分配基金的任何财产。</w:t>
      </w:r>
    </w:p>
    <w:p w14:paraId="30578C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2、基金财产应独立于基金管理人、基金托管人的固有财产。</w:t>
      </w:r>
    </w:p>
    <w:p w14:paraId="29B7AA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3、基金托管人按照规定开立基金财产的资金账户和证券账户，对所托管的基金财产分别设置账户，与基金托管人的其他业务和其他基金的托管业务实行严格的分账管理，确保基金财产的完整与独立。</w:t>
      </w:r>
    </w:p>
    <w:p w14:paraId="060B5F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4、对于因基金投资、基金申（认）</w:t>
      </w:r>
      <w:proofErr w:type="gramStart"/>
      <w:r>
        <w:rPr>
          <w:rFonts w:ascii="宋体" w:hAnsi="宋体"/>
          <w:sz w:val="24"/>
        </w:rPr>
        <w:t>购过程</w:t>
      </w:r>
      <w:proofErr w:type="gramEnd"/>
      <w:r>
        <w:rPr>
          <w:rFonts w:ascii="宋体" w:hAnsi="宋体"/>
          <w:sz w:val="24"/>
        </w:rPr>
        <w:t>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w:t>
      </w:r>
    </w:p>
    <w:p w14:paraId="7D67DD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二、募集资金的验证</w:t>
      </w:r>
    </w:p>
    <w:p w14:paraId="14B595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满，由基金管理人聘请具有从事证券业务资格的会计师事务所进行验资，出具验资报告，出具的验资报告应由参加验资的2名以上（含2名）中国注册会计师签字方为有效。验资完成，基金管理人应将募集到的全部资金存入基金托管</w:t>
      </w:r>
      <w:r>
        <w:rPr>
          <w:rFonts w:ascii="宋体" w:hAnsi="宋体"/>
          <w:sz w:val="24"/>
        </w:rPr>
        <w:lastRenderedPageBreak/>
        <w:t>人为基金开立的基金托管专户中，基金托管人在收到资金当日出具基金财产接收报告。</w:t>
      </w:r>
    </w:p>
    <w:p w14:paraId="153B3C4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三、基金的银行账户的开设和管理</w:t>
      </w:r>
    </w:p>
    <w:p w14:paraId="1C8344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14:paraId="72E800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基金托管专户的开立和使用，限于满足开展本基金业务的需要。基金托管人和基金管理人不得假借本基金的名义开立其他任何银行账户；亦不得使用基金的任何银行账户进行本基金业务以外的活动。</w:t>
      </w:r>
    </w:p>
    <w:p w14:paraId="495D72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基金托管专户的管理应符合《银行账户管理办法》、《现金管理条例》、《中国人民银行利率管理的有关规定》、《关于大额现金支付管理的通知》、《支付结算办法》以及中国人民银行的其他规定。</w:t>
      </w:r>
    </w:p>
    <w:p w14:paraId="20EF69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四、基金证券账户和证券交易资金账户的开设和管理</w:t>
      </w:r>
    </w:p>
    <w:p w14:paraId="1BA0B9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基金托管人以基金托管人和本基金联名的方式在中国证券登记结算有限责任公司上海分公司/深圳分公司开设证券账户。</w:t>
      </w:r>
    </w:p>
    <w:p w14:paraId="7FE647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14:paraId="403FFE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14:paraId="721E28AD" w14:textId="55A7ABC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在本托管协议订立日之后，本基金被允许从事其他投资品种的投资业务的，涉及相关账户的开设、使用的，除非</w:t>
      </w:r>
      <w:r w:rsidR="00FB7472">
        <w:rPr>
          <w:rFonts w:ascii="宋体" w:hAnsi="宋体" w:hint="eastAsia"/>
          <w:sz w:val="24"/>
        </w:rPr>
        <w:t>法律</w:t>
      </w:r>
      <w:r>
        <w:rPr>
          <w:rFonts w:ascii="宋体" w:hAnsi="宋体"/>
          <w:sz w:val="24"/>
        </w:rPr>
        <w:t>法规另有规定，基金托管人应当比照并遵守上述关于账户开设、使用的规定；</w:t>
      </w:r>
      <w:r w:rsidR="00FB7472">
        <w:rPr>
          <w:rFonts w:ascii="宋体" w:hAnsi="宋体" w:hint="eastAsia"/>
          <w:sz w:val="24"/>
        </w:rPr>
        <w:t>法律</w:t>
      </w:r>
      <w:r>
        <w:rPr>
          <w:rFonts w:ascii="宋体" w:hAnsi="宋体"/>
          <w:sz w:val="24"/>
        </w:rPr>
        <w:t>法规另有规定的从其规定。</w:t>
      </w:r>
    </w:p>
    <w:p w14:paraId="0A0B75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五、债券托管自营账户的开设和管理</w:t>
      </w:r>
    </w:p>
    <w:p w14:paraId="74B5E4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基金的名义申请并取得进入全国银行间同业拆借市场的交易资格，并代表基金进行交易；由基金管理人在中国外汇交易中心开设同业拆借市场交易账户，由基金托管人负责以基金的名义在中央国债登记结算有限责任公司开设银行间债券市场债券托管自营账户，并由基金托管人负责基</w:t>
      </w:r>
      <w:r>
        <w:rPr>
          <w:rFonts w:ascii="宋体" w:hAnsi="宋体"/>
          <w:sz w:val="24"/>
        </w:rPr>
        <w:lastRenderedPageBreak/>
        <w:t>金的债券的后台匹配及资金的清算。在上述手续办理完毕之后，由基金托管人负责向中国人民银行进行报备。</w:t>
      </w:r>
    </w:p>
    <w:p w14:paraId="00FD59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14:paraId="1263F3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六、基金财产投资的有关实物证券的保管</w:t>
      </w:r>
    </w:p>
    <w:p w14:paraId="1F6EBA85" w14:textId="6C3AEEC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实物证券由基金托管人存放于托管银行的保管库</w:t>
      </w:r>
      <w:r w:rsidR="00510C89">
        <w:rPr>
          <w:rFonts w:ascii="宋体" w:hAnsi="宋体" w:hint="eastAsia"/>
          <w:sz w:val="24"/>
        </w:rPr>
        <w:t>，</w:t>
      </w:r>
      <w:r>
        <w:rPr>
          <w:rFonts w:ascii="宋体" w:hAnsi="宋体"/>
          <w:sz w:val="24"/>
        </w:rPr>
        <w:t>也可存入中央国债登记结算有限责任公司或中国证券登记结算有限责任公司上海分公司/深圳分公司或票据营业中心的代保管库。保管凭证由基金托管人持有。实物证券的购买和转让，由基金托管人根据基金管理人的指令办理。托管人对托管人以外机构实际有效控制的证券不承担责任。</w:t>
      </w:r>
    </w:p>
    <w:p w14:paraId="75F64C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属于基金托管人实际有效控制下的实物证券在基金托管人保管期间的损坏、灭失，由此产生的责任应由基金托管人承担。</w:t>
      </w:r>
    </w:p>
    <w:p w14:paraId="04CFAA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七、与基金财产有关的重大合同的保管</w:t>
      </w:r>
    </w:p>
    <w:p w14:paraId="2DCFE5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由基金管理人代表基金签署的与基金有关的重大合同的原件分别由基金托管人、基金管理人保管。</w:t>
      </w:r>
    </w:p>
    <w:p w14:paraId="1BB4A019" w14:textId="5B1A6AC3"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除本协议另有规定外，基金管理人在代表基金签署与基金有关的重大合同时应保证</w:t>
      </w:r>
      <w:r w:rsidR="00923891">
        <w:rPr>
          <w:rFonts w:ascii="宋体" w:hAnsi="宋体" w:hint="eastAsia"/>
          <w:sz w:val="24"/>
        </w:rPr>
        <w:t>基金一方</w:t>
      </w:r>
      <w:r>
        <w:rPr>
          <w:rFonts w:ascii="宋体" w:hAnsi="宋体"/>
          <w:sz w:val="24"/>
        </w:rPr>
        <w:t>持有两份以上的正本，以便基金管理人和基金托管人</w:t>
      </w:r>
      <w:r w:rsidR="00923891">
        <w:rPr>
          <w:rFonts w:ascii="宋体" w:hAnsi="宋体" w:hint="eastAsia"/>
          <w:sz w:val="24"/>
        </w:rPr>
        <w:t>至少</w:t>
      </w:r>
      <w:r>
        <w:rPr>
          <w:rFonts w:ascii="宋体" w:hAnsi="宋体"/>
          <w:sz w:val="24"/>
        </w:rPr>
        <w:t>各持</w:t>
      </w:r>
      <w:r w:rsidR="00923891">
        <w:rPr>
          <w:rFonts w:ascii="宋体" w:hAnsi="宋体" w:hint="eastAsia"/>
          <w:sz w:val="24"/>
        </w:rPr>
        <w:t>有</w:t>
      </w:r>
      <w:r>
        <w:rPr>
          <w:rFonts w:ascii="宋体" w:hAnsi="宋体"/>
          <w:sz w:val="24"/>
        </w:rPr>
        <w:t>一份正本的原件。如上述合同只有一份正本先由基金管理人取得，</w:t>
      </w:r>
      <w:proofErr w:type="gramStart"/>
      <w:r w:rsidR="00923891">
        <w:rPr>
          <w:rFonts w:ascii="宋体" w:hAnsi="宋体" w:hint="eastAsia"/>
          <w:sz w:val="24"/>
        </w:rPr>
        <w:t>则</w:t>
      </w:r>
      <w:r>
        <w:rPr>
          <w:rFonts w:ascii="宋体" w:hAnsi="宋体"/>
          <w:sz w:val="24"/>
        </w:rPr>
        <w:t>基金</w:t>
      </w:r>
      <w:proofErr w:type="gramEnd"/>
      <w:r>
        <w:rPr>
          <w:rFonts w:ascii="宋体" w:hAnsi="宋体"/>
          <w:sz w:val="24"/>
        </w:rPr>
        <w:t>管理人应及时将正本送达基金托管人处保管。</w:t>
      </w:r>
    </w:p>
    <w:p w14:paraId="7B6EA13E"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（四）资产净值计算和会计核算</w:t>
      </w:r>
    </w:p>
    <w:p w14:paraId="5E2CB0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一、基金资产净值的计算和复核</w:t>
      </w:r>
    </w:p>
    <w:p w14:paraId="737344D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基金份额净值是指计算日基金资产净值除以计算日基金份额总份额后的价值。本基金通过每日计算收益并分配的方式，使基金份额净值保持为人民币1.00元。国家另有规定的，从其规定。</w:t>
      </w:r>
    </w:p>
    <w:p w14:paraId="2825F7E1" w14:textId="13DAE67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2、基金管理人应每工作日对基金资产估值。估值原则应符合</w:t>
      </w:r>
      <w:r w:rsidR="00F2596C">
        <w:rPr>
          <w:rFonts w:ascii="宋体" w:hAnsi="宋体" w:hint="eastAsia"/>
          <w:sz w:val="24"/>
        </w:rPr>
        <w:t>《</w:t>
      </w:r>
      <w:r>
        <w:rPr>
          <w:rFonts w:ascii="宋体" w:hAnsi="宋体"/>
          <w:sz w:val="24"/>
        </w:rPr>
        <w:t>基金合同</w:t>
      </w:r>
      <w:r w:rsidR="00F2596C">
        <w:rPr>
          <w:rFonts w:ascii="宋体" w:hAnsi="宋体" w:hint="eastAsia"/>
          <w:sz w:val="24"/>
        </w:rPr>
        <w:t>》、《暂行规定》</w:t>
      </w:r>
      <w:r>
        <w:rPr>
          <w:rFonts w:ascii="宋体" w:hAnsi="宋体"/>
          <w:sz w:val="24"/>
        </w:rPr>
        <w:t>、《证券投资基金会计核算办法》及其他法律法规的规定。用于基金信</w:t>
      </w:r>
      <w:r>
        <w:rPr>
          <w:rFonts w:ascii="宋体" w:hAnsi="宋体"/>
          <w:sz w:val="24"/>
        </w:rPr>
        <w:lastRenderedPageBreak/>
        <w:t>息披露的</w:t>
      </w:r>
      <w:r w:rsidR="00F87260">
        <w:rPr>
          <w:rFonts w:ascii="宋体" w:hAnsi="宋体"/>
          <w:sz w:val="24"/>
        </w:rPr>
        <w:t>基金</w:t>
      </w:r>
      <w:proofErr w:type="gramStart"/>
      <w:r w:rsidR="00FA3E1C">
        <w:rPr>
          <w:rFonts w:ascii="宋体" w:hAnsi="宋体" w:hint="eastAsia"/>
          <w:sz w:val="24"/>
        </w:rPr>
        <w:t>日</w:t>
      </w:r>
      <w:r w:rsidR="00F87260">
        <w:rPr>
          <w:rFonts w:ascii="宋体" w:hAnsi="宋体"/>
          <w:sz w:val="24"/>
        </w:rPr>
        <w:t>收益</w:t>
      </w:r>
      <w:proofErr w:type="gramEnd"/>
      <w:r>
        <w:rPr>
          <w:rFonts w:ascii="宋体" w:hAnsi="宋体"/>
          <w:sz w:val="24"/>
        </w:rPr>
        <w:t>和基金</w:t>
      </w:r>
      <w:proofErr w:type="gramStart"/>
      <w:r>
        <w:rPr>
          <w:rFonts w:ascii="宋体" w:hAnsi="宋体"/>
          <w:sz w:val="24"/>
        </w:rPr>
        <w:t>七日年化收益率</w:t>
      </w:r>
      <w:proofErr w:type="gramEnd"/>
      <w:r>
        <w:rPr>
          <w:rFonts w:ascii="宋体" w:hAnsi="宋体"/>
          <w:sz w:val="24"/>
        </w:rPr>
        <w:t>由基金管理人负责计算，基金托管人复核。基金管理人应于每个工作日交易结束后计算当日的基金资产净值、</w:t>
      </w:r>
      <w:r w:rsidR="00F87260">
        <w:rPr>
          <w:rFonts w:ascii="宋体" w:hAnsi="宋体"/>
          <w:sz w:val="24"/>
        </w:rPr>
        <w:t>基金</w:t>
      </w:r>
      <w:proofErr w:type="gramStart"/>
      <w:r w:rsidR="00FA3E1C">
        <w:rPr>
          <w:rFonts w:ascii="宋体" w:hAnsi="宋体" w:hint="eastAsia"/>
          <w:sz w:val="24"/>
        </w:rPr>
        <w:t>日</w:t>
      </w:r>
      <w:r w:rsidR="00F87260">
        <w:rPr>
          <w:rFonts w:ascii="宋体" w:hAnsi="宋体"/>
          <w:sz w:val="24"/>
        </w:rPr>
        <w:t>收益</w:t>
      </w:r>
      <w:proofErr w:type="gramEnd"/>
      <w:r>
        <w:rPr>
          <w:rFonts w:ascii="宋体" w:hAnsi="宋体"/>
          <w:sz w:val="24"/>
        </w:rPr>
        <w:t>和最近一日的</w:t>
      </w:r>
      <w:proofErr w:type="gramStart"/>
      <w:r>
        <w:rPr>
          <w:rFonts w:ascii="宋体" w:hAnsi="宋体"/>
          <w:sz w:val="24"/>
        </w:rPr>
        <w:t>七日年化收益率</w:t>
      </w:r>
      <w:proofErr w:type="gramEnd"/>
      <w:r>
        <w:rPr>
          <w:rFonts w:ascii="宋体" w:hAnsi="宋体"/>
          <w:sz w:val="24"/>
        </w:rPr>
        <w:t>并以加密传真方式发送给基金托管人。基金托管人对净值计算结果复核后，签名、盖章并以加密传真方式传送给基金管理人，由基金管理人公布</w:t>
      </w:r>
      <w:r w:rsidR="00F87260">
        <w:rPr>
          <w:rFonts w:ascii="宋体" w:hAnsi="宋体"/>
          <w:sz w:val="24"/>
        </w:rPr>
        <w:t>基金</w:t>
      </w:r>
      <w:proofErr w:type="gramStart"/>
      <w:r w:rsidR="00FA3E1C">
        <w:rPr>
          <w:rFonts w:ascii="宋体" w:hAnsi="宋体" w:hint="eastAsia"/>
          <w:sz w:val="24"/>
        </w:rPr>
        <w:t>日</w:t>
      </w:r>
      <w:r w:rsidR="00F87260">
        <w:rPr>
          <w:rFonts w:ascii="宋体" w:hAnsi="宋体"/>
          <w:sz w:val="24"/>
        </w:rPr>
        <w:t>收益</w:t>
      </w:r>
      <w:proofErr w:type="gramEnd"/>
      <w:r>
        <w:rPr>
          <w:rFonts w:ascii="宋体" w:hAnsi="宋体"/>
          <w:sz w:val="24"/>
        </w:rPr>
        <w:t>和基金</w:t>
      </w:r>
      <w:proofErr w:type="gramStart"/>
      <w:r>
        <w:rPr>
          <w:rFonts w:ascii="宋体" w:hAnsi="宋体"/>
          <w:sz w:val="24"/>
        </w:rPr>
        <w:t>七日年化收益率</w:t>
      </w:r>
      <w:proofErr w:type="gramEnd"/>
      <w:r>
        <w:rPr>
          <w:rFonts w:ascii="宋体" w:hAnsi="宋体"/>
          <w:sz w:val="24"/>
        </w:rPr>
        <w:t>。</w:t>
      </w:r>
    </w:p>
    <w:p w14:paraId="53A336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3、估值对象</w:t>
      </w:r>
    </w:p>
    <w:p w14:paraId="37764134" w14:textId="623AE816"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w:t>
      </w:r>
      <w:r w:rsidR="00E60917">
        <w:rPr>
          <w:rFonts w:ascii="宋体" w:hAnsi="宋体" w:hint="eastAsia"/>
          <w:sz w:val="24"/>
        </w:rPr>
        <w:t>依法持有</w:t>
      </w:r>
      <w:r>
        <w:rPr>
          <w:rFonts w:ascii="宋体" w:hAnsi="宋体"/>
          <w:sz w:val="24"/>
        </w:rPr>
        <w:t>的银行存款</w:t>
      </w:r>
      <w:r w:rsidR="00E60917">
        <w:rPr>
          <w:rFonts w:ascii="宋体" w:hAnsi="宋体" w:hint="eastAsia"/>
          <w:sz w:val="24"/>
        </w:rPr>
        <w:t>、各类有价证券和</w:t>
      </w:r>
      <w:r>
        <w:rPr>
          <w:rFonts w:ascii="宋体" w:hAnsi="宋体"/>
          <w:sz w:val="24"/>
        </w:rPr>
        <w:t>应收款项</w:t>
      </w:r>
      <w:r w:rsidR="00E60917">
        <w:rPr>
          <w:rFonts w:ascii="宋体" w:hAnsi="宋体" w:hint="eastAsia"/>
          <w:sz w:val="24"/>
        </w:rPr>
        <w:t>以及</w:t>
      </w:r>
      <w:r>
        <w:rPr>
          <w:rFonts w:ascii="宋体" w:hAnsi="宋体"/>
          <w:sz w:val="24"/>
        </w:rPr>
        <w:t>其他投资等资产。</w:t>
      </w:r>
    </w:p>
    <w:p w14:paraId="4EB029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4、估值方法</w:t>
      </w:r>
    </w:p>
    <w:p w14:paraId="5721DF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（1）本基金目前投资工具的估值方法如下：</w:t>
      </w:r>
    </w:p>
    <w:p w14:paraId="497FB7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1）基金持有的银行存款以本金列示，按银行实际协议利率逐日计提利息；</w:t>
      </w:r>
    </w:p>
    <w:p w14:paraId="43BA39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2）基金持有的回购协议（封闭式回购）以成本列示，按实际利率在实际持有期间内逐日计提利息，合同利率与实际利率差异较小的，也可采用合同利率计算确定利息收入；</w:t>
      </w:r>
    </w:p>
    <w:p w14:paraId="5A3695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3）基金持有的附息债券、贴现</w:t>
      </w:r>
      <w:proofErr w:type="gramStart"/>
      <w:r>
        <w:rPr>
          <w:rFonts w:ascii="宋体" w:hAnsi="宋体"/>
          <w:sz w:val="24"/>
        </w:rPr>
        <w:t>券</w:t>
      </w:r>
      <w:proofErr w:type="gramEnd"/>
      <w:r>
        <w:rPr>
          <w:rFonts w:ascii="宋体" w:hAnsi="宋体"/>
          <w:sz w:val="24"/>
        </w:rPr>
        <w:t>购买时采用实际支付价款（包含交易费用）确定初始成本，每日</w:t>
      </w:r>
      <w:proofErr w:type="gramStart"/>
      <w:r>
        <w:rPr>
          <w:rFonts w:ascii="宋体" w:hAnsi="宋体"/>
          <w:sz w:val="24"/>
        </w:rPr>
        <w:t>按摊余成本</w:t>
      </w:r>
      <w:proofErr w:type="gramEnd"/>
      <w:r>
        <w:rPr>
          <w:rFonts w:ascii="宋体" w:hAnsi="宋体"/>
          <w:sz w:val="24"/>
        </w:rPr>
        <w:t>和实际利率计算确定利息收入；</w:t>
      </w:r>
    </w:p>
    <w:p w14:paraId="7B15E3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持有的买断式回购以协议成本列示，所产生的利息在实际持有期间内逐日计提。回购期间对涉及的金融资产根据其资产的性质进行相应的估值。回购期满时，若双方都能履约，则按协议进行交割。若融资业务到期无法履约，则继续持有现金资产，实际持有的相关资产按其性质进行估值；</w:t>
      </w:r>
    </w:p>
    <w:p w14:paraId="11D8B0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5）基金持有的资产支持证券视同债券，购买时采用实际支付价款（包含交易费用）确定初始成本，每日</w:t>
      </w:r>
      <w:proofErr w:type="gramStart"/>
      <w:r>
        <w:rPr>
          <w:rFonts w:ascii="宋体" w:hAnsi="宋体"/>
          <w:sz w:val="24"/>
        </w:rPr>
        <w:t>按摊余成本</w:t>
      </w:r>
      <w:proofErr w:type="gramEnd"/>
      <w:r>
        <w:rPr>
          <w:rFonts w:ascii="宋体" w:hAnsi="宋体"/>
          <w:sz w:val="24"/>
        </w:rPr>
        <w:t>和实际利率计算确定利息收入。</w:t>
      </w:r>
    </w:p>
    <w:p w14:paraId="40F95E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有确凿证据表明按上述方法进行估值不能客观反映其公允价值的，基金管理人可根据具体情况与基金托管人商定后，按最能反映公允价值的价格估值。即使存在上述情况，管理人若采用上述1)-5)规定的方法为基金财产进行了估值，仍应被认为采用了适当的估值方法；</w:t>
      </w:r>
    </w:p>
    <w:p w14:paraId="399F89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（3）货币市场基金存续期间，基金管理人应定期计算货币市场基金投资组合摊</w:t>
      </w:r>
      <w:proofErr w:type="gramStart"/>
      <w:r>
        <w:rPr>
          <w:rFonts w:ascii="宋体" w:hAnsi="宋体"/>
          <w:sz w:val="24"/>
        </w:rPr>
        <w:t>余成本</w:t>
      </w:r>
      <w:proofErr w:type="gramEnd"/>
      <w:r>
        <w:rPr>
          <w:rFonts w:ascii="宋体" w:hAnsi="宋体"/>
          <w:sz w:val="24"/>
        </w:rPr>
        <w:t>与其他可参考公允价值指标之间的偏离程度，并定期测试其他可参考公允价值指标确定方法的有效性。投资组合的摊</w:t>
      </w:r>
      <w:proofErr w:type="gramStart"/>
      <w:r>
        <w:rPr>
          <w:rFonts w:ascii="宋体" w:hAnsi="宋体"/>
          <w:sz w:val="24"/>
        </w:rPr>
        <w:t>余成本</w:t>
      </w:r>
      <w:proofErr w:type="gramEnd"/>
      <w:r>
        <w:rPr>
          <w:rFonts w:ascii="宋体" w:hAnsi="宋体"/>
          <w:sz w:val="24"/>
        </w:rPr>
        <w:t>与其他可参考公允价值指标产生重大偏离的（偏离度超过0.5%），应按其他公允价值指标对组合的账面价值进行调整，调整差额确认为"公允价值变动损益"，并按其他公允价值指标进行后续计量。</w:t>
      </w:r>
      <w:r>
        <w:rPr>
          <w:rFonts w:ascii="宋体" w:hAnsi="宋体"/>
          <w:sz w:val="24"/>
        </w:rPr>
        <w:lastRenderedPageBreak/>
        <w:t>如基金份额净值恢复至1元，可恢复使用摊</w:t>
      </w:r>
      <w:proofErr w:type="gramStart"/>
      <w:r>
        <w:rPr>
          <w:rFonts w:ascii="宋体" w:hAnsi="宋体"/>
          <w:sz w:val="24"/>
        </w:rPr>
        <w:t>余成本</w:t>
      </w:r>
      <w:proofErr w:type="gramEnd"/>
      <w:r>
        <w:rPr>
          <w:rFonts w:ascii="宋体" w:hAnsi="宋体"/>
          <w:sz w:val="24"/>
        </w:rPr>
        <w:t>法估算公允价值。</w:t>
      </w:r>
    </w:p>
    <w:p w14:paraId="386F49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（4）如有新增事项，按国家有关法律法规的最新规定估值。</w:t>
      </w:r>
    </w:p>
    <w:p w14:paraId="207655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（5）采用本估值方法可能对基金资产净值波动带来的影响：适用影子定价法对估值对象进行调整时，调整差额于当日计入基金资产净值，基金资产净值可能产生相应的波动。</w:t>
      </w:r>
    </w:p>
    <w:p w14:paraId="76C309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（6）如基金管理人或基金托管人发现基金估值违反基金合同订明的估值方法、程序及相关法律法规的规定或者未能充分维护基金份额持有人利益时，应立即通知对方，共同查明原因，双方协商解决。</w:t>
      </w:r>
    </w:p>
    <w:p w14:paraId="333EFA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224DA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5、暂停估值的情形</w:t>
      </w:r>
    </w:p>
    <w:p w14:paraId="2AE23E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（1）基金投资所涉及的证券交易所遇法定节假日或因其他原因暂停营业时；</w:t>
      </w:r>
    </w:p>
    <w:p w14:paraId="447259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（2）因不可抗力或其他情形致使基金管理人、基金托管人无法准确评估基金财产价值时；</w:t>
      </w:r>
    </w:p>
    <w:p w14:paraId="71DA9E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公允价值存在重大不确定性时，经与基金托管人协商确认后，基金管理人应当暂停基金估值；</w:t>
      </w:r>
    </w:p>
    <w:p w14:paraId="6AF0EF97" w14:textId="680330E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w:t>
      </w:r>
      <w:r w:rsidR="00272E40">
        <w:rPr>
          <w:rFonts w:ascii="宋体" w:hAnsi="宋体" w:hint="eastAsia"/>
          <w:sz w:val="24"/>
        </w:rPr>
        <w:t>《</w:t>
      </w:r>
      <w:r>
        <w:rPr>
          <w:rFonts w:ascii="宋体" w:hAnsi="宋体"/>
          <w:sz w:val="24"/>
        </w:rPr>
        <w:t>基金合同</w:t>
      </w:r>
      <w:r w:rsidR="00272E40">
        <w:rPr>
          <w:rFonts w:ascii="宋体" w:hAnsi="宋体" w:hint="eastAsia"/>
          <w:sz w:val="24"/>
        </w:rPr>
        <w:t>》</w:t>
      </w:r>
      <w:r>
        <w:rPr>
          <w:rFonts w:ascii="宋体" w:hAnsi="宋体"/>
          <w:sz w:val="24"/>
        </w:rPr>
        <w:t>认定的其他情形。</w:t>
      </w:r>
    </w:p>
    <w:p w14:paraId="382456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二、净值差错处理</w:t>
      </w:r>
    </w:p>
    <w:p w14:paraId="650768ED" w14:textId="390A0E5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本基金采用四舍五入的方法，</w:t>
      </w:r>
      <w:r w:rsidR="00F87260">
        <w:rPr>
          <w:rFonts w:ascii="宋体" w:hAnsi="宋体"/>
          <w:sz w:val="24"/>
        </w:rPr>
        <w:t>基金</w:t>
      </w:r>
      <w:proofErr w:type="gramStart"/>
      <w:r w:rsidR="00272E40">
        <w:rPr>
          <w:rFonts w:ascii="宋体" w:hAnsi="宋体" w:hint="eastAsia"/>
          <w:sz w:val="24"/>
        </w:rPr>
        <w:t>日</w:t>
      </w:r>
      <w:r w:rsidR="00F87260">
        <w:rPr>
          <w:rFonts w:ascii="宋体" w:hAnsi="宋体"/>
          <w:sz w:val="24"/>
        </w:rPr>
        <w:t>收益</w:t>
      </w:r>
      <w:proofErr w:type="gramEnd"/>
      <w:r>
        <w:rPr>
          <w:rFonts w:ascii="宋体" w:hAnsi="宋体"/>
          <w:sz w:val="24"/>
        </w:rPr>
        <w:t>保留至小数点后</w:t>
      </w:r>
      <w:r w:rsidR="00A0208B">
        <w:rPr>
          <w:rFonts w:ascii="宋体" w:hAnsi="宋体" w:hint="eastAsia"/>
          <w:sz w:val="24"/>
        </w:rPr>
        <w:t>四</w:t>
      </w:r>
      <w:r>
        <w:rPr>
          <w:rFonts w:ascii="宋体" w:hAnsi="宋体"/>
          <w:sz w:val="24"/>
        </w:rPr>
        <w:t>位，基金七日收益率保留至小数点后</w:t>
      </w:r>
      <w:r w:rsidR="00A0208B">
        <w:rPr>
          <w:rFonts w:ascii="宋体" w:hAnsi="宋体" w:hint="eastAsia"/>
          <w:sz w:val="24"/>
        </w:rPr>
        <w:t>三</w:t>
      </w:r>
      <w:r>
        <w:rPr>
          <w:rFonts w:ascii="宋体" w:hAnsi="宋体"/>
          <w:sz w:val="24"/>
        </w:rPr>
        <w:t>位，</w:t>
      </w:r>
      <w:r w:rsidR="00A0208B">
        <w:rPr>
          <w:rFonts w:ascii="宋体" w:hAnsi="宋体" w:hint="eastAsia"/>
          <w:sz w:val="24"/>
        </w:rPr>
        <w:t>法律法规</w:t>
      </w:r>
      <w:r>
        <w:rPr>
          <w:rFonts w:ascii="宋体" w:hAnsi="宋体"/>
          <w:sz w:val="24"/>
        </w:rPr>
        <w:t>另有规定的从其规定。当基金的估值导致</w:t>
      </w:r>
      <w:r w:rsidR="00F87260">
        <w:rPr>
          <w:rFonts w:ascii="宋体" w:hAnsi="宋体"/>
          <w:sz w:val="24"/>
        </w:rPr>
        <w:t>基金</w:t>
      </w:r>
      <w:proofErr w:type="gramStart"/>
      <w:r w:rsidR="00AC101D">
        <w:rPr>
          <w:rFonts w:ascii="宋体" w:hAnsi="宋体" w:hint="eastAsia"/>
          <w:sz w:val="24"/>
        </w:rPr>
        <w:t>日</w:t>
      </w:r>
      <w:r w:rsidR="00F87260">
        <w:rPr>
          <w:rFonts w:ascii="宋体" w:hAnsi="宋体"/>
          <w:sz w:val="24"/>
        </w:rPr>
        <w:t>收益</w:t>
      </w:r>
      <w:proofErr w:type="gramEnd"/>
      <w:r>
        <w:rPr>
          <w:rFonts w:ascii="宋体" w:hAnsi="宋体"/>
          <w:sz w:val="24"/>
        </w:rPr>
        <w:t>小数点后</w:t>
      </w:r>
      <w:r w:rsidR="00AC101D">
        <w:rPr>
          <w:rFonts w:ascii="宋体" w:hAnsi="宋体" w:hint="eastAsia"/>
          <w:sz w:val="24"/>
        </w:rPr>
        <w:t>四</w:t>
      </w:r>
      <w:r>
        <w:rPr>
          <w:rFonts w:ascii="宋体" w:hAnsi="宋体"/>
          <w:sz w:val="24"/>
        </w:rPr>
        <w:t>位以内或基金七日收益率小数点后</w:t>
      </w:r>
      <w:r w:rsidR="00AC101D">
        <w:rPr>
          <w:rFonts w:ascii="宋体" w:hAnsi="宋体" w:hint="eastAsia"/>
          <w:sz w:val="24"/>
        </w:rPr>
        <w:t>三</w:t>
      </w:r>
      <w:r>
        <w:rPr>
          <w:rFonts w:ascii="宋体" w:hAnsi="宋体"/>
          <w:sz w:val="24"/>
        </w:rPr>
        <w:t>位以内发生差错时，视为估值错误。基金管理人和基金托管人应采取必要、适当、合理的措施确保基金资产估值的准确性和及时性。当基金管理人确认已经发生估值错误情形时，基金管理人应立即公告、予以纠正，并采取合理的措施防止损失进一步扩大。</w:t>
      </w:r>
      <w:proofErr w:type="gramStart"/>
      <w:r>
        <w:rPr>
          <w:rFonts w:ascii="宋体" w:hAnsi="宋体"/>
          <w:sz w:val="24"/>
        </w:rPr>
        <w:t>当错误</w:t>
      </w:r>
      <w:proofErr w:type="gramEnd"/>
      <w:r>
        <w:rPr>
          <w:rFonts w:ascii="宋体" w:hAnsi="宋体"/>
          <w:sz w:val="24"/>
        </w:rPr>
        <w:t>偏差达到或超过基金</w:t>
      </w:r>
      <w:r w:rsidR="0014245F">
        <w:rPr>
          <w:rFonts w:ascii="宋体" w:hAnsi="宋体" w:hint="eastAsia"/>
          <w:sz w:val="24"/>
        </w:rPr>
        <w:t>资产</w:t>
      </w:r>
      <w:r>
        <w:rPr>
          <w:rFonts w:ascii="宋体" w:hAnsi="宋体"/>
          <w:sz w:val="24"/>
        </w:rPr>
        <w:t>净值的0.25%时，基金管理人应当及时通知基金托管人并报中国证监会；错误偏差达到基金</w:t>
      </w:r>
      <w:r w:rsidR="0014245F">
        <w:rPr>
          <w:rFonts w:ascii="宋体" w:hAnsi="宋体" w:hint="eastAsia"/>
          <w:sz w:val="24"/>
        </w:rPr>
        <w:t>资产</w:t>
      </w:r>
      <w:r>
        <w:rPr>
          <w:rFonts w:ascii="宋体" w:hAnsi="宋体"/>
          <w:sz w:val="24"/>
        </w:rPr>
        <w:t>净值的0.5%时，基金管理人应当公告、通报基金托管人并报中国证监会备案。</w:t>
      </w:r>
    </w:p>
    <w:p w14:paraId="68512B41" w14:textId="51D4F45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因基金估值错误给投资者造成损失的应先由基金管理人承担，基金管理人对不</w:t>
      </w:r>
      <w:r>
        <w:rPr>
          <w:rFonts w:ascii="宋体" w:hAnsi="宋体"/>
          <w:sz w:val="24"/>
        </w:rPr>
        <w:lastRenderedPageBreak/>
        <w:t>应由其承担的责任，有权向过错人追偿。</w:t>
      </w:r>
    </w:p>
    <w:p w14:paraId="0CF550AE" w14:textId="741A7D8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基金管理人计算的</w:t>
      </w:r>
      <w:r w:rsidR="00F87260">
        <w:rPr>
          <w:rFonts w:ascii="宋体" w:hAnsi="宋体"/>
          <w:sz w:val="24"/>
        </w:rPr>
        <w:t>基金</w:t>
      </w:r>
      <w:proofErr w:type="gramStart"/>
      <w:r w:rsidR="00AC101D">
        <w:rPr>
          <w:rFonts w:ascii="宋体" w:hAnsi="宋体" w:hint="eastAsia"/>
          <w:sz w:val="24"/>
        </w:rPr>
        <w:t>日</w:t>
      </w:r>
      <w:r w:rsidR="00F87260">
        <w:rPr>
          <w:rFonts w:ascii="宋体" w:hAnsi="宋体"/>
          <w:sz w:val="24"/>
        </w:rPr>
        <w:t>收益</w:t>
      </w:r>
      <w:proofErr w:type="gramEnd"/>
      <w:r>
        <w:rPr>
          <w:rFonts w:ascii="宋体" w:hAnsi="宋体"/>
          <w:sz w:val="24"/>
        </w:rPr>
        <w:t>和</w:t>
      </w:r>
      <w:proofErr w:type="gramStart"/>
      <w:r>
        <w:rPr>
          <w:rFonts w:ascii="宋体" w:hAnsi="宋体"/>
          <w:sz w:val="24"/>
        </w:rPr>
        <w:t>七日年化收益率</w:t>
      </w:r>
      <w:proofErr w:type="gramEnd"/>
      <w:r>
        <w:rPr>
          <w:rFonts w:ascii="宋体" w:hAnsi="宋体"/>
          <w:sz w:val="24"/>
        </w:rPr>
        <w:t>已由基金托管人复核确认后公告的，由此造成的投资者或基金的损失，应根据法律法规的规定对投资者或基金支付赔偿金，就实际向投资者或基金支付的赔偿金额，按照差错发生的具体情况，由基金管理人与基金托管人各自承担相应的责任。</w:t>
      </w:r>
    </w:p>
    <w:p w14:paraId="3A24E48D" w14:textId="740E843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w:t>
      </w:r>
      <w:r w:rsidR="00F87260">
        <w:rPr>
          <w:rFonts w:ascii="宋体" w:hAnsi="宋体"/>
          <w:sz w:val="24"/>
        </w:rPr>
        <w:t>基金</w:t>
      </w:r>
      <w:proofErr w:type="gramStart"/>
      <w:r w:rsidR="00FF42A9">
        <w:rPr>
          <w:rFonts w:ascii="宋体" w:hAnsi="宋体" w:hint="eastAsia"/>
          <w:sz w:val="24"/>
        </w:rPr>
        <w:t>日</w:t>
      </w:r>
      <w:r w:rsidR="00F87260">
        <w:rPr>
          <w:rFonts w:ascii="宋体" w:hAnsi="宋体"/>
          <w:sz w:val="24"/>
        </w:rPr>
        <w:t>收益</w:t>
      </w:r>
      <w:proofErr w:type="gramEnd"/>
      <w:r>
        <w:rPr>
          <w:rFonts w:ascii="宋体" w:hAnsi="宋体"/>
          <w:sz w:val="24"/>
        </w:rPr>
        <w:t>和</w:t>
      </w:r>
      <w:proofErr w:type="gramStart"/>
      <w:r>
        <w:rPr>
          <w:rFonts w:ascii="宋体" w:hAnsi="宋体"/>
          <w:sz w:val="24"/>
        </w:rPr>
        <w:t>七日年化收益率</w:t>
      </w:r>
      <w:proofErr w:type="gramEnd"/>
      <w:r>
        <w:rPr>
          <w:rFonts w:ascii="宋体" w:hAnsi="宋体"/>
          <w:sz w:val="24"/>
        </w:rPr>
        <w:t>计算错误造成投资者或基金的损失，以及由此造成以后交易日</w:t>
      </w:r>
      <w:r w:rsidR="00F87260">
        <w:rPr>
          <w:rFonts w:ascii="宋体" w:hAnsi="宋体"/>
          <w:sz w:val="24"/>
        </w:rPr>
        <w:t>基金</w:t>
      </w:r>
      <w:proofErr w:type="gramStart"/>
      <w:r w:rsidR="00FF42A9">
        <w:rPr>
          <w:rFonts w:ascii="宋体" w:hAnsi="宋体" w:hint="eastAsia"/>
          <w:sz w:val="24"/>
        </w:rPr>
        <w:t>日</w:t>
      </w:r>
      <w:r w:rsidR="00F87260">
        <w:rPr>
          <w:rFonts w:ascii="宋体" w:hAnsi="宋体"/>
          <w:sz w:val="24"/>
        </w:rPr>
        <w:t>收益</w:t>
      </w:r>
      <w:proofErr w:type="gramEnd"/>
      <w:r>
        <w:rPr>
          <w:rFonts w:ascii="宋体" w:hAnsi="宋体"/>
          <w:sz w:val="24"/>
        </w:rPr>
        <w:t>和</w:t>
      </w:r>
      <w:proofErr w:type="gramStart"/>
      <w:r>
        <w:rPr>
          <w:rFonts w:ascii="宋体" w:hAnsi="宋体"/>
          <w:sz w:val="24"/>
        </w:rPr>
        <w:t>七日年化收益率</w:t>
      </w:r>
      <w:proofErr w:type="gramEnd"/>
      <w:r>
        <w:rPr>
          <w:rFonts w:ascii="宋体" w:hAnsi="宋体"/>
          <w:sz w:val="24"/>
        </w:rPr>
        <w:t>计算顺延错误而引起的投资者或基金的损失，由提供错误信息的当事人一方负责赔偿。由于证券交易所及其登记结算公司发送的数据错误，或由于其他不可抗力原因，基金管理人和基金托管人虽然已经采取必要、适当、合理的措施进行检查，但是未能发现该错误的，由此造成的基金财产估值错误，基金管理人和基金托管人可以免除赔偿责任。但基金管理人和基金托管人应当积极采取必要的措施消除由此造成的影响。</w:t>
      </w:r>
    </w:p>
    <w:p w14:paraId="3460B7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针对净值差错处理，如果法律法规或证监会有新的规定，则按新的规定执行；如果行业有通行做法，在不违背法律法规且不损害投资者利益的前提下，相关各方当事人应本着平等互利的原则重新协商确定处理原则。</w:t>
      </w:r>
    </w:p>
    <w:p w14:paraId="7D7392D5" w14:textId="54CB115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w:t>
      </w:r>
      <w:r w:rsidR="00F87260">
        <w:rPr>
          <w:rFonts w:ascii="宋体" w:hAnsi="宋体"/>
          <w:sz w:val="24"/>
        </w:rPr>
        <w:t>基金</w:t>
      </w:r>
      <w:proofErr w:type="gramStart"/>
      <w:r w:rsidR="00FE728E">
        <w:rPr>
          <w:rFonts w:ascii="宋体" w:hAnsi="宋体" w:hint="eastAsia"/>
          <w:sz w:val="24"/>
        </w:rPr>
        <w:t>日</w:t>
      </w:r>
      <w:r w:rsidR="00F87260">
        <w:rPr>
          <w:rFonts w:ascii="宋体" w:hAnsi="宋体"/>
          <w:sz w:val="24"/>
        </w:rPr>
        <w:t>收益</w:t>
      </w:r>
      <w:proofErr w:type="gramEnd"/>
      <w:r>
        <w:rPr>
          <w:rFonts w:ascii="宋体" w:hAnsi="宋体"/>
          <w:sz w:val="24"/>
        </w:rPr>
        <w:t>和</w:t>
      </w:r>
      <w:proofErr w:type="gramStart"/>
      <w:r>
        <w:rPr>
          <w:rFonts w:ascii="宋体" w:hAnsi="宋体"/>
          <w:sz w:val="24"/>
        </w:rPr>
        <w:t>七日年化收益率</w:t>
      </w:r>
      <w:proofErr w:type="gramEnd"/>
      <w:r>
        <w:rPr>
          <w:rFonts w:ascii="宋体" w:hAnsi="宋体"/>
          <w:sz w:val="24"/>
        </w:rPr>
        <w:t>与基金托管人的计算结果不一致时，相关各方应本着勤勉尽责的态度重新计算核对，如果最后仍无法达成一致，应以基金管理人的计算结果为准对外公布，如基金管理人</w:t>
      </w:r>
      <w:r w:rsidR="00FE728E">
        <w:rPr>
          <w:rFonts w:ascii="宋体" w:hAnsi="宋体" w:hint="eastAsia"/>
          <w:sz w:val="24"/>
        </w:rPr>
        <w:t>净值</w:t>
      </w:r>
      <w:r>
        <w:rPr>
          <w:rFonts w:ascii="宋体" w:hAnsi="宋体"/>
          <w:sz w:val="24"/>
        </w:rPr>
        <w:t>计算错误造成的损失以及因该交易日基金</w:t>
      </w:r>
      <w:proofErr w:type="gramStart"/>
      <w:r w:rsidR="00FE728E">
        <w:rPr>
          <w:rFonts w:ascii="宋体" w:hAnsi="宋体" w:hint="eastAsia"/>
          <w:sz w:val="24"/>
        </w:rPr>
        <w:t>日收益</w:t>
      </w:r>
      <w:proofErr w:type="gramEnd"/>
      <w:r w:rsidR="00FE728E">
        <w:rPr>
          <w:rFonts w:ascii="宋体" w:hAnsi="宋体" w:hint="eastAsia"/>
          <w:sz w:val="24"/>
        </w:rPr>
        <w:t>和</w:t>
      </w:r>
      <w:proofErr w:type="gramStart"/>
      <w:r w:rsidR="00FE728E">
        <w:rPr>
          <w:rFonts w:ascii="宋体" w:hAnsi="宋体" w:hint="eastAsia"/>
          <w:sz w:val="24"/>
        </w:rPr>
        <w:t>七日年化收益率</w:t>
      </w:r>
      <w:proofErr w:type="gramEnd"/>
      <w:r>
        <w:rPr>
          <w:rFonts w:ascii="宋体" w:hAnsi="宋体"/>
          <w:sz w:val="24"/>
        </w:rPr>
        <w:t>计算顺延错误而引起的损失由基金管理人承担赔偿责任，但有权向相关责任方追偿。</w:t>
      </w:r>
    </w:p>
    <w:p w14:paraId="55D4E2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三、基金账册的建账和对账</w:t>
      </w:r>
    </w:p>
    <w:p w14:paraId="630407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14:paraId="2CA92F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19045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四、基金财务报表与报告的编制和复核</w:t>
      </w:r>
    </w:p>
    <w:p w14:paraId="46D660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w:t>
      </w:r>
      <w:proofErr w:type="gramStart"/>
      <w:r>
        <w:rPr>
          <w:rFonts w:ascii="宋体" w:hAnsi="宋体"/>
          <w:sz w:val="24"/>
        </w:rPr>
        <w:t>月分别独立</w:t>
      </w:r>
      <w:proofErr w:type="gramEnd"/>
      <w:r>
        <w:rPr>
          <w:rFonts w:ascii="宋体" w:hAnsi="宋体"/>
          <w:sz w:val="24"/>
        </w:rPr>
        <w:t>编制。月度报表的编制，应于每月终了后5日内完成。</w:t>
      </w:r>
    </w:p>
    <w:p w14:paraId="294D313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11666F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对报表盖章后，以加密传真方式或双方商定的其他方式将有关报表提供基金托管人复核；基金托管人在5日内立即进行复核，并将复核结果及时书面通知基金管理人。基金管理人在季度报告完成当日，将有关报告提供基金托管人复核，基金托管人在收到后10日内进行复核，并将复核结果书面通知基金管理人。基金管理人在中期</w:t>
      </w:r>
      <w:proofErr w:type="gramStart"/>
      <w:r>
        <w:rPr>
          <w:rFonts w:ascii="宋体" w:hAnsi="宋体"/>
          <w:sz w:val="24"/>
        </w:rPr>
        <w:t>报完成</w:t>
      </w:r>
      <w:proofErr w:type="gramEnd"/>
      <w:r>
        <w:rPr>
          <w:rFonts w:ascii="宋体" w:hAnsi="宋体"/>
          <w:sz w:val="24"/>
        </w:rPr>
        <w:t>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基金托管人在复核过程中，发现相关各方的报表存在不符时，基金管理人和基金托管人应共同查明原因，进行调整，调整以相关各方认可的账务处理方式为准。若双方无法达成一致以基金管理人的账务处理为准。核对无误后，基金托管人在基金管理人提供的报告上加盖公章或者出具加盖托管业务部门公章的复核意见书，相关各方各自留存一份。</w:t>
      </w:r>
    </w:p>
    <w:p w14:paraId="21C54F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基金托管人在对财务会计报告、中期报告或年度报告复核完毕后，需盖章确认或出具相应的复核确认书，以</w:t>
      </w:r>
      <w:proofErr w:type="gramStart"/>
      <w:r>
        <w:rPr>
          <w:rFonts w:ascii="宋体" w:hAnsi="宋体"/>
          <w:sz w:val="24"/>
        </w:rPr>
        <w:t>备有权</w:t>
      </w:r>
      <w:proofErr w:type="gramEnd"/>
      <w:r>
        <w:rPr>
          <w:rFonts w:ascii="宋体" w:hAnsi="宋体"/>
          <w:sz w:val="24"/>
        </w:rPr>
        <w:t>机构对相关文件审核时提示。</w:t>
      </w:r>
    </w:p>
    <w:p w14:paraId="29783BD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五、基金份额持有人名册的登记与保管</w:t>
      </w:r>
    </w:p>
    <w:p w14:paraId="049B6A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注册登记机构负责编制和保管。</w:t>
      </w:r>
    </w:p>
    <w:p w14:paraId="594676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六、争议的处理和适用法律</w:t>
      </w:r>
    </w:p>
    <w:p w14:paraId="7F43BB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相关各方当事人同意，因本协议而产生的或与本协议有关的一切争议，除经友</w:t>
      </w:r>
      <w:r>
        <w:rPr>
          <w:rFonts w:ascii="宋体" w:hAnsi="宋体"/>
          <w:sz w:val="24"/>
        </w:rPr>
        <w:lastRenderedPageBreak/>
        <w:t>好协商可以解决的，应提交中国国际经济贸易仲裁委员会根据提交争议时该会当时有效的仲裁规则进行仲裁，仲裁的地点在上海，仲裁裁决是终局性的并对相关各方均具有约束力，仲裁费用按仲裁裁决决定。</w:t>
      </w:r>
    </w:p>
    <w:p w14:paraId="64815E09" w14:textId="1F0B6DD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争议处理期间，相关各方当事人应恪守基金管理人和基金托管人职责，继续忠实、勤勉、尽责地履行</w:t>
      </w:r>
      <w:r w:rsidR="00317F44">
        <w:rPr>
          <w:rFonts w:ascii="宋体" w:hAnsi="宋体" w:hint="eastAsia"/>
          <w:sz w:val="24"/>
        </w:rPr>
        <w:t>《</w:t>
      </w:r>
      <w:r>
        <w:rPr>
          <w:rFonts w:ascii="宋体" w:hAnsi="宋体"/>
          <w:sz w:val="24"/>
        </w:rPr>
        <w:t>基金合同</w:t>
      </w:r>
      <w:r w:rsidR="00317F44">
        <w:rPr>
          <w:rFonts w:ascii="宋体" w:hAnsi="宋体" w:hint="eastAsia"/>
          <w:sz w:val="24"/>
        </w:rPr>
        <w:t>》</w:t>
      </w:r>
      <w:r>
        <w:rPr>
          <w:rFonts w:ascii="宋体" w:hAnsi="宋体"/>
          <w:sz w:val="24"/>
        </w:rPr>
        <w:t>和托管协议规定的义务，维护基金份额持有人的合法权益。</w:t>
      </w:r>
    </w:p>
    <w:p w14:paraId="52015D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1970D116"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（五）托管协议的修改和终止</w:t>
      </w:r>
    </w:p>
    <w:p w14:paraId="1812014D" w14:textId="372CB913"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1、本协议相关各方当事人经协商一致，可以对协议进行修改。修改后的新协议，其内容不得与</w:t>
      </w:r>
      <w:r w:rsidR="00317F44">
        <w:rPr>
          <w:rFonts w:ascii="宋体" w:hAnsi="宋体" w:hint="eastAsia"/>
          <w:sz w:val="24"/>
        </w:rPr>
        <w:t>《</w:t>
      </w:r>
      <w:r>
        <w:rPr>
          <w:rFonts w:ascii="宋体" w:hAnsi="宋体"/>
          <w:sz w:val="24"/>
        </w:rPr>
        <w:t>基金合同</w:t>
      </w:r>
      <w:r w:rsidR="00317F44">
        <w:rPr>
          <w:rFonts w:ascii="宋体" w:hAnsi="宋体" w:hint="eastAsia"/>
          <w:sz w:val="24"/>
        </w:rPr>
        <w:t>》</w:t>
      </w:r>
      <w:r>
        <w:rPr>
          <w:rFonts w:ascii="宋体" w:hAnsi="宋体"/>
          <w:sz w:val="24"/>
        </w:rPr>
        <w:t>的规定有任何冲突。修改后的新协议向中国证监会办理</w:t>
      </w:r>
      <w:proofErr w:type="gramStart"/>
      <w:r>
        <w:rPr>
          <w:rFonts w:ascii="宋体" w:hAnsi="宋体"/>
          <w:sz w:val="24"/>
        </w:rPr>
        <w:t>完必要</w:t>
      </w:r>
      <w:proofErr w:type="gramEnd"/>
      <w:r>
        <w:rPr>
          <w:rFonts w:ascii="宋体" w:hAnsi="宋体"/>
          <w:sz w:val="24"/>
        </w:rPr>
        <w:t>的核准或备案手续后生效。</w:t>
      </w:r>
    </w:p>
    <w:p w14:paraId="05C8A5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2、发生以下情况，本托管协议终止：</w:t>
      </w:r>
    </w:p>
    <w:p w14:paraId="7D7ACC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6B0BB25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（2）因基金托管人解散、依法被撤销、破产或其他事由造成本基金更换基金托管人；</w:t>
      </w:r>
    </w:p>
    <w:p w14:paraId="3AC485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（3）因基金管理人解散、依法被撤销、破产或其他事由造成本基金更换基金管理人；</w:t>
      </w:r>
    </w:p>
    <w:p w14:paraId="203E67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（4）发生《基金法》或其他法律法规规定的终止事项。</w:t>
      </w:r>
    </w:p>
    <w:p w14:paraId="1524FE8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根据《基金法》、《关于货币市场基金提前支取定期存款有关问题的通知》等法律法规的规定，本基金管理人和基金托管人于2006年7月签订了《关于货币市场基金提前支取定期存款有关问题的协议》，作为托管协议的补充。</w:t>
      </w:r>
    </w:p>
    <w:p w14:paraId="47466E2B"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FD46A1" w14:textId="77777777" w:rsidR="00007225" w:rsidRDefault="00F07F0D">
      <w:pPr>
        <w:pStyle w:val="1"/>
        <w:snapToGrid w:val="0"/>
        <w:spacing w:beforeLines="0" w:before="240" w:after="240"/>
        <w:rPr>
          <w:rFonts w:ascii="宋体" w:hAnsi="宋体"/>
          <w:szCs w:val="30"/>
        </w:rPr>
      </w:pPr>
      <w:bookmarkStart w:id="26" w:name="_Toc137828449"/>
      <w:r>
        <w:rPr>
          <w:rFonts w:ascii="Times New Roman" w:hAnsi="Times New Roman"/>
          <w:sz w:val="30"/>
        </w:rPr>
        <w:lastRenderedPageBreak/>
        <w:t>二十三、对基金份额持有人的服务</w:t>
      </w:r>
      <w:bookmarkEnd w:id="26"/>
    </w:p>
    <w:p w14:paraId="568B749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3F059B0E"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14:paraId="551A30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1、每次交易结束后，投资者可在T+2个工作日后通过销售机构的网点查询和打印确认单。</w:t>
      </w:r>
    </w:p>
    <w:p w14:paraId="68CDB0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14:paraId="35F48FF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14:paraId="0244EE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人可以直接通过本基金管理人网站的网上直销交易平台办理开户和本基金的赎回、定期定额投资和转换等业务。通过网上直销交易平台办理本基金转换出业务的个人投资者将享受转换费中相应申购补差费率的优惠，其他费率标准不变。具体优惠费率请参见公司网站列示的网上直销定期定额投资及转换费率表或相关公告。本公司基金网上直销业务已开通的银行卡及各银行卡交易金额限额请参阅本公司网站。</w:t>
      </w:r>
    </w:p>
    <w:p w14:paraId="2989D4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在条件成熟的时候，本基金管理人将根据基金网上直销交易业务的发展状况，适时调整可用于基金网上直销交易平台的银行卡种类，敬请个人投资者留意相关公告。</w:t>
      </w:r>
    </w:p>
    <w:p w14:paraId="27B12FD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14:paraId="53853C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投资者如果想查询认购、申购和赎回等交易情况、分红方式状态、基金账户余额、基金产品与服务等信息，请拨打本基金管理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14:paraId="395C81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或收到账户通知书后，及时拨打本基金管理</w:t>
      </w:r>
      <w:proofErr w:type="gramStart"/>
      <w:r>
        <w:rPr>
          <w:rFonts w:ascii="宋体" w:hAnsi="宋体"/>
          <w:sz w:val="24"/>
        </w:rPr>
        <w:t>人客户</w:t>
      </w:r>
      <w:proofErr w:type="gramEnd"/>
      <w:r>
        <w:rPr>
          <w:rFonts w:ascii="宋体" w:hAnsi="宋体"/>
          <w:sz w:val="24"/>
        </w:rPr>
        <w:t>服务电话修改基金查询密码。</w:t>
      </w:r>
    </w:p>
    <w:p w14:paraId="2CEA9F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投资者可以拨打本基金管理</w:t>
      </w:r>
      <w:proofErr w:type="gramStart"/>
      <w:r>
        <w:rPr>
          <w:rFonts w:ascii="宋体" w:hAnsi="宋体"/>
          <w:sz w:val="24"/>
        </w:rPr>
        <w:t>人客户</w:t>
      </w:r>
      <w:proofErr w:type="gramEnd"/>
      <w:r>
        <w:rPr>
          <w:rFonts w:ascii="宋体" w:hAnsi="宋体"/>
          <w:sz w:val="24"/>
        </w:rPr>
        <w:t>服务电话投诉直销机构的人员和服务。</w:t>
      </w:r>
    </w:p>
    <w:p w14:paraId="3FEA82C7"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（四）定期定额投资计划和转换业务</w:t>
      </w:r>
    </w:p>
    <w:p w14:paraId="22A7F3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本基金已开通定期定额投资计划和转换业务，具体实施方法请参见相关公告。</w:t>
      </w:r>
    </w:p>
    <w:p w14:paraId="2045603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208973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541EEF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1D9AA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566911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17C83DF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（五）如本招募说明书存在任何您/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无法理解的内容，请通过上述方式联系基金管理人。</w:t>
      </w:r>
      <w:proofErr w:type="gramStart"/>
      <w:r w:rsidRPr="00BB248E">
        <w:rPr>
          <w:rFonts w:ascii="宋体" w:hAnsi="宋体" w:hint="eastAsia"/>
          <w:b/>
          <w:kern w:val="0"/>
          <w:sz w:val="24"/>
        </w:rPr>
        <w:t>请确保</w:t>
      </w:r>
      <w:proofErr w:type="gramEnd"/>
      <w:r w:rsidRPr="00BB248E">
        <w:rPr>
          <w:rFonts w:ascii="宋体" w:hAnsi="宋体" w:hint="eastAsia"/>
          <w:b/>
          <w:kern w:val="0"/>
          <w:sz w:val="24"/>
        </w:rPr>
        <w:t>投资前，您/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已经全面理解了本招募说明书。</w:t>
      </w:r>
    </w:p>
    <w:p w14:paraId="77FED60B"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665A9D" w14:textId="77777777" w:rsidR="00007225" w:rsidRDefault="00F07F0D">
      <w:pPr>
        <w:pStyle w:val="1"/>
        <w:snapToGrid w:val="0"/>
        <w:spacing w:beforeLines="0" w:before="240" w:after="240"/>
        <w:rPr>
          <w:rFonts w:ascii="宋体" w:hAnsi="宋体"/>
          <w:szCs w:val="30"/>
        </w:rPr>
      </w:pPr>
      <w:bookmarkStart w:id="27" w:name="_Toc137828450"/>
      <w:r>
        <w:rPr>
          <w:rFonts w:ascii="Times New Roman" w:hAnsi="Times New Roman"/>
          <w:sz w:val="30"/>
        </w:rPr>
        <w:lastRenderedPageBreak/>
        <w:t>二十四、其他应披露事项</w:t>
      </w:r>
      <w:bookmarkEnd w:id="27"/>
    </w:p>
    <w:p w14:paraId="1FAEDA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120DCD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07225" w14:paraId="31006C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9C588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26FD424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5CE58F9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6DC1705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007225" w14:paraId="2FFD6B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52975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386126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交银施罗德基金管理有限公司关于交银施罗德货币市场证券投资基金调整非直销销售机构大额申购（转换转入、定期定额投资）业务限额的公告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197C825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A0E85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2022-05-30</w:t>
            </w:r>
          </w:p>
        </w:tc>
      </w:tr>
      <w:tr w:rsidR="00007225" w14:paraId="7F431A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1C90E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AEFBF1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A81BE2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E68A30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007225" w14:paraId="5F32C5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60AF0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428AAF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732A6E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D3902F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007225" w14:paraId="322F66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CB987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2A5193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B</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2C478B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656FCD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007225" w14:paraId="38BDCD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8004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D2FF11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340605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7BC957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007225" w14:paraId="0A83DF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81328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B7BC05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658E303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DC24F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007225" w14:paraId="3C0EC7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23A4F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27CB7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358F077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B1D3F3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007225" w14:paraId="68F12E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FC951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DEF871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691E55F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BD5ECF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007225" w14:paraId="3B7293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9B663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FAD76D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交银施罗德基金管理有限公司关于交银施罗德货币市场证券投资基金于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6CB40F2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2B66CA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007225" w14:paraId="799C1C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9E64C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188D706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51CE84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10861C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007225" w14:paraId="01D1F1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EB573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037D8E6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交银施罗德基金管理有限公司关于交银施罗德货币市场证券投资基金于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2CCF2E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B8ED6C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007225" w14:paraId="30F6CA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19540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5CB8A89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327DCC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4E96A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007225" w14:paraId="3E0650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CB382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3D36051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C6D08E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FC95A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007225" w14:paraId="763781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41C1F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5CBB710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DEC18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6B08A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007225" w14:paraId="4386B8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5DB04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740594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交银施罗德基金管理有限公司关于交银施罗德货币市场证券投资基金于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劳动节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AACD4B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68B8C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bl>
    <w:p w14:paraId="22652997"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DF9556F" w14:textId="77777777" w:rsidR="00007225" w:rsidRDefault="00F07F0D">
      <w:pPr>
        <w:pStyle w:val="1"/>
        <w:snapToGrid w:val="0"/>
        <w:spacing w:beforeLines="0" w:before="240" w:after="240"/>
        <w:rPr>
          <w:rFonts w:ascii="宋体" w:hAnsi="宋体"/>
          <w:szCs w:val="30"/>
        </w:rPr>
      </w:pPr>
      <w:bookmarkStart w:id="28" w:name="_Toc137828451"/>
      <w:r>
        <w:rPr>
          <w:rFonts w:ascii="Times New Roman" w:hAnsi="Times New Roman"/>
          <w:sz w:val="30"/>
        </w:rPr>
        <w:lastRenderedPageBreak/>
        <w:t>二十五、招募说明书的存放及查阅方式</w:t>
      </w:r>
      <w:bookmarkEnd w:id="28"/>
    </w:p>
    <w:p w14:paraId="014F33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56666E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投资者还可以直接登录基金管理人的网站(www.fund001.com)查阅和下载招募说明书。</w:t>
      </w:r>
    </w:p>
    <w:p w14:paraId="32AE3E4D"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198D6EE" w14:textId="77777777" w:rsidR="00007225" w:rsidRDefault="00F07F0D">
      <w:pPr>
        <w:pStyle w:val="1"/>
        <w:snapToGrid w:val="0"/>
        <w:spacing w:beforeLines="0" w:before="240" w:after="240"/>
        <w:rPr>
          <w:rFonts w:ascii="宋体" w:hAnsi="宋体"/>
          <w:szCs w:val="30"/>
        </w:rPr>
      </w:pPr>
      <w:bookmarkStart w:id="29" w:name="_Toc137828452"/>
      <w:r>
        <w:rPr>
          <w:rFonts w:ascii="Times New Roman" w:hAnsi="Times New Roman"/>
          <w:sz w:val="30"/>
        </w:rPr>
        <w:lastRenderedPageBreak/>
        <w:t>二十六、备查文件</w:t>
      </w:r>
      <w:bookmarkEnd w:id="29"/>
    </w:p>
    <w:p w14:paraId="3F7A42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506274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（一）中国证监会批准交银施罗德货币市场证券投资基金募集的文件；</w:t>
      </w:r>
    </w:p>
    <w:p w14:paraId="6C2559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（二）《交银施罗德货币市场证券投资基金基金合同》；</w:t>
      </w:r>
    </w:p>
    <w:p w14:paraId="6FE9E0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（三）《交银施罗德货币市场证券投资基金托管协议》；</w:t>
      </w:r>
    </w:p>
    <w:p w14:paraId="7A574E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26096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4E7D9C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（六）关于募集交银施罗德货币市场证券投资基金之法律意见书。</w:t>
      </w:r>
    </w:p>
    <w:sectPr w:rsidR="00007225">
      <w:footerReference w:type="default" r:id="rId18"/>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23516" w16cid:durableId="289C95BD"/>
  <w16cid:commentId w16cid:paraId="048E28B2" w16cid:durableId="28AC5524"/>
  <w16cid:commentId w16cid:paraId="022619B4" w16cid:durableId="289AF0E5"/>
  <w16cid:commentId w16cid:paraId="611E628B" w16cid:durableId="28AC5526"/>
  <w16cid:commentId w16cid:paraId="17A6DFC2" w16cid:durableId="28AC5527"/>
  <w16cid:commentId w16cid:paraId="621E6EE3" w16cid:durableId="28AC5528"/>
  <w16cid:commentId w16cid:paraId="67FDAEA7" w16cid:durableId="289CA97F"/>
  <w16cid:commentId w16cid:paraId="2A47FFAA" w16cid:durableId="28AC552A"/>
  <w16cid:commentId w16cid:paraId="46AD984F" w16cid:durableId="289CA9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556AD" w14:textId="77777777" w:rsidR="001D72AB" w:rsidRDefault="001D72AB">
      <w:r>
        <w:separator/>
      </w:r>
    </w:p>
  </w:endnote>
  <w:endnote w:type="continuationSeparator" w:id="0">
    <w:p w14:paraId="5A8A9828" w14:textId="77777777" w:rsidR="001D72AB" w:rsidRDefault="001D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A122" w14:textId="0003C837" w:rsidR="00750A4D" w:rsidRDefault="00750A4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646670F4" wp14:editId="242D7C3C">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0F121" w14:textId="3CD91500" w:rsidR="00750A4D" w:rsidRDefault="00750A4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E3A4C">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670F4"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43D0F121" w14:textId="3CD91500" w:rsidR="00750A4D" w:rsidRDefault="00750A4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E3A4C">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69CE9" w14:textId="3F63C25E" w:rsidR="00750A4D" w:rsidRDefault="00750A4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33E3C387" wp14:editId="1B81032E">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8FAA" w14:textId="0B8BF809" w:rsidR="00750A4D" w:rsidRDefault="00750A4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E3A4C">
                            <w:rPr>
                              <w:rFonts w:ascii="Times New Roman" w:hAnsi="Times New Roman"/>
                              <w:noProof/>
                              <w:kern w:val="0"/>
                              <w:sz w:val="18"/>
                              <w:szCs w:val="18"/>
                            </w:rPr>
                            <w:t>12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3C387"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1E28FAA" w14:textId="0B8BF809" w:rsidR="00750A4D" w:rsidRDefault="00750A4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E3A4C">
                      <w:rPr>
                        <w:rFonts w:ascii="Times New Roman" w:hAnsi="Times New Roman"/>
                        <w:noProof/>
                        <w:kern w:val="0"/>
                        <w:sz w:val="18"/>
                        <w:szCs w:val="18"/>
                      </w:rPr>
                      <w:t>12</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9002E" w14:textId="77777777" w:rsidR="001D72AB" w:rsidRDefault="001D72AB">
      <w:r>
        <w:separator/>
      </w:r>
    </w:p>
  </w:footnote>
  <w:footnote w:type="continuationSeparator" w:id="0">
    <w:p w14:paraId="35B27C84" w14:textId="77777777" w:rsidR="001D72AB" w:rsidRDefault="001D72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37CF" w14:textId="4F771004" w:rsidR="00750A4D" w:rsidRDefault="00750A4D">
    <w:pPr>
      <w:pStyle w:val="a3"/>
      <w:jc w:val="right"/>
    </w:pPr>
    <w:r>
      <w:rPr>
        <w:noProof/>
      </w:rPr>
      <w:drawing>
        <wp:anchor distT="0" distB="0" distL="114300" distR="114300" simplePos="0" relativeHeight="251655680" behindDoc="0" locked="0" layoutInCell="1" allowOverlap="1" wp14:anchorId="68E99783" wp14:editId="4A162ADC">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523E760" w14:textId="77777777" w:rsidR="00750A4D" w:rsidRDefault="00750A4D">
    <w:pPr>
      <w:pStyle w:val="a3"/>
      <w:jc w:val="right"/>
      <w:rPr>
        <w:rFonts w:ascii="宋体" w:hAnsi="宋体"/>
      </w:rPr>
    </w:pPr>
    <w:r>
      <w:rPr>
        <w:rFonts w:ascii="宋体" w:hAnsi="宋体" w:hint="eastAsia"/>
      </w:rPr>
      <w:t>交银施罗德货币市场证券投资基金(更新)招募说明书(2023年第1号)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566BE" w14:textId="77777777" w:rsidR="00750A4D" w:rsidRDefault="00750A4D">
    <w:pPr>
      <w:pStyle w:val="11"/>
      <w:jc w:val="right"/>
    </w:pPr>
  </w:p>
  <w:p w14:paraId="6E3384FA" w14:textId="77777777" w:rsidR="00750A4D" w:rsidRDefault="00750A4D">
    <w:pPr>
      <w:pStyle w:val="11"/>
      <w:jc w:val="right"/>
    </w:pPr>
  </w:p>
  <w:p w14:paraId="498151B2" w14:textId="77777777" w:rsidR="00750A4D" w:rsidRDefault="00750A4D">
    <w:pPr>
      <w:pStyle w:val="a3"/>
      <w:jc w:val="right"/>
    </w:pPr>
  </w:p>
  <w:p w14:paraId="012802A5" w14:textId="4EB96405" w:rsidR="00750A4D" w:rsidRDefault="00750A4D">
    <w:pPr>
      <w:pStyle w:val="a3"/>
      <w:jc w:val="right"/>
    </w:pPr>
    <w:r>
      <w:rPr>
        <w:noProof/>
      </w:rPr>
      <w:drawing>
        <wp:anchor distT="0" distB="0" distL="114300" distR="114300" simplePos="0" relativeHeight="251656704" behindDoc="0" locked="0" layoutInCell="1" allowOverlap="1" wp14:anchorId="49081DDA" wp14:editId="43C098F9">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6FA1369" w14:textId="129512D0" w:rsidR="00750A4D" w:rsidRDefault="00750A4D">
    <w:pPr>
      <w:pStyle w:val="a3"/>
      <w:jc w:val="right"/>
      <w:rPr>
        <w:rFonts w:ascii="宋体" w:hAnsi="宋体"/>
      </w:rPr>
    </w:pPr>
    <w:r>
      <w:rPr>
        <w:rFonts w:ascii="宋体" w:hAnsi="宋体" w:hint="eastAsia"/>
      </w:rPr>
      <w:t>交银施罗德货币市场证券投资基金(更新)招募说明书(2023年第</w:t>
    </w:r>
    <w:r>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19B1" w14:textId="77777777" w:rsidR="00750A4D" w:rsidRDefault="00750A4D">
    <w:pPr>
      <w:pStyle w:val="a3"/>
      <w:jc w:val="right"/>
    </w:pPr>
  </w:p>
  <w:p w14:paraId="2A327E95" w14:textId="77777777" w:rsidR="00750A4D" w:rsidRDefault="00750A4D">
    <w:pPr>
      <w:pStyle w:val="a3"/>
      <w:jc w:val="right"/>
    </w:pPr>
  </w:p>
  <w:p w14:paraId="6E2EE787" w14:textId="77777777" w:rsidR="00750A4D" w:rsidRDefault="00750A4D">
    <w:pPr>
      <w:pStyle w:val="a3"/>
      <w:jc w:val="right"/>
    </w:pPr>
  </w:p>
  <w:p w14:paraId="1875183D" w14:textId="5875B661" w:rsidR="00750A4D" w:rsidRDefault="00750A4D">
    <w:pPr>
      <w:pStyle w:val="a3"/>
      <w:jc w:val="right"/>
    </w:pPr>
    <w:r>
      <w:rPr>
        <w:noProof/>
      </w:rPr>
      <w:drawing>
        <wp:anchor distT="0" distB="0" distL="114300" distR="114300" simplePos="0" relativeHeight="251657728" behindDoc="0" locked="0" layoutInCell="1" allowOverlap="1" wp14:anchorId="576E0C89" wp14:editId="1B0CE339">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F2F88BE" w14:textId="11A9A815" w:rsidR="00750A4D" w:rsidRDefault="00750A4D">
    <w:pPr>
      <w:pStyle w:val="a3"/>
      <w:jc w:val="right"/>
      <w:rPr>
        <w:rFonts w:ascii="宋体" w:hAnsi="宋体"/>
      </w:rPr>
    </w:pPr>
    <w:r>
      <w:rPr>
        <w:rFonts w:ascii="宋体" w:hAnsi="宋体" w:hint="eastAsia"/>
      </w:rPr>
      <w:t>交银施罗德货币市场证券投资基金(更新)招募说明书(2023年第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7225"/>
    <w:rsid w:val="0001266E"/>
    <w:rsid w:val="000265DF"/>
    <w:rsid w:val="00026A29"/>
    <w:rsid w:val="00026D00"/>
    <w:rsid w:val="00027C73"/>
    <w:rsid w:val="000307C3"/>
    <w:rsid w:val="00030964"/>
    <w:rsid w:val="00030F3E"/>
    <w:rsid w:val="000368A2"/>
    <w:rsid w:val="00044AFD"/>
    <w:rsid w:val="00044E2C"/>
    <w:rsid w:val="000457B7"/>
    <w:rsid w:val="0004614E"/>
    <w:rsid w:val="00046212"/>
    <w:rsid w:val="00047C67"/>
    <w:rsid w:val="000500B8"/>
    <w:rsid w:val="000506ED"/>
    <w:rsid w:val="000543D5"/>
    <w:rsid w:val="00055792"/>
    <w:rsid w:val="00055F52"/>
    <w:rsid w:val="00061C0D"/>
    <w:rsid w:val="0006212F"/>
    <w:rsid w:val="0006220F"/>
    <w:rsid w:val="00064752"/>
    <w:rsid w:val="000647B8"/>
    <w:rsid w:val="0006506B"/>
    <w:rsid w:val="0006551A"/>
    <w:rsid w:val="000700AC"/>
    <w:rsid w:val="000705A6"/>
    <w:rsid w:val="00073D5A"/>
    <w:rsid w:val="0007638A"/>
    <w:rsid w:val="00076B6E"/>
    <w:rsid w:val="000816EA"/>
    <w:rsid w:val="00081744"/>
    <w:rsid w:val="000828CE"/>
    <w:rsid w:val="000833CB"/>
    <w:rsid w:val="00083491"/>
    <w:rsid w:val="00084078"/>
    <w:rsid w:val="000843B3"/>
    <w:rsid w:val="000869C2"/>
    <w:rsid w:val="00087F4C"/>
    <w:rsid w:val="00090648"/>
    <w:rsid w:val="00093482"/>
    <w:rsid w:val="00094253"/>
    <w:rsid w:val="00095030"/>
    <w:rsid w:val="000A01A0"/>
    <w:rsid w:val="000A1A07"/>
    <w:rsid w:val="000A352B"/>
    <w:rsid w:val="000B0F8B"/>
    <w:rsid w:val="000B359E"/>
    <w:rsid w:val="000B3894"/>
    <w:rsid w:val="000B4E04"/>
    <w:rsid w:val="000B74AB"/>
    <w:rsid w:val="000C1E1E"/>
    <w:rsid w:val="000C38F1"/>
    <w:rsid w:val="000C45C9"/>
    <w:rsid w:val="000C5E77"/>
    <w:rsid w:val="000C68E9"/>
    <w:rsid w:val="000D0ADE"/>
    <w:rsid w:val="000D119F"/>
    <w:rsid w:val="000D179E"/>
    <w:rsid w:val="000D65D2"/>
    <w:rsid w:val="000D66DC"/>
    <w:rsid w:val="000E1F3B"/>
    <w:rsid w:val="000E3AB4"/>
    <w:rsid w:val="000E7544"/>
    <w:rsid w:val="000F0C17"/>
    <w:rsid w:val="000F1998"/>
    <w:rsid w:val="000F2904"/>
    <w:rsid w:val="000F331D"/>
    <w:rsid w:val="000F34A1"/>
    <w:rsid w:val="000F5226"/>
    <w:rsid w:val="000F5583"/>
    <w:rsid w:val="000F6050"/>
    <w:rsid w:val="000F66FF"/>
    <w:rsid w:val="000F698D"/>
    <w:rsid w:val="000F7D42"/>
    <w:rsid w:val="001008A5"/>
    <w:rsid w:val="00100C86"/>
    <w:rsid w:val="0011339C"/>
    <w:rsid w:val="001135B0"/>
    <w:rsid w:val="00113815"/>
    <w:rsid w:val="00113FAA"/>
    <w:rsid w:val="00115AE5"/>
    <w:rsid w:val="00116489"/>
    <w:rsid w:val="0011648B"/>
    <w:rsid w:val="001166C1"/>
    <w:rsid w:val="00116874"/>
    <w:rsid w:val="001177A3"/>
    <w:rsid w:val="001237E7"/>
    <w:rsid w:val="001240EB"/>
    <w:rsid w:val="0012443D"/>
    <w:rsid w:val="00127053"/>
    <w:rsid w:val="001304D1"/>
    <w:rsid w:val="0013182D"/>
    <w:rsid w:val="00131CEE"/>
    <w:rsid w:val="0013315B"/>
    <w:rsid w:val="00134FCF"/>
    <w:rsid w:val="00135AD8"/>
    <w:rsid w:val="0013630D"/>
    <w:rsid w:val="001367F2"/>
    <w:rsid w:val="00140523"/>
    <w:rsid w:val="001412E8"/>
    <w:rsid w:val="00141A60"/>
    <w:rsid w:val="0014245F"/>
    <w:rsid w:val="0014250F"/>
    <w:rsid w:val="00144B52"/>
    <w:rsid w:val="001537E1"/>
    <w:rsid w:val="00153D66"/>
    <w:rsid w:val="0015725E"/>
    <w:rsid w:val="001622C1"/>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098"/>
    <w:rsid w:val="00197A55"/>
    <w:rsid w:val="00197F7E"/>
    <w:rsid w:val="001A1623"/>
    <w:rsid w:val="001A2263"/>
    <w:rsid w:val="001B1535"/>
    <w:rsid w:val="001B4531"/>
    <w:rsid w:val="001B5BDB"/>
    <w:rsid w:val="001B75F9"/>
    <w:rsid w:val="001C2B9E"/>
    <w:rsid w:val="001C38DA"/>
    <w:rsid w:val="001C7A48"/>
    <w:rsid w:val="001C7B62"/>
    <w:rsid w:val="001C7C12"/>
    <w:rsid w:val="001D2797"/>
    <w:rsid w:val="001D2B67"/>
    <w:rsid w:val="001D3730"/>
    <w:rsid w:val="001D4727"/>
    <w:rsid w:val="001D5665"/>
    <w:rsid w:val="001D61DC"/>
    <w:rsid w:val="001D6377"/>
    <w:rsid w:val="001D68A8"/>
    <w:rsid w:val="001D6B88"/>
    <w:rsid w:val="001D6C5F"/>
    <w:rsid w:val="001D72AB"/>
    <w:rsid w:val="001D7ECC"/>
    <w:rsid w:val="001E144C"/>
    <w:rsid w:val="001E25FD"/>
    <w:rsid w:val="001E2A4F"/>
    <w:rsid w:val="001E3F8F"/>
    <w:rsid w:val="001E5250"/>
    <w:rsid w:val="001F05AF"/>
    <w:rsid w:val="001F33EB"/>
    <w:rsid w:val="001F4DEA"/>
    <w:rsid w:val="001F4ECB"/>
    <w:rsid w:val="001F7353"/>
    <w:rsid w:val="001F7E98"/>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2791F"/>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2E40"/>
    <w:rsid w:val="00274E85"/>
    <w:rsid w:val="002777F6"/>
    <w:rsid w:val="00277907"/>
    <w:rsid w:val="00280C42"/>
    <w:rsid w:val="0028193D"/>
    <w:rsid w:val="00281B73"/>
    <w:rsid w:val="002833C9"/>
    <w:rsid w:val="00285E5C"/>
    <w:rsid w:val="00290B63"/>
    <w:rsid w:val="00290E73"/>
    <w:rsid w:val="00291931"/>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208E"/>
    <w:rsid w:val="002D3109"/>
    <w:rsid w:val="002D32F8"/>
    <w:rsid w:val="002D378C"/>
    <w:rsid w:val="002D6413"/>
    <w:rsid w:val="002D6F14"/>
    <w:rsid w:val="002D74D5"/>
    <w:rsid w:val="002E1051"/>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16BB0"/>
    <w:rsid w:val="00317F44"/>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8D4"/>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77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5B2"/>
    <w:rsid w:val="003D0B3E"/>
    <w:rsid w:val="003D1624"/>
    <w:rsid w:val="003D2352"/>
    <w:rsid w:val="003D3863"/>
    <w:rsid w:val="003D3D0A"/>
    <w:rsid w:val="003E0493"/>
    <w:rsid w:val="003E0800"/>
    <w:rsid w:val="003E1584"/>
    <w:rsid w:val="003E33DE"/>
    <w:rsid w:val="003E3593"/>
    <w:rsid w:val="003E585F"/>
    <w:rsid w:val="003E6049"/>
    <w:rsid w:val="003E67F9"/>
    <w:rsid w:val="003F0D27"/>
    <w:rsid w:val="003F1C98"/>
    <w:rsid w:val="003F317C"/>
    <w:rsid w:val="003F4813"/>
    <w:rsid w:val="00406654"/>
    <w:rsid w:val="00406E30"/>
    <w:rsid w:val="0041100B"/>
    <w:rsid w:val="004114F3"/>
    <w:rsid w:val="00412894"/>
    <w:rsid w:val="004130C3"/>
    <w:rsid w:val="00413E71"/>
    <w:rsid w:val="0041517B"/>
    <w:rsid w:val="00421363"/>
    <w:rsid w:val="00421921"/>
    <w:rsid w:val="00422100"/>
    <w:rsid w:val="004254D3"/>
    <w:rsid w:val="00425529"/>
    <w:rsid w:val="0042746B"/>
    <w:rsid w:val="004305FD"/>
    <w:rsid w:val="00433B69"/>
    <w:rsid w:val="004369AD"/>
    <w:rsid w:val="00436DD6"/>
    <w:rsid w:val="00442BB9"/>
    <w:rsid w:val="00442E04"/>
    <w:rsid w:val="00444FB7"/>
    <w:rsid w:val="00450674"/>
    <w:rsid w:val="00451A96"/>
    <w:rsid w:val="004533FE"/>
    <w:rsid w:val="00454715"/>
    <w:rsid w:val="00454D80"/>
    <w:rsid w:val="00456785"/>
    <w:rsid w:val="00462EB0"/>
    <w:rsid w:val="00463933"/>
    <w:rsid w:val="00464346"/>
    <w:rsid w:val="00464848"/>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0471"/>
    <w:rsid w:val="004B17D8"/>
    <w:rsid w:val="004B2323"/>
    <w:rsid w:val="004B62C3"/>
    <w:rsid w:val="004B7466"/>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399D"/>
    <w:rsid w:val="004F415D"/>
    <w:rsid w:val="004F4980"/>
    <w:rsid w:val="004F66F4"/>
    <w:rsid w:val="004F7710"/>
    <w:rsid w:val="00502A45"/>
    <w:rsid w:val="0050542C"/>
    <w:rsid w:val="005071FA"/>
    <w:rsid w:val="00510C89"/>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2106"/>
    <w:rsid w:val="00543B42"/>
    <w:rsid w:val="005449BF"/>
    <w:rsid w:val="0054651A"/>
    <w:rsid w:val="00546EA9"/>
    <w:rsid w:val="005474CD"/>
    <w:rsid w:val="005501B7"/>
    <w:rsid w:val="0055152E"/>
    <w:rsid w:val="00552094"/>
    <w:rsid w:val="00553D73"/>
    <w:rsid w:val="00554BAF"/>
    <w:rsid w:val="00555700"/>
    <w:rsid w:val="00555A15"/>
    <w:rsid w:val="00556291"/>
    <w:rsid w:val="005569E4"/>
    <w:rsid w:val="00560E11"/>
    <w:rsid w:val="00561147"/>
    <w:rsid w:val="00561463"/>
    <w:rsid w:val="00561F8F"/>
    <w:rsid w:val="00563A0E"/>
    <w:rsid w:val="00563ED4"/>
    <w:rsid w:val="005647D0"/>
    <w:rsid w:val="00574C59"/>
    <w:rsid w:val="00576CE2"/>
    <w:rsid w:val="005770AC"/>
    <w:rsid w:val="00577C1A"/>
    <w:rsid w:val="00577FAA"/>
    <w:rsid w:val="0058041D"/>
    <w:rsid w:val="005826AA"/>
    <w:rsid w:val="00583CE7"/>
    <w:rsid w:val="005856E9"/>
    <w:rsid w:val="005867BB"/>
    <w:rsid w:val="00587452"/>
    <w:rsid w:val="005904C2"/>
    <w:rsid w:val="00590DBE"/>
    <w:rsid w:val="00591C2A"/>
    <w:rsid w:val="00592461"/>
    <w:rsid w:val="00592539"/>
    <w:rsid w:val="0059455F"/>
    <w:rsid w:val="00596A05"/>
    <w:rsid w:val="00596D6D"/>
    <w:rsid w:val="00597284"/>
    <w:rsid w:val="00597F8F"/>
    <w:rsid w:val="005A1EA2"/>
    <w:rsid w:val="005A2467"/>
    <w:rsid w:val="005A321F"/>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C661C"/>
    <w:rsid w:val="005C6F03"/>
    <w:rsid w:val="005D0AA6"/>
    <w:rsid w:val="005D165F"/>
    <w:rsid w:val="005D21F3"/>
    <w:rsid w:val="005D3CF8"/>
    <w:rsid w:val="005D5531"/>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4E9"/>
    <w:rsid w:val="00610629"/>
    <w:rsid w:val="00611BCD"/>
    <w:rsid w:val="0061258D"/>
    <w:rsid w:val="006142EC"/>
    <w:rsid w:val="006155A5"/>
    <w:rsid w:val="00617824"/>
    <w:rsid w:val="00624214"/>
    <w:rsid w:val="00625419"/>
    <w:rsid w:val="00626D1A"/>
    <w:rsid w:val="00627429"/>
    <w:rsid w:val="00627D0B"/>
    <w:rsid w:val="0063089C"/>
    <w:rsid w:val="00632A91"/>
    <w:rsid w:val="006345E8"/>
    <w:rsid w:val="0063765C"/>
    <w:rsid w:val="006403CB"/>
    <w:rsid w:val="006410B0"/>
    <w:rsid w:val="0064139F"/>
    <w:rsid w:val="00641404"/>
    <w:rsid w:val="00641EDA"/>
    <w:rsid w:val="0064250F"/>
    <w:rsid w:val="00642B97"/>
    <w:rsid w:val="00643680"/>
    <w:rsid w:val="00644453"/>
    <w:rsid w:val="00644B32"/>
    <w:rsid w:val="0064639A"/>
    <w:rsid w:val="0064646F"/>
    <w:rsid w:val="00646523"/>
    <w:rsid w:val="00647BDD"/>
    <w:rsid w:val="0065273C"/>
    <w:rsid w:val="00656A74"/>
    <w:rsid w:val="00657221"/>
    <w:rsid w:val="00657A9C"/>
    <w:rsid w:val="00661FC1"/>
    <w:rsid w:val="00663FED"/>
    <w:rsid w:val="00664B64"/>
    <w:rsid w:val="006678E3"/>
    <w:rsid w:val="00667A9C"/>
    <w:rsid w:val="006712E8"/>
    <w:rsid w:val="00671946"/>
    <w:rsid w:val="00677DA7"/>
    <w:rsid w:val="00680212"/>
    <w:rsid w:val="00680C90"/>
    <w:rsid w:val="00681036"/>
    <w:rsid w:val="006823AD"/>
    <w:rsid w:val="00682C29"/>
    <w:rsid w:val="00684495"/>
    <w:rsid w:val="00685872"/>
    <w:rsid w:val="00685AD7"/>
    <w:rsid w:val="00691963"/>
    <w:rsid w:val="00692124"/>
    <w:rsid w:val="00692D96"/>
    <w:rsid w:val="00693C96"/>
    <w:rsid w:val="00696339"/>
    <w:rsid w:val="00696982"/>
    <w:rsid w:val="006A2AAF"/>
    <w:rsid w:val="006A3F85"/>
    <w:rsid w:val="006A48FA"/>
    <w:rsid w:val="006A56F1"/>
    <w:rsid w:val="006A6E5C"/>
    <w:rsid w:val="006B0486"/>
    <w:rsid w:val="006B0972"/>
    <w:rsid w:val="006B3153"/>
    <w:rsid w:val="006B5871"/>
    <w:rsid w:val="006B6BB1"/>
    <w:rsid w:val="006B7212"/>
    <w:rsid w:val="006C084B"/>
    <w:rsid w:val="006C14C3"/>
    <w:rsid w:val="006C2DEE"/>
    <w:rsid w:val="006C4B6F"/>
    <w:rsid w:val="006C589D"/>
    <w:rsid w:val="006C769C"/>
    <w:rsid w:val="006C7A95"/>
    <w:rsid w:val="006D11E8"/>
    <w:rsid w:val="006D218F"/>
    <w:rsid w:val="006D4B0E"/>
    <w:rsid w:val="006D753C"/>
    <w:rsid w:val="006E0A00"/>
    <w:rsid w:val="006E1A48"/>
    <w:rsid w:val="006E306D"/>
    <w:rsid w:val="006E4BEC"/>
    <w:rsid w:val="006E6968"/>
    <w:rsid w:val="006F04C6"/>
    <w:rsid w:val="006F08A0"/>
    <w:rsid w:val="006F2A97"/>
    <w:rsid w:val="006F7AD7"/>
    <w:rsid w:val="00702627"/>
    <w:rsid w:val="0070359F"/>
    <w:rsid w:val="0070464C"/>
    <w:rsid w:val="00705474"/>
    <w:rsid w:val="00705B46"/>
    <w:rsid w:val="007076B2"/>
    <w:rsid w:val="0071106D"/>
    <w:rsid w:val="00711BBB"/>
    <w:rsid w:val="0071340A"/>
    <w:rsid w:val="00713FC7"/>
    <w:rsid w:val="00716FD1"/>
    <w:rsid w:val="00720D0F"/>
    <w:rsid w:val="00720D81"/>
    <w:rsid w:val="007218A9"/>
    <w:rsid w:val="0072241C"/>
    <w:rsid w:val="007245A5"/>
    <w:rsid w:val="00725A55"/>
    <w:rsid w:val="00731628"/>
    <w:rsid w:val="00734108"/>
    <w:rsid w:val="007343AD"/>
    <w:rsid w:val="0073448D"/>
    <w:rsid w:val="00735087"/>
    <w:rsid w:val="00736FA0"/>
    <w:rsid w:val="0074053E"/>
    <w:rsid w:val="0075000E"/>
    <w:rsid w:val="00750A4D"/>
    <w:rsid w:val="00752156"/>
    <w:rsid w:val="00753A7A"/>
    <w:rsid w:val="00756E77"/>
    <w:rsid w:val="007577C2"/>
    <w:rsid w:val="0076038F"/>
    <w:rsid w:val="00760D77"/>
    <w:rsid w:val="007617E5"/>
    <w:rsid w:val="00765E6B"/>
    <w:rsid w:val="0077124E"/>
    <w:rsid w:val="00772FA7"/>
    <w:rsid w:val="0077578C"/>
    <w:rsid w:val="00781ACA"/>
    <w:rsid w:val="007823CF"/>
    <w:rsid w:val="00783E35"/>
    <w:rsid w:val="00784F67"/>
    <w:rsid w:val="00786754"/>
    <w:rsid w:val="00786D49"/>
    <w:rsid w:val="00787061"/>
    <w:rsid w:val="00790F0A"/>
    <w:rsid w:val="00790F5E"/>
    <w:rsid w:val="007927A6"/>
    <w:rsid w:val="00795EF4"/>
    <w:rsid w:val="00797F6E"/>
    <w:rsid w:val="007A1F4C"/>
    <w:rsid w:val="007A53F8"/>
    <w:rsid w:val="007B05BD"/>
    <w:rsid w:val="007B31A5"/>
    <w:rsid w:val="007B3327"/>
    <w:rsid w:val="007B3533"/>
    <w:rsid w:val="007B4996"/>
    <w:rsid w:val="007B4EBD"/>
    <w:rsid w:val="007B6926"/>
    <w:rsid w:val="007B6FA3"/>
    <w:rsid w:val="007B705D"/>
    <w:rsid w:val="007C09A5"/>
    <w:rsid w:val="007C5764"/>
    <w:rsid w:val="007C61D0"/>
    <w:rsid w:val="007C6FAA"/>
    <w:rsid w:val="007C768F"/>
    <w:rsid w:val="007D0DA0"/>
    <w:rsid w:val="007D251F"/>
    <w:rsid w:val="007D4FA2"/>
    <w:rsid w:val="007D719C"/>
    <w:rsid w:val="007E0874"/>
    <w:rsid w:val="007E0FAD"/>
    <w:rsid w:val="007E60E9"/>
    <w:rsid w:val="007E63F3"/>
    <w:rsid w:val="007E6F5A"/>
    <w:rsid w:val="007E7751"/>
    <w:rsid w:val="007F0916"/>
    <w:rsid w:val="007F1E7D"/>
    <w:rsid w:val="007F2A79"/>
    <w:rsid w:val="007F3026"/>
    <w:rsid w:val="007F42DD"/>
    <w:rsid w:val="007F4E0F"/>
    <w:rsid w:val="007F6EE5"/>
    <w:rsid w:val="007F77CA"/>
    <w:rsid w:val="00800DC0"/>
    <w:rsid w:val="008011ED"/>
    <w:rsid w:val="00801636"/>
    <w:rsid w:val="00803227"/>
    <w:rsid w:val="00803935"/>
    <w:rsid w:val="008045D0"/>
    <w:rsid w:val="008059B8"/>
    <w:rsid w:val="00810333"/>
    <w:rsid w:val="00810D0D"/>
    <w:rsid w:val="0081415C"/>
    <w:rsid w:val="0081587E"/>
    <w:rsid w:val="0081590D"/>
    <w:rsid w:val="00815E57"/>
    <w:rsid w:val="008166F5"/>
    <w:rsid w:val="0081677E"/>
    <w:rsid w:val="00817467"/>
    <w:rsid w:val="0082043E"/>
    <w:rsid w:val="00821C25"/>
    <w:rsid w:val="00822905"/>
    <w:rsid w:val="0082299E"/>
    <w:rsid w:val="00827CD1"/>
    <w:rsid w:val="00827DCB"/>
    <w:rsid w:val="008300FC"/>
    <w:rsid w:val="00832164"/>
    <w:rsid w:val="00832F53"/>
    <w:rsid w:val="00834003"/>
    <w:rsid w:val="0083455F"/>
    <w:rsid w:val="00834EA0"/>
    <w:rsid w:val="008353D5"/>
    <w:rsid w:val="00843042"/>
    <w:rsid w:val="00843C37"/>
    <w:rsid w:val="00844886"/>
    <w:rsid w:val="00844C2D"/>
    <w:rsid w:val="00846D68"/>
    <w:rsid w:val="008518E5"/>
    <w:rsid w:val="00852B15"/>
    <w:rsid w:val="00856135"/>
    <w:rsid w:val="00857A96"/>
    <w:rsid w:val="00861FE5"/>
    <w:rsid w:val="0086376D"/>
    <w:rsid w:val="008703C2"/>
    <w:rsid w:val="0087209F"/>
    <w:rsid w:val="00880221"/>
    <w:rsid w:val="008806CC"/>
    <w:rsid w:val="00880C4B"/>
    <w:rsid w:val="008849E6"/>
    <w:rsid w:val="0088513E"/>
    <w:rsid w:val="00886300"/>
    <w:rsid w:val="0089099F"/>
    <w:rsid w:val="00890AAF"/>
    <w:rsid w:val="00892F7A"/>
    <w:rsid w:val="00893F30"/>
    <w:rsid w:val="00894CEB"/>
    <w:rsid w:val="00896A62"/>
    <w:rsid w:val="00897B88"/>
    <w:rsid w:val="008A113D"/>
    <w:rsid w:val="008A678B"/>
    <w:rsid w:val="008A6D96"/>
    <w:rsid w:val="008B0034"/>
    <w:rsid w:val="008B0255"/>
    <w:rsid w:val="008B0702"/>
    <w:rsid w:val="008B2397"/>
    <w:rsid w:val="008B33B5"/>
    <w:rsid w:val="008B3CD6"/>
    <w:rsid w:val="008B43AD"/>
    <w:rsid w:val="008B6003"/>
    <w:rsid w:val="008B691D"/>
    <w:rsid w:val="008C13B6"/>
    <w:rsid w:val="008C4D11"/>
    <w:rsid w:val="008D33A4"/>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048B"/>
    <w:rsid w:val="00922B65"/>
    <w:rsid w:val="00923891"/>
    <w:rsid w:val="0092605A"/>
    <w:rsid w:val="0092689A"/>
    <w:rsid w:val="0093228E"/>
    <w:rsid w:val="009325E1"/>
    <w:rsid w:val="00933602"/>
    <w:rsid w:val="009338B2"/>
    <w:rsid w:val="009351EF"/>
    <w:rsid w:val="0093698F"/>
    <w:rsid w:val="0094035A"/>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33B8"/>
    <w:rsid w:val="009649DC"/>
    <w:rsid w:val="00966EB2"/>
    <w:rsid w:val="00970C67"/>
    <w:rsid w:val="00971922"/>
    <w:rsid w:val="0097360B"/>
    <w:rsid w:val="00974456"/>
    <w:rsid w:val="00991483"/>
    <w:rsid w:val="0099296D"/>
    <w:rsid w:val="009935AA"/>
    <w:rsid w:val="00993F94"/>
    <w:rsid w:val="009951B2"/>
    <w:rsid w:val="0099698C"/>
    <w:rsid w:val="009A039C"/>
    <w:rsid w:val="009A2859"/>
    <w:rsid w:val="009A4E90"/>
    <w:rsid w:val="009A50B8"/>
    <w:rsid w:val="009A737B"/>
    <w:rsid w:val="009B1823"/>
    <w:rsid w:val="009B406F"/>
    <w:rsid w:val="009B443A"/>
    <w:rsid w:val="009B4D09"/>
    <w:rsid w:val="009B636E"/>
    <w:rsid w:val="009B6DD1"/>
    <w:rsid w:val="009C1332"/>
    <w:rsid w:val="009C4A4F"/>
    <w:rsid w:val="009C55DB"/>
    <w:rsid w:val="009C6D34"/>
    <w:rsid w:val="009C7779"/>
    <w:rsid w:val="009D2E97"/>
    <w:rsid w:val="009D328E"/>
    <w:rsid w:val="009D3438"/>
    <w:rsid w:val="009D3B88"/>
    <w:rsid w:val="009D40B6"/>
    <w:rsid w:val="009D4A0D"/>
    <w:rsid w:val="009D4D3A"/>
    <w:rsid w:val="009D673D"/>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208B"/>
    <w:rsid w:val="00A03BCB"/>
    <w:rsid w:val="00A048F3"/>
    <w:rsid w:val="00A04CA6"/>
    <w:rsid w:val="00A052DD"/>
    <w:rsid w:val="00A06E6F"/>
    <w:rsid w:val="00A12A49"/>
    <w:rsid w:val="00A135C4"/>
    <w:rsid w:val="00A13A3E"/>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0CCF"/>
    <w:rsid w:val="00A5210B"/>
    <w:rsid w:val="00A524EC"/>
    <w:rsid w:val="00A52F4A"/>
    <w:rsid w:val="00A531D6"/>
    <w:rsid w:val="00A54346"/>
    <w:rsid w:val="00A54BE2"/>
    <w:rsid w:val="00A55211"/>
    <w:rsid w:val="00A559DD"/>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101D"/>
    <w:rsid w:val="00AC2185"/>
    <w:rsid w:val="00AC3068"/>
    <w:rsid w:val="00AC3C48"/>
    <w:rsid w:val="00AC402B"/>
    <w:rsid w:val="00AC4067"/>
    <w:rsid w:val="00AC5020"/>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3A4C"/>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937"/>
    <w:rsid w:val="00B70D91"/>
    <w:rsid w:val="00B72FA0"/>
    <w:rsid w:val="00B73209"/>
    <w:rsid w:val="00B763A0"/>
    <w:rsid w:val="00B7708B"/>
    <w:rsid w:val="00B7721B"/>
    <w:rsid w:val="00B80069"/>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3C2"/>
    <w:rsid w:val="00BC3F55"/>
    <w:rsid w:val="00BC481A"/>
    <w:rsid w:val="00BC4D26"/>
    <w:rsid w:val="00BC555D"/>
    <w:rsid w:val="00BC5B8C"/>
    <w:rsid w:val="00BC658E"/>
    <w:rsid w:val="00BD0218"/>
    <w:rsid w:val="00BD1869"/>
    <w:rsid w:val="00BD200B"/>
    <w:rsid w:val="00BD63DF"/>
    <w:rsid w:val="00BD64D4"/>
    <w:rsid w:val="00BD7C4B"/>
    <w:rsid w:val="00BE33E8"/>
    <w:rsid w:val="00BF2BEB"/>
    <w:rsid w:val="00BF3197"/>
    <w:rsid w:val="00BF5E23"/>
    <w:rsid w:val="00BF6AD1"/>
    <w:rsid w:val="00C01DB8"/>
    <w:rsid w:val="00C02464"/>
    <w:rsid w:val="00C0300F"/>
    <w:rsid w:val="00C04C13"/>
    <w:rsid w:val="00C0523E"/>
    <w:rsid w:val="00C06C3C"/>
    <w:rsid w:val="00C071F3"/>
    <w:rsid w:val="00C0751C"/>
    <w:rsid w:val="00C07D81"/>
    <w:rsid w:val="00C07F14"/>
    <w:rsid w:val="00C11B64"/>
    <w:rsid w:val="00C1218B"/>
    <w:rsid w:val="00C12B6B"/>
    <w:rsid w:val="00C135F1"/>
    <w:rsid w:val="00C140D0"/>
    <w:rsid w:val="00C14775"/>
    <w:rsid w:val="00C150A5"/>
    <w:rsid w:val="00C21089"/>
    <w:rsid w:val="00C22B21"/>
    <w:rsid w:val="00C23593"/>
    <w:rsid w:val="00C23845"/>
    <w:rsid w:val="00C23D12"/>
    <w:rsid w:val="00C31846"/>
    <w:rsid w:val="00C32A33"/>
    <w:rsid w:val="00C367FB"/>
    <w:rsid w:val="00C41389"/>
    <w:rsid w:val="00C41BB7"/>
    <w:rsid w:val="00C42379"/>
    <w:rsid w:val="00C42E4A"/>
    <w:rsid w:val="00C44004"/>
    <w:rsid w:val="00C445F4"/>
    <w:rsid w:val="00C44AE6"/>
    <w:rsid w:val="00C54DF3"/>
    <w:rsid w:val="00C610B6"/>
    <w:rsid w:val="00C6257F"/>
    <w:rsid w:val="00C63117"/>
    <w:rsid w:val="00C640C7"/>
    <w:rsid w:val="00C65784"/>
    <w:rsid w:val="00C67BDD"/>
    <w:rsid w:val="00C70F24"/>
    <w:rsid w:val="00C717F6"/>
    <w:rsid w:val="00C72FD7"/>
    <w:rsid w:val="00C8155C"/>
    <w:rsid w:val="00C841CA"/>
    <w:rsid w:val="00C84DD9"/>
    <w:rsid w:val="00C907F0"/>
    <w:rsid w:val="00C93A91"/>
    <w:rsid w:val="00C95601"/>
    <w:rsid w:val="00CA1947"/>
    <w:rsid w:val="00CA1C91"/>
    <w:rsid w:val="00CA323D"/>
    <w:rsid w:val="00CA54A0"/>
    <w:rsid w:val="00CA58B6"/>
    <w:rsid w:val="00CB50F2"/>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4C0F"/>
    <w:rsid w:val="00CD56D7"/>
    <w:rsid w:val="00CD57FC"/>
    <w:rsid w:val="00CD632A"/>
    <w:rsid w:val="00CD764B"/>
    <w:rsid w:val="00CE0B6D"/>
    <w:rsid w:val="00CE127E"/>
    <w:rsid w:val="00CE136A"/>
    <w:rsid w:val="00CE1C10"/>
    <w:rsid w:val="00CE217C"/>
    <w:rsid w:val="00CE4AE9"/>
    <w:rsid w:val="00CE5DF0"/>
    <w:rsid w:val="00CF41D0"/>
    <w:rsid w:val="00CF6D54"/>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6ECC"/>
    <w:rsid w:val="00D47CF6"/>
    <w:rsid w:val="00D50820"/>
    <w:rsid w:val="00D511C3"/>
    <w:rsid w:val="00D5481D"/>
    <w:rsid w:val="00D55B2D"/>
    <w:rsid w:val="00D60045"/>
    <w:rsid w:val="00D628AE"/>
    <w:rsid w:val="00D647C9"/>
    <w:rsid w:val="00D6536E"/>
    <w:rsid w:val="00D6632B"/>
    <w:rsid w:val="00D67995"/>
    <w:rsid w:val="00D7163F"/>
    <w:rsid w:val="00D7298C"/>
    <w:rsid w:val="00D732AC"/>
    <w:rsid w:val="00D73998"/>
    <w:rsid w:val="00D76FD9"/>
    <w:rsid w:val="00D800BD"/>
    <w:rsid w:val="00D816C8"/>
    <w:rsid w:val="00D81BC5"/>
    <w:rsid w:val="00D827CE"/>
    <w:rsid w:val="00D84DEB"/>
    <w:rsid w:val="00D877A6"/>
    <w:rsid w:val="00D904D9"/>
    <w:rsid w:val="00D90D32"/>
    <w:rsid w:val="00D946F0"/>
    <w:rsid w:val="00D95156"/>
    <w:rsid w:val="00D951F4"/>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2A23"/>
    <w:rsid w:val="00DC4FA8"/>
    <w:rsid w:val="00DC7A46"/>
    <w:rsid w:val="00DD0F54"/>
    <w:rsid w:val="00DD4F7A"/>
    <w:rsid w:val="00DD5050"/>
    <w:rsid w:val="00DD5306"/>
    <w:rsid w:val="00DD5903"/>
    <w:rsid w:val="00DD5E1E"/>
    <w:rsid w:val="00DE14E1"/>
    <w:rsid w:val="00DE229B"/>
    <w:rsid w:val="00DE2D26"/>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3AD2"/>
    <w:rsid w:val="00E24FF9"/>
    <w:rsid w:val="00E2572E"/>
    <w:rsid w:val="00E2692D"/>
    <w:rsid w:val="00E271C2"/>
    <w:rsid w:val="00E27AC2"/>
    <w:rsid w:val="00E30031"/>
    <w:rsid w:val="00E329A6"/>
    <w:rsid w:val="00E34CB5"/>
    <w:rsid w:val="00E36419"/>
    <w:rsid w:val="00E37789"/>
    <w:rsid w:val="00E42265"/>
    <w:rsid w:val="00E45DAA"/>
    <w:rsid w:val="00E46560"/>
    <w:rsid w:val="00E46D7C"/>
    <w:rsid w:val="00E47307"/>
    <w:rsid w:val="00E47601"/>
    <w:rsid w:val="00E50DB1"/>
    <w:rsid w:val="00E51053"/>
    <w:rsid w:val="00E51A6B"/>
    <w:rsid w:val="00E51A9F"/>
    <w:rsid w:val="00E52CA8"/>
    <w:rsid w:val="00E550CE"/>
    <w:rsid w:val="00E60917"/>
    <w:rsid w:val="00E60B86"/>
    <w:rsid w:val="00E62E45"/>
    <w:rsid w:val="00E62F7D"/>
    <w:rsid w:val="00E652CD"/>
    <w:rsid w:val="00E67353"/>
    <w:rsid w:val="00E700B8"/>
    <w:rsid w:val="00E702B9"/>
    <w:rsid w:val="00E70588"/>
    <w:rsid w:val="00E7404B"/>
    <w:rsid w:val="00E75FA1"/>
    <w:rsid w:val="00E76419"/>
    <w:rsid w:val="00E77787"/>
    <w:rsid w:val="00E77CD7"/>
    <w:rsid w:val="00E80A46"/>
    <w:rsid w:val="00E82017"/>
    <w:rsid w:val="00E82792"/>
    <w:rsid w:val="00E844D7"/>
    <w:rsid w:val="00E92E9D"/>
    <w:rsid w:val="00E93B3C"/>
    <w:rsid w:val="00E96A7F"/>
    <w:rsid w:val="00EA031A"/>
    <w:rsid w:val="00EA0CE9"/>
    <w:rsid w:val="00EA10E6"/>
    <w:rsid w:val="00EA1A40"/>
    <w:rsid w:val="00EA330D"/>
    <w:rsid w:val="00EA5190"/>
    <w:rsid w:val="00EA5F4C"/>
    <w:rsid w:val="00EA6109"/>
    <w:rsid w:val="00EB0207"/>
    <w:rsid w:val="00EB2688"/>
    <w:rsid w:val="00EB44A0"/>
    <w:rsid w:val="00EB6181"/>
    <w:rsid w:val="00EB664F"/>
    <w:rsid w:val="00EB66A9"/>
    <w:rsid w:val="00EB7E37"/>
    <w:rsid w:val="00EC12E8"/>
    <w:rsid w:val="00EC1357"/>
    <w:rsid w:val="00EC5ACF"/>
    <w:rsid w:val="00ED22A8"/>
    <w:rsid w:val="00ED2479"/>
    <w:rsid w:val="00ED4EB4"/>
    <w:rsid w:val="00ED5D09"/>
    <w:rsid w:val="00ED68A5"/>
    <w:rsid w:val="00ED7107"/>
    <w:rsid w:val="00EE2221"/>
    <w:rsid w:val="00EE276F"/>
    <w:rsid w:val="00EE2982"/>
    <w:rsid w:val="00EE634F"/>
    <w:rsid w:val="00EF369D"/>
    <w:rsid w:val="00EF38A7"/>
    <w:rsid w:val="00EF6A39"/>
    <w:rsid w:val="00F00B38"/>
    <w:rsid w:val="00F0376E"/>
    <w:rsid w:val="00F044B3"/>
    <w:rsid w:val="00F047A3"/>
    <w:rsid w:val="00F05E83"/>
    <w:rsid w:val="00F06D59"/>
    <w:rsid w:val="00F07DC4"/>
    <w:rsid w:val="00F07E05"/>
    <w:rsid w:val="00F07F0D"/>
    <w:rsid w:val="00F10842"/>
    <w:rsid w:val="00F13C42"/>
    <w:rsid w:val="00F141C2"/>
    <w:rsid w:val="00F161F7"/>
    <w:rsid w:val="00F206E8"/>
    <w:rsid w:val="00F21755"/>
    <w:rsid w:val="00F21F2E"/>
    <w:rsid w:val="00F23947"/>
    <w:rsid w:val="00F23B61"/>
    <w:rsid w:val="00F2596C"/>
    <w:rsid w:val="00F276F1"/>
    <w:rsid w:val="00F30F53"/>
    <w:rsid w:val="00F32680"/>
    <w:rsid w:val="00F33A66"/>
    <w:rsid w:val="00F34368"/>
    <w:rsid w:val="00F34E5A"/>
    <w:rsid w:val="00F34FD5"/>
    <w:rsid w:val="00F35452"/>
    <w:rsid w:val="00F45532"/>
    <w:rsid w:val="00F45ED2"/>
    <w:rsid w:val="00F53C4F"/>
    <w:rsid w:val="00F56A51"/>
    <w:rsid w:val="00F61899"/>
    <w:rsid w:val="00F66CD4"/>
    <w:rsid w:val="00F66E01"/>
    <w:rsid w:val="00F7129A"/>
    <w:rsid w:val="00F7180D"/>
    <w:rsid w:val="00F727A7"/>
    <w:rsid w:val="00F729D7"/>
    <w:rsid w:val="00F774CD"/>
    <w:rsid w:val="00F77CAF"/>
    <w:rsid w:val="00F80F59"/>
    <w:rsid w:val="00F82E69"/>
    <w:rsid w:val="00F8414D"/>
    <w:rsid w:val="00F84181"/>
    <w:rsid w:val="00F84C5D"/>
    <w:rsid w:val="00F85231"/>
    <w:rsid w:val="00F86271"/>
    <w:rsid w:val="00F87176"/>
    <w:rsid w:val="00F87260"/>
    <w:rsid w:val="00F87303"/>
    <w:rsid w:val="00F90DB4"/>
    <w:rsid w:val="00F91287"/>
    <w:rsid w:val="00F917FA"/>
    <w:rsid w:val="00F91B28"/>
    <w:rsid w:val="00F91DA0"/>
    <w:rsid w:val="00F9306F"/>
    <w:rsid w:val="00F931F3"/>
    <w:rsid w:val="00F94B4E"/>
    <w:rsid w:val="00F9754C"/>
    <w:rsid w:val="00F978B7"/>
    <w:rsid w:val="00FA2FCD"/>
    <w:rsid w:val="00FA3E1C"/>
    <w:rsid w:val="00FA3FA8"/>
    <w:rsid w:val="00FA4718"/>
    <w:rsid w:val="00FA6E64"/>
    <w:rsid w:val="00FB1DCD"/>
    <w:rsid w:val="00FB2F0E"/>
    <w:rsid w:val="00FB31CC"/>
    <w:rsid w:val="00FB7472"/>
    <w:rsid w:val="00FC05EE"/>
    <w:rsid w:val="00FC2EC6"/>
    <w:rsid w:val="00FC339A"/>
    <w:rsid w:val="00FC36E0"/>
    <w:rsid w:val="00FC546F"/>
    <w:rsid w:val="00FC6F5E"/>
    <w:rsid w:val="00FC711A"/>
    <w:rsid w:val="00FC7D31"/>
    <w:rsid w:val="00FD13AC"/>
    <w:rsid w:val="00FD2D28"/>
    <w:rsid w:val="00FD450B"/>
    <w:rsid w:val="00FD6BFE"/>
    <w:rsid w:val="00FE32FD"/>
    <w:rsid w:val="00FE3FF3"/>
    <w:rsid w:val="00FE6D8B"/>
    <w:rsid w:val="00FE728E"/>
    <w:rsid w:val="00FF42A9"/>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78D91"/>
  <w15:docId w15:val="{C43AE224-4CD8-4B66-8894-03106B2C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064752"/>
    <w:rPr>
      <w:kern w:val="2"/>
      <w:sz w:val="21"/>
      <w:szCs w:val="22"/>
    </w:rPr>
  </w:style>
  <w:style w:type="paragraph" w:customStyle="1" w:styleId="ParaCharCharCharCharCharChar">
    <w:name w:val="默认段落字体 Para Char Char Char Char Char Char"/>
    <w:basedOn w:val="a"/>
    <w:rsid w:val="002E1051"/>
    <w:pPr>
      <w:tabs>
        <w:tab w:val="left" w:pos="840"/>
      </w:tabs>
      <w:ind w:left="840" w:hanging="36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1793">
      <w:bodyDiv w:val="1"/>
      <w:marLeft w:val="0"/>
      <w:marRight w:val="0"/>
      <w:marTop w:val="0"/>
      <w:marBottom w:val="0"/>
      <w:divBdr>
        <w:top w:val="none" w:sz="0" w:space="0" w:color="auto"/>
        <w:left w:val="none" w:sz="0" w:space="0" w:color="auto"/>
        <w:bottom w:val="none" w:sz="0" w:space="0" w:color="auto"/>
        <w:right w:val="none" w:sz="0" w:space="0" w:color="auto"/>
      </w:divBdr>
      <w:divsChild>
        <w:div w:id="3109875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146</Pages>
  <Words>81629</Words>
  <Characters>15770</Characters>
  <Application>Microsoft Office Word</Application>
  <DocSecurity>0</DocSecurity>
  <Lines>131</Lines>
  <Paragraphs>194</Paragraphs>
  <ScaleCrop>false</ScaleCrop>
  <Company>Microsoft</Company>
  <LinksUpToDate>false</LinksUpToDate>
  <CharactersWithSpaces>97205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郝婷婷</cp:lastModifiedBy>
  <cp:revision>30</cp:revision>
  <cp:lastPrinted>2023-09-20T06:34:00Z</cp:lastPrinted>
  <dcterms:created xsi:type="dcterms:W3CDTF">2023-09-19T08:59:00Z</dcterms:created>
  <dcterms:modified xsi:type="dcterms:W3CDTF">2023-09-20T06:40:00Z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