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90353" w14:textId="77777777" w:rsidR="002102BF" w:rsidRPr="00EB07BC" w:rsidRDefault="002102BF">
      <w:pPr>
        <w:rPr>
          <w:sz w:val="32"/>
        </w:rPr>
      </w:pPr>
    </w:p>
    <w:p w14:paraId="2A215681" w14:textId="77777777" w:rsidR="002102BF" w:rsidRPr="00EB07BC" w:rsidRDefault="002102BF">
      <w:pPr>
        <w:rPr>
          <w:sz w:val="32"/>
        </w:rPr>
      </w:pPr>
    </w:p>
    <w:p w14:paraId="5C00540D" w14:textId="77777777" w:rsidR="002102BF" w:rsidRPr="00EB07BC" w:rsidRDefault="002102BF">
      <w:pPr>
        <w:rPr>
          <w:sz w:val="32"/>
        </w:rPr>
      </w:pPr>
    </w:p>
    <w:p w14:paraId="13A5519D" w14:textId="15296AC3" w:rsidR="002102BF" w:rsidRPr="00EB07BC" w:rsidRDefault="009B060A">
      <w:pPr>
        <w:jc w:val="center"/>
        <w:rPr>
          <w:sz w:val="32"/>
        </w:rPr>
      </w:pPr>
      <w:r>
        <w:rPr>
          <w:noProof/>
        </w:rPr>
        <w:drawing>
          <wp:inline distT="0" distB="0" distL="0" distR="0" wp14:anchorId="4C4639AD" wp14:editId="31BC0570">
            <wp:extent cx="4343400" cy="577850"/>
            <wp:effectExtent l="0" t="0" r="0" b="0"/>
            <wp:docPr id="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77850"/>
                    </a:xfrm>
                    <a:prstGeom prst="rect">
                      <a:avLst/>
                    </a:prstGeom>
                    <a:noFill/>
                    <a:ln>
                      <a:noFill/>
                    </a:ln>
                  </pic:spPr>
                </pic:pic>
              </a:graphicData>
            </a:graphic>
          </wp:inline>
        </w:drawing>
      </w:r>
    </w:p>
    <w:p w14:paraId="4838B42C" w14:textId="77777777" w:rsidR="004C65FB" w:rsidRDefault="004C65FB">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4264E868" w14:textId="77777777" w:rsidR="004C65FB" w:rsidRDefault="004C65FB">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434B141" w14:textId="77777777" w:rsidR="004C65FB" w:rsidRDefault="00795CC3">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交银施罗德天利宝货币市场基金</w:t>
      </w:r>
    </w:p>
    <w:p w14:paraId="6480CB6D" w14:textId="77777777" w:rsidR="004C65FB" w:rsidRDefault="00795CC3">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3C08F302" w14:textId="0FE77833" w:rsidR="004C65FB" w:rsidRDefault="00795CC3">
      <w:pPr>
        <w:snapToGrid w:val="0"/>
        <w:spacing w:line="360" w:lineRule="auto"/>
        <w:jc w:val="center"/>
        <w:rPr>
          <w:rFonts w:ascii="宋体" w:hAnsi="宋体"/>
          <w:b/>
          <w:sz w:val="30"/>
          <w:szCs w:val="30"/>
        </w:rPr>
      </w:pPr>
      <w:r>
        <w:rPr>
          <w:rFonts w:ascii="Times New Roman" w:hAnsi="Times New Roman"/>
          <w:b/>
          <w:color w:val="000000"/>
          <w:sz w:val="32"/>
          <w:szCs w:val="32"/>
        </w:rPr>
        <w:t>(</w:t>
      </w:r>
      <w:r w:rsidR="00D949D5">
        <w:rPr>
          <w:rFonts w:ascii="Times New Roman" w:hAnsi="Times New Roman"/>
          <w:b/>
          <w:color w:val="000000"/>
          <w:sz w:val="32"/>
          <w:szCs w:val="32"/>
        </w:rPr>
        <w:t>2023</w:t>
      </w:r>
      <w:r>
        <w:rPr>
          <w:rFonts w:ascii="Times New Roman" w:hAnsi="Times New Roman"/>
          <w:b/>
          <w:color w:val="000000"/>
          <w:sz w:val="32"/>
          <w:szCs w:val="32"/>
        </w:rPr>
        <w:t>年</w:t>
      </w:r>
      <w:r w:rsidR="00D949D5">
        <w:rPr>
          <w:rFonts w:ascii="Times New Roman" w:hAnsi="Times New Roman"/>
          <w:b/>
          <w:color w:val="000000"/>
          <w:sz w:val="32"/>
          <w:szCs w:val="32"/>
        </w:rPr>
        <w:t>第</w:t>
      </w:r>
      <w:r w:rsidR="005459CF">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3E5F6879" w14:textId="77777777" w:rsidR="004C65FB" w:rsidRDefault="004C65F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D37AE24" w14:textId="77777777" w:rsidR="004C65FB" w:rsidRDefault="004C65F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C208029" w14:textId="77777777" w:rsidR="004C65FB" w:rsidRDefault="004C65F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5E159B8" w14:textId="77777777" w:rsidR="004C65FB" w:rsidRDefault="004C65F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13BC3DB" w14:textId="77777777" w:rsidR="004C65FB" w:rsidRDefault="004C65F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CD5847F" w14:textId="77777777" w:rsidR="004C65FB" w:rsidRDefault="004C65F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648D11C" w14:textId="77777777" w:rsidR="004C65FB" w:rsidRDefault="00795CC3">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028AD1E7" w14:textId="77777777" w:rsidR="004C65FB" w:rsidRDefault="00795CC3">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基金托管人：中信银行股份有限公司</w:t>
      </w:r>
    </w:p>
    <w:p w14:paraId="22A33D46" w14:textId="77777777" w:rsidR="004C65FB" w:rsidRDefault="004C65F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B725C4E" w14:textId="77777777" w:rsidR="004C65FB" w:rsidRDefault="004C65F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D4BFDD2" w14:textId="379BC9D3" w:rsidR="004C65FB" w:rsidRDefault="00795CC3">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D949D5">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年</w:t>
      </w:r>
      <w:r w:rsidR="005459CF">
        <w:rPr>
          <w:rFonts w:ascii="Times New Roman" w:hAnsi="Times New Roman" w:hint="eastAsia"/>
          <w:b/>
          <w:spacing w:val="2"/>
          <w:w w:val="99"/>
          <w:kern w:val="0"/>
          <w:sz w:val="28"/>
          <w:szCs w:val="32"/>
        </w:rPr>
        <w:t>五</w:t>
      </w:r>
      <w:r>
        <w:rPr>
          <w:rFonts w:ascii="Times New Roman" w:hAnsi="Times New Roman"/>
          <w:b/>
          <w:spacing w:val="2"/>
          <w:w w:val="99"/>
          <w:kern w:val="0"/>
          <w:sz w:val="28"/>
          <w:szCs w:val="32"/>
        </w:rPr>
        <w:t>月</w:t>
      </w:r>
    </w:p>
    <w:p w14:paraId="075520E8" w14:textId="77777777" w:rsidR="004C65FB" w:rsidRDefault="004C65FB">
      <w:pPr>
        <w:autoSpaceDE w:val="0"/>
        <w:autoSpaceDN w:val="0"/>
        <w:adjustRightInd w:val="0"/>
        <w:snapToGrid w:val="0"/>
        <w:spacing w:line="360" w:lineRule="auto"/>
        <w:ind w:left="1347" w:rightChars="6" w:right="13"/>
        <w:rPr>
          <w:rFonts w:ascii="宋体" w:hAnsi="宋体"/>
          <w:kern w:val="0"/>
          <w:sz w:val="32"/>
          <w:szCs w:val="32"/>
        </w:rPr>
        <w:sectPr w:rsidR="004C65FB">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67DC1FEC" w14:textId="77777777" w:rsidR="004C65FB" w:rsidRDefault="00795CC3">
      <w:pPr>
        <w:pStyle w:val="1"/>
        <w:snapToGrid w:val="0"/>
        <w:spacing w:beforeLines="0" w:before="240" w:after="240"/>
        <w:rPr>
          <w:rFonts w:ascii="宋体" w:hAnsi="宋体"/>
          <w:kern w:val="0"/>
        </w:rPr>
      </w:pPr>
      <w:bookmarkStart w:id="0" w:name="_Toc324920538"/>
      <w:bookmarkStart w:id="1" w:name="_Toc496884613"/>
      <w:bookmarkStart w:id="2" w:name="_Toc119586508"/>
      <w:r>
        <w:rPr>
          <w:rFonts w:ascii="Times New Roman" w:hAnsi="Times New Roman"/>
          <w:kern w:val="0"/>
        </w:rPr>
        <w:lastRenderedPageBreak/>
        <w:t>重要提示</w:t>
      </w:r>
      <w:bookmarkEnd w:id="0"/>
      <w:bookmarkEnd w:id="1"/>
      <w:bookmarkEnd w:id="2"/>
    </w:p>
    <w:p w14:paraId="02C1910E" w14:textId="77777777" w:rsidR="004C65FB" w:rsidRDefault="00795CC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交银施罗德天利宝货币市场基金（以下简称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24</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2016</w:t>
      </w:r>
      <w:r>
        <w:rPr>
          <w:rFonts w:ascii="Times New Roman" w:hAnsi="Times New Roman"/>
          <w:kern w:val="0"/>
          <w:sz w:val="24"/>
        </w:rPr>
        <w:t>】</w:t>
      </w:r>
      <w:r>
        <w:rPr>
          <w:rFonts w:ascii="Times New Roman" w:hAnsi="Times New Roman"/>
          <w:kern w:val="0"/>
          <w:sz w:val="24"/>
        </w:rPr>
        <w:t>1106</w:t>
      </w:r>
      <w:r>
        <w:rPr>
          <w:rFonts w:ascii="Times New Roman" w:hAnsi="Times New Roman"/>
          <w:kern w:val="0"/>
          <w:sz w:val="24"/>
        </w:rPr>
        <w:t>号文准予募集注册。本基金基金合同于</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10</w:t>
      </w:r>
      <w:r>
        <w:rPr>
          <w:rFonts w:ascii="Times New Roman" w:hAnsi="Times New Roman"/>
          <w:kern w:val="0"/>
          <w:sz w:val="24"/>
        </w:rPr>
        <w:t>月</w:t>
      </w:r>
      <w:r>
        <w:rPr>
          <w:rFonts w:ascii="Times New Roman" w:hAnsi="Times New Roman"/>
          <w:kern w:val="0"/>
          <w:sz w:val="24"/>
        </w:rPr>
        <w:t>19</w:t>
      </w:r>
      <w:r>
        <w:rPr>
          <w:rFonts w:ascii="Times New Roman" w:hAnsi="Times New Roman"/>
          <w:kern w:val="0"/>
          <w:sz w:val="24"/>
        </w:rPr>
        <w:t>日正式生效。</w:t>
      </w:r>
    </w:p>
    <w:p w14:paraId="56E68446" w14:textId="77777777" w:rsidR="004C65FB" w:rsidRDefault="00795CC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646D687E" w14:textId="77777777" w:rsidR="004C65FB" w:rsidRDefault="00795CC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44E8C4E" w14:textId="77777777" w:rsidR="004C65FB" w:rsidRDefault="00795CC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货币市场基金特有的其他风险等等。本基金属于货币市场基金，长期风险收益水平低于股票型基金、混合型基金和债券型基金。</w:t>
      </w:r>
    </w:p>
    <w:p w14:paraId="646960B4" w14:textId="77777777" w:rsidR="004C65FB" w:rsidRDefault="00795CC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货币市场工具，面临货币市场利率波动的风险，基金每日的收益将根据市场情况上下波动，在极端情况下可能为负值。由于货币市场基金的特殊要求，为满足投资者的赎回需要，基金必须保持一定的现金比例以应对赎回的需求，在管理现金头寸时，有可能存在现金不足的风险或现金过多而带来的机会成本风险。</w:t>
      </w:r>
    </w:p>
    <w:p w14:paraId="39AFC776" w14:textId="77777777" w:rsidR="004C65FB" w:rsidRDefault="00795CC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当影子定价确定的基金资产净值与摊余成本法计算的基金资产净值的正偏离度绝对值达到</w:t>
      </w:r>
      <w:r>
        <w:rPr>
          <w:rFonts w:ascii="Times New Roman" w:hAnsi="Times New Roman"/>
          <w:kern w:val="0"/>
          <w:sz w:val="24"/>
        </w:rPr>
        <w:t>0.5%</w:t>
      </w:r>
      <w:r>
        <w:rPr>
          <w:rFonts w:ascii="Times New Roman" w:hAnsi="Times New Roman"/>
          <w:kern w:val="0"/>
          <w:sz w:val="24"/>
        </w:rPr>
        <w:t>时，基金管理人应当暂停接受申购并在</w:t>
      </w:r>
      <w:r>
        <w:rPr>
          <w:rFonts w:ascii="Times New Roman" w:hAnsi="Times New Roman"/>
          <w:kern w:val="0"/>
          <w:sz w:val="24"/>
        </w:rPr>
        <w:t>5</w:t>
      </w:r>
      <w:r>
        <w:rPr>
          <w:rFonts w:ascii="Times New Roman" w:hAnsi="Times New Roman"/>
          <w:kern w:val="0"/>
          <w:sz w:val="24"/>
        </w:rPr>
        <w:t>个交易日内将正偏离度绝对值调整到</w:t>
      </w:r>
      <w:r>
        <w:rPr>
          <w:rFonts w:ascii="Times New Roman" w:hAnsi="Times New Roman"/>
          <w:kern w:val="0"/>
          <w:sz w:val="24"/>
        </w:rPr>
        <w:t>0.5%</w:t>
      </w:r>
      <w:r>
        <w:rPr>
          <w:rFonts w:ascii="Times New Roman" w:hAnsi="Times New Roman"/>
          <w:kern w:val="0"/>
          <w:sz w:val="24"/>
        </w:rPr>
        <w:t>以内。故投资者可能面临暂停申购的风险。当负偏离度绝对值连续两个交易日超过</w:t>
      </w:r>
      <w:r>
        <w:rPr>
          <w:rFonts w:ascii="Times New Roman" w:hAnsi="Times New Roman"/>
          <w:kern w:val="0"/>
          <w:sz w:val="24"/>
        </w:rPr>
        <w:t>0.5%</w:t>
      </w:r>
      <w:r>
        <w:rPr>
          <w:rFonts w:ascii="Times New Roman" w:hAnsi="Times New Roman"/>
          <w:kern w:val="0"/>
          <w:sz w:val="24"/>
        </w:rPr>
        <w:t>时，基金管理人应当采用公允价值估值方法对持有投</w:t>
      </w:r>
      <w:r>
        <w:rPr>
          <w:rFonts w:ascii="Times New Roman" w:hAnsi="Times New Roman"/>
          <w:kern w:val="0"/>
          <w:sz w:val="24"/>
        </w:rPr>
        <w:lastRenderedPageBreak/>
        <w:t>资组合的账面价值进行调整，或者采取暂停接受所有赎回申请并终止基金合同进行财产清算等措施。故投资者可能面临上述估值调整或暂停赎回及基金合同提前终止的风险。</w:t>
      </w:r>
    </w:p>
    <w:p w14:paraId="2783CD30" w14:textId="77777777" w:rsidR="004C65FB" w:rsidRDefault="00795CC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在满足相关流动性风险管理要求的前提下，当本基金持有的现金、国债、中央银行票据、政策性金融债券以及</w:t>
      </w:r>
      <w:r>
        <w:rPr>
          <w:rFonts w:ascii="Times New Roman" w:hAnsi="Times New Roman"/>
          <w:kern w:val="0"/>
          <w:sz w:val="24"/>
        </w:rPr>
        <w:t>5</w:t>
      </w:r>
      <w:r>
        <w:rPr>
          <w:rFonts w:ascii="Times New Roman" w:hAnsi="Times New Roman"/>
          <w:kern w:val="0"/>
          <w:sz w:val="24"/>
        </w:rPr>
        <w:t>个交易日内到期的其他金融工具占基金资产净值的比例合计低于</w:t>
      </w:r>
      <w:r>
        <w:rPr>
          <w:rFonts w:ascii="Times New Roman" w:hAnsi="Times New Roman"/>
          <w:kern w:val="0"/>
          <w:sz w:val="24"/>
        </w:rPr>
        <w:t>5%</w:t>
      </w:r>
      <w:r>
        <w:rPr>
          <w:rFonts w:ascii="Times New Roman" w:hAnsi="Times New Roman"/>
          <w:kern w:val="0"/>
          <w:sz w:val="24"/>
        </w:rPr>
        <w:t>且偏离度为负时，当日单个基金份额持有人申请赎回基金份额超过基金总份额</w:t>
      </w:r>
      <w:r>
        <w:rPr>
          <w:rFonts w:ascii="Times New Roman" w:hAnsi="Times New Roman"/>
          <w:kern w:val="0"/>
          <w:sz w:val="24"/>
        </w:rPr>
        <w:t>1%</w:t>
      </w:r>
      <w:r>
        <w:rPr>
          <w:rFonts w:ascii="Times New Roman" w:hAnsi="Times New Roman"/>
          <w:kern w:val="0"/>
          <w:sz w:val="24"/>
        </w:rPr>
        <w:t>以上的，该基金份额持有人可能面临被征收</w:t>
      </w:r>
      <w:r>
        <w:rPr>
          <w:rFonts w:ascii="Times New Roman" w:hAnsi="Times New Roman"/>
          <w:kern w:val="0"/>
          <w:sz w:val="24"/>
        </w:rPr>
        <w:t>1%</w:t>
      </w:r>
      <w:r>
        <w:rPr>
          <w:rFonts w:ascii="Times New Roman" w:hAnsi="Times New Roman"/>
          <w:kern w:val="0"/>
          <w:sz w:val="24"/>
        </w:rPr>
        <w:t>的强制赎回费用的风险，上述赎回费用全额计入基金财产；当本基金前</w:t>
      </w:r>
      <w:r>
        <w:rPr>
          <w:rFonts w:ascii="Times New Roman" w:hAnsi="Times New Roman"/>
          <w:kern w:val="0"/>
          <w:sz w:val="24"/>
        </w:rPr>
        <w:t xml:space="preserve">10 </w:t>
      </w:r>
      <w:r>
        <w:rPr>
          <w:rFonts w:ascii="Times New Roman" w:hAnsi="Times New Roman"/>
          <w:kern w:val="0"/>
          <w:sz w:val="24"/>
        </w:rPr>
        <w:t>名基金份额持有人的持有份额合计超过基金总份额</w:t>
      </w:r>
      <w:r>
        <w:rPr>
          <w:rFonts w:ascii="Times New Roman" w:hAnsi="Times New Roman"/>
          <w:kern w:val="0"/>
          <w:sz w:val="24"/>
        </w:rPr>
        <w:t>50%</w:t>
      </w:r>
      <w:r>
        <w:rPr>
          <w:rFonts w:ascii="Times New Roman" w:hAnsi="Times New Roman"/>
          <w:kern w:val="0"/>
          <w:sz w:val="24"/>
        </w:rPr>
        <w:t>，且本基金投资组合中现金、国债、中央银行票据、政策性金融债券以及</w:t>
      </w:r>
      <w:r>
        <w:rPr>
          <w:rFonts w:ascii="Times New Roman" w:hAnsi="Times New Roman"/>
          <w:kern w:val="0"/>
          <w:sz w:val="24"/>
        </w:rPr>
        <w:t xml:space="preserve">5 </w:t>
      </w:r>
      <w:r>
        <w:rPr>
          <w:rFonts w:ascii="Times New Roman" w:hAnsi="Times New Roman"/>
          <w:kern w:val="0"/>
          <w:sz w:val="24"/>
        </w:rPr>
        <w:t>个交易日内到期的其他金融工具占基金资产净值的比例合计低于</w:t>
      </w:r>
      <w:r>
        <w:rPr>
          <w:rFonts w:ascii="Times New Roman" w:hAnsi="Times New Roman"/>
          <w:kern w:val="0"/>
          <w:sz w:val="24"/>
        </w:rPr>
        <w:t>10%</w:t>
      </w:r>
      <w:r>
        <w:rPr>
          <w:rFonts w:ascii="Times New Roman" w:hAnsi="Times New Roman"/>
          <w:kern w:val="0"/>
          <w:sz w:val="24"/>
        </w:rPr>
        <w:t>且偏离度为负时，基金管理人应当对当日单个基金份额持有人超过基金总份额</w:t>
      </w:r>
      <w:r>
        <w:rPr>
          <w:rFonts w:ascii="Times New Roman" w:hAnsi="Times New Roman"/>
          <w:kern w:val="0"/>
          <w:sz w:val="24"/>
        </w:rPr>
        <w:t>1%</w:t>
      </w:r>
      <w:r>
        <w:rPr>
          <w:rFonts w:ascii="Times New Roman" w:hAnsi="Times New Roman"/>
          <w:kern w:val="0"/>
          <w:sz w:val="24"/>
        </w:rPr>
        <w:t>以上的赎回申请征收</w:t>
      </w:r>
      <w:r>
        <w:rPr>
          <w:rFonts w:ascii="Times New Roman" w:hAnsi="Times New Roman"/>
          <w:kern w:val="0"/>
          <w:sz w:val="24"/>
        </w:rPr>
        <w:t>1%</w:t>
      </w:r>
      <w:r>
        <w:rPr>
          <w:rFonts w:ascii="Times New Roman" w:hAnsi="Times New Roman"/>
          <w:kern w:val="0"/>
          <w:sz w:val="24"/>
        </w:rPr>
        <w:t>的强制赎回费用，并将上述赎回费用全额计入基金财产。故投资者可能面临上述被征收</w:t>
      </w:r>
      <w:r>
        <w:rPr>
          <w:rFonts w:ascii="Times New Roman" w:hAnsi="Times New Roman"/>
          <w:kern w:val="0"/>
          <w:sz w:val="24"/>
        </w:rPr>
        <w:t>1%</w:t>
      </w:r>
      <w:r>
        <w:rPr>
          <w:rFonts w:ascii="Times New Roman" w:hAnsi="Times New Roman"/>
          <w:kern w:val="0"/>
          <w:sz w:val="24"/>
        </w:rPr>
        <w:t>的强制赎回费用的风险。此外，单个基金份额持有人在单个开放日申请赎回基金份额超过基金总份额</w:t>
      </w:r>
      <w:r>
        <w:rPr>
          <w:rFonts w:ascii="Times New Roman" w:hAnsi="Times New Roman"/>
          <w:kern w:val="0"/>
          <w:sz w:val="24"/>
        </w:rPr>
        <w:t>10%</w:t>
      </w:r>
      <w:r>
        <w:rPr>
          <w:rFonts w:ascii="Times New Roman" w:hAnsi="Times New Roman"/>
          <w:kern w:val="0"/>
          <w:sz w:val="24"/>
        </w:rPr>
        <w:t>的，该基金份额持有人可能面临延期办理部分赎回申请或者延缓支付赎回款项的风险。</w:t>
      </w:r>
    </w:p>
    <w:p w14:paraId="066383AE" w14:textId="77777777" w:rsidR="004C65FB" w:rsidRDefault="00795CC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投资者购买本货币市场基金并不等于将资金作为存款存放在银行或存款类金融机构，基金管理人不保证基金一定盈利，也不保证最低收益。</w:t>
      </w:r>
    </w:p>
    <w:p w14:paraId="32BF6A80" w14:textId="77777777" w:rsidR="004C65FB" w:rsidRDefault="00795CC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和基金合同、基金产品资料概要等信息披露文件。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7465847E" w14:textId="1D262FD6" w:rsidR="004C65FB" w:rsidRDefault="001D7DAA">
      <w:pPr>
        <w:autoSpaceDE w:val="0"/>
        <w:autoSpaceDN w:val="0"/>
        <w:adjustRightInd w:val="0"/>
        <w:snapToGrid w:val="0"/>
        <w:spacing w:line="360" w:lineRule="auto"/>
        <w:ind w:leftChars="50" w:left="105" w:firstLineChars="200" w:firstLine="480"/>
        <w:rPr>
          <w:rFonts w:ascii="宋体" w:hAnsi="宋体"/>
          <w:kern w:val="0"/>
          <w:sz w:val="24"/>
        </w:rPr>
      </w:pPr>
      <w:r w:rsidRPr="00C56AD2">
        <w:rPr>
          <w:rFonts w:ascii="Times New Roman" w:hAnsi="Times New Roman" w:hint="eastAsia"/>
          <w:kern w:val="0"/>
          <w:sz w:val="24"/>
        </w:rPr>
        <w:t>本次更新招募说明书主要对本基金增设</w:t>
      </w:r>
      <w:r w:rsidRPr="00C56AD2">
        <w:rPr>
          <w:rFonts w:ascii="Times New Roman" w:hAnsi="Times New Roman" w:hint="eastAsia"/>
          <w:kern w:val="0"/>
          <w:sz w:val="24"/>
        </w:rPr>
        <w:t>C</w:t>
      </w:r>
      <w:r w:rsidRPr="00C56AD2">
        <w:rPr>
          <w:rFonts w:ascii="Times New Roman" w:hAnsi="Times New Roman" w:hint="eastAsia"/>
          <w:kern w:val="0"/>
          <w:sz w:val="24"/>
        </w:rPr>
        <w:t>类基金份额</w:t>
      </w:r>
      <w:r>
        <w:rPr>
          <w:rFonts w:ascii="Times New Roman" w:hAnsi="Times New Roman" w:hint="eastAsia"/>
          <w:kern w:val="0"/>
          <w:sz w:val="24"/>
        </w:rPr>
        <w:t>的</w:t>
      </w:r>
      <w:r w:rsidRPr="00C56AD2">
        <w:rPr>
          <w:rFonts w:ascii="Times New Roman" w:hAnsi="Times New Roman" w:hint="eastAsia"/>
          <w:kern w:val="0"/>
          <w:sz w:val="24"/>
        </w:rPr>
        <w:t>相关信息进行更新，前述内容更新截止日为</w:t>
      </w:r>
      <w:r w:rsidRPr="00C56AD2">
        <w:rPr>
          <w:rFonts w:ascii="Times New Roman" w:hAnsi="Times New Roman" w:hint="eastAsia"/>
          <w:kern w:val="0"/>
          <w:sz w:val="24"/>
        </w:rPr>
        <w:t>2023</w:t>
      </w:r>
      <w:r w:rsidRPr="00C56AD2">
        <w:rPr>
          <w:rFonts w:ascii="Times New Roman" w:hAnsi="Times New Roman" w:hint="eastAsia"/>
          <w:kern w:val="0"/>
          <w:sz w:val="24"/>
        </w:rPr>
        <w:t>年</w:t>
      </w:r>
      <w:r w:rsidR="00946199">
        <w:rPr>
          <w:rFonts w:ascii="Times New Roman" w:hAnsi="Times New Roman"/>
          <w:kern w:val="0"/>
          <w:sz w:val="24"/>
        </w:rPr>
        <w:t>5</w:t>
      </w:r>
      <w:r w:rsidRPr="00C56AD2">
        <w:rPr>
          <w:rFonts w:ascii="Times New Roman" w:hAnsi="Times New Roman" w:hint="eastAsia"/>
          <w:kern w:val="0"/>
          <w:sz w:val="24"/>
        </w:rPr>
        <w:t>月</w:t>
      </w:r>
      <w:r w:rsidR="00946199">
        <w:rPr>
          <w:rFonts w:ascii="Times New Roman" w:hAnsi="Times New Roman"/>
          <w:kern w:val="0"/>
          <w:sz w:val="24"/>
        </w:rPr>
        <w:t>2</w:t>
      </w:r>
      <w:r w:rsidR="00DC5080">
        <w:rPr>
          <w:rFonts w:ascii="Times New Roman" w:hAnsi="Times New Roman"/>
          <w:kern w:val="0"/>
          <w:sz w:val="24"/>
        </w:rPr>
        <w:t>4</w:t>
      </w:r>
      <w:r w:rsidRPr="00C56AD2">
        <w:rPr>
          <w:rFonts w:ascii="Times New Roman" w:hAnsi="Times New Roman" w:hint="eastAsia"/>
          <w:kern w:val="0"/>
          <w:sz w:val="24"/>
        </w:rPr>
        <w:t>日。除非另有说明，</w:t>
      </w:r>
      <w:r w:rsidR="00795CC3">
        <w:rPr>
          <w:rFonts w:ascii="Times New Roman" w:hAnsi="Times New Roman"/>
          <w:kern w:val="0"/>
          <w:sz w:val="24"/>
        </w:rPr>
        <w:t>本招募说明书所载</w:t>
      </w:r>
      <w:r>
        <w:rPr>
          <w:rFonts w:ascii="Times New Roman" w:hAnsi="Times New Roman" w:hint="eastAsia"/>
          <w:kern w:val="0"/>
          <w:sz w:val="24"/>
        </w:rPr>
        <w:t>其他</w:t>
      </w:r>
      <w:r w:rsidR="00795CC3">
        <w:rPr>
          <w:rFonts w:ascii="Times New Roman" w:hAnsi="Times New Roman"/>
          <w:kern w:val="0"/>
          <w:sz w:val="24"/>
        </w:rPr>
        <w:t>内容截止日为</w:t>
      </w:r>
      <w:r w:rsidR="00795CC3">
        <w:rPr>
          <w:rFonts w:ascii="Times New Roman" w:hAnsi="Times New Roman"/>
          <w:kern w:val="0"/>
          <w:sz w:val="24"/>
        </w:rPr>
        <w:t>2022</w:t>
      </w:r>
      <w:r w:rsidR="00795CC3">
        <w:rPr>
          <w:rFonts w:ascii="Times New Roman" w:hAnsi="Times New Roman"/>
          <w:kern w:val="0"/>
          <w:sz w:val="24"/>
        </w:rPr>
        <w:t>年</w:t>
      </w:r>
      <w:r w:rsidR="00795CC3">
        <w:rPr>
          <w:rFonts w:ascii="Times New Roman" w:hAnsi="Times New Roman"/>
          <w:kern w:val="0"/>
          <w:sz w:val="24"/>
        </w:rPr>
        <w:t>11</w:t>
      </w:r>
      <w:r w:rsidR="00795CC3">
        <w:rPr>
          <w:rFonts w:ascii="Times New Roman" w:hAnsi="Times New Roman"/>
          <w:kern w:val="0"/>
          <w:sz w:val="24"/>
        </w:rPr>
        <w:t>月</w:t>
      </w:r>
      <w:r w:rsidR="00795CC3">
        <w:rPr>
          <w:rFonts w:ascii="Times New Roman" w:hAnsi="Times New Roman"/>
          <w:kern w:val="0"/>
          <w:sz w:val="24"/>
        </w:rPr>
        <w:t>02</w:t>
      </w:r>
      <w:r w:rsidR="00795CC3">
        <w:rPr>
          <w:rFonts w:ascii="Times New Roman" w:hAnsi="Times New Roman"/>
          <w:kern w:val="0"/>
          <w:sz w:val="24"/>
        </w:rPr>
        <w:t>日，有关财务数据和净值表现截止日为</w:t>
      </w:r>
      <w:r w:rsidR="00795CC3">
        <w:rPr>
          <w:rFonts w:ascii="Times New Roman" w:hAnsi="Times New Roman"/>
          <w:kern w:val="0"/>
          <w:sz w:val="24"/>
        </w:rPr>
        <w:t>2022</w:t>
      </w:r>
      <w:r w:rsidR="00795CC3">
        <w:rPr>
          <w:rFonts w:ascii="Times New Roman" w:hAnsi="Times New Roman"/>
          <w:kern w:val="0"/>
          <w:sz w:val="24"/>
        </w:rPr>
        <w:t>年</w:t>
      </w:r>
      <w:r w:rsidR="00795CC3">
        <w:rPr>
          <w:rFonts w:ascii="Times New Roman" w:hAnsi="Times New Roman"/>
          <w:kern w:val="0"/>
          <w:sz w:val="24"/>
        </w:rPr>
        <w:t>09</w:t>
      </w:r>
      <w:r w:rsidR="00795CC3">
        <w:rPr>
          <w:rFonts w:ascii="Times New Roman" w:hAnsi="Times New Roman"/>
          <w:kern w:val="0"/>
          <w:sz w:val="24"/>
        </w:rPr>
        <w:t>月</w:t>
      </w:r>
      <w:r w:rsidR="00795CC3">
        <w:rPr>
          <w:rFonts w:ascii="Times New Roman" w:hAnsi="Times New Roman"/>
          <w:kern w:val="0"/>
          <w:sz w:val="24"/>
        </w:rPr>
        <w:t>30</w:t>
      </w:r>
      <w:r w:rsidR="00795CC3">
        <w:rPr>
          <w:rFonts w:ascii="Times New Roman" w:hAnsi="Times New Roman"/>
          <w:kern w:val="0"/>
          <w:sz w:val="24"/>
        </w:rPr>
        <w:t>日。本招募说明书所载的财务数据未经审计。</w:t>
      </w:r>
    </w:p>
    <w:p w14:paraId="7598C75D" w14:textId="77777777" w:rsidR="004C65FB" w:rsidRDefault="004C65FB">
      <w:pPr>
        <w:autoSpaceDE w:val="0"/>
        <w:autoSpaceDN w:val="0"/>
        <w:adjustRightInd w:val="0"/>
        <w:snapToGrid w:val="0"/>
        <w:spacing w:before="51" w:line="360" w:lineRule="auto"/>
        <w:ind w:left="120" w:rightChars="6" w:right="13" w:firstLine="480"/>
        <w:rPr>
          <w:rFonts w:ascii="宋体" w:hAnsi="宋体"/>
          <w:kern w:val="0"/>
          <w:szCs w:val="24"/>
        </w:rPr>
        <w:sectPr w:rsidR="004C65FB">
          <w:headerReference w:type="default" r:id="rId12"/>
          <w:pgSz w:w="11920" w:h="16840"/>
          <w:pgMar w:top="1440" w:right="1680" w:bottom="280" w:left="1680" w:header="0" w:footer="1073" w:gutter="0"/>
          <w:pgNumType w:start="1"/>
          <w:cols w:space="720"/>
        </w:sectPr>
      </w:pPr>
    </w:p>
    <w:p w14:paraId="012522B7" w14:textId="77777777" w:rsidR="005F0495" w:rsidRPr="005F0495" w:rsidRDefault="00795CC3" w:rsidP="005F0495">
      <w:pPr>
        <w:pStyle w:val="af3"/>
        <w:snapToGrid w:val="0"/>
        <w:spacing w:after="240" w:line="360" w:lineRule="auto"/>
        <w:jc w:val="center"/>
        <w:rPr>
          <w:rFonts w:ascii="宋体" w:hAnsi="宋体"/>
          <w:noProof/>
          <w:sz w:val="24"/>
        </w:rPr>
      </w:pPr>
      <w:r w:rsidRPr="005F0495">
        <w:rPr>
          <w:rFonts w:ascii="宋体" w:hAnsi="宋体"/>
          <w:color w:val="000000"/>
          <w:position w:val="-4"/>
          <w:sz w:val="24"/>
          <w:szCs w:val="30"/>
        </w:rPr>
        <w:lastRenderedPageBreak/>
        <w:t>目</w:t>
      </w:r>
      <w:r w:rsidRPr="005F0495">
        <w:rPr>
          <w:rFonts w:ascii="宋体" w:hAnsi="宋体"/>
          <w:color w:val="000000"/>
          <w:position w:val="-4"/>
          <w:sz w:val="24"/>
          <w:szCs w:val="30"/>
        </w:rPr>
        <w:tab/>
        <w:t>录</w:t>
      </w:r>
      <w:r w:rsidR="005F0495" w:rsidRPr="005F0495">
        <w:rPr>
          <w:rFonts w:ascii="宋体" w:hAnsi="宋体"/>
          <w:color w:val="000000"/>
          <w:position w:val="-4"/>
          <w:sz w:val="24"/>
          <w:szCs w:val="30"/>
        </w:rPr>
        <w:fldChar w:fldCharType="begin"/>
      </w:r>
      <w:r w:rsidR="005F0495" w:rsidRPr="005F0495">
        <w:rPr>
          <w:rFonts w:ascii="宋体" w:hAnsi="宋体"/>
          <w:color w:val="000000"/>
          <w:position w:val="-4"/>
          <w:sz w:val="24"/>
          <w:szCs w:val="30"/>
        </w:rPr>
        <w:instrText xml:space="preserve"> TOC \o "1-3" \f - \h \t "-1" </w:instrText>
      </w:r>
      <w:r w:rsidR="005F0495" w:rsidRPr="005F0495">
        <w:rPr>
          <w:rFonts w:ascii="宋体" w:hAnsi="宋体"/>
          <w:color w:val="000000"/>
          <w:position w:val="-4"/>
          <w:sz w:val="24"/>
          <w:szCs w:val="30"/>
        </w:rPr>
        <w:fldChar w:fldCharType="separate"/>
      </w:r>
    </w:p>
    <w:p w14:paraId="08B17790" w14:textId="5A293E51" w:rsidR="005F0495" w:rsidRPr="00C0208D" w:rsidRDefault="004A0172" w:rsidP="005F0495">
      <w:pPr>
        <w:pStyle w:val="11"/>
        <w:tabs>
          <w:tab w:val="right" w:leader="dot" w:pos="8550"/>
        </w:tabs>
        <w:spacing w:line="360" w:lineRule="auto"/>
        <w:rPr>
          <w:rFonts w:ascii="宋体" w:hAnsi="宋体"/>
          <w:noProof/>
          <w:sz w:val="24"/>
        </w:rPr>
      </w:pPr>
      <w:hyperlink w:anchor="_Toc119586508" w:history="1">
        <w:r w:rsidR="005F0495" w:rsidRPr="005F0495">
          <w:rPr>
            <w:rStyle w:val="af0"/>
            <w:rFonts w:ascii="宋体" w:hAnsi="宋体" w:hint="eastAsia"/>
            <w:noProof/>
            <w:kern w:val="0"/>
            <w:sz w:val="24"/>
          </w:rPr>
          <w:t>重要提示</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_Toc119586508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1</w:t>
        </w:r>
        <w:r w:rsidR="005F0495" w:rsidRPr="005F0495">
          <w:rPr>
            <w:rFonts w:ascii="宋体" w:hAnsi="宋体"/>
            <w:noProof/>
            <w:sz w:val="24"/>
          </w:rPr>
          <w:fldChar w:fldCharType="end"/>
        </w:r>
      </w:hyperlink>
    </w:p>
    <w:p w14:paraId="1B4481D1" w14:textId="7E49A213" w:rsidR="005F0495" w:rsidRPr="00C0208D" w:rsidRDefault="004A0172" w:rsidP="005F0495">
      <w:pPr>
        <w:pStyle w:val="11"/>
        <w:tabs>
          <w:tab w:val="right" w:leader="dot" w:pos="8550"/>
        </w:tabs>
        <w:spacing w:line="360" w:lineRule="auto"/>
        <w:rPr>
          <w:rFonts w:ascii="宋体" w:hAnsi="宋体"/>
          <w:noProof/>
          <w:sz w:val="24"/>
        </w:rPr>
      </w:pPr>
      <w:hyperlink w:anchor="_Toc119586509" w:history="1">
        <w:r w:rsidR="005F0495" w:rsidRPr="005F0495">
          <w:rPr>
            <w:rStyle w:val="af0"/>
            <w:rFonts w:ascii="宋体" w:hAnsi="宋体" w:hint="eastAsia"/>
            <w:noProof/>
            <w:sz w:val="24"/>
          </w:rPr>
          <w:t>一、绪言</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_Toc119586509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4</w:t>
        </w:r>
        <w:r w:rsidR="005F0495" w:rsidRPr="005F0495">
          <w:rPr>
            <w:rFonts w:ascii="宋体" w:hAnsi="宋体"/>
            <w:noProof/>
            <w:sz w:val="24"/>
          </w:rPr>
          <w:fldChar w:fldCharType="end"/>
        </w:r>
      </w:hyperlink>
    </w:p>
    <w:p w14:paraId="2E34FE3D" w14:textId="17A6356D" w:rsidR="005F0495" w:rsidRPr="00C0208D" w:rsidRDefault="004A0172" w:rsidP="005F0495">
      <w:pPr>
        <w:pStyle w:val="11"/>
        <w:tabs>
          <w:tab w:val="right" w:leader="dot" w:pos="8550"/>
        </w:tabs>
        <w:spacing w:line="360" w:lineRule="auto"/>
        <w:rPr>
          <w:rFonts w:ascii="宋体" w:hAnsi="宋体"/>
          <w:noProof/>
          <w:sz w:val="24"/>
        </w:rPr>
      </w:pPr>
      <w:hyperlink w:anchor="_Toc119586510" w:history="1">
        <w:r w:rsidR="005F0495" w:rsidRPr="005F0495">
          <w:rPr>
            <w:rStyle w:val="af0"/>
            <w:rFonts w:ascii="宋体" w:hAnsi="宋体" w:hint="eastAsia"/>
            <w:noProof/>
            <w:sz w:val="24"/>
          </w:rPr>
          <w:t>二、释义</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_Toc119586510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5</w:t>
        </w:r>
        <w:r w:rsidR="005F0495" w:rsidRPr="005F0495">
          <w:rPr>
            <w:rFonts w:ascii="宋体" w:hAnsi="宋体"/>
            <w:noProof/>
            <w:sz w:val="24"/>
          </w:rPr>
          <w:fldChar w:fldCharType="end"/>
        </w:r>
      </w:hyperlink>
    </w:p>
    <w:p w14:paraId="420A3B0C" w14:textId="04B5A7D5" w:rsidR="005F0495" w:rsidRPr="00C0208D" w:rsidRDefault="004A0172" w:rsidP="005F0495">
      <w:pPr>
        <w:pStyle w:val="11"/>
        <w:tabs>
          <w:tab w:val="right" w:leader="dot" w:pos="8550"/>
        </w:tabs>
        <w:spacing w:line="360" w:lineRule="auto"/>
        <w:rPr>
          <w:rFonts w:ascii="宋体" w:hAnsi="宋体"/>
          <w:noProof/>
          <w:sz w:val="24"/>
        </w:rPr>
      </w:pPr>
      <w:hyperlink w:anchor="_Toc119586511" w:history="1">
        <w:r w:rsidR="005F0495" w:rsidRPr="005F0495">
          <w:rPr>
            <w:rStyle w:val="af0"/>
            <w:rFonts w:ascii="宋体" w:hAnsi="宋体" w:hint="eastAsia"/>
            <w:noProof/>
            <w:sz w:val="24"/>
          </w:rPr>
          <w:t>三、基金管理人</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_Toc119586511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10</w:t>
        </w:r>
        <w:r w:rsidR="005F0495" w:rsidRPr="005F0495">
          <w:rPr>
            <w:rFonts w:ascii="宋体" w:hAnsi="宋体"/>
            <w:noProof/>
            <w:sz w:val="24"/>
          </w:rPr>
          <w:fldChar w:fldCharType="end"/>
        </w:r>
      </w:hyperlink>
    </w:p>
    <w:p w14:paraId="1D880521" w14:textId="5BDDEAEC" w:rsidR="005F0495" w:rsidRPr="00C0208D" w:rsidRDefault="004A0172" w:rsidP="005F0495">
      <w:pPr>
        <w:pStyle w:val="11"/>
        <w:tabs>
          <w:tab w:val="right" w:leader="dot" w:pos="8550"/>
        </w:tabs>
        <w:spacing w:line="360" w:lineRule="auto"/>
        <w:rPr>
          <w:rFonts w:ascii="宋体" w:hAnsi="宋体"/>
          <w:noProof/>
          <w:sz w:val="24"/>
        </w:rPr>
      </w:pPr>
      <w:hyperlink w:anchor="_Toc119586512" w:history="1">
        <w:r w:rsidR="005F0495" w:rsidRPr="005F0495">
          <w:rPr>
            <w:rStyle w:val="af0"/>
            <w:rFonts w:ascii="宋体" w:hAnsi="宋体" w:hint="eastAsia"/>
            <w:noProof/>
            <w:sz w:val="24"/>
          </w:rPr>
          <w:t>四、基金托管人</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_Toc119586512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18</w:t>
        </w:r>
        <w:r w:rsidR="005F0495" w:rsidRPr="005F0495">
          <w:rPr>
            <w:rFonts w:ascii="宋体" w:hAnsi="宋体"/>
            <w:noProof/>
            <w:sz w:val="24"/>
          </w:rPr>
          <w:fldChar w:fldCharType="end"/>
        </w:r>
      </w:hyperlink>
    </w:p>
    <w:p w14:paraId="063982FB" w14:textId="7FF1FDF1" w:rsidR="005F0495" w:rsidRPr="00C0208D" w:rsidRDefault="004A0172" w:rsidP="005F0495">
      <w:pPr>
        <w:pStyle w:val="11"/>
        <w:tabs>
          <w:tab w:val="right" w:leader="dot" w:pos="8550"/>
        </w:tabs>
        <w:spacing w:line="360" w:lineRule="auto"/>
        <w:rPr>
          <w:rFonts w:ascii="宋体" w:hAnsi="宋体"/>
          <w:noProof/>
          <w:sz w:val="24"/>
        </w:rPr>
      </w:pPr>
      <w:hyperlink w:anchor="_Toc119586513" w:history="1">
        <w:r w:rsidR="005F0495" w:rsidRPr="005F0495">
          <w:rPr>
            <w:rStyle w:val="af0"/>
            <w:rFonts w:ascii="宋体" w:hAnsi="宋体" w:hint="eastAsia"/>
            <w:noProof/>
            <w:sz w:val="24"/>
          </w:rPr>
          <w:t>五、相关服务机构</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_Toc119586513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22</w:t>
        </w:r>
        <w:r w:rsidR="005F0495" w:rsidRPr="005F0495">
          <w:rPr>
            <w:rFonts w:ascii="宋体" w:hAnsi="宋体"/>
            <w:noProof/>
            <w:sz w:val="24"/>
          </w:rPr>
          <w:fldChar w:fldCharType="end"/>
        </w:r>
      </w:hyperlink>
    </w:p>
    <w:p w14:paraId="67628F4E" w14:textId="107CAD44" w:rsidR="005F0495" w:rsidRPr="00C0208D" w:rsidRDefault="00637834" w:rsidP="005F0495">
      <w:pPr>
        <w:pStyle w:val="11"/>
        <w:tabs>
          <w:tab w:val="right" w:leader="dot" w:pos="8550"/>
        </w:tabs>
        <w:spacing w:line="360" w:lineRule="auto"/>
        <w:rPr>
          <w:rFonts w:ascii="宋体" w:hAnsi="宋体"/>
          <w:noProof/>
          <w:sz w:val="24"/>
        </w:rPr>
      </w:pPr>
      <w:hyperlink w:anchor="_Toc119586514" w:history="1">
        <w:r w:rsidR="005F0495" w:rsidRPr="005F0495">
          <w:rPr>
            <w:rStyle w:val="af0"/>
            <w:rFonts w:ascii="宋体" w:hAnsi="宋体" w:hint="eastAsia"/>
            <w:noProof/>
            <w:sz w:val="24"/>
          </w:rPr>
          <w:t>六、基金的募集</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_Toc119586514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33</w:t>
        </w:r>
        <w:r w:rsidR="005F0495" w:rsidRPr="005F0495">
          <w:rPr>
            <w:rFonts w:ascii="宋体" w:hAnsi="宋体"/>
            <w:noProof/>
            <w:sz w:val="24"/>
          </w:rPr>
          <w:fldChar w:fldCharType="end"/>
        </w:r>
      </w:hyperlink>
    </w:p>
    <w:p w14:paraId="4B207F0C" w14:textId="4721DBBB" w:rsidR="005F0495" w:rsidRPr="00C0208D" w:rsidRDefault="00637834" w:rsidP="005F0495">
      <w:pPr>
        <w:pStyle w:val="11"/>
        <w:tabs>
          <w:tab w:val="right" w:leader="dot" w:pos="8550"/>
        </w:tabs>
        <w:spacing w:line="360" w:lineRule="auto"/>
        <w:rPr>
          <w:rFonts w:ascii="宋体" w:hAnsi="宋体"/>
          <w:noProof/>
          <w:sz w:val="24"/>
        </w:rPr>
      </w:pPr>
      <w:hyperlink w:anchor="_Toc119586515" w:history="1">
        <w:r w:rsidR="005F0495" w:rsidRPr="005F0495">
          <w:rPr>
            <w:rStyle w:val="af0"/>
            <w:rFonts w:ascii="宋体" w:hAnsi="宋体" w:hint="eastAsia"/>
            <w:noProof/>
            <w:sz w:val="24"/>
          </w:rPr>
          <w:t>七、基金合同的生效</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_Toc119586515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34</w:t>
        </w:r>
        <w:r w:rsidR="005F0495" w:rsidRPr="005F0495">
          <w:rPr>
            <w:rFonts w:ascii="宋体" w:hAnsi="宋体"/>
            <w:noProof/>
            <w:sz w:val="24"/>
          </w:rPr>
          <w:fldChar w:fldCharType="end"/>
        </w:r>
      </w:hyperlink>
    </w:p>
    <w:p w14:paraId="38B6D5CA" w14:textId="14B9A303" w:rsidR="005F0495" w:rsidRPr="00C0208D" w:rsidRDefault="00637834" w:rsidP="005F0495">
      <w:pPr>
        <w:pStyle w:val="11"/>
        <w:tabs>
          <w:tab w:val="right" w:leader="dot" w:pos="8550"/>
        </w:tabs>
        <w:spacing w:line="360" w:lineRule="auto"/>
        <w:rPr>
          <w:rFonts w:ascii="宋体" w:hAnsi="宋体"/>
          <w:noProof/>
          <w:sz w:val="24"/>
        </w:rPr>
      </w:pPr>
      <w:hyperlink w:anchor="_Toc119586516" w:history="1">
        <w:r w:rsidR="005F0495" w:rsidRPr="005F0495">
          <w:rPr>
            <w:rStyle w:val="af0"/>
            <w:rFonts w:ascii="宋体" w:hAnsi="宋体" w:hint="eastAsia"/>
            <w:noProof/>
            <w:sz w:val="24"/>
          </w:rPr>
          <w:t>八、基金份额的申购与赎回</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_Toc119586516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35</w:t>
        </w:r>
        <w:r w:rsidR="005F0495" w:rsidRPr="005F0495">
          <w:rPr>
            <w:rFonts w:ascii="宋体" w:hAnsi="宋体"/>
            <w:noProof/>
            <w:sz w:val="24"/>
          </w:rPr>
          <w:fldChar w:fldCharType="end"/>
        </w:r>
      </w:hyperlink>
    </w:p>
    <w:p w14:paraId="59346579" w14:textId="01C66C91" w:rsidR="005F0495" w:rsidRPr="00C0208D" w:rsidRDefault="00637834" w:rsidP="005F0495">
      <w:pPr>
        <w:pStyle w:val="11"/>
        <w:tabs>
          <w:tab w:val="right" w:leader="dot" w:pos="8550"/>
        </w:tabs>
        <w:spacing w:line="360" w:lineRule="auto"/>
        <w:rPr>
          <w:rFonts w:ascii="宋体" w:hAnsi="宋体"/>
          <w:noProof/>
          <w:sz w:val="24"/>
        </w:rPr>
      </w:pPr>
      <w:hyperlink w:anchor="_Toc119586517" w:history="1">
        <w:r w:rsidR="005F0495" w:rsidRPr="005F0495">
          <w:rPr>
            <w:rStyle w:val="af0"/>
            <w:rFonts w:ascii="宋体" w:hAnsi="宋体" w:hint="eastAsia"/>
            <w:noProof/>
            <w:sz w:val="24"/>
          </w:rPr>
          <w:t>九、基金的转换</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_Toc119586517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45</w:t>
        </w:r>
        <w:r w:rsidR="005F0495" w:rsidRPr="005F0495">
          <w:rPr>
            <w:rFonts w:ascii="宋体" w:hAnsi="宋体"/>
            <w:noProof/>
            <w:sz w:val="24"/>
          </w:rPr>
          <w:fldChar w:fldCharType="end"/>
        </w:r>
      </w:hyperlink>
    </w:p>
    <w:p w14:paraId="4A25AA8C" w14:textId="55635D98" w:rsidR="005F0495" w:rsidRPr="00C0208D" w:rsidRDefault="00637834" w:rsidP="005F0495">
      <w:pPr>
        <w:pStyle w:val="11"/>
        <w:tabs>
          <w:tab w:val="right" w:leader="dot" w:pos="8550"/>
        </w:tabs>
        <w:spacing w:line="360" w:lineRule="auto"/>
        <w:rPr>
          <w:rFonts w:ascii="宋体" w:hAnsi="宋体"/>
          <w:noProof/>
          <w:sz w:val="24"/>
        </w:rPr>
      </w:pPr>
      <w:hyperlink w:anchor="_Toc119586518" w:history="1">
        <w:r w:rsidR="005F0495" w:rsidRPr="005F0495">
          <w:rPr>
            <w:rStyle w:val="af0"/>
            <w:rFonts w:ascii="宋体" w:hAnsi="宋体" w:hint="eastAsia"/>
            <w:noProof/>
            <w:sz w:val="24"/>
          </w:rPr>
          <w:t>十、基金的投资</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_Toc119586518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50</w:t>
        </w:r>
        <w:r w:rsidR="005F0495" w:rsidRPr="005F0495">
          <w:rPr>
            <w:rFonts w:ascii="宋体" w:hAnsi="宋体"/>
            <w:noProof/>
            <w:sz w:val="24"/>
          </w:rPr>
          <w:fldChar w:fldCharType="end"/>
        </w:r>
      </w:hyperlink>
    </w:p>
    <w:p w14:paraId="220CA3AA" w14:textId="44D96A4F" w:rsidR="005F0495" w:rsidRPr="00C0208D" w:rsidRDefault="00637834" w:rsidP="005F0495">
      <w:pPr>
        <w:pStyle w:val="11"/>
        <w:tabs>
          <w:tab w:val="right" w:leader="dot" w:pos="8550"/>
        </w:tabs>
        <w:spacing w:line="360" w:lineRule="auto"/>
        <w:rPr>
          <w:rFonts w:ascii="宋体" w:hAnsi="宋体"/>
          <w:noProof/>
          <w:sz w:val="24"/>
        </w:rPr>
      </w:pPr>
      <w:hyperlink w:anchor="_Toc119586519" w:history="1">
        <w:r w:rsidR="005F0495" w:rsidRPr="005F0495">
          <w:rPr>
            <w:rStyle w:val="af0"/>
            <w:rFonts w:ascii="宋体" w:hAnsi="宋体" w:hint="eastAsia"/>
            <w:noProof/>
            <w:sz w:val="24"/>
          </w:rPr>
          <w:t>十一、基金的业绩</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_Toc119586519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64</w:t>
        </w:r>
        <w:r w:rsidR="005F0495" w:rsidRPr="005F0495">
          <w:rPr>
            <w:rFonts w:ascii="宋体" w:hAnsi="宋体"/>
            <w:noProof/>
            <w:sz w:val="24"/>
          </w:rPr>
          <w:fldChar w:fldCharType="end"/>
        </w:r>
      </w:hyperlink>
    </w:p>
    <w:p w14:paraId="59EF6C53" w14:textId="1FAF9774" w:rsidR="005F0495" w:rsidRPr="00C0208D" w:rsidRDefault="00637834" w:rsidP="005F0495">
      <w:pPr>
        <w:pStyle w:val="11"/>
        <w:tabs>
          <w:tab w:val="right" w:leader="dot" w:pos="8550"/>
        </w:tabs>
        <w:spacing w:line="360" w:lineRule="auto"/>
        <w:rPr>
          <w:rFonts w:ascii="宋体" w:hAnsi="宋体"/>
          <w:noProof/>
          <w:sz w:val="24"/>
        </w:rPr>
      </w:pPr>
      <w:hyperlink w:anchor="_Toc119586520" w:history="1">
        <w:r w:rsidR="005F0495" w:rsidRPr="005F0495">
          <w:rPr>
            <w:rStyle w:val="af0"/>
            <w:rFonts w:ascii="宋体" w:hAnsi="宋体" w:hint="eastAsia"/>
            <w:noProof/>
            <w:sz w:val="24"/>
          </w:rPr>
          <w:t>十二、基金的财产</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_Toc119586520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67</w:t>
        </w:r>
        <w:r w:rsidR="005F0495" w:rsidRPr="005F0495">
          <w:rPr>
            <w:rFonts w:ascii="宋体" w:hAnsi="宋体"/>
            <w:noProof/>
            <w:sz w:val="24"/>
          </w:rPr>
          <w:fldChar w:fldCharType="end"/>
        </w:r>
      </w:hyperlink>
    </w:p>
    <w:p w14:paraId="511B9580" w14:textId="3C1DBD12" w:rsidR="005F0495" w:rsidRPr="00C0208D" w:rsidRDefault="00637834" w:rsidP="005F0495">
      <w:pPr>
        <w:pStyle w:val="11"/>
        <w:tabs>
          <w:tab w:val="right" w:leader="dot" w:pos="8550"/>
        </w:tabs>
        <w:spacing w:line="360" w:lineRule="auto"/>
        <w:rPr>
          <w:rFonts w:ascii="宋体" w:hAnsi="宋体"/>
          <w:noProof/>
          <w:sz w:val="24"/>
        </w:rPr>
      </w:pPr>
      <w:hyperlink w:anchor="_Toc119586521" w:history="1">
        <w:r w:rsidR="005F0495" w:rsidRPr="005F0495">
          <w:rPr>
            <w:rStyle w:val="af0"/>
            <w:rFonts w:ascii="宋体" w:hAnsi="宋体" w:hint="eastAsia"/>
            <w:noProof/>
            <w:sz w:val="24"/>
          </w:rPr>
          <w:t>十三、基金资产的估值</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_Toc119586521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68</w:t>
        </w:r>
        <w:r w:rsidR="005F0495" w:rsidRPr="005F0495">
          <w:rPr>
            <w:rFonts w:ascii="宋体" w:hAnsi="宋体"/>
            <w:noProof/>
            <w:sz w:val="24"/>
          </w:rPr>
          <w:fldChar w:fldCharType="end"/>
        </w:r>
      </w:hyperlink>
    </w:p>
    <w:p w14:paraId="2A43382D" w14:textId="0B76EC9E" w:rsidR="005F0495" w:rsidRPr="00C0208D" w:rsidRDefault="00637834" w:rsidP="005F0495">
      <w:pPr>
        <w:pStyle w:val="11"/>
        <w:tabs>
          <w:tab w:val="right" w:leader="dot" w:pos="8550"/>
        </w:tabs>
        <w:spacing w:line="360" w:lineRule="auto"/>
        <w:rPr>
          <w:rFonts w:ascii="宋体" w:hAnsi="宋体"/>
          <w:noProof/>
          <w:sz w:val="24"/>
        </w:rPr>
      </w:pPr>
      <w:hyperlink w:anchor="_Toc119586522" w:history="1">
        <w:r w:rsidR="005F0495" w:rsidRPr="005F0495">
          <w:rPr>
            <w:rStyle w:val="af0"/>
            <w:rFonts w:ascii="宋体" w:hAnsi="宋体" w:hint="eastAsia"/>
            <w:noProof/>
            <w:sz w:val="24"/>
          </w:rPr>
          <w:t>十四、基金收益与分配</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_Toc119586522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73</w:t>
        </w:r>
        <w:r w:rsidR="005F0495" w:rsidRPr="005F0495">
          <w:rPr>
            <w:rFonts w:ascii="宋体" w:hAnsi="宋体"/>
            <w:noProof/>
            <w:sz w:val="24"/>
          </w:rPr>
          <w:fldChar w:fldCharType="end"/>
        </w:r>
      </w:hyperlink>
    </w:p>
    <w:p w14:paraId="6FCEE6AB" w14:textId="60FFBB9A" w:rsidR="005F0495" w:rsidRPr="00C0208D" w:rsidRDefault="00637834" w:rsidP="005F0495">
      <w:pPr>
        <w:pStyle w:val="11"/>
        <w:tabs>
          <w:tab w:val="right" w:leader="dot" w:pos="8550"/>
        </w:tabs>
        <w:spacing w:line="360" w:lineRule="auto"/>
        <w:rPr>
          <w:rFonts w:ascii="宋体" w:hAnsi="宋体"/>
          <w:noProof/>
          <w:sz w:val="24"/>
        </w:rPr>
      </w:pPr>
      <w:hyperlink w:anchor="_Toc119586523" w:history="1">
        <w:r w:rsidR="005F0495" w:rsidRPr="005F0495">
          <w:rPr>
            <w:rStyle w:val="af0"/>
            <w:rFonts w:ascii="宋体" w:hAnsi="宋体" w:hint="eastAsia"/>
            <w:noProof/>
            <w:sz w:val="24"/>
          </w:rPr>
          <w:t>十五、基金的费用与税收</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_Toc119586523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75</w:t>
        </w:r>
        <w:r w:rsidR="005F0495" w:rsidRPr="005F0495">
          <w:rPr>
            <w:rFonts w:ascii="宋体" w:hAnsi="宋体"/>
            <w:noProof/>
            <w:sz w:val="24"/>
          </w:rPr>
          <w:fldChar w:fldCharType="end"/>
        </w:r>
      </w:hyperlink>
    </w:p>
    <w:p w14:paraId="6F742388" w14:textId="53AB4CDC" w:rsidR="005F0495" w:rsidRPr="00C0208D" w:rsidRDefault="00637834" w:rsidP="005F0495">
      <w:pPr>
        <w:pStyle w:val="11"/>
        <w:tabs>
          <w:tab w:val="right" w:leader="dot" w:pos="8550"/>
        </w:tabs>
        <w:spacing w:line="360" w:lineRule="auto"/>
        <w:rPr>
          <w:rFonts w:ascii="宋体" w:hAnsi="宋体"/>
          <w:noProof/>
          <w:sz w:val="24"/>
        </w:rPr>
      </w:pPr>
      <w:hyperlink w:anchor="_Toc119586524" w:history="1">
        <w:r w:rsidR="005F0495" w:rsidRPr="005F0495">
          <w:rPr>
            <w:rStyle w:val="af0"/>
            <w:rFonts w:ascii="宋体" w:hAnsi="宋体" w:hint="eastAsia"/>
            <w:noProof/>
            <w:sz w:val="24"/>
          </w:rPr>
          <w:t>十六、基金的会计与审计</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_Toc119586524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78</w:t>
        </w:r>
        <w:r w:rsidR="005F0495" w:rsidRPr="005F0495">
          <w:rPr>
            <w:rFonts w:ascii="宋体" w:hAnsi="宋体"/>
            <w:noProof/>
            <w:sz w:val="24"/>
          </w:rPr>
          <w:fldChar w:fldCharType="end"/>
        </w:r>
      </w:hyperlink>
    </w:p>
    <w:p w14:paraId="55840A85" w14:textId="3C3062F3" w:rsidR="005F0495" w:rsidRPr="00C0208D" w:rsidRDefault="00637834" w:rsidP="005F0495">
      <w:pPr>
        <w:pStyle w:val="11"/>
        <w:tabs>
          <w:tab w:val="right" w:leader="dot" w:pos="8550"/>
        </w:tabs>
        <w:spacing w:line="360" w:lineRule="auto"/>
        <w:rPr>
          <w:rFonts w:ascii="宋体" w:hAnsi="宋体"/>
          <w:noProof/>
          <w:sz w:val="24"/>
        </w:rPr>
      </w:pPr>
      <w:hyperlink w:anchor="_Toc119586525" w:history="1">
        <w:r w:rsidR="005F0495" w:rsidRPr="005F0495">
          <w:rPr>
            <w:rStyle w:val="af0"/>
            <w:rFonts w:ascii="宋体" w:hAnsi="宋体" w:hint="eastAsia"/>
            <w:noProof/>
            <w:sz w:val="24"/>
          </w:rPr>
          <w:t>十七、基金的信息披露</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_Toc119586525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79</w:t>
        </w:r>
        <w:r w:rsidR="005F0495" w:rsidRPr="005F0495">
          <w:rPr>
            <w:rFonts w:ascii="宋体" w:hAnsi="宋体"/>
            <w:noProof/>
            <w:sz w:val="24"/>
          </w:rPr>
          <w:fldChar w:fldCharType="end"/>
        </w:r>
      </w:hyperlink>
    </w:p>
    <w:p w14:paraId="459482BB" w14:textId="131ECF1B" w:rsidR="005F0495" w:rsidRPr="00C0208D" w:rsidRDefault="00637834" w:rsidP="005F0495">
      <w:pPr>
        <w:pStyle w:val="11"/>
        <w:tabs>
          <w:tab w:val="right" w:leader="dot" w:pos="8550"/>
        </w:tabs>
        <w:spacing w:line="360" w:lineRule="auto"/>
        <w:rPr>
          <w:rFonts w:ascii="宋体" w:hAnsi="宋体"/>
          <w:noProof/>
          <w:sz w:val="24"/>
        </w:rPr>
      </w:pPr>
      <w:hyperlink w:anchor="_Toc119586526" w:history="1">
        <w:r w:rsidR="005F0495" w:rsidRPr="005F0495">
          <w:rPr>
            <w:rStyle w:val="af0"/>
            <w:rFonts w:ascii="宋体" w:hAnsi="宋体" w:hint="eastAsia"/>
            <w:noProof/>
            <w:sz w:val="24"/>
          </w:rPr>
          <w:t>十八、风险揭示</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_Toc119586526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86</w:t>
        </w:r>
        <w:r w:rsidR="005F0495" w:rsidRPr="005F0495">
          <w:rPr>
            <w:rFonts w:ascii="宋体" w:hAnsi="宋体"/>
            <w:noProof/>
            <w:sz w:val="24"/>
          </w:rPr>
          <w:fldChar w:fldCharType="end"/>
        </w:r>
      </w:hyperlink>
    </w:p>
    <w:p w14:paraId="6D6827C8" w14:textId="2F7F2183" w:rsidR="005F0495" w:rsidRPr="00C0208D" w:rsidRDefault="00637834" w:rsidP="005F0495">
      <w:pPr>
        <w:pStyle w:val="11"/>
        <w:tabs>
          <w:tab w:val="right" w:leader="dot" w:pos="8550"/>
        </w:tabs>
        <w:spacing w:line="360" w:lineRule="auto"/>
        <w:rPr>
          <w:rFonts w:ascii="宋体" w:hAnsi="宋体"/>
          <w:noProof/>
          <w:sz w:val="24"/>
        </w:rPr>
      </w:pPr>
      <w:hyperlink w:anchor="_Toc119586527" w:history="1">
        <w:r w:rsidR="005F0495" w:rsidRPr="005F0495">
          <w:rPr>
            <w:rStyle w:val="af0"/>
            <w:rFonts w:ascii="宋体" w:hAnsi="宋体" w:hint="eastAsia"/>
            <w:noProof/>
            <w:sz w:val="24"/>
          </w:rPr>
          <w:t>十九、基金合同的变更、终止与基金财产的清算</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_Toc119586527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92</w:t>
        </w:r>
        <w:r w:rsidR="005F0495" w:rsidRPr="005F0495">
          <w:rPr>
            <w:rFonts w:ascii="宋体" w:hAnsi="宋体"/>
            <w:noProof/>
            <w:sz w:val="24"/>
          </w:rPr>
          <w:fldChar w:fldCharType="end"/>
        </w:r>
      </w:hyperlink>
    </w:p>
    <w:p w14:paraId="4FCB1A6B" w14:textId="1E0DE9C0" w:rsidR="005F0495" w:rsidRPr="00C0208D" w:rsidRDefault="00637834" w:rsidP="005F0495">
      <w:pPr>
        <w:pStyle w:val="11"/>
        <w:tabs>
          <w:tab w:val="right" w:leader="dot" w:pos="8550"/>
        </w:tabs>
        <w:spacing w:line="360" w:lineRule="auto"/>
        <w:rPr>
          <w:rFonts w:ascii="宋体" w:hAnsi="宋体"/>
          <w:noProof/>
          <w:sz w:val="24"/>
        </w:rPr>
      </w:pPr>
      <w:hyperlink w:anchor="_Toc119586528" w:history="1">
        <w:r w:rsidR="005F0495" w:rsidRPr="005F0495">
          <w:rPr>
            <w:rStyle w:val="af0"/>
            <w:rFonts w:ascii="宋体" w:hAnsi="宋体" w:hint="eastAsia"/>
            <w:noProof/>
            <w:sz w:val="24"/>
          </w:rPr>
          <w:t>二十、基金合同内容摘要</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_Toc119586528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94</w:t>
        </w:r>
        <w:r w:rsidR="005F0495" w:rsidRPr="005F0495">
          <w:rPr>
            <w:rFonts w:ascii="宋体" w:hAnsi="宋体"/>
            <w:noProof/>
            <w:sz w:val="24"/>
          </w:rPr>
          <w:fldChar w:fldCharType="end"/>
        </w:r>
      </w:hyperlink>
    </w:p>
    <w:p w14:paraId="3DC150F7" w14:textId="539E4FF1" w:rsidR="005F0495" w:rsidRPr="00C0208D" w:rsidRDefault="00637834" w:rsidP="005F0495">
      <w:pPr>
        <w:pStyle w:val="11"/>
        <w:tabs>
          <w:tab w:val="right" w:leader="dot" w:pos="8550"/>
        </w:tabs>
        <w:spacing w:line="360" w:lineRule="auto"/>
        <w:rPr>
          <w:rFonts w:ascii="宋体" w:hAnsi="宋体"/>
          <w:noProof/>
          <w:sz w:val="24"/>
        </w:rPr>
      </w:pPr>
      <w:hyperlink w:anchor="_Toc119586529" w:history="1">
        <w:r w:rsidR="005F0495" w:rsidRPr="005F0495">
          <w:rPr>
            <w:rStyle w:val="af0"/>
            <w:rFonts w:ascii="宋体" w:hAnsi="宋体" w:hint="eastAsia"/>
            <w:noProof/>
            <w:sz w:val="24"/>
          </w:rPr>
          <w:t>二十一、托管协议的内容摘要</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_Toc119586529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109</w:t>
        </w:r>
        <w:r w:rsidR="005F0495" w:rsidRPr="005F0495">
          <w:rPr>
            <w:rFonts w:ascii="宋体" w:hAnsi="宋体"/>
            <w:noProof/>
            <w:sz w:val="24"/>
          </w:rPr>
          <w:fldChar w:fldCharType="end"/>
        </w:r>
      </w:hyperlink>
    </w:p>
    <w:p w14:paraId="3C4BE242" w14:textId="6B47E015" w:rsidR="005F0495" w:rsidRPr="00C0208D" w:rsidRDefault="00637834" w:rsidP="005F0495">
      <w:pPr>
        <w:pStyle w:val="11"/>
        <w:tabs>
          <w:tab w:val="right" w:leader="dot" w:pos="8550"/>
        </w:tabs>
        <w:spacing w:line="360" w:lineRule="auto"/>
        <w:rPr>
          <w:rFonts w:ascii="宋体" w:hAnsi="宋体"/>
          <w:noProof/>
          <w:sz w:val="24"/>
        </w:rPr>
      </w:pPr>
      <w:hyperlink w:anchor="_Toc119586530" w:history="1">
        <w:r w:rsidR="005F0495" w:rsidRPr="005F0495">
          <w:rPr>
            <w:rStyle w:val="af0"/>
            <w:rFonts w:ascii="宋体" w:hAnsi="宋体" w:hint="eastAsia"/>
            <w:noProof/>
            <w:sz w:val="24"/>
          </w:rPr>
          <w:t>二十二、对基金份额持有人的服务</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_Toc119586530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122</w:t>
        </w:r>
        <w:r w:rsidR="005F0495" w:rsidRPr="005F0495">
          <w:rPr>
            <w:rFonts w:ascii="宋体" w:hAnsi="宋体"/>
            <w:noProof/>
            <w:sz w:val="24"/>
          </w:rPr>
          <w:fldChar w:fldCharType="end"/>
        </w:r>
      </w:hyperlink>
    </w:p>
    <w:p w14:paraId="4633BF3D" w14:textId="0CED75F0" w:rsidR="005F0495" w:rsidRPr="00C0208D" w:rsidRDefault="00637834" w:rsidP="005F0495">
      <w:pPr>
        <w:pStyle w:val="11"/>
        <w:tabs>
          <w:tab w:val="right" w:leader="dot" w:pos="8550"/>
        </w:tabs>
        <w:spacing w:line="360" w:lineRule="auto"/>
        <w:rPr>
          <w:rFonts w:ascii="宋体" w:hAnsi="宋体"/>
          <w:noProof/>
          <w:sz w:val="24"/>
        </w:rPr>
      </w:pPr>
      <w:hyperlink w:anchor="_Toc119586531" w:history="1">
        <w:r w:rsidR="005F0495" w:rsidRPr="005F0495">
          <w:rPr>
            <w:rStyle w:val="af0"/>
            <w:rFonts w:ascii="宋体" w:hAnsi="宋体" w:hint="eastAsia"/>
            <w:noProof/>
            <w:sz w:val="24"/>
          </w:rPr>
          <w:t>二十三、其他应披露事项</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_Toc119586531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123</w:t>
        </w:r>
        <w:r w:rsidR="005F0495" w:rsidRPr="005F0495">
          <w:rPr>
            <w:rFonts w:ascii="宋体" w:hAnsi="宋体"/>
            <w:noProof/>
            <w:sz w:val="24"/>
          </w:rPr>
          <w:fldChar w:fldCharType="end"/>
        </w:r>
      </w:hyperlink>
    </w:p>
    <w:p w14:paraId="4A3C6904" w14:textId="39C5AD72" w:rsidR="005F0495" w:rsidRPr="00C0208D" w:rsidRDefault="00637834" w:rsidP="005F0495">
      <w:pPr>
        <w:pStyle w:val="11"/>
        <w:tabs>
          <w:tab w:val="right" w:leader="dot" w:pos="8550"/>
        </w:tabs>
        <w:spacing w:line="360" w:lineRule="auto"/>
        <w:rPr>
          <w:rFonts w:ascii="宋体" w:hAnsi="宋体"/>
          <w:noProof/>
          <w:sz w:val="24"/>
        </w:rPr>
      </w:pPr>
      <w:hyperlink w:anchor="_Toc119586532" w:history="1">
        <w:r w:rsidR="005F0495" w:rsidRPr="005F0495">
          <w:rPr>
            <w:rStyle w:val="af0"/>
            <w:rFonts w:ascii="宋体" w:hAnsi="宋体" w:hint="eastAsia"/>
            <w:noProof/>
            <w:sz w:val="24"/>
          </w:rPr>
          <w:t>二十四、招募说明书的存放及查阅方式</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_Toc119586532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126</w:t>
        </w:r>
        <w:r w:rsidR="005F0495" w:rsidRPr="005F0495">
          <w:rPr>
            <w:rFonts w:ascii="宋体" w:hAnsi="宋体"/>
            <w:noProof/>
            <w:sz w:val="24"/>
          </w:rPr>
          <w:fldChar w:fldCharType="end"/>
        </w:r>
      </w:hyperlink>
    </w:p>
    <w:p w14:paraId="0A95A0D6" w14:textId="1F63C061" w:rsidR="005F0495" w:rsidRPr="00C0208D" w:rsidRDefault="00637834" w:rsidP="005F0495">
      <w:pPr>
        <w:pStyle w:val="11"/>
        <w:tabs>
          <w:tab w:val="right" w:leader="dot" w:pos="8550"/>
        </w:tabs>
        <w:spacing w:line="360" w:lineRule="auto"/>
        <w:rPr>
          <w:rFonts w:ascii="宋体" w:hAnsi="宋体"/>
          <w:noProof/>
          <w:sz w:val="24"/>
        </w:rPr>
      </w:pPr>
      <w:hyperlink w:anchor="_Toc119586533" w:history="1">
        <w:r w:rsidR="005F0495" w:rsidRPr="005F0495">
          <w:rPr>
            <w:rStyle w:val="af0"/>
            <w:rFonts w:ascii="宋体" w:hAnsi="宋体" w:hint="eastAsia"/>
            <w:noProof/>
            <w:sz w:val="24"/>
          </w:rPr>
          <w:t>二十五、备查文件</w:t>
        </w:r>
        <w:r w:rsidR="005F0495" w:rsidRPr="005F0495">
          <w:rPr>
            <w:rFonts w:ascii="宋体" w:hAnsi="宋体"/>
            <w:noProof/>
            <w:sz w:val="24"/>
          </w:rPr>
          <w:tab/>
        </w:r>
        <w:r w:rsidR="005F0495" w:rsidRPr="005F0495">
          <w:rPr>
            <w:rFonts w:ascii="宋体" w:hAnsi="宋体"/>
            <w:noProof/>
            <w:sz w:val="24"/>
          </w:rPr>
          <w:fldChar w:fldCharType="begin"/>
        </w:r>
        <w:r w:rsidR="005F0495" w:rsidRPr="005F0495">
          <w:rPr>
            <w:rFonts w:ascii="宋体" w:hAnsi="宋体"/>
            <w:noProof/>
            <w:sz w:val="24"/>
          </w:rPr>
          <w:instrText xml:space="preserve"> PAGEREF _Toc119586533 \h </w:instrText>
        </w:r>
        <w:r w:rsidR="005F0495" w:rsidRPr="005F0495">
          <w:rPr>
            <w:rFonts w:ascii="宋体" w:hAnsi="宋体"/>
            <w:noProof/>
            <w:sz w:val="24"/>
          </w:rPr>
        </w:r>
        <w:r w:rsidR="005F0495" w:rsidRPr="005F0495">
          <w:rPr>
            <w:rFonts w:ascii="宋体" w:hAnsi="宋体"/>
            <w:noProof/>
            <w:sz w:val="24"/>
          </w:rPr>
          <w:fldChar w:fldCharType="separate"/>
        </w:r>
        <w:r w:rsidR="00CE5B06">
          <w:rPr>
            <w:rFonts w:ascii="宋体" w:hAnsi="宋体"/>
            <w:noProof/>
            <w:sz w:val="24"/>
          </w:rPr>
          <w:t>127</w:t>
        </w:r>
        <w:r w:rsidR="005F0495" w:rsidRPr="005F0495">
          <w:rPr>
            <w:rFonts w:ascii="宋体" w:hAnsi="宋体"/>
            <w:noProof/>
            <w:sz w:val="24"/>
          </w:rPr>
          <w:fldChar w:fldCharType="end"/>
        </w:r>
      </w:hyperlink>
    </w:p>
    <w:p w14:paraId="2947F82D" w14:textId="77777777" w:rsidR="004C65FB" w:rsidRPr="00D949D5" w:rsidRDefault="005F0495" w:rsidP="00D949D5">
      <w:pPr>
        <w:pStyle w:val="af3"/>
        <w:snapToGrid w:val="0"/>
        <w:spacing w:after="240" w:line="360" w:lineRule="auto"/>
        <w:jc w:val="center"/>
        <w:rPr>
          <w:rFonts w:ascii="宋体" w:hAnsi="宋体"/>
          <w:color w:val="000000"/>
          <w:sz w:val="24"/>
        </w:rPr>
        <w:sectPr w:rsidR="004C65FB" w:rsidRPr="00D949D5">
          <w:pgSz w:w="11920" w:h="16840"/>
          <w:pgMar w:top="1480" w:right="1680" w:bottom="280" w:left="1680" w:header="0" w:footer="1073" w:gutter="0"/>
          <w:cols w:space="720"/>
        </w:sectPr>
      </w:pPr>
      <w:r w:rsidRPr="005F0495">
        <w:rPr>
          <w:rFonts w:ascii="宋体" w:hAnsi="宋体"/>
          <w:color w:val="000000"/>
          <w:position w:val="-4"/>
          <w:sz w:val="24"/>
          <w:szCs w:val="30"/>
        </w:rPr>
        <w:fldChar w:fldCharType="end"/>
      </w:r>
    </w:p>
    <w:p w14:paraId="4908A64C" w14:textId="77777777" w:rsidR="004C65FB" w:rsidRDefault="00795CC3">
      <w:pPr>
        <w:pStyle w:val="1"/>
        <w:snapToGrid w:val="0"/>
        <w:spacing w:beforeLines="0" w:before="240" w:after="240"/>
        <w:rPr>
          <w:rFonts w:ascii="宋体" w:hAnsi="宋体"/>
          <w:szCs w:val="30"/>
        </w:rPr>
      </w:pPr>
      <w:bookmarkStart w:id="3" w:name="_Toc119586509"/>
      <w:r>
        <w:rPr>
          <w:rFonts w:ascii="Times New Roman" w:hAnsi="Times New Roman"/>
          <w:sz w:val="30"/>
        </w:rPr>
        <w:lastRenderedPageBreak/>
        <w:t>一、绪言</w:t>
      </w:r>
      <w:bookmarkEnd w:id="3"/>
    </w:p>
    <w:p w14:paraId="6BE0842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天利宝货币市场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货币市场基金监督管理办法》、《关于实施＜货币市场基金监督管理办法＞有关问题的规定》、《公开募集开放式证券投资基金流动性风险管理规定》(以下简称“《流动性规定》”)和其他相关法律法规的规定以及《交银施罗德天利宝货币市场基金基金合同》（以下简称“基金合同”）编写。</w:t>
      </w:r>
    </w:p>
    <w:p w14:paraId="1F3BB8F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134D1D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7263490C"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5F63BAE" w14:textId="77777777" w:rsidR="004C65FB" w:rsidRDefault="00795CC3">
      <w:pPr>
        <w:pStyle w:val="1"/>
        <w:snapToGrid w:val="0"/>
        <w:spacing w:beforeLines="0" w:before="240" w:after="240"/>
        <w:rPr>
          <w:rFonts w:ascii="宋体" w:hAnsi="宋体"/>
          <w:szCs w:val="30"/>
        </w:rPr>
      </w:pPr>
      <w:bookmarkStart w:id="4" w:name="_Toc119586510"/>
      <w:r>
        <w:rPr>
          <w:rFonts w:ascii="Times New Roman" w:hAnsi="Times New Roman"/>
          <w:sz w:val="30"/>
        </w:rPr>
        <w:lastRenderedPageBreak/>
        <w:t>二、释义</w:t>
      </w:r>
      <w:bookmarkEnd w:id="4"/>
    </w:p>
    <w:p w14:paraId="325C78D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2093FEB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1、基金或本基金：指交银施罗德天利宝货币市场基金</w:t>
      </w:r>
    </w:p>
    <w:p w14:paraId="68A0421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67147DB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3、基金托管人或本基金托管人：指中信银行股份有限公司</w:t>
      </w:r>
    </w:p>
    <w:p w14:paraId="1827BE0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4、基金合同或《基金合同》：指《交银施罗德天利宝货币市场基金基金合同》及对基金合同的任何有效修订和补充</w:t>
      </w:r>
    </w:p>
    <w:p w14:paraId="47B1151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5、托管协议：指基金管理人与基金托管人就本基金签订之《交银施罗德天利宝货币市场基金托管协议》及对该托管协议的任何有效修订和补充</w:t>
      </w:r>
    </w:p>
    <w:p w14:paraId="6F83D0D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6、招募说明书、《招募说明书》或本招募说明书：指《交银施罗德天利宝货币市场基金招募说明书》及其更新</w:t>
      </w:r>
    </w:p>
    <w:p w14:paraId="2EEF1FF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7、基金份额发售公告：指《交银施罗德天利宝货币市场基金基金份额发售公告》</w:t>
      </w:r>
    </w:p>
    <w:p w14:paraId="26A952F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8、基金产品资料概要：指《交银施罗德天利宝货币市场基金基金产品资料概要》及其更新</w:t>
      </w:r>
    </w:p>
    <w:p w14:paraId="48E0B59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6FA2E58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574C420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14:paraId="238F275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45E62CE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2A552EA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14、《流动性规定》：指中国证监会2017年8月31日颁布、同年10月1日实施的《公开募集开放式证券投资基金流动性风险管理规定》及颁布机关对其不时做出的修订</w:t>
      </w:r>
    </w:p>
    <w:p w14:paraId="20EC626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14:paraId="27874B0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16、银行业监督管理机构：指中国人民银行和/或中国银行业监督管理委员会</w:t>
      </w:r>
    </w:p>
    <w:p w14:paraId="0C55337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3BA333D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7F099FD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2F46E7C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14:paraId="4E36BF4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21、人民币合格境外机构投资者：指按照《人民币合格境外机构投资者境内证券投资试点办法》及相关法律法规规定，运用来自境外的人民币资金进行中国境内证券投资的境外机构投资者</w:t>
      </w:r>
    </w:p>
    <w:p w14:paraId="25557FB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22、投资人或投资者：指个人投资者、机构投资者、合格境外机构投资者和人民币合格境外机构投资者以及法律法规或中国证监会允许购买证券投资基金的其他投资人的合称</w:t>
      </w:r>
    </w:p>
    <w:p w14:paraId="5C1105F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14:paraId="141EABF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14:paraId="77B74D3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14:paraId="4E1AED5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A0FBD8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27、登记机构：指办理登记业务的机构。基金的登记机构为交银施罗德基金管理有限公司或接受交银施罗德基金管理有限公司委托办理登记业务的机构</w:t>
      </w:r>
    </w:p>
    <w:p w14:paraId="48E5DFB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28、基金账户：指登记机构为投资人开立的、记录其持有的、基金管理人所管理的基金份额余额及其变动情况的账户</w:t>
      </w:r>
    </w:p>
    <w:p w14:paraId="35C4786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29、基金交易账户：指销售机构为投资人开立的、记录投资人通过该销售机构</w:t>
      </w:r>
      <w:r>
        <w:rPr>
          <w:rFonts w:ascii="宋体" w:hAnsi="宋体"/>
          <w:sz w:val="24"/>
        </w:rPr>
        <w:lastRenderedPageBreak/>
        <w:t>办理认购、申购、赎回、转换及转托管等业务而引起的基金份额变动及结余情况的账户</w:t>
      </w:r>
    </w:p>
    <w:p w14:paraId="4D4ACF3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30、基金合同生效日：指基金募集达到法律法规规定及基金合同规定的条件，基金管理人向中国证监会办理基金备案手续完毕，并获得中国证监会书面确认的日期</w:t>
      </w:r>
    </w:p>
    <w:p w14:paraId="49FD6B9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31、基金合同终止日：指基金合同规定的基金合同终止事由出现后，基金财产清算完毕，清算结果报中国证监会备案并予以公告的日期</w:t>
      </w:r>
    </w:p>
    <w:p w14:paraId="1A15798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32、基金募集期：指自基金份额发售之日起至发售结束之日止的期间，最长不得超过3个月</w:t>
      </w:r>
    </w:p>
    <w:p w14:paraId="44E47C5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33、存续期：指基金合同生效至终止之间的不定期期限</w:t>
      </w:r>
    </w:p>
    <w:p w14:paraId="0C842F2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14:paraId="4612324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35、T日：指销售机构在规定时间受理投资人申购、赎回或其他业务申请的开放日</w:t>
      </w:r>
    </w:p>
    <w:p w14:paraId="431EB2D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36、T+n日：指自T日起第n个工作日(不包含T日)</w:t>
      </w:r>
    </w:p>
    <w:p w14:paraId="0BBFCA0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37、开放日：指为投资人办理基金份额申购、赎回或其他业务的工作日</w:t>
      </w:r>
    </w:p>
    <w:p w14:paraId="57B66C4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38、开放时间：指开放日基金接受申购、赎回或其他交易的时间段</w:t>
      </w:r>
    </w:p>
    <w:p w14:paraId="0C648B5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39、《业务规则》：指《交银施罗德基金管理有限公司开放式基金业务规则》，是规范基金管理人所管理的开放式证券投资基金登记方面的业务规则，由基金管理人和投资人共同遵守</w:t>
      </w:r>
    </w:p>
    <w:p w14:paraId="0841DD7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40、认购：指在基金募集期内，投资人根据基金合同和招募说明书的规定申请购买基金份额的行为</w:t>
      </w:r>
    </w:p>
    <w:p w14:paraId="61D946A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41、申购：指基金合同生效后，投资人根据基金合同和招募说明书的规定申请购买基金份额的行为</w:t>
      </w:r>
    </w:p>
    <w:p w14:paraId="6777CE7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42、赎回：指基金合同生效后，基金份额持有人按基金合同和招募说明书规定的条件要求将基金份额兑换为现金的行为</w:t>
      </w:r>
    </w:p>
    <w:p w14:paraId="7A381FE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43、基金转换：指基金份额持有人按照基金合同和基金管理人届时有效公告规定的条件，申请将其持有基金管理人管理的、某一基金的基金份额转换为基金管理人管理的其他基金基金份额的行为</w:t>
      </w:r>
    </w:p>
    <w:p w14:paraId="562D43C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44、转托管：指基金份额持有人在本基金的不同销售机构之间实施的变更所持基金份额销售机构的操作</w:t>
      </w:r>
    </w:p>
    <w:p w14:paraId="218EE99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45、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2A4F33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0D13744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47、元：指人民币元</w:t>
      </w:r>
    </w:p>
    <w:p w14:paraId="3E5F8AF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48、基金收益：指基金投资所得债券利息、买卖证券价差、银行存款利息、已实现的其他合法收入及因运用基金财产带来的成本和费用的节约</w:t>
      </w:r>
    </w:p>
    <w:p w14:paraId="72636D7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49、摊余成本法：指计价对象以买入成本列示，按照票面利率或协议利率并考虑其买入时的溢价与折价，在剩余存续期内按照实际利率法摊销，每日计提损益</w:t>
      </w:r>
    </w:p>
    <w:p w14:paraId="6B6BDBF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50、每万份基金已实现收益：指按照相关法规计算的每万份基金份额的日已实现收益</w:t>
      </w:r>
    </w:p>
    <w:p w14:paraId="23E2ED0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51、7日年化收益率：指以最近7日(含节假日) 每万份基金已实现收益所折算的年资产收益率</w:t>
      </w:r>
    </w:p>
    <w:p w14:paraId="53AAD11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52、销售服务费：指本基金用于持续销售和服务基金份额持有人的费用，该笔费用从基金财产中扣除，属于基金的营运费用</w:t>
      </w:r>
    </w:p>
    <w:p w14:paraId="5B256DF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53、基金资产总值：指基金拥有的各类有价证券和票据价值、银行存款本息、基金应收申购款及其他资产的价值总和</w:t>
      </w:r>
    </w:p>
    <w:p w14:paraId="45F8CFE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54、基金资产净值：指基金资产总值减去基金负债后的价值</w:t>
      </w:r>
    </w:p>
    <w:p w14:paraId="754BF68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55、基金份额净值：指计算日基金资产净值除以计算日基金份额总数，本基金各类基金份额的基金份额净值保持在1.00元</w:t>
      </w:r>
    </w:p>
    <w:p w14:paraId="7E3E7D2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56、基金资产估值：指计算评估基金资产和负债的价值，以确定各类基金份额的基金资产净值、每万份基金已实现收益和7日年化收益率的过程</w:t>
      </w:r>
    </w:p>
    <w:p w14:paraId="3E550E3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600F89A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58、指定媒介：指中国证监会指定的用以进行信息披露的全国性报刊及指定互联网网站（包括基金管理人网站、基金托管人网站、中国证监会基金电子披露网站）等媒介</w:t>
      </w:r>
    </w:p>
    <w:p w14:paraId="4F21C46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59、不可抗力：指基金合同当事人不能预见、不能避免且不能克服的客观事件</w:t>
      </w:r>
    </w:p>
    <w:p w14:paraId="5D78AEB5"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9D3494A" w14:textId="77777777" w:rsidR="004C65FB" w:rsidRDefault="00795CC3">
      <w:pPr>
        <w:pStyle w:val="1"/>
        <w:snapToGrid w:val="0"/>
        <w:spacing w:beforeLines="0" w:before="240" w:after="240"/>
        <w:rPr>
          <w:rFonts w:ascii="宋体" w:hAnsi="宋体"/>
          <w:szCs w:val="30"/>
        </w:rPr>
      </w:pPr>
      <w:bookmarkStart w:id="5" w:name="_Toc119586511"/>
      <w:r>
        <w:rPr>
          <w:rFonts w:ascii="Times New Roman" w:hAnsi="Times New Roman"/>
          <w:sz w:val="30"/>
        </w:rPr>
        <w:lastRenderedPageBreak/>
        <w:t>三、基金管理人</w:t>
      </w:r>
      <w:bookmarkEnd w:id="5"/>
    </w:p>
    <w:p w14:paraId="39AF9F8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218803C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7A063EF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CAB4B3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327299E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71875A4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70A05A4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52B4E81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01392D3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0987CBC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39A076D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5BFCFA2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13148D1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4C65FB" w14:paraId="7724138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6769C88"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5F5FBEB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4C65FB" w14:paraId="01234F8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E0DD97E"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45D7A23"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4C65FB" w14:paraId="5B8A32A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2ADE9F2"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4F4B9D7"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4C65FB" w14:paraId="7AFAC76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FC586A2"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7CAD283"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01BF9B4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2EB4876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0B0AD6A7" w14:textId="77777777" w:rsidR="00A904DA" w:rsidRDefault="00A904DA" w:rsidP="00A904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39D97393" w14:textId="0F8EA42F" w:rsidR="00A904DA" w:rsidRDefault="00A904DA" w:rsidP="00A904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14:paraId="66339D00" w14:textId="77777777" w:rsidR="00A904DA" w:rsidRDefault="00A904DA" w:rsidP="00A904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14:paraId="651AF798" w14:textId="77777777" w:rsidR="00A904DA" w:rsidRDefault="00A904DA" w:rsidP="00A904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代任首席信息官，博士，高级经济师，民盟中央委员、全国政协委员。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6995FF4" w14:textId="77777777" w:rsidR="00A904DA" w:rsidRDefault="00A904DA" w:rsidP="00A904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5502F665" w14:textId="77777777" w:rsidR="00A904DA" w:rsidRDefault="00A904DA" w:rsidP="00A904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6DB369F7" w14:textId="77777777" w:rsidR="00A904DA" w:rsidRDefault="00A904DA" w:rsidP="00A904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14:paraId="16F50A71" w14:textId="77777777" w:rsidR="00A904DA" w:rsidRDefault="00A904DA" w:rsidP="00A904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19E3F22" w14:textId="77777777" w:rsidR="00A904DA" w:rsidRDefault="00A904DA" w:rsidP="00A904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B4B518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6F4D8BEA" w14:textId="77777777" w:rsidR="00A904DA" w:rsidRDefault="00A904DA" w:rsidP="00A904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14:paraId="0CFD7072" w14:textId="77777777" w:rsidR="00A904DA" w:rsidRDefault="00A904DA" w:rsidP="00A904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林凯珊女士，监事，硕士。现任施罗德投资管理（香港）有限公司中国内地及中国香港法律部主管。历任香港证券及期货事务监察委员会发牌科经理、的近律师行律师。</w:t>
      </w:r>
    </w:p>
    <w:p w14:paraId="71CF7032" w14:textId="77777777" w:rsidR="00A904DA" w:rsidRDefault="00A904DA" w:rsidP="00A904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3E102381" w14:textId="77777777" w:rsidR="00A904DA" w:rsidRDefault="00A904DA" w:rsidP="00A904D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63CFB2D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320CEDB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谢卫先生，总经理、代任首席信息官。简历同上。</w:t>
      </w:r>
    </w:p>
    <w:p w14:paraId="3507AEB7" w14:textId="5DFBCC33"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w:t>
      </w:r>
      <w:r w:rsidR="00D81028" w:rsidRPr="00D81028">
        <w:rPr>
          <w:rFonts w:ascii="宋体" w:hAnsi="宋体" w:hint="eastAsia"/>
          <w:sz w:val="24"/>
        </w:rPr>
        <w:t>，交银施罗德资产管理有限公司董事长</w:t>
      </w:r>
      <w:r>
        <w:rPr>
          <w:rFonts w:ascii="宋体" w:hAnsi="宋体"/>
          <w:sz w:val="24"/>
        </w:rPr>
        <w:t>。</w:t>
      </w:r>
    </w:p>
    <w:p w14:paraId="02C66F4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11A7FDF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74C6BA4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06E54CED" w14:textId="63221C34"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黄莹洁女士:基金经理。香港大学工商管理硕士、北京大学经济学、管理学双学士。</w:t>
      </w:r>
      <w:r w:rsidR="00AC7E5D">
        <w:rPr>
          <w:rFonts w:ascii="宋体" w:hAnsi="宋体"/>
          <w:sz w:val="24"/>
        </w:rPr>
        <w:t>15</w:t>
      </w:r>
      <w:r>
        <w:rPr>
          <w:rFonts w:ascii="宋体" w:hAnsi="宋体"/>
          <w:sz w:val="24"/>
        </w:rPr>
        <w:t>年证券投资行业从业经验。2008年至2012年任中海基金管理有限公司交易员。2012年加入交银施罗德基金管理有限公司，曾任中央交易室交易员，</w:t>
      </w:r>
      <w:r w:rsidR="00C171D4" w:rsidRPr="00C171D4">
        <w:rPr>
          <w:rFonts w:ascii="宋体" w:hAnsi="宋体" w:hint="eastAsia"/>
          <w:sz w:val="24"/>
        </w:rPr>
        <w:t>现任固定收益部投资助理总监</w:t>
      </w:r>
      <w:r>
        <w:rPr>
          <w:rFonts w:ascii="宋体" w:hAnsi="宋体"/>
          <w:sz w:val="24"/>
        </w:rPr>
        <w:t>。曾任交银施罗德现金宝货币市场基金(2015年05月27日至2019年08月02日)、交银施罗德货币市场证券投资基金(2015年05月27日至2019年08月02日)、交银施罗德理财21天债券型证券投资基金(2015年05月27日至2020年07月</w:t>
      </w:r>
      <w:r>
        <w:rPr>
          <w:rFonts w:ascii="宋体" w:hAnsi="宋体"/>
          <w:sz w:val="24"/>
        </w:rPr>
        <w:lastRenderedPageBreak/>
        <w:t>27日)、交银施罗德丰泽收益债券型证券投资基金(2015年07月25日至2018年03月18日)、交银施罗德裕通纯债债券型证券投资基金(2015年12月29日至2019年10月23日)、交银施罗德天鑫宝货币市场基金(2016年12月07日至2019年08月02日)、交银施罗德中高等级信用债债券型证券投资基金(2020年07月28日至2022年07月05日)的基金经理。现任交银施罗德丰享收益债券型证券投资基金(2015年07月25日至今)、交银施罗德活期通货币市场基金(2016年07月27日至今)、交银施罗德天利宝货币市场基金(2016年10月19日至今)、交银施罗德裕隆纯债债券型证券投资基金(2016年11月28日至今)、交银施罗德天益宝货币市场基金(2016年12月20日至今)、交银施罗德境尚收益债券型证券投资基金(2017年03月03日至今)、交银施罗德稳鑫短债债券型证券投资基金(2019年01月24日至今)、交银施罗德稳利中短债债券型证券投资基金(2019年12月13日至今)、交银施罗德稳益短债债券型证券投资基金(2022年09月21日至今)的基金经理</w:t>
      </w:r>
      <w:r w:rsidR="00AC7E5D">
        <w:rPr>
          <w:rFonts w:ascii="宋体" w:hAnsi="宋体" w:hint="eastAsia"/>
          <w:sz w:val="24"/>
        </w:rPr>
        <w:t>、</w:t>
      </w:r>
      <w:r w:rsidR="00AC7E5D" w:rsidRPr="00AC7E5D">
        <w:rPr>
          <w:rFonts w:ascii="宋体" w:hAnsi="宋体" w:hint="eastAsia"/>
          <w:sz w:val="24"/>
        </w:rPr>
        <w:t>交银施罗德稳安30天滚动持有债券型证券投资基金</w:t>
      </w:r>
      <w:r w:rsidR="00AC7E5D">
        <w:rPr>
          <w:rFonts w:ascii="宋体" w:hAnsi="宋体"/>
          <w:sz w:val="24"/>
        </w:rPr>
        <w:t>(2022年11月24日至今)的基金经理</w:t>
      </w:r>
      <w:r>
        <w:rPr>
          <w:rFonts w:ascii="宋体" w:hAnsi="宋体"/>
          <w:sz w:val="24"/>
        </w:rPr>
        <w:t>。</w:t>
      </w:r>
    </w:p>
    <w:p w14:paraId="25C4E1D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0D17A78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连端清先生(2016年10月19日至2019年09月27日)。</w:t>
      </w:r>
    </w:p>
    <w:p w14:paraId="5F81C98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111CBC0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166506D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3CC3705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30B8BEF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3A823CD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31656976" w14:textId="4773CEF1"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w:t>
      </w:r>
      <w:r w:rsidR="00F84253">
        <w:rPr>
          <w:rFonts w:ascii="宋体" w:hAnsi="宋体"/>
          <w:sz w:val="24"/>
        </w:rPr>
        <w:t>202</w:t>
      </w:r>
      <w:r w:rsidR="002717C5">
        <w:rPr>
          <w:rFonts w:ascii="宋体" w:hAnsi="宋体"/>
          <w:sz w:val="24"/>
        </w:rPr>
        <w:t>3</w:t>
      </w:r>
      <w:r>
        <w:rPr>
          <w:rFonts w:ascii="宋体" w:hAnsi="宋体"/>
          <w:sz w:val="24"/>
        </w:rPr>
        <w:t>年</w:t>
      </w:r>
      <w:r w:rsidR="002717C5">
        <w:rPr>
          <w:rFonts w:ascii="宋体" w:hAnsi="宋体"/>
          <w:sz w:val="24"/>
        </w:rPr>
        <w:t>05</w:t>
      </w:r>
      <w:r>
        <w:rPr>
          <w:rFonts w:ascii="宋体" w:hAnsi="宋体"/>
          <w:sz w:val="24"/>
        </w:rPr>
        <w:t>月</w:t>
      </w:r>
      <w:r w:rsidR="002717C5">
        <w:rPr>
          <w:rFonts w:ascii="宋体" w:hAnsi="宋体"/>
          <w:sz w:val="24"/>
        </w:rPr>
        <w:t>24</w:t>
      </w:r>
      <w:r>
        <w:rPr>
          <w:rFonts w:ascii="宋体" w:hAnsi="宋体"/>
          <w:sz w:val="24"/>
        </w:rPr>
        <w:t>日，期后变动（如有）敬请关注基金管理人发布的相关公告。</w:t>
      </w:r>
    </w:p>
    <w:p w14:paraId="1A8BADC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7B96AA4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5E0FFAE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2618587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0F07899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2F35C84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5、进行基金会计核算并编制基金财务会计报告；</w:t>
      </w:r>
    </w:p>
    <w:p w14:paraId="3D506F7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51D1A3E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728A26D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3901EAD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199B0C0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6C284A4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60B7077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68A679E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559FA80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68FDD9D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6D9B5AB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7BF3BBC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50779C0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17A9B78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64F34B2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6495FF9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（6）泄露因职务便利获取的未公开信息、利用该信息从事或者明示、暗示他人从事相关的交易活动；</w:t>
      </w:r>
    </w:p>
    <w:p w14:paraId="697B0C1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（7）玩忽职守，不按照规定履行职责；</w:t>
      </w:r>
    </w:p>
    <w:p w14:paraId="308B85B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（8）法律、行政法规和中国证监会禁止的其他行为。</w:t>
      </w:r>
    </w:p>
    <w:p w14:paraId="7396135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5F70406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7064776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59449FA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38AD943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1、依照有关法律法规和基金合同的规定，本着谨慎的原则为基金份额持有人谋取最大利益；</w:t>
      </w:r>
    </w:p>
    <w:p w14:paraId="761C1E4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2FC2864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54A513D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5BF75A6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3B54E55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42EED0A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全面性原则</w:t>
      </w:r>
    </w:p>
    <w:p w14:paraId="5EC6C02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09C56D5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独立性原则</w:t>
      </w:r>
    </w:p>
    <w:p w14:paraId="76002A5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7F6480D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相互制约原则</w:t>
      </w:r>
    </w:p>
    <w:p w14:paraId="4DAF145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50AD1B6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定性和定量相结合原则</w:t>
      </w:r>
    </w:p>
    <w:p w14:paraId="1C016D0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7DBF7B6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35ED250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5B29A3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0FD328E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32D5794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429AF56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4DC480D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068FF34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B74BA9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28271DD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FB11CB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48A7A79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62D549A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2B77B14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29D81B2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6296696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F56842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751805E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A6A0C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54726E2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44F9683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2F1F3AA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5C1AE9F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公司建立、健全了内控体系，通过高管人员关于内控的明确分工，确保各项业务活动有恰当的组织和授权，确保监察活动独立，并得到高管人员的支持，同时置备操作手册，并定期更新。</w:t>
      </w:r>
    </w:p>
    <w:p w14:paraId="0F8FABB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15BC2BC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6EE955E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08905CA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253E2F7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5DB054D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50B420D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295D86D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0409D32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07F7114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2C5DD56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26D00A9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1632EB3F"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A777FB1" w14:textId="77777777" w:rsidR="004C65FB" w:rsidRDefault="00795CC3">
      <w:pPr>
        <w:pStyle w:val="1"/>
        <w:snapToGrid w:val="0"/>
        <w:spacing w:beforeLines="0" w:before="240" w:after="240"/>
        <w:rPr>
          <w:rFonts w:ascii="宋体" w:hAnsi="宋体"/>
          <w:szCs w:val="30"/>
        </w:rPr>
      </w:pPr>
      <w:bookmarkStart w:id="6" w:name="_Toc119586512"/>
      <w:r>
        <w:rPr>
          <w:rFonts w:ascii="Times New Roman" w:hAnsi="Times New Roman"/>
          <w:sz w:val="30"/>
        </w:rPr>
        <w:lastRenderedPageBreak/>
        <w:t>四、基金托管人</w:t>
      </w:r>
      <w:bookmarkEnd w:id="6"/>
    </w:p>
    <w:p w14:paraId="156A7ECC"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318F154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592F1A7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名称：中信银行股份有限公司（简称“中信银行”）</w:t>
      </w:r>
    </w:p>
    <w:p w14:paraId="7F17BF8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住所：北京市朝阳区光华路10号院1号楼6-30层、32-42层</w:t>
      </w:r>
    </w:p>
    <w:p w14:paraId="4D1C0FB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办公地址：北京市朝阳区光华路10号院1号楼6-30层、32-42层</w:t>
      </w:r>
    </w:p>
    <w:p w14:paraId="4892A4D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14:paraId="3CCA6DA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成立时间：1987年4月20日</w:t>
      </w:r>
    </w:p>
    <w:p w14:paraId="3CDE47B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3671DDF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注册资本：489.35亿元人民币</w:t>
      </w:r>
    </w:p>
    <w:p w14:paraId="495E410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3FF2592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批准设立文号：中华人民共和国国务院办公厅国办函[1987]14号</w:t>
      </w:r>
    </w:p>
    <w:p w14:paraId="4F53074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基金托管业务批准文号：中国证监会证监基字[2004]125号</w:t>
      </w:r>
    </w:p>
    <w:p w14:paraId="3F4C28E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联系人：中信银行资产托管部</w:t>
      </w:r>
    </w:p>
    <w:p w14:paraId="67C92F0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联系电话：4006800000</w:t>
      </w:r>
    </w:p>
    <w:p w14:paraId="2C1D2F7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76B232C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客服电话：95558</w:t>
      </w:r>
    </w:p>
    <w:p w14:paraId="2D53F57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14:paraId="08FD583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7A2DD20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本行成立于1987年，是中国改革开放中最早成立的新兴商业银行之一，是中国最早参与国内外金融市场融资的商业银行，并以屡创中国现代金融史上多个第一而</w:t>
      </w:r>
      <w:r>
        <w:rPr>
          <w:rFonts w:ascii="宋体" w:hAnsi="宋体"/>
          <w:sz w:val="24"/>
        </w:rPr>
        <w:lastRenderedPageBreak/>
        <w:t>蜚声海内外，为中国经济建设做出了积极贡献。2007年4月，本行实现在上海证券交易所和香港联合交易所A+H股同步上市。</w:t>
      </w:r>
    </w:p>
    <w:p w14:paraId="4ADE47A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以建设成为“有担当、有温度、有特色、有价值”的最佳综合金融服务提供者为发展愿景，充分发挥中信集团“金融+实业”综合平台优势，坚持“以客为尊、改革推动、科技兴行、轻型发展、合规经营、人才强行”，向企业客户和机构客户提供公司银行业务、国际业务、金融市场业务、机构业务、投资银行业务、交易银行业务、托管业务等综合金融解决方案，向个人客户提供零售银行、信用卡、消费金融、财富管理、私人银行、出国金融、电子银行等多元化金融产品及服务，全方位满足企业、机构及个人客户的综合金融服务需求。</w:t>
      </w:r>
    </w:p>
    <w:p w14:paraId="4C6FC30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2021年末，本行在国内153个大中城市设有1,415家营业网点，在境内外下设中信国际金融控股有限公司、信银（香港）投资有限公司、中信金融租赁有限公司、信银理财有限责任公司、中信百信银行股份有限公司、阿尔金银行和浙江临安中信村镇银行股份有限公司7家附属机构。其中，中信国际金融控股有限公司子公司中信银行（国际）在香港、澳门、纽约、洛杉矶、新加坡和中国内地设有32家营业网点和2家商务中心。信银（香港）投资有限公司在香港和境内设有3家子公司。信银理财有限责任公司为本行全资理财子公司。中信百信银行股份有限公司为本行与百度公司发起设立的国内首家具有独立法人资格直销银行。阿尔金银行在哈萨克斯坦设有7家营业网点和1个私人银行中心。</w:t>
      </w:r>
    </w:p>
    <w:p w14:paraId="769A034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坚持服务实体经济，稳健经营，与时俱进。经过30余年的发展，本行已成为一家总资产规模超8万亿元、员工人数近6万名，具有强大综合实力和品牌竞争力的金融集团。2021年，本行在英国《银行家》杂志“全球银行品牌500强排行榜”中排名第16位；本行一级资本在英国《银行家》杂志“世界1000家银行排名”中排名第24位。</w:t>
      </w:r>
    </w:p>
    <w:p w14:paraId="0D7D119E"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（二）主要人员情况</w:t>
      </w:r>
    </w:p>
    <w:p w14:paraId="121984E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方合英先生，中信银行执行董事、行长兼财务总监。方先生于2018年9月加入中信银行董事会。方先生自2014年8月起任中信银行党委委员，2014年11月起任中信银行副行长，2017年1月起兼任中信银行财务总监，2019年2月起任中信银行党委副书记。方先生现同时担任信银（香港）投资有限公司、中信银行（国际）有限公司及中信国际金融控股有限公司董事。此前，方先生于2013年5月至2015年1月任中信银行金融市场业务总监，2014年5月至2014年9月兼任中信银行杭州分行党委书</w:t>
      </w:r>
      <w:r>
        <w:rPr>
          <w:rFonts w:ascii="宋体" w:hAnsi="宋体"/>
          <w:sz w:val="24"/>
        </w:rPr>
        <w:lastRenderedPageBreak/>
        <w:t>记、行长；2007年3月至2013年5月任中信银行苏州分行党委书记、行长；2003年9月至2007年3月历任中信银行杭州分行行长助理、党委委员、副行长；1996年12月至2003年9月在中信银行杭州分行工作，历任信贷部科长、副总经理，富阳支行行长、党组书记，国际结算部副总经理，零售业务部副总经理，营业部总经理；1996年7月至1996年12月任浦东发展银行杭州城东办事处副主任；1992年12月至1996年7月在浙江银行学校实验城市信用社信贷部工作，历任信贷员、经理、总经理助理；1991年7月至1992年12月在浙江银行学校任教师。方先生为高级经济师，毕业于北京大学，获高级管理人员工商管理硕士学位，拥有二十余年中国银行业从业经验。</w:t>
      </w:r>
    </w:p>
    <w:p w14:paraId="780BAB9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志斌先生，中信银行副行长，分管托管业务。谢先生自2019年6月起担任中信银行副行长，自2019年2月起担任中信银行党委委员。此前，谢先生于2015年7月至2019年1月任中国光大集团股份公司纪委书记、党委委员。2012年3月至2015年7月任中国出口信用保险公司总经理助理，期间于2014年1月至2015年7月挂职任内蒙古自治区呼和浩特市委常委、副市长。2011年3月至2012年3月任中国出口信用保险公司党委委员、总经理助理。2001年10月至2011年3月历任中国出口信用保险公司人力资源部职员、总经理助理、副总经理、总经理（党委组织部部长助理、副部长、部长），深圳分公司党委书记，河北省分公司负责人、党委书记、总经理。1991年7月至2001年10月历任中国人民保险公司科员、主任科员、副处长。谢先生为经济师，毕业于中国人民大学，获经济学博士学位。</w:t>
      </w:r>
    </w:p>
    <w:p w14:paraId="72C1AED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杨璋琪先生，中信银行资产托管部总经理，硕士研究生学历。杨先生2018年1月至2019年3月，任中信银行金融同业部副总经理；2015年5月至2018年1月，任中信银行长春分行副行长；2013年4月至2015年5月，任中信银行机构业务部总经理助理；1996年7月至2013年4月，就职于中信银行北京分行（原总行营业部），历任支行行长、投资银行部总经理、贸易金融部总经理。</w:t>
      </w:r>
    </w:p>
    <w:p w14:paraId="0B5E68B9"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14:paraId="3FE42E3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2004 年8 月18 日，中信银行经中国证券监督管理委员会和中国银行业监督管理委员会批准，取得基金托管人资格。中信银行本着“诚实信用、勤勉尽责”的原则，切实履行托管人职责。</w:t>
      </w:r>
    </w:p>
    <w:p w14:paraId="2FCEBA5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截至2022年三季度末，中信银行托管304只公开募集证券投资基金，以及基金公司、证券公司资产管理产品、信托产品、企业年金、股权基金、QDII等其他托管资产，托管总规模达到13.2万亿元人民币。</w:t>
      </w:r>
    </w:p>
    <w:p w14:paraId="28D08AAE"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（四）基金托管人的内部控制制度</w:t>
      </w:r>
    </w:p>
    <w:p w14:paraId="6365099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362D60D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05E8C51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4DDCD00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2B266960"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14:paraId="7BA55BD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11C2453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64E71D15"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153AC5D" w14:textId="77777777" w:rsidR="004C65FB" w:rsidRDefault="00795CC3">
      <w:pPr>
        <w:pStyle w:val="1"/>
        <w:snapToGrid w:val="0"/>
        <w:spacing w:beforeLines="0" w:before="240" w:after="240"/>
        <w:rPr>
          <w:rFonts w:ascii="宋体" w:hAnsi="宋体"/>
          <w:szCs w:val="30"/>
        </w:rPr>
      </w:pPr>
      <w:bookmarkStart w:id="7" w:name="_Toc119586513"/>
      <w:r>
        <w:rPr>
          <w:rFonts w:ascii="Times New Roman" w:hAnsi="Times New Roman"/>
          <w:sz w:val="30"/>
        </w:rPr>
        <w:lastRenderedPageBreak/>
        <w:t>五、相关服务机构</w:t>
      </w:r>
      <w:bookmarkEnd w:id="7"/>
    </w:p>
    <w:p w14:paraId="5208175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1B736CB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361EB71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本基金直销机构仅包括本基金管理人直销柜台。</w:t>
      </w:r>
    </w:p>
    <w:p w14:paraId="5361FA6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70D09C4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E0865F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733BF56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E42D10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445ACF2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6AC975B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DB6AF7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747595E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5E03E76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56D12E43" w14:textId="0567B940"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投资者可以通过本基金管理人直销柜台办理开户、本基金A类基金份额及E类基金份额的申购、赎回、转换以及定期定额投资等业务。</w:t>
      </w:r>
    </w:p>
    <w:p w14:paraId="31E8A3F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1EFABA3C" w14:textId="2B06E42F" w:rsidR="008E15D5" w:rsidRPr="00F84253" w:rsidRDefault="00F84253" w:rsidP="008E15D5">
      <w:pPr>
        <w:autoSpaceDE w:val="0"/>
        <w:autoSpaceDN w:val="0"/>
        <w:adjustRightInd w:val="0"/>
        <w:snapToGrid w:val="0"/>
        <w:spacing w:line="360" w:lineRule="auto"/>
        <w:ind w:firstLineChars="200" w:firstLine="480"/>
        <w:jc w:val="left"/>
        <w:rPr>
          <w:rFonts w:ascii="宋体" w:hAnsi="宋体"/>
          <w:sz w:val="24"/>
        </w:rPr>
      </w:pPr>
      <w:r w:rsidRPr="00F84253">
        <w:rPr>
          <w:rFonts w:ascii="宋体" w:hAnsi="宋体" w:hint="eastAsia"/>
          <w:sz w:val="24"/>
        </w:rPr>
        <w:t>本基金A类基金份额和E类基金份额除直销机构外的其他销售机构：</w:t>
      </w:r>
      <w:r w:rsidRPr="00D0717A" w:rsidDel="00F84253">
        <w:rPr>
          <w:rFonts w:ascii="宋体" w:hAnsi="宋体" w:hint="eastAsia"/>
          <w:sz w:val="24"/>
        </w:rPr>
        <w:t xml:space="preserve"> </w:t>
      </w:r>
    </w:p>
    <w:p w14:paraId="44E8377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（1）名称：昆仑银行股份有限公司</w:t>
      </w:r>
    </w:p>
    <w:p w14:paraId="1BA3C0A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注册地址：新疆克拉玛依市世纪大道7号</w:t>
      </w:r>
    </w:p>
    <w:p w14:paraId="7423390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办公地址：北京市西城区金融大街1号金亚光大厦B座</w:t>
      </w:r>
    </w:p>
    <w:p w14:paraId="0650E59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邮政编码：100033</w:t>
      </w:r>
    </w:p>
    <w:p w14:paraId="6884B67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法定代表人：闫宏</w:t>
      </w:r>
    </w:p>
    <w:p w14:paraId="46598AB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电话：010-89026561</w:t>
      </w:r>
    </w:p>
    <w:p w14:paraId="742B55E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传真：010-89025405</w:t>
      </w:r>
    </w:p>
    <w:p w14:paraId="3D8AC34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联系人：陈宇良</w:t>
      </w:r>
    </w:p>
    <w:p w14:paraId="0F723E2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客户服务电话：400-669-6569</w:t>
      </w:r>
    </w:p>
    <w:p w14:paraId="2CC7435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网址：www.klb.cn</w:t>
      </w:r>
    </w:p>
    <w:p w14:paraId="736E82D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（2）名称：交通银行股份有限公司</w:t>
      </w:r>
    </w:p>
    <w:p w14:paraId="719F75E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住所：上海市浦东新区银城中路188号</w:t>
      </w:r>
    </w:p>
    <w:p w14:paraId="0D7C324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70A0DF1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669C9D9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2156E1C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1D2172E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2741E44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25E05CC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2B53187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（3）名称：宁波银行股份有限公司</w:t>
      </w:r>
    </w:p>
    <w:p w14:paraId="2DDEDB4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598F46A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6895506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433B397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521787B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6BBDF48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715BE89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6DF5DB9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（4）名称：招商银行股份有限公司</w:t>
      </w:r>
    </w:p>
    <w:p w14:paraId="0BF7074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1EDE0DC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47C3318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264F142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42C40FE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76A2E98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62E6E83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4F677B1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4FEA1DE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（5）名称：西部证券股份有限公司</w:t>
      </w:r>
    </w:p>
    <w:p w14:paraId="638962F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14:paraId="28A6348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14:paraId="0B39417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14:paraId="2E91045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14:paraId="0C613BF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w:t>
      </w:r>
    </w:p>
    <w:p w14:paraId="0946B7A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14:paraId="78FFF5E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14:paraId="0E898B4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14:paraId="4DB07C5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（6）名称：五矿证券有限公司</w:t>
      </w:r>
    </w:p>
    <w:p w14:paraId="069F81E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住所：深圳市福田区金田路4028号荣超经贸中心47层</w:t>
      </w:r>
    </w:p>
    <w:p w14:paraId="30485D4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法定代表人：赵立功</w:t>
      </w:r>
    </w:p>
    <w:p w14:paraId="632E5FA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公司客服电话：400180028</w:t>
      </w:r>
    </w:p>
    <w:p w14:paraId="0517753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传真号：075582545500</w:t>
      </w:r>
    </w:p>
    <w:p w14:paraId="6FF95F2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网址：www.wkzq.com.cn</w:t>
      </w:r>
    </w:p>
    <w:p w14:paraId="4CC44BA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（7）名称：中国银河证券股份有限公司</w:t>
      </w:r>
    </w:p>
    <w:p w14:paraId="2196786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14:paraId="2496704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14:paraId="3A5EDBC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14:paraId="6421C4F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14:paraId="7E8E44F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14:paraId="32F8C6F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14:paraId="0CF6E38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14:paraId="76828E8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（8）名称：广发证券股份有限公司</w:t>
      </w:r>
    </w:p>
    <w:p w14:paraId="09A3840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610CBB0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4071295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504B778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7A351AC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62505E7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4044DAE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2C8F1B2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0910657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（9）名称：国信证券股份有限公司</w:t>
      </w:r>
    </w:p>
    <w:p w14:paraId="5511E4C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2A821F2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5CF2D15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法定代表人：何如</w:t>
      </w:r>
    </w:p>
    <w:p w14:paraId="6A57030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14:paraId="271CE5E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14:paraId="1AABF8F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14:paraId="527B5B8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6173E3B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35F31BB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（10）名称：上海基煜基金销售有限公司</w:t>
      </w:r>
    </w:p>
    <w:p w14:paraId="4A7A7B6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57DD861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686E38D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678735B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4924B4B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2036181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5646FFF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7CD7CB1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7D96984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（11）名称：上海天天基金销售有限公司</w:t>
      </w:r>
    </w:p>
    <w:p w14:paraId="155BD54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7F129CC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0816364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572DC29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118E476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1A556D7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5A55598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17586E1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3683CD8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（12）名称：蚂蚁（杭州）基金销售有限公司</w:t>
      </w:r>
    </w:p>
    <w:p w14:paraId="7970B33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7397685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128BCAD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17F2961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5073E7D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客户服务电话：95188-8</w:t>
      </w:r>
    </w:p>
    <w:p w14:paraId="0991D88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3B2CA07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（13）名称：江苏汇林保大基金销售有限公司</w:t>
      </w:r>
    </w:p>
    <w:p w14:paraId="3A13CA0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14:paraId="2439F9C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14:paraId="5F3050E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14:paraId="5B9DD48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14:paraId="50EE90D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14:paraId="6B3652A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14:paraId="1E0CC6E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14:paraId="6B3657D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14:paraId="1ED5A6F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（14）名称：珠海盈米财富管理有限公司</w:t>
      </w:r>
    </w:p>
    <w:p w14:paraId="0573C20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44E74E0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78A920F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0B623C9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52BBEBD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0E534F4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2D161FA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44C92BF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74A8D54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（15）名称：中国人寿保险股份有限公司</w:t>
      </w:r>
    </w:p>
    <w:p w14:paraId="0C0B259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14:paraId="22ADE43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14:paraId="04186A4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14:paraId="37B1A89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14:paraId="359C91C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14:paraId="5292381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（16）名称：北京汇成基金销售有限公司</w:t>
      </w:r>
    </w:p>
    <w:p w14:paraId="4E7FBE2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15AE9D3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66D0E4B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76E26B9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电话：（010）56282140</w:t>
      </w:r>
    </w:p>
    <w:p w14:paraId="67463B0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0C54286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139DF61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2DF6BCE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6DBAB18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（17）名称：大连网金基金销售有限公司</w:t>
      </w:r>
    </w:p>
    <w:p w14:paraId="2E3880C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48B1F15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6D8491A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11D3FDC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0CBC3E0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2CA4278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308D142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2F49DE4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3FE1FF2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（18）名称：北京肯特瑞基金销售有限公司</w:t>
      </w:r>
    </w:p>
    <w:p w14:paraId="5C07149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16AE14B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2F5D6FD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2E998B1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537AADD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246C67A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6DD0406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6942F8F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495533C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（19）名称：奕丰基金销售有限公司</w:t>
      </w:r>
    </w:p>
    <w:p w14:paraId="64B1422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7F437D4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5B28EB1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4BCFF8D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048968D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传真：（0755）21674453</w:t>
      </w:r>
    </w:p>
    <w:p w14:paraId="268867D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5A0535A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14E7C2C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1A28ED5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（20）名称：泛华普益基金销售有限公司</w:t>
      </w:r>
    </w:p>
    <w:p w14:paraId="2F27002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063D72D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7E6B956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0050189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1BCD2AD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28F1FC0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14:paraId="665DC8E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36F0CFC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4F61112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（21）名称：北京雪球基金销售有限公司</w:t>
      </w:r>
    </w:p>
    <w:p w14:paraId="59DB5CD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4F86220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67D4A35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638BF66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0B79DD6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5D2EE95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6BBBA32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186EC72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6CDA7DE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（22）名称：上海联泰基金销售有限公司</w:t>
      </w:r>
    </w:p>
    <w:p w14:paraId="151DE2B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3690270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5336247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5F22AD4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505F06F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689A063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77ED74C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6BA6A9D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网址：www.66zichan.com</w:t>
      </w:r>
    </w:p>
    <w:p w14:paraId="73CFC24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（23）名称：和耕传承基金销售有限公司</w:t>
      </w:r>
    </w:p>
    <w:p w14:paraId="045CF7C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7D9A935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2E1348B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34D9AC1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1DAAA6E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36D18B2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1FD49A4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3A2F95B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4E8EA9D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（24）名称：北京度小满基金销售有限公司</w:t>
      </w:r>
    </w:p>
    <w:p w14:paraId="5215ED8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2E4620C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5363FF6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3E4A0A7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397FDD8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796278A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51BAAA9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012FC85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www.baiyingfund.com</w:t>
      </w:r>
    </w:p>
    <w:p w14:paraId="2126594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（25）名称：北京创金启富基金销售有限公司</w:t>
      </w:r>
    </w:p>
    <w:p w14:paraId="573BA2D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25E2808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7D69DDE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617415A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3D7097C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237C099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688873D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55D1E43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702CE04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（26）名称：阳光人寿保险股份有限公司</w:t>
      </w:r>
    </w:p>
    <w:p w14:paraId="04A4FCE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住所：海南省三亚市迎宾路360-1号三亚阳光金融广场16层</w:t>
      </w:r>
    </w:p>
    <w:p w14:paraId="48860B9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14:paraId="5977A77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14:paraId="5E60C45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14:paraId="41583ED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14:paraId="716F17F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14:paraId="4DF74D7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14:paraId="236406C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14:paraId="4F64E8B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（27）名称：上海长量基金销售投资顾问有限公司</w:t>
      </w:r>
    </w:p>
    <w:p w14:paraId="6D41A2C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0A0F944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12B725C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17321F6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78EBD53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0A6053B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2C77483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7719AE6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2F43C7F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（28）名称：上海好买基金销售有限公司</w:t>
      </w:r>
    </w:p>
    <w:p w14:paraId="565BD50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1C09510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2C7561D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2E36493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73A3CF5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6E555EC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5C22821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43295765" w14:textId="773A6D71" w:rsidR="008E15D5" w:rsidRPr="00D0717A" w:rsidRDefault="008E15D5" w:rsidP="008E15D5">
      <w:pPr>
        <w:autoSpaceDE w:val="0"/>
        <w:autoSpaceDN w:val="0"/>
        <w:adjustRightInd w:val="0"/>
        <w:snapToGrid w:val="0"/>
        <w:spacing w:line="360" w:lineRule="auto"/>
        <w:ind w:firstLineChars="200" w:firstLine="480"/>
        <w:jc w:val="left"/>
        <w:rPr>
          <w:rFonts w:ascii="宋体" w:hAnsi="宋体"/>
          <w:sz w:val="24"/>
        </w:rPr>
      </w:pPr>
      <w:r w:rsidRPr="00D0717A">
        <w:rPr>
          <w:rFonts w:ascii="宋体" w:hAnsi="宋体" w:hint="eastAsia"/>
          <w:sz w:val="24"/>
        </w:rPr>
        <w:t>本基金C类基金份额</w:t>
      </w:r>
      <w:r w:rsidR="00A84E15">
        <w:rPr>
          <w:rFonts w:ascii="宋体" w:hAnsi="宋体" w:hint="eastAsia"/>
          <w:sz w:val="24"/>
        </w:rPr>
        <w:t>的</w:t>
      </w:r>
      <w:r w:rsidRPr="00D0717A">
        <w:rPr>
          <w:rFonts w:ascii="宋体" w:hAnsi="宋体" w:hint="eastAsia"/>
          <w:sz w:val="24"/>
        </w:rPr>
        <w:t>销售机构：</w:t>
      </w:r>
    </w:p>
    <w:p w14:paraId="4CB5E1C9" w14:textId="496BEE6A" w:rsidR="008E15D5" w:rsidRPr="008E15D5" w:rsidRDefault="008E15D5" w:rsidP="008E15D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147272">
        <w:rPr>
          <w:rFonts w:ascii="宋体" w:hAnsi="宋体" w:hint="eastAsia"/>
          <w:sz w:val="24"/>
        </w:rPr>
        <w:t>1</w:t>
      </w:r>
      <w:r>
        <w:rPr>
          <w:rFonts w:ascii="宋体" w:hAnsi="宋体" w:hint="eastAsia"/>
          <w:sz w:val="24"/>
        </w:rPr>
        <w:t>)</w:t>
      </w:r>
      <w:r w:rsidRPr="008E15D5">
        <w:rPr>
          <w:rFonts w:ascii="宋体" w:hAnsi="宋体" w:hint="eastAsia"/>
          <w:sz w:val="24"/>
        </w:rPr>
        <w:t>名称：蚂蚁（杭州）基金销售有限公司</w:t>
      </w:r>
    </w:p>
    <w:p w14:paraId="78A3BFAC" w14:textId="77777777" w:rsidR="008E15D5" w:rsidRPr="008E15D5" w:rsidRDefault="008E15D5" w:rsidP="008E15D5">
      <w:pPr>
        <w:autoSpaceDE w:val="0"/>
        <w:autoSpaceDN w:val="0"/>
        <w:adjustRightInd w:val="0"/>
        <w:snapToGrid w:val="0"/>
        <w:spacing w:line="360" w:lineRule="auto"/>
        <w:ind w:firstLineChars="200" w:firstLine="480"/>
        <w:jc w:val="left"/>
        <w:rPr>
          <w:rFonts w:ascii="宋体" w:hAnsi="宋体"/>
          <w:sz w:val="24"/>
        </w:rPr>
      </w:pPr>
      <w:r w:rsidRPr="008E15D5">
        <w:rPr>
          <w:rFonts w:ascii="宋体" w:hAnsi="宋体" w:hint="eastAsia"/>
          <w:sz w:val="24"/>
        </w:rPr>
        <w:t>住所：浙江省杭州市余杭区五常街道文一西路969号3幢5层599室</w:t>
      </w:r>
    </w:p>
    <w:p w14:paraId="3CFD19A7" w14:textId="77777777" w:rsidR="008E15D5" w:rsidRPr="008E15D5" w:rsidRDefault="008E15D5" w:rsidP="008E15D5">
      <w:pPr>
        <w:autoSpaceDE w:val="0"/>
        <w:autoSpaceDN w:val="0"/>
        <w:adjustRightInd w:val="0"/>
        <w:snapToGrid w:val="0"/>
        <w:spacing w:line="360" w:lineRule="auto"/>
        <w:ind w:firstLineChars="200" w:firstLine="480"/>
        <w:jc w:val="left"/>
        <w:rPr>
          <w:rFonts w:ascii="宋体" w:hAnsi="宋体"/>
          <w:sz w:val="24"/>
        </w:rPr>
      </w:pPr>
      <w:r w:rsidRPr="008E15D5">
        <w:rPr>
          <w:rFonts w:ascii="宋体" w:hAnsi="宋体" w:hint="eastAsia"/>
          <w:sz w:val="24"/>
        </w:rPr>
        <w:t>办公地址：浙江省杭州市西湖区西溪路556号</w:t>
      </w:r>
    </w:p>
    <w:p w14:paraId="54CDF25C" w14:textId="77777777" w:rsidR="008E15D5" w:rsidRPr="008E15D5" w:rsidRDefault="008E15D5" w:rsidP="008E15D5">
      <w:pPr>
        <w:autoSpaceDE w:val="0"/>
        <w:autoSpaceDN w:val="0"/>
        <w:adjustRightInd w:val="0"/>
        <w:snapToGrid w:val="0"/>
        <w:spacing w:line="360" w:lineRule="auto"/>
        <w:ind w:firstLineChars="200" w:firstLine="480"/>
        <w:jc w:val="left"/>
        <w:rPr>
          <w:rFonts w:ascii="宋体" w:hAnsi="宋体"/>
          <w:sz w:val="24"/>
        </w:rPr>
      </w:pPr>
      <w:r w:rsidRPr="008E15D5">
        <w:rPr>
          <w:rFonts w:ascii="宋体" w:hAnsi="宋体" w:hint="eastAsia"/>
          <w:sz w:val="24"/>
        </w:rPr>
        <w:t>法定代表人：王珺</w:t>
      </w:r>
    </w:p>
    <w:p w14:paraId="7BD79354" w14:textId="77777777" w:rsidR="008E15D5" w:rsidRPr="008E15D5" w:rsidRDefault="008E15D5" w:rsidP="008E15D5">
      <w:pPr>
        <w:autoSpaceDE w:val="0"/>
        <w:autoSpaceDN w:val="0"/>
        <w:adjustRightInd w:val="0"/>
        <w:snapToGrid w:val="0"/>
        <w:spacing w:line="360" w:lineRule="auto"/>
        <w:ind w:firstLineChars="200" w:firstLine="480"/>
        <w:jc w:val="left"/>
        <w:rPr>
          <w:rFonts w:ascii="宋体" w:hAnsi="宋体"/>
          <w:sz w:val="24"/>
        </w:rPr>
      </w:pPr>
      <w:r w:rsidRPr="008E15D5">
        <w:rPr>
          <w:rFonts w:ascii="宋体" w:hAnsi="宋体" w:hint="eastAsia"/>
          <w:sz w:val="24"/>
        </w:rPr>
        <w:lastRenderedPageBreak/>
        <w:t>联系人：韩爱彬</w:t>
      </w:r>
    </w:p>
    <w:p w14:paraId="183BEA8A" w14:textId="77777777" w:rsidR="008E15D5" w:rsidRPr="008E15D5" w:rsidRDefault="008E15D5" w:rsidP="008E15D5">
      <w:pPr>
        <w:autoSpaceDE w:val="0"/>
        <w:autoSpaceDN w:val="0"/>
        <w:adjustRightInd w:val="0"/>
        <w:snapToGrid w:val="0"/>
        <w:spacing w:line="360" w:lineRule="auto"/>
        <w:ind w:firstLineChars="200" w:firstLine="480"/>
        <w:jc w:val="left"/>
        <w:rPr>
          <w:rFonts w:ascii="宋体" w:hAnsi="宋体"/>
          <w:sz w:val="24"/>
        </w:rPr>
      </w:pPr>
      <w:r w:rsidRPr="008E15D5">
        <w:rPr>
          <w:rFonts w:ascii="宋体" w:hAnsi="宋体" w:hint="eastAsia"/>
          <w:sz w:val="24"/>
        </w:rPr>
        <w:t>客户服务电话：95188-8</w:t>
      </w:r>
    </w:p>
    <w:p w14:paraId="3048312A" w14:textId="4DA16EB3" w:rsidR="008E15D5" w:rsidRPr="008E15D5" w:rsidRDefault="008E15D5" w:rsidP="008E15D5">
      <w:pPr>
        <w:autoSpaceDE w:val="0"/>
        <w:autoSpaceDN w:val="0"/>
        <w:adjustRightInd w:val="0"/>
        <w:snapToGrid w:val="0"/>
        <w:spacing w:line="360" w:lineRule="auto"/>
        <w:ind w:firstLineChars="200" w:firstLine="480"/>
        <w:jc w:val="left"/>
        <w:rPr>
          <w:rFonts w:ascii="宋体" w:hAnsi="宋体"/>
          <w:sz w:val="24"/>
        </w:rPr>
      </w:pPr>
      <w:r w:rsidRPr="008E15D5">
        <w:rPr>
          <w:rFonts w:ascii="宋体" w:hAnsi="宋体" w:hint="eastAsia"/>
          <w:sz w:val="24"/>
        </w:rPr>
        <w:t>网址：www.fund123.cn</w:t>
      </w:r>
    </w:p>
    <w:p w14:paraId="32E48471" w14:textId="4322FCC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基金管理人可根据有关法律法规的要求，选择其它符合要求的机构销售本基金，并及时公告。</w:t>
      </w:r>
    </w:p>
    <w:p w14:paraId="03B9BAB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073CEC4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740310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4A6F62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14:paraId="143EDB2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4A69AFC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电话：（021）61055097</w:t>
      </w:r>
    </w:p>
    <w:p w14:paraId="5389F60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14:paraId="6EB0715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联系人：单江</w:t>
      </w:r>
    </w:p>
    <w:p w14:paraId="01F8E7A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44DCC65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64B2DAE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3C8540E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5F17244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15D85DA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288E055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6B70D35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6268BBE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66FD33C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1AB94A1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515C2F8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住所：中国(上海)自由贸易试验区陆家嘴环路1318号星展银行大厦507单元01室</w:t>
      </w:r>
    </w:p>
    <w:p w14:paraId="5898C38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14:paraId="77912E2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17A4D63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29BB485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10D1E55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联系人：金诗涛</w:t>
      </w:r>
    </w:p>
    <w:p w14:paraId="5F5881B0" w14:textId="178573CD"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w:t>
      </w:r>
      <w:r w:rsidR="00743290" w:rsidRPr="00B31FDF">
        <w:rPr>
          <w:rFonts w:ascii="宋体" w:hAnsi="宋体" w:hint="eastAsia"/>
          <w:sz w:val="24"/>
        </w:rPr>
        <w:t>沈兆杰</w:t>
      </w:r>
      <w:r>
        <w:rPr>
          <w:rFonts w:ascii="宋体" w:hAnsi="宋体"/>
          <w:sz w:val="24"/>
        </w:rPr>
        <w:t>、金诗涛</w:t>
      </w:r>
    </w:p>
    <w:p w14:paraId="61742E87"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129D8F8" w14:textId="77777777" w:rsidR="004C65FB" w:rsidRDefault="00795CC3">
      <w:pPr>
        <w:pStyle w:val="1"/>
        <w:snapToGrid w:val="0"/>
        <w:spacing w:beforeLines="0" w:before="240" w:after="240"/>
        <w:rPr>
          <w:rFonts w:ascii="宋体" w:hAnsi="宋体"/>
          <w:szCs w:val="30"/>
        </w:rPr>
      </w:pPr>
      <w:bookmarkStart w:id="8" w:name="_Toc119586514"/>
      <w:r>
        <w:rPr>
          <w:rFonts w:ascii="Times New Roman" w:hAnsi="Times New Roman"/>
          <w:sz w:val="30"/>
        </w:rPr>
        <w:lastRenderedPageBreak/>
        <w:t>六、基金的募集</w:t>
      </w:r>
      <w:bookmarkEnd w:id="8"/>
    </w:p>
    <w:p w14:paraId="7D75797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本基金由基金管理人依照《基金法》、《运作办法》、《销售办法》、基金合同及其他有关规定，并经中国证监会2016年5月24日证监许可[2016] 1106号文准予募集注册。</w:t>
      </w:r>
    </w:p>
    <w:p w14:paraId="1EC175C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本基金为契约性开放式货币市场基金。基金存续期间为不定期。</w:t>
      </w:r>
    </w:p>
    <w:p w14:paraId="7ECFA83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7F74E87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本基金自2016年9月20日至2016年10月13日进行发售，本基金设立募集期共募集500,103,275.90份基金份额，有效认购户数为295户。</w:t>
      </w:r>
    </w:p>
    <w:p w14:paraId="43064C88"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3B2E5A1" w14:textId="77777777" w:rsidR="004C65FB" w:rsidRDefault="00795CC3">
      <w:pPr>
        <w:pStyle w:val="1"/>
        <w:snapToGrid w:val="0"/>
        <w:spacing w:beforeLines="0" w:before="240" w:after="240"/>
        <w:rPr>
          <w:rFonts w:ascii="宋体" w:hAnsi="宋体"/>
          <w:szCs w:val="30"/>
        </w:rPr>
      </w:pPr>
      <w:bookmarkStart w:id="9" w:name="_Toc119586515"/>
      <w:r>
        <w:rPr>
          <w:rFonts w:ascii="Times New Roman" w:hAnsi="Times New Roman"/>
          <w:sz w:val="30"/>
        </w:rPr>
        <w:lastRenderedPageBreak/>
        <w:t>七、基金合同的生效</w:t>
      </w:r>
      <w:bookmarkEnd w:id="9"/>
    </w:p>
    <w:p w14:paraId="612044B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根据有关规定，本基金满足基金合同生效条件，基金合同已于2016年10月19日正式生效。自基金合同生效之日起，本基金管理人正式开始管理本基金。</w:t>
      </w:r>
    </w:p>
    <w:p w14:paraId="2DF97B5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当向中国证监会报告并提出解决方案，如转换运作方式、与其他基金合并或者终止基金合同等，并召开基金份额持有人大会进行表决。</w:t>
      </w:r>
    </w:p>
    <w:p w14:paraId="56FDCEC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14:paraId="61F1E8FA"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883AC5E" w14:textId="77777777" w:rsidR="004C65FB" w:rsidRDefault="00795CC3">
      <w:pPr>
        <w:pStyle w:val="1"/>
        <w:snapToGrid w:val="0"/>
        <w:spacing w:beforeLines="0" w:before="240" w:after="240"/>
        <w:rPr>
          <w:rFonts w:ascii="宋体" w:hAnsi="宋体"/>
          <w:szCs w:val="30"/>
        </w:rPr>
      </w:pPr>
      <w:bookmarkStart w:id="10" w:name="_Toc119586516"/>
      <w:r>
        <w:rPr>
          <w:rFonts w:ascii="Times New Roman" w:hAnsi="Times New Roman"/>
          <w:sz w:val="30"/>
        </w:rPr>
        <w:lastRenderedPageBreak/>
        <w:t>八、基金份额的申购与赎回</w:t>
      </w:r>
      <w:bookmarkEnd w:id="10"/>
    </w:p>
    <w:p w14:paraId="0E785B0F"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14:paraId="3A49F7C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42B4A43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270D31B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本基金直销机构仅包括基金管理人直销柜台。</w:t>
      </w:r>
    </w:p>
    <w:p w14:paraId="403921D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AD4A95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B72810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72CD739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4ED9282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7BE70D9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6A01C32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60A9ADD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687E69FE" w14:textId="4FF9F972"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投资者可以通过本基金管理人直销柜台办理开户、本基金A类及E类基金份额的申购、赎回、转换、定期定额投资等业务。</w:t>
      </w:r>
    </w:p>
    <w:p w14:paraId="54B5162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2、除基金管理人之外其他销售机构</w:t>
      </w:r>
    </w:p>
    <w:p w14:paraId="421FD10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本基金除基金管理人之外的其他销售机构参见本招募说明书“五、相关服务机构”章节或拨打基金管理人客户服务电话进行咨询。</w:t>
      </w:r>
    </w:p>
    <w:p w14:paraId="59A3B55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投资人可通过上述销售机构办理基金申购、赎回、转换业务的营业场所或按上述销售机构提供的其他方式进行申购、赎回或转换。本基金管理人可根据情况变更或增减基金销售机构，并在管理人网站公示。</w:t>
      </w:r>
    </w:p>
    <w:p w14:paraId="7871A23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若销售机构开通电话、传真或网上等交易方式，投资人可以通过上述方式进行申购与赎回。</w:t>
      </w:r>
    </w:p>
    <w:p w14:paraId="3A69650F"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14:paraId="7856D02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357B807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5DFC467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若出现新的证券交易市场、证券交易所交易时间变更、新的业务发展或其他特</w:t>
      </w:r>
      <w:r>
        <w:rPr>
          <w:rFonts w:ascii="宋体" w:hAnsi="宋体"/>
          <w:sz w:val="24"/>
        </w:rPr>
        <w:lastRenderedPageBreak/>
        <w:t>殊情况，基金管理人将视情况对前述开放日及开放时间进行相应的调整，但应在实施日前依照《信息披露办法》的有关规定在指定媒介上公告。</w:t>
      </w:r>
    </w:p>
    <w:p w14:paraId="32276ED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2DD4D9E5" w14:textId="47C2614E" w:rsidR="004C65FB" w:rsidRDefault="00795CC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364586" w:rsidRPr="00221558">
        <w:rPr>
          <w:rFonts w:ascii="宋体" w:hAnsi="宋体" w:hint="eastAsia"/>
          <w:sz w:val="24"/>
        </w:rPr>
        <w:t>A类基金份额</w:t>
      </w:r>
      <w:r w:rsidR="00364586">
        <w:rPr>
          <w:rFonts w:ascii="宋体" w:hAnsi="宋体" w:hint="eastAsia"/>
          <w:sz w:val="24"/>
        </w:rPr>
        <w:t>和E类基金份额</w:t>
      </w:r>
      <w:r>
        <w:rPr>
          <w:rFonts w:ascii="宋体" w:hAnsi="宋体"/>
          <w:sz w:val="24"/>
        </w:rPr>
        <w:t>已于2016年11月17日起开放申购、赎回业务。</w:t>
      </w:r>
    </w:p>
    <w:p w14:paraId="071BBBDD" w14:textId="05F9FE3F" w:rsidR="00364586" w:rsidRPr="00364586" w:rsidRDefault="00364586" w:rsidP="00364586">
      <w:pPr>
        <w:autoSpaceDE w:val="0"/>
        <w:autoSpaceDN w:val="0"/>
        <w:adjustRightInd w:val="0"/>
        <w:snapToGrid w:val="0"/>
        <w:spacing w:line="360" w:lineRule="auto"/>
        <w:ind w:firstLineChars="200" w:firstLine="480"/>
        <w:jc w:val="left"/>
        <w:rPr>
          <w:rFonts w:ascii="宋体" w:hAnsi="宋体"/>
          <w:szCs w:val="24"/>
        </w:rPr>
      </w:pPr>
      <w:r w:rsidRPr="00F51638">
        <w:rPr>
          <w:rFonts w:ascii="宋体" w:hAnsi="宋体" w:hint="eastAsia"/>
          <w:sz w:val="24"/>
        </w:rPr>
        <w:t>本基金</w:t>
      </w:r>
      <w:r w:rsidRPr="00F51638">
        <w:rPr>
          <w:rFonts w:ascii="宋体" w:hAnsi="宋体"/>
          <w:sz w:val="24"/>
        </w:rPr>
        <w:t>C</w:t>
      </w:r>
      <w:r w:rsidRPr="00F10F2E">
        <w:rPr>
          <w:rFonts w:ascii="宋体" w:hAnsi="宋体"/>
          <w:sz w:val="24"/>
        </w:rPr>
        <w:t>类基金份额</w:t>
      </w:r>
      <w:r w:rsidRPr="00F51638">
        <w:rPr>
          <w:rFonts w:ascii="宋体" w:hAnsi="宋体"/>
          <w:sz w:val="24"/>
        </w:rPr>
        <w:t>于</w:t>
      </w:r>
      <w:r>
        <w:rPr>
          <w:rFonts w:ascii="宋体" w:hAnsi="宋体"/>
          <w:sz w:val="24"/>
        </w:rPr>
        <w:t>2023</w:t>
      </w:r>
      <w:r w:rsidRPr="00F51638">
        <w:rPr>
          <w:rFonts w:ascii="宋体" w:hAnsi="宋体"/>
          <w:sz w:val="24"/>
        </w:rPr>
        <w:t>年</w:t>
      </w:r>
      <w:r w:rsidR="00CD2AD3">
        <w:rPr>
          <w:rFonts w:ascii="宋体" w:hAnsi="宋体"/>
          <w:sz w:val="24"/>
        </w:rPr>
        <w:t>5</w:t>
      </w:r>
      <w:r w:rsidRPr="00F51638">
        <w:rPr>
          <w:rFonts w:ascii="宋体" w:hAnsi="宋体" w:hint="eastAsia"/>
          <w:sz w:val="24"/>
        </w:rPr>
        <w:t>月</w:t>
      </w:r>
      <w:r w:rsidR="00CD2AD3">
        <w:rPr>
          <w:rFonts w:ascii="宋体" w:hAnsi="宋体"/>
          <w:sz w:val="24"/>
        </w:rPr>
        <w:t>25</w:t>
      </w:r>
      <w:r w:rsidRPr="00764661">
        <w:rPr>
          <w:rFonts w:ascii="宋体" w:hAnsi="宋体" w:hint="eastAsia"/>
          <w:sz w:val="24"/>
        </w:rPr>
        <w:t>日起开放</w:t>
      </w:r>
      <w:r w:rsidRPr="00F51638">
        <w:rPr>
          <w:rFonts w:ascii="宋体" w:hAnsi="宋体" w:hint="eastAsia"/>
          <w:sz w:val="24"/>
        </w:rPr>
        <w:t>申购</w:t>
      </w:r>
      <w:r>
        <w:rPr>
          <w:rFonts w:ascii="宋体" w:hAnsi="宋体"/>
          <w:sz w:val="24"/>
        </w:rPr>
        <w:t>、赎回</w:t>
      </w:r>
      <w:r w:rsidRPr="00F51638">
        <w:rPr>
          <w:rFonts w:ascii="宋体" w:hAnsi="宋体" w:hint="eastAsia"/>
          <w:sz w:val="24"/>
        </w:rPr>
        <w:t>业务。</w:t>
      </w:r>
    </w:p>
    <w:p w14:paraId="59B7F63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视为下一开放日的申购、赎回或转换申请。</w:t>
      </w:r>
    </w:p>
    <w:p w14:paraId="016D7586"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（三）申购与赎回的原则</w:t>
      </w:r>
    </w:p>
    <w:p w14:paraId="5F424B7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1、“确定价”原则，即申购、赎回价格以每份基金份额净值为1.00元的基准进行计算；</w:t>
      </w:r>
    </w:p>
    <w:p w14:paraId="0D56713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4841635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3、当日的申购与赎回申请可以在基金管理人规定的时间以内撤销，但申请经登记机构正式受理的不得撤销；</w:t>
      </w:r>
    </w:p>
    <w:p w14:paraId="0F8D6BE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4、基金管理人有权决定基金份额持有人持有本基金的最高限额和本基金的总规模限额，但应最迟在新的限额实施前依照《信息披露办法》的有关规定在指定媒介上公告。</w:t>
      </w:r>
    </w:p>
    <w:p w14:paraId="3F707E1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14:paraId="59A11828"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（四）申购和赎回的程序</w:t>
      </w:r>
    </w:p>
    <w:p w14:paraId="1428A96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76F772F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0E0331F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2B9FE94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30C4425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递交赎回申请，赎回成立；登记机构确认赎回时，赎回生效。投资人赎回申请成功后，基金管理人将在T＋7日（包括该日）内支付赎回款项。在发生巨额赎回时，款项的支付办法参照基金合同有关条款处理。</w:t>
      </w:r>
    </w:p>
    <w:p w14:paraId="7433159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66D0555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14:paraId="6165C9E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14:paraId="18FECB8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1D3C202"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（五）申购和赎回的数额限定</w:t>
      </w:r>
    </w:p>
    <w:p w14:paraId="33C67BC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60874BD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投资者申购A类基金份额</w:t>
      </w:r>
      <w:r w:rsidR="00D97228">
        <w:rPr>
          <w:rFonts w:ascii="宋体" w:hAnsi="宋体" w:hint="eastAsia"/>
          <w:sz w:val="24"/>
        </w:rPr>
        <w:t>和C类基金份额</w:t>
      </w:r>
      <w:r>
        <w:rPr>
          <w:rFonts w:ascii="宋体" w:hAnsi="宋体"/>
          <w:sz w:val="24"/>
        </w:rPr>
        <w:t>的：直销机构首次申购的最低金额为单笔100万元，追加申购的最低金额为单笔10万元；已在直销机构有认购或申购过本基金管理人管理的任一基金（包括本基金）记录的投资者不受首次申购最低金额的限制。本基金直销机构单笔申购最低金额可由基金管理人酌情调整。其他销售机构单笔申购的最低金额为单笔0.01元，如果其他销售机构业务规则规定的最低单笔申购金额高于0.01元，以该销售机构的规定为准。</w:t>
      </w:r>
    </w:p>
    <w:p w14:paraId="4175AA6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投资者申购E类基金份额的：首次申购申请的最低金额为单笔500万元，追加申购的最低金额为单笔10万元。本基金单笔申购最低金额可由基金管理人酌情调整。</w:t>
      </w:r>
    </w:p>
    <w:p w14:paraId="5A174B2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4AABA65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赎回的最低份额为0.01份基金份额，如果销售机构业务规则规定的最低单笔赎回份额高于0.01份，以该销售机构的规定为准。</w:t>
      </w:r>
    </w:p>
    <w:p w14:paraId="3618F26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761940D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每个工作日投资者在单个交易账户保留的本基金份额余额少于0.01份时，若当</w:t>
      </w:r>
      <w:r>
        <w:rPr>
          <w:rFonts w:ascii="宋体" w:hAnsi="宋体"/>
          <w:sz w:val="24"/>
        </w:rPr>
        <w:lastRenderedPageBreak/>
        <w:t>日该账户同时有份额减少类业务（如赎回、转换出等）被确认，则基金管理人有权将投资者在该账户保留的本基金份额一次性全部赎回。</w:t>
      </w:r>
    </w:p>
    <w:p w14:paraId="41D9AB5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根据基金实际运作情况规定单个投资人累计持有的基金份额上限、本基金的总规模上限、当日申购金额上限、或单个投资人当日申购金额上限，并在相关限制实施日前依照《信息披露办法》的有关规定在指定媒介上公告。</w:t>
      </w:r>
    </w:p>
    <w:p w14:paraId="568EC84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5、为保护基金份额持有人的合法权益，基金管理人可以依照相关法律法规以及基金合同的约定，在特定市场条件下暂停或者拒绝接受一定金额以上的资金申购，具体以基金管理人的公告为准。</w:t>
      </w:r>
    </w:p>
    <w:p w14:paraId="3EA7057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2888A73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可在法律法规允许的情况下，调整上述规定申购金额、赎回份额、最低基金份额保留余额和基金总规模等数量限制。基金管理人必须在调整实施前依照《信息披露办法》的有关规定在指定媒介上公告并报中国证监会备案。</w:t>
      </w:r>
    </w:p>
    <w:p w14:paraId="1D843A7B"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（六）申购和赎回的价格、费用及其用途</w:t>
      </w:r>
    </w:p>
    <w:p w14:paraId="74C4556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另有规定或基金合同另有约定外，本基金不收取申购费用和赎回费用；在满足相关流动性风险管理要求的前提下，当本基金持有的现金、国债、中央银行票据、政策性金融债券以及5个交易日内到期的其他金融工具占基金资产净值的比例合计低于5%且偏离度为负时，为确保基金平稳运作，避免诱发系统性风险，基金管理人应当对当日单个基金份额持有人申请赎回基金份额超过基金总份额1%以上的赎回申请征收1%的强制赎回费用，并将上述赎回费用全额计入基金财产，基金管理人与基金托管人协商确认上述做法无益于基金利益最大化的情形除外；</w:t>
      </w:r>
    </w:p>
    <w:p w14:paraId="2B0E212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本基金前10名基金份额持有人的持有份额合计超过基金总份额50%，且本基金投资组合中现金、国债、中央银行票据、政策性金融债券以及5个交易日内到期的其他金融工具占基金资产净值的比例合计低于10%且偏离度为负时，基金管理人应当对当日单个基金份额持有人超过基金总份额1%以上的赎回申请征收1%的强制赎回费用，并将上述赎回费用全额计入基金财产。</w:t>
      </w:r>
    </w:p>
    <w:p w14:paraId="581A6DA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2、本基金通过每日计算收益并分配的方式，使基金份额净值保持在1.00元。本基金的申购、赎回价格为每份基金份额1.00元。</w:t>
      </w:r>
    </w:p>
    <w:p w14:paraId="08EE222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3、申购份额的计算</w:t>
      </w:r>
    </w:p>
    <w:p w14:paraId="32A1BEC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申购份额=申购金额/1.00元</w:t>
      </w:r>
    </w:p>
    <w:p w14:paraId="022105D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申购份额的计算结果保留到小数点后2位，小数点2位以后的部分四舍五入，由此误差产生的收益或损失由基金财产承担。</w:t>
      </w:r>
    </w:p>
    <w:p w14:paraId="47E9639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例一：假定某投资者投资10,000元申购本基金A类基金份额，则其可得到的基金份额计算如下：</w:t>
      </w:r>
    </w:p>
    <w:p w14:paraId="5F9D8B7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申购份额=10,000/1.00=10,000份</w:t>
      </w:r>
    </w:p>
    <w:p w14:paraId="39FB4FC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即投资者投资10,000元申购本基金A类基金份额，可以得到10,000份A类基金份额。</w:t>
      </w:r>
    </w:p>
    <w:p w14:paraId="792F99E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4、赎回金额的计算</w:t>
      </w:r>
    </w:p>
    <w:p w14:paraId="3230C16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赎回金额等于登记机构确认的赎回份额乘以1.00元。投资人提交全额赎回申请时，所有未支付累计净收益将随赎回款项一并结清。</w:t>
      </w:r>
    </w:p>
    <w:p w14:paraId="1378A87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赎回金额的计算结果保留到小数点后2位，小数点2位以后的部分四舍五入，由此误差产生的收益或损失由基金财产承担。</w:t>
      </w:r>
    </w:p>
    <w:p w14:paraId="16E4D15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例二：假定某投资者将所持有的10,000份A类基金份额赎回（非全额赎回），则其可得到的赎回金额计算如下：</w:t>
      </w:r>
    </w:p>
    <w:p w14:paraId="633F380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赎回金额=10,000×1.00=10,000元</w:t>
      </w:r>
    </w:p>
    <w:p w14:paraId="0B55BE2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5、基金管理人可以在基金合同约定的范围内调整费率或收费方式，并最迟应于新的费率或收费方式实施日前依照《信息披露办法》的有关规定在指定媒介上公告。</w:t>
      </w:r>
    </w:p>
    <w:p w14:paraId="736C0AC5"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（七）拒绝或暂停申购的情形</w:t>
      </w:r>
    </w:p>
    <w:p w14:paraId="12E6216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219C2D6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7F85CE9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4B531CF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4E8C27A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4、本基金出现当日净收益或累计未分配净收益小于零的情形，为保护基金份额持有人的利益，基金管理人可视情况暂停本基金的申购。</w:t>
      </w:r>
    </w:p>
    <w:p w14:paraId="71D9C9F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5、接受某笔或某些申购申请可能会影响或损害现有基金份额持有人利益时。</w:t>
      </w:r>
    </w:p>
    <w:p w14:paraId="4B251D0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6、基金资产规模过大，使基金管理人无法找到合适的投资品种，或其他可能对基金业绩产生负面影响，或发生其他损害现有基金份额持有人利益的情形。</w:t>
      </w:r>
    </w:p>
    <w:p w14:paraId="69D8A1B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新的申购申请被确认成功，使本基金总规模超过基金管理人规定的本基金总规模上限时，或使本基金当日申购金额超过基金管理人规定的当日申购金额上限时，或使该投资人累计持有的份额超过基金管理人规定的单个投资人累计持有份额上限时，或使该投资人当日申购金额超过基金管理人规定的单个投资人当日申购金额上限时。</w:t>
      </w:r>
    </w:p>
    <w:p w14:paraId="36BFC39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8、为保护基金份额持有人的合法权益，基金管理人可以依照相关法律法规，在特定市场条件下暂停或者拒绝接受一定金额以上的资金申购。</w:t>
      </w:r>
    </w:p>
    <w:p w14:paraId="75BF4BD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9、基金管理人、基金托管人、基金销售机构、基金销售支付结算机构或登记机构的异常情况导致基金销售系统、基金销售支付结算系统、基金注册登记系统或基金会计系统无法正常运行。</w:t>
      </w:r>
    </w:p>
    <w:p w14:paraId="46CDB56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10、当影子定价确定的基金资产净值与摊余成本法计算的基金资产净值的正偏离度绝对值达到0.5%时。</w:t>
      </w:r>
    </w:p>
    <w:p w14:paraId="5CB5D82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11、当前一估值日基金资产净值50%以上的资产出现无可参考的活跃市场价格且采用估值技术仍导致公允价值存在重大不确定性时，经与基金托管人协商确认后，基金管理人应当暂停接受基金申购申请。</w:t>
      </w:r>
    </w:p>
    <w:p w14:paraId="4732744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12、基金管理人接受某笔或者某些申购申请有可能导致单一投资者持有基金份额的比例超过50%，或者变相规避50%集中度的情形时。出现上述情形时，基金管理人有权将上述申购申请全部或部分确认失败。</w:t>
      </w:r>
    </w:p>
    <w:p w14:paraId="75A3003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13、法律法规规定或中国证监会认定的其他情形。</w:t>
      </w:r>
    </w:p>
    <w:p w14:paraId="094CEC1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4、6、8、9、10、11、13项暂停申购情形之一且基金管理人决定暂停接受投资人的申购申请时，基金管理人应当根据有关规定在指定媒介上刊登暂停申购公告。对于上述第7项拒绝申购的情形，基金管理人将在基金管理人网站上公布相关申购上限设定。如果投资人的申购申请被拒绝，被拒绝的申购款项将退还给投资人。在暂停申购的情况消除时，基金管理人应及时恢复申购业务的办理。</w:t>
      </w:r>
    </w:p>
    <w:p w14:paraId="670A1694"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（八）暂停赎回或延缓支付赎回款项的情形</w:t>
      </w:r>
    </w:p>
    <w:p w14:paraId="09111F0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70DF512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1、因不可抗力导致基金管理人不能支付赎回款项。</w:t>
      </w:r>
    </w:p>
    <w:p w14:paraId="42389B8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10B2A45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3058715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4、本基金出现当日净收益或累计未分配净收益小于零的情形，为保护基金份额持有人的利益，基金管理人可视情况暂停本基金的赎回。</w:t>
      </w:r>
    </w:p>
    <w:p w14:paraId="4C0092C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5、连续两个或两个以上开放日发生巨额赎回。</w:t>
      </w:r>
    </w:p>
    <w:p w14:paraId="4D0BF8B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6、本基金的资产组合中的重要部分发生暂停交易或其他重大事件，继续接受赎回可能会影响或损害基金份额持有人利益时。</w:t>
      </w:r>
    </w:p>
    <w:p w14:paraId="5F52750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7、当影子定价确定的基金资产净值与摊余成本法计算的基金资产净值的负偏离度绝对值连续两个交易日超过0.5%时，基金管理人可视情况暂停本基金的赎回。</w:t>
      </w:r>
    </w:p>
    <w:p w14:paraId="7961605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27BADE8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14:paraId="46F7959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5项所述情形，按基金合同的相关条款处理。基金份额持有人在申请赎回时可事先选择将当日可能未获受理部分予以撤销。在暂停赎回的情况消除时，基金管理人应及时恢复赎回业务的办理并公告。</w:t>
      </w:r>
    </w:p>
    <w:p w14:paraId="2331C22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公平对待不同类别基金份额持有人的合法权益，单个基金份额持有人在单个开放日申请赎回基金份额超过基金总份额10%的，基金管理人可以延期办理部分赎回申请或者延缓支付赎回款项，具体操作以基金管理人届时发布的相关公告为准。</w:t>
      </w:r>
    </w:p>
    <w:p w14:paraId="46F324C5"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（九）巨额赎回的情形及处理方式</w:t>
      </w:r>
    </w:p>
    <w:p w14:paraId="78D66D0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5521D97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w:t>
      </w:r>
      <w:r>
        <w:rPr>
          <w:rFonts w:ascii="宋体" w:hAnsi="宋体"/>
          <w:sz w:val="24"/>
        </w:rPr>
        <w:lastRenderedPageBreak/>
        <w:t>的余额)超过前一开放日的基金总份额的10%，即认为是发生了巨额赎回。</w:t>
      </w:r>
    </w:p>
    <w:p w14:paraId="0E9FC8E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22EAFB4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2BB6462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0AAD4572" w14:textId="629B62A5"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44DD7A5" w14:textId="6141B2AE"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2956956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79AD8C2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11E736F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当发生上述延期赎回并延期办理时，基金管理人应当通过邮寄、传真、刊登公告或者通知销售机构代为告知等方式在3个交易日内通知基金份额持有人，说明有关处理方法，并在2日内在指定媒介上刊登公告。</w:t>
      </w:r>
    </w:p>
    <w:p w14:paraId="6E34B0EA"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（十）暂停申购或赎回的公告和重新开放申购或赎回的公告</w:t>
      </w:r>
    </w:p>
    <w:p w14:paraId="767405A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5C08DEC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的各类基金份额的每万份基金已实现收益和7日年化收益率。</w:t>
      </w:r>
    </w:p>
    <w:p w14:paraId="5B5885A3"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（十一）基金的非交易过户</w:t>
      </w:r>
    </w:p>
    <w:p w14:paraId="6E0BA14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F36B2D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078267F"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（十二）基金的转托管</w:t>
      </w:r>
    </w:p>
    <w:p w14:paraId="1C698CB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1846F869"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（十三）定期定额投资计划</w:t>
      </w:r>
    </w:p>
    <w:p w14:paraId="75B48329" w14:textId="53F5B5B1"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本基金2019年6月5日刊登公告自2019年6月5日起开通</w:t>
      </w:r>
      <w:r w:rsidR="0068763A" w:rsidRPr="00FF0EDE">
        <w:rPr>
          <w:rFonts w:ascii="宋体" w:hAnsi="宋体" w:hint="eastAsia"/>
          <w:sz w:val="24"/>
        </w:rPr>
        <w:t>A类基金份额</w:t>
      </w:r>
      <w:r w:rsidR="0068763A">
        <w:rPr>
          <w:rFonts w:ascii="宋体" w:hAnsi="宋体" w:hint="eastAsia"/>
          <w:sz w:val="24"/>
        </w:rPr>
        <w:t>和E类基金份额</w:t>
      </w:r>
      <w:r w:rsidR="0068763A" w:rsidRPr="00FF0EDE">
        <w:rPr>
          <w:rFonts w:ascii="宋体" w:hAnsi="宋体" w:hint="eastAsia"/>
          <w:sz w:val="24"/>
        </w:rPr>
        <w:t>的</w:t>
      </w:r>
      <w:r>
        <w:rPr>
          <w:rFonts w:ascii="宋体" w:hAnsi="宋体"/>
          <w:sz w:val="24"/>
        </w:rPr>
        <w:t>定期定额投资计划业务，</w:t>
      </w:r>
      <w:r w:rsidR="0068763A" w:rsidRPr="00FF0EDE">
        <w:rPr>
          <w:rFonts w:ascii="宋体" w:hAnsi="宋体" w:hint="eastAsia"/>
          <w:sz w:val="24"/>
        </w:rPr>
        <w:t>本基金</w:t>
      </w:r>
      <w:r w:rsidR="0068763A">
        <w:rPr>
          <w:rFonts w:ascii="宋体" w:hAnsi="宋体" w:hint="eastAsia"/>
          <w:sz w:val="24"/>
        </w:rPr>
        <w:t>202</w:t>
      </w:r>
      <w:r w:rsidR="0068763A">
        <w:rPr>
          <w:rFonts w:ascii="宋体" w:hAnsi="宋体"/>
          <w:sz w:val="24"/>
        </w:rPr>
        <w:t>3</w:t>
      </w:r>
      <w:r w:rsidR="0068763A" w:rsidRPr="00FF0EDE">
        <w:rPr>
          <w:rFonts w:ascii="宋体" w:hAnsi="宋体" w:hint="eastAsia"/>
          <w:sz w:val="24"/>
        </w:rPr>
        <w:t>年</w:t>
      </w:r>
      <w:r w:rsidR="00F25AB8">
        <w:rPr>
          <w:rFonts w:ascii="宋体" w:hAnsi="宋体"/>
          <w:sz w:val="24"/>
        </w:rPr>
        <w:t>5</w:t>
      </w:r>
      <w:r w:rsidR="0068763A" w:rsidRPr="00FF0EDE">
        <w:rPr>
          <w:rFonts w:ascii="宋体" w:hAnsi="宋体" w:hint="eastAsia"/>
          <w:sz w:val="24"/>
        </w:rPr>
        <w:t>月</w:t>
      </w:r>
      <w:r w:rsidR="00F25AB8">
        <w:rPr>
          <w:rFonts w:ascii="宋体" w:hAnsi="宋体"/>
          <w:sz w:val="24"/>
        </w:rPr>
        <w:t>24</w:t>
      </w:r>
      <w:r w:rsidR="0068763A" w:rsidRPr="00FF0EDE">
        <w:rPr>
          <w:rFonts w:ascii="宋体" w:hAnsi="宋体" w:hint="eastAsia"/>
          <w:sz w:val="24"/>
        </w:rPr>
        <w:t>日刊登公告自</w:t>
      </w:r>
      <w:r w:rsidR="0068763A">
        <w:rPr>
          <w:rFonts w:ascii="宋体" w:hAnsi="宋体" w:hint="eastAsia"/>
          <w:sz w:val="24"/>
        </w:rPr>
        <w:t>202</w:t>
      </w:r>
      <w:r w:rsidR="0068763A">
        <w:rPr>
          <w:rFonts w:ascii="宋体" w:hAnsi="宋体"/>
          <w:sz w:val="24"/>
        </w:rPr>
        <w:t>3</w:t>
      </w:r>
      <w:r w:rsidR="0068763A" w:rsidRPr="00FF0EDE">
        <w:rPr>
          <w:rFonts w:ascii="宋体" w:hAnsi="宋体" w:hint="eastAsia"/>
          <w:sz w:val="24"/>
        </w:rPr>
        <w:t>年</w:t>
      </w:r>
      <w:r w:rsidR="00F25AB8">
        <w:rPr>
          <w:rFonts w:ascii="宋体" w:hAnsi="宋体" w:hint="eastAsia"/>
          <w:sz w:val="24"/>
        </w:rPr>
        <w:t>5</w:t>
      </w:r>
      <w:r w:rsidR="0068763A" w:rsidRPr="00FF0EDE">
        <w:rPr>
          <w:rFonts w:ascii="宋体" w:hAnsi="宋体" w:hint="eastAsia"/>
          <w:sz w:val="24"/>
        </w:rPr>
        <w:t>月</w:t>
      </w:r>
      <w:r w:rsidR="00F25AB8">
        <w:rPr>
          <w:rFonts w:ascii="宋体" w:hAnsi="宋体" w:hint="eastAsia"/>
          <w:sz w:val="24"/>
        </w:rPr>
        <w:t>2</w:t>
      </w:r>
      <w:r w:rsidR="00F25AB8">
        <w:rPr>
          <w:rFonts w:ascii="宋体" w:hAnsi="宋体"/>
          <w:sz w:val="24"/>
        </w:rPr>
        <w:t>5</w:t>
      </w:r>
      <w:r w:rsidR="0068763A" w:rsidRPr="00FF0EDE">
        <w:rPr>
          <w:rFonts w:ascii="宋体" w:hAnsi="宋体" w:hint="eastAsia"/>
          <w:sz w:val="24"/>
        </w:rPr>
        <w:t>日起增设C类基金份额并开通C类基金份额的定期定额投资计划业务</w:t>
      </w:r>
      <w:r w:rsidR="0068763A">
        <w:rPr>
          <w:rFonts w:ascii="宋体" w:hAnsi="宋体"/>
          <w:sz w:val="24"/>
        </w:rPr>
        <w:t>，</w:t>
      </w:r>
      <w:r>
        <w:rPr>
          <w:rFonts w:ascii="宋体" w:hAnsi="宋体"/>
          <w:sz w:val="24"/>
        </w:rPr>
        <w:t>具体开通销售机构名单和业务规则参见相关公告。</w:t>
      </w:r>
    </w:p>
    <w:p w14:paraId="2918A821"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（十四）基金份额的冻结和解冻</w:t>
      </w:r>
    </w:p>
    <w:p w14:paraId="31F6CF5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w:t>
      </w:r>
      <w:r>
        <w:rPr>
          <w:rFonts w:ascii="宋体" w:hAnsi="宋体"/>
          <w:sz w:val="24"/>
        </w:rPr>
        <w:lastRenderedPageBreak/>
        <w:t>构认可、符合法律法规的其他情况下的冻结与解冻。</w:t>
      </w:r>
    </w:p>
    <w:p w14:paraId="647CC572"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（十五）基金份额的转让</w:t>
      </w:r>
    </w:p>
    <w:p w14:paraId="21AF90E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7563293"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（十六）其他业务</w:t>
      </w:r>
    </w:p>
    <w:p w14:paraId="70DF10A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388E11E2"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D50EED5" w14:textId="77777777" w:rsidR="004C65FB" w:rsidRDefault="00795CC3">
      <w:pPr>
        <w:pStyle w:val="1"/>
        <w:snapToGrid w:val="0"/>
        <w:spacing w:beforeLines="0" w:before="240" w:after="240"/>
        <w:rPr>
          <w:rFonts w:ascii="宋体" w:hAnsi="宋体"/>
          <w:szCs w:val="30"/>
        </w:rPr>
      </w:pPr>
      <w:bookmarkStart w:id="11" w:name="_Toc119586517"/>
      <w:r>
        <w:rPr>
          <w:rFonts w:ascii="Times New Roman" w:hAnsi="Times New Roman"/>
          <w:sz w:val="30"/>
        </w:rPr>
        <w:lastRenderedPageBreak/>
        <w:t>九、基金的转换</w:t>
      </w:r>
      <w:bookmarkEnd w:id="11"/>
    </w:p>
    <w:p w14:paraId="64E73226"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14:paraId="147BD4A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6D9A5712"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14:paraId="550B3B28" w14:textId="6BBAEDE9"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本基金2018年3月6日刊登公告自2018年3月7日起开放</w:t>
      </w:r>
      <w:r w:rsidR="002F20FC" w:rsidRPr="00FF0EDE">
        <w:rPr>
          <w:rFonts w:ascii="宋体" w:hAnsi="宋体" w:hint="eastAsia"/>
          <w:sz w:val="24"/>
        </w:rPr>
        <w:t>A类基金份额</w:t>
      </w:r>
      <w:r w:rsidR="002F20FC">
        <w:rPr>
          <w:rFonts w:ascii="宋体" w:hAnsi="宋体" w:hint="eastAsia"/>
          <w:sz w:val="24"/>
        </w:rPr>
        <w:t>和E类基金份额</w:t>
      </w:r>
      <w:r w:rsidR="002F20FC" w:rsidRPr="00FF0EDE">
        <w:rPr>
          <w:rFonts w:ascii="宋体" w:hAnsi="宋体" w:hint="eastAsia"/>
          <w:sz w:val="24"/>
        </w:rPr>
        <w:t>的</w:t>
      </w:r>
      <w:r>
        <w:rPr>
          <w:rFonts w:ascii="宋体" w:hAnsi="宋体"/>
          <w:sz w:val="24"/>
        </w:rPr>
        <w:t>日常转换业务。</w:t>
      </w:r>
      <w:r w:rsidR="002F20FC" w:rsidRPr="00974806">
        <w:rPr>
          <w:rFonts w:ascii="宋体" w:hAnsi="宋体" w:hint="eastAsia"/>
          <w:sz w:val="24"/>
        </w:rPr>
        <w:t>本基金</w:t>
      </w:r>
      <w:r w:rsidR="002F20FC">
        <w:rPr>
          <w:rFonts w:ascii="宋体" w:hAnsi="宋体" w:hint="eastAsia"/>
          <w:sz w:val="24"/>
        </w:rPr>
        <w:t>202</w:t>
      </w:r>
      <w:r w:rsidR="002F20FC">
        <w:rPr>
          <w:rFonts w:ascii="宋体" w:hAnsi="宋体"/>
          <w:sz w:val="24"/>
        </w:rPr>
        <w:t>3</w:t>
      </w:r>
      <w:r w:rsidR="002F20FC" w:rsidRPr="00974806">
        <w:rPr>
          <w:rFonts w:ascii="宋体" w:hAnsi="宋体" w:hint="eastAsia"/>
          <w:sz w:val="24"/>
        </w:rPr>
        <w:t>年</w:t>
      </w:r>
      <w:r w:rsidR="00322F4A">
        <w:rPr>
          <w:rFonts w:ascii="宋体" w:hAnsi="宋体"/>
          <w:sz w:val="24"/>
        </w:rPr>
        <w:t>5</w:t>
      </w:r>
      <w:r w:rsidR="002F20FC" w:rsidRPr="00974806">
        <w:rPr>
          <w:rFonts w:ascii="宋体" w:hAnsi="宋体" w:hint="eastAsia"/>
          <w:sz w:val="24"/>
        </w:rPr>
        <w:t>月</w:t>
      </w:r>
      <w:r w:rsidR="00322F4A">
        <w:rPr>
          <w:rFonts w:ascii="宋体" w:hAnsi="宋体"/>
          <w:sz w:val="24"/>
        </w:rPr>
        <w:t>24</w:t>
      </w:r>
      <w:r w:rsidR="002F20FC" w:rsidRPr="00974806">
        <w:rPr>
          <w:rFonts w:ascii="宋体" w:hAnsi="宋体" w:hint="eastAsia"/>
          <w:sz w:val="24"/>
        </w:rPr>
        <w:t>日刊登公告自</w:t>
      </w:r>
      <w:r w:rsidR="002F20FC">
        <w:rPr>
          <w:rFonts w:ascii="宋体" w:hAnsi="宋体" w:hint="eastAsia"/>
          <w:sz w:val="24"/>
        </w:rPr>
        <w:t>202</w:t>
      </w:r>
      <w:r w:rsidR="002F20FC">
        <w:rPr>
          <w:rFonts w:ascii="宋体" w:hAnsi="宋体"/>
          <w:sz w:val="24"/>
        </w:rPr>
        <w:t>3</w:t>
      </w:r>
      <w:r w:rsidR="002F20FC" w:rsidRPr="00974806">
        <w:rPr>
          <w:rFonts w:ascii="宋体" w:hAnsi="宋体" w:hint="eastAsia"/>
          <w:sz w:val="24"/>
        </w:rPr>
        <w:t>年</w:t>
      </w:r>
      <w:r w:rsidR="00322F4A">
        <w:rPr>
          <w:rFonts w:ascii="宋体" w:hAnsi="宋体"/>
          <w:sz w:val="24"/>
        </w:rPr>
        <w:t>5</w:t>
      </w:r>
      <w:r w:rsidR="002F20FC" w:rsidRPr="00974806">
        <w:rPr>
          <w:rFonts w:ascii="宋体" w:hAnsi="宋体" w:hint="eastAsia"/>
          <w:sz w:val="24"/>
        </w:rPr>
        <w:t>月</w:t>
      </w:r>
      <w:r w:rsidR="00322F4A">
        <w:rPr>
          <w:rFonts w:ascii="宋体" w:hAnsi="宋体"/>
          <w:sz w:val="24"/>
        </w:rPr>
        <w:t>25</w:t>
      </w:r>
      <w:r w:rsidR="002F20FC" w:rsidRPr="00974806">
        <w:rPr>
          <w:rFonts w:ascii="宋体" w:hAnsi="宋体" w:hint="eastAsia"/>
          <w:sz w:val="24"/>
        </w:rPr>
        <w:t>日起增设C类基金份额并开通C类基金份额的日常转换业务。</w:t>
      </w:r>
    </w:p>
    <w:p w14:paraId="2AE963D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56A8280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C14E7E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1911E582"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14:paraId="5E9E7C7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申请方式：书面申请或销售机构公布的其他方式。</w:t>
      </w:r>
    </w:p>
    <w:p w14:paraId="011A1C6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基金转换申请的确认</w:t>
      </w:r>
    </w:p>
    <w:p w14:paraId="61C06B3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正常情况下，T日规定时间受理的申请，基金注册登记机构在T＋1日内为投资人对该交易的有效性进行确认，在T＋2日后（包括该日）投资人可向销售机构查询转换的确认情况。</w:t>
      </w:r>
    </w:p>
    <w:p w14:paraId="2DDE07F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基金转换的注册登记</w:t>
      </w:r>
    </w:p>
    <w:p w14:paraId="39E4F5C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在T＋1日为投资人T日的基金转换业务申请进行有效性确认，办理转出基金的权益扣除以及转入基金的权益登记，在T＋2日后（包含该日）投资人可向销售机构查询转换业务的成交情况，并有权转换或赎回该部分基金份额。</w:t>
      </w:r>
    </w:p>
    <w:p w14:paraId="1FB6E6EF"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（四）基金转换的数额限制</w:t>
      </w:r>
    </w:p>
    <w:p w14:paraId="46C6256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14:paraId="3A95E4A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基金遵循“份额转换”的原则，单笔转换份额不得低于10份。基金持有人可将其全部或部分基金份额转换成其它基金，单笔转换申请不受转入基金最低申购限额限制。</w:t>
      </w:r>
    </w:p>
    <w:p w14:paraId="23723E7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投资人在单个交易账户保留的货币基金(除交银货币外)的最低保留余额为0.01份，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70D2A2CF"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14:paraId="5BBCC1A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735E179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7BBB88E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647F840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3、转出与转入基金的申购补差费用</w:t>
      </w:r>
    </w:p>
    <w:p w14:paraId="0AF9858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申购费用低的基金向申购费用高的基金转换，收取申购补差费用；从申购费用高的基金向申购费用低的基金或不收取申购费用的基金转换，不收取申购补差费用。申购补差费用原则上按照转出确认金额对应的转入基金申购费减去转出基金申购费差额进行计算补差。</w:t>
      </w:r>
    </w:p>
    <w:p w14:paraId="21840BE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4、网上直销的申购补差费率优惠</w:t>
      </w:r>
    </w:p>
    <w:p w14:paraId="61C91C1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w:t>
      </w:r>
      <w:r>
        <w:rPr>
          <w:rFonts w:ascii="宋体" w:hAnsi="宋体"/>
          <w:sz w:val="24"/>
        </w:rPr>
        <w:lastRenderedPageBreak/>
        <w:t>优惠，优惠费率只适用于转出与转入基金申购补差费用，转出基金的赎回费用无优惠。可通过网上直销交易平台办理的转换业务范围及转换费率优惠的具体情况请参阅本基金管理人网站。</w:t>
      </w:r>
    </w:p>
    <w:p w14:paraId="7B479EA1" w14:textId="7ED292D2"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5、本基金管理人可以根据法律法规及基金合同的规定对上述转换费用收费方式和费率进行调整，并应于调整后的收费方式和费率实施前依照《信息披露办法》的有关规定在中国证监会指定媒介上公告。</w:t>
      </w:r>
    </w:p>
    <w:p w14:paraId="059D857F"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14:paraId="0717081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199F3C7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0CDF8BB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76FF567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转出基金申购费用=转入确认金额×转出基金申购费率/（1+转出基金申购费率）</w:t>
      </w:r>
    </w:p>
    <w:p w14:paraId="3CA64BB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转入基金申购费用=转入确认金额×转入基金申购费率/（1+转入基金申购费率）</w:t>
      </w:r>
    </w:p>
    <w:p w14:paraId="52B4400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转出与转入基金的申购补差费=MAX（0，转入基金申购费用-转出基金申购费用）</w:t>
      </w:r>
    </w:p>
    <w:p w14:paraId="6809AA2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55D28BC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09499F8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6878A02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76A5E4C4" w14:textId="7F793871"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例一：某投资者持有交银稳利A类基金份额100,000份，持有期半年，转换申请当日交银稳利的A类基金份额净值为1.0100元，交银现金宝</w:t>
      </w:r>
      <w:r w:rsidR="00CF70C9">
        <w:rPr>
          <w:rFonts w:ascii="宋体" w:hAnsi="宋体" w:hint="eastAsia"/>
          <w:sz w:val="24"/>
        </w:rPr>
        <w:t>A类基金份额</w:t>
      </w:r>
      <w:r>
        <w:rPr>
          <w:rFonts w:ascii="宋体" w:hAnsi="宋体"/>
          <w:sz w:val="24"/>
        </w:rPr>
        <w:t>的基金份额净值为1.00元。若该投资者将100,000份交银稳利A类基金份额转换为交银现金宝</w:t>
      </w:r>
      <w:r w:rsidR="00CF70C9">
        <w:rPr>
          <w:rFonts w:ascii="宋体" w:hAnsi="宋体" w:hint="eastAsia"/>
          <w:sz w:val="24"/>
        </w:rPr>
        <w:t>A类</w:t>
      </w:r>
      <w:r>
        <w:rPr>
          <w:rFonts w:ascii="宋体" w:hAnsi="宋体"/>
          <w:sz w:val="24"/>
        </w:rPr>
        <w:t>基金份额，则转入交银现金宝确认的</w:t>
      </w:r>
      <w:r w:rsidR="00CF70C9">
        <w:rPr>
          <w:rFonts w:ascii="宋体" w:hAnsi="宋体" w:hint="eastAsia"/>
          <w:sz w:val="24"/>
        </w:rPr>
        <w:t>A类</w:t>
      </w:r>
      <w:r>
        <w:rPr>
          <w:rFonts w:ascii="宋体" w:hAnsi="宋体"/>
          <w:sz w:val="24"/>
        </w:rPr>
        <w:t>基金份额为：</w:t>
      </w:r>
    </w:p>
    <w:p w14:paraId="55462E2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0065B79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转出基金的赎回费=101,000×0%=0元</w:t>
      </w:r>
    </w:p>
    <w:p w14:paraId="59409D0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转入确认金额=101,000-0=101,000元</w:t>
      </w:r>
    </w:p>
    <w:p w14:paraId="1ED5F85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转出基金申购费用=101,000×0.30%/（1+0.30%）=302.09元</w:t>
      </w:r>
    </w:p>
    <w:p w14:paraId="11A4995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转入基金申购费用=0</w:t>
      </w:r>
    </w:p>
    <w:p w14:paraId="729C5F5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转出与转入基金的申购补差费=0元</w:t>
      </w:r>
    </w:p>
    <w:p w14:paraId="7403B08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转入基金确认份额=（101,000-0）/1.00=101,000份</w:t>
      </w:r>
    </w:p>
    <w:p w14:paraId="4C971B68" w14:textId="5B1ECF6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例二：某投资者持有交银现金宝</w:t>
      </w:r>
      <w:r w:rsidR="00CF70C9">
        <w:rPr>
          <w:rFonts w:ascii="宋体" w:hAnsi="宋体" w:hint="eastAsia"/>
          <w:sz w:val="24"/>
        </w:rPr>
        <w:t>A类基金份额</w:t>
      </w:r>
      <w:r>
        <w:rPr>
          <w:rFonts w:ascii="宋体" w:hAnsi="宋体"/>
          <w:sz w:val="24"/>
        </w:rPr>
        <w:t>100,000份，该100,000份基金份额未结转的待支付收益为61.52元，转换申请当日交银现金宝的</w:t>
      </w:r>
      <w:r w:rsidR="00CF70C9">
        <w:rPr>
          <w:rFonts w:ascii="宋体" w:hAnsi="宋体" w:hint="eastAsia"/>
          <w:sz w:val="24"/>
        </w:rPr>
        <w:t>A类</w:t>
      </w:r>
      <w:r>
        <w:rPr>
          <w:rFonts w:ascii="宋体" w:hAnsi="宋体"/>
          <w:sz w:val="24"/>
        </w:rPr>
        <w:t>基金份额净值为1.00元，交银稳利的A类基金份额净值为1.0100元。若该投资者将100,000份交银现金宝</w:t>
      </w:r>
      <w:r w:rsidR="00CF70C9">
        <w:rPr>
          <w:rFonts w:ascii="宋体" w:hAnsi="宋体" w:hint="eastAsia"/>
          <w:sz w:val="24"/>
        </w:rPr>
        <w:t>A类</w:t>
      </w:r>
      <w:r>
        <w:rPr>
          <w:rFonts w:ascii="宋体" w:hAnsi="宋体"/>
          <w:sz w:val="24"/>
        </w:rPr>
        <w:t>基金份额转换为交银稳利A类基金份额，则转入交银稳利确认的A类基金份额为：</w:t>
      </w:r>
    </w:p>
    <w:p w14:paraId="5C0336D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025B38E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00A2161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6536179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转出基金申购费用=0元</w:t>
      </w:r>
    </w:p>
    <w:p w14:paraId="6735002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转入基金申购费用=100,000×0.30%/（1+0.30%）=299.10元</w:t>
      </w:r>
    </w:p>
    <w:p w14:paraId="7752C2C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转出与转入基金的申购补差费=299.10-0=299.10元</w:t>
      </w:r>
    </w:p>
    <w:p w14:paraId="3D06855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转入基金确认份额=（100,000-299.10+61.52）/1.0100=98,774.67份</w:t>
      </w:r>
    </w:p>
    <w:p w14:paraId="3E360DA2"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14:paraId="3AB5CE1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6BAFA10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4BC108C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477B34C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4、基金份额持有人申请将其账户内货币基金的基金份额转换为其他基金份额时，注册登记机构将自动结转该转出份额对应的待支付收益，该收益将一并计入转</w:t>
      </w:r>
      <w:r>
        <w:rPr>
          <w:rFonts w:ascii="宋体" w:hAnsi="宋体"/>
          <w:sz w:val="24"/>
        </w:rPr>
        <w:lastRenderedPageBreak/>
        <w:t>出金额并折算为转入基金的基金份额，但收益部分不收取转换费用。</w:t>
      </w:r>
    </w:p>
    <w:p w14:paraId="5CA498B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3184CB27"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14:paraId="4E7262F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154CA39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82C67E4"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9A6AB9" w14:textId="77777777" w:rsidR="004C65FB" w:rsidRDefault="00795CC3">
      <w:pPr>
        <w:pStyle w:val="1"/>
        <w:snapToGrid w:val="0"/>
        <w:spacing w:beforeLines="0" w:before="240" w:after="240"/>
        <w:rPr>
          <w:rFonts w:ascii="宋体" w:hAnsi="宋体"/>
          <w:szCs w:val="30"/>
        </w:rPr>
      </w:pPr>
      <w:bookmarkStart w:id="12" w:name="_Toc119586518"/>
      <w:r>
        <w:rPr>
          <w:rFonts w:ascii="Times New Roman" w:hAnsi="Times New Roman"/>
          <w:sz w:val="30"/>
        </w:rPr>
        <w:lastRenderedPageBreak/>
        <w:t>十、基金的投资</w:t>
      </w:r>
      <w:bookmarkEnd w:id="12"/>
    </w:p>
    <w:p w14:paraId="30FD0D54"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14:paraId="76F52C5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在力求本金安全性和资产充分流动性的前提下，追求超过业绩比较基准的投资收益。</w:t>
      </w:r>
    </w:p>
    <w:p w14:paraId="36B3548F"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14:paraId="18BFC01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现金，期限在1年以内（含1年）的银行存款、债券回购、中央银行票据、同业存单，剩余期限在397天以内（含397天）的债券、非金融企业债务融资工具、资产支持证券，中国证监会、中国人民银行认可的其他具有良好流动性的货币市场工具。</w:t>
      </w:r>
    </w:p>
    <w:p w14:paraId="0F396A3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如法律法规或监管机构以后允许货币市场基金投资其他金融工具，基金管理人在履行适当程序后，可以将其纳入投资范围，其投资比例遵循届时有效法律法规或相关规定。</w:t>
      </w:r>
    </w:p>
    <w:p w14:paraId="28AD2989"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14:paraId="161F26E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4424B70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1、短期利率水平预期策略</w:t>
      </w:r>
    </w:p>
    <w:p w14:paraId="4F8F319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深入分析国家货币政策、短期资金市场利率波动、资本市场资金面的情况和流动性的变化，对短期利率走势形成合理预期，并据此调整基金货币资产的配置策略。</w:t>
      </w:r>
    </w:p>
    <w:p w14:paraId="436EF6E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2、收益率曲线分析策略</w:t>
      </w:r>
    </w:p>
    <w:p w14:paraId="1301DAF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根据收益率曲线的变化趋势，采取相应的投资管理策略。货币市场收益率曲线的形状反映当时短期利率水平之间的关系，反映市场对较短期限经济状况的判断及对未来短期经济走势的预期。</w:t>
      </w:r>
    </w:p>
    <w:p w14:paraId="493A560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3、组合剩余期限策略、期限配置策略</w:t>
      </w:r>
    </w:p>
    <w:p w14:paraId="5E022C2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w:t>
      </w:r>
      <w:r>
        <w:rPr>
          <w:rFonts w:ascii="宋体" w:hAnsi="宋体"/>
          <w:sz w:val="24"/>
        </w:rPr>
        <w:lastRenderedPageBreak/>
        <w:t>定风险，满足组合目标期限。</w:t>
      </w:r>
    </w:p>
    <w:p w14:paraId="146461B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4、类别品种配置策略</w:t>
      </w:r>
    </w:p>
    <w:p w14:paraId="6A06180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06D591C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5、流动性管理策略</w:t>
      </w:r>
    </w:p>
    <w:p w14:paraId="4A45433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在满足基金投资者申购、赎回的资金需求前提下，通过基金资产安排（包括现金库存、资产变现、剩余期限管理或以其他措施），在保持基金资产高流动性的前提下，确保基金的稳定收益。</w:t>
      </w:r>
    </w:p>
    <w:p w14:paraId="5E30BEB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6、无风险套利策略</w:t>
      </w:r>
    </w:p>
    <w:p w14:paraId="0F10761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无风险套利策略包括：</w:t>
      </w:r>
    </w:p>
    <w:p w14:paraId="058F893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6E8F6DD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跨品种套利策略：根据各细分市场中不同品种的风险参数、流动性补偿和收益特征，动态调整不同期限结构品种的配置比例。</w:t>
      </w:r>
    </w:p>
    <w:p w14:paraId="0F76157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7、滚动配置策略</w:t>
      </w:r>
    </w:p>
    <w:p w14:paraId="40235FC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根据具体投资品种的市场特性，采用持续滚动投资的方法，以提高基金资产的整体持续的变现能力。</w:t>
      </w:r>
    </w:p>
    <w:p w14:paraId="281D7F4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8、其他金融工具投资策略</w:t>
      </w:r>
    </w:p>
    <w:p w14:paraId="0EA88C8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7324DB2E"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（四）投资限制</w:t>
      </w:r>
    </w:p>
    <w:p w14:paraId="67F96B5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1、本基金不得投资于以下金融工具：</w:t>
      </w:r>
    </w:p>
    <w:p w14:paraId="6698F87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w:t>
      </w:r>
    </w:p>
    <w:p w14:paraId="158209F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（2）可转换债券、可交换债券；</w:t>
      </w:r>
    </w:p>
    <w:p w14:paraId="38C401F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（3）以定期存款利率为基准利率的浮动利率债券，已进入最后一个利率调整期的除外；</w:t>
      </w:r>
    </w:p>
    <w:p w14:paraId="528B7EE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（4）信用等级在AA+以下的债券与非金融企业债务融资工具；</w:t>
      </w:r>
    </w:p>
    <w:p w14:paraId="4C8F28A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（5）中国证监会、中国人民银行禁止投资的其他金融工具。</w:t>
      </w:r>
    </w:p>
    <w:p w14:paraId="2B182B6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本基金拟投资于主体信用评级低于AA+的商业银行的银行存款与同业存单的，应当经基金管理人董事会审议批准，相关交易应当事先征得基金托管人的同意，并作为重大事项履行信息披露程序。</w:t>
      </w:r>
    </w:p>
    <w:p w14:paraId="5945A48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法律法规或监管部门取消上述限制，如适用于本基金，基金管理人在履行适当程序后，则本基金投资不再受相关限制。</w:t>
      </w:r>
    </w:p>
    <w:p w14:paraId="5FC5728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2、组合限制</w:t>
      </w:r>
    </w:p>
    <w:p w14:paraId="34C8B58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12E91D9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（1）本基金投资组合的平均剩余期限在每个交易日均不得超过120天，平均剩余存续期在每个交易日均不得超过240天；</w:t>
      </w:r>
    </w:p>
    <w:p w14:paraId="1420F50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（2）本基金投资于现金、国债、中央银行票据、政策性金融债券占基金资产净值的比例合计不得低于5%，其中现金不包括结算备付金、存出保证金、应收申购款等；</w:t>
      </w:r>
    </w:p>
    <w:p w14:paraId="4F642EA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（3）本基金投资于现金、国债、中央银行票据、政策性金融债券以及五个交易日内到期的其他金融工具占基金资产净值的比例合计不得低于10%；</w:t>
      </w:r>
    </w:p>
    <w:p w14:paraId="515FCB1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14:paraId="62FDF65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（5）除发生巨额赎回、连续3 个交易日累计赎回20%以上或者连续5 个交易日累计赎回30%以上的情形外，本基金债券正回购的资金余额占基金资产净值的比例不得超过20%；</w:t>
      </w:r>
    </w:p>
    <w:p w14:paraId="43E00CB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（6）本基金投资于同一机构发行的债券、非金融企业债务融资工具及其作为原始权益人的资产支持证券占基金资产净值的比例合计不得超过10%，国债、中央银行票据、政策性金融债券除外；</w:t>
      </w:r>
    </w:p>
    <w:p w14:paraId="0553DF2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（7）本基金管理人管理的全部基金持有一家公司发行的证券，不超过该证券的10%；</w:t>
      </w:r>
    </w:p>
    <w:p w14:paraId="7DA3E65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（8）本基金投资于有固定期限银行存款的比例，不得超过基金资产净值的</w:t>
      </w:r>
      <w:r>
        <w:rPr>
          <w:rFonts w:ascii="宋体" w:hAnsi="宋体"/>
          <w:sz w:val="24"/>
        </w:rPr>
        <w:lastRenderedPageBreak/>
        <w:t>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13C9041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投资于同一原始权益人的各类资产支持证券的比例，不得超过基金资产净值的10%；本基金持有的全部资产支持证券，其市值不得超过基金资产净值的20%，中国证监会规定的特殊品种除外；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14:paraId="21AE56F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应投资于具有评级资质的资信评级机构进行持续信用评级，且信用评级不低于国内信用评级机构评定的AAA级或相当于AAA级的信用级别的资产支持证券。基金持有资产支持证券期间，如果其信用等级下降、不再符合投资标准，应在评级报告发布之日起3 个月内予以全部卖出；</w:t>
      </w:r>
    </w:p>
    <w:p w14:paraId="384C456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（11）本基金管理人管理的全部货币市场基金投资于同一商业银行的银行存款及其发行的同业存单与债券，不得超过该商业银行最近一个季度末净资产的10%；</w:t>
      </w:r>
    </w:p>
    <w:p w14:paraId="610F9FA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（12）当本基金前10 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14:paraId="2F6C2FE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（13）当本基金前10 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14:paraId="64762B7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（14）本基金投资于主体信用评级低于AAA 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14:paraId="246DAAA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（15）本基金与私募类证券资管产品及中国证监会认定的其他主体为交易对手</w:t>
      </w:r>
      <w:r>
        <w:rPr>
          <w:rFonts w:ascii="宋体" w:hAnsi="宋体"/>
          <w:sz w:val="24"/>
        </w:rPr>
        <w:lastRenderedPageBreak/>
        <w:t>开展逆回购交易的，可接受质押品的资质要求应当与本基金合同约定的投资范围保持一致；</w:t>
      </w:r>
    </w:p>
    <w:p w14:paraId="1E38944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（16）本基金进入全国银行间同业市场进行债券回购的资金余额不得超过基金资产净值的40%，本基金在全国银行间同业市场的债券回购最长期限为1年，债券回购到期后不得展期；</w:t>
      </w:r>
    </w:p>
    <w:p w14:paraId="7B9CFF7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（17）本基金的基金资产总值不得超过基金资产净值的140%；</w:t>
      </w:r>
    </w:p>
    <w:p w14:paraId="510187B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（18）法律法规、中国证监会及中国人民银行规定的其他比例限制。</w:t>
      </w:r>
    </w:p>
    <w:p w14:paraId="42C071B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BD6509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1）、（2）、（4）、（10）、（15）项外，因证券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17DEA10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14:paraId="52D439D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 个月内使基金的投资组合比例符合基金合同的有关约定。在上述期间内，本基金的投资范围、投资策略应当符合基金合同的约定。基金托管人对基金的投资的监督与检查自基金合同生效之日起开始。</w:t>
      </w:r>
    </w:p>
    <w:p w14:paraId="32BCFFE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法律法规对上述投资组合比例限制进行变更的，以变更后的规定为准。法律法规或监管部门取消上述限制，如适用于本基金，基金管理人在履行适当程序后，本基金投资不再受相关限制。</w:t>
      </w:r>
    </w:p>
    <w:p w14:paraId="17B2C76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3、禁止行为</w:t>
      </w:r>
    </w:p>
    <w:p w14:paraId="40982C2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28E3CD4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4647249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（2）违反规定向他人贷款或者提供担保；</w:t>
      </w:r>
    </w:p>
    <w:p w14:paraId="3252873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231B5B0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6B80A90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41E28C2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2B2776A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23FEDCC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03677890"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（五）业绩比较基准</w:t>
      </w:r>
    </w:p>
    <w:p w14:paraId="3388D26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本基金的业绩比较基准为：活期存款利率（税后）。</w:t>
      </w:r>
    </w:p>
    <w:p w14:paraId="22FB913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14:paraId="27FE5A0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63D15640"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（六）风险收益特征</w:t>
      </w:r>
    </w:p>
    <w:p w14:paraId="70E6B18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货币市场基金，是证券投资基金中的低风险品种，长期风险收益水平低于股票型基金、混合型基金和债券型基金。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5D36B2C2"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（七）投资组合平均剩余期限和平均剩余存续期限的计算</w:t>
      </w:r>
    </w:p>
    <w:p w14:paraId="1674A76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1、平均剩余期限（天）的计算公式如下：</w:t>
      </w:r>
    </w:p>
    <w:p w14:paraId="1446D59D" w14:textId="7C5FA7BE" w:rsidR="004C65FB" w:rsidRDefault="009B060A">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63CD1C25" wp14:editId="45B2EDF5">
            <wp:extent cx="5156200" cy="374650"/>
            <wp:effectExtent l="0" t="0" r="0" b="0"/>
            <wp:docPr id="7"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6200" cy="374650"/>
                    </a:xfrm>
                    <a:prstGeom prst="rect">
                      <a:avLst/>
                    </a:prstGeom>
                    <a:noFill/>
                    <a:ln>
                      <a:noFill/>
                    </a:ln>
                  </pic:spPr>
                </pic:pic>
              </a:graphicData>
            </a:graphic>
          </wp:inline>
        </w:drawing>
      </w:r>
    </w:p>
    <w:p w14:paraId="7C7DAE8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2、平均剩余存续期限（天）的计算公式如下：</w:t>
      </w:r>
    </w:p>
    <w:p w14:paraId="7C9DE169" w14:textId="02B33D3E" w:rsidR="004C65FB" w:rsidRDefault="009B060A">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4EBDAA15" wp14:editId="5867018C">
            <wp:extent cx="5270500" cy="36195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361950"/>
                    </a:xfrm>
                    <a:prstGeom prst="rect">
                      <a:avLst/>
                    </a:prstGeom>
                    <a:noFill/>
                    <a:ln>
                      <a:noFill/>
                    </a:ln>
                  </pic:spPr>
                </pic:pic>
              </a:graphicData>
            </a:graphic>
          </wp:inline>
        </w:drawing>
      </w:r>
    </w:p>
    <w:p w14:paraId="4FDD6DF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其中：</w:t>
      </w:r>
    </w:p>
    <w:p w14:paraId="7CD030B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于金融工具产生的资产包括银行活期存款、清算备付金、交易保证金、证券清算款、银行定期存款、同业存单、债券、非金融企业债务融资工具、资产支持证券、逆回购、中央银行票据、买断式回购产生的待回购债券、或中国证监会、中国人民银行认可的其他具有良好流动性的货币市场工具。</w:t>
      </w:r>
    </w:p>
    <w:p w14:paraId="59EA893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投资于金融工具产生的负债包括正回购、买断式回购产生的待返售债券等。</w:t>
      </w:r>
    </w:p>
    <w:p w14:paraId="159FED9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2、各类资产和负债剩余期限、剩余存续期限的确定</w:t>
      </w:r>
    </w:p>
    <w:p w14:paraId="33695F3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（1）银行活期存款、清算备付金、交易保证金的剩余期限和剩余存续期限为0天；证券清算款的剩余期限和剩余存续期限以计算日至交收日的剩余交易日天数计算；</w:t>
      </w:r>
    </w:p>
    <w:p w14:paraId="6C7699C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1CF5FDC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24155B4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（4）中央银行票据的剩余期限和剩余存续期限以计算日至中央银行票据到期日的实际剩余天数计算；</w:t>
      </w:r>
    </w:p>
    <w:p w14:paraId="625BEED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（5）组合中债券的剩余期限和剩余存续期限是指计算日至债券到期日为止所剩余的天数，以下情况除外：</w:t>
      </w:r>
    </w:p>
    <w:p w14:paraId="7BE76AF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允许投资的可变利率或浮动利率债券的剩余期限以计算日至下一个利率调整日的实际剩余天数计算。</w:t>
      </w:r>
    </w:p>
    <w:p w14:paraId="77FFD8B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允许投资的可变利率或浮动利率债券的剩余存续期限以计算日至债券到期日的实际剩余天数计算。</w:t>
      </w:r>
    </w:p>
    <w:p w14:paraId="2D2A4498"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（八）基金管理人代表基金行使债权人权利的处理原则及方法</w:t>
      </w:r>
    </w:p>
    <w:p w14:paraId="499639C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2333A13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14:paraId="0EBBD87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3、不通过关联交易为自身、雇员、授权代理人或任何存在利害关系的第三人牟取任何不当利益。</w:t>
      </w:r>
    </w:p>
    <w:p w14:paraId="576B9316"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（九）投资决策依据和投资流程</w:t>
      </w:r>
    </w:p>
    <w:p w14:paraId="54F68EA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11CA95F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23E74E7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7BBAE8A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（3）宏观经济发展态势、证券市场运行环境和走势，以及发行主体的基本面；</w:t>
      </w:r>
    </w:p>
    <w:p w14:paraId="4C7B2C7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2C65080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3AF1BCA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66DE15E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70FBE9B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0B42937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141FD85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24BAECC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321A551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373F92D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w:t>
      </w:r>
      <w:r>
        <w:rPr>
          <w:rFonts w:ascii="宋体" w:hAnsi="宋体"/>
          <w:sz w:val="24"/>
        </w:rPr>
        <w:lastRenderedPageBreak/>
        <w:t>控制的要求，在权限范围内制定具体的投资组合方案；</w:t>
      </w:r>
    </w:p>
    <w:p w14:paraId="1CF2595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185A40C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14:paraId="597350B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37ECF23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18162C5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25AFA3BB"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（十）基金投资组合报告</w:t>
      </w:r>
    </w:p>
    <w:p w14:paraId="5E28F12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63B87C8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本基金托管人中信银行股份有限公司根据本基金合同规定，于2022年10月24日复核了本报告中的财务指标、净值表现和投资组合报告等内容，保证复核内容不存在虚假记载、误导性陈述或者重大遗漏。</w:t>
      </w:r>
    </w:p>
    <w:p w14:paraId="378DF73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本报告期为2022年07月01日起至09月30日止。本报告财务资料未经审计师审计。</w:t>
      </w:r>
    </w:p>
    <w:p w14:paraId="5C5217A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C65FB" w14:paraId="6FC768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4633D1C"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E2C3F46"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284540C"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9990E54"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C65FB" w14:paraId="574BA4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F98D98"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3B9D377"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7AF24E80"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4,437,639,630.02</w:t>
            </w:r>
          </w:p>
        </w:tc>
        <w:tc>
          <w:tcPr>
            <w:tcW w:w="400" w:type="pct"/>
            <w:tcBorders>
              <w:top w:val="single" w:sz="4" w:space="0" w:color="auto"/>
              <w:left w:val="single" w:sz="4" w:space="0" w:color="auto"/>
              <w:bottom w:val="single" w:sz="4" w:space="0" w:color="auto"/>
              <w:right w:val="single" w:sz="4" w:space="0" w:color="auto"/>
            </w:tcBorders>
            <w:vAlign w:val="center"/>
          </w:tcPr>
          <w:p w14:paraId="3CBA6F46"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52.78</w:t>
            </w:r>
          </w:p>
        </w:tc>
      </w:tr>
      <w:tr w:rsidR="004C65FB" w14:paraId="4E97D4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E43559"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CDF4304"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2C1AC653"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4,242,126,891.28</w:t>
            </w:r>
          </w:p>
        </w:tc>
        <w:tc>
          <w:tcPr>
            <w:tcW w:w="400" w:type="pct"/>
            <w:tcBorders>
              <w:top w:val="single" w:sz="4" w:space="0" w:color="auto"/>
              <w:left w:val="single" w:sz="4" w:space="0" w:color="auto"/>
              <w:bottom w:val="single" w:sz="4" w:space="0" w:color="auto"/>
              <w:right w:val="single" w:sz="4" w:space="0" w:color="auto"/>
            </w:tcBorders>
            <w:vAlign w:val="center"/>
          </w:tcPr>
          <w:p w14:paraId="1A3717C6"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50.46</w:t>
            </w:r>
          </w:p>
        </w:tc>
      </w:tr>
      <w:tr w:rsidR="004C65FB" w14:paraId="5AD1292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C22C52"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12B0C60"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6B867665"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195,512,738.74</w:t>
            </w:r>
          </w:p>
        </w:tc>
        <w:tc>
          <w:tcPr>
            <w:tcW w:w="400" w:type="pct"/>
            <w:tcBorders>
              <w:top w:val="single" w:sz="4" w:space="0" w:color="auto"/>
              <w:left w:val="single" w:sz="4" w:space="0" w:color="auto"/>
              <w:bottom w:val="single" w:sz="4" w:space="0" w:color="auto"/>
              <w:right w:val="single" w:sz="4" w:space="0" w:color="auto"/>
            </w:tcBorders>
            <w:vAlign w:val="center"/>
          </w:tcPr>
          <w:p w14:paraId="2078F163"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2.33</w:t>
            </w:r>
          </w:p>
        </w:tc>
      </w:tr>
      <w:tr w:rsidR="004C65FB" w14:paraId="23140E4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255E6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5A30144"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7974467F"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1,499,165,198.58</w:t>
            </w:r>
          </w:p>
        </w:tc>
        <w:tc>
          <w:tcPr>
            <w:tcW w:w="400" w:type="pct"/>
            <w:tcBorders>
              <w:top w:val="single" w:sz="4" w:space="0" w:color="auto"/>
              <w:left w:val="single" w:sz="4" w:space="0" w:color="auto"/>
              <w:bottom w:val="single" w:sz="4" w:space="0" w:color="auto"/>
              <w:right w:val="single" w:sz="4" w:space="0" w:color="auto"/>
            </w:tcBorders>
            <w:vAlign w:val="center"/>
          </w:tcPr>
          <w:p w14:paraId="7CC16A32"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17.83</w:t>
            </w:r>
          </w:p>
        </w:tc>
      </w:tr>
      <w:tr w:rsidR="004C65FB" w14:paraId="45F6C7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758FD7" w14:textId="77777777" w:rsidR="004C65FB" w:rsidRDefault="004C65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01C0C3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2F0D5D0B"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EB73847"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452B230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635110"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8299AF8"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5F2AF2DC"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2,469,740,824.72</w:t>
            </w:r>
          </w:p>
        </w:tc>
        <w:tc>
          <w:tcPr>
            <w:tcW w:w="400" w:type="pct"/>
            <w:tcBorders>
              <w:top w:val="single" w:sz="4" w:space="0" w:color="auto"/>
              <w:left w:val="single" w:sz="4" w:space="0" w:color="auto"/>
              <w:bottom w:val="single" w:sz="4" w:space="0" w:color="auto"/>
              <w:right w:val="single" w:sz="4" w:space="0" w:color="auto"/>
            </w:tcBorders>
            <w:vAlign w:val="center"/>
          </w:tcPr>
          <w:p w14:paraId="0DB3C8CD"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29.38</w:t>
            </w:r>
          </w:p>
        </w:tc>
      </w:tr>
      <w:tr w:rsidR="004C65FB" w14:paraId="235869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EAE8F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8F7C1B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43CE701A"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837,579.33</w:t>
            </w:r>
          </w:p>
        </w:tc>
        <w:tc>
          <w:tcPr>
            <w:tcW w:w="400" w:type="pct"/>
            <w:tcBorders>
              <w:top w:val="single" w:sz="4" w:space="0" w:color="auto"/>
              <w:left w:val="single" w:sz="4" w:space="0" w:color="auto"/>
              <w:bottom w:val="single" w:sz="4" w:space="0" w:color="auto"/>
              <w:right w:val="single" w:sz="4" w:space="0" w:color="auto"/>
            </w:tcBorders>
            <w:vAlign w:val="center"/>
          </w:tcPr>
          <w:p w14:paraId="61AF7640"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4C65FB" w14:paraId="73D704B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C74A06"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56F92E3"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4462C59D"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8,407,383,232.65</w:t>
            </w:r>
          </w:p>
        </w:tc>
        <w:tc>
          <w:tcPr>
            <w:tcW w:w="400" w:type="pct"/>
            <w:tcBorders>
              <w:top w:val="single" w:sz="4" w:space="0" w:color="auto"/>
              <w:left w:val="single" w:sz="4" w:space="0" w:color="auto"/>
              <w:bottom w:val="single" w:sz="4" w:space="0" w:color="auto"/>
              <w:right w:val="single" w:sz="4" w:space="0" w:color="auto"/>
            </w:tcBorders>
            <w:vAlign w:val="center"/>
          </w:tcPr>
          <w:p w14:paraId="1C43E5E3"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1ADDA73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2、报告期债券回购融资情况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C65FB" w14:paraId="62AFDE9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465D49C"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19A2B68"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4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7FFA3D"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C65FB" w14:paraId="7B112B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FBE87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1</w:t>
            </w:r>
          </w:p>
        </w:tc>
        <w:tc>
          <w:tcPr>
            <w:tcW w:w="750" w:type="pct"/>
            <w:tcBorders>
              <w:top w:val="single" w:sz="4" w:space="0" w:color="auto"/>
              <w:left w:val="single" w:sz="4" w:space="0" w:color="auto"/>
              <w:bottom w:val="single" w:sz="4" w:space="0" w:color="auto"/>
              <w:right w:val="single" w:sz="4" w:space="0" w:color="auto"/>
            </w:tcBorders>
            <w:vAlign w:val="center"/>
          </w:tcPr>
          <w:p w14:paraId="4E11858D"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报告期内债券回购融资余额</w:t>
            </w: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113D6325"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12.96</w:t>
            </w:r>
          </w:p>
        </w:tc>
      </w:tr>
      <w:tr w:rsidR="004C65FB" w14:paraId="232608E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C47BC2" w14:textId="77777777" w:rsidR="004C65FB" w:rsidRDefault="004C65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8CCB670"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其中：买断式回购融资</w:t>
            </w: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607FD548"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2C5170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2FF596"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1BED3E68"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14:paraId="777FD71F"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vAlign w:val="center"/>
          </w:tcPr>
          <w:p w14:paraId="7E6CBB11"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C65FB" w14:paraId="63D972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4D9D20"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B91B11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报告期末债券回购融资余额</w:t>
            </w:r>
          </w:p>
        </w:tc>
        <w:tc>
          <w:tcPr>
            <w:tcW w:w="750" w:type="pct"/>
            <w:tcBorders>
              <w:top w:val="single" w:sz="4" w:space="0" w:color="auto"/>
              <w:left w:val="single" w:sz="4" w:space="0" w:color="auto"/>
              <w:bottom w:val="single" w:sz="4" w:space="0" w:color="auto"/>
              <w:right w:val="single" w:sz="4" w:space="0" w:color="auto"/>
            </w:tcBorders>
            <w:vAlign w:val="center"/>
          </w:tcPr>
          <w:p w14:paraId="1F437861"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938,176,307.27</w:t>
            </w:r>
          </w:p>
        </w:tc>
        <w:tc>
          <w:tcPr>
            <w:tcW w:w="400" w:type="pct"/>
            <w:tcBorders>
              <w:top w:val="single" w:sz="4" w:space="0" w:color="auto"/>
              <w:left w:val="single" w:sz="4" w:space="0" w:color="auto"/>
              <w:bottom w:val="single" w:sz="4" w:space="0" w:color="auto"/>
              <w:right w:val="single" w:sz="4" w:space="0" w:color="auto"/>
            </w:tcBorders>
            <w:vAlign w:val="center"/>
          </w:tcPr>
          <w:p w14:paraId="7A6DDD8D"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12.57</w:t>
            </w:r>
          </w:p>
        </w:tc>
      </w:tr>
      <w:tr w:rsidR="004C65FB" w14:paraId="7007F0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197AA8" w14:textId="77777777" w:rsidR="004C65FB" w:rsidRDefault="004C65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4835319"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其中：买断式回购融资</w:t>
            </w:r>
          </w:p>
        </w:tc>
        <w:tc>
          <w:tcPr>
            <w:tcW w:w="750" w:type="pct"/>
            <w:tcBorders>
              <w:top w:val="single" w:sz="4" w:space="0" w:color="auto"/>
              <w:left w:val="single" w:sz="4" w:space="0" w:color="auto"/>
              <w:bottom w:val="single" w:sz="4" w:space="0" w:color="auto"/>
              <w:right w:val="single" w:sz="4" w:space="0" w:color="auto"/>
            </w:tcBorders>
            <w:vAlign w:val="center"/>
          </w:tcPr>
          <w:p w14:paraId="6D17DEA4"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7C51D75"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bl>
    <w:p w14:paraId="7B9A181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注：报告期内债券回购融资余额占基金资产净值的比例为报告期内每个银行间市场交易日融资余额占资产净值比例的简单平均值。</w:t>
      </w:r>
    </w:p>
    <w:p w14:paraId="619B99C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债券正回购的资金余额超过基金资产净值的20%的说明</w:t>
      </w:r>
    </w:p>
    <w:p w14:paraId="296641C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2F63FC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3、基金投资组合平均剩余期限</w:t>
      </w:r>
    </w:p>
    <w:p w14:paraId="4BF91F3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投资组合平均剩余期限基本情况</w:t>
      </w:r>
    </w:p>
    <w:tbl>
      <w:tblPr>
        <w:tblW w:w="5000" w:type="pct"/>
        <w:tblCellMar>
          <w:left w:w="0" w:type="dxa"/>
          <w:right w:w="0" w:type="dxa"/>
        </w:tblCellMar>
        <w:tblLook w:val="0000" w:firstRow="0" w:lastRow="0" w:firstColumn="0" w:lastColumn="0" w:noHBand="0" w:noVBand="0"/>
      </w:tblPr>
      <w:tblGrid>
        <w:gridCol w:w="4325"/>
        <w:gridCol w:w="4325"/>
      </w:tblGrid>
      <w:tr w:rsidR="004C65FB" w14:paraId="1B89885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F2E5E3D"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0E20FE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天数</w:t>
            </w:r>
          </w:p>
        </w:tc>
      </w:tr>
      <w:tr w:rsidR="004C65FB" w14:paraId="050E3BD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63FF62E"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报告期末投资组合平均剩余期限</w:t>
            </w:r>
          </w:p>
        </w:tc>
        <w:tc>
          <w:tcPr>
            <w:tcW w:w="750" w:type="pct"/>
            <w:tcBorders>
              <w:top w:val="single" w:sz="4" w:space="0" w:color="auto"/>
              <w:left w:val="single" w:sz="4" w:space="0" w:color="auto"/>
              <w:bottom w:val="single" w:sz="4" w:space="0" w:color="auto"/>
              <w:right w:val="single" w:sz="4" w:space="0" w:color="auto"/>
            </w:tcBorders>
            <w:vAlign w:val="center"/>
          </w:tcPr>
          <w:p w14:paraId="5ED3F942"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84</w:t>
            </w:r>
          </w:p>
        </w:tc>
      </w:tr>
      <w:tr w:rsidR="004C65FB" w14:paraId="41301A0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E193E15"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报告期内投资组合平均剩余期限最高值</w:t>
            </w:r>
          </w:p>
        </w:tc>
        <w:tc>
          <w:tcPr>
            <w:tcW w:w="750" w:type="pct"/>
            <w:tcBorders>
              <w:top w:val="single" w:sz="4" w:space="0" w:color="auto"/>
              <w:left w:val="single" w:sz="4" w:space="0" w:color="auto"/>
              <w:bottom w:val="single" w:sz="4" w:space="0" w:color="auto"/>
              <w:right w:val="single" w:sz="4" w:space="0" w:color="auto"/>
            </w:tcBorders>
            <w:vAlign w:val="center"/>
          </w:tcPr>
          <w:p w14:paraId="796F62D9"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101</w:t>
            </w:r>
          </w:p>
        </w:tc>
      </w:tr>
      <w:tr w:rsidR="004C65FB" w14:paraId="57CEE15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D62D69B"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报告期内投资组合平均剩余期限最低值</w:t>
            </w:r>
          </w:p>
        </w:tc>
        <w:tc>
          <w:tcPr>
            <w:tcW w:w="750" w:type="pct"/>
            <w:tcBorders>
              <w:top w:val="single" w:sz="4" w:space="0" w:color="auto"/>
              <w:left w:val="single" w:sz="4" w:space="0" w:color="auto"/>
              <w:bottom w:val="single" w:sz="4" w:space="0" w:color="auto"/>
              <w:right w:val="single" w:sz="4" w:space="0" w:color="auto"/>
            </w:tcBorders>
            <w:vAlign w:val="center"/>
          </w:tcPr>
          <w:p w14:paraId="03CFD945"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49</w:t>
            </w:r>
          </w:p>
        </w:tc>
      </w:tr>
    </w:tbl>
    <w:p w14:paraId="36A7A61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报告期内投资组合平均剩余期限超过120天情况说明</w:t>
      </w:r>
    </w:p>
    <w:p w14:paraId="589A9D6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E94B62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 报告期末投资组合平均剩余期限分布比例</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C65FB" w14:paraId="08CB2DF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A1DED08"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91B4272"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平均剩余期限</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5D0D087"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各期限资产占基金资产净值的比例（</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6DC9EF6"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各期限负债占基金资产净值的比例（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C65FB" w14:paraId="368738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B02F07"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30923D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14:paraId="10B1CD19"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19.57</w:t>
            </w:r>
          </w:p>
        </w:tc>
        <w:tc>
          <w:tcPr>
            <w:tcW w:w="400" w:type="pct"/>
            <w:tcBorders>
              <w:top w:val="single" w:sz="4" w:space="0" w:color="auto"/>
              <w:left w:val="single" w:sz="4" w:space="0" w:color="auto"/>
              <w:bottom w:val="single" w:sz="4" w:space="0" w:color="auto"/>
              <w:right w:val="single" w:sz="4" w:space="0" w:color="auto"/>
            </w:tcBorders>
            <w:vAlign w:val="center"/>
          </w:tcPr>
          <w:p w14:paraId="1015FC92"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12.56</w:t>
            </w:r>
          </w:p>
        </w:tc>
      </w:tr>
      <w:tr w:rsidR="004C65FB" w14:paraId="353BAC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8670A0"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C9BA7DB"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14:paraId="0A834E9C"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A6B662D"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49073D8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4F0681"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BB96398"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天（含）</w:t>
            </w:r>
            <w:r>
              <w:rPr>
                <w:rFonts w:ascii="Times New Roman" w:hAnsi="Times New Roman"/>
                <w:color w:val="000000"/>
                <w:kern w:val="0"/>
                <w:sz w:val="25"/>
                <w:szCs w:val="24"/>
              </w:rPr>
              <w:t>—60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422EAB2A"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12.08</w:t>
            </w:r>
          </w:p>
        </w:tc>
        <w:tc>
          <w:tcPr>
            <w:tcW w:w="400" w:type="pct"/>
            <w:tcBorders>
              <w:top w:val="single" w:sz="4" w:space="0" w:color="auto"/>
              <w:left w:val="single" w:sz="4" w:space="0" w:color="auto"/>
              <w:bottom w:val="single" w:sz="4" w:space="0" w:color="auto"/>
              <w:right w:val="single" w:sz="4" w:space="0" w:color="auto"/>
            </w:tcBorders>
            <w:vAlign w:val="center"/>
          </w:tcPr>
          <w:p w14:paraId="1369484C"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51F8E73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CFA361"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79BBA37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14:paraId="2E7A12C6"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C2EFEFD"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246C8DB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CAB80A"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0034508"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60</w:t>
            </w:r>
            <w:r>
              <w:rPr>
                <w:rFonts w:ascii="Times New Roman" w:hAnsi="Times New Roman"/>
                <w:color w:val="000000"/>
                <w:kern w:val="0"/>
                <w:sz w:val="25"/>
                <w:szCs w:val="24"/>
              </w:rPr>
              <w:t>天（含）</w:t>
            </w:r>
            <w:r>
              <w:rPr>
                <w:rFonts w:ascii="Times New Roman" w:hAnsi="Times New Roman"/>
                <w:color w:val="000000"/>
                <w:kern w:val="0"/>
                <w:sz w:val="25"/>
                <w:szCs w:val="24"/>
              </w:rPr>
              <w:t>—90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187BFEE1"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61.79</w:t>
            </w:r>
          </w:p>
        </w:tc>
        <w:tc>
          <w:tcPr>
            <w:tcW w:w="400" w:type="pct"/>
            <w:tcBorders>
              <w:top w:val="single" w:sz="4" w:space="0" w:color="auto"/>
              <w:left w:val="single" w:sz="4" w:space="0" w:color="auto"/>
              <w:bottom w:val="single" w:sz="4" w:space="0" w:color="auto"/>
              <w:right w:val="single" w:sz="4" w:space="0" w:color="auto"/>
            </w:tcBorders>
            <w:vAlign w:val="center"/>
          </w:tcPr>
          <w:p w14:paraId="67EDAF57"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6B3B793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854CE4"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BE3B57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14:paraId="49B6ADEA"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03ACF9D"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1163779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A57816"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DFCD50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90</w:t>
            </w:r>
            <w:r>
              <w:rPr>
                <w:rFonts w:ascii="Times New Roman" w:hAnsi="Times New Roman"/>
                <w:color w:val="000000"/>
                <w:kern w:val="0"/>
                <w:sz w:val="25"/>
                <w:szCs w:val="24"/>
              </w:rPr>
              <w:t>天（含）</w:t>
            </w:r>
            <w:r>
              <w:rPr>
                <w:rFonts w:ascii="Times New Roman" w:hAnsi="Times New Roman"/>
                <w:color w:val="000000"/>
                <w:kern w:val="0"/>
                <w:sz w:val="25"/>
                <w:szCs w:val="24"/>
              </w:rPr>
              <w:t>—120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47867DF6"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2.70</w:t>
            </w:r>
          </w:p>
        </w:tc>
        <w:tc>
          <w:tcPr>
            <w:tcW w:w="400" w:type="pct"/>
            <w:tcBorders>
              <w:top w:val="single" w:sz="4" w:space="0" w:color="auto"/>
              <w:left w:val="single" w:sz="4" w:space="0" w:color="auto"/>
              <w:bottom w:val="single" w:sz="4" w:space="0" w:color="auto"/>
              <w:right w:val="single" w:sz="4" w:space="0" w:color="auto"/>
            </w:tcBorders>
            <w:vAlign w:val="center"/>
          </w:tcPr>
          <w:p w14:paraId="0D9B1439"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14B524B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F0C8FB"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35B243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14:paraId="1A8851EE"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ABBE10A"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47471E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4E1923"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5</w:t>
            </w:r>
          </w:p>
        </w:tc>
        <w:tc>
          <w:tcPr>
            <w:tcW w:w="750" w:type="pct"/>
            <w:tcBorders>
              <w:top w:val="single" w:sz="4" w:space="0" w:color="auto"/>
              <w:left w:val="single" w:sz="4" w:space="0" w:color="auto"/>
              <w:bottom w:val="single" w:sz="4" w:space="0" w:color="auto"/>
              <w:right w:val="single" w:sz="4" w:space="0" w:color="auto"/>
            </w:tcBorders>
            <w:vAlign w:val="center"/>
          </w:tcPr>
          <w:p w14:paraId="4326FDF9"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120</w:t>
            </w:r>
            <w:r>
              <w:rPr>
                <w:rFonts w:ascii="Times New Roman" w:hAnsi="Times New Roman"/>
                <w:color w:val="000000"/>
                <w:kern w:val="0"/>
                <w:sz w:val="25"/>
                <w:szCs w:val="24"/>
              </w:rPr>
              <w:t>天（含）</w:t>
            </w:r>
            <w:r>
              <w:rPr>
                <w:rFonts w:ascii="Times New Roman" w:hAnsi="Times New Roman"/>
                <w:color w:val="000000"/>
                <w:kern w:val="0"/>
                <w:sz w:val="25"/>
                <w:szCs w:val="24"/>
              </w:rPr>
              <w:t>—397</w:t>
            </w:r>
            <w:r>
              <w:rPr>
                <w:rFonts w:ascii="Times New Roman" w:hAnsi="Times New Roman"/>
                <w:color w:val="000000"/>
                <w:kern w:val="0"/>
                <w:sz w:val="25"/>
                <w:szCs w:val="24"/>
              </w:rPr>
              <w:t>天（含）</w:t>
            </w:r>
          </w:p>
        </w:tc>
        <w:tc>
          <w:tcPr>
            <w:tcW w:w="750" w:type="pct"/>
            <w:tcBorders>
              <w:top w:val="single" w:sz="4" w:space="0" w:color="auto"/>
              <w:left w:val="single" w:sz="4" w:space="0" w:color="auto"/>
              <w:bottom w:val="single" w:sz="4" w:space="0" w:color="auto"/>
              <w:right w:val="single" w:sz="4" w:space="0" w:color="auto"/>
            </w:tcBorders>
            <w:vAlign w:val="center"/>
          </w:tcPr>
          <w:p w14:paraId="49EA2461"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16.10</w:t>
            </w:r>
          </w:p>
        </w:tc>
        <w:tc>
          <w:tcPr>
            <w:tcW w:w="400" w:type="pct"/>
            <w:tcBorders>
              <w:top w:val="single" w:sz="4" w:space="0" w:color="auto"/>
              <w:left w:val="single" w:sz="4" w:space="0" w:color="auto"/>
              <w:bottom w:val="single" w:sz="4" w:space="0" w:color="auto"/>
              <w:right w:val="single" w:sz="4" w:space="0" w:color="auto"/>
            </w:tcBorders>
            <w:vAlign w:val="center"/>
          </w:tcPr>
          <w:p w14:paraId="36827ECC"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520E39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E6E6A52"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3CF173E0"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14:paraId="15F73909"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853CDE2"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54B6EDAC" w14:textId="77777777">
        <w:trPr>
          <w:cantSplit/>
          <w:trHeight w:val="375"/>
        </w:trPr>
        <w:tc>
          <w:tcPr>
            <w:tcW w:w="250" w:type="pct"/>
            <w:gridSpan w:val="2"/>
            <w:tcBorders>
              <w:top w:val="single" w:sz="4" w:space="0" w:color="auto"/>
              <w:left w:val="single" w:sz="4" w:space="0" w:color="auto"/>
              <w:bottom w:val="single" w:sz="4" w:space="0" w:color="auto"/>
              <w:right w:val="single" w:sz="4" w:space="0" w:color="auto"/>
            </w:tcBorders>
            <w:vAlign w:val="center"/>
          </w:tcPr>
          <w:p w14:paraId="06B1B121"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69E4FD2D"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112.23</w:t>
            </w:r>
          </w:p>
        </w:tc>
        <w:tc>
          <w:tcPr>
            <w:tcW w:w="400" w:type="pct"/>
            <w:tcBorders>
              <w:top w:val="single" w:sz="4" w:space="0" w:color="auto"/>
              <w:left w:val="single" w:sz="4" w:space="0" w:color="auto"/>
              <w:bottom w:val="single" w:sz="4" w:space="0" w:color="auto"/>
              <w:right w:val="single" w:sz="4" w:space="0" w:color="auto"/>
            </w:tcBorders>
            <w:vAlign w:val="center"/>
          </w:tcPr>
          <w:p w14:paraId="10D19E69"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12.56</w:t>
            </w:r>
          </w:p>
        </w:tc>
      </w:tr>
    </w:tbl>
    <w:p w14:paraId="08C8BCE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4、报告期内投资组合平均剩余存续期超过240天情况说明</w:t>
      </w:r>
    </w:p>
    <w:p w14:paraId="1804709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注：本基金本报告期内投资组合平均剩余存续期限未超过240天。</w:t>
      </w:r>
    </w:p>
    <w:p w14:paraId="7D6130C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C65FB" w14:paraId="0B086A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499BBF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8CC622B"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3DF065C"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摊余成本（元）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1E0398C4"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C65FB" w14:paraId="4CE9F3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EB6FEB"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F31710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36C9C72D"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39,865,161.62</w:t>
            </w:r>
          </w:p>
        </w:tc>
        <w:tc>
          <w:tcPr>
            <w:tcW w:w="400" w:type="pct"/>
            <w:tcBorders>
              <w:top w:val="single" w:sz="4" w:space="0" w:color="auto"/>
              <w:left w:val="single" w:sz="4" w:space="0" w:color="auto"/>
              <w:bottom w:val="single" w:sz="4" w:space="0" w:color="auto"/>
              <w:right w:val="single" w:sz="4" w:space="0" w:color="auto"/>
            </w:tcBorders>
            <w:vAlign w:val="center"/>
          </w:tcPr>
          <w:p w14:paraId="75EAD493"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0.53</w:t>
            </w:r>
          </w:p>
        </w:tc>
      </w:tr>
      <w:tr w:rsidR="004C65FB" w14:paraId="161CB1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28B4F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2B2F3D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464275D2"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EAEE1E3"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50310C3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C62B51"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E78BB0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78AD1938"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365,533,873.50</w:t>
            </w:r>
          </w:p>
        </w:tc>
        <w:tc>
          <w:tcPr>
            <w:tcW w:w="400" w:type="pct"/>
            <w:tcBorders>
              <w:top w:val="single" w:sz="4" w:space="0" w:color="auto"/>
              <w:left w:val="single" w:sz="4" w:space="0" w:color="auto"/>
              <w:bottom w:val="single" w:sz="4" w:space="0" w:color="auto"/>
              <w:right w:val="single" w:sz="4" w:space="0" w:color="auto"/>
            </w:tcBorders>
            <w:vAlign w:val="center"/>
          </w:tcPr>
          <w:p w14:paraId="23AD7367"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4.90</w:t>
            </w:r>
          </w:p>
        </w:tc>
      </w:tr>
      <w:tr w:rsidR="004C65FB" w14:paraId="2C025D2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AE4CA3"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2DBEB49A"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082331F2"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365,533,873.50</w:t>
            </w:r>
          </w:p>
        </w:tc>
        <w:tc>
          <w:tcPr>
            <w:tcW w:w="400" w:type="pct"/>
            <w:tcBorders>
              <w:top w:val="single" w:sz="4" w:space="0" w:color="auto"/>
              <w:left w:val="single" w:sz="4" w:space="0" w:color="auto"/>
              <w:bottom w:val="single" w:sz="4" w:space="0" w:color="auto"/>
              <w:right w:val="single" w:sz="4" w:space="0" w:color="auto"/>
            </w:tcBorders>
            <w:vAlign w:val="center"/>
          </w:tcPr>
          <w:p w14:paraId="493FB4A8"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4.90</w:t>
            </w:r>
          </w:p>
        </w:tc>
      </w:tr>
      <w:tr w:rsidR="004C65FB" w14:paraId="401C893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BCB659"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FAC66F8"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43F73500"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DB9130B"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2B3BF5E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C9563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3FCE474"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57D50EA1"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1,328,787,651.76</w:t>
            </w:r>
          </w:p>
        </w:tc>
        <w:tc>
          <w:tcPr>
            <w:tcW w:w="400" w:type="pct"/>
            <w:tcBorders>
              <w:top w:val="single" w:sz="4" w:space="0" w:color="auto"/>
              <w:left w:val="single" w:sz="4" w:space="0" w:color="auto"/>
              <w:bottom w:val="single" w:sz="4" w:space="0" w:color="auto"/>
              <w:right w:val="single" w:sz="4" w:space="0" w:color="auto"/>
            </w:tcBorders>
            <w:vAlign w:val="center"/>
          </w:tcPr>
          <w:p w14:paraId="239F242F"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17.80</w:t>
            </w:r>
          </w:p>
        </w:tc>
      </w:tr>
      <w:tr w:rsidR="004C65FB" w14:paraId="37BEC9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55FFDB"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C4532FA"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25C16010"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51,450,697.21</w:t>
            </w:r>
          </w:p>
        </w:tc>
        <w:tc>
          <w:tcPr>
            <w:tcW w:w="400" w:type="pct"/>
            <w:tcBorders>
              <w:top w:val="single" w:sz="4" w:space="0" w:color="auto"/>
              <w:left w:val="single" w:sz="4" w:space="0" w:color="auto"/>
              <w:bottom w:val="single" w:sz="4" w:space="0" w:color="auto"/>
              <w:right w:val="single" w:sz="4" w:space="0" w:color="auto"/>
            </w:tcBorders>
            <w:vAlign w:val="center"/>
          </w:tcPr>
          <w:p w14:paraId="068F04FB"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0.69</w:t>
            </w:r>
          </w:p>
        </w:tc>
      </w:tr>
      <w:tr w:rsidR="004C65FB" w14:paraId="766C98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4070EC"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C38C9AE"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499DD7AD"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2,456,489,507.19</w:t>
            </w:r>
          </w:p>
        </w:tc>
        <w:tc>
          <w:tcPr>
            <w:tcW w:w="400" w:type="pct"/>
            <w:tcBorders>
              <w:top w:val="single" w:sz="4" w:space="0" w:color="auto"/>
              <w:left w:val="single" w:sz="4" w:space="0" w:color="auto"/>
              <w:bottom w:val="single" w:sz="4" w:space="0" w:color="auto"/>
              <w:right w:val="single" w:sz="4" w:space="0" w:color="auto"/>
            </w:tcBorders>
            <w:vAlign w:val="center"/>
          </w:tcPr>
          <w:p w14:paraId="4767DBEB"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32.90</w:t>
            </w:r>
          </w:p>
        </w:tc>
      </w:tr>
      <w:tr w:rsidR="004C65FB" w14:paraId="0789468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25D67B"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9A2046D"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479097F9"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1230526"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26E1AC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63FDC4"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F0B15AD"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174B8702"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4,242,126,891.28</w:t>
            </w:r>
          </w:p>
        </w:tc>
        <w:tc>
          <w:tcPr>
            <w:tcW w:w="400" w:type="pct"/>
            <w:tcBorders>
              <w:top w:val="single" w:sz="4" w:space="0" w:color="auto"/>
              <w:left w:val="single" w:sz="4" w:space="0" w:color="auto"/>
              <w:bottom w:val="single" w:sz="4" w:space="0" w:color="auto"/>
              <w:right w:val="single" w:sz="4" w:space="0" w:color="auto"/>
            </w:tcBorders>
            <w:vAlign w:val="center"/>
          </w:tcPr>
          <w:p w14:paraId="478726A0"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56.82</w:t>
            </w:r>
          </w:p>
        </w:tc>
      </w:tr>
      <w:tr w:rsidR="004C65FB" w14:paraId="1ACC18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9920AF"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F87BDD5"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天的浮动利率债券</w:t>
            </w:r>
          </w:p>
        </w:tc>
        <w:tc>
          <w:tcPr>
            <w:tcW w:w="750" w:type="pct"/>
            <w:tcBorders>
              <w:top w:val="single" w:sz="4" w:space="0" w:color="auto"/>
              <w:left w:val="single" w:sz="4" w:space="0" w:color="auto"/>
              <w:bottom w:val="single" w:sz="4" w:space="0" w:color="auto"/>
              <w:right w:val="single" w:sz="4" w:space="0" w:color="auto"/>
            </w:tcBorders>
            <w:vAlign w:val="center"/>
          </w:tcPr>
          <w:p w14:paraId="358A4934"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5272BE8"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bl>
    <w:p w14:paraId="22E25E8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6、报告期末按摊余成本占基金资产净值比例大小排名的前十名债券投资明细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4C65FB" w14:paraId="0D33E6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1513A22"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4300312"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0F27F6A"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20ECFFD"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D4DE583"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摊余成本（元）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06AD32B"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C65FB" w14:paraId="5A781B1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28FEB7"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EC0829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112287866</w:t>
            </w:r>
          </w:p>
        </w:tc>
        <w:tc>
          <w:tcPr>
            <w:tcW w:w="750" w:type="pct"/>
            <w:tcBorders>
              <w:top w:val="single" w:sz="4" w:space="0" w:color="auto"/>
              <w:left w:val="single" w:sz="4" w:space="0" w:color="auto"/>
              <w:bottom w:val="single" w:sz="4" w:space="0" w:color="auto"/>
              <w:right w:val="single" w:sz="4" w:space="0" w:color="auto"/>
            </w:tcBorders>
            <w:vAlign w:val="center"/>
          </w:tcPr>
          <w:p w14:paraId="0A5E4847"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甘肃银行</w:t>
            </w:r>
            <w:r>
              <w:rPr>
                <w:rFonts w:ascii="Times New Roman" w:hAnsi="Times New Roman"/>
                <w:color w:val="000000"/>
                <w:kern w:val="0"/>
                <w:sz w:val="25"/>
                <w:szCs w:val="24"/>
              </w:rPr>
              <w:t>CD163</w:t>
            </w:r>
          </w:p>
        </w:tc>
        <w:tc>
          <w:tcPr>
            <w:tcW w:w="750" w:type="pct"/>
            <w:tcBorders>
              <w:top w:val="single" w:sz="4" w:space="0" w:color="auto"/>
              <w:left w:val="single" w:sz="4" w:space="0" w:color="auto"/>
              <w:bottom w:val="single" w:sz="4" w:space="0" w:color="auto"/>
              <w:right w:val="single" w:sz="4" w:space="0" w:color="auto"/>
            </w:tcBorders>
            <w:vAlign w:val="center"/>
          </w:tcPr>
          <w:p w14:paraId="5E077D78"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2,000,000</w:t>
            </w:r>
          </w:p>
        </w:tc>
        <w:tc>
          <w:tcPr>
            <w:tcW w:w="750" w:type="pct"/>
            <w:tcBorders>
              <w:top w:val="single" w:sz="4" w:space="0" w:color="auto"/>
              <w:left w:val="single" w:sz="4" w:space="0" w:color="auto"/>
              <w:bottom w:val="single" w:sz="4" w:space="0" w:color="auto"/>
              <w:right w:val="single" w:sz="4" w:space="0" w:color="auto"/>
            </w:tcBorders>
            <w:vAlign w:val="center"/>
          </w:tcPr>
          <w:p w14:paraId="60654ED7"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199,162,351.59</w:t>
            </w:r>
          </w:p>
        </w:tc>
        <w:tc>
          <w:tcPr>
            <w:tcW w:w="750" w:type="pct"/>
            <w:tcBorders>
              <w:top w:val="single" w:sz="4" w:space="0" w:color="auto"/>
              <w:left w:val="single" w:sz="4" w:space="0" w:color="auto"/>
              <w:bottom w:val="single" w:sz="4" w:space="0" w:color="auto"/>
              <w:right w:val="single" w:sz="4" w:space="0" w:color="auto"/>
            </w:tcBorders>
            <w:vAlign w:val="center"/>
          </w:tcPr>
          <w:p w14:paraId="298E7DAD"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2.67</w:t>
            </w:r>
          </w:p>
        </w:tc>
      </w:tr>
      <w:tr w:rsidR="004C65FB" w14:paraId="461EC14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B3C82C"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8132E21"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112288112</w:t>
            </w:r>
          </w:p>
        </w:tc>
        <w:tc>
          <w:tcPr>
            <w:tcW w:w="750" w:type="pct"/>
            <w:tcBorders>
              <w:top w:val="single" w:sz="4" w:space="0" w:color="auto"/>
              <w:left w:val="single" w:sz="4" w:space="0" w:color="auto"/>
              <w:bottom w:val="single" w:sz="4" w:space="0" w:color="auto"/>
              <w:right w:val="single" w:sz="4" w:space="0" w:color="auto"/>
            </w:tcBorders>
            <w:vAlign w:val="center"/>
          </w:tcPr>
          <w:p w14:paraId="02DD8248"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晋商银行</w:t>
            </w:r>
            <w:r>
              <w:rPr>
                <w:rFonts w:ascii="Times New Roman" w:hAnsi="Times New Roman"/>
                <w:color w:val="000000"/>
                <w:kern w:val="0"/>
                <w:sz w:val="25"/>
                <w:szCs w:val="24"/>
              </w:rPr>
              <w:t>CD096</w:t>
            </w:r>
          </w:p>
        </w:tc>
        <w:tc>
          <w:tcPr>
            <w:tcW w:w="750" w:type="pct"/>
            <w:tcBorders>
              <w:top w:val="single" w:sz="4" w:space="0" w:color="auto"/>
              <w:left w:val="single" w:sz="4" w:space="0" w:color="auto"/>
              <w:bottom w:val="single" w:sz="4" w:space="0" w:color="auto"/>
              <w:right w:val="single" w:sz="4" w:space="0" w:color="auto"/>
            </w:tcBorders>
            <w:vAlign w:val="center"/>
          </w:tcPr>
          <w:p w14:paraId="06DBB2EA"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2,000,000</w:t>
            </w:r>
          </w:p>
        </w:tc>
        <w:tc>
          <w:tcPr>
            <w:tcW w:w="750" w:type="pct"/>
            <w:tcBorders>
              <w:top w:val="single" w:sz="4" w:space="0" w:color="auto"/>
              <w:left w:val="single" w:sz="4" w:space="0" w:color="auto"/>
              <w:bottom w:val="single" w:sz="4" w:space="0" w:color="auto"/>
              <w:right w:val="single" w:sz="4" w:space="0" w:color="auto"/>
            </w:tcBorders>
            <w:vAlign w:val="center"/>
          </w:tcPr>
          <w:p w14:paraId="356B7BAD"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199,112,003.04</w:t>
            </w:r>
          </w:p>
        </w:tc>
        <w:tc>
          <w:tcPr>
            <w:tcW w:w="750" w:type="pct"/>
            <w:tcBorders>
              <w:top w:val="single" w:sz="4" w:space="0" w:color="auto"/>
              <w:left w:val="single" w:sz="4" w:space="0" w:color="auto"/>
              <w:bottom w:val="single" w:sz="4" w:space="0" w:color="auto"/>
              <w:right w:val="single" w:sz="4" w:space="0" w:color="auto"/>
            </w:tcBorders>
            <w:vAlign w:val="center"/>
          </w:tcPr>
          <w:p w14:paraId="77745CF3"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2.67</w:t>
            </w:r>
          </w:p>
        </w:tc>
      </w:tr>
      <w:tr w:rsidR="004C65FB" w14:paraId="14D391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E982F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D51B364"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112288181</w:t>
            </w:r>
          </w:p>
        </w:tc>
        <w:tc>
          <w:tcPr>
            <w:tcW w:w="750" w:type="pct"/>
            <w:tcBorders>
              <w:top w:val="single" w:sz="4" w:space="0" w:color="auto"/>
              <w:left w:val="single" w:sz="4" w:space="0" w:color="auto"/>
              <w:bottom w:val="single" w:sz="4" w:space="0" w:color="auto"/>
              <w:right w:val="single" w:sz="4" w:space="0" w:color="auto"/>
            </w:tcBorders>
            <w:vAlign w:val="center"/>
          </w:tcPr>
          <w:p w14:paraId="325BDA9F"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天津农村商业银行</w:t>
            </w:r>
            <w:r>
              <w:rPr>
                <w:rFonts w:ascii="Times New Roman" w:hAnsi="Times New Roman"/>
                <w:color w:val="000000"/>
                <w:kern w:val="0"/>
                <w:sz w:val="25"/>
                <w:szCs w:val="24"/>
              </w:rPr>
              <w:t>CD170</w:t>
            </w:r>
          </w:p>
        </w:tc>
        <w:tc>
          <w:tcPr>
            <w:tcW w:w="750" w:type="pct"/>
            <w:tcBorders>
              <w:top w:val="single" w:sz="4" w:space="0" w:color="auto"/>
              <w:left w:val="single" w:sz="4" w:space="0" w:color="auto"/>
              <w:bottom w:val="single" w:sz="4" w:space="0" w:color="auto"/>
              <w:right w:val="single" w:sz="4" w:space="0" w:color="auto"/>
            </w:tcBorders>
            <w:vAlign w:val="center"/>
          </w:tcPr>
          <w:p w14:paraId="08DED0B2"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2,000,000</w:t>
            </w:r>
          </w:p>
        </w:tc>
        <w:tc>
          <w:tcPr>
            <w:tcW w:w="750" w:type="pct"/>
            <w:tcBorders>
              <w:top w:val="single" w:sz="4" w:space="0" w:color="auto"/>
              <w:left w:val="single" w:sz="4" w:space="0" w:color="auto"/>
              <w:bottom w:val="single" w:sz="4" w:space="0" w:color="auto"/>
              <w:right w:val="single" w:sz="4" w:space="0" w:color="auto"/>
            </w:tcBorders>
            <w:vAlign w:val="center"/>
          </w:tcPr>
          <w:p w14:paraId="66F8E25A"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199,077,677.41</w:t>
            </w:r>
          </w:p>
        </w:tc>
        <w:tc>
          <w:tcPr>
            <w:tcW w:w="750" w:type="pct"/>
            <w:tcBorders>
              <w:top w:val="single" w:sz="4" w:space="0" w:color="auto"/>
              <w:left w:val="single" w:sz="4" w:space="0" w:color="auto"/>
              <w:bottom w:val="single" w:sz="4" w:space="0" w:color="auto"/>
              <w:right w:val="single" w:sz="4" w:space="0" w:color="auto"/>
            </w:tcBorders>
            <w:vAlign w:val="center"/>
          </w:tcPr>
          <w:p w14:paraId="75107E8B"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2.67</w:t>
            </w:r>
          </w:p>
        </w:tc>
      </w:tr>
      <w:tr w:rsidR="004C65FB" w14:paraId="69E99EC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786712"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D16EC11"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112281725</w:t>
            </w:r>
          </w:p>
        </w:tc>
        <w:tc>
          <w:tcPr>
            <w:tcW w:w="750" w:type="pct"/>
            <w:tcBorders>
              <w:top w:val="single" w:sz="4" w:space="0" w:color="auto"/>
              <w:left w:val="single" w:sz="4" w:space="0" w:color="auto"/>
              <w:bottom w:val="single" w:sz="4" w:space="0" w:color="auto"/>
              <w:right w:val="single" w:sz="4" w:space="0" w:color="auto"/>
            </w:tcBorders>
            <w:vAlign w:val="center"/>
          </w:tcPr>
          <w:p w14:paraId="436B0970"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广西北部湾银行</w:t>
            </w:r>
            <w:r>
              <w:rPr>
                <w:rFonts w:ascii="Times New Roman" w:hAnsi="Times New Roman"/>
                <w:color w:val="000000"/>
                <w:kern w:val="0"/>
                <w:sz w:val="25"/>
                <w:szCs w:val="24"/>
              </w:rPr>
              <w:t>CD245</w:t>
            </w:r>
          </w:p>
        </w:tc>
        <w:tc>
          <w:tcPr>
            <w:tcW w:w="750" w:type="pct"/>
            <w:tcBorders>
              <w:top w:val="single" w:sz="4" w:space="0" w:color="auto"/>
              <w:left w:val="single" w:sz="4" w:space="0" w:color="auto"/>
              <w:bottom w:val="single" w:sz="4" w:space="0" w:color="auto"/>
              <w:right w:val="single" w:sz="4" w:space="0" w:color="auto"/>
            </w:tcBorders>
            <w:vAlign w:val="center"/>
          </w:tcPr>
          <w:p w14:paraId="7C55EF8A"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2,000,000</w:t>
            </w:r>
          </w:p>
        </w:tc>
        <w:tc>
          <w:tcPr>
            <w:tcW w:w="750" w:type="pct"/>
            <w:tcBorders>
              <w:top w:val="single" w:sz="4" w:space="0" w:color="auto"/>
              <w:left w:val="single" w:sz="4" w:space="0" w:color="auto"/>
              <w:bottom w:val="single" w:sz="4" w:space="0" w:color="auto"/>
              <w:right w:val="single" w:sz="4" w:space="0" w:color="auto"/>
            </w:tcBorders>
            <w:vAlign w:val="center"/>
          </w:tcPr>
          <w:p w14:paraId="07D389E1"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199,074,969.57</w:t>
            </w:r>
          </w:p>
        </w:tc>
        <w:tc>
          <w:tcPr>
            <w:tcW w:w="750" w:type="pct"/>
            <w:tcBorders>
              <w:top w:val="single" w:sz="4" w:space="0" w:color="auto"/>
              <w:left w:val="single" w:sz="4" w:space="0" w:color="auto"/>
              <w:bottom w:val="single" w:sz="4" w:space="0" w:color="auto"/>
              <w:right w:val="single" w:sz="4" w:space="0" w:color="auto"/>
            </w:tcBorders>
            <w:vAlign w:val="center"/>
          </w:tcPr>
          <w:p w14:paraId="595D433F"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2.67</w:t>
            </w:r>
          </w:p>
        </w:tc>
      </w:tr>
      <w:tr w:rsidR="004C65FB" w14:paraId="4C3239C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7E1349"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9B6B82D"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112221357</w:t>
            </w:r>
          </w:p>
        </w:tc>
        <w:tc>
          <w:tcPr>
            <w:tcW w:w="750" w:type="pct"/>
            <w:tcBorders>
              <w:top w:val="single" w:sz="4" w:space="0" w:color="auto"/>
              <w:left w:val="single" w:sz="4" w:space="0" w:color="auto"/>
              <w:bottom w:val="single" w:sz="4" w:space="0" w:color="auto"/>
              <w:right w:val="single" w:sz="4" w:space="0" w:color="auto"/>
            </w:tcBorders>
            <w:vAlign w:val="center"/>
          </w:tcPr>
          <w:p w14:paraId="71C47C53"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渤海银行</w:t>
            </w:r>
            <w:r>
              <w:rPr>
                <w:rFonts w:ascii="Times New Roman" w:hAnsi="Times New Roman"/>
                <w:color w:val="000000"/>
                <w:kern w:val="0"/>
                <w:sz w:val="25"/>
                <w:szCs w:val="24"/>
              </w:rPr>
              <w:t>CD357</w:t>
            </w:r>
          </w:p>
        </w:tc>
        <w:tc>
          <w:tcPr>
            <w:tcW w:w="750" w:type="pct"/>
            <w:tcBorders>
              <w:top w:val="single" w:sz="4" w:space="0" w:color="auto"/>
              <w:left w:val="single" w:sz="4" w:space="0" w:color="auto"/>
              <w:bottom w:val="single" w:sz="4" w:space="0" w:color="auto"/>
              <w:right w:val="single" w:sz="4" w:space="0" w:color="auto"/>
            </w:tcBorders>
            <w:vAlign w:val="center"/>
          </w:tcPr>
          <w:p w14:paraId="19E25E3C"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2,000,000</w:t>
            </w:r>
          </w:p>
        </w:tc>
        <w:tc>
          <w:tcPr>
            <w:tcW w:w="750" w:type="pct"/>
            <w:tcBorders>
              <w:top w:val="single" w:sz="4" w:space="0" w:color="auto"/>
              <w:left w:val="single" w:sz="4" w:space="0" w:color="auto"/>
              <w:bottom w:val="single" w:sz="4" w:space="0" w:color="auto"/>
              <w:right w:val="single" w:sz="4" w:space="0" w:color="auto"/>
            </w:tcBorders>
            <w:vAlign w:val="center"/>
          </w:tcPr>
          <w:p w14:paraId="1C45F4CC"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197,998,463.51</w:t>
            </w:r>
          </w:p>
        </w:tc>
        <w:tc>
          <w:tcPr>
            <w:tcW w:w="750" w:type="pct"/>
            <w:tcBorders>
              <w:top w:val="single" w:sz="4" w:space="0" w:color="auto"/>
              <w:left w:val="single" w:sz="4" w:space="0" w:color="auto"/>
              <w:bottom w:val="single" w:sz="4" w:space="0" w:color="auto"/>
              <w:right w:val="single" w:sz="4" w:space="0" w:color="auto"/>
            </w:tcBorders>
            <w:vAlign w:val="center"/>
          </w:tcPr>
          <w:p w14:paraId="42CCF726"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2.65</w:t>
            </w:r>
          </w:p>
        </w:tc>
      </w:tr>
      <w:tr w:rsidR="004C65FB" w14:paraId="6ED4B52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DE8FDC"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E41B03C"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112221348</w:t>
            </w:r>
          </w:p>
        </w:tc>
        <w:tc>
          <w:tcPr>
            <w:tcW w:w="750" w:type="pct"/>
            <w:tcBorders>
              <w:top w:val="single" w:sz="4" w:space="0" w:color="auto"/>
              <w:left w:val="single" w:sz="4" w:space="0" w:color="auto"/>
              <w:bottom w:val="single" w:sz="4" w:space="0" w:color="auto"/>
              <w:right w:val="single" w:sz="4" w:space="0" w:color="auto"/>
            </w:tcBorders>
            <w:vAlign w:val="center"/>
          </w:tcPr>
          <w:p w14:paraId="5912A1F2"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渤海银行</w:t>
            </w:r>
            <w:r>
              <w:rPr>
                <w:rFonts w:ascii="Times New Roman" w:hAnsi="Times New Roman"/>
                <w:color w:val="000000"/>
                <w:kern w:val="0"/>
                <w:sz w:val="25"/>
                <w:szCs w:val="24"/>
              </w:rPr>
              <w:t>CD348</w:t>
            </w:r>
          </w:p>
        </w:tc>
        <w:tc>
          <w:tcPr>
            <w:tcW w:w="750" w:type="pct"/>
            <w:tcBorders>
              <w:top w:val="single" w:sz="4" w:space="0" w:color="auto"/>
              <w:left w:val="single" w:sz="4" w:space="0" w:color="auto"/>
              <w:bottom w:val="single" w:sz="4" w:space="0" w:color="auto"/>
              <w:right w:val="single" w:sz="4" w:space="0" w:color="auto"/>
            </w:tcBorders>
            <w:vAlign w:val="center"/>
          </w:tcPr>
          <w:p w14:paraId="3ADBAAF0"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2,000,000</w:t>
            </w:r>
          </w:p>
        </w:tc>
        <w:tc>
          <w:tcPr>
            <w:tcW w:w="750" w:type="pct"/>
            <w:tcBorders>
              <w:top w:val="single" w:sz="4" w:space="0" w:color="auto"/>
              <w:left w:val="single" w:sz="4" w:space="0" w:color="auto"/>
              <w:bottom w:val="single" w:sz="4" w:space="0" w:color="auto"/>
              <w:right w:val="single" w:sz="4" w:space="0" w:color="auto"/>
            </w:tcBorders>
            <w:vAlign w:val="center"/>
          </w:tcPr>
          <w:p w14:paraId="183993DA"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197,034,702.89</w:t>
            </w:r>
          </w:p>
        </w:tc>
        <w:tc>
          <w:tcPr>
            <w:tcW w:w="750" w:type="pct"/>
            <w:tcBorders>
              <w:top w:val="single" w:sz="4" w:space="0" w:color="auto"/>
              <w:left w:val="single" w:sz="4" w:space="0" w:color="auto"/>
              <w:bottom w:val="single" w:sz="4" w:space="0" w:color="auto"/>
              <w:right w:val="single" w:sz="4" w:space="0" w:color="auto"/>
            </w:tcBorders>
            <w:vAlign w:val="center"/>
          </w:tcPr>
          <w:p w14:paraId="73E9E3CA"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2.64</w:t>
            </w:r>
          </w:p>
        </w:tc>
      </w:tr>
      <w:tr w:rsidR="004C65FB" w14:paraId="30900A7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3704F7"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6C6698B"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210216</w:t>
            </w:r>
          </w:p>
        </w:tc>
        <w:tc>
          <w:tcPr>
            <w:tcW w:w="750" w:type="pct"/>
            <w:tcBorders>
              <w:top w:val="single" w:sz="4" w:space="0" w:color="auto"/>
              <w:left w:val="single" w:sz="4" w:space="0" w:color="auto"/>
              <w:bottom w:val="single" w:sz="4" w:space="0" w:color="auto"/>
              <w:right w:val="single" w:sz="4" w:space="0" w:color="auto"/>
            </w:tcBorders>
            <w:vAlign w:val="center"/>
          </w:tcPr>
          <w:p w14:paraId="64CBF666"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国开</w:t>
            </w: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7FB89F63"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1,800,000</w:t>
            </w:r>
          </w:p>
        </w:tc>
        <w:tc>
          <w:tcPr>
            <w:tcW w:w="750" w:type="pct"/>
            <w:tcBorders>
              <w:top w:val="single" w:sz="4" w:space="0" w:color="auto"/>
              <w:left w:val="single" w:sz="4" w:space="0" w:color="auto"/>
              <w:bottom w:val="single" w:sz="4" w:space="0" w:color="auto"/>
              <w:right w:val="single" w:sz="4" w:space="0" w:color="auto"/>
            </w:tcBorders>
            <w:vAlign w:val="center"/>
          </w:tcPr>
          <w:p w14:paraId="68C78E3A"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183,698,290.67</w:t>
            </w:r>
          </w:p>
        </w:tc>
        <w:tc>
          <w:tcPr>
            <w:tcW w:w="750" w:type="pct"/>
            <w:tcBorders>
              <w:top w:val="single" w:sz="4" w:space="0" w:color="auto"/>
              <w:left w:val="single" w:sz="4" w:space="0" w:color="auto"/>
              <w:bottom w:val="single" w:sz="4" w:space="0" w:color="auto"/>
              <w:right w:val="single" w:sz="4" w:space="0" w:color="auto"/>
            </w:tcBorders>
            <w:vAlign w:val="center"/>
          </w:tcPr>
          <w:p w14:paraId="4AA82B40"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2.46</w:t>
            </w:r>
          </w:p>
        </w:tc>
      </w:tr>
      <w:tr w:rsidR="004C65FB" w14:paraId="0AED56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EE7DBB"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8</w:t>
            </w:r>
          </w:p>
        </w:tc>
        <w:tc>
          <w:tcPr>
            <w:tcW w:w="750" w:type="pct"/>
            <w:tcBorders>
              <w:top w:val="single" w:sz="4" w:space="0" w:color="auto"/>
              <w:left w:val="single" w:sz="4" w:space="0" w:color="auto"/>
              <w:bottom w:val="single" w:sz="4" w:space="0" w:color="auto"/>
              <w:right w:val="single" w:sz="4" w:space="0" w:color="auto"/>
            </w:tcBorders>
            <w:vAlign w:val="center"/>
          </w:tcPr>
          <w:p w14:paraId="785A2421"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112280209</w:t>
            </w:r>
          </w:p>
        </w:tc>
        <w:tc>
          <w:tcPr>
            <w:tcW w:w="750" w:type="pct"/>
            <w:tcBorders>
              <w:top w:val="single" w:sz="4" w:space="0" w:color="auto"/>
              <w:left w:val="single" w:sz="4" w:space="0" w:color="auto"/>
              <w:bottom w:val="single" w:sz="4" w:space="0" w:color="auto"/>
              <w:right w:val="single" w:sz="4" w:space="0" w:color="auto"/>
            </w:tcBorders>
            <w:vAlign w:val="center"/>
          </w:tcPr>
          <w:p w14:paraId="352904D8"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华融湘江银行</w:t>
            </w:r>
            <w:r>
              <w:rPr>
                <w:rFonts w:ascii="Times New Roman" w:hAnsi="Times New Roman"/>
                <w:color w:val="000000"/>
                <w:kern w:val="0"/>
                <w:sz w:val="25"/>
                <w:szCs w:val="24"/>
              </w:rPr>
              <w:t>CD115</w:t>
            </w:r>
          </w:p>
        </w:tc>
        <w:tc>
          <w:tcPr>
            <w:tcW w:w="750" w:type="pct"/>
            <w:tcBorders>
              <w:top w:val="single" w:sz="4" w:space="0" w:color="auto"/>
              <w:left w:val="single" w:sz="4" w:space="0" w:color="auto"/>
              <w:bottom w:val="single" w:sz="4" w:space="0" w:color="auto"/>
              <w:right w:val="single" w:sz="4" w:space="0" w:color="auto"/>
            </w:tcBorders>
            <w:vAlign w:val="center"/>
          </w:tcPr>
          <w:p w14:paraId="01AB99E1"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1,600,000</w:t>
            </w:r>
          </w:p>
        </w:tc>
        <w:tc>
          <w:tcPr>
            <w:tcW w:w="750" w:type="pct"/>
            <w:tcBorders>
              <w:top w:val="single" w:sz="4" w:space="0" w:color="auto"/>
              <w:left w:val="single" w:sz="4" w:space="0" w:color="auto"/>
              <w:bottom w:val="single" w:sz="4" w:space="0" w:color="auto"/>
              <w:right w:val="single" w:sz="4" w:space="0" w:color="auto"/>
            </w:tcBorders>
            <w:vAlign w:val="center"/>
          </w:tcPr>
          <w:p w14:paraId="2F3B0430"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159,412,644.44</w:t>
            </w:r>
          </w:p>
        </w:tc>
        <w:tc>
          <w:tcPr>
            <w:tcW w:w="750" w:type="pct"/>
            <w:tcBorders>
              <w:top w:val="single" w:sz="4" w:space="0" w:color="auto"/>
              <w:left w:val="single" w:sz="4" w:space="0" w:color="auto"/>
              <w:bottom w:val="single" w:sz="4" w:space="0" w:color="auto"/>
              <w:right w:val="single" w:sz="4" w:space="0" w:color="auto"/>
            </w:tcBorders>
            <w:vAlign w:val="center"/>
          </w:tcPr>
          <w:p w14:paraId="061C68CE"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2.14</w:t>
            </w:r>
          </w:p>
        </w:tc>
      </w:tr>
      <w:tr w:rsidR="004C65FB" w14:paraId="0F3F360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1347B8"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54B32F97"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112280023</w:t>
            </w:r>
          </w:p>
        </w:tc>
        <w:tc>
          <w:tcPr>
            <w:tcW w:w="750" w:type="pct"/>
            <w:tcBorders>
              <w:top w:val="single" w:sz="4" w:space="0" w:color="auto"/>
              <w:left w:val="single" w:sz="4" w:space="0" w:color="auto"/>
              <w:bottom w:val="single" w:sz="4" w:space="0" w:color="auto"/>
              <w:right w:val="single" w:sz="4" w:space="0" w:color="auto"/>
            </w:tcBorders>
            <w:vAlign w:val="center"/>
          </w:tcPr>
          <w:p w14:paraId="79359436"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华融湘江银行</w:t>
            </w:r>
            <w:r>
              <w:rPr>
                <w:rFonts w:ascii="Times New Roman" w:hAnsi="Times New Roman"/>
                <w:color w:val="000000"/>
                <w:kern w:val="0"/>
                <w:sz w:val="25"/>
                <w:szCs w:val="24"/>
              </w:rPr>
              <w:t>CD113</w:t>
            </w:r>
          </w:p>
        </w:tc>
        <w:tc>
          <w:tcPr>
            <w:tcW w:w="750" w:type="pct"/>
            <w:tcBorders>
              <w:top w:val="single" w:sz="4" w:space="0" w:color="auto"/>
              <w:left w:val="single" w:sz="4" w:space="0" w:color="auto"/>
              <w:bottom w:val="single" w:sz="4" w:space="0" w:color="auto"/>
              <w:right w:val="single" w:sz="4" w:space="0" w:color="auto"/>
            </w:tcBorders>
            <w:vAlign w:val="center"/>
          </w:tcPr>
          <w:p w14:paraId="1783CC16"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1,500,000</w:t>
            </w:r>
          </w:p>
        </w:tc>
        <w:tc>
          <w:tcPr>
            <w:tcW w:w="750" w:type="pct"/>
            <w:tcBorders>
              <w:top w:val="single" w:sz="4" w:space="0" w:color="auto"/>
              <w:left w:val="single" w:sz="4" w:space="0" w:color="auto"/>
              <w:bottom w:val="single" w:sz="4" w:space="0" w:color="auto"/>
              <w:right w:val="single" w:sz="4" w:space="0" w:color="auto"/>
            </w:tcBorders>
            <w:vAlign w:val="center"/>
          </w:tcPr>
          <w:p w14:paraId="36393432"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149,480,433.26</w:t>
            </w:r>
          </w:p>
        </w:tc>
        <w:tc>
          <w:tcPr>
            <w:tcW w:w="750" w:type="pct"/>
            <w:tcBorders>
              <w:top w:val="single" w:sz="4" w:space="0" w:color="auto"/>
              <w:left w:val="single" w:sz="4" w:space="0" w:color="auto"/>
              <w:bottom w:val="single" w:sz="4" w:space="0" w:color="auto"/>
              <w:right w:val="single" w:sz="4" w:space="0" w:color="auto"/>
            </w:tcBorders>
            <w:vAlign w:val="center"/>
          </w:tcPr>
          <w:p w14:paraId="4B943196"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2.00</w:t>
            </w:r>
          </w:p>
        </w:tc>
      </w:tr>
      <w:tr w:rsidR="004C65FB" w14:paraId="3816DCE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07E7DC"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556A36F"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112281647</w:t>
            </w:r>
          </w:p>
        </w:tc>
        <w:tc>
          <w:tcPr>
            <w:tcW w:w="750" w:type="pct"/>
            <w:tcBorders>
              <w:top w:val="single" w:sz="4" w:space="0" w:color="auto"/>
              <w:left w:val="single" w:sz="4" w:space="0" w:color="auto"/>
              <w:bottom w:val="single" w:sz="4" w:space="0" w:color="auto"/>
              <w:right w:val="single" w:sz="4" w:space="0" w:color="auto"/>
            </w:tcBorders>
            <w:vAlign w:val="center"/>
          </w:tcPr>
          <w:p w14:paraId="77C8C239"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南洋商业银行</w:t>
            </w:r>
            <w:r>
              <w:rPr>
                <w:rFonts w:ascii="Times New Roman" w:hAnsi="Times New Roman"/>
                <w:color w:val="000000"/>
                <w:kern w:val="0"/>
                <w:sz w:val="25"/>
                <w:szCs w:val="24"/>
              </w:rPr>
              <w:t>CD044</w:t>
            </w:r>
          </w:p>
        </w:tc>
        <w:tc>
          <w:tcPr>
            <w:tcW w:w="750" w:type="pct"/>
            <w:tcBorders>
              <w:top w:val="single" w:sz="4" w:space="0" w:color="auto"/>
              <w:left w:val="single" w:sz="4" w:space="0" w:color="auto"/>
              <w:bottom w:val="single" w:sz="4" w:space="0" w:color="auto"/>
              <w:right w:val="single" w:sz="4" w:space="0" w:color="auto"/>
            </w:tcBorders>
            <w:vAlign w:val="center"/>
          </w:tcPr>
          <w:p w14:paraId="6BCFE9EF"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1,200,000</w:t>
            </w:r>
          </w:p>
        </w:tc>
        <w:tc>
          <w:tcPr>
            <w:tcW w:w="750" w:type="pct"/>
            <w:tcBorders>
              <w:top w:val="single" w:sz="4" w:space="0" w:color="auto"/>
              <w:left w:val="single" w:sz="4" w:space="0" w:color="auto"/>
              <w:bottom w:val="single" w:sz="4" w:space="0" w:color="auto"/>
              <w:right w:val="single" w:sz="4" w:space="0" w:color="auto"/>
            </w:tcBorders>
            <w:vAlign w:val="center"/>
          </w:tcPr>
          <w:p w14:paraId="224E5EF3"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119,444,981.81</w:t>
            </w:r>
          </w:p>
        </w:tc>
        <w:tc>
          <w:tcPr>
            <w:tcW w:w="750" w:type="pct"/>
            <w:tcBorders>
              <w:top w:val="single" w:sz="4" w:space="0" w:color="auto"/>
              <w:left w:val="single" w:sz="4" w:space="0" w:color="auto"/>
              <w:bottom w:val="single" w:sz="4" w:space="0" w:color="auto"/>
              <w:right w:val="single" w:sz="4" w:space="0" w:color="auto"/>
            </w:tcBorders>
            <w:vAlign w:val="center"/>
          </w:tcPr>
          <w:p w14:paraId="339D6420"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1.60</w:t>
            </w:r>
          </w:p>
        </w:tc>
      </w:tr>
    </w:tbl>
    <w:p w14:paraId="6025ED2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7、“影子定价”与“摊余成本法”确定的基金资产净值的偏离</w:t>
      </w:r>
    </w:p>
    <w:tbl>
      <w:tblPr>
        <w:tblW w:w="5000" w:type="pct"/>
        <w:tblCellMar>
          <w:left w:w="0" w:type="dxa"/>
          <w:right w:w="0" w:type="dxa"/>
        </w:tblCellMar>
        <w:tblLook w:val="0000" w:firstRow="0" w:lastRow="0" w:firstColumn="0" w:lastColumn="0" w:noHBand="0" w:noVBand="0"/>
      </w:tblPr>
      <w:tblGrid>
        <w:gridCol w:w="4325"/>
        <w:gridCol w:w="4325"/>
      </w:tblGrid>
      <w:tr w:rsidR="004C65FB" w14:paraId="5E74524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A08ADF7"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A06B5AC"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偏离情况</w:t>
            </w:r>
          </w:p>
        </w:tc>
      </w:tr>
      <w:tr w:rsidR="004C65FB" w14:paraId="1EFA017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F84B8D2"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报告期内偏离度的绝对值在</w:t>
            </w:r>
            <w:r>
              <w:rPr>
                <w:rFonts w:ascii="Times New Roman" w:hAnsi="Times New Roman"/>
                <w:color w:val="000000"/>
                <w:kern w:val="0"/>
                <w:sz w:val="25"/>
                <w:szCs w:val="24"/>
              </w:rPr>
              <w:t>0.25</w:t>
            </w:r>
            <w:r>
              <w:rPr>
                <w:rFonts w:ascii="Times New Roman" w:hAnsi="Times New Roman"/>
                <w:color w:val="000000"/>
                <w:kern w:val="0"/>
                <w:sz w:val="25"/>
                <w:szCs w:val="24"/>
              </w:rPr>
              <w:t>（含）</w:t>
            </w:r>
            <w:r>
              <w:rPr>
                <w:rFonts w:ascii="Times New Roman" w:hAnsi="Times New Roman"/>
                <w:color w:val="000000"/>
                <w:kern w:val="0"/>
                <w:sz w:val="25"/>
                <w:szCs w:val="24"/>
              </w:rPr>
              <w:t>-0.5%</w:t>
            </w:r>
            <w:r>
              <w:rPr>
                <w:rFonts w:ascii="Times New Roman" w:hAnsi="Times New Roman"/>
                <w:color w:val="000000"/>
                <w:kern w:val="0"/>
                <w:sz w:val="25"/>
                <w:szCs w:val="24"/>
              </w:rPr>
              <w:t>间的次数</w:t>
            </w:r>
          </w:p>
        </w:tc>
        <w:tc>
          <w:tcPr>
            <w:tcW w:w="750" w:type="pct"/>
            <w:tcBorders>
              <w:top w:val="single" w:sz="4" w:space="0" w:color="auto"/>
              <w:left w:val="single" w:sz="4" w:space="0" w:color="auto"/>
              <w:bottom w:val="single" w:sz="4" w:space="0" w:color="auto"/>
              <w:right w:val="single" w:sz="4" w:space="0" w:color="auto"/>
            </w:tcBorders>
            <w:vAlign w:val="center"/>
          </w:tcPr>
          <w:p w14:paraId="11B31A06"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w:t>
            </w:r>
          </w:p>
        </w:tc>
      </w:tr>
      <w:tr w:rsidR="004C65FB" w14:paraId="05181A6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8170F4A"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报告期内偏离度的最高值</w:t>
            </w:r>
          </w:p>
        </w:tc>
        <w:tc>
          <w:tcPr>
            <w:tcW w:w="750" w:type="pct"/>
            <w:tcBorders>
              <w:top w:val="single" w:sz="4" w:space="0" w:color="auto"/>
              <w:left w:val="single" w:sz="4" w:space="0" w:color="auto"/>
              <w:bottom w:val="single" w:sz="4" w:space="0" w:color="auto"/>
              <w:right w:val="single" w:sz="4" w:space="0" w:color="auto"/>
            </w:tcBorders>
            <w:vAlign w:val="center"/>
          </w:tcPr>
          <w:p w14:paraId="27B27AA7"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0.1059%</w:t>
            </w:r>
          </w:p>
        </w:tc>
      </w:tr>
      <w:tr w:rsidR="004C65FB" w14:paraId="6A44E6D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8B8E08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报告期内偏离度的最低值</w:t>
            </w:r>
          </w:p>
        </w:tc>
        <w:tc>
          <w:tcPr>
            <w:tcW w:w="750" w:type="pct"/>
            <w:tcBorders>
              <w:top w:val="single" w:sz="4" w:space="0" w:color="auto"/>
              <w:left w:val="single" w:sz="4" w:space="0" w:color="auto"/>
              <w:bottom w:val="single" w:sz="4" w:space="0" w:color="auto"/>
              <w:right w:val="single" w:sz="4" w:space="0" w:color="auto"/>
            </w:tcBorders>
            <w:vAlign w:val="center"/>
          </w:tcPr>
          <w:p w14:paraId="378AFE27"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0.0382%</w:t>
            </w:r>
          </w:p>
        </w:tc>
      </w:tr>
      <w:tr w:rsidR="004C65FB" w14:paraId="59A9E53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058F403"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报告期内每个工作日偏离度的绝对值的简单平均值</w:t>
            </w:r>
          </w:p>
        </w:tc>
        <w:tc>
          <w:tcPr>
            <w:tcW w:w="750" w:type="pct"/>
            <w:tcBorders>
              <w:top w:val="single" w:sz="4" w:space="0" w:color="auto"/>
              <w:left w:val="single" w:sz="4" w:space="0" w:color="auto"/>
              <w:bottom w:val="single" w:sz="4" w:space="0" w:color="auto"/>
              <w:right w:val="single" w:sz="4" w:space="0" w:color="auto"/>
            </w:tcBorders>
            <w:vAlign w:val="center"/>
          </w:tcPr>
          <w:p w14:paraId="1F96077C"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0.0714%</w:t>
            </w:r>
          </w:p>
        </w:tc>
      </w:tr>
    </w:tbl>
    <w:p w14:paraId="65CAEED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报告期内负偏离度的绝对值达到0.25%情况说明</w:t>
      </w:r>
    </w:p>
    <w:p w14:paraId="35392D4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D8AFD1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报告期内正偏离度的绝对值达到0.5%情况说明</w:t>
      </w:r>
    </w:p>
    <w:p w14:paraId="081B742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044DE0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8、报告期末按摊余成本占基金资产净值比例大小排名的前十名资产支持证券投资明细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4C65FB" w14:paraId="05597E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D0794A8"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6DEB523"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8D80430"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22584AB"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数量（份）</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45F8F28"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摊余成本（元）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103AEE7"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C65FB" w14:paraId="0BD4206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502F03"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0286AE8"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183104</w:t>
            </w:r>
          </w:p>
        </w:tc>
        <w:tc>
          <w:tcPr>
            <w:tcW w:w="750" w:type="pct"/>
            <w:tcBorders>
              <w:top w:val="single" w:sz="4" w:space="0" w:color="auto"/>
              <w:left w:val="single" w:sz="4" w:space="0" w:color="auto"/>
              <w:bottom w:val="single" w:sz="4" w:space="0" w:color="auto"/>
              <w:right w:val="single" w:sz="4" w:space="0" w:color="auto"/>
            </w:tcBorders>
            <w:vAlign w:val="center"/>
          </w:tcPr>
          <w:p w14:paraId="2999EE38"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电</w:t>
            </w:r>
            <w:r>
              <w:rPr>
                <w:rFonts w:ascii="Times New Roman" w:hAnsi="Times New Roman"/>
                <w:color w:val="000000"/>
                <w:kern w:val="0"/>
                <w:sz w:val="25"/>
                <w:szCs w:val="24"/>
              </w:rPr>
              <w:t>4A1</w:t>
            </w:r>
          </w:p>
        </w:tc>
        <w:tc>
          <w:tcPr>
            <w:tcW w:w="750" w:type="pct"/>
            <w:tcBorders>
              <w:top w:val="single" w:sz="4" w:space="0" w:color="auto"/>
              <w:left w:val="single" w:sz="4" w:space="0" w:color="auto"/>
              <w:bottom w:val="single" w:sz="4" w:space="0" w:color="auto"/>
              <w:right w:val="single" w:sz="4" w:space="0" w:color="auto"/>
            </w:tcBorders>
            <w:vAlign w:val="center"/>
          </w:tcPr>
          <w:p w14:paraId="1154AD12"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700,000</w:t>
            </w:r>
          </w:p>
        </w:tc>
        <w:tc>
          <w:tcPr>
            <w:tcW w:w="750" w:type="pct"/>
            <w:tcBorders>
              <w:top w:val="single" w:sz="4" w:space="0" w:color="auto"/>
              <w:left w:val="single" w:sz="4" w:space="0" w:color="auto"/>
              <w:bottom w:val="single" w:sz="4" w:space="0" w:color="auto"/>
              <w:right w:val="single" w:sz="4" w:space="0" w:color="auto"/>
            </w:tcBorders>
            <w:vAlign w:val="center"/>
          </w:tcPr>
          <w:p w14:paraId="78803B6A"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71,317,073.98</w:t>
            </w:r>
          </w:p>
        </w:tc>
        <w:tc>
          <w:tcPr>
            <w:tcW w:w="750" w:type="pct"/>
            <w:tcBorders>
              <w:top w:val="single" w:sz="4" w:space="0" w:color="auto"/>
              <w:left w:val="single" w:sz="4" w:space="0" w:color="auto"/>
              <w:bottom w:val="single" w:sz="4" w:space="0" w:color="auto"/>
              <w:right w:val="single" w:sz="4" w:space="0" w:color="auto"/>
            </w:tcBorders>
            <w:vAlign w:val="center"/>
          </w:tcPr>
          <w:p w14:paraId="6A745455"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0.96</w:t>
            </w:r>
          </w:p>
        </w:tc>
      </w:tr>
      <w:tr w:rsidR="004C65FB" w14:paraId="633C7CB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EC4CAF"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B46CF08"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193281</w:t>
            </w:r>
          </w:p>
        </w:tc>
        <w:tc>
          <w:tcPr>
            <w:tcW w:w="750" w:type="pct"/>
            <w:tcBorders>
              <w:top w:val="single" w:sz="4" w:space="0" w:color="auto"/>
              <w:left w:val="single" w:sz="4" w:space="0" w:color="auto"/>
              <w:bottom w:val="single" w:sz="4" w:space="0" w:color="auto"/>
              <w:right w:val="single" w:sz="4" w:space="0" w:color="auto"/>
            </w:tcBorders>
            <w:vAlign w:val="center"/>
          </w:tcPr>
          <w:p w14:paraId="6681509A"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永乐</w:t>
            </w:r>
            <w:r>
              <w:rPr>
                <w:rFonts w:ascii="Times New Roman" w:hAnsi="Times New Roman"/>
                <w:color w:val="000000"/>
                <w:kern w:val="0"/>
                <w:sz w:val="25"/>
                <w:szCs w:val="24"/>
              </w:rPr>
              <w:t>6</w:t>
            </w:r>
            <w:r>
              <w:rPr>
                <w:rFonts w:ascii="Times New Roman" w:hAnsi="Times New Roman"/>
                <w:color w:val="000000"/>
                <w:kern w:val="0"/>
                <w:sz w:val="25"/>
                <w:szCs w:val="24"/>
              </w:rPr>
              <w:t>优</w:t>
            </w:r>
          </w:p>
        </w:tc>
        <w:tc>
          <w:tcPr>
            <w:tcW w:w="750" w:type="pct"/>
            <w:tcBorders>
              <w:top w:val="single" w:sz="4" w:space="0" w:color="auto"/>
              <w:left w:val="single" w:sz="4" w:space="0" w:color="auto"/>
              <w:bottom w:val="single" w:sz="4" w:space="0" w:color="auto"/>
              <w:right w:val="single" w:sz="4" w:space="0" w:color="auto"/>
            </w:tcBorders>
            <w:vAlign w:val="center"/>
          </w:tcPr>
          <w:p w14:paraId="09FE16F7"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240,000</w:t>
            </w:r>
          </w:p>
        </w:tc>
        <w:tc>
          <w:tcPr>
            <w:tcW w:w="750" w:type="pct"/>
            <w:tcBorders>
              <w:top w:val="single" w:sz="4" w:space="0" w:color="auto"/>
              <w:left w:val="single" w:sz="4" w:space="0" w:color="auto"/>
              <w:bottom w:val="single" w:sz="4" w:space="0" w:color="auto"/>
              <w:right w:val="single" w:sz="4" w:space="0" w:color="auto"/>
            </w:tcBorders>
            <w:vAlign w:val="center"/>
          </w:tcPr>
          <w:p w14:paraId="73C3AE3C"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24,494,150.14</w:t>
            </w:r>
          </w:p>
        </w:tc>
        <w:tc>
          <w:tcPr>
            <w:tcW w:w="750" w:type="pct"/>
            <w:tcBorders>
              <w:top w:val="single" w:sz="4" w:space="0" w:color="auto"/>
              <w:left w:val="single" w:sz="4" w:space="0" w:color="auto"/>
              <w:bottom w:val="single" w:sz="4" w:space="0" w:color="auto"/>
              <w:right w:val="single" w:sz="4" w:space="0" w:color="auto"/>
            </w:tcBorders>
            <w:vAlign w:val="center"/>
          </w:tcPr>
          <w:p w14:paraId="35002FF4"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0.33</w:t>
            </w:r>
          </w:p>
        </w:tc>
      </w:tr>
      <w:tr w:rsidR="004C65FB" w14:paraId="2A82AC4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89EAA7"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FFBBE8B"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135313</w:t>
            </w:r>
          </w:p>
        </w:tc>
        <w:tc>
          <w:tcPr>
            <w:tcW w:w="750" w:type="pct"/>
            <w:tcBorders>
              <w:top w:val="single" w:sz="4" w:space="0" w:color="auto"/>
              <w:left w:val="single" w:sz="4" w:space="0" w:color="auto"/>
              <w:bottom w:val="single" w:sz="4" w:space="0" w:color="auto"/>
              <w:right w:val="single" w:sz="4" w:space="0" w:color="auto"/>
            </w:tcBorders>
            <w:vAlign w:val="center"/>
          </w:tcPr>
          <w:p w14:paraId="17C9A4FA"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惠沣</w:t>
            </w:r>
            <w:r>
              <w:rPr>
                <w:rFonts w:ascii="Times New Roman" w:hAnsi="Times New Roman"/>
                <w:color w:val="000000"/>
                <w:kern w:val="0"/>
                <w:sz w:val="25"/>
                <w:szCs w:val="24"/>
              </w:rPr>
              <w:t>10A1</w:t>
            </w:r>
          </w:p>
        </w:tc>
        <w:tc>
          <w:tcPr>
            <w:tcW w:w="750" w:type="pct"/>
            <w:tcBorders>
              <w:top w:val="single" w:sz="4" w:space="0" w:color="auto"/>
              <w:left w:val="single" w:sz="4" w:space="0" w:color="auto"/>
              <w:bottom w:val="single" w:sz="4" w:space="0" w:color="auto"/>
              <w:right w:val="single" w:sz="4" w:space="0" w:color="auto"/>
            </w:tcBorders>
            <w:vAlign w:val="center"/>
          </w:tcPr>
          <w:p w14:paraId="2DCAD36D"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360,000</w:t>
            </w:r>
          </w:p>
        </w:tc>
        <w:tc>
          <w:tcPr>
            <w:tcW w:w="750" w:type="pct"/>
            <w:tcBorders>
              <w:top w:val="single" w:sz="4" w:space="0" w:color="auto"/>
              <w:left w:val="single" w:sz="4" w:space="0" w:color="auto"/>
              <w:bottom w:val="single" w:sz="4" w:space="0" w:color="auto"/>
              <w:right w:val="single" w:sz="4" w:space="0" w:color="auto"/>
            </w:tcBorders>
            <w:vAlign w:val="center"/>
          </w:tcPr>
          <w:p w14:paraId="591DD6CF"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23,521,607.74</w:t>
            </w:r>
          </w:p>
        </w:tc>
        <w:tc>
          <w:tcPr>
            <w:tcW w:w="750" w:type="pct"/>
            <w:tcBorders>
              <w:top w:val="single" w:sz="4" w:space="0" w:color="auto"/>
              <w:left w:val="single" w:sz="4" w:space="0" w:color="auto"/>
              <w:bottom w:val="single" w:sz="4" w:space="0" w:color="auto"/>
              <w:right w:val="single" w:sz="4" w:space="0" w:color="auto"/>
            </w:tcBorders>
            <w:vAlign w:val="center"/>
          </w:tcPr>
          <w:p w14:paraId="68C6B7B6"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0.32</w:t>
            </w:r>
          </w:p>
        </w:tc>
      </w:tr>
      <w:tr w:rsidR="004C65FB" w14:paraId="171D87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177CCC"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A1BA4FC"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183712</w:t>
            </w:r>
          </w:p>
        </w:tc>
        <w:tc>
          <w:tcPr>
            <w:tcW w:w="750" w:type="pct"/>
            <w:tcBorders>
              <w:top w:val="single" w:sz="4" w:space="0" w:color="auto"/>
              <w:left w:val="single" w:sz="4" w:space="0" w:color="auto"/>
              <w:bottom w:val="single" w:sz="4" w:space="0" w:color="auto"/>
              <w:right w:val="single" w:sz="4" w:space="0" w:color="auto"/>
            </w:tcBorders>
            <w:vAlign w:val="center"/>
          </w:tcPr>
          <w:p w14:paraId="61950939"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嘉诚</w:t>
            </w:r>
            <w:r>
              <w:rPr>
                <w:rFonts w:ascii="Times New Roman" w:hAnsi="Times New Roman"/>
                <w:color w:val="000000"/>
                <w:kern w:val="0"/>
                <w:sz w:val="25"/>
                <w:szCs w:val="24"/>
              </w:rPr>
              <w:t>5</w:t>
            </w:r>
            <w:r>
              <w:rPr>
                <w:rFonts w:ascii="Times New Roman" w:hAnsi="Times New Roman"/>
                <w:color w:val="000000"/>
                <w:kern w:val="0"/>
                <w:sz w:val="25"/>
                <w:szCs w:val="24"/>
              </w:rPr>
              <w:t>优</w:t>
            </w:r>
          </w:p>
        </w:tc>
        <w:tc>
          <w:tcPr>
            <w:tcW w:w="750" w:type="pct"/>
            <w:tcBorders>
              <w:top w:val="single" w:sz="4" w:space="0" w:color="auto"/>
              <w:left w:val="single" w:sz="4" w:space="0" w:color="auto"/>
              <w:bottom w:val="single" w:sz="4" w:space="0" w:color="auto"/>
              <w:right w:val="single" w:sz="4" w:space="0" w:color="auto"/>
            </w:tcBorders>
            <w:vAlign w:val="center"/>
          </w:tcPr>
          <w:p w14:paraId="2D8FB9F5"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230,000</w:t>
            </w:r>
          </w:p>
        </w:tc>
        <w:tc>
          <w:tcPr>
            <w:tcW w:w="750" w:type="pct"/>
            <w:tcBorders>
              <w:top w:val="single" w:sz="4" w:space="0" w:color="auto"/>
              <w:left w:val="single" w:sz="4" w:space="0" w:color="auto"/>
              <w:bottom w:val="single" w:sz="4" w:space="0" w:color="auto"/>
              <w:right w:val="single" w:sz="4" w:space="0" w:color="auto"/>
            </w:tcBorders>
            <w:vAlign w:val="center"/>
          </w:tcPr>
          <w:p w14:paraId="7DDDB535"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21,136,788.37</w:t>
            </w:r>
          </w:p>
        </w:tc>
        <w:tc>
          <w:tcPr>
            <w:tcW w:w="750" w:type="pct"/>
            <w:tcBorders>
              <w:top w:val="single" w:sz="4" w:space="0" w:color="auto"/>
              <w:left w:val="single" w:sz="4" w:space="0" w:color="auto"/>
              <w:bottom w:val="single" w:sz="4" w:space="0" w:color="auto"/>
              <w:right w:val="single" w:sz="4" w:space="0" w:color="auto"/>
            </w:tcBorders>
            <w:vAlign w:val="center"/>
          </w:tcPr>
          <w:p w14:paraId="3D7D9DDA"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0.28</w:t>
            </w:r>
          </w:p>
        </w:tc>
      </w:tr>
      <w:tr w:rsidR="004C65FB" w14:paraId="328CDD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ED4BCE"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481F820"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193688</w:t>
            </w:r>
          </w:p>
        </w:tc>
        <w:tc>
          <w:tcPr>
            <w:tcW w:w="750" w:type="pct"/>
            <w:tcBorders>
              <w:top w:val="single" w:sz="4" w:space="0" w:color="auto"/>
              <w:left w:val="single" w:sz="4" w:space="0" w:color="auto"/>
              <w:bottom w:val="single" w:sz="4" w:space="0" w:color="auto"/>
              <w:right w:val="single" w:sz="4" w:space="0" w:color="auto"/>
            </w:tcBorders>
            <w:vAlign w:val="center"/>
          </w:tcPr>
          <w:p w14:paraId="4918B8BE"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嘉诚</w:t>
            </w:r>
            <w:r>
              <w:rPr>
                <w:rFonts w:ascii="Times New Roman" w:hAnsi="Times New Roman"/>
                <w:color w:val="000000"/>
                <w:kern w:val="0"/>
                <w:sz w:val="25"/>
                <w:szCs w:val="24"/>
              </w:rPr>
              <w:t>3</w:t>
            </w:r>
            <w:r>
              <w:rPr>
                <w:rFonts w:ascii="Times New Roman" w:hAnsi="Times New Roman"/>
                <w:color w:val="000000"/>
                <w:kern w:val="0"/>
                <w:sz w:val="25"/>
                <w:szCs w:val="24"/>
              </w:rPr>
              <w:t>优</w:t>
            </w:r>
          </w:p>
        </w:tc>
        <w:tc>
          <w:tcPr>
            <w:tcW w:w="750" w:type="pct"/>
            <w:tcBorders>
              <w:top w:val="single" w:sz="4" w:space="0" w:color="auto"/>
              <w:left w:val="single" w:sz="4" w:space="0" w:color="auto"/>
              <w:bottom w:val="single" w:sz="4" w:space="0" w:color="auto"/>
              <w:right w:val="single" w:sz="4" w:space="0" w:color="auto"/>
            </w:tcBorders>
            <w:vAlign w:val="center"/>
          </w:tcPr>
          <w:p w14:paraId="5474380D"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14:paraId="09971B33"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20,000,813.99</w:t>
            </w:r>
          </w:p>
        </w:tc>
        <w:tc>
          <w:tcPr>
            <w:tcW w:w="750" w:type="pct"/>
            <w:tcBorders>
              <w:top w:val="single" w:sz="4" w:space="0" w:color="auto"/>
              <w:left w:val="single" w:sz="4" w:space="0" w:color="auto"/>
              <w:bottom w:val="single" w:sz="4" w:space="0" w:color="auto"/>
              <w:right w:val="single" w:sz="4" w:space="0" w:color="auto"/>
            </w:tcBorders>
            <w:vAlign w:val="center"/>
          </w:tcPr>
          <w:p w14:paraId="04FB2A27"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0.27</w:t>
            </w:r>
          </w:p>
        </w:tc>
      </w:tr>
      <w:tr w:rsidR="004C65FB" w14:paraId="267DD7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1E4911"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61E5EF22"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183961</w:t>
            </w:r>
          </w:p>
        </w:tc>
        <w:tc>
          <w:tcPr>
            <w:tcW w:w="750" w:type="pct"/>
            <w:tcBorders>
              <w:top w:val="single" w:sz="4" w:space="0" w:color="auto"/>
              <w:left w:val="single" w:sz="4" w:space="0" w:color="auto"/>
              <w:bottom w:val="single" w:sz="4" w:space="0" w:color="auto"/>
              <w:right w:val="single" w:sz="4" w:space="0" w:color="auto"/>
            </w:tcBorders>
            <w:vAlign w:val="center"/>
          </w:tcPr>
          <w:p w14:paraId="4D13E303"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辰悦</w:t>
            </w:r>
            <w:r>
              <w:rPr>
                <w:rFonts w:ascii="Times New Roman" w:hAnsi="Times New Roman"/>
                <w:color w:val="000000"/>
                <w:kern w:val="0"/>
                <w:sz w:val="25"/>
                <w:szCs w:val="24"/>
              </w:rPr>
              <w:t>9A1</w:t>
            </w:r>
          </w:p>
        </w:tc>
        <w:tc>
          <w:tcPr>
            <w:tcW w:w="750" w:type="pct"/>
            <w:tcBorders>
              <w:top w:val="single" w:sz="4" w:space="0" w:color="auto"/>
              <w:left w:val="single" w:sz="4" w:space="0" w:color="auto"/>
              <w:bottom w:val="single" w:sz="4" w:space="0" w:color="auto"/>
              <w:right w:val="single" w:sz="4" w:space="0" w:color="auto"/>
            </w:tcBorders>
            <w:vAlign w:val="center"/>
          </w:tcPr>
          <w:p w14:paraId="0EF8C701"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250,000</w:t>
            </w:r>
          </w:p>
        </w:tc>
        <w:tc>
          <w:tcPr>
            <w:tcW w:w="750" w:type="pct"/>
            <w:tcBorders>
              <w:top w:val="single" w:sz="4" w:space="0" w:color="auto"/>
              <w:left w:val="single" w:sz="4" w:space="0" w:color="auto"/>
              <w:bottom w:val="single" w:sz="4" w:space="0" w:color="auto"/>
              <w:right w:val="single" w:sz="4" w:space="0" w:color="auto"/>
            </w:tcBorders>
            <w:vAlign w:val="center"/>
          </w:tcPr>
          <w:p w14:paraId="78F72DD4"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14,132,874.35</w:t>
            </w:r>
          </w:p>
        </w:tc>
        <w:tc>
          <w:tcPr>
            <w:tcW w:w="750" w:type="pct"/>
            <w:tcBorders>
              <w:top w:val="single" w:sz="4" w:space="0" w:color="auto"/>
              <w:left w:val="single" w:sz="4" w:space="0" w:color="auto"/>
              <w:bottom w:val="single" w:sz="4" w:space="0" w:color="auto"/>
              <w:right w:val="single" w:sz="4" w:space="0" w:color="auto"/>
            </w:tcBorders>
            <w:vAlign w:val="center"/>
          </w:tcPr>
          <w:p w14:paraId="3DA60E42"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0.19</w:t>
            </w:r>
          </w:p>
        </w:tc>
      </w:tr>
      <w:tr w:rsidR="004C65FB" w14:paraId="6595A1F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C943DF"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783DAB48"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135056</w:t>
            </w:r>
          </w:p>
        </w:tc>
        <w:tc>
          <w:tcPr>
            <w:tcW w:w="750" w:type="pct"/>
            <w:tcBorders>
              <w:top w:val="single" w:sz="4" w:space="0" w:color="auto"/>
              <w:left w:val="single" w:sz="4" w:space="0" w:color="auto"/>
              <w:bottom w:val="single" w:sz="4" w:space="0" w:color="auto"/>
              <w:right w:val="single" w:sz="4" w:space="0" w:color="auto"/>
            </w:tcBorders>
            <w:vAlign w:val="center"/>
          </w:tcPr>
          <w:p w14:paraId="70E0F139"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徐矿</w:t>
            </w:r>
            <w:r>
              <w:rPr>
                <w:rFonts w:ascii="Times New Roman" w:hAnsi="Times New Roman"/>
                <w:color w:val="000000"/>
                <w:kern w:val="0"/>
                <w:sz w:val="25"/>
                <w:szCs w:val="24"/>
              </w:rPr>
              <w:t>31A</w:t>
            </w:r>
          </w:p>
        </w:tc>
        <w:tc>
          <w:tcPr>
            <w:tcW w:w="750" w:type="pct"/>
            <w:tcBorders>
              <w:top w:val="single" w:sz="4" w:space="0" w:color="auto"/>
              <w:left w:val="single" w:sz="4" w:space="0" w:color="auto"/>
              <w:bottom w:val="single" w:sz="4" w:space="0" w:color="auto"/>
              <w:right w:val="single" w:sz="4" w:space="0" w:color="auto"/>
            </w:tcBorders>
            <w:vAlign w:val="center"/>
          </w:tcPr>
          <w:p w14:paraId="00931285"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253A20B4"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10,122,739.73</w:t>
            </w:r>
          </w:p>
        </w:tc>
        <w:tc>
          <w:tcPr>
            <w:tcW w:w="750" w:type="pct"/>
            <w:tcBorders>
              <w:top w:val="single" w:sz="4" w:space="0" w:color="auto"/>
              <w:left w:val="single" w:sz="4" w:space="0" w:color="auto"/>
              <w:bottom w:val="single" w:sz="4" w:space="0" w:color="auto"/>
              <w:right w:val="single" w:sz="4" w:space="0" w:color="auto"/>
            </w:tcBorders>
            <w:vAlign w:val="center"/>
          </w:tcPr>
          <w:p w14:paraId="42056F8F"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0.14</w:t>
            </w:r>
          </w:p>
        </w:tc>
      </w:tr>
      <w:tr w:rsidR="004C65FB" w14:paraId="052402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728CBE"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D8E27F9"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193775</w:t>
            </w:r>
          </w:p>
        </w:tc>
        <w:tc>
          <w:tcPr>
            <w:tcW w:w="750" w:type="pct"/>
            <w:tcBorders>
              <w:top w:val="single" w:sz="4" w:space="0" w:color="auto"/>
              <w:left w:val="single" w:sz="4" w:space="0" w:color="auto"/>
              <w:bottom w:val="single" w:sz="4" w:space="0" w:color="auto"/>
              <w:right w:val="single" w:sz="4" w:space="0" w:color="auto"/>
            </w:tcBorders>
            <w:vAlign w:val="center"/>
          </w:tcPr>
          <w:p w14:paraId="71A031DA"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辰悦</w:t>
            </w:r>
            <w:r>
              <w:rPr>
                <w:rFonts w:ascii="Times New Roman" w:hAnsi="Times New Roman"/>
                <w:color w:val="000000"/>
                <w:kern w:val="0"/>
                <w:sz w:val="25"/>
                <w:szCs w:val="24"/>
              </w:rPr>
              <w:t>8A1</w:t>
            </w:r>
          </w:p>
        </w:tc>
        <w:tc>
          <w:tcPr>
            <w:tcW w:w="750" w:type="pct"/>
            <w:tcBorders>
              <w:top w:val="single" w:sz="4" w:space="0" w:color="auto"/>
              <w:left w:val="single" w:sz="4" w:space="0" w:color="auto"/>
              <w:bottom w:val="single" w:sz="4" w:space="0" w:color="auto"/>
              <w:right w:val="single" w:sz="4" w:space="0" w:color="auto"/>
            </w:tcBorders>
            <w:vAlign w:val="center"/>
          </w:tcPr>
          <w:p w14:paraId="29A57374"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110,000</w:t>
            </w:r>
          </w:p>
        </w:tc>
        <w:tc>
          <w:tcPr>
            <w:tcW w:w="750" w:type="pct"/>
            <w:tcBorders>
              <w:top w:val="single" w:sz="4" w:space="0" w:color="auto"/>
              <w:left w:val="single" w:sz="4" w:space="0" w:color="auto"/>
              <w:bottom w:val="single" w:sz="4" w:space="0" w:color="auto"/>
              <w:right w:val="single" w:sz="4" w:space="0" w:color="auto"/>
            </w:tcBorders>
            <w:vAlign w:val="center"/>
          </w:tcPr>
          <w:p w14:paraId="4B4AFB56"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5,578,977.45</w:t>
            </w:r>
          </w:p>
        </w:tc>
        <w:tc>
          <w:tcPr>
            <w:tcW w:w="750" w:type="pct"/>
            <w:tcBorders>
              <w:top w:val="single" w:sz="4" w:space="0" w:color="auto"/>
              <w:left w:val="single" w:sz="4" w:space="0" w:color="auto"/>
              <w:bottom w:val="single" w:sz="4" w:space="0" w:color="auto"/>
              <w:right w:val="single" w:sz="4" w:space="0" w:color="auto"/>
            </w:tcBorders>
            <w:vAlign w:val="center"/>
          </w:tcPr>
          <w:p w14:paraId="1698F60D"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r>
      <w:tr w:rsidR="004C65FB" w14:paraId="71FF18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716DD2"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078EEAFB"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183773</w:t>
            </w:r>
          </w:p>
        </w:tc>
        <w:tc>
          <w:tcPr>
            <w:tcW w:w="750" w:type="pct"/>
            <w:tcBorders>
              <w:top w:val="single" w:sz="4" w:space="0" w:color="auto"/>
              <w:left w:val="single" w:sz="4" w:space="0" w:color="auto"/>
              <w:bottom w:val="single" w:sz="4" w:space="0" w:color="auto"/>
              <w:right w:val="single" w:sz="4" w:space="0" w:color="auto"/>
            </w:tcBorders>
            <w:vAlign w:val="center"/>
          </w:tcPr>
          <w:p w14:paraId="10D962EC"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西租</w:t>
            </w:r>
            <w:r>
              <w:rPr>
                <w:rFonts w:ascii="Times New Roman" w:hAnsi="Times New Roman"/>
                <w:color w:val="000000"/>
                <w:kern w:val="0"/>
                <w:sz w:val="25"/>
                <w:szCs w:val="24"/>
              </w:rPr>
              <w:t>03A1</w:t>
            </w:r>
          </w:p>
        </w:tc>
        <w:tc>
          <w:tcPr>
            <w:tcW w:w="750" w:type="pct"/>
            <w:tcBorders>
              <w:top w:val="single" w:sz="4" w:space="0" w:color="auto"/>
              <w:left w:val="single" w:sz="4" w:space="0" w:color="auto"/>
              <w:bottom w:val="single" w:sz="4" w:space="0" w:color="auto"/>
              <w:right w:val="single" w:sz="4" w:space="0" w:color="auto"/>
            </w:tcBorders>
            <w:vAlign w:val="center"/>
          </w:tcPr>
          <w:p w14:paraId="7EB4B300"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w:t>
            </w:r>
          </w:p>
        </w:tc>
        <w:tc>
          <w:tcPr>
            <w:tcW w:w="750" w:type="pct"/>
            <w:tcBorders>
              <w:top w:val="single" w:sz="4" w:space="0" w:color="auto"/>
              <w:left w:val="single" w:sz="4" w:space="0" w:color="auto"/>
              <w:bottom w:val="single" w:sz="4" w:space="0" w:color="auto"/>
              <w:right w:val="single" w:sz="4" w:space="0" w:color="auto"/>
            </w:tcBorders>
            <w:vAlign w:val="center"/>
          </w:tcPr>
          <w:p w14:paraId="7543FAD6"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2,911,622.02</w:t>
            </w:r>
          </w:p>
        </w:tc>
        <w:tc>
          <w:tcPr>
            <w:tcW w:w="750" w:type="pct"/>
            <w:tcBorders>
              <w:top w:val="single" w:sz="4" w:space="0" w:color="auto"/>
              <w:left w:val="single" w:sz="4" w:space="0" w:color="auto"/>
              <w:bottom w:val="single" w:sz="4" w:space="0" w:color="auto"/>
              <w:right w:val="single" w:sz="4" w:space="0" w:color="auto"/>
            </w:tcBorders>
            <w:vAlign w:val="center"/>
          </w:tcPr>
          <w:p w14:paraId="4BFADD0D"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0.04</w:t>
            </w:r>
          </w:p>
        </w:tc>
      </w:tr>
      <w:tr w:rsidR="004C65FB" w14:paraId="0EC3ECF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5E01CF"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B7856B6"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135035</w:t>
            </w:r>
          </w:p>
        </w:tc>
        <w:tc>
          <w:tcPr>
            <w:tcW w:w="750" w:type="pct"/>
            <w:tcBorders>
              <w:top w:val="single" w:sz="4" w:space="0" w:color="auto"/>
              <w:left w:val="single" w:sz="4" w:space="0" w:color="auto"/>
              <w:bottom w:val="single" w:sz="4" w:space="0" w:color="auto"/>
              <w:right w:val="single" w:sz="4" w:space="0" w:color="auto"/>
            </w:tcBorders>
            <w:vAlign w:val="center"/>
          </w:tcPr>
          <w:p w14:paraId="62A36F43"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中证</w:t>
            </w:r>
            <w:r>
              <w:rPr>
                <w:rFonts w:ascii="Times New Roman" w:hAnsi="Times New Roman"/>
                <w:color w:val="000000"/>
                <w:kern w:val="0"/>
                <w:sz w:val="25"/>
                <w:szCs w:val="24"/>
              </w:rPr>
              <w:t>1</w:t>
            </w:r>
            <w:r>
              <w:rPr>
                <w:rFonts w:ascii="Times New Roman" w:hAnsi="Times New Roman"/>
                <w:color w:val="000000"/>
                <w:kern w:val="0"/>
                <w:sz w:val="25"/>
                <w:szCs w:val="24"/>
              </w:rPr>
              <w:t>优</w:t>
            </w:r>
          </w:p>
        </w:tc>
        <w:tc>
          <w:tcPr>
            <w:tcW w:w="750" w:type="pct"/>
            <w:tcBorders>
              <w:top w:val="single" w:sz="4" w:space="0" w:color="auto"/>
              <w:left w:val="single" w:sz="4" w:space="0" w:color="auto"/>
              <w:bottom w:val="single" w:sz="4" w:space="0" w:color="auto"/>
              <w:right w:val="single" w:sz="4" w:space="0" w:color="auto"/>
            </w:tcBorders>
            <w:vAlign w:val="center"/>
          </w:tcPr>
          <w:p w14:paraId="32F053CD"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w:t>
            </w:r>
          </w:p>
        </w:tc>
        <w:tc>
          <w:tcPr>
            <w:tcW w:w="750" w:type="pct"/>
            <w:tcBorders>
              <w:top w:val="single" w:sz="4" w:space="0" w:color="auto"/>
              <w:left w:val="single" w:sz="4" w:space="0" w:color="auto"/>
              <w:bottom w:val="single" w:sz="4" w:space="0" w:color="auto"/>
              <w:right w:val="single" w:sz="4" w:space="0" w:color="auto"/>
            </w:tcBorders>
            <w:vAlign w:val="center"/>
          </w:tcPr>
          <w:p w14:paraId="48CBBFFB"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2,296,090.97</w:t>
            </w:r>
          </w:p>
        </w:tc>
        <w:tc>
          <w:tcPr>
            <w:tcW w:w="750" w:type="pct"/>
            <w:tcBorders>
              <w:top w:val="single" w:sz="4" w:space="0" w:color="auto"/>
              <w:left w:val="single" w:sz="4" w:space="0" w:color="auto"/>
              <w:bottom w:val="single" w:sz="4" w:space="0" w:color="auto"/>
              <w:right w:val="single" w:sz="4" w:space="0" w:color="auto"/>
            </w:tcBorders>
            <w:vAlign w:val="center"/>
          </w:tcPr>
          <w:p w14:paraId="4B90D839"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bl>
    <w:p w14:paraId="0D663C3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9、投资组合报告附注</w:t>
      </w:r>
    </w:p>
    <w:p w14:paraId="2620A8D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基金计价方法说明</w:t>
      </w:r>
    </w:p>
    <w:p w14:paraId="4DFA86B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本基金采用摊余成本法计价，即计价对象以买入成本列示，按票面利率或商定利率并考虑其买入时的溢价与折价，在其剩余期限内按照实际利率和摊余成本逐日</w:t>
      </w:r>
      <w:r>
        <w:rPr>
          <w:rFonts w:ascii="宋体" w:hAnsi="宋体"/>
          <w:sz w:val="24"/>
        </w:rPr>
        <w:lastRenderedPageBreak/>
        <w:t>摊销计算损益。</w:t>
      </w:r>
    </w:p>
    <w:p w14:paraId="1F0FEEC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本基金投资的前十名证券的发行主体本期是否出现被监管部门立案调查，或在报告编制日前一年内受到公开谴责、处罚的情形</w:t>
      </w:r>
    </w:p>
    <w:p w14:paraId="41492F2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2021年10月22日，国家外汇管理局天津市分局公示津汇检罚〔2021〕10号行政处罚决定书，给予渤海银行1856万元人民币罚款的行政处罚，并没收违法所得175.39万元。</w:t>
      </w:r>
    </w:p>
    <w:p w14:paraId="2FA1B3B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2022年3月25日，中国银行保险监督管理委员会公示银保监罚决字〔2022〕28号行政处罚决定书，给予渤海银行360万元人民币罚款的行政处罚。　</w:t>
      </w:r>
    </w:p>
    <w:p w14:paraId="6979670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2022年7月20日，央行南宁中心支行公示南宁银罚〔2022〕2号行政处罚决定书，给予广西北部湾银行股份有限公司48万元人民币罚款的行政处罚。　</w:t>
      </w:r>
    </w:p>
    <w:p w14:paraId="71732E3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2022年2月22日，上海银保监局公示沪银保监罚决字〔2022〕8号行政处罚决定书，给予南洋商业银行(中国)有限公司185万元人民币罚款的行政处罚。　</w:t>
      </w:r>
    </w:p>
    <w:p w14:paraId="6AC0112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2021年11月18日，天津银保监局公示津银保监罚决字〔2021〕69号行政处罚决定书，给予天津农村商业银行股份有限公司190万元人民币罚款的行政处罚。　</w:t>
      </w:r>
    </w:p>
    <w:p w14:paraId="655EC8A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2022年3月25日，中国银行保险监督管理委员会公示银保监罚决字〔2022〕8号行政处罚决定书，给予国家开发银行罚款440万元。　</w:t>
      </w:r>
    </w:p>
    <w:p w14:paraId="004587F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2022年6月2日，中国银行保险监督管理委员会湖南监管局公示湘银保监罚决字(2022)31号号行政处罚决定书，给予华融湘江银行股份有限公司1万元人民币罚款的行政处罚。</w:t>
      </w:r>
    </w:p>
    <w:p w14:paraId="067CDC0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14:paraId="7F11CA3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14:paraId="688787B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4C65FB" w14:paraId="6541F6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26F5CF7"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54E3A82"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552771B4"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4C65FB" w14:paraId="306ECF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9CA291"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A156D9E"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331B112E"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275111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27C1BF"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E408C09"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6D491254"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3E990F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10DF3B"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E50BFB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5AD87F50"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73F25AB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E55FFE"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AA05D4D"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05283E80"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833,468.28</w:t>
            </w:r>
          </w:p>
        </w:tc>
      </w:tr>
      <w:tr w:rsidR="004C65FB" w14:paraId="166249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8EEA62"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5</w:t>
            </w:r>
          </w:p>
        </w:tc>
        <w:tc>
          <w:tcPr>
            <w:tcW w:w="750" w:type="pct"/>
            <w:tcBorders>
              <w:top w:val="single" w:sz="4" w:space="0" w:color="auto"/>
              <w:left w:val="single" w:sz="4" w:space="0" w:color="auto"/>
              <w:bottom w:val="single" w:sz="4" w:space="0" w:color="auto"/>
              <w:right w:val="single" w:sz="4" w:space="0" w:color="auto"/>
            </w:tcBorders>
            <w:vAlign w:val="center"/>
          </w:tcPr>
          <w:p w14:paraId="0CC28B98"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1E71FF77"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6FFCF6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A5DD36"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D244BB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14:paraId="14788E6F"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4,111.05</w:t>
            </w:r>
          </w:p>
        </w:tc>
      </w:tr>
      <w:tr w:rsidR="004C65FB" w14:paraId="7FD645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8CD68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740E9A3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6F3FDB8B"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65FB" w14:paraId="399434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26D08A"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E1B17F9"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10737D22" w14:textId="77777777" w:rsidR="004C65FB" w:rsidRDefault="00795CC3">
            <w:pPr>
              <w:widowControl/>
              <w:snapToGrid w:val="0"/>
              <w:jc w:val="right"/>
              <w:rPr>
                <w:rFonts w:ascii="宋体" w:hAnsi="宋体"/>
                <w:color w:val="000000"/>
                <w:kern w:val="0"/>
                <w:sz w:val="25"/>
                <w:szCs w:val="24"/>
              </w:rPr>
            </w:pPr>
            <w:r>
              <w:rPr>
                <w:rFonts w:ascii="Times New Roman" w:hAnsi="Times New Roman"/>
                <w:color w:val="000000"/>
                <w:kern w:val="0"/>
                <w:sz w:val="25"/>
                <w:szCs w:val="24"/>
              </w:rPr>
              <w:t>837,579.33</w:t>
            </w:r>
          </w:p>
        </w:tc>
      </w:tr>
    </w:tbl>
    <w:p w14:paraId="05AA3B7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 投资组合报告附注的其他文字描述部分</w:t>
      </w:r>
    </w:p>
    <w:p w14:paraId="6EB80FF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264A0287"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04FAFB7" w14:textId="77777777" w:rsidR="004C65FB" w:rsidRDefault="00795CC3">
      <w:pPr>
        <w:pStyle w:val="1"/>
        <w:snapToGrid w:val="0"/>
        <w:spacing w:beforeLines="0" w:before="240" w:after="240"/>
        <w:rPr>
          <w:rFonts w:ascii="宋体" w:hAnsi="宋体"/>
          <w:szCs w:val="30"/>
        </w:rPr>
      </w:pPr>
      <w:bookmarkStart w:id="13" w:name="_Toc119586519"/>
      <w:r>
        <w:rPr>
          <w:rFonts w:ascii="Times New Roman" w:hAnsi="Times New Roman"/>
          <w:sz w:val="30"/>
        </w:rPr>
        <w:lastRenderedPageBreak/>
        <w:t>十一、基金的业绩</w:t>
      </w:r>
      <w:bookmarkEnd w:id="13"/>
    </w:p>
    <w:p w14:paraId="0C14BB9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基金业绩截止日为2022年09月30日，所载财务数据未经审计师审计。</w:t>
      </w:r>
    </w:p>
    <w:p w14:paraId="126CC3C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1A0900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1、本报告期基金份额净值收益率及其与同期业绩比较基准收益率的比较</w:t>
      </w:r>
    </w:p>
    <w:p w14:paraId="37C2B4E6"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1）交银天利宝货币A：</w:t>
      </w:r>
    </w:p>
    <w:tbl>
      <w:tblPr>
        <w:tblW w:w="5000" w:type="pct"/>
        <w:tblCellMar>
          <w:left w:w="0" w:type="dxa"/>
          <w:right w:w="0" w:type="dxa"/>
        </w:tblCellMar>
        <w:tblLook w:val="0000" w:firstRow="0" w:lastRow="0" w:firstColumn="0" w:lastColumn="0" w:noHBand="0" w:noVBand="0"/>
      </w:tblPr>
      <w:tblGrid>
        <w:gridCol w:w="1290"/>
        <w:gridCol w:w="1290"/>
        <w:gridCol w:w="1291"/>
        <w:gridCol w:w="1291"/>
        <w:gridCol w:w="1291"/>
        <w:gridCol w:w="1291"/>
        <w:gridCol w:w="906"/>
      </w:tblGrid>
      <w:tr w:rsidR="004C65FB" w14:paraId="27AE75E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3A2B4F2"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54047623"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净值收益率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4A350ED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净值收益率标准差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7086CD5B"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7E80FCF0"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35747E2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51182E21"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4C65FB" w14:paraId="5E2316B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AEE683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57223BB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0.4300%</w:t>
            </w:r>
          </w:p>
        </w:tc>
        <w:tc>
          <w:tcPr>
            <w:tcW w:w="750" w:type="pct"/>
            <w:tcBorders>
              <w:top w:val="single" w:sz="4" w:space="0" w:color="auto"/>
              <w:left w:val="single" w:sz="4" w:space="0" w:color="auto"/>
              <w:bottom w:val="single" w:sz="4" w:space="0" w:color="auto"/>
              <w:right w:val="single" w:sz="4" w:space="0" w:color="auto"/>
            </w:tcBorders>
            <w:vAlign w:val="center"/>
          </w:tcPr>
          <w:p w14:paraId="575994A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0.0005%</w:t>
            </w:r>
          </w:p>
        </w:tc>
        <w:tc>
          <w:tcPr>
            <w:tcW w:w="750" w:type="pct"/>
            <w:tcBorders>
              <w:top w:val="single" w:sz="4" w:space="0" w:color="auto"/>
              <w:left w:val="single" w:sz="4" w:space="0" w:color="auto"/>
              <w:bottom w:val="single" w:sz="4" w:space="0" w:color="auto"/>
              <w:right w:val="single" w:sz="4" w:space="0" w:color="auto"/>
            </w:tcBorders>
            <w:vAlign w:val="center"/>
          </w:tcPr>
          <w:p w14:paraId="22A894D9"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0.0882%</w:t>
            </w:r>
          </w:p>
        </w:tc>
        <w:tc>
          <w:tcPr>
            <w:tcW w:w="750" w:type="pct"/>
            <w:tcBorders>
              <w:top w:val="single" w:sz="4" w:space="0" w:color="auto"/>
              <w:left w:val="single" w:sz="4" w:space="0" w:color="auto"/>
              <w:bottom w:val="single" w:sz="4" w:space="0" w:color="auto"/>
              <w:right w:val="single" w:sz="4" w:space="0" w:color="auto"/>
            </w:tcBorders>
            <w:vAlign w:val="center"/>
          </w:tcPr>
          <w:p w14:paraId="38631BEE"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4D333DC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0.3418%</w:t>
            </w:r>
          </w:p>
        </w:tc>
        <w:tc>
          <w:tcPr>
            <w:tcW w:w="750" w:type="pct"/>
            <w:tcBorders>
              <w:top w:val="single" w:sz="4" w:space="0" w:color="auto"/>
              <w:left w:val="single" w:sz="4" w:space="0" w:color="auto"/>
              <w:bottom w:val="single" w:sz="4" w:space="0" w:color="auto"/>
              <w:right w:val="single" w:sz="4" w:space="0" w:color="auto"/>
            </w:tcBorders>
            <w:vAlign w:val="center"/>
          </w:tcPr>
          <w:p w14:paraId="41D687C3"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0.0005%</w:t>
            </w:r>
          </w:p>
        </w:tc>
      </w:tr>
      <w:tr w:rsidR="004C65FB" w14:paraId="3FCC09F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32B19EA"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278DD8A9"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1.0850%</w:t>
            </w:r>
          </w:p>
        </w:tc>
        <w:tc>
          <w:tcPr>
            <w:tcW w:w="750" w:type="pct"/>
            <w:tcBorders>
              <w:top w:val="single" w:sz="4" w:space="0" w:color="auto"/>
              <w:left w:val="single" w:sz="4" w:space="0" w:color="auto"/>
              <w:bottom w:val="single" w:sz="4" w:space="0" w:color="auto"/>
              <w:right w:val="single" w:sz="4" w:space="0" w:color="auto"/>
            </w:tcBorders>
            <w:vAlign w:val="center"/>
          </w:tcPr>
          <w:p w14:paraId="07BD9D2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0.0006%</w:t>
            </w:r>
          </w:p>
        </w:tc>
        <w:tc>
          <w:tcPr>
            <w:tcW w:w="750" w:type="pct"/>
            <w:tcBorders>
              <w:top w:val="single" w:sz="4" w:space="0" w:color="auto"/>
              <w:left w:val="single" w:sz="4" w:space="0" w:color="auto"/>
              <w:bottom w:val="single" w:sz="4" w:space="0" w:color="auto"/>
              <w:right w:val="single" w:sz="4" w:space="0" w:color="auto"/>
            </w:tcBorders>
            <w:vAlign w:val="center"/>
          </w:tcPr>
          <w:p w14:paraId="1042657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0.1736%</w:t>
            </w:r>
          </w:p>
        </w:tc>
        <w:tc>
          <w:tcPr>
            <w:tcW w:w="750" w:type="pct"/>
            <w:tcBorders>
              <w:top w:val="single" w:sz="4" w:space="0" w:color="auto"/>
              <w:left w:val="single" w:sz="4" w:space="0" w:color="auto"/>
              <w:bottom w:val="single" w:sz="4" w:space="0" w:color="auto"/>
              <w:right w:val="single" w:sz="4" w:space="0" w:color="auto"/>
            </w:tcBorders>
            <w:vAlign w:val="center"/>
          </w:tcPr>
          <w:p w14:paraId="5E3A611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00AB7C50"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0.9114%</w:t>
            </w:r>
          </w:p>
        </w:tc>
        <w:tc>
          <w:tcPr>
            <w:tcW w:w="750" w:type="pct"/>
            <w:tcBorders>
              <w:top w:val="single" w:sz="4" w:space="0" w:color="auto"/>
              <w:left w:val="single" w:sz="4" w:space="0" w:color="auto"/>
              <w:bottom w:val="single" w:sz="4" w:space="0" w:color="auto"/>
              <w:right w:val="single" w:sz="4" w:space="0" w:color="auto"/>
            </w:tcBorders>
            <w:vAlign w:val="center"/>
          </w:tcPr>
          <w:p w14:paraId="4DCCAB14"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0.0006%</w:t>
            </w:r>
          </w:p>
        </w:tc>
      </w:tr>
      <w:tr w:rsidR="004C65FB" w14:paraId="333CEAB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1A6222B"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D798744"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2.5034%</w:t>
            </w:r>
          </w:p>
        </w:tc>
        <w:tc>
          <w:tcPr>
            <w:tcW w:w="750" w:type="pct"/>
            <w:tcBorders>
              <w:top w:val="single" w:sz="4" w:space="0" w:color="auto"/>
              <w:left w:val="single" w:sz="4" w:space="0" w:color="auto"/>
              <w:bottom w:val="single" w:sz="4" w:space="0" w:color="auto"/>
              <w:right w:val="single" w:sz="4" w:space="0" w:color="auto"/>
            </w:tcBorders>
            <w:vAlign w:val="center"/>
          </w:tcPr>
          <w:p w14:paraId="2A4705A9"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c>
          <w:tcPr>
            <w:tcW w:w="750" w:type="pct"/>
            <w:tcBorders>
              <w:top w:val="single" w:sz="4" w:space="0" w:color="auto"/>
              <w:left w:val="single" w:sz="4" w:space="0" w:color="auto"/>
              <w:bottom w:val="single" w:sz="4" w:space="0" w:color="auto"/>
              <w:right w:val="single" w:sz="4" w:space="0" w:color="auto"/>
            </w:tcBorders>
            <w:vAlign w:val="center"/>
          </w:tcPr>
          <w:p w14:paraId="01B0E297"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14:paraId="79F16530"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3CC3D455"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2.1534%</w:t>
            </w:r>
          </w:p>
        </w:tc>
        <w:tc>
          <w:tcPr>
            <w:tcW w:w="750" w:type="pct"/>
            <w:tcBorders>
              <w:top w:val="single" w:sz="4" w:space="0" w:color="auto"/>
              <w:left w:val="single" w:sz="4" w:space="0" w:color="auto"/>
              <w:bottom w:val="single" w:sz="4" w:space="0" w:color="auto"/>
              <w:right w:val="single" w:sz="4" w:space="0" w:color="auto"/>
            </w:tcBorders>
            <w:vAlign w:val="center"/>
          </w:tcPr>
          <w:p w14:paraId="3FB58F08"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r>
      <w:tr w:rsidR="004C65FB" w14:paraId="59E8D01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304586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8C0219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2.2811%</w:t>
            </w:r>
          </w:p>
        </w:tc>
        <w:tc>
          <w:tcPr>
            <w:tcW w:w="750" w:type="pct"/>
            <w:tcBorders>
              <w:top w:val="single" w:sz="4" w:space="0" w:color="auto"/>
              <w:left w:val="single" w:sz="4" w:space="0" w:color="auto"/>
              <w:bottom w:val="single" w:sz="4" w:space="0" w:color="auto"/>
              <w:right w:val="single" w:sz="4" w:space="0" w:color="auto"/>
            </w:tcBorders>
            <w:vAlign w:val="center"/>
          </w:tcPr>
          <w:p w14:paraId="1DD4695B"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0.0019%</w:t>
            </w:r>
          </w:p>
        </w:tc>
        <w:tc>
          <w:tcPr>
            <w:tcW w:w="750" w:type="pct"/>
            <w:tcBorders>
              <w:top w:val="single" w:sz="4" w:space="0" w:color="auto"/>
              <w:left w:val="single" w:sz="4" w:space="0" w:color="auto"/>
              <w:bottom w:val="single" w:sz="4" w:space="0" w:color="auto"/>
              <w:right w:val="single" w:sz="4" w:space="0" w:color="auto"/>
            </w:tcBorders>
            <w:vAlign w:val="center"/>
          </w:tcPr>
          <w:p w14:paraId="78DA8BF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0.3510%</w:t>
            </w:r>
          </w:p>
        </w:tc>
        <w:tc>
          <w:tcPr>
            <w:tcW w:w="750" w:type="pct"/>
            <w:tcBorders>
              <w:top w:val="single" w:sz="4" w:space="0" w:color="auto"/>
              <w:left w:val="single" w:sz="4" w:space="0" w:color="auto"/>
              <w:bottom w:val="single" w:sz="4" w:space="0" w:color="auto"/>
              <w:right w:val="single" w:sz="4" w:space="0" w:color="auto"/>
            </w:tcBorders>
            <w:vAlign w:val="center"/>
          </w:tcPr>
          <w:p w14:paraId="73378C1E"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35074692"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1.9301%</w:t>
            </w:r>
          </w:p>
        </w:tc>
        <w:tc>
          <w:tcPr>
            <w:tcW w:w="750" w:type="pct"/>
            <w:tcBorders>
              <w:top w:val="single" w:sz="4" w:space="0" w:color="auto"/>
              <w:left w:val="single" w:sz="4" w:space="0" w:color="auto"/>
              <w:bottom w:val="single" w:sz="4" w:space="0" w:color="auto"/>
              <w:right w:val="single" w:sz="4" w:space="0" w:color="auto"/>
            </w:tcBorders>
            <w:vAlign w:val="center"/>
          </w:tcPr>
          <w:p w14:paraId="732B29A0"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0.0019%</w:t>
            </w:r>
          </w:p>
        </w:tc>
      </w:tr>
      <w:tr w:rsidR="004C65FB" w14:paraId="62BE492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384E57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C62F20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2.6498%</w:t>
            </w:r>
          </w:p>
        </w:tc>
        <w:tc>
          <w:tcPr>
            <w:tcW w:w="750" w:type="pct"/>
            <w:tcBorders>
              <w:top w:val="single" w:sz="4" w:space="0" w:color="auto"/>
              <w:left w:val="single" w:sz="4" w:space="0" w:color="auto"/>
              <w:bottom w:val="single" w:sz="4" w:space="0" w:color="auto"/>
              <w:right w:val="single" w:sz="4" w:space="0" w:color="auto"/>
            </w:tcBorders>
            <w:vAlign w:val="center"/>
          </w:tcPr>
          <w:p w14:paraId="6AEB9F14"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0.0032%</w:t>
            </w:r>
          </w:p>
        </w:tc>
        <w:tc>
          <w:tcPr>
            <w:tcW w:w="750" w:type="pct"/>
            <w:tcBorders>
              <w:top w:val="single" w:sz="4" w:space="0" w:color="auto"/>
              <w:left w:val="single" w:sz="4" w:space="0" w:color="auto"/>
              <w:bottom w:val="single" w:sz="4" w:space="0" w:color="auto"/>
              <w:right w:val="single" w:sz="4" w:space="0" w:color="auto"/>
            </w:tcBorders>
            <w:vAlign w:val="center"/>
          </w:tcPr>
          <w:p w14:paraId="6C42A65E"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14:paraId="53F557C3"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0634B82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2.2998%</w:t>
            </w:r>
          </w:p>
        </w:tc>
        <w:tc>
          <w:tcPr>
            <w:tcW w:w="750" w:type="pct"/>
            <w:tcBorders>
              <w:top w:val="single" w:sz="4" w:space="0" w:color="auto"/>
              <w:left w:val="single" w:sz="4" w:space="0" w:color="auto"/>
              <w:bottom w:val="single" w:sz="4" w:space="0" w:color="auto"/>
              <w:right w:val="single" w:sz="4" w:space="0" w:color="auto"/>
            </w:tcBorders>
            <w:vAlign w:val="center"/>
          </w:tcPr>
          <w:p w14:paraId="2F8A2BC7"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0.0032%</w:t>
            </w:r>
          </w:p>
        </w:tc>
      </w:tr>
      <w:tr w:rsidR="004C65FB" w14:paraId="5A7F5E1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90A6C63"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FECE369"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3.8964%</w:t>
            </w:r>
          </w:p>
        </w:tc>
        <w:tc>
          <w:tcPr>
            <w:tcW w:w="750" w:type="pct"/>
            <w:tcBorders>
              <w:top w:val="single" w:sz="4" w:space="0" w:color="auto"/>
              <w:left w:val="single" w:sz="4" w:space="0" w:color="auto"/>
              <w:bottom w:val="single" w:sz="4" w:space="0" w:color="auto"/>
              <w:right w:val="single" w:sz="4" w:space="0" w:color="auto"/>
            </w:tcBorders>
            <w:vAlign w:val="center"/>
          </w:tcPr>
          <w:p w14:paraId="1DDD1DF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0.0035%</w:t>
            </w:r>
          </w:p>
        </w:tc>
        <w:tc>
          <w:tcPr>
            <w:tcW w:w="750" w:type="pct"/>
            <w:tcBorders>
              <w:top w:val="single" w:sz="4" w:space="0" w:color="auto"/>
              <w:left w:val="single" w:sz="4" w:space="0" w:color="auto"/>
              <w:bottom w:val="single" w:sz="4" w:space="0" w:color="auto"/>
              <w:right w:val="single" w:sz="4" w:space="0" w:color="auto"/>
            </w:tcBorders>
            <w:vAlign w:val="center"/>
          </w:tcPr>
          <w:p w14:paraId="46D473DD"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14:paraId="5F6DAFEA"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0E027A8E"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3.5464%</w:t>
            </w:r>
          </w:p>
        </w:tc>
        <w:tc>
          <w:tcPr>
            <w:tcW w:w="750" w:type="pct"/>
            <w:tcBorders>
              <w:top w:val="single" w:sz="4" w:space="0" w:color="auto"/>
              <w:left w:val="single" w:sz="4" w:space="0" w:color="auto"/>
              <w:bottom w:val="single" w:sz="4" w:space="0" w:color="auto"/>
              <w:right w:val="single" w:sz="4" w:space="0" w:color="auto"/>
            </w:tcBorders>
            <w:vAlign w:val="center"/>
          </w:tcPr>
          <w:p w14:paraId="10244533"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0.0035%</w:t>
            </w:r>
          </w:p>
        </w:tc>
      </w:tr>
      <w:tr w:rsidR="004C65FB" w14:paraId="2164464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3486FEA"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CFA579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4.0107%</w:t>
            </w:r>
          </w:p>
        </w:tc>
        <w:tc>
          <w:tcPr>
            <w:tcW w:w="750" w:type="pct"/>
            <w:tcBorders>
              <w:top w:val="single" w:sz="4" w:space="0" w:color="auto"/>
              <w:left w:val="single" w:sz="4" w:space="0" w:color="auto"/>
              <w:bottom w:val="single" w:sz="4" w:space="0" w:color="auto"/>
              <w:right w:val="single" w:sz="4" w:space="0" w:color="auto"/>
            </w:tcBorders>
            <w:vAlign w:val="center"/>
          </w:tcPr>
          <w:p w14:paraId="5B005304"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0.0008%</w:t>
            </w:r>
          </w:p>
        </w:tc>
        <w:tc>
          <w:tcPr>
            <w:tcW w:w="750" w:type="pct"/>
            <w:tcBorders>
              <w:top w:val="single" w:sz="4" w:space="0" w:color="auto"/>
              <w:left w:val="single" w:sz="4" w:space="0" w:color="auto"/>
              <w:bottom w:val="single" w:sz="4" w:space="0" w:color="auto"/>
              <w:right w:val="single" w:sz="4" w:space="0" w:color="auto"/>
            </w:tcBorders>
            <w:vAlign w:val="center"/>
          </w:tcPr>
          <w:p w14:paraId="367D9BCB"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14:paraId="0BCE7E5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0BD15694"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3.6607%</w:t>
            </w:r>
          </w:p>
        </w:tc>
        <w:tc>
          <w:tcPr>
            <w:tcW w:w="750" w:type="pct"/>
            <w:tcBorders>
              <w:top w:val="single" w:sz="4" w:space="0" w:color="auto"/>
              <w:left w:val="single" w:sz="4" w:space="0" w:color="auto"/>
              <w:bottom w:val="single" w:sz="4" w:space="0" w:color="auto"/>
              <w:right w:val="single" w:sz="4" w:space="0" w:color="auto"/>
            </w:tcBorders>
            <w:vAlign w:val="center"/>
          </w:tcPr>
          <w:p w14:paraId="78F31B1E"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0.0008%</w:t>
            </w:r>
          </w:p>
        </w:tc>
      </w:tr>
      <w:tr w:rsidR="004C65FB" w14:paraId="426224B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EEA1AA5"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160CEC88"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0.5497%</w:t>
            </w:r>
          </w:p>
        </w:tc>
        <w:tc>
          <w:tcPr>
            <w:tcW w:w="750" w:type="pct"/>
            <w:tcBorders>
              <w:top w:val="single" w:sz="4" w:space="0" w:color="auto"/>
              <w:left w:val="single" w:sz="4" w:space="0" w:color="auto"/>
              <w:bottom w:val="single" w:sz="4" w:space="0" w:color="auto"/>
              <w:right w:val="single" w:sz="4" w:space="0" w:color="auto"/>
            </w:tcBorders>
            <w:vAlign w:val="center"/>
          </w:tcPr>
          <w:p w14:paraId="08DAE6EA"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0.0018%</w:t>
            </w:r>
          </w:p>
        </w:tc>
        <w:tc>
          <w:tcPr>
            <w:tcW w:w="750" w:type="pct"/>
            <w:tcBorders>
              <w:top w:val="single" w:sz="4" w:space="0" w:color="auto"/>
              <w:left w:val="single" w:sz="4" w:space="0" w:color="auto"/>
              <w:bottom w:val="single" w:sz="4" w:space="0" w:color="auto"/>
              <w:right w:val="single" w:sz="4" w:space="0" w:color="auto"/>
            </w:tcBorders>
            <w:vAlign w:val="center"/>
          </w:tcPr>
          <w:p w14:paraId="50D959C0"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0.0710%</w:t>
            </w:r>
          </w:p>
        </w:tc>
        <w:tc>
          <w:tcPr>
            <w:tcW w:w="750" w:type="pct"/>
            <w:tcBorders>
              <w:top w:val="single" w:sz="4" w:space="0" w:color="auto"/>
              <w:left w:val="single" w:sz="4" w:space="0" w:color="auto"/>
              <w:bottom w:val="single" w:sz="4" w:space="0" w:color="auto"/>
              <w:right w:val="single" w:sz="4" w:space="0" w:color="auto"/>
            </w:tcBorders>
            <w:vAlign w:val="center"/>
          </w:tcPr>
          <w:p w14:paraId="3D55042D"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018DFBA2"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0.4787%</w:t>
            </w:r>
          </w:p>
        </w:tc>
        <w:tc>
          <w:tcPr>
            <w:tcW w:w="750" w:type="pct"/>
            <w:tcBorders>
              <w:top w:val="single" w:sz="4" w:space="0" w:color="auto"/>
              <w:left w:val="single" w:sz="4" w:space="0" w:color="auto"/>
              <w:bottom w:val="single" w:sz="4" w:space="0" w:color="auto"/>
              <w:right w:val="single" w:sz="4" w:space="0" w:color="auto"/>
            </w:tcBorders>
            <w:vAlign w:val="center"/>
          </w:tcPr>
          <w:p w14:paraId="3EFB1BB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0.0018%</w:t>
            </w:r>
          </w:p>
        </w:tc>
      </w:tr>
    </w:tbl>
    <w:p w14:paraId="4A27C73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注：本基金收益分配按日结转份额。</w:t>
      </w:r>
    </w:p>
    <w:p w14:paraId="7311718C"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2）交银天利宝货币E：</w:t>
      </w:r>
    </w:p>
    <w:tbl>
      <w:tblPr>
        <w:tblW w:w="5000" w:type="pct"/>
        <w:tblCellMar>
          <w:left w:w="0" w:type="dxa"/>
          <w:right w:w="0" w:type="dxa"/>
        </w:tblCellMar>
        <w:tblLook w:val="0000" w:firstRow="0" w:lastRow="0" w:firstColumn="0" w:lastColumn="0" w:noHBand="0" w:noVBand="0"/>
      </w:tblPr>
      <w:tblGrid>
        <w:gridCol w:w="1290"/>
        <w:gridCol w:w="1290"/>
        <w:gridCol w:w="1291"/>
        <w:gridCol w:w="1291"/>
        <w:gridCol w:w="1291"/>
        <w:gridCol w:w="1291"/>
        <w:gridCol w:w="906"/>
      </w:tblGrid>
      <w:tr w:rsidR="004C65FB" w14:paraId="671370C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F3E0463"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093B45FA"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净值收益率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41F82C9C"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净值收益率标准差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68D43DA0"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314D24FA"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77905C57"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7833676B"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4C65FB" w14:paraId="054F206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FDA545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25E2637A"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0.4908%</w:t>
            </w:r>
          </w:p>
        </w:tc>
        <w:tc>
          <w:tcPr>
            <w:tcW w:w="750" w:type="pct"/>
            <w:tcBorders>
              <w:top w:val="single" w:sz="4" w:space="0" w:color="auto"/>
              <w:left w:val="single" w:sz="4" w:space="0" w:color="auto"/>
              <w:bottom w:val="single" w:sz="4" w:space="0" w:color="auto"/>
              <w:right w:val="single" w:sz="4" w:space="0" w:color="auto"/>
            </w:tcBorders>
            <w:vAlign w:val="center"/>
          </w:tcPr>
          <w:p w14:paraId="790EF91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0.0005%</w:t>
            </w:r>
          </w:p>
        </w:tc>
        <w:tc>
          <w:tcPr>
            <w:tcW w:w="750" w:type="pct"/>
            <w:tcBorders>
              <w:top w:val="single" w:sz="4" w:space="0" w:color="auto"/>
              <w:left w:val="single" w:sz="4" w:space="0" w:color="auto"/>
              <w:bottom w:val="single" w:sz="4" w:space="0" w:color="auto"/>
              <w:right w:val="single" w:sz="4" w:space="0" w:color="auto"/>
            </w:tcBorders>
            <w:vAlign w:val="center"/>
          </w:tcPr>
          <w:p w14:paraId="4E76C2EB"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0.0882%</w:t>
            </w:r>
          </w:p>
        </w:tc>
        <w:tc>
          <w:tcPr>
            <w:tcW w:w="750" w:type="pct"/>
            <w:tcBorders>
              <w:top w:val="single" w:sz="4" w:space="0" w:color="auto"/>
              <w:left w:val="single" w:sz="4" w:space="0" w:color="auto"/>
              <w:bottom w:val="single" w:sz="4" w:space="0" w:color="auto"/>
              <w:right w:val="single" w:sz="4" w:space="0" w:color="auto"/>
            </w:tcBorders>
            <w:vAlign w:val="center"/>
          </w:tcPr>
          <w:p w14:paraId="3D208A03"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245B6A5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0.4026%</w:t>
            </w:r>
          </w:p>
        </w:tc>
        <w:tc>
          <w:tcPr>
            <w:tcW w:w="750" w:type="pct"/>
            <w:tcBorders>
              <w:top w:val="single" w:sz="4" w:space="0" w:color="auto"/>
              <w:left w:val="single" w:sz="4" w:space="0" w:color="auto"/>
              <w:bottom w:val="single" w:sz="4" w:space="0" w:color="auto"/>
              <w:right w:val="single" w:sz="4" w:space="0" w:color="auto"/>
            </w:tcBorders>
            <w:vAlign w:val="center"/>
          </w:tcPr>
          <w:p w14:paraId="620C1A05"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0.0005%</w:t>
            </w:r>
          </w:p>
        </w:tc>
      </w:tr>
      <w:tr w:rsidR="004C65FB" w14:paraId="26C9E8F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79B39E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29084F7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1.2053%</w:t>
            </w:r>
          </w:p>
        </w:tc>
        <w:tc>
          <w:tcPr>
            <w:tcW w:w="750" w:type="pct"/>
            <w:tcBorders>
              <w:top w:val="single" w:sz="4" w:space="0" w:color="auto"/>
              <w:left w:val="single" w:sz="4" w:space="0" w:color="auto"/>
              <w:bottom w:val="single" w:sz="4" w:space="0" w:color="auto"/>
              <w:right w:val="single" w:sz="4" w:space="0" w:color="auto"/>
            </w:tcBorders>
            <w:vAlign w:val="center"/>
          </w:tcPr>
          <w:p w14:paraId="3EDE7E0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0.0006%</w:t>
            </w:r>
          </w:p>
        </w:tc>
        <w:tc>
          <w:tcPr>
            <w:tcW w:w="750" w:type="pct"/>
            <w:tcBorders>
              <w:top w:val="single" w:sz="4" w:space="0" w:color="auto"/>
              <w:left w:val="single" w:sz="4" w:space="0" w:color="auto"/>
              <w:bottom w:val="single" w:sz="4" w:space="0" w:color="auto"/>
              <w:right w:val="single" w:sz="4" w:space="0" w:color="auto"/>
            </w:tcBorders>
            <w:vAlign w:val="center"/>
          </w:tcPr>
          <w:p w14:paraId="78967410"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0.1736%</w:t>
            </w:r>
          </w:p>
        </w:tc>
        <w:tc>
          <w:tcPr>
            <w:tcW w:w="750" w:type="pct"/>
            <w:tcBorders>
              <w:top w:val="single" w:sz="4" w:space="0" w:color="auto"/>
              <w:left w:val="single" w:sz="4" w:space="0" w:color="auto"/>
              <w:bottom w:val="single" w:sz="4" w:space="0" w:color="auto"/>
              <w:right w:val="single" w:sz="4" w:space="0" w:color="auto"/>
            </w:tcBorders>
            <w:vAlign w:val="center"/>
          </w:tcPr>
          <w:p w14:paraId="3EEF849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05BF9684"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1.0317%</w:t>
            </w:r>
          </w:p>
        </w:tc>
        <w:tc>
          <w:tcPr>
            <w:tcW w:w="750" w:type="pct"/>
            <w:tcBorders>
              <w:top w:val="single" w:sz="4" w:space="0" w:color="auto"/>
              <w:left w:val="single" w:sz="4" w:space="0" w:color="auto"/>
              <w:bottom w:val="single" w:sz="4" w:space="0" w:color="auto"/>
              <w:right w:val="single" w:sz="4" w:space="0" w:color="auto"/>
            </w:tcBorders>
            <w:vAlign w:val="center"/>
          </w:tcPr>
          <w:p w14:paraId="21FDF5C2"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0.0006%</w:t>
            </w:r>
          </w:p>
        </w:tc>
      </w:tr>
      <w:tr w:rsidR="004C65FB" w14:paraId="6FF5062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AFB559A"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70FB0D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2.7494%</w:t>
            </w:r>
          </w:p>
        </w:tc>
        <w:tc>
          <w:tcPr>
            <w:tcW w:w="750" w:type="pct"/>
            <w:tcBorders>
              <w:top w:val="single" w:sz="4" w:space="0" w:color="auto"/>
              <w:left w:val="single" w:sz="4" w:space="0" w:color="auto"/>
              <w:bottom w:val="single" w:sz="4" w:space="0" w:color="auto"/>
              <w:right w:val="single" w:sz="4" w:space="0" w:color="auto"/>
            </w:tcBorders>
            <w:vAlign w:val="center"/>
          </w:tcPr>
          <w:p w14:paraId="7FFEFA6B"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c>
          <w:tcPr>
            <w:tcW w:w="750" w:type="pct"/>
            <w:tcBorders>
              <w:top w:val="single" w:sz="4" w:space="0" w:color="auto"/>
              <w:left w:val="single" w:sz="4" w:space="0" w:color="auto"/>
              <w:bottom w:val="single" w:sz="4" w:space="0" w:color="auto"/>
              <w:right w:val="single" w:sz="4" w:space="0" w:color="auto"/>
            </w:tcBorders>
            <w:vAlign w:val="center"/>
          </w:tcPr>
          <w:p w14:paraId="73D9D96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14:paraId="0776FC80"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7AC15C24"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2.3994%</w:t>
            </w:r>
          </w:p>
        </w:tc>
        <w:tc>
          <w:tcPr>
            <w:tcW w:w="750" w:type="pct"/>
            <w:tcBorders>
              <w:top w:val="single" w:sz="4" w:space="0" w:color="auto"/>
              <w:left w:val="single" w:sz="4" w:space="0" w:color="auto"/>
              <w:bottom w:val="single" w:sz="4" w:space="0" w:color="auto"/>
              <w:right w:val="single" w:sz="4" w:space="0" w:color="auto"/>
            </w:tcBorders>
            <w:vAlign w:val="center"/>
          </w:tcPr>
          <w:p w14:paraId="66F8C045"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r>
      <w:tr w:rsidR="004C65FB" w14:paraId="5B86C56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5FB213A"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E36742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2.5263%</w:t>
            </w:r>
          </w:p>
        </w:tc>
        <w:tc>
          <w:tcPr>
            <w:tcW w:w="750" w:type="pct"/>
            <w:tcBorders>
              <w:top w:val="single" w:sz="4" w:space="0" w:color="auto"/>
              <w:left w:val="single" w:sz="4" w:space="0" w:color="auto"/>
              <w:bottom w:val="single" w:sz="4" w:space="0" w:color="auto"/>
              <w:right w:val="single" w:sz="4" w:space="0" w:color="auto"/>
            </w:tcBorders>
            <w:vAlign w:val="center"/>
          </w:tcPr>
          <w:p w14:paraId="7A11E975"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0.0019%</w:t>
            </w:r>
          </w:p>
        </w:tc>
        <w:tc>
          <w:tcPr>
            <w:tcW w:w="750" w:type="pct"/>
            <w:tcBorders>
              <w:top w:val="single" w:sz="4" w:space="0" w:color="auto"/>
              <w:left w:val="single" w:sz="4" w:space="0" w:color="auto"/>
              <w:bottom w:val="single" w:sz="4" w:space="0" w:color="auto"/>
              <w:right w:val="single" w:sz="4" w:space="0" w:color="auto"/>
            </w:tcBorders>
            <w:vAlign w:val="center"/>
          </w:tcPr>
          <w:p w14:paraId="1C3614A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0.3510%</w:t>
            </w:r>
          </w:p>
        </w:tc>
        <w:tc>
          <w:tcPr>
            <w:tcW w:w="750" w:type="pct"/>
            <w:tcBorders>
              <w:top w:val="single" w:sz="4" w:space="0" w:color="auto"/>
              <w:left w:val="single" w:sz="4" w:space="0" w:color="auto"/>
              <w:bottom w:val="single" w:sz="4" w:space="0" w:color="auto"/>
              <w:right w:val="single" w:sz="4" w:space="0" w:color="auto"/>
            </w:tcBorders>
            <w:vAlign w:val="center"/>
          </w:tcPr>
          <w:p w14:paraId="61C435B2"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3F4CC960"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2.1753%</w:t>
            </w:r>
          </w:p>
        </w:tc>
        <w:tc>
          <w:tcPr>
            <w:tcW w:w="750" w:type="pct"/>
            <w:tcBorders>
              <w:top w:val="single" w:sz="4" w:space="0" w:color="auto"/>
              <w:left w:val="single" w:sz="4" w:space="0" w:color="auto"/>
              <w:bottom w:val="single" w:sz="4" w:space="0" w:color="auto"/>
              <w:right w:val="single" w:sz="4" w:space="0" w:color="auto"/>
            </w:tcBorders>
            <w:vAlign w:val="center"/>
          </w:tcPr>
          <w:p w14:paraId="7FD64E4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0.0019%</w:t>
            </w:r>
          </w:p>
        </w:tc>
      </w:tr>
      <w:tr w:rsidR="004C65FB" w14:paraId="4A3B9CD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C50BE5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0A2DDF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2.8962%</w:t>
            </w:r>
          </w:p>
        </w:tc>
        <w:tc>
          <w:tcPr>
            <w:tcW w:w="750" w:type="pct"/>
            <w:tcBorders>
              <w:top w:val="single" w:sz="4" w:space="0" w:color="auto"/>
              <w:left w:val="single" w:sz="4" w:space="0" w:color="auto"/>
              <w:bottom w:val="single" w:sz="4" w:space="0" w:color="auto"/>
              <w:right w:val="single" w:sz="4" w:space="0" w:color="auto"/>
            </w:tcBorders>
            <w:vAlign w:val="center"/>
          </w:tcPr>
          <w:p w14:paraId="232ABFE0"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0.0032%</w:t>
            </w:r>
          </w:p>
        </w:tc>
        <w:tc>
          <w:tcPr>
            <w:tcW w:w="750" w:type="pct"/>
            <w:tcBorders>
              <w:top w:val="single" w:sz="4" w:space="0" w:color="auto"/>
              <w:left w:val="single" w:sz="4" w:space="0" w:color="auto"/>
              <w:bottom w:val="single" w:sz="4" w:space="0" w:color="auto"/>
              <w:right w:val="single" w:sz="4" w:space="0" w:color="auto"/>
            </w:tcBorders>
            <w:vAlign w:val="center"/>
          </w:tcPr>
          <w:p w14:paraId="3A0FB81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14:paraId="0816EBC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72610B4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2.5462%</w:t>
            </w:r>
          </w:p>
        </w:tc>
        <w:tc>
          <w:tcPr>
            <w:tcW w:w="750" w:type="pct"/>
            <w:tcBorders>
              <w:top w:val="single" w:sz="4" w:space="0" w:color="auto"/>
              <w:left w:val="single" w:sz="4" w:space="0" w:color="auto"/>
              <w:bottom w:val="single" w:sz="4" w:space="0" w:color="auto"/>
              <w:right w:val="single" w:sz="4" w:space="0" w:color="auto"/>
            </w:tcBorders>
            <w:vAlign w:val="center"/>
          </w:tcPr>
          <w:p w14:paraId="0FFBCEDD"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0.0032%</w:t>
            </w:r>
          </w:p>
        </w:tc>
      </w:tr>
      <w:tr w:rsidR="004C65FB" w14:paraId="4CEAA2E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BFC0864"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EDAD7F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4.1452%</w:t>
            </w:r>
          </w:p>
        </w:tc>
        <w:tc>
          <w:tcPr>
            <w:tcW w:w="750" w:type="pct"/>
            <w:tcBorders>
              <w:top w:val="single" w:sz="4" w:space="0" w:color="auto"/>
              <w:left w:val="single" w:sz="4" w:space="0" w:color="auto"/>
              <w:bottom w:val="single" w:sz="4" w:space="0" w:color="auto"/>
              <w:right w:val="single" w:sz="4" w:space="0" w:color="auto"/>
            </w:tcBorders>
            <w:vAlign w:val="center"/>
          </w:tcPr>
          <w:p w14:paraId="6C9B1CE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0.0035%</w:t>
            </w:r>
          </w:p>
        </w:tc>
        <w:tc>
          <w:tcPr>
            <w:tcW w:w="750" w:type="pct"/>
            <w:tcBorders>
              <w:top w:val="single" w:sz="4" w:space="0" w:color="auto"/>
              <w:left w:val="single" w:sz="4" w:space="0" w:color="auto"/>
              <w:bottom w:val="single" w:sz="4" w:space="0" w:color="auto"/>
              <w:right w:val="single" w:sz="4" w:space="0" w:color="auto"/>
            </w:tcBorders>
            <w:vAlign w:val="center"/>
          </w:tcPr>
          <w:p w14:paraId="15AFC5E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14:paraId="1347BA3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41C053A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3.7952%</w:t>
            </w:r>
          </w:p>
        </w:tc>
        <w:tc>
          <w:tcPr>
            <w:tcW w:w="750" w:type="pct"/>
            <w:tcBorders>
              <w:top w:val="single" w:sz="4" w:space="0" w:color="auto"/>
              <w:left w:val="single" w:sz="4" w:space="0" w:color="auto"/>
              <w:bottom w:val="single" w:sz="4" w:space="0" w:color="auto"/>
              <w:right w:val="single" w:sz="4" w:space="0" w:color="auto"/>
            </w:tcBorders>
            <w:vAlign w:val="center"/>
          </w:tcPr>
          <w:p w14:paraId="0A5729C8"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0.0035%</w:t>
            </w:r>
          </w:p>
        </w:tc>
      </w:tr>
      <w:tr w:rsidR="004C65FB" w14:paraId="5F78504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077D85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0B4A2A7"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4.2580%</w:t>
            </w:r>
          </w:p>
        </w:tc>
        <w:tc>
          <w:tcPr>
            <w:tcW w:w="750" w:type="pct"/>
            <w:tcBorders>
              <w:top w:val="single" w:sz="4" w:space="0" w:color="auto"/>
              <w:left w:val="single" w:sz="4" w:space="0" w:color="auto"/>
              <w:bottom w:val="single" w:sz="4" w:space="0" w:color="auto"/>
              <w:right w:val="single" w:sz="4" w:space="0" w:color="auto"/>
            </w:tcBorders>
            <w:vAlign w:val="center"/>
          </w:tcPr>
          <w:p w14:paraId="5CD0E152"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0.0008%</w:t>
            </w:r>
          </w:p>
        </w:tc>
        <w:tc>
          <w:tcPr>
            <w:tcW w:w="750" w:type="pct"/>
            <w:tcBorders>
              <w:top w:val="single" w:sz="4" w:space="0" w:color="auto"/>
              <w:left w:val="single" w:sz="4" w:space="0" w:color="auto"/>
              <w:bottom w:val="single" w:sz="4" w:space="0" w:color="auto"/>
              <w:right w:val="single" w:sz="4" w:space="0" w:color="auto"/>
            </w:tcBorders>
            <w:vAlign w:val="center"/>
          </w:tcPr>
          <w:p w14:paraId="5460DBFB"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0.3500%</w:t>
            </w:r>
          </w:p>
        </w:tc>
        <w:tc>
          <w:tcPr>
            <w:tcW w:w="750" w:type="pct"/>
            <w:tcBorders>
              <w:top w:val="single" w:sz="4" w:space="0" w:color="auto"/>
              <w:left w:val="single" w:sz="4" w:space="0" w:color="auto"/>
              <w:bottom w:val="single" w:sz="4" w:space="0" w:color="auto"/>
              <w:right w:val="single" w:sz="4" w:space="0" w:color="auto"/>
            </w:tcBorders>
            <w:vAlign w:val="center"/>
          </w:tcPr>
          <w:p w14:paraId="22E41A2E"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23CD231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3.9080%</w:t>
            </w:r>
          </w:p>
        </w:tc>
        <w:tc>
          <w:tcPr>
            <w:tcW w:w="750" w:type="pct"/>
            <w:tcBorders>
              <w:top w:val="single" w:sz="4" w:space="0" w:color="auto"/>
              <w:left w:val="single" w:sz="4" w:space="0" w:color="auto"/>
              <w:bottom w:val="single" w:sz="4" w:space="0" w:color="auto"/>
              <w:right w:val="single" w:sz="4" w:space="0" w:color="auto"/>
            </w:tcBorders>
            <w:vAlign w:val="center"/>
          </w:tcPr>
          <w:p w14:paraId="0FC6FA2D"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0.0008%</w:t>
            </w:r>
          </w:p>
        </w:tc>
      </w:tr>
      <w:tr w:rsidR="004C65FB" w14:paraId="5F7F769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5ABF1D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06A3E64"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0.5953%</w:t>
            </w:r>
          </w:p>
        </w:tc>
        <w:tc>
          <w:tcPr>
            <w:tcW w:w="750" w:type="pct"/>
            <w:tcBorders>
              <w:top w:val="single" w:sz="4" w:space="0" w:color="auto"/>
              <w:left w:val="single" w:sz="4" w:space="0" w:color="auto"/>
              <w:bottom w:val="single" w:sz="4" w:space="0" w:color="auto"/>
              <w:right w:val="single" w:sz="4" w:space="0" w:color="auto"/>
            </w:tcBorders>
            <w:vAlign w:val="center"/>
          </w:tcPr>
          <w:p w14:paraId="16E86862"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0.0018%</w:t>
            </w:r>
          </w:p>
        </w:tc>
        <w:tc>
          <w:tcPr>
            <w:tcW w:w="750" w:type="pct"/>
            <w:tcBorders>
              <w:top w:val="single" w:sz="4" w:space="0" w:color="auto"/>
              <w:left w:val="single" w:sz="4" w:space="0" w:color="auto"/>
              <w:bottom w:val="single" w:sz="4" w:space="0" w:color="auto"/>
              <w:right w:val="single" w:sz="4" w:space="0" w:color="auto"/>
            </w:tcBorders>
            <w:vAlign w:val="center"/>
          </w:tcPr>
          <w:p w14:paraId="6CF93A3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0.0710%</w:t>
            </w:r>
          </w:p>
        </w:tc>
        <w:tc>
          <w:tcPr>
            <w:tcW w:w="750" w:type="pct"/>
            <w:tcBorders>
              <w:top w:val="single" w:sz="4" w:space="0" w:color="auto"/>
              <w:left w:val="single" w:sz="4" w:space="0" w:color="auto"/>
              <w:bottom w:val="single" w:sz="4" w:space="0" w:color="auto"/>
              <w:right w:val="single" w:sz="4" w:space="0" w:color="auto"/>
            </w:tcBorders>
            <w:vAlign w:val="center"/>
          </w:tcPr>
          <w:p w14:paraId="303B15D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65C0B17D"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0.5243%</w:t>
            </w:r>
          </w:p>
        </w:tc>
        <w:tc>
          <w:tcPr>
            <w:tcW w:w="750" w:type="pct"/>
            <w:tcBorders>
              <w:top w:val="single" w:sz="4" w:space="0" w:color="auto"/>
              <w:left w:val="single" w:sz="4" w:space="0" w:color="auto"/>
              <w:bottom w:val="single" w:sz="4" w:space="0" w:color="auto"/>
              <w:right w:val="single" w:sz="4" w:space="0" w:color="auto"/>
            </w:tcBorders>
            <w:vAlign w:val="center"/>
          </w:tcPr>
          <w:p w14:paraId="2C65FBF3"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0.0018%</w:t>
            </w:r>
          </w:p>
        </w:tc>
      </w:tr>
    </w:tbl>
    <w:p w14:paraId="37F4519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注：本基金收益分配按日结转份额。</w:t>
      </w:r>
    </w:p>
    <w:p w14:paraId="32EC1C6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2、自基金合同生效以来基金份额累计净值收益率变动及其与同期业绩比较基准收益率变动的比较</w:t>
      </w:r>
    </w:p>
    <w:p w14:paraId="270A5484" w14:textId="77777777" w:rsidR="004C65FB" w:rsidRDefault="00795CC3">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交银施罗德天利宝货币市场基金</w:t>
      </w:r>
    </w:p>
    <w:p w14:paraId="52590F2A" w14:textId="77777777" w:rsidR="004C65FB" w:rsidRDefault="00795CC3">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份额累计净值收益率与业绩比较基准收益率历史走势对比图</w:t>
      </w:r>
    </w:p>
    <w:p w14:paraId="3DA7957A" w14:textId="77777777" w:rsidR="004C65FB" w:rsidRDefault="00795CC3">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（2016年10月19日至2022年09月30日）</w:t>
      </w:r>
    </w:p>
    <w:p w14:paraId="611E2D4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1、交银天利宝货币A</w:t>
      </w:r>
    </w:p>
    <w:p w14:paraId="5DBBF354" w14:textId="45E196CB" w:rsidR="004C65FB" w:rsidRDefault="009B060A">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5D32BE05" wp14:editId="576B2E71">
            <wp:extent cx="5581650" cy="3409950"/>
            <wp:effectExtent l="0" t="0" r="0" b="0"/>
            <wp:docPr id="4"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3409950"/>
                    </a:xfrm>
                    <a:prstGeom prst="rect">
                      <a:avLst/>
                    </a:prstGeom>
                    <a:noFill/>
                    <a:ln>
                      <a:noFill/>
                    </a:ln>
                  </pic:spPr>
                </pic:pic>
              </a:graphicData>
            </a:graphic>
          </wp:inline>
        </w:drawing>
      </w:r>
    </w:p>
    <w:p w14:paraId="0E72C4F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63FC183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2、交银天利宝货币E</w:t>
      </w:r>
    </w:p>
    <w:p w14:paraId="5938FA6C" w14:textId="03029081" w:rsidR="004C65FB" w:rsidRDefault="009B060A">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7EB0B036" wp14:editId="0EAC4C94">
            <wp:extent cx="5581650" cy="3409950"/>
            <wp:effectExtent l="0" t="0" r="0" b="0"/>
            <wp:docPr id="5" name="图片 5"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650" cy="3409950"/>
                    </a:xfrm>
                    <a:prstGeom prst="rect">
                      <a:avLst/>
                    </a:prstGeom>
                    <a:noFill/>
                    <a:ln>
                      <a:noFill/>
                    </a:ln>
                  </pic:spPr>
                </pic:pic>
              </a:graphicData>
            </a:graphic>
          </wp:inline>
        </w:drawing>
      </w:r>
    </w:p>
    <w:p w14:paraId="79EBED4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6AFABA25"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FC4194D" w14:textId="77777777" w:rsidR="004C65FB" w:rsidRDefault="00795CC3">
      <w:pPr>
        <w:pStyle w:val="1"/>
        <w:snapToGrid w:val="0"/>
        <w:spacing w:beforeLines="0" w:before="240" w:after="240"/>
        <w:rPr>
          <w:rFonts w:ascii="宋体" w:hAnsi="宋体"/>
          <w:szCs w:val="30"/>
        </w:rPr>
      </w:pPr>
      <w:bookmarkStart w:id="14" w:name="_Toc119586520"/>
      <w:r>
        <w:rPr>
          <w:rFonts w:ascii="Times New Roman" w:hAnsi="Times New Roman"/>
          <w:sz w:val="30"/>
        </w:rPr>
        <w:lastRenderedPageBreak/>
        <w:t>十二、基金的财产</w:t>
      </w:r>
      <w:bookmarkEnd w:id="14"/>
    </w:p>
    <w:p w14:paraId="110B5C31"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14:paraId="7BDC86A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基金资产总值是指基金拥有的各类有价证券及票据价值、银行存款本息、基金应收申购款及其他资产的价值总和。</w:t>
      </w:r>
    </w:p>
    <w:p w14:paraId="5625F5F4"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14:paraId="09596A4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464F216D"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14:paraId="64C2213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068069C3"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（四）基金财产的保管和处分</w:t>
      </w:r>
    </w:p>
    <w:p w14:paraId="0766153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2489B5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67D74C9"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5F624CC" w14:textId="77777777" w:rsidR="004C65FB" w:rsidRDefault="00795CC3">
      <w:pPr>
        <w:pStyle w:val="1"/>
        <w:snapToGrid w:val="0"/>
        <w:spacing w:beforeLines="0" w:before="240" w:after="240"/>
        <w:rPr>
          <w:rFonts w:ascii="宋体" w:hAnsi="宋体"/>
          <w:szCs w:val="30"/>
        </w:rPr>
      </w:pPr>
      <w:bookmarkStart w:id="15" w:name="_Toc119586521"/>
      <w:r>
        <w:rPr>
          <w:rFonts w:ascii="Times New Roman" w:hAnsi="Times New Roman"/>
          <w:sz w:val="30"/>
        </w:rPr>
        <w:lastRenderedPageBreak/>
        <w:t>十三、基金资产的估值</w:t>
      </w:r>
      <w:bookmarkEnd w:id="15"/>
    </w:p>
    <w:p w14:paraId="7EEEA7E2"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14:paraId="24AB7A0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本基金的估值日为本基金相关的证券交易场所的交易日以及国家法律法规规定需要对外披露各类基金份额的基金资产净值、每万份基金已实现收益和7日年化收益率的非交易日。</w:t>
      </w:r>
    </w:p>
    <w:p w14:paraId="6174E177"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（二）估值对象</w:t>
      </w:r>
    </w:p>
    <w:p w14:paraId="5BFA6F4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基金所拥有的各类证券、票据和银行存款本息、应收款项、其它投资等资产及负债。</w:t>
      </w:r>
    </w:p>
    <w:p w14:paraId="318C5AA7"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（三）估值方法</w:t>
      </w:r>
    </w:p>
    <w:p w14:paraId="707E7A4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14:paraId="3F26E0A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5185F45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w:t>
      </w:r>
      <w:r>
        <w:rPr>
          <w:rFonts w:ascii="宋体" w:hAnsi="宋体"/>
          <w:sz w:val="24"/>
        </w:rPr>
        <w:lastRenderedPageBreak/>
        <w:t>值进行调整，或者采取暂停接受所有赎回申请并终止基金合同进行财产清算等措施。</w:t>
      </w:r>
    </w:p>
    <w:p w14:paraId="1AFB568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3、如有确凿证据表明按上述方法进行估值不能客观反映其公允价值的，基金管理人可根据具体情况与基金托管人商定后，按最能反映公允价值的价格估值。</w:t>
      </w:r>
    </w:p>
    <w:p w14:paraId="3732E68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4、相关法律法规以及监管部门有强制规定的，从其规定。如有新增事项，按法律法规以及监管部门最新规定估值。</w:t>
      </w:r>
    </w:p>
    <w:p w14:paraId="36C2F4C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0355C6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A2764D0"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（四）估值程序</w:t>
      </w:r>
    </w:p>
    <w:p w14:paraId="645367C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1、每万份基金已实现收益是按照相关法规计算的每万份基金份额的日已实现收益，精确到小数点后第4位，小数点后第5位四舍五入。本基金的收益分配是按日结转份额的，7日年化收益率是以最近7日(含节假日) 每万份基金已实现收益所折算的年资产收益率，精确到0.001%，百分号内小数点后第4位四舍五入。国家另有规定的，从其规定。</w:t>
      </w:r>
    </w:p>
    <w:p w14:paraId="6EC17D4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的基金资产净值、每万份基金已实现收益和7日年化收益率结果发送基金托管人，经基金托管人复核无误后，由基金管理人依据基金合同和相关法律法规的规定对外公布。</w:t>
      </w:r>
    </w:p>
    <w:p w14:paraId="0FEF34C1"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（五）估值错误的处理</w:t>
      </w:r>
    </w:p>
    <w:p w14:paraId="66C7999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基金管理人和基金托管人将采取必要、适当、合理的措施确保基金资产估值的准确性、及时性。当基金资产的计价导致每万份基金已实现收益小数点后4位以内发生差错时，视为估值错误。</w:t>
      </w:r>
    </w:p>
    <w:p w14:paraId="125D238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由于一方当事人提供的信息错误，另一方当事人在采取了必要合理的措施后仍不能发现该错误，进而导致基金资产净值计算错误造成投资人或基金的损失，以及</w:t>
      </w:r>
      <w:r>
        <w:rPr>
          <w:rFonts w:ascii="宋体" w:hAnsi="宋体"/>
          <w:sz w:val="24"/>
        </w:rPr>
        <w:lastRenderedPageBreak/>
        <w:t>由此造成以后交易日基金资产净值计算顺延错误而引起的投资人或基金的损失，由提供错误信息的当事人一方负责赔偿。</w:t>
      </w:r>
    </w:p>
    <w:p w14:paraId="1A27F54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09F9E12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523FD47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75C6824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5B813F6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086A294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BBDB6D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681B7B1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14D20D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06F237B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w:t>
      </w:r>
      <w:r>
        <w:rPr>
          <w:rFonts w:ascii="宋体" w:hAnsi="宋体"/>
          <w:sz w:val="24"/>
        </w:rPr>
        <w:lastRenderedPageBreak/>
        <w:t>和超过其实际损失的差额部分支付给估值错误责任方。</w:t>
      </w:r>
    </w:p>
    <w:p w14:paraId="154F5BB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207F503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4F353B6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4835232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3992052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31DB8FC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4F28193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505B3A5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56DA687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4、基金估值错误处理的方法如下：</w:t>
      </w:r>
    </w:p>
    <w:p w14:paraId="13E6419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（1）基金估值出现错误时，基金管理人应当立即予以纠正，通报基金托管人，并采取合理的措施防止损失进一步扩大。</w:t>
      </w:r>
    </w:p>
    <w:p w14:paraId="036E5B8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（2）错误偏差达到基金资产净值的0.25%时，基金管理人应当通报基金托管人并报中国证监会备案；错误偏差达到基金资产净值的0.5%时，基金管理人应当公告。</w:t>
      </w:r>
    </w:p>
    <w:p w14:paraId="3BBAFE1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0FB1EE2E"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（六）暂停估值的情形</w:t>
      </w:r>
    </w:p>
    <w:p w14:paraId="380B14E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1C2ECD7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2、因不可抗力或其他特殊情形致使基金管理人、基金托管人无法准确评估基金资产价值时；</w:t>
      </w:r>
    </w:p>
    <w:p w14:paraId="4A8D5AB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w:t>
      </w:r>
    </w:p>
    <w:p w14:paraId="2BDE34C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4、当前一估值日基金资产净值50%以上的资产出现无可参考的活跃市场价格且采用估值技术仍导致公允价值存在重大不确定性时，经与基金托管人协商确认后，基金管理人应当暂停估值；</w:t>
      </w:r>
    </w:p>
    <w:p w14:paraId="069BEB1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14:paraId="2696DD06"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（七）基金净值的确认</w:t>
      </w:r>
    </w:p>
    <w:p w14:paraId="04A9F8D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每万份基金已实现收益和7日年化收益率由基金管理人负责计算，基金托管人负责进行复核。基金管理人应于每个开放日交易结束后计算当日的各类基金份额的基金资产净值、每万份基金已实现收益和7日年化收益率并发送给基金托管人。基金托管人复核确认后发送给基金管理人，由基金管理人予以公布。</w:t>
      </w:r>
    </w:p>
    <w:p w14:paraId="07BBF26D"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（八）特殊情形的处理</w:t>
      </w:r>
    </w:p>
    <w:p w14:paraId="504FFA6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1、基金管理人、基金托管人按估值方法的第3项进行估值时，所造成的误差不作为基金资产估值错误处理。</w:t>
      </w:r>
    </w:p>
    <w:p w14:paraId="2746A4E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5C30F713"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D8386D7" w14:textId="77777777" w:rsidR="004C65FB" w:rsidRDefault="00795CC3">
      <w:pPr>
        <w:pStyle w:val="1"/>
        <w:snapToGrid w:val="0"/>
        <w:spacing w:beforeLines="0" w:before="240" w:after="240"/>
        <w:rPr>
          <w:rFonts w:ascii="宋体" w:hAnsi="宋体"/>
          <w:szCs w:val="30"/>
        </w:rPr>
      </w:pPr>
      <w:bookmarkStart w:id="16" w:name="_Toc119586522"/>
      <w:r>
        <w:rPr>
          <w:rFonts w:ascii="Times New Roman" w:hAnsi="Times New Roman"/>
          <w:sz w:val="30"/>
        </w:rPr>
        <w:lastRenderedPageBreak/>
        <w:t>十四、基金收益与分配</w:t>
      </w:r>
      <w:bookmarkEnd w:id="16"/>
    </w:p>
    <w:p w14:paraId="19D8D860"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（一）基金利润的构成</w:t>
      </w:r>
    </w:p>
    <w:p w14:paraId="2EF18E6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基金利润指基金利息收入、投资收益、公允价值变动收益和其他收入扣除相关费用后的余额；基金已实现收益指基金利润减去公允价值变动损益后的余额。</w:t>
      </w:r>
    </w:p>
    <w:p w14:paraId="03F1C43E"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（二）收益分配原则</w:t>
      </w:r>
    </w:p>
    <w:p w14:paraId="6D022D6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本基金收益分配应遵循下列原则：</w:t>
      </w:r>
    </w:p>
    <w:p w14:paraId="0795A39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1、本基金同一类别的每份基金份额享有同等分配权；</w:t>
      </w:r>
    </w:p>
    <w:p w14:paraId="12B0939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2、本基金收益分配方式为红利再投资，免收再投资的费用；</w:t>
      </w:r>
    </w:p>
    <w:p w14:paraId="1B1BF91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w:t>
      </w:r>
    </w:p>
    <w:p w14:paraId="1B30391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4、本基金根据每日收益情况，将当日收益全部分配，若当日已实现收益大于零时，为投资人记正收益；若当日已实现收益小于零时，为投资人记负收益；若当日已实现收益等于零时，当日投资人不记收益；</w:t>
      </w:r>
    </w:p>
    <w:p w14:paraId="240A9DE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每日进行收益计算并分配时，每日收益支付方式只采用红利再投资(即红利转基金份额)方式。若当日净收益大于零时，则增加投资人基金份额，若当日净收益等于零时，则保持投资人基金份额不变；基金管理人将采取必要措施尽量避免基金净收益小于零，若当日净收益小于零时，缩减投资人基金份额；</w:t>
      </w:r>
    </w:p>
    <w:p w14:paraId="4658F83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6、当日申购的基金份额自下一个工作日起，享有基金的收益分配权益；当日赎回的基金份额自下一个工作日起，不享有基金的收益分配权益；</w:t>
      </w:r>
    </w:p>
    <w:p w14:paraId="5E36560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7、法律法规或监管机构另有规定的从其规定。</w:t>
      </w:r>
    </w:p>
    <w:p w14:paraId="658E34E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在不违反法律法规且对基金份额持有人利益无实质不利影响的前提下，基金管理人可对基金收益分配原则进行调整，不需召开基金份额持有人大会。</w:t>
      </w:r>
    </w:p>
    <w:p w14:paraId="1B90B29A"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（三）收益分配方案</w:t>
      </w:r>
    </w:p>
    <w:p w14:paraId="19207D4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基金收益分配方案由基金管理人拟定，并由基金托管人复核后确定。</w:t>
      </w:r>
    </w:p>
    <w:p w14:paraId="0E72397A"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（四）收益分配的时间和程序</w:t>
      </w:r>
    </w:p>
    <w:p w14:paraId="4F13B16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本基金每个工作日进行收益分配。每个开放日公告前一个开放日各类基金份额的每万份基金已实现收益和7日年化收益率。若遇法定节假日，应于节假日结束后</w:t>
      </w:r>
      <w:r>
        <w:rPr>
          <w:rFonts w:ascii="宋体" w:hAnsi="宋体"/>
          <w:sz w:val="24"/>
        </w:rPr>
        <w:lastRenderedPageBreak/>
        <w:t>第二个自然日，披露节假日期间的各类基金份额的每万份基金已实现收益和节假日最后一日的7日年化收益率，以及节假日后首个开放日的各类基金份额的每万份基金已实现收益和7日年化收益率。经中国证监会同意，可以适当延迟计算或公告。法律法规另有规定的，从其规定。</w:t>
      </w:r>
    </w:p>
    <w:p w14:paraId="418952B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本基金每日例行按照基金合同的约定对当天实现的收益进行收益结转(如遇节假日可顺延)，每日例行的收益结转不再另行公告。</w:t>
      </w:r>
    </w:p>
    <w:p w14:paraId="4C38482C" w14:textId="6F5786AF"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（五）本基金各类基金份额的每万份基金已实现收益及7日年化收益率的计算见招募说明书第十</w:t>
      </w:r>
      <w:r w:rsidR="009B060A">
        <w:rPr>
          <w:rFonts w:ascii="宋体" w:hAnsi="宋体" w:hint="eastAsia"/>
          <w:sz w:val="24"/>
        </w:rPr>
        <w:t>七</w:t>
      </w:r>
      <w:r>
        <w:rPr>
          <w:rFonts w:ascii="宋体" w:hAnsi="宋体"/>
          <w:sz w:val="24"/>
        </w:rPr>
        <w:t>部分。</w:t>
      </w:r>
    </w:p>
    <w:p w14:paraId="26359135"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0107432" w14:textId="77777777" w:rsidR="004C65FB" w:rsidRDefault="00795CC3">
      <w:pPr>
        <w:pStyle w:val="1"/>
        <w:snapToGrid w:val="0"/>
        <w:spacing w:beforeLines="0" w:before="240" w:after="240"/>
        <w:rPr>
          <w:rFonts w:ascii="宋体" w:hAnsi="宋体"/>
          <w:szCs w:val="30"/>
        </w:rPr>
      </w:pPr>
      <w:bookmarkStart w:id="17" w:name="_Toc119586523"/>
      <w:r>
        <w:rPr>
          <w:rFonts w:ascii="Times New Roman" w:hAnsi="Times New Roman"/>
          <w:sz w:val="30"/>
        </w:rPr>
        <w:lastRenderedPageBreak/>
        <w:t>十五、基金的费用与税收</w:t>
      </w:r>
      <w:bookmarkEnd w:id="17"/>
    </w:p>
    <w:p w14:paraId="4246891E"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（一）基金费用的种类</w:t>
      </w:r>
    </w:p>
    <w:p w14:paraId="27070D8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49FC94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10F916E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3、销售服务费；</w:t>
      </w:r>
    </w:p>
    <w:p w14:paraId="3EEFCC7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4、《基金合同》生效后与基金相关的信息披露费用；</w:t>
      </w:r>
    </w:p>
    <w:p w14:paraId="1084E94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5、《基金合同》生效后与基金相关的会计师费、律师费、仲裁费和诉讼费；</w:t>
      </w:r>
    </w:p>
    <w:p w14:paraId="55F6D52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6、基金份额持有人大会费用；</w:t>
      </w:r>
    </w:p>
    <w:p w14:paraId="795D5E5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7、基金的证券交易费用；</w:t>
      </w:r>
    </w:p>
    <w:p w14:paraId="0DF9098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8、基金的银行汇划费用；</w:t>
      </w:r>
    </w:p>
    <w:p w14:paraId="25EF0BF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9、基金的开户费用、账户维护费用；</w:t>
      </w:r>
    </w:p>
    <w:p w14:paraId="5EAA8B4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4FADCB07"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（二）基金费用计提方法、计提标准和支付方式</w:t>
      </w:r>
    </w:p>
    <w:p w14:paraId="5952BA2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55BBAE7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1C20548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本基金的管理费按前一日基金资产净值的0.15%年费率计提。管理费的计算方法如下：</w:t>
      </w:r>
    </w:p>
    <w:p w14:paraId="1F57CEA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H＝E×0.15%÷当年天数</w:t>
      </w:r>
    </w:p>
    <w:p w14:paraId="06A0CAE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61956DD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3CA2B99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划款指令，基金托管人复核后于次月首日起第3个工作日内从基金财产中一次性支付给基金管理人。若遇法定节假日、休息日或不可抗力等，支付日期顺延。</w:t>
      </w:r>
    </w:p>
    <w:p w14:paraId="49B7182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10261D0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本基金的托管费按前一日基金资产净值的0.05%的年费率计提。托管费的计算方法如下：</w:t>
      </w:r>
    </w:p>
    <w:p w14:paraId="2135853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H＝E×0.05%÷当年天数</w:t>
      </w:r>
    </w:p>
    <w:p w14:paraId="1D4474B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663F1D6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E为前一日的基金资产净值</w:t>
      </w:r>
    </w:p>
    <w:p w14:paraId="1E57A86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划款指令，基金托管人复核后于次月首日起第3个工作日内从基金财产中一次性支取。若遇法定节假日、休息日或不可抗力致使无法按时支付的，支付日期顺延。</w:t>
      </w:r>
    </w:p>
    <w:p w14:paraId="23E327F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5C8023D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（1）除法律法规另有规定或基金合同另有约定外，本基金不收取申购费用和赎回费用。</w:t>
      </w:r>
    </w:p>
    <w:p w14:paraId="3AEAC58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（2）基金销售服务费</w:t>
      </w:r>
    </w:p>
    <w:p w14:paraId="5BA93D50" w14:textId="6ADE943D"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本基金各类基金份额按照不同的费率计提销售服务费，在通常情况下，本基金A 类基金份额的销售服务费按前一日A类基金份额的基金资产净值的0.25%年费率计提，</w:t>
      </w:r>
      <w:r w:rsidR="006B33AF" w:rsidRPr="006B33AF">
        <w:rPr>
          <w:rFonts w:ascii="宋体" w:hAnsi="宋体" w:hint="eastAsia"/>
          <w:sz w:val="24"/>
        </w:rPr>
        <w:t>本基金C类基金份额的销售服务费按前一日C类基金份额的基金资产净值的0.20%年费率计提，</w:t>
      </w:r>
      <w:r>
        <w:rPr>
          <w:rFonts w:ascii="宋体" w:hAnsi="宋体"/>
          <w:sz w:val="24"/>
        </w:rPr>
        <w:t>本基金E类基金份额的销售服务费按前一日E类基金份额的基金资产净值的0.01%年费率计提。</w:t>
      </w:r>
    </w:p>
    <w:p w14:paraId="06A1FB6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各类基金份额的基金销售服务费计提的计算公式如下：</w:t>
      </w:r>
    </w:p>
    <w:p w14:paraId="0F369A5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H＝E×年销售服务费率÷当年天数</w:t>
      </w:r>
    </w:p>
    <w:p w14:paraId="3CCC32C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H为某类基金份额每日应计提的基金销售服务费</w:t>
      </w:r>
    </w:p>
    <w:p w14:paraId="00C5E6F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E为前一日该类基金份额的基金资产净值</w:t>
      </w:r>
    </w:p>
    <w:p w14:paraId="4339B12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销售服务费每日计提，按月支付。由基金管理人向基金托管人发送划付指令，由基金托管人复核后于次月首日起第3个工作日内从基金财产中一次性支付给基金管理人，由基金管理人代付给销售机构，若遇法定节假日、休息日或不可抗力致使无法按时支付的，支付日期顺延。</w:t>
      </w:r>
    </w:p>
    <w:p w14:paraId="174DD37A" w14:textId="0BD6E648"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w:t>
      </w:r>
      <w:r w:rsidR="00BB4FBF">
        <w:rPr>
          <w:rFonts w:ascii="宋体" w:hAnsi="宋体" w:hint="eastAsia"/>
          <w:sz w:val="24"/>
        </w:rPr>
        <w:t>（</w:t>
      </w:r>
      <w:r>
        <w:rPr>
          <w:rFonts w:ascii="宋体" w:hAnsi="宋体"/>
          <w:sz w:val="24"/>
        </w:rPr>
        <w:t>一</w:t>
      </w:r>
      <w:r w:rsidR="00BB4FBF">
        <w:rPr>
          <w:rFonts w:ascii="宋体" w:hAnsi="宋体" w:hint="eastAsia"/>
          <w:sz w:val="24"/>
        </w:rPr>
        <w:t>）</w:t>
      </w:r>
      <w:r>
        <w:rPr>
          <w:rFonts w:ascii="宋体" w:hAnsi="宋体"/>
          <w:sz w:val="24"/>
        </w:rPr>
        <w:t>基金费用的种类”中第4－10项费用，根据有关法规及相应协议规定，按费用实际支出金额列入当期费用，由基金托管人从基金财产中支付。</w:t>
      </w:r>
    </w:p>
    <w:p w14:paraId="1FB6B801"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（三）不列入基金费用的项目</w:t>
      </w:r>
    </w:p>
    <w:p w14:paraId="3FBDB92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6C760A1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076E72F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333D60B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54B5524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w:t>
      </w:r>
      <w:r>
        <w:rPr>
          <w:rFonts w:ascii="宋体" w:hAnsi="宋体"/>
          <w:sz w:val="24"/>
        </w:rPr>
        <w:lastRenderedPageBreak/>
        <w:t>目。</w:t>
      </w:r>
    </w:p>
    <w:p w14:paraId="4B2183C5"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（四）费用调整</w:t>
      </w:r>
    </w:p>
    <w:p w14:paraId="5FC8F59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可根据基金发展情况调整基金管理费率、基金托管费率、提高基金销售服务费率等相关费率，须召开基金份额持有人大会。基金管理人必须依照有关规定于新的费率实施日前在指定媒介上刊登公告。</w:t>
      </w:r>
    </w:p>
    <w:p w14:paraId="3B8226E0"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（五）基金税收</w:t>
      </w:r>
    </w:p>
    <w:p w14:paraId="0B1A3FB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090BD968"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6A0108C" w14:textId="77777777" w:rsidR="004C65FB" w:rsidRDefault="00795CC3">
      <w:pPr>
        <w:pStyle w:val="1"/>
        <w:snapToGrid w:val="0"/>
        <w:spacing w:beforeLines="0" w:before="240" w:after="240"/>
        <w:rPr>
          <w:rFonts w:ascii="宋体" w:hAnsi="宋体"/>
          <w:szCs w:val="30"/>
        </w:rPr>
      </w:pPr>
      <w:bookmarkStart w:id="18" w:name="_Toc119586524"/>
      <w:r>
        <w:rPr>
          <w:rFonts w:ascii="Times New Roman" w:hAnsi="Times New Roman"/>
          <w:sz w:val="30"/>
        </w:rPr>
        <w:lastRenderedPageBreak/>
        <w:t>十六、基金的会计与审计</w:t>
      </w:r>
      <w:bookmarkEnd w:id="18"/>
    </w:p>
    <w:p w14:paraId="65A79350"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14:paraId="68CB56B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5BCA0DC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w:t>
      </w:r>
    </w:p>
    <w:p w14:paraId="717F9C0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47929C3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5E80408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793749C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5915A0D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2DC7702E"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（二）基金的年度审计</w:t>
      </w:r>
    </w:p>
    <w:p w14:paraId="5727710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1、基金管理人聘请与基金管理人、基金托管人相互独立的具有证券、期货相关从业资格的会计师事务所及其注册会计师对本基金的年度财务报表进行审计。</w:t>
      </w:r>
    </w:p>
    <w:p w14:paraId="1F27C4A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53AF18F9" w14:textId="4E4D11A0"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w:t>
      </w:r>
      <w:r w:rsidR="00BD49B7">
        <w:rPr>
          <w:rFonts w:ascii="宋体" w:hAnsi="宋体" w:hint="eastAsia"/>
          <w:sz w:val="24"/>
        </w:rPr>
        <w:t>按</w:t>
      </w:r>
      <w:r>
        <w:rPr>
          <w:rFonts w:ascii="宋体" w:hAnsi="宋体"/>
          <w:sz w:val="24"/>
        </w:rPr>
        <w:t>照</w:t>
      </w:r>
      <w:bookmarkStart w:id="19" w:name="_GoBack"/>
      <w:bookmarkEnd w:id="19"/>
      <w:r>
        <w:rPr>
          <w:rFonts w:ascii="宋体" w:hAnsi="宋体"/>
          <w:sz w:val="24"/>
        </w:rPr>
        <w:t>《信息披露办法》的有关规定在指定媒介公告。</w:t>
      </w:r>
    </w:p>
    <w:p w14:paraId="7F5DE30B"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FDC0DFD" w14:textId="77777777" w:rsidR="004C65FB" w:rsidRDefault="00795CC3">
      <w:pPr>
        <w:pStyle w:val="1"/>
        <w:snapToGrid w:val="0"/>
        <w:spacing w:beforeLines="0" w:before="240" w:after="240"/>
        <w:rPr>
          <w:rFonts w:ascii="宋体" w:hAnsi="宋体"/>
          <w:szCs w:val="30"/>
        </w:rPr>
      </w:pPr>
      <w:bookmarkStart w:id="20" w:name="_Toc119586525"/>
      <w:r>
        <w:rPr>
          <w:rFonts w:ascii="Times New Roman" w:hAnsi="Times New Roman"/>
          <w:sz w:val="30"/>
        </w:rPr>
        <w:lastRenderedPageBreak/>
        <w:t>十七、基金的信息披露</w:t>
      </w:r>
      <w:bookmarkEnd w:id="20"/>
    </w:p>
    <w:p w14:paraId="48117974"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（一）本基金的信息披露应符合《基金法》、《运作办法》、《信息披露办法》、《基金合同》、《流动性规定》及其他有关规定。</w:t>
      </w:r>
    </w:p>
    <w:p w14:paraId="616D291C"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（二）信息披露义务人</w:t>
      </w:r>
    </w:p>
    <w:p w14:paraId="33CF0C7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14:paraId="291CE26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本基金信息披露义务人按照以保护基金份额持有人利益为根本出发点，法律法规和中国证监会的规定披露基金信息，并保证所披露信息的真实性、准确性、完整性、及时性、简明性和易得性。</w:t>
      </w:r>
    </w:p>
    <w:p w14:paraId="5427633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615F2E0"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（三）本基金信息披露义务人承诺公开披露的基金信息，不得有下列行为：</w:t>
      </w:r>
    </w:p>
    <w:p w14:paraId="1313303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622CF08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7114BA1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4333198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1A66697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65E8E0E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32081219"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（四）本基金公开披露的信息应采用中文文本。如同时采用外文文本的，基金信息披露义务人应保证不同文本的内容一致。不同文本之间发生歧义的，以中文文本为准。</w:t>
      </w:r>
    </w:p>
    <w:p w14:paraId="7AAB144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103702A1"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（五）公开披露的基金信息</w:t>
      </w:r>
    </w:p>
    <w:p w14:paraId="296C8B9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4433128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765B224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w:t>
      </w:r>
      <w:r>
        <w:rPr>
          <w:rFonts w:ascii="宋体" w:hAnsi="宋体"/>
          <w:sz w:val="24"/>
        </w:rPr>
        <w:lastRenderedPageBreak/>
        <w:t>金份额持有人大会召开的规则及具体程序，说明基金产品的特性等涉及基金投资者重大利益的事项的法律文件。</w:t>
      </w:r>
    </w:p>
    <w:p w14:paraId="213FF2F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D57AA8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173669A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D80906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68316E2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4B5ABB3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72CDBF1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5A27D9F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45E112F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66A1B02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（1）本基金的基金合同生效后，在开始办理基金份额申购或者赎回前，基金管理人将至少每周分别公告一次各类基金份额的基金资产净值、每万份基金已实现收益和7日年化收益率；</w:t>
      </w:r>
    </w:p>
    <w:p w14:paraId="63F0806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各类基金份额的每万份基金已实现收益和7日年化收益率的计算方法如下：</w:t>
      </w:r>
    </w:p>
    <w:p w14:paraId="1C7A789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某类基金份额的每万份基金已实现收益＝当日该类基金份额的已实现收益/当日该类基金份额总额×10000</w:t>
      </w:r>
    </w:p>
    <w:p w14:paraId="216FE5EF" w14:textId="27BD3415"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某类基金份额的7日年化收益率（%）=</w:t>
      </w:r>
      <w:r w:rsidR="009B060A">
        <w:rPr>
          <w:rFonts w:ascii="宋体" w:hAnsi="宋体"/>
          <w:noProof/>
          <w:kern w:val="0"/>
          <w:sz w:val="24"/>
        </w:rPr>
        <w:drawing>
          <wp:inline distT="0" distB="0" distL="0" distR="0" wp14:anchorId="5B65051F" wp14:editId="4BD0E3BA">
            <wp:extent cx="2216150" cy="577850"/>
            <wp:effectExtent l="0" t="0" r="0" b="0"/>
            <wp:docPr id="6" name="图片 6"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212566102420208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6150" cy="577850"/>
                    </a:xfrm>
                    <a:prstGeom prst="rect">
                      <a:avLst/>
                    </a:prstGeom>
                    <a:noFill/>
                    <a:ln>
                      <a:noFill/>
                    </a:ln>
                  </pic:spPr>
                </pic:pic>
              </a:graphicData>
            </a:graphic>
          </wp:inline>
        </w:drawing>
      </w:r>
    </w:p>
    <w:p w14:paraId="5CD4CF7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其中，Ri为最近第i个自然日(包括计算当日) 该类基金份额的每万份基金已实现收益，如果基金合同生效不足七日，按类似规则计算。</w:t>
      </w:r>
    </w:p>
    <w:p w14:paraId="6B274F8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万份基金已实现收益采用四舍五入保留至小数点后第4位，7日年化收益率采用四舍五入保留至百分号内小数点后第3位。其中，当日该类基金份额总额包括该类基金份额截至上一工作日(包括节假日)未结转份额（若有）。</w:t>
      </w:r>
    </w:p>
    <w:p w14:paraId="5E221B2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（2）在开始办理基金份额申购或者赎回后，基金管理人将在不晚于每个开放日的次日，通过指定网站、基金销售机构网站或者营业网点披露开放日的各类基金份额的每万份基金已实现收益和7日年化收益率。</w:t>
      </w:r>
    </w:p>
    <w:p w14:paraId="5D79450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应于节假日结束后第二个自然日，披露节假日期间的各类基金份额的每万份基金已实现收益、节假日最后一日的7日年化收益率，以及节假日后首个开放日的各类基金份额的每万份基金已实现收益和7日年化收益率。</w:t>
      </w:r>
    </w:p>
    <w:p w14:paraId="1059A91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（3）基金管理人应当在不晚于半年度和年度最后一日的次日，在指定网站披露半年度和年度最后一日的各类基金份额的每万份基金已实现收益和7日年化收益率。</w:t>
      </w:r>
    </w:p>
    <w:p w14:paraId="5AB8636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5、基金定期报告，包括基金年度报告、基金中期报告和基金季度报告</w:t>
      </w:r>
    </w:p>
    <w:p w14:paraId="6ECAE31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8763C9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6B008F2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0F81B57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《基金合同》生效不足2个月的，基金管理人可以不编制当期季度报告、中期或者年度报告。</w:t>
      </w:r>
    </w:p>
    <w:p w14:paraId="7E1AB93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w:t>
      </w:r>
      <w:r>
        <w:rPr>
          <w:rFonts w:ascii="宋体" w:hAnsi="宋体"/>
          <w:sz w:val="24"/>
        </w:rPr>
        <w:lastRenderedPageBreak/>
        <w:t>他重要信息”项下披露该投资者的类别、报告期末持有份额及占比、报告期内持有份额变化情况及本基金的特有风险，中国证监会认定的特殊情形除外。</w:t>
      </w:r>
    </w:p>
    <w:p w14:paraId="62416FC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03698FF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基金管理人应当在年度报告、中期报告中，至少披露报告期末基金前10名份额持有人的类别、持有份额及占总份额的比例等信息。</w:t>
      </w:r>
    </w:p>
    <w:p w14:paraId="03C3CCF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6、临时报告</w:t>
      </w:r>
    </w:p>
    <w:p w14:paraId="099A22D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7936DA5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前款所称重大事件，是指可能对基金份额持有人权益或者基金资产净值产生重大影响的下列事件：</w:t>
      </w:r>
    </w:p>
    <w:p w14:paraId="4863CFD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382A466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48DB8D3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29C5993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1C931D0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52CD9E2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3538839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541C769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62FE770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5729A1F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7337205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24E0E93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w:t>
      </w:r>
      <w:r>
        <w:rPr>
          <w:rFonts w:ascii="宋体" w:hAnsi="宋体"/>
          <w:sz w:val="24"/>
        </w:rPr>
        <w:lastRenderedPageBreak/>
        <w:t>务相关行为受到重大行政处罚、刑事处罚；</w:t>
      </w:r>
    </w:p>
    <w:p w14:paraId="635F0E8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0BD82C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（14）基金收益分配事项，但基金合同另有约定的除外；</w:t>
      </w:r>
    </w:p>
    <w:p w14:paraId="114EBA1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1445441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（16）基金资产净值计价错误达基金资产净值百分之零点五；</w:t>
      </w:r>
    </w:p>
    <w:p w14:paraId="40511FD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0340130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4C27317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16A24D8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6B83DDB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（21）调整本基金的份额类别设置；</w:t>
      </w:r>
    </w:p>
    <w:p w14:paraId="3CDED5B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（22）发生涉及基金申购、赎回事项调整或潜在影响投资者赎回等重大事项；</w:t>
      </w:r>
    </w:p>
    <w:p w14:paraId="4BB95B3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（23）本基金投资于主体信用评级低于AA+的商业银行的银行存款与同业存单；</w:t>
      </w:r>
    </w:p>
    <w:p w14:paraId="20EC49D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（24）基金信息披露义务人认为可能对基金份额持有人权益或者基金份额的价格产生重大影响的其他事项或中国证监会和基金合同约定的其他事项。</w:t>
      </w:r>
    </w:p>
    <w:p w14:paraId="23DA355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7、澄清公告</w:t>
      </w:r>
    </w:p>
    <w:p w14:paraId="053D423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资产净值产生误导性影响或者引起较大波动，以及可能损害基金份额持有人权益的，相关信息披露义务人知悉后应当立即对该消息进行公开澄清，并将有关情况立即报告中国证监会。</w:t>
      </w:r>
    </w:p>
    <w:p w14:paraId="1A2127B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8、基金份额持有人大会决议</w:t>
      </w:r>
    </w:p>
    <w:p w14:paraId="04FE8AF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3426625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3F96EB4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9、清算报告</w:t>
      </w:r>
    </w:p>
    <w:p w14:paraId="1BCC2C6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w:t>
      </w:r>
      <w:r>
        <w:rPr>
          <w:rFonts w:ascii="宋体" w:hAnsi="宋体"/>
          <w:sz w:val="24"/>
        </w:rPr>
        <w:lastRenderedPageBreak/>
        <w:t>清算报告。清算报告应当经过具有证券、期货相关业务资格的会计师事务所审计，并由律师事务所出具法律意见书。清算组应当将清算报告登载在指定网站上，并将清算报告提示性公告登载在指定报刊上。</w:t>
      </w:r>
    </w:p>
    <w:p w14:paraId="02D034B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10、基金投资资产支持证券情况</w:t>
      </w:r>
    </w:p>
    <w:p w14:paraId="0882833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基金管理人应在基金年报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1F13DD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11、中国证监会规定的其他信息。</w:t>
      </w:r>
    </w:p>
    <w:p w14:paraId="6EDF0012"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（六）信息披露事务管理</w:t>
      </w:r>
    </w:p>
    <w:p w14:paraId="7C12975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7045540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基金信息披露义务人公开披露基金信息，应当符合中国证监会相关基金信息披露内容与格式准则的规定。</w:t>
      </w:r>
    </w:p>
    <w:p w14:paraId="2EB46B0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各类基金份额的基金资产净值、每万份基金已实现收益、7日年化收益率、基金份额申购赎回价格、基金定期报告、更新的招募说明书、基金产品资料概要、基金清算报告等公开披露的相关基金信息进行复核、审查，并向基金管理人进行书面或电子确认。</w:t>
      </w:r>
    </w:p>
    <w:p w14:paraId="5A7ABC1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基金管理人、基金托管人应当在指定报刊中选择披露信息的报刊。基金管理人、基金托管人应当向中国证监会基金电子披露网站报送拟披露的基金信息，并保证相关报送信息的真实、准确、完整、及时。</w:t>
      </w:r>
    </w:p>
    <w:p w14:paraId="318EA25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7F5966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3396CD5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w:t>
      </w:r>
      <w:r>
        <w:rPr>
          <w:rFonts w:ascii="宋体" w:hAnsi="宋体"/>
          <w:sz w:val="24"/>
        </w:rPr>
        <w:lastRenderedPageBreak/>
        <w:t>常投资操作的前提下，自主提升信息披露服务的质量。具体要求应当符合中国证监会及自律规则的相关规定。前述自主披露如产生信息披露费用，该费用不得从基金财产中列支。</w:t>
      </w:r>
    </w:p>
    <w:p w14:paraId="3B518FF3"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（七）信息披露文件的存放与查阅</w:t>
      </w:r>
    </w:p>
    <w:p w14:paraId="430C405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480CDBAA"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（八）本基金信息披露事项以法律法规规定及本章节约定的内容为准。</w:t>
      </w:r>
    </w:p>
    <w:p w14:paraId="3053D9FB"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BDE4821" w14:textId="77777777" w:rsidR="004C65FB" w:rsidRDefault="00795CC3">
      <w:pPr>
        <w:pStyle w:val="1"/>
        <w:snapToGrid w:val="0"/>
        <w:spacing w:beforeLines="0" w:before="240" w:after="240"/>
        <w:rPr>
          <w:rFonts w:ascii="宋体" w:hAnsi="宋体"/>
          <w:szCs w:val="30"/>
        </w:rPr>
      </w:pPr>
      <w:bookmarkStart w:id="21" w:name="_Toc119586526"/>
      <w:r>
        <w:rPr>
          <w:rFonts w:ascii="Times New Roman" w:hAnsi="Times New Roman"/>
          <w:sz w:val="30"/>
        </w:rPr>
        <w:lastRenderedPageBreak/>
        <w:t>十八、风险揭示</w:t>
      </w:r>
      <w:bookmarkEnd w:id="21"/>
    </w:p>
    <w:p w14:paraId="3981DA9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5AB294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后扣除申购申请份额总数及基金转换中转入申请份额总数后的余额）超过基金总份额的百分之十时，投资人将可能无法及时赎回持有的全部基金份额。</w:t>
      </w:r>
    </w:p>
    <w:p w14:paraId="525B1D2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0C7B0A6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674B276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9344CC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投资者购买本货币市场基金并不等于将资金作为存款存放在银行或存款类金融机构，基金管理人不保证基金一定盈利，也不保证最低收益。</w:t>
      </w:r>
    </w:p>
    <w:p w14:paraId="767323E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A34F6B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1CE97AF6"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14:paraId="441EF6D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证券市场价格因受到经济因素、政治因素、投资心理和交易制度等各种因素的影响而引起的波动，将对基金收益水平产生潜在风险，主要包括：</w:t>
      </w:r>
    </w:p>
    <w:p w14:paraId="72F0C79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1A26914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54A00FF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1B91089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26025EF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4403189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45D2CB9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2D95A4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27699B15"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14:paraId="196F321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59E0B447"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（三）流动性风险</w:t>
      </w:r>
    </w:p>
    <w:p w14:paraId="1C70FC8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产净值产生不利的影响，都会影响基金运作和收益水平。尤其是在发生巨额赎回时，因市场交易量不足，某些投资品种的流动性不佳，可能导致证券不能迅速、低成本地转变为现金，从而影响基金运作和收益水平。极端情况下，连续大量赎回将会导致基金的现金支付出现困难，或迫使基金以不适当的价格大量抛售证券或提前支取存款，可能导致基金财产的损失。</w:t>
      </w:r>
    </w:p>
    <w:p w14:paraId="3594C71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27A6CDD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532AC8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4412B76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货币市场基金，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1D13A36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1570288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0ACF2D1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49019CB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DE66F73" w14:textId="7DAA0D2D"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w:t>
      </w:r>
      <w:r>
        <w:rPr>
          <w:rFonts w:ascii="宋体" w:hAnsi="宋体"/>
          <w:sz w:val="24"/>
        </w:rPr>
        <w:lastRenderedPageBreak/>
        <w:t>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C4E6D7C" w14:textId="146F296D"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17CB1EA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666439E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4、备用的流动性风险管理工具的实施情形、程序及对投资者的潜在影响</w:t>
      </w:r>
    </w:p>
    <w:p w14:paraId="2E0DF3B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684C629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强制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56E2466"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（四）交易对手违约风险</w:t>
      </w:r>
    </w:p>
    <w:p w14:paraId="7D77411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交易对手违约风险是指当债券、票据或债券回购等交易对手或存款银行违约时，将直接导致基金资产的损失，或导致基金不能及时抓住市场机会，对投资收益产生影响。</w:t>
      </w:r>
    </w:p>
    <w:p w14:paraId="6308AF46"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（五）货币市场基金的特定风险</w:t>
      </w:r>
    </w:p>
    <w:p w14:paraId="5F38F8F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本基金投资于货币市场工具，面临货币市场利率波动的风险，基金每日的收益将根据市场情况上下波动，在极端情况下可能为负值。由于货币市场基金的特殊要求，为满足投资者的赎回需要，基金必须保持一定的现金比例以应对赎回的需求，在管理现金头寸时，有可能存在现金不足的风险或现金过多而带来的机会成本风险。</w:t>
      </w:r>
    </w:p>
    <w:p w14:paraId="27B3916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影子定价确定的基金资产净值与摊余成本法计算的基金资产净值的正偏离度绝对值达到0.5%时，基金管理人应当暂停接受申购并在5个交易日内将正偏离度绝对值调整到0.5%以内。故投资者可能面临暂停申购的风险。当负偏离度绝对值连续两个交易日超过0.5%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2EDD809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满足相关流动性风险管理要求的前提下，当本基金持有的现金、国债、中央银行票据、政策性金融债券以及5个交易日内到期的其他金融工具占基金资产净值的比例合计低于5%且偏离度为负时，当日单个基金份额持有人申请赎回基金份额超过基金总份额1%以上的，该基金份额持有人可能面临被征收1%的强制赎回费用的风险，上述赎回费用全额计入基金财产。此外，单个基金份额持有人在单个开放日申请赎回基金份额超过基金总份额10%的，该基金份额持有人可能面临延期办理部分赎回申请或者延缓支付赎回款项的风险。</w:t>
      </w:r>
    </w:p>
    <w:p w14:paraId="029C1EB2"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（六）其他风险</w:t>
      </w:r>
    </w:p>
    <w:p w14:paraId="3A52385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7F48BC8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24762E4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64D98D4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090E3EA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02856BC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53854B9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7、金融市场危机、行业竞争、代理商违约、托管行违约等超出基金管理人自身直接控制能力之外的风险，也可能导致基金或者基金份额持有人利益受损。</w:t>
      </w:r>
    </w:p>
    <w:p w14:paraId="3BB2FCC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8、其他意外导致的风险。</w:t>
      </w:r>
    </w:p>
    <w:p w14:paraId="5C989CAF"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5BFD477" w14:textId="77777777" w:rsidR="004C65FB" w:rsidRDefault="00795CC3">
      <w:pPr>
        <w:pStyle w:val="1"/>
        <w:snapToGrid w:val="0"/>
        <w:spacing w:beforeLines="0" w:before="240" w:after="240"/>
        <w:rPr>
          <w:rFonts w:ascii="宋体" w:hAnsi="宋体"/>
          <w:szCs w:val="30"/>
        </w:rPr>
      </w:pPr>
      <w:bookmarkStart w:id="22" w:name="_Toc119586527"/>
      <w:r>
        <w:rPr>
          <w:rFonts w:ascii="Times New Roman" w:hAnsi="Times New Roman"/>
          <w:sz w:val="30"/>
        </w:rPr>
        <w:lastRenderedPageBreak/>
        <w:t>十九、基金合同的变更、终止与基金财产的清算</w:t>
      </w:r>
      <w:bookmarkEnd w:id="22"/>
    </w:p>
    <w:p w14:paraId="0B46D2D8"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（一）《基金合同》的变更</w:t>
      </w:r>
    </w:p>
    <w:p w14:paraId="3713546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B98D1A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30AFA0ED"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（二）《基金合同》的终止事由</w:t>
      </w:r>
    </w:p>
    <w:p w14:paraId="5CBD72D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6AEBC4F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71F1667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54F5D35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14:paraId="75BA0CF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7D9067C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27EAF7EB"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（三）基金财产的清算</w:t>
      </w:r>
    </w:p>
    <w:p w14:paraId="7C35C11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353E986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D6A899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3B2DCA6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66BA11F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0B4F9D4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0850716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111B250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（4）制作清算报告；</w:t>
      </w:r>
    </w:p>
    <w:p w14:paraId="5968689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15823E8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40A5A5A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2DD18F2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w:t>
      </w:r>
    </w:p>
    <w:p w14:paraId="5B6D9293"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（四）清算费用</w:t>
      </w:r>
    </w:p>
    <w:p w14:paraId="159CEF3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清算费用是指基金财产清算小组在进行基金财产清算过程中发生的所有合理费用，清算费用由基金财产清算小组优先从基金财产中支付。</w:t>
      </w:r>
    </w:p>
    <w:p w14:paraId="4091D457"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（五）基金财产清算剩余资产的分配</w:t>
      </w:r>
    </w:p>
    <w:p w14:paraId="358BF2C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54ECDE8F"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（六）基金财产清算的公告</w:t>
      </w:r>
    </w:p>
    <w:p w14:paraId="1E22E4E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3BB31F72"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（七）基金财产清算账册及文件的保存</w:t>
      </w:r>
    </w:p>
    <w:p w14:paraId="61CA297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23A6686B"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20099B4" w14:textId="77777777" w:rsidR="004C65FB" w:rsidRDefault="00795CC3">
      <w:pPr>
        <w:pStyle w:val="1"/>
        <w:snapToGrid w:val="0"/>
        <w:spacing w:beforeLines="0" w:before="240" w:after="240"/>
        <w:rPr>
          <w:rFonts w:ascii="宋体" w:hAnsi="宋体"/>
          <w:szCs w:val="30"/>
        </w:rPr>
      </w:pPr>
      <w:bookmarkStart w:id="23" w:name="_Toc119586528"/>
      <w:r>
        <w:rPr>
          <w:rFonts w:ascii="Times New Roman" w:hAnsi="Times New Roman"/>
          <w:sz w:val="30"/>
        </w:rPr>
        <w:lastRenderedPageBreak/>
        <w:t>二十、基金合同内容摘要</w:t>
      </w:r>
      <w:bookmarkEnd w:id="23"/>
    </w:p>
    <w:p w14:paraId="2C155726"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（一）基金份额持有人、基金管理人和基金托管人的权利与义务</w:t>
      </w:r>
    </w:p>
    <w:p w14:paraId="49BD0E9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74E5A32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28AFEE8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005E53B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3DBF30F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6AC602C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4965FB2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686156C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794B901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62E3ED9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5D1DAF7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56E12F4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17DEFEA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60DCE47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12）在法律法规允许的前提下，为基金的利益依法为基金进行融资；</w:t>
      </w:r>
    </w:p>
    <w:p w14:paraId="1534F30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13）以基金管理人的名义，代表基金份额持有人的利益行使诉讼权利或者实施其他法律行为；</w:t>
      </w:r>
    </w:p>
    <w:p w14:paraId="2B5D53C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14）选择、更换律师事务所、会计师事务所、证券经纪商或其他为基金提供服务的外部机构；</w:t>
      </w:r>
    </w:p>
    <w:p w14:paraId="3663BE2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15）在符合有关法律、法规的前提下，制定和调整有关基金认购、申购、赎回、转换等的业务规则；</w:t>
      </w:r>
    </w:p>
    <w:p w14:paraId="2B82B53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16）法律法规及中国证监会规定的和《基金合同》约定的其他权利。</w:t>
      </w:r>
    </w:p>
    <w:p w14:paraId="506F9B2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（2）根据《基金法》、《运作办法》及其他有关规定，基金管理人的义务包括但不限于：</w:t>
      </w:r>
    </w:p>
    <w:p w14:paraId="64A1327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1）依法募集资金，办理或者委托经中国证监会认定的其他机构代为办理基金份额的发售、申购、赎回和登记事宜；</w:t>
      </w:r>
    </w:p>
    <w:p w14:paraId="171ACC2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7A1635A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41161B5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0822DAC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3C30C54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360D610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3A51204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8）采取适当合理的措施使计算基金份额认购、申购、赎回和注销价格的方法符合《基金合同》等法律文件的规定，按有关规定计算并公告各类基金份额的基金净值信息、每万份基金已实现收益和7日年化收益率；</w:t>
      </w:r>
    </w:p>
    <w:p w14:paraId="554FA3C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6B4BB3C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523DD8D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29B4F62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1E539FD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0927D00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5763621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14:paraId="1AB81C1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16）按规定保存基金财产管理业务活动的会计账册、报表、记录和其他相关资料15年以上；</w:t>
      </w:r>
    </w:p>
    <w:p w14:paraId="241AC6F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24EFFE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1BBC913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2C1BE9B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45E0BE5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59F2A1F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4C3C477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3F8E65B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54DFF96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2F6F2CB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571476C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471E610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737D191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213969F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32A403E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w:t>
      </w:r>
      <w:r>
        <w:rPr>
          <w:rFonts w:ascii="宋体" w:hAnsi="宋体"/>
          <w:sz w:val="24"/>
        </w:rPr>
        <w:lastRenderedPageBreak/>
        <w:t>其他费用；</w:t>
      </w:r>
    </w:p>
    <w:p w14:paraId="5935709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22DC80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616030C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423B1F2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7127CAA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1E954EB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60F8ABC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3EE3A69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3E7B0E3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1DDAE5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0075652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32B6F33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2F9E7C7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6E190E78" w14:textId="0794E443"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8）复核、审查基金管理人计算的各类基金份额的基金</w:t>
      </w:r>
      <w:r w:rsidR="002F536D">
        <w:rPr>
          <w:rFonts w:ascii="宋体" w:hAnsi="宋体" w:hint="eastAsia"/>
          <w:sz w:val="24"/>
        </w:rPr>
        <w:t>资产</w:t>
      </w:r>
      <w:r>
        <w:rPr>
          <w:rFonts w:ascii="宋体" w:hAnsi="宋体"/>
          <w:sz w:val="24"/>
        </w:rPr>
        <w:t>净值</w:t>
      </w:r>
      <w:r w:rsidR="002F536D">
        <w:rPr>
          <w:rFonts w:ascii="宋体" w:hAnsi="宋体" w:hint="eastAsia"/>
          <w:sz w:val="24"/>
        </w:rPr>
        <w:t>、</w:t>
      </w:r>
      <w:r w:rsidR="002F536D">
        <w:rPr>
          <w:rFonts w:hint="eastAsia"/>
          <w:bCs/>
          <w:sz w:val="24"/>
        </w:rPr>
        <w:t>基金</w:t>
      </w:r>
      <w:r w:rsidR="002F536D">
        <w:rPr>
          <w:bCs/>
          <w:sz w:val="24"/>
        </w:rPr>
        <w:t>份额净值</w:t>
      </w:r>
      <w:r>
        <w:rPr>
          <w:rFonts w:ascii="宋体" w:hAnsi="宋体"/>
          <w:sz w:val="24"/>
        </w:rPr>
        <w:t>、每万份基金已实现收益和7日年化收益率；</w:t>
      </w:r>
    </w:p>
    <w:p w14:paraId="524D0D1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70FCE8F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w:t>
      </w:r>
      <w:r>
        <w:rPr>
          <w:rFonts w:ascii="宋体" w:hAnsi="宋体"/>
          <w:sz w:val="24"/>
        </w:rPr>
        <w:lastRenderedPageBreak/>
        <w:t>理人有未执行《基金合同》规定的行为，还应当说明基金托管人是否采取了适当的措施；</w:t>
      </w:r>
    </w:p>
    <w:p w14:paraId="318297B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7A01FEE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399C8DB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45F6003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0972600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03DA823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70C1A4F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4FE2415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35F0931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694700C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63F62AC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75D34B7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4602D8C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76439F0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B3829E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54AD626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1AA50C8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48DF056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2）参与分配清算后的剩余基金财产；</w:t>
      </w:r>
    </w:p>
    <w:p w14:paraId="2EDE9F7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2D97DB9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35D0F1E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2BDCD28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51866EC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2D55607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3F61FB8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2CFB95D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4AB0B94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78C137B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2782DCD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625F060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14:paraId="7277709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6B28461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0315174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5B2BBB1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37B449B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1A7C56A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2F1543D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5DD7B27E"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（二）基金份额持有人大会召集、议事及表决的程序和规则</w:t>
      </w:r>
    </w:p>
    <w:p w14:paraId="36E7787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w:t>
      </w:r>
      <w:r>
        <w:rPr>
          <w:rFonts w:ascii="宋体" w:hAnsi="宋体"/>
          <w:sz w:val="24"/>
        </w:rPr>
        <w:lastRenderedPageBreak/>
        <w:t>有权代表基金份额持有人出席会议并表决。基金份额持有人持有的每一基金份额拥有平等的投票权。</w:t>
      </w:r>
    </w:p>
    <w:p w14:paraId="6906691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35FB7A9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0B9AD2C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14:paraId="4D946FD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52942FC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19F9AB8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1A352EE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0555593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5）调整基金管理人、基金托管人的报酬标准和提高销售服务费，但法律法规要求调整该等报酬标准或提高销售服务费的除外；</w:t>
      </w:r>
    </w:p>
    <w:p w14:paraId="364C722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2DC39CC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446265F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0DEFAA1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3E5D5F5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1F1F79C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158F93B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4022DE2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14B2202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14:paraId="1087DCF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1）法律法规要求增加的基金费用的收取；</w:t>
      </w:r>
    </w:p>
    <w:p w14:paraId="4734F26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2）在法律法规和本基金合同规定的范围内调低基金的销售服务费率或在不影响现有基金份额持有人利益的前提下变更或增加收费方式；</w:t>
      </w:r>
    </w:p>
    <w:p w14:paraId="5544513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3）因相应的法律法规、登记机构的相关业务规则发生变动而应当对《基金合同》进行修改；</w:t>
      </w:r>
    </w:p>
    <w:p w14:paraId="38ED08E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4）对《基金合同》的修改对基金份额持有人利益无实质性不利影响或修改不涉及《基金合同》当事人权利义务关系发生重大变化；</w:t>
      </w:r>
    </w:p>
    <w:p w14:paraId="787BF9F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5）在法律法规允许的情况下，且在对现有基金份额持有人利益无实质性不利影响的前提下，基金推出新业务或服务；</w:t>
      </w:r>
    </w:p>
    <w:p w14:paraId="47311CF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6）在符合法律法规及本基金合同规定、并且对基金份额持有人利益无实质不利影响的前提下，调整本基金份额类别的设置；</w:t>
      </w:r>
    </w:p>
    <w:p w14:paraId="4232392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7）在符合法律法规及对基金份额持有人利益无实质性不利影响的前提下，基金管理人、登记机构、销售机构调整有关基金认购、申购、赎回、转换、收益分配、非交易过户、转托管等业务的规则；</w:t>
      </w:r>
    </w:p>
    <w:p w14:paraId="1BC86BA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8）按照法律法规不需召开基金份额持有人大会的以外的其他情形。</w:t>
      </w:r>
    </w:p>
    <w:p w14:paraId="72D7E77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5FD7F10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7A47C00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2DA00A1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6FAF098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290CD08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w:t>
      </w:r>
      <w:r>
        <w:rPr>
          <w:rFonts w:ascii="宋体" w:hAnsi="宋体"/>
          <w:sz w:val="24"/>
        </w:rPr>
        <w:lastRenderedPageBreak/>
        <w:t>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BA911F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5023877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7E111D4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719CEAF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2BEF966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21697A3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6683059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4B7A821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35DD9F7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123AB24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70D5394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F037EE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4287EF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209ADCA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14:paraId="700F211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w:t>
      </w:r>
      <w:r>
        <w:rPr>
          <w:rFonts w:ascii="宋体" w:hAnsi="宋体"/>
          <w:sz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F7490C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5E3B34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0B60B9F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（2）通讯开会。通讯开会系指基金份额持有人将其对表决事项的投票以会议通知载明的形式在表决截至日以前送达至召集人指定的地址。</w:t>
      </w:r>
    </w:p>
    <w:p w14:paraId="18CA8A5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2D2A67D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4EDDEE4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30B17D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w:t>
      </w:r>
      <w:r>
        <w:rPr>
          <w:rFonts w:ascii="宋体" w:hAnsi="宋体"/>
          <w:sz w:val="24"/>
        </w:rPr>
        <w:lastRenderedPageBreak/>
        <w:t>见；</w:t>
      </w:r>
    </w:p>
    <w:p w14:paraId="4B9DC10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E043A4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33BDFB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2B01BB4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7C7995A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F6F7E9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5357320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5328117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4332B58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0B6BF2B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74A053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w:t>
      </w:r>
      <w:r>
        <w:rPr>
          <w:rFonts w:ascii="宋体" w:hAnsi="宋体"/>
          <w:sz w:val="24"/>
        </w:rPr>
        <w:lastRenderedPageBreak/>
        <w:t>（或单位名称）、身份证明文件号码、持有或代表有表决权的基金份额、委托人姓名（或单位名称）和联系方式等事项。</w:t>
      </w:r>
    </w:p>
    <w:p w14:paraId="7DB68FB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5FB4CBB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35F893D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1C4C367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32D3004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63BF47D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3C34C47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中国证监会另有规定的除外）以特别决议通过方为有效。</w:t>
      </w:r>
    </w:p>
    <w:p w14:paraId="4F6231F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0523D30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A63AEE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6D38A07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3070CDF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7299992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w:t>
      </w:r>
      <w:r>
        <w:rPr>
          <w:rFonts w:ascii="宋体" w:hAnsi="宋体"/>
          <w:sz w:val="24"/>
        </w:rPr>
        <w:lastRenderedPageBreak/>
        <w:t>议的基金份额持有人和代理人中选举三名基金份额持有人代表担任监票人。基金管理人或基金托管人不出席大会的，不影响计票的效力。</w:t>
      </w:r>
    </w:p>
    <w:p w14:paraId="099537A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3C84A41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796BB9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7CA7C8D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4BD13F1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56E44C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62513D9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基金份额持有人大会决定的事项自表决通过之日起生效，召集人应当自通过之日起5日内报中国证监会备案。</w:t>
      </w:r>
    </w:p>
    <w:p w14:paraId="61B4A5A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6A4371F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38783EC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80DA358"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（三）基金合同解除和终止的事由、程序</w:t>
      </w:r>
    </w:p>
    <w:p w14:paraId="3E40709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492D047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w:t>
      </w:r>
      <w:r>
        <w:rPr>
          <w:rFonts w:ascii="宋体" w:hAnsi="宋体"/>
          <w:sz w:val="24"/>
        </w:rPr>
        <w:lastRenderedPageBreak/>
        <w:t>大会决议通过的事项的，应召开基金份额持有人大会决议通过。对于可不经基金份额持有人大会决议通过的事项，由基金管理人和基金托管人同意后变更并公告，并报中国证监会备案。</w:t>
      </w:r>
    </w:p>
    <w:p w14:paraId="5F10088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052382E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3E618E5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3F9D8E5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1A69B1E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63DB147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14:paraId="66AD8E8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2B425ED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2C3DFB2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60D81FB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5E44A90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B16838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79C0E58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78314B5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1623715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68BEF2E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0078CCB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3552C26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42F7CFA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37E69C9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7）对基金剩余财产进行分配。</w:t>
      </w:r>
    </w:p>
    <w:p w14:paraId="2512175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w:t>
      </w:r>
    </w:p>
    <w:p w14:paraId="421606D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62118D0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清算费用是指基金财产清算小组在进行基金财产清算过程中发生的所有合理费用，清算费用由基金财产清算小组优先从基金财产中支付。</w:t>
      </w:r>
    </w:p>
    <w:p w14:paraId="565CD38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422B0D6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08ACEBF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6CE58FF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3DD0CEC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0E9945E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291B0C01"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（四）争议解决方式</w:t>
      </w:r>
    </w:p>
    <w:p w14:paraId="0DA8437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0B31733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14:paraId="031ED5CA"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（五）基金合同存放地和投资者取得基金合同的方式</w:t>
      </w:r>
    </w:p>
    <w:p w14:paraId="50FC45B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14:paraId="790AE16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31755906"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DE50EB9" w14:textId="77777777" w:rsidR="004C65FB" w:rsidRDefault="00795CC3">
      <w:pPr>
        <w:pStyle w:val="1"/>
        <w:snapToGrid w:val="0"/>
        <w:spacing w:beforeLines="0" w:before="240" w:after="240"/>
        <w:rPr>
          <w:rFonts w:ascii="宋体" w:hAnsi="宋体"/>
          <w:szCs w:val="30"/>
        </w:rPr>
      </w:pPr>
      <w:bookmarkStart w:id="24" w:name="_Toc119586529"/>
      <w:bookmarkStart w:id="25" w:name="_Hlk132140564"/>
      <w:r>
        <w:rPr>
          <w:rFonts w:ascii="Times New Roman" w:hAnsi="Times New Roman"/>
          <w:sz w:val="30"/>
        </w:rPr>
        <w:lastRenderedPageBreak/>
        <w:t>二十一、托管协议的内容摘要</w:t>
      </w:r>
      <w:bookmarkEnd w:id="24"/>
    </w:p>
    <w:p w14:paraId="5772BD5A"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14:paraId="67D7002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3E2CFB6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5EB5A39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950C2E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2A51C78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1E5F3A2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批准设立机关：中国证监会</w:t>
      </w:r>
    </w:p>
    <w:p w14:paraId="46472DB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批准设立文号：证监基金字[2005]128号</w:t>
      </w:r>
    </w:p>
    <w:p w14:paraId="33B23BE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57B1902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51F4ADB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32BA2FF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2BCFA7D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5866E66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名称：中信银行股份有限公司</w:t>
      </w:r>
    </w:p>
    <w:p w14:paraId="7EA0FA11" w14:textId="43B0AF8F"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w:t>
      </w:r>
      <w:r w:rsidR="00267ACF" w:rsidRPr="00267ACF">
        <w:rPr>
          <w:rFonts w:ascii="宋体" w:hAnsi="宋体" w:hint="eastAsia"/>
          <w:sz w:val="24"/>
        </w:rPr>
        <w:t>北京市朝阳区光华路10号院1号楼6-30层、32-42层</w:t>
      </w:r>
    </w:p>
    <w:p w14:paraId="00A64E6C" w14:textId="6C4BDB9C"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267ACF" w:rsidRPr="00267ACF">
        <w:rPr>
          <w:rFonts w:ascii="宋体" w:hAnsi="宋体" w:hint="eastAsia"/>
          <w:sz w:val="24"/>
        </w:rPr>
        <w:t>朱鹤新</w:t>
      </w:r>
    </w:p>
    <w:p w14:paraId="071B3C9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成立时间：1987年4月20日</w:t>
      </w:r>
    </w:p>
    <w:p w14:paraId="3AF0E91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批准设立文号：中华人民共和国国务院办公厅国办函[1987]14号</w:t>
      </w:r>
    </w:p>
    <w:p w14:paraId="4729FF9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基金托管业务批准文号：中国证监会证监基金字[2004]125号</w:t>
      </w:r>
    </w:p>
    <w:p w14:paraId="313F0DE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5B04829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注册资本：489.35亿元人民币</w:t>
      </w:r>
    </w:p>
    <w:p w14:paraId="571400B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0B5F8356" w14:textId="77777777" w:rsidR="00267ACF" w:rsidRDefault="00795CC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经营范围：</w:t>
      </w:r>
      <w:r w:rsidR="00267ACF" w:rsidRPr="00267ACF">
        <w:rPr>
          <w:rFonts w:ascii="宋体" w:hAnsi="宋体" w:hint="eastAsia"/>
          <w:sz w:val="24"/>
        </w:rPr>
        <w:t>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w:t>
      </w:r>
      <w:r w:rsidR="00267ACF" w:rsidRPr="00267ACF">
        <w:rPr>
          <w:rFonts w:ascii="宋体" w:hAnsi="宋体" w:hint="eastAsia"/>
          <w:sz w:val="24"/>
        </w:rPr>
        <w:lastRenderedPageBreak/>
        <w:t>督管理机构批准的其他业务。（企业依法自主选择经营项目，开展经营活动；依法须经批准的项目，经相关部门批准后依批准的内容开展经营活动；不得从事本市产业政策禁止和限制类项目的经营活动。）</w:t>
      </w:r>
    </w:p>
    <w:p w14:paraId="027CA82A"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14:paraId="034C058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1、基金托管人对基金管理人的投资行为行使监督权</w:t>
      </w:r>
    </w:p>
    <w:p w14:paraId="167D2E0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（1）基金托管人根据有关法律法规的规定和基金合同的约定，对下述基金投资范围、投资对象进行监督。本基金将投资于以下金融工具：</w:t>
      </w:r>
    </w:p>
    <w:p w14:paraId="5B5C1B3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现金，期限在1年以内（含1年）的银行存款、债券回购、中央银行票据、同业存单，剩余期限在397天以内（含397天）的债券、非金融企业债务融资工具、资产支持证券，中国证监会、中国人民银行认可的其他具有良好流动性的货币市场工具。</w:t>
      </w:r>
    </w:p>
    <w:p w14:paraId="778D845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如法律法规或监管机构以后允许货币市场基金投资其他金融工具，基金管理人在履行适当程序后，可以将其纳入投资范围，其投资比例遵循届时有效法律法规或相关规定。</w:t>
      </w:r>
    </w:p>
    <w:p w14:paraId="0B1AC01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（2）基金托管人根据有关法律法规的规定及基金合同的约定对下述基金投融资比例进行监督：</w:t>
      </w:r>
    </w:p>
    <w:p w14:paraId="1C472A8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1）本基金不得投资于以下金融工具：</w:t>
      </w:r>
    </w:p>
    <w:p w14:paraId="7136B15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（a）股票；</w:t>
      </w:r>
    </w:p>
    <w:p w14:paraId="5A3F2B7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（b）可转换债券、可交换债券；</w:t>
      </w:r>
    </w:p>
    <w:p w14:paraId="4472E5E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（c）以定期存款利率为基准利率的浮动利率债券，已进入最后一个利率调整期的除外；</w:t>
      </w:r>
    </w:p>
    <w:p w14:paraId="06EB4DF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（d）信用等级在AA+以下的债券与非金融企业债务融资工具；</w:t>
      </w:r>
    </w:p>
    <w:p w14:paraId="0C1B2EF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（e）中国证监会、中国人民银行禁止投资的其他金融工具。</w:t>
      </w:r>
    </w:p>
    <w:p w14:paraId="09E6581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本基金拟投资于主体信用评级低于AA+的商业银行的银行存款与同业存单的，应当经基金管理人董事会审议批准，相关交易应当事先征得基金托管人的同意，并作为重大事项履行信息披露程序。</w:t>
      </w:r>
    </w:p>
    <w:p w14:paraId="64CEE67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法律法规或监管部门取消上述限制，如适用于本基金，基金管理人在履行适当程序后，则本基金投资不再受相关限制。</w:t>
      </w:r>
    </w:p>
    <w:p w14:paraId="706D2BB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2）组合限制</w:t>
      </w:r>
    </w:p>
    <w:p w14:paraId="2732F14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（a）本基金投资组合的平均剩余期限在每个交易日均不得超过120天，平均剩</w:t>
      </w:r>
      <w:r>
        <w:rPr>
          <w:rFonts w:ascii="宋体" w:hAnsi="宋体"/>
          <w:sz w:val="24"/>
        </w:rPr>
        <w:lastRenderedPageBreak/>
        <w:t>余存续期在每个交易日均不得超过240天；</w:t>
      </w:r>
    </w:p>
    <w:p w14:paraId="686037D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（b）本基金投资于现金、国债、中央银行票据、政策性金融债券占基金资产净值的比例合计不得低于5%，其中现金不包括结算备付金、存出保证金、应收申购款等；</w:t>
      </w:r>
    </w:p>
    <w:p w14:paraId="4E4B32A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（c）本基金投资于现金、国债、中央银行票据、政策性金融债券以及五个交易日内到期的其他金融工具占基金资产净值的比例合计不得低于10%；</w:t>
      </w:r>
    </w:p>
    <w:p w14:paraId="35E2508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14:paraId="46386FE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（e）除发生巨额赎回、连续3 个交易日累计赎回20%以上或者连续5 个交易日累计赎回30%以上的情形外，本基金债券正回购的资金余额占基金资产净值的比例不得超过20%；</w:t>
      </w:r>
    </w:p>
    <w:p w14:paraId="7E29225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（f）本基金投资于同一机构发行的债券、非金融企业债务融资工具及其作为原始权益人的资产支持证券占基金资产净值的比例合计不得超过10%，国债、中央银行票据、政策性金融债券除外；</w:t>
      </w:r>
    </w:p>
    <w:p w14:paraId="0B1668E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（g）本基金管理人管理的全部基金持有一家公司发行的证券，不超过该证券的10%；</w:t>
      </w:r>
    </w:p>
    <w:p w14:paraId="75C21F2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3331395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i）本基金投资于同一原始权益人的各类资产支持证券的比例，不得超过基金资产净值的10%；本基金持有的全部资产支持证券，其市值不得超过基金资产净值的20%，中国证监会规定的特殊品种除外；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14:paraId="0270838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（j）本基金应投资于具有评级资质的资信评级机构进行持续信用评级，且信用评级不低于国内信用评级机构评定的AAA级或相当于AAA级的信用级别的资产支持</w:t>
      </w:r>
      <w:r>
        <w:rPr>
          <w:rFonts w:ascii="宋体" w:hAnsi="宋体"/>
          <w:sz w:val="24"/>
        </w:rPr>
        <w:lastRenderedPageBreak/>
        <w:t>证券。基金持有资产支持证券期间，如果其信用等级下降、不再符合投资标准，应在评级报告发布之日起3 个月内予以全部卖出；</w:t>
      </w:r>
    </w:p>
    <w:p w14:paraId="3171FD1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（k）本基金管理人管理的全部货币市场基金投资于同一商业银行的银行存款及其发行的同业存单与债券，不得超过该商业银行最近一个季度末净资产的10%；</w:t>
      </w:r>
    </w:p>
    <w:p w14:paraId="7D069C7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（l）当本基金前10 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14:paraId="01AE6F6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（m）当本基金前10 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14:paraId="1BF4B65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（n）本基金投资于主体信用评级低于AAA 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14:paraId="1603B4A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（o）本基金与私募类证券资管产品及中国证监会认定的其他主体为交易对手开展逆回购交易的，可接受质押品的资质要求应当与基金合同约定的投资范围保持一致；</w:t>
      </w:r>
    </w:p>
    <w:p w14:paraId="2735FFA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（p）本基金进入全国银行间同业市场进行债券回购的资金余额不得超过基金资产净值的40%，本基金在全国银行间同业市场的债券回购最长期限为1年，债券回购到期后不得展期；</w:t>
      </w:r>
    </w:p>
    <w:p w14:paraId="5D9D57B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（q）本基金的基金资产总值不得超过基金资产净值的140%；</w:t>
      </w:r>
    </w:p>
    <w:p w14:paraId="783C2F6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（r）法律法规、中国证监会及中国人民银行规定的其他比例限制。</w:t>
      </w:r>
    </w:p>
    <w:p w14:paraId="37F437C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w:t>
      </w:r>
      <w:r>
        <w:rPr>
          <w:rFonts w:ascii="宋体" w:hAnsi="宋体"/>
          <w:sz w:val="24"/>
        </w:rPr>
        <w:lastRenderedPageBreak/>
        <w:t>关联交易应提交基金管理人董事会审议，并经过三分之二以上的独立董事通过。基金管理人董事会应至少每半年对关联交易事项进行审查。</w:t>
      </w:r>
    </w:p>
    <w:p w14:paraId="2F0D66CD" w14:textId="4883600B"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w:t>
      </w:r>
      <w:r w:rsidR="002F536D">
        <w:rPr>
          <w:rFonts w:ascii="宋体" w:hAnsi="宋体" w:hint="eastAsia"/>
          <w:sz w:val="24"/>
        </w:rPr>
        <w:t>a</w:t>
      </w:r>
      <w:r>
        <w:rPr>
          <w:rFonts w:ascii="宋体" w:hAnsi="宋体"/>
          <w:sz w:val="24"/>
        </w:rPr>
        <w:t>）、（</w:t>
      </w:r>
      <w:r w:rsidR="002F536D">
        <w:rPr>
          <w:rFonts w:ascii="宋体" w:hAnsi="宋体" w:hint="eastAsia"/>
          <w:sz w:val="24"/>
        </w:rPr>
        <w:t>b</w:t>
      </w:r>
      <w:r>
        <w:rPr>
          <w:rFonts w:ascii="宋体" w:hAnsi="宋体"/>
          <w:sz w:val="24"/>
        </w:rPr>
        <w:t>）、（</w:t>
      </w:r>
      <w:r w:rsidR="002F536D">
        <w:rPr>
          <w:rFonts w:ascii="宋体" w:hAnsi="宋体" w:hint="eastAsia"/>
          <w:sz w:val="24"/>
        </w:rPr>
        <w:t>d</w:t>
      </w:r>
      <w:r>
        <w:rPr>
          <w:rFonts w:ascii="宋体" w:hAnsi="宋体"/>
          <w:sz w:val="24"/>
        </w:rPr>
        <w:t>）、（</w:t>
      </w:r>
      <w:r w:rsidR="002F536D">
        <w:rPr>
          <w:rFonts w:ascii="宋体" w:hAnsi="宋体" w:hint="eastAsia"/>
          <w:sz w:val="24"/>
        </w:rPr>
        <w:t>j</w:t>
      </w:r>
      <w:r>
        <w:rPr>
          <w:rFonts w:ascii="宋体" w:hAnsi="宋体"/>
          <w:sz w:val="24"/>
        </w:rPr>
        <w:t>）、（</w:t>
      </w:r>
      <w:r w:rsidR="002F536D">
        <w:rPr>
          <w:rFonts w:ascii="宋体" w:hAnsi="宋体" w:hint="eastAsia"/>
          <w:sz w:val="24"/>
        </w:rPr>
        <w:t>o</w:t>
      </w:r>
      <w:r>
        <w:rPr>
          <w:rFonts w:ascii="宋体" w:hAnsi="宋体"/>
          <w:sz w:val="24"/>
        </w:rPr>
        <w:t>）项外，因证券市场波动、证券发行人合并或基金规模变动等基金管理人之外的因素致使基金投资比例不符合上述规定投资比例的，基金管理人应当在10 个交易日内进行调整，但中国证监会规定的特殊情形除外。法律法规另有规定的，从其规定。</w:t>
      </w:r>
    </w:p>
    <w:p w14:paraId="302D8A3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14:paraId="5E1BF4E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 个月内使基金的投资组合比例符合基金合同的有关约定。在上述期间内，本基金的投资范围、投资策略应当符合基金合同的约定。基金托管人对基金的投资的监督与检查自基金合同生效之日起开始。</w:t>
      </w:r>
    </w:p>
    <w:p w14:paraId="718E75F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法律法规对上述投资组合比例限制进行变更的，以变更后的规定为准。法律法规或监管部门取消上述限制，如适用于本基金，基金管理人在履行适当程序后，本基金投资不再受相关限制。</w:t>
      </w:r>
    </w:p>
    <w:p w14:paraId="014F715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（3）基金托管人根据有关法律法规的规定及基金合同的约定对下述基金投资禁止行为进行监督：</w:t>
      </w:r>
    </w:p>
    <w:p w14:paraId="5FBC323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根据法律法规的规定及基金合同的约定，本基金禁止从事下列行为：</w:t>
      </w:r>
    </w:p>
    <w:p w14:paraId="51DFE58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1575B7D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2）违反规定向他人贷款或提供担保；</w:t>
      </w:r>
    </w:p>
    <w:p w14:paraId="601ADC1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0179690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29BEAD6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130FE27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636F2F6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3B7B626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077A8D2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（4）基金托管人依据有关法律法规的规定和基金合同的约定对于基金关联投资进行监督：</w:t>
      </w:r>
    </w:p>
    <w:p w14:paraId="0386613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根据法律法规有关基金从事的关联交易的规定，基金管理人和基金托管人应事</w:t>
      </w:r>
      <w:r>
        <w:rPr>
          <w:rFonts w:ascii="宋体" w:hAnsi="宋体"/>
          <w:sz w:val="24"/>
        </w:rPr>
        <w:lastRenderedPageBreak/>
        <w:t>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554D715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170142E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（5）基金托管人依据有关法律法规的规定和基金合同的约定对基金管理人参与银行间债券市场进行监督：</w:t>
      </w:r>
    </w:p>
    <w:p w14:paraId="2670C29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1）基金托管人依据有关法律法规的规定和基金合同的约定对于基金管理人参与银行间债券市场交易时面临的交易对手资信风险进行监督。</w:t>
      </w:r>
    </w:p>
    <w:p w14:paraId="4EE6859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7CA0683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30CB0F2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2）基金管理人有责任控制交易对手的资信风险，按银行间债券市场的交易规则进行交易，基金托管人则根据银行间债券市场成交单对合同履行情况进行监督。</w:t>
      </w:r>
      <w:r>
        <w:rPr>
          <w:rFonts w:ascii="宋体" w:hAnsi="宋体"/>
          <w:sz w:val="24"/>
        </w:rPr>
        <w:lastRenderedPageBreak/>
        <w:t>如基金托管人事后发现基金管理人没有按照事先约定的交易对手进行交易时，基金托管人应及时提醒基金管理人，基金托管人不承担由此造成的任何损失和责任。</w:t>
      </w:r>
    </w:p>
    <w:p w14:paraId="7911FB4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（6）基金托管人根据有关法律法规的规定及基金合同的约定，对基金管理人选择存款银行进行监督：</w:t>
      </w:r>
    </w:p>
    <w:p w14:paraId="41E29D8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DC214E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14:paraId="09A8484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14:paraId="17EA3A7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2）基金托管人应加强对基金银行存款业务的监督与核查，严格审查、复核相关协议、账户资料、投资指令、存款证实书等有关文件，切实履行托管职责。</w:t>
      </w:r>
    </w:p>
    <w:p w14:paraId="0FD0C8A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14:paraId="57AFADE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09B03A7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2、基金托管人对基金管理人业务进行监督和核查的有关措施：</w:t>
      </w:r>
    </w:p>
    <w:p w14:paraId="48BF80C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根据有关法律法规的规定及基金合同的约定，对各类基金份额的基金资产净值计算、每万份基金已实现收益和7日年化收益率计算、应收资金到账、基金费用开支及收入确定、基金收益分配、相关信息披露、基金宣传推介材料中登载基金业绩表现数据等进行监督和核查。</w:t>
      </w:r>
    </w:p>
    <w:p w14:paraId="75BC502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545C87D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（3）在限期内，基金托管人有权随时对通知事项进行复查，督促基金管理人改正。基金管理人对基金托管人通知的违规事项未能在限期内纠正的，基金托管人</w:t>
      </w:r>
      <w:r>
        <w:rPr>
          <w:rFonts w:ascii="宋体" w:hAnsi="宋体"/>
          <w:sz w:val="24"/>
        </w:rPr>
        <w:lastRenderedPageBreak/>
        <w:t>应报告中国证监会。</w:t>
      </w:r>
    </w:p>
    <w:p w14:paraId="7CD3430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（4）基金托管人发现基金管理人的投资指令违反相关法律法规规定或者违反基金合同约定的，应当拒绝执行，立即通知基金管理人。</w:t>
      </w:r>
    </w:p>
    <w:p w14:paraId="4FC039A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1C7116F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398B8E6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（7）基金托管人发现基金管理人有重大违规行为，应立即报告中国证监会，同时通知基金管理人限期纠正。</w:t>
      </w:r>
    </w:p>
    <w:p w14:paraId="39E3AD0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6E711584"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14:paraId="0353697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但不限于基金托管人安全保管基金财产、开设基金财产的资金账户、证券账户等投资所需账户、复核基金管理人计算的各类基金份额的基金资产净值、每万份基金已实现收益和7日年化收益率、根据基金管理人指令办理清算交收、相关信息披露和监督基金投资运作等行为。</w:t>
      </w:r>
    </w:p>
    <w:p w14:paraId="320174C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7CE92CB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3、基金管理人发现基金托管人有重大违规行为，应立即报告中国证监会和银</w:t>
      </w:r>
      <w:r>
        <w:rPr>
          <w:rFonts w:ascii="宋体" w:hAnsi="宋体"/>
          <w:sz w:val="24"/>
        </w:rPr>
        <w:lastRenderedPageBreak/>
        <w:t>行业监督管理机构，同时通知基金托管人限期纠正。</w:t>
      </w:r>
    </w:p>
    <w:p w14:paraId="18654B1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4、基金托管人应积极配合基金管理人的核查行为，包括但不限于：提交相关资料以供基金管理人核查托管财产的完整性和真实性，在规定时间内答复基金管理人并改正。</w:t>
      </w:r>
    </w:p>
    <w:p w14:paraId="00FE665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3AA88E77"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（四）基金财产保管</w:t>
      </w:r>
    </w:p>
    <w:p w14:paraId="6F6E3EE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7370EB4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4DFEF34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（2）基金托管人应安全保管基金财产。除依据法律法规规定、基金合同和本托管协议约定及基金管理人的正当指令外，不得自行运用、处分、分配基金的任何财产。</w:t>
      </w:r>
    </w:p>
    <w:p w14:paraId="48C71D8B" w14:textId="73086860"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w:t>
      </w:r>
      <w:r w:rsidR="004D641F">
        <w:rPr>
          <w:rFonts w:ascii="宋体" w:hAnsi="宋体" w:hint="eastAsia"/>
          <w:sz w:val="24"/>
        </w:rPr>
        <w:t>和</w:t>
      </w:r>
      <w:r>
        <w:rPr>
          <w:rFonts w:ascii="宋体" w:hAnsi="宋体"/>
          <w:sz w:val="24"/>
        </w:rPr>
        <w:t>证券账户。</w:t>
      </w:r>
    </w:p>
    <w:p w14:paraId="19C52CE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14:paraId="3C5921E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14:paraId="4275FE9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（6）除依据法律法规和基金合同的规定外，基金托管人不得委托第三人托管基金资产。</w:t>
      </w:r>
    </w:p>
    <w:p w14:paraId="43B4F41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2、募集资金的验资</w:t>
      </w:r>
    </w:p>
    <w:p w14:paraId="1005259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（1）基金募集期间募集认购款项应存于基金认购专用账户，该账户由基金管理人或基金管理人委托的登记机构开立并管理。</w:t>
      </w:r>
    </w:p>
    <w:p w14:paraId="308103A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14:paraId="6074FA2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（3）若基金募集期限届满，未能达到基金备案条件，由基金管理人按规定办</w:t>
      </w:r>
      <w:r>
        <w:rPr>
          <w:rFonts w:ascii="宋体" w:hAnsi="宋体"/>
          <w:sz w:val="24"/>
        </w:rPr>
        <w:lastRenderedPageBreak/>
        <w:t>理退款事宜，基金托管人应提供充分协助。</w:t>
      </w:r>
    </w:p>
    <w:p w14:paraId="02AE5D2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3、基金的银行账户的开立和管理</w:t>
      </w:r>
    </w:p>
    <w:p w14:paraId="76385B9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（1）基金托管人以本基金的名义在其营业机构开立基金的银行账户，并根据基金管理人合法合规的指令办理资金收付。本基金的银行预留印鉴由基金托管人刻制、保管和使用。</w:t>
      </w:r>
    </w:p>
    <w:p w14:paraId="6B1F639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（2）基金银行账户的开立和使用，限于满足开展本基金业务的需要。基金托管人和基金管理人不得假借本基金的名义开立任何其他银行账户；亦不得使用本基金的任何账户进行本基金业务以外的活动。</w:t>
      </w:r>
    </w:p>
    <w:p w14:paraId="2E3C624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（3）基金银行账户的开立和管理应符合有关法律法规以及银行业监督管理机构的有关规定。</w:t>
      </w:r>
    </w:p>
    <w:p w14:paraId="5D92660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4、基金证券账户与证券交易资金账户的开设和管理：</w:t>
      </w:r>
    </w:p>
    <w:p w14:paraId="5461E60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（1）基金托管人以基金托管人和本基金联名的方式在中国证券登记结算有限责任公司上海分公司/深圳分公司开设证券账户。</w:t>
      </w:r>
    </w:p>
    <w:p w14:paraId="4AC2643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（2）基金托管人以基金托管人的名义在中国证券登记结算有限责任公司上海分公司/深圳分公司开立基金证券交易资金账户，用于证券清算。</w:t>
      </w:r>
    </w:p>
    <w:p w14:paraId="1E8AC13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（3）基金证券账户的开立和使用，限于满足开展本基金业务的需要。基金托管人和基金管理人不得出借和未经对方同意擅自转让基金的任何证券账户；亦不得使用基金的任何账户进行本基金业务以外的活动。</w:t>
      </w:r>
    </w:p>
    <w:p w14:paraId="4C22EF6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5、债券托管账户的开立和管理</w:t>
      </w:r>
    </w:p>
    <w:p w14:paraId="734865B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14:paraId="3B73090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（2）基金管理人和基金托管人应一起负责为本基金对外签订全国银行间国债市场回购主协议，正本由基金托管人保管，基金管理人保存副本。</w:t>
      </w:r>
    </w:p>
    <w:p w14:paraId="472D380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6、其他账户的开设和管理</w:t>
      </w:r>
    </w:p>
    <w:p w14:paraId="2CCAC45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79DA79F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7、基金财产投资的有关实物证券、银行定期存款存单等有价凭证的保管</w:t>
      </w:r>
    </w:p>
    <w:p w14:paraId="4D8511E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050DA93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7821369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15年以上。对于无法取得二份以上的正本的，基金管理人应向基金托管人提供加盖授权业务章的合同传真件，未经双方协商或未在合同约定范围内，合同原件不得转移，由基金管理人保管。</w:t>
      </w:r>
    </w:p>
    <w:p w14:paraId="2D38EF24"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（五）基金资产净值计算与复核</w:t>
      </w:r>
    </w:p>
    <w:p w14:paraId="7C3B044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是指基金资产总值减去负债后的价值。每万份基金已实现收益是按照相关法规计算的每万份基金份额的日已实现收益，精确到小数点后第4位，小数点后第5位四舍五入。本基金的收益分配是按日结转份额的，7日年化收益率是以最近7日(含节假日) 每万份基金已实现收益所折算的年资产收益率，精确到0.001%，百分号内小数点后第4位四舍五入。国家另有规定的，从其规定。</w:t>
      </w:r>
    </w:p>
    <w:p w14:paraId="7F200D9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工作日对基金资产估值，但基金管理人根据法律法规或基金合同的规定暂停估值时除外。估值原则应符合基金合同及相关法律、法规的规定。用于基金信息披露的各类基金份额的基金资产净值、每万份基金已实现收益和7日年化收益率由基金管理人负责计算，基金托管人复核。基金管理人应于每个工作日交易结束后计算当日的各类基金份额的基金资产净值、每万份基金已实现收益和7日年化收益率并以双方认可的方式发送给基金托管人。基金托管人对净值计算</w:t>
      </w:r>
      <w:r>
        <w:rPr>
          <w:rFonts w:ascii="宋体" w:hAnsi="宋体"/>
          <w:sz w:val="24"/>
        </w:rPr>
        <w:lastRenderedPageBreak/>
        <w:t>结果复核后以双方认可的方式发送给基金管理人，由基金管理人依据基金合同和相关法律法规的规定予以公布。月末、年中和年末估值复核与基金会计账目的核对同时进行。</w:t>
      </w:r>
    </w:p>
    <w:p w14:paraId="0BB5D54A"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基金法》，基金管理人计算并公告各类基金份额的基金资产净值、每万份基金已实现收益和7日年化收益率，基金托管人复核、审查基金管理人计算的各类基金份额的基金资产净值、每万份基金已实现收益和7日年化收益率。因此，本基金的会计责任方是基金管理人，就与本基金有关的会计问题，如经相关各方在平等基础上充分讨论后，仍无法达成一致的意见，按照基金管理人对各类基金份额的基金资产净值、每万份基金已实现收益和7日年化收益率的计算结果对外予以公布。</w:t>
      </w:r>
    </w:p>
    <w:p w14:paraId="59C4285C"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（六）基金份额持有人名册的保管</w:t>
      </w:r>
    </w:p>
    <w:p w14:paraId="554D3F4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1、基金管理人和基金托管人须分别妥善保管的基金份额持有人名册，基金份额持有人名册的内容必须包括基金份额持有人的名称和持有的基金份额。</w:t>
      </w:r>
    </w:p>
    <w:p w14:paraId="0F80F87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持有人名册由基金的登记机构根据基金管理人的指令编制和保管，保管期限为20年。基金管理人和基金托管人应按照目前相关规则分别保管基金份额持有人名册。保管方式可以采用电子或文档的形式，保管期限为15年。</w:t>
      </w:r>
    </w:p>
    <w:p w14:paraId="61C96C4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14:paraId="074C120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4、若基金管理人或基金托管人由于自身原因无法妥善保管基金份额持有人名册，应按有关法规规定各自承担相应的责任。</w:t>
      </w:r>
    </w:p>
    <w:p w14:paraId="0C5D34EC"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14:paraId="6EC3FE0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6FF61B07"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14:paraId="4F77C15F"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（八）托管协议的变更与终止</w:t>
      </w:r>
    </w:p>
    <w:p w14:paraId="40422DA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45DE5F3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本协议双方当事人经协商一致，可以对协议的内容进行变更。变更后的托管协议，其内容不得与基金合同的规定有任何冲突。本托管协议的变更报中国证监会备案。</w:t>
      </w:r>
    </w:p>
    <w:p w14:paraId="7EF6E0D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601CBCF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发生以下情况，本托管协议终止：</w:t>
      </w:r>
    </w:p>
    <w:p w14:paraId="49898121"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3B2BBA7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179C204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5B8FD3A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37B6C764"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A0C237D" w14:textId="77777777" w:rsidR="004C65FB" w:rsidRDefault="00795CC3">
      <w:pPr>
        <w:pStyle w:val="1"/>
        <w:snapToGrid w:val="0"/>
        <w:spacing w:beforeLines="0" w:before="240" w:after="240"/>
        <w:rPr>
          <w:rFonts w:ascii="宋体" w:hAnsi="宋体"/>
          <w:szCs w:val="30"/>
        </w:rPr>
      </w:pPr>
      <w:bookmarkStart w:id="26" w:name="_Toc119586530"/>
      <w:bookmarkEnd w:id="25"/>
      <w:r>
        <w:rPr>
          <w:rFonts w:ascii="Times New Roman" w:hAnsi="Times New Roman"/>
          <w:sz w:val="30"/>
        </w:rPr>
        <w:lastRenderedPageBreak/>
        <w:t>二十二、对基金份额持有人的服务</w:t>
      </w:r>
      <w:bookmarkEnd w:id="26"/>
    </w:p>
    <w:p w14:paraId="3EBA5C4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0E732953"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14:paraId="73050F98"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每次交易结束后，可在T+2个工作日后通过销售机构的网点查询和打印确认单。</w:t>
      </w:r>
    </w:p>
    <w:p w14:paraId="24342E2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本基金管理人将向持有人提供电子或纸质对账单，需要订阅或取消的客户可与本基金管理人客户服务中心（400-700-5000，021-61055000）联系。</w:t>
      </w:r>
    </w:p>
    <w:p w14:paraId="00DAA832"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（二）信息咨询、查询服务</w:t>
      </w:r>
    </w:p>
    <w:p w14:paraId="5F73317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投资人如果想查询申购和赎回等交易情况、基金账户余额、基金产品与服务等信息，请拨打本基金管理人客户服务电话（400-700-5000，021-61055000）或登录本基金管理人网站（www.fund001.com）进行咨询、查询。</w:t>
      </w:r>
    </w:p>
    <w:p w14:paraId="613DC85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1A3BD806"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04DB21EB"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（三）基金转换业务</w:t>
      </w:r>
    </w:p>
    <w:p w14:paraId="65B0EFA3" w14:textId="5A3BA016"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本基金已开通基金转换业务，具体实施方法请参见相关公告。</w:t>
      </w:r>
    </w:p>
    <w:p w14:paraId="4FE6340E" w14:textId="77777777" w:rsidR="004C65FB" w:rsidRDefault="00795CC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（四）定期定额投资计划</w:t>
      </w:r>
    </w:p>
    <w:p w14:paraId="4D67CFE2" w14:textId="0AFFC3B9"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229EDFE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4401643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046F232C"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6A50C8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74DD693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12799252" w14:textId="6BEFEEF6" w:rsidR="002102BF" w:rsidRDefault="00795CC3" w:rsidP="00CE5B0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（五）如本招募说明书存在任何您/贵机构无法理解的内容，请通过上述方式联系基金管理人。请确保投资前，您/贵机构已经全面理解了本招募说明书。</w:t>
      </w:r>
      <w:r w:rsidRPr="003828CA">
        <w:rPr>
          <w:rFonts w:ascii="宋体" w:hAnsi="宋体"/>
          <w:sz w:val="24"/>
        </w:rPr>
        <w:br w:type="page"/>
      </w:r>
    </w:p>
    <w:p w14:paraId="32FC666D" w14:textId="77777777" w:rsidR="004C65FB" w:rsidRDefault="00795CC3">
      <w:pPr>
        <w:pStyle w:val="1"/>
        <w:snapToGrid w:val="0"/>
        <w:spacing w:beforeLines="0" w:before="240" w:after="240"/>
        <w:rPr>
          <w:rFonts w:ascii="宋体" w:hAnsi="宋体"/>
          <w:szCs w:val="30"/>
        </w:rPr>
      </w:pPr>
      <w:bookmarkStart w:id="27" w:name="_Toc119586531"/>
      <w:r>
        <w:rPr>
          <w:rFonts w:ascii="Times New Roman" w:hAnsi="Times New Roman"/>
          <w:sz w:val="30"/>
        </w:rPr>
        <w:lastRenderedPageBreak/>
        <w:t>二十三、其他应披露事项</w:t>
      </w:r>
      <w:bookmarkEnd w:id="27"/>
    </w:p>
    <w:p w14:paraId="17F23379"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41AD748F"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C65FB" w14:paraId="0DCE33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5D765B"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3A9243D2"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1840A310"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02BC5324"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4C65FB" w14:paraId="597DB39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9FF0D3"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4E69BC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交银施罗德基金管理有限公司关于增加五矿证券有限公司为旗下基金的销售机构的公告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DF2116E"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A938C6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2021-11-09</w:t>
            </w:r>
          </w:p>
        </w:tc>
      </w:tr>
      <w:tr w:rsidR="004C65FB" w14:paraId="696272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5F8AD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A5E0B8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4EE424A"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3720CD1"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2021-11-09</w:t>
            </w:r>
          </w:p>
        </w:tc>
      </w:tr>
      <w:tr w:rsidR="004C65FB" w14:paraId="5260D8C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BDA162"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5E4E57A"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交银施罗德天利宝货币市场基金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94427A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6B1143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2021-11-26</w:t>
            </w:r>
          </w:p>
        </w:tc>
      </w:tr>
      <w:tr w:rsidR="004C65FB" w14:paraId="3901133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68DB2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9AC3BFD"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交银施罗德基金管理有限公司关于调整旗下部分开放式基金转换业务规则的公告</w:t>
            </w:r>
          </w:p>
        </w:tc>
        <w:tc>
          <w:tcPr>
            <w:tcW w:w="750" w:type="pct"/>
            <w:tcBorders>
              <w:top w:val="single" w:sz="4" w:space="0" w:color="auto"/>
              <w:left w:val="single" w:sz="4" w:space="0" w:color="auto"/>
              <w:bottom w:val="single" w:sz="4" w:space="0" w:color="auto"/>
              <w:right w:val="single" w:sz="4" w:space="0" w:color="auto"/>
            </w:tcBorders>
            <w:vAlign w:val="center"/>
          </w:tcPr>
          <w:p w14:paraId="7F86240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225AC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2021-11-30</w:t>
            </w:r>
          </w:p>
        </w:tc>
      </w:tr>
      <w:tr w:rsidR="004C65FB" w14:paraId="60AE21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4A9159"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CB6ECE8"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交银施罗德基金管理有限公司关于增加北京度小满基金销售有限公司为旗下基金销售机构的公告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0AB5792"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4B6D54"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2021-12-28</w:t>
            </w:r>
          </w:p>
        </w:tc>
      </w:tr>
      <w:tr w:rsidR="004C65FB" w14:paraId="67392B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588F5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77EC07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交银施罗德基金管理有限公司关于增加招商银行股份有限公司招赢通平台销售旗下部分基金的公告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64AA44E2"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3218005"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2022-01-06</w:t>
            </w:r>
          </w:p>
        </w:tc>
      </w:tr>
      <w:tr w:rsidR="004C65FB" w14:paraId="18FA3A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4914F2"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9B55563"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交银施罗德天利宝货币市场基金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C99B01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F068A73"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2022-01-21</w:t>
            </w:r>
          </w:p>
        </w:tc>
      </w:tr>
      <w:tr w:rsidR="004C65FB" w14:paraId="1AD0FA2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B2F46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656111E"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交银施罗德基金管理有限公司关于交银施罗德天利宝货币市场基金于</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春节</w:t>
            </w:r>
            <w:r>
              <w:rPr>
                <w:rFonts w:ascii="Times New Roman" w:hAnsi="Times New Roman"/>
                <w:color w:val="000000"/>
                <w:kern w:val="0"/>
                <w:sz w:val="25"/>
                <w:szCs w:val="24"/>
              </w:rPr>
              <w:t>”</w:t>
            </w:r>
            <w:r>
              <w:rPr>
                <w:rFonts w:ascii="Times New Roman" w:hAnsi="Times New Roman"/>
                <w:color w:val="000000"/>
                <w:kern w:val="0"/>
                <w:sz w:val="25"/>
                <w:szCs w:val="24"/>
              </w:rPr>
              <w:t>假期前暂停及节后恢复大额申购（转换转入、定期定额投资）并限制大额业务的公告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1EDB8A9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7614CEC"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2022-01-26</w:t>
            </w:r>
          </w:p>
        </w:tc>
      </w:tr>
      <w:tr w:rsidR="004C65FB" w14:paraId="52B260E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19DD78"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15237F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交银施罗德基金管理有限公司关于增加上海好买基金销售有限公司为旗下基金销售机构的公告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A3A8DE5"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36271BE"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2022-03-04</w:t>
            </w:r>
          </w:p>
        </w:tc>
      </w:tr>
      <w:tr w:rsidR="004C65FB" w14:paraId="25B2A9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3CB12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5364C4DD"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交银施罗德基金管理有限公司关于增加上海长量基金销售有限公司为旗下基金销售机构的公告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BE125C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772444A"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2022-03-04</w:t>
            </w:r>
          </w:p>
        </w:tc>
      </w:tr>
      <w:tr w:rsidR="004C65FB" w14:paraId="23D2419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1576FD"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1C82B27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交银施罗德天利宝货币市场基金</w:t>
            </w:r>
            <w:r>
              <w:rPr>
                <w:rFonts w:ascii="Times New Roman" w:hAnsi="Times New Roman"/>
                <w:color w:val="000000"/>
                <w:kern w:val="0"/>
                <w:sz w:val="25"/>
                <w:szCs w:val="24"/>
              </w:rPr>
              <w:t>2021</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5D051795"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7668A3E"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2022-03-30</w:t>
            </w:r>
          </w:p>
        </w:tc>
      </w:tr>
      <w:tr w:rsidR="004C65FB" w14:paraId="4958AB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2A37B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72A8FBE3"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交银施罗德基金管理有限公司关于增加银河证券股份有限公司为旗下基金的销售机构的公告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7D43670"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3395403"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r w:rsidR="004C65FB" w14:paraId="10981B9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A86D71"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7D7B81F5"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交银施罗德天利宝货币市场基金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6358227"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DCEC63E"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r w:rsidR="004C65FB" w14:paraId="48F9669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66DB8D"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23018172"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交银施罗德基金管理有限公司关于交银施罗德天利宝货币市场基金于</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劳动节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0BCFC85C"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D463203"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2022-04-28</w:t>
            </w:r>
          </w:p>
        </w:tc>
      </w:tr>
      <w:tr w:rsidR="004C65FB" w14:paraId="3C54DDB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E1B654"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81C7794"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交银施罗德基金管理有限公司关于增加广发证券股份有限公司为旗下基金的销售机构的公告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724320D"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2A0C291"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2022-07-08</w:t>
            </w:r>
          </w:p>
        </w:tc>
      </w:tr>
      <w:tr w:rsidR="004C65FB" w14:paraId="747210F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CB63D2"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7BC11FB0"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交银施罗德天利宝货币市场基金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AE9B02E"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2189753"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4C65FB" w14:paraId="217B44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027879"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14D4AD93"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3E139E4B"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1AC7E70"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4C65FB" w14:paraId="3730A2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F9732F"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4CC480AE"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交银施罗德基金管理有限公司关于增加国信证券股份有限公司为旗下基金的销售机构的公告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9896C4D"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80C9EB1"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2022-08-19</w:t>
            </w:r>
          </w:p>
        </w:tc>
      </w:tr>
      <w:tr w:rsidR="004C65FB" w14:paraId="57C0613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CA62D3"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723E279E"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交银施罗德天利宝货币市场基金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5582D8F9"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7CABCF9"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4C65FB" w14:paraId="2CD1D8A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5F57A0"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06B14F46"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14:paraId="5B3AE21B"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D01100E"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4C65FB" w14:paraId="1B4218A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716A58"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5F09661E"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交银施罗德基金管理有限公司关于交银施罗德天利宝货币市场基金于</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国庆节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069F76ED"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EA21666"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2022-09-29</w:t>
            </w:r>
          </w:p>
        </w:tc>
      </w:tr>
      <w:tr w:rsidR="004C65FB" w14:paraId="0E71D5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B89117"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22</w:t>
            </w:r>
          </w:p>
        </w:tc>
        <w:tc>
          <w:tcPr>
            <w:tcW w:w="750" w:type="pct"/>
            <w:tcBorders>
              <w:top w:val="single" w:sz="4" w:space="0" w:color="auto"/>
              <w:left w:val="single" w:sz="4" w:space="0" w:color="auto"/>
              <w:bottom w:val="single" w:sz="4" w:space="0" w:color="auto"/>
              <w:right w:val="single" w:sz="4" w:space="0" w:color="auto"/>
            </w:tcBorders>
            <w:vAlign w:val="center"/>
          </w:tcPr>
          <w:p w14:paraId="30A2F1B4"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交银施罗德天利宝货币市场基金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761F51C4" w14:textId="77777777" w:rsidR="004C65FB" w:rsidRDefault="00795CC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A90C211" w14:textId="77777777" w:rsidR="004C65FB" w:rsidRDefault="00795CC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bl>
    <w:p w14:paraId="40139D7D"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B8DA78A" w14:textId="77777777" w:rsidR="004C65FB" w:rsidRDefault="00795CC3">
      <w:pPr>
        <w:pStyle w:val="1"/>
        <w:snapToGrid w:val="0"/>
        <w:spacing w:beforeLines="0" w:before="240" w:after="240"/>
        <w:rPr>
          <w:rFonts w:ascii="宋体" w:hAnsi="宋体"/>
          <w:szCs w:val="30"/>
        </w:rPr>
      </w:pPr>
      <w:bookmarkStart w:id="28" w:name="_Toc119586532"/>
      <w:r>
        <w:rPr>
          <w:rFonts w:ascii="Times New Roman" w:hAnsi="Times New Roman"/>
          <w:sz w:val="30"/>
        </w:rPr>
        <w:lastRenderedPageBreak/>
        <w:t>二十四、招募说明书的存放及查阅方式</w:t>
      </w:r>
      <w:bookmarkEnd w:id="28"/>
    </w:p>
    <w:p w14:paraId="14613EE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71B65790"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7B4A2BFD" w14:textId="77777777" w:rsidR="002102BF" w:rsidRDefault="00795CC3" w:rsidP="002102B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78692B4" w14:textId="77777777" w:rsidR="004C65FB" w:rsidRDefault="00795CC3">
      <w:pPr>
        <w:pStyle w:val="1"/>
        <w:snapToGrid w:val="0"/>
        <w:spacing w:beforeLines="0" w:before="240" w:after="240"/>
        <w:rPr>
          <w:rFonts w:ascii="宋体" w:hAnsi="宋体"/>
          <w:szCs w:val="30"/>
        </w:rPr>
      </w:pPr>
      <w:bookmarkStart w:id="29" w:name="_Toc119586533"/>
      <w:r>
        <w:rPr>
          <w:rFonts w:ascii="Times New Roman" w:hAnsi="Times New Roman"/>
          <w:sz w:val="30"/>
        </w:rPr>
        <w:lastRenderedPageBreak/>
        <w:t>二十五、备查文件</w:t>
      </w:r>
      <w:bookmarkEnd w:id="29"/>
    </w:p>
    <w:p w14:paraId="30B6DEBB"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728B6F84"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（一）中国证监会准予交银施罗德天利宝货币市场基金募集注册的文件</w:t>
      </w:r>
    </w:p>
    <w:p w14:paraId="6A421502"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（二）《交银施罗德天利宝货币市场基金基金合同》</w:t>
      </w:r>
    </w:p>
    <w:p w14:paraId="042CE9E3"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（三）《交银施罗德天利宝货币市场基金托管协议》</w:t>
      </w:r>
    </w:p>
    <w:p w14:paraId="4A155C1E"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307BBCA5"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1600E64D" w14:textId="77777777" w:rsidR="004C65FB" w:rsidRDefault="00795C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（六）关于申请募集注册交银施罗德天利宝货币市场基金的法律意见书</w:t>
      </w:r>
    </w:p>
    <w:sectPr w:rsidR="004C65FB">
      <w:footerReference w:type="default" r:id="rId18"/>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F54888" w16cid:durableId="27E04677"/>
  <w16cid:commentId w16cid:paraId="7063F1CB" w16cid:durableId="27E14886"/>
  <w16cid:commentId w16cid:paraId="4C1890E2" w16cid:durableId="27E14947"/>
  <w16cid:commentId w16cid:paraId="043FDB1B" w16cid:durableId="27E14967"/>
  <w16cid:commentId w16cid:paraId="5754D93C" w16cid:durableId="27E149DD"/>
  <w16cid:commentId w16cid:paraId="37D89D54" w16cid:durableId="27E048D5"/>
  <w16cid:commentId w16cid:paraId="65310C24" w16cid:durableId="27E04678"/>
  <w16cid:commentId w16cid:paraId="04F22431" w16cid:durableId="27E14B1B"/>
  <w16cid:commentId w16cid:paraId="54CEEE27" w16cid:durableId="27E154E7"/>
  <w16cid:commentId w16cid:paraId="65AABD18" w16cid:durableId="27E15DF5"/>
  <w16cid:commentId w16cid:paraId="3C9DD561" w16cid:durableId="27E164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0B799" w14:textId="77777777" w:rsidR="004A0172" w:rsidRDefault="004A0172">
      <w:r>
        <w:separator/>
      </w:r>
    </w:p>
  </w:endnote>
  <w:endnote w:type="continuationSeparator" w:id="0">
    <w:p w14:paraId="6B91D8B5" w14:textId="77777777" w:rsidR="004A0172" w:rsidRDefault="004A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51DF1" w14:textId="0582DE1B" w:rsidR="00A904DA" w:rsidRDefault="00A904D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47A5B686" wp14:editId="4A56F85D">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B8EE0" w14:textId="7E98414B" w:rsidR="00A904DA" w:rsidRDefault="00A904D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E5B06">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5B686"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72CB8EE0" w14:textId="7E98414B" w:rsidR="00A904DA" w:rsidRDefault="00A904D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E5B06">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9293" w14:textId="5D016C24" w:rsidR="00A904DA" w:rsidRDefault="00A904D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343F1313" wp14:editId="65E6A97F">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18EFC" w14:textId="35D3104D" w:rsidR="00A904DA" w:rsidRDefault="00A904D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E5B06">
                            <w:rPr>
                              <w:rFonts w:ascii="Times New Roman" w:hAnsi="Times New Roman"/>
                              <w:noProof/>
                              <w:kern w:val="0"/>
                              <w:sz w:val="18"/>
                              <w:szCs w:val="18"/>
                            </w:rPr>
                            <w:t>79</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F1313"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3D118EFC" w14:textId="35D3104D" w:rsidR="00A904DA" w:rsidRDefault="00A904D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E5B06">
                      <w:rPr>
                        <w:rFonts w:ascii="Times New Roman" w:hAnsi="Times New Roman"/>
                        <w:noProof/>
                        <w:kern w:val="0"/>
                        <w:sz w:val="18"/>
                        <w:szCs w:val="18"/>
                      </w:rPr>
                      <w:t>79</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16B08" w14:textId="77777777" w:rsidR="004A0172" w:rsidRDefault="004A0172">
      <w:r>
        <w:separator/>
      </w:r>
    </w:p>
  </w:footnote>
  <w:footnote w:type="continuationSeparator" w:id="0">
    <w:p w14:paraId="15FFC8E2" w14:textId="77777777" w:rsidR="004A0172" w:rsidRDefault="004A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7B24" w14:textId="45321907" w:rsidR="00A904DA" w:rsidRDefault="00A904DA">
    <w:pPr>
      <w:pStyle w:val="a3"/>
      <w:jc w:val="right"/>
    </w:pPr>
    <w:r>
      <w:rPr>
        <w:noProof/>
      </w:rPr>
      <w:drawing>
        <wp:anchor distT="0" distB="0" distL="114300" distR="114300" simplePos="0" relativeHeight="251655680" behindDoc="0" locked="0" layoutInCell="1" allowOverlap="1" wp14:anchorId="69308662" wp14:editId="156E57FC">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9FABA23" w14:textId="77777777" w:rsidR="00A904DA" w:rsidRDefault="00A904DA">
    <w:pPr>
      <w:pStyle w:val="a3"/>
      <w:jc w:val="right"/>
      <w:rPr>
        <w:rFonts w:ascii="宋体" w:hAnsi="宋体"/>
      </w:rPr>
    </w:pPr>
    <w:r>
      <w:rPr>
        <w:rFonts w:ascii="宋体" w:hAnsi="宋体" w:hint="eastAsia"/>
      </w:rPr>
      <w:t>交银施罗德天利宝货币市场基金(更新)招募说明书(2022年第1号)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C103" w14:textId="77777777" w:rsidR="00A904DA" w:rsidRDefault="00A904DA">
    <w:pPr>
      <w:pStyle w:val="11"/>
      <w:jc w:val="right"/>
    </w:pPr>
  </w:p>
  <w:p w14:paraId="7A9A6189" w14:textId="77777777" w:rsidR="00A904DA" w:rsidRDefault="00A904DA">
    <w:pPr>
      <w:pStyle w:val="11"/>
      <w:jc w:val="right"/>
    </w:pPr>
  </w:p>
  <w:p w14:paraId="0F9CAF9F" w14:textId="77777777" w:rsidR="00A904DA" w:rsidRDefault="00A904DA">
    <w:pPr>
      <w:pStyle w:val="a3"/>
      <w:jc w:val="right"/>
    </w:pPr>
  </w:p>
  <w:p w14:paraId="090A1B24" w14:textId="0675286D" w:rsidR="00A904DA" w:rsidRDefault="00A904DA">
    <w:pPr>
      <w:pStyle w:val="a3"/>
      <w:jc w:val="right"/>
    </w:pPr>
    <w:r>
      <w:rPr>
        <w:noProof/>
      </w:rPr>
      <w:drawing>
        <wp:anchor distT="0" distB="0" distL="114300" distR="114300" simplePos="0" relativeHeight="251656704" behindDoc="0" locked="0" layoutInCell="1" allowOverlap="1" wp14:anchorId="5370778F" wp14:editId="45FC988D">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3BFE647" w14:textId="7E72DE08" w:rsidR="00A904DA" w:rsidRDefault="00A904DA">
    <w:pPr>
      <w:pStyle w:val="a3"/>
      <w:jc w:val="right"/>
      <w:rPr>
        <w:rFonts w:ascii="宋体" w:hAnsi="宋体"/>
      </w:rPr>
    </w:pPr>
    <w:r>
      <w:rPr>
        <w:rFonts w:ascii="宋体" w:hAnsi="宋体" w:hint="eastAsia"/>
      </w:rPr>
      <w:t>交银施罗德天利宝货币市场基金(更新)招募说明书(202</w:t>
    </w:r>
    <w:r>
      <w:rPr>
        <w:rFonts w:ascii="宋体" w:hAnsi="宋体"/>
      </w:rPr>
      <w:t>3</w:t>
    </w:r>
    <w:r>
      <w:rPr>
        <w:rFonts w:ascii="宋体" w:hAnsi="宋体" w:hint="eastAsia"/>
      </w:rPr>
      <w:t>年第</w:t>
    </w:r>
    <w:r>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293A" w14:textId="77777777" w:rsidR="00A904DA" w:rsidRDefault="00A904DA">
    <w:pPr>
      <w:pStyle w:val="a3"/>
      <w:jc w:val="right"/>
    </w:pPr>
  </w:p>
  <w:p w14:paraId="7FCC5DEC" w14:textId="77777777" w:rsidR="00A904DA" w:rsidRDefault="00A904DA">
    <w:pPr>
      <w:pStyle w:val="a3"/>
      <w:jc w:val="right"/>
    </w:pPr>
  </w:p>
  <w:p w14:paraId="5E3C2E5A" w14:textId="77777777" w:rsidR="00A904DA" w:rsidRDefault="00A904DA">
    <w:pPr>
      <w:pStyle w:val="a3"/>
      <w:jc w:val="right"/>
    </w:pPr>
  </w:p>
  <w:p w14:paraId="45CB2A35" w14:textId="65B7E40B" w:rsidR="00A904DA" w:rsidRDefault="00A904DA">
    <w:pPr>
      <w:pStyle w:val="a3"/>
      <w:jc w:val="right"/>
    </w:pPr>
    <w:r>
      <w:rPr>
        <w:noProof/>
      </w:rPr>
      <w:drawing>
        <wp:anchor distT="0" distB="0" distL="114300" distR="114300" simplePos="0" relativeHeight="251657728" behindDoc="0" locked="0" layoutInCell="1" allowOverlap="1" wp14:anchorId="15135D1B" wp14:editId="35CF1DD2">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E1F023B" w14:textId="36990705" w:rsidR="00A904DA" w:rsidRDefault="00A904DA">
    <w:pPr>
      <w:pStyle w:val="a3"/>
      <w:jc w:val="right"/>
      <w:rPr>
        <w:rFonts w:ascii="宋体" w:hAnsi="宋体"/>
      </w:rPr>
    </w:pPr>
    <w:r>
      <w:rPr>
        <w:rFonts w:ascii="宋体" w:hAnsi="宋体" w:hint="eastAsia"/>
      </w:rPr>
      <w:t>交银施罗德天利宝货币市场基金(更新)招募说明书(202</w:t>
    </w:r>
    <w:r>
      <w:rPr>
        <w:rFonts w:ascii="宋体" w:hAnsi="宋体"/>
      </w:rPr>
      <w:t>3</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394"/>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3D7"/>
    <w:rsid w:val="000B0F8B"/>
    <w:rsid w:val="000B359E"/>
    <w:rsid w:val="000B3894"/>
    <w:rsid w:val="000B4E04"/>
    <w:rsid w:val="000C1E1E"/>
    <w:rsid w:val="000C2D69"/>
    <w:rsid w:val="000C38F1"/>
    <w:rsid w:val="000C5E77"/>
    <w:rsid w:val="000C68E9"/>
    <w:rsid w:val="000D01D1"/>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600"/>
    <w:rsid w:val="001367F2"/>
    <w:rsid w:val="001412E8"/>
    <w:rsid w:val="0014250F"/>
    <w:rsid w:val="00144B52"/>
    <w:rsid w:val="00153D66"/>
    <w:rsid w:val="0015668C"/>
    <w:rsid w:val="0015725E"/>
    <w:rsid w:val="00162F69"/>
    <w:rsid w:val="00164946"/>
    <w:rsid w:val="00165756"/>
    <w:rsid w:val="0017362C"/>
    <w:rsid w:val="0017392F"/>
    <w:rsid w:val="00176162"/>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DAA"/>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02BF"/>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63A8"/>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67ACF"/>
    <w:rsid w:val="0027052E"/>
    <w:rsid w:val="002717C5"/>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0FC"/>
    <w:rsid w:val="002F2627"/>
    <w:rsid w:val="002F2748"/>
    <w:rsid w:val="002F536D"/>
    <w:rsid w:val="002F6445"/>
    <w:rsid w:val="002F6580"/>
    <w:rsid w:val="002F6DE8"/>
    <w:rsid w:val="002F74D8"/>
    <w:rsid w:val="002F7C72"/>
    <w:rsid w:val="002F7EDC"/>
    <w:rsid w:val="003003A8"/>
    <w:rsid w:val="0030091B"/>
    <w:rsid w:val="00301E62"/>
    <w:rsid w:val="00303722"/>
    <w:rsid w:val="00304063"/>
    <w:rsid w:val="0030555F"/>
    <w:rsid w:val="00305A3B"/>
    <w:rsid w:val="00305BB4"/>
    <w:rsid w:val="0030645F"/>
    <w:rsid w:val="003117B9"/>
    <w:rsid w:val="00311C71"/>
    <w:rsid w:val="00313073"/>
    <w:rsid w:val="0031336C"/>
    <w:rsid w:val="0031339F"/>
    <w:rsid w:val="003136C6"/>
    <w:rsid w:val="00313F3E"/>
    <w:rsid w:val="00322F4A"/>
    <w:rsid w:val="00323F65"/>
    <w:rsid w:val="00326147"/>
    <w:rsid w:val="0033051E"/>
    <w:rsid w:val="0033401D"/>
    <w:rsid w:val="00334456"/>
    <w:rsid w:val="00336150"/>
    <w:rsid w:val="00336E99"/>
    <w:rsid w:val="00342417"/>
    <w:rsid w:val="003454EC"/>
    <w:rsid w:val="00346537"/>
    <w:rsid w:val="00347B94"/>
    <w:rsid w:val="003509A2"/>
    <w:rsid w:val="003527DD"/>
    <w:rsid w:val="003547A2"/>
    <w:rsid w:val="00355171"/>
    <w:rsid w:val="00362702"/>
    <w:rsid w:val="00362A37"/>
    <w:rsid w:val="00362CF0"/>
    <w:rsid w:val="00362D5D"/>
    <w:rsid w:val="00364586"/>
    <w:rsid w:val="00364AC5"/>
    <w:rsid w:val="00365D15"/>
    <w:rsid w:val="0036702F"/>
    <w:rsid w:val="00367F3A"/>
    <w:rsid w:val="00370BDF"/>
    <w:rsid w:val="00372FA2"/>
    <w:rsid w:val="003735E9"/>
    <w:rsid w:val="003739FE"/>
    <w:rsid w:val="003749D5"/>
    <w:rsid w:val="0038254F"/>
    <w:rsid w:val="003828CA"/>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4635"/>
    <w:rsid w:val="003B62D2"/>
    <w:rsid w:val="003B66A3"/>
    <w:rsid w:val="003C27F7"/>
    <w:rsid w:val="003C62C1"/>
    <w:rsid w:val="003C6FA4"/>
    <w:rsid w:val="003D0B3E"/>
    <w:rsid w:val="003D2352"/>
    <w:rsid w:val="003D293E"/>
    <w:rsid w:val="003D3863"/>
    <w:rsid w:val="003D3D0A"/>
    <w:rsid w:val="003E0800"/>
    <w:rsid w:val="003E1584"/>
    <w:rsid w:val="003E15DE"/>
    <w:rsid w:val="003E33DE"/>
    <w:rsid w:val="003E3593"/>
    <w:rsid w:val="003E585F"/>
    <w:rsid w:val="003E6049"/>
    <w:rsid w:val="003E67F9"/>
    <w:rsid w:val="003F0D27"/>
    <w:rsid w:val="003F1C98"/>
    <w:rsid w:val="003F317C"/>
    <w:rsid w:val="003F4813"/>
    <w:rsid w:val="00406654"/>
    <w:rsid w:val="00406A8B"/>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1F0"/>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40F7"/>
    <w:rsid w:val="0048579F"/>
    <w:rsid w:val="00487005"/>
    <w:rsid w:val="004901A7"/>
    <w:rsid w:val="00491691"/>
    <w:rsid w:val="004A0172"/>
    <w:rsid w:val="004A084F"/>
    <w:rsid w:val="004A1FA1"/>
    <w:rsid w:val="004A3225"/>
    <w:rsid w:val="004A3F90"/>
    <w:rsid w:val="004A5F59"/>
    <w:rsid w:val="004A6F1F"/>
    <w:rsid w:val="004B17D8"/>
    <w:rsid w:val="004B2323"/>
    <w:rsid w:val="004B62C3"/>
    <w:rsid w:val="004C0BC8"/>
    <w:rsid w:val="004C461A"/>
    <w:rsid w:val="004C65FB"/>
    <w:rsid w:val="004C7D23"/>
    <w:rsid w:val="004D0352"/>
    <w:rsid w:val="004D0783"/>
    <w:rsid w:val="004D11CB"/>
    <w:rsid w:val="004D49E3"/>
    <w:rsid w:val="004D641F"/>
    <w:rsid w:val="004D7163"/>
    <w:rsid w:val="004E0366"/>
    <w:rsid w:val="004E1C30"/>
    <w:rsid w:val="004E1EE8"/>
    <w:rsid w:val="004E3342"/>
    <w:rsid w:val="004E45AC"/>
    <w:rsid w:val="004E4672"/>
    <w:rsid w:val="004E5593"/>
    <w:rsid w:val="004E7A1E"/>
    <w:rsid w:val="004E7F1A"/>
    <w:rsid w:val="004F0352"/>
    <w:rsid w:val="004F0740"/>
    <w:rsid w:val="004F415D"/>
    <w:rsid w:val="004F4980"/>
    <w:rsid w:val="004F5226"/>
    <w:rsid w:val="004F66F4"/>
    <w:rsid w:val="004F7710"/>
    <w:rsid w:val="00502A45"/>
    <w:rsid w:val="0050542C"/>
    <w:rsid w:val="00512DC1"/>
    <w:rsid w:val="00514C6B"/>
    <w:rsid w:val="005161EC"/>
    <w:rsid w:val="0051709F"/>
    <w:rsid w:val="005175EB"/>
    <w:rsid w:val="00521A18"/>
    <w:rsid w:val="00522079"/>
    <w:rsid w:val="00522622"/>
    <w:rsid w:val="005233AB"/>
    <w:rsid w:val="0052450E"/>
    <w:rsid w:val="00525410"/>
    <w:rsid w:val="00530703"/>
    <w:rsid w:val="00530763"/>
    <w:rsid w:val="00534EFD"/>
    <w:rsid w:val="005362F2"/>
    <w:rsid w:val="00543B42"/>
    <w:rsid w:val="005459CF"/>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541B"/>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C53"/>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0495"/>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37834"/>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57E72"/>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8763A"/>
    <w:rsid w:val="00691963"/>
    <w:rsid w:val="00692124"/>
    <w:rsid w:val="00692D96"/>
    <w:rsid w:val="00693C96"/>
    <w:rsid w:val="00696339"/>
    <w:rsid w:val="00696982"/>
    <w:rsid w:val="006A3F85"/>
    <w:rsid w:val="006A48FA"/>
    <w:rsid w:val="006A56F1"/>
    <w:rsid w:val="006A6E5C"/>
    <w:rsid w:val="006B0972"/>
    <w:rsid w:val="006B3153"/>
    <w:rsid w:val="006B33AF"/>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43290"/>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33AA"/>
    <w:rsid w:val="00795CC3"/>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68F"/>
    <w:rsid w:val="007E0874"/>
    <w:rsid w:val="007E0FAD"/>
    <w:rsid w:val="007E60E9"/>
    <w:rsid w:val="007E63F3"/>
    <w:rsid w:val="007E6F5A"/>
    <w:rsid w:val="007F0916"/>
    <w:rsid w:val="007F1E7D"/>
    <w:rsid w:val="007F2A79"/>
    <w:rsid w:val="007F3026"/>
    <w:rsid w:val="007F42DD"/>
    <w:rsid w:val="007F4E0F"/>
    <w:rsid w:val="007F77CA"/>
    <w:rsid w:val="00800D2B"/>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02CA"/>
    <w:rsid w:val="00832164"/>
    <w:rsid w:val="00832F53"/>
    <w:rsid w:val="00834003"/>
    <w:rsid w:val="0083455F"/>
    <w:rsid w:val="00834EA0"/>
    <w:rsid w:val="00843042"/>
    <w:rsid w:val="00843C37"/>
    <w:rsid w:val="00844886"/>
    <w:rsid w:val="00844C2D"/>
    <w:rsid w:val="00846D68"/>
    <w:rsid w:val="008518E5"/>
    <w:rsid w:val="00852B15"/>
    <w:rsid w:val="00855EA9"/>
    <w:rsid w:val="00856135"/>
    <w:rsid w:val="00857A96"/>
    <w:rsid w:val="00861515"/>
    <w:rsid w:val="00861FE5"/>
    <w:rsid w:val="0086376D"/>
    <w:rsid w:val="008703C2"/>
    <w:rsid w:val="0087209F"/>
    <w:rsid w:val="008806CC"/>
    <w:rsid w:val="008849E6"/>
    <w:rsid w:val="0088513E"/>
    <w:rsid w:val="008860E8"/>
    <w:rsid w:val="00886300"/>
    <w:rsid w:val="0089099F"/>
    <w:rsid w:val="00890AAF"/>
    <w:rsid w:val="00892F7A"/>
    <w:rsid w:val="00894CEB"/>
    <w:rsid w:val="00896A62"/>
    <w:rsid w:val="00897B88"/>
    <w:rsid w:val="008A113D"/>
    <w:rsid w:val="008A409B"/>
    <w:rsid w:val="008A678B"/>
    <w:rsid w:val="008B0034"/>
    <w:rsid w:val="008B0702"/>
    <w:rsid w:val="008B2397"/>
    <w:rsid w:val="008B33B5"/>
    <w:rsid w:val="008B3CD6"/>
    <w:rsid w:val="008B6003"/>
    <w:rsid w:val="008B691D"/>
    <w:rsid w:val="008C2C7C"/>
    <w:rsid w:val="008C4D11"/>
    <w:rsid w:val="008D54FA"/>
    <w:rsid w:val="008D5C05"/>
    <w:rsid w:val="008D6490"/>
    <w:rsid w:val="008D6FFD"/>
    <w:rsid w:val="008E0FC7"/>
    <w:rsid w:val="008E1191"/>
    <w:rsid w:val="008E15D5"/>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1698"/>
    <w:rsid w:val="0093228E"/>
    <w:rsid w:val="009325E1"/>
    <w:rsid w:val="00933602"/>
    <w:rsid w:val="009338B2"/>
    <w:rsid w:val="009351EF"/>
    <w:rsid w:val="0093698F"/>
    <w:rsid w:val="00940914"/>
    <w:rsid w:val="009409E8"/>
    <w:rsid w:val="00942250"/>
    <w:rsid w:val="00942706"/>
    <w:rsid w:val="00942E51"/>
    <w:rsid w:val="00946199"/>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67C64"/>
    <w:rsid w:val="00970C67"/>
    <w:rsid w:val="00974456"/>
    <w:rsid w:val="00982E83"/>
    <w:rsid w:val="00991483"/>
    <w:rsid w:val="0099296D"/>
    <w:rsid w:val="009935AA"/>
    <w:rsid w:val="00993F94"/>
    <w:rsid w:val="009951B2"/>
    <w:rsid w:val="009A039C"/>
    <w:rsid w:val="009A2859"/>
    <w:rsid w:val="009A4E90"/>
    <w:rsid w:val="009A50B8"/>
    <w:rsid w:val="009A737B"/>
    <w:rsid w:val="009B060A"/>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5754"/>
    <w:rsid w:val="009D72EB"/>
    <w:rsid w:val="009D7AD4"/>
    <w:rsid w:val="009E1231"/>
    <w:rsid w:val="009E1A57"/>
    <w:rsid w:val="009E36CA"/>
    <w:rsid w:val="009E4B6B"/>
    <w:rsid w:val="009E6470"/>
    <w:rsid w:val="009E7175"/>
    <w:rsid w:val="009F08CB"/>
    <w:rsid w:val="009F1E5E"/>
    <w:rsid w:val="009F497B"/>
    <w:rsid w:val="009F4D64"/>
    <w:rsid w:val="009F5331"/>
    <w:rsid w:val="009F6453"/>
    <w:rsid w:val="009F6AD6"/>
    <w:rsid w:val="009F6F30"/>
    <w:rsid w:val="009F7BFB"/>
    <w:rsid w:val="00A0081F"/>
    <w:rsid w:val="00A01B61"/>
    <w:rsid w:val="00A030E1"/>
    <w:rsid w:val="00A03BCB"/>
    <w:rsid w:val="00A048F3"/>
    <w:rsid w:val="00A04CA6"/>
    <w:rsid w:val="00A052DD"/>
    <w:rsid w:val="00A0576E"/>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4E15"/>
    <w:rsid w:val="00A860C9"/>
    <w:rsid w:val="00A904DA"/>
    <w:rsid w:val="00A9137F"/>
    <w:rsid w:val="00A9483B"/>
    <w:rsid w:val="00A94F2C"/>
    <w:rsid w:val="00A972BB"/>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C7E5D"/>
    <w:rsid w:val="00AD0F08"/>
    <w:rsid w:val="00AD1585"/>
    <w:rsid w:val="00AD1747"/>
    <w:rsid w:val="00AD235B"/>
    <w:rsid w:val="00AD48A4"/>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108"/>
    <w:rsid w:val="00B8589C"/>
    <w:rsid w:val="00B86BAC"/>
    <w:rsid w:val="00B97B35"/>
    <w:rsid w:val="00BA3196"/>
    <w:rsid w:val="00BA3509"/>
    <w:rsid w:val="00BA5877"/>
    <w:rsid w:val="00BB0655"/>
    <w:rsid w:val="00BB124C"/>
    <w:rsid w:val="00BB17E3"/>
    <w:rsid w:val="00BB1CDB"/>
    <w:rsid w:val="00BB2110"/>
    <w:rsid w:val="00BB3645"/>
    <w:rsid w:val="00BB4FBF"/>
    <w:rsid w:val="00BB547E"/>
    <w:rsid w:val="00BB69B7"/>
    <w:rsid w:val="00BC2581"/>
    <w:rsid w:val="00BC3F55"/>
    <w:rsid w:val="00BC481A"/>
    <w:rsid w:val="00BC4D26"/>
    <w:rsid w:val="00BC555D"/>
    <w:rsid w:val="00BC658E"/>
    <w:rsid w:val="00BD0218"/>
    <w:rsid w:val="00BD1869"/>
    <w:rsid w:val="00BD200B"/>
    <w:rsid w:val="00BD385A"/>
    <w:rsid w:val="00BD49B7"/>
    <w:rsid w:val="00BD63DF"/>
    <w:rsid w:val="00BD64D4"/>
    <w:rsid w:val="00BD7C4B"/>
    <w:rsid w:val="00BE33E8"/>
    <w:rsid w:val="00BF2BEB"/>
    <w:rsid w:val="00BF3197"/>
    <w:rsid w:val="00BF4567"/>
    <w:rsid w:val="00BF5E23"/>
    <w:rsid w:val="00BF6AD1"/>
    <w:rsid w:val="00C0185C"/>
    <w:rsid w:val="00C01DB8"/>
    <w:rsid w:val="00C0208D"/>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171D4"/>
    <w:rsid w:val="00C20F26"/>
    <w:rsid w:val="00C228BE"/>
    <w:rsid w:val="00C22B21"/>
    <w:rsid w:val="00C23593"/>
    <w:rsid w:val="00C23845"/>
    <w:rsid w:val="00C31846"/>
    <w:rsid w:val="00C32A33"/>
    <w:rsid w:val="00C367FB"/>
    <w:rsid w:val="00C379AC"/>
    <w:rsid w:val="00C40862"/>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74F56"/>
    <w:rsid w:val="00C8155C"/>
    <w:rsid w:val="00C81CED"/>
    <w:rsid w:val="00C907F0"/>
    <w:rsid w:val="00C93A91"/>
    <w:rsid w:val="00C95601"/>
    <w:rsid w:val="00C95F2C"/>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2AD3"/>
    <w:rsid w:val="00CD3AEA"/>
    <w:rsid w:val="00CD3C32"/>
    <w:rsid w:val="00CD4235"/>
    <w:rsid w:val="00CD56D7"/>
    <w:rsid w:val="00CD57FC"/>
    <w:rsid w:val="00CD632A"/>
    <w:rsid w:val="00CD79D8"/>
    <w:rsid w:val="00CE0B6D"/>
    <w:rsid w:val="00CE127E"/>
    <w:rsid w:val="00CE1C10"/>
    <w:rsid w:val="00CE217C"/>
    <w:rsid w:val="00CE4AE9"/>
    <w:rsid w:val="00CE5B06"/>
    <w:rsid w:val="00CE775B"/>
    <w:rsid w:val="00CF41D0"/>
    <w:rsid w:val="00CF70C9"/>
    <w:rsid w:val="00D00CF9"/>
    <w:rsid w:val="00D012FF"/>
    <w:rsid w:val="00D02E78"/>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2C28"/>
    <w:rsid w:val="00D5481D"/>
    <w:rsid w:val="00D55B2D"/>
    <w:rsid w:val="00D60045"/>
    <w:rsid w:val="00D628AE"/>
    <w:rsid w:val="00D647C9"/>
    <w:rsid w:val="00D6632B"/>
    <w:rsid w:val="00D67995"/>
    <w:rsid w:val="00D7163F"/>
    <w:rsid w:val="00D7298C"/>
    <w:rsid w:val="00D73998"/>
    <w:rsid w:val="00D76FD9"/>
    <w:rsid w:val="00D800BD"/>
    <w:rsid w:val="00D81028"/>
    <w:rsid w:val="00D816C8"/>
    <w:rsid w:val="00D81BC5"/>
    <w:rsid w:val="00D827CE"/>
    <w:rsid w:val="00D84DEB"/>
    <w:rsid w:val="00D877A6"/>
    <w:rsid w:val="00D904D9"/>
    <w:rsid w:val="00D93EF5"/>
    <w:rsid w:val="00D946F0"/>
    <w:rsid w:val="00D949D5"/>
    <w:rsid w:val="00D95156"/>
    <w:rsid w:val="00D95BD9"/>
    <w:rsid w:val="00D95DC3"/>
    <w:rsid w:val="00D96A46"/>
    <w:rsid w:val="00D96A67"/>
    <w:rsid w:val="00D97062"/>
    <w:rsid w:val="00D97228"/>
    <w:rsid w:val="00DA12D5"/>
    <w:rsid w:val="00DA3326"/>
    <w:rsid w:val="00DA3644"/>
    <w:rsid w:val="00DA3FCB"/>
    <w:rsid w:val="00DA630F"/>
    <w:rsid w:val="00DA6A38"/>
    <w:rsid w:val="00DA6B30"/>
    <w:rsid w:val="00DA7040"/>
    <w:rsid w:val="00DB07B5"/>
    <w:rsid w:val="00DB07F9"/>
    <w:rsid w:val="00DB3CAF"/>
    <w:rsid w:val="00DB4966"/>
    <w:rsid w:val="00DC1386"/>
    <w:rsid w:val="00DC5080"/>
    <w:rsid w:val="00DC7A46"/>
    <w:rsid w:val="00DD0F54"/>
    <w:rsid w:val="00DD4F7A"/>
    <w:rsid w:val="00DD5050"/>
    <w:rsid w:val="00DD5306"/>
    <w:rsid w:val="00DD5903"/>
    <w:rsid w:val="00DD5E1E"/>
    <w:rsid w:val="00DE229B"/>
    <w:rsid w:val="00DE3A2B"/>
    <w:rsid w:val="00DE4A81"/>
    <w:rsid w:val="00DE7AB8"/>
    <w:rsid w:val="00DF3188"/>
    <w:rsid w:val="00DF5529"/>
    <w:rsid w:val="00DF6357"/>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2CEF"/>
    <w:rsid w:val="00E75FA1"/>
    <w:rsid w:val="00E76419"/>
    <w:rsid w:val="00E77787"/>
    <w:rsid w:val="00E77CD7"/>
    <w:rsid w:val="00E82017"/>
    <w:rsid w:val="00E82792"/>
    <w:rsid w:val="00E844D7"/>
    <w:rsid w:val="00E92E9D"/>
    <w:rsid w:val="00E93B3C"/>
    <w:rsid w:val="00E95A9A"/>
    <w:rsid w:val="00E96A7F"/>
    <w:rsid w:val="00EA031A"/>
    <w:rsid w:val="00EA0CE9"/>
    <w:rsid w:val="00EA1A40"/>
    <w:rsid w:val="00EA330D"/>
    <w:rsid w:val="00EA5190"/>
    <w:rsid w:val="00EA5F4C"/>
    <w:rsid w:val="00EA6109"/>
    <w:rsid w:val="00EB2688"/>
    <w:rsid w:val="00EB3A4D"/>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5AB8"/>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253"/>
    <w:rsid w:val="00F84C5D"/>
    <w:rsid w:val="00F85783"/>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5D2"/>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ABD0D"/>
  <w15:docId w15:val="{501DAE37-E55E-4470-8734-36868830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855E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128</Pages>
  <Words>13511</Words>
  <Characters>77013</Characters>
  <Application>Microsoft Office Word</Application>
  <DocSecurity>0</DocSecurity>
  <Lines>641</Lines>
  <Paragraphs>180</Paragraphs>
  <ScaleCrop>false</ScaleCrop>
  <Company>Microsoft</Company>
  <LinksUpToDate>false</LinksUpToDate>
  <CharactersWithSpaces>90344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张婕茹</cp:lastModifiedBy>
  <cp:revision>64</cp:revision>
  <cp:lastPrinted>2013-02-18T03:10:00Z</cp:lastPrinted>
  <dcterms:created xsi:type="dcterms:W3CDTF">2023-04-14T07:47:00Z</dcterms:created>
  <dcterms:modified xsi:type="dcterms:W3CDTF">2023-05-23T05:18:00Z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