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eastAsiaTheme="minorEastAsia"/>
          <w:b/>
          <w:kern w:val="0"/>
          <w:sz w:val="30"/>
          <w:szCs w:val="30"/>
        </w:rPr>
      </w:pPr>
      <w:r>
        <w:rPr>
          <w:rFonts w:hint="eastAsia" w:cs="宋体" w:eastAsiaTheme="minorEastAsia"/>
          <w:b/>
          <w:kern w:val="0"/>
          <w:sz w:val="30"/>
          <w:szCs w:val="30"/>
        </w:rPr>
        <w:t>交银施罗德基金管理有限公司关于交银施罗德启盛混合型证券投资基金基金合同生效公告</w:t>
      </w:r>
    </w:p>
    <w:p>
      <w:pPr>
        <w:jc w:val="center"/>
        <w:rPr>
          <w:rFonts w:cs="宋体" w:eastAsiaTheme="minorEastAsia"/>
          <w:kern w:val="0"/>
          <w:sz w:val="24"/>
          <w:szCs w:val="24"/>
        </w:rPr>
      </w:pPr>
      <w:r>
        <w:rPr>
          <w:rFonts w:hint="eastAsia" w:eastAsiaTheme="minorEastAsia"/>
          <w:color w:val="000000"/>
          <w:sz w:val="24"/>
          <w:szCs w:val="24"/>
        </w:rPr>
        <w:t>公告送出日期：</w:t>
      </w:r>
      <w:r>
        <w:rPr>
          <w:rFonts w:eastAsiaTheme="minorEastAsia"/>
          <w:bCs/>
          <w:sz w:val="24"/>
          <w:szCs w:val="24"/>
        </w:rPr>
        <w:t>202</w:t>
      </w:r>
      <w:r>
        <w:rPr>
          <w:rFonts w:hint="eastAsia" w:eastAsiaTheme="minorEastAsia"/>
          <w:bCs/>
          <w:sz w:val="24"/>
          <w:szCs w:val="24"/>
        </w:rPr>
        <w:t>3年3月3</w:t>
      </w:r>
      <w:r>
        <w:rPr>
          <w:rFonts w:hint="eastAsia" w:eastAsiaTheme="minorEastAsia"/>
          <w:bCs/>
          <w:sz w:val="24"/>
          <w:szCs w:val="24"/>
          <w:lang w:val="en-US" w:eastAsia="zh-CN"/>
        </w:rPr>
        <w:t>1</w:t>
      </w:r>
      <w:r>
        <w:rPr>
          <w:rFonts w:hint="eastAsia" w:eastAsiaTheme="minorEastAsia"/>
          <w:bCs/>
          <w:sz w:val="24"/>
          <w:szCs w:val="24"/>
        </w:rPr>
        <w:t>日</w:t>
      </w:r>
    </w:p>
    <w:p>
      <w:pPr>
        <w:spacing w:line="560" w:lineRule="exact"/>
        <w:rPr>
          <w:rFonts w:eastAsiaTheme="minorEastAsia"/>
          <w:color w:val="000000"/>
          <w:sz w:val="24"/>
          <w:szCs w:val="24"/>
        </w:rPr>
      </w:pPr>
    </w:p>
    <w:p>
      <w:pPr>
        <w:pStyle w:val="2"/>
        <w:spacing w:line="560" w:lineRule="exact"/>
        <w:rPr>
          <w:rFonts w:ascii="Times New Roman" w:hAnsi="Times New Roman" w:eastAsiaTheme="minorEastAsia"/>
          <w:bCs w:val="0"/>
          <w:color w:val="000000"/>
          <w:sz w:val="24"/>
          <w:szCs w:val="24"/>
        </w:rPr>
      </w:pPr>
      <w:bookmarkStart w:id="0" w:name="_Toc275961391"/>
      <w:r>
        <w:rPr>
          <w:rFonts w:ascii="Times New Roman" w:hAnsi="Times New Roman" w:eastAsiaTheme="minorEastAsia"/>
          <w:bCs w:val="0"/>
          <w:color w:val="000000"/>
          <w:sz w:val="24"/>
          <w:szCs w:val="24"/>
        </w:rPr>
        <w:t>1 公告基本信息</w:t>
      </w:r>
      <w:bookmarkEnd w:id="0"/>
    </w:p>
    <w:tbl>
      <w:tblPr>
        <w:tblStyle w:val="10"/>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2"/>
        <w:gridCol w:w="3061"/>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64" w:type="pct"/>
            <w:vAlign w:val="center"/>
          </w:tcPr>
          <w:p>
            <w:pPr>
              <w:spacing w:line="560" w:lineRule="exact"/>
              <w:rPr>
                <w:rFonts w:eastAsiaTheme="minorEastAsia"/>
                <w:color w:val="000000"/>
                <w:sz w:val="24"/>
                <w:szCs w:val="24"/>
              </w:rPr>
            </w:pPr>
            <w:r>
              <w:rPr>
                <w:rFonts w:eastAsiaTheme="minorEastAsia"/>
                <w:color w:val="000000"/>
                <w:sz w:val="24"/>
                <w:szCs w:val="24"/>
              </w:rPr>
              <w:t>基金名称</w:t>
            </w:r>
          </w:p>
        </w:tc>
        <w:tc>
          <w:tcPr>
            <w:tcW w:w="3336" w:type="pct"/>
            <w:gridSpan w:val="2"/>
            <w:vAlign w:val="center"/>
          </w:tcPr>
          <w:p>
            <w:pPr>
              <w:rPr>
                <w:rFonts w:eastAsiaTheme="minorEastAsia"/>
                <w:sz w:val="24"/>
                <w:szCs w:val="24"/>
              </w:rPr>
            </w:pPr>
            <w:r>
              <w:rPr>
                <w:rFonts w:hint="eastAsia" w:eastAsiaTheme="minorEastAsia"/>
                <w:sz w:val="24"/>
                <w:szCs w:val="24"/>
              </w:rPr>
              <w:t>交银施罗德启盛混合型证券投资基金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64" w:type="pct"/>
            <w:vAlign w:val="center"/>
          </w:tcPr>
          <w:p>
            <w:pPr>
              <w:spacing w:line="560" w:lineRule="exact"/>
              <w:rPr>
                <w:rFonts w:eastAsiaTheme="minorEastAsia"/>
                <w:color w:val="000000"/>
                <w:sz w:val="24"/>
                <w:szCs w:val="24"/>
              </w:rPr>
            </w:pPr>
            <w:r>
              <w:rPr>
                <w:rFonts w:eastAsiaTheme="minorEastAsia"/>
                <w:color w:val="000000"/>
                <w:sz w:val="24"/>
                <w:szCs w:val="24"/>
              </w:rPr>
              <w:t>基金简称</w:t>
            </w:r>
          </w:p>
        </w:tc>
        <w:tc>
          <w:tcPr>
            <w:tcW w:w="3336" w:type="pct"/>
            <w:gridSpan w:val="2"/>
            <w:vAlign w:val="center"/>
          </w:tcPr>
          <w:p>
            <w:pPr>
              <w:rPr>
                <w:rFonts w:eastAsiaTheme="minorEastAsia"/>
                <w:sz w:val="24"/>
                <w:szCs w:val="24"/>
              </w:rPr>
            </w:pPr>
            <w:r>
              <w:rPr>
                <w:rFonts w:hint="eastAsia" w:eastAsiaTheme="minorEastAsia"/>
                <w:sz w:val="24"/>
                <w:szCs w:val="24"/>
              </w:rPr>
              <w:t>交银启盛混合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64" w:type="pct"/>
            <w:vAlign w:val="center"/>
          </w:tcPr>
          <w:p>
            <w:pPr>
              <w:spacing w:line="560" w:lineRule="exact"/>
              <w:rPr>
                <w:rFonts w:eastAsiaTheme="minorEastAsia"/>
                <w:color w:val="000000"/>
                <w:sz w:val="24"/>
                <w:szCs w:val="24"/>
              </w:rPr>
            </w:pPr>
            <w:r>
              <w:rPr>
                <w:rFonts w:eastAsiaTheme="minorEastAsia"/>
                <w:color w:val="000000"/>
                <w:sz w:val="24"/>
                <w:szCs w:val="24"/>
              </w:rPr>
              <w:t>基金主代码</w:t>
            </w:r>
          </w:p>
        </w:tc>
        <w:tc>
          <w:tcPr>
            <w:tcW w:w="3336" w:type="pct"/>
            <w:gridSpan w:val="2"/>
            <w:vAlign w:val="center"/>
          </w:tcPr>
          <w:p>
            <w:pPr>
              <w:rPr>
                <w:rFonts w:eastAsiaTheme="minorEastAsia"/>
                <w:sz w:val="24"/>
                <w:szCs w:val="24"/>
              </w:rPr>
            </w:pPr>
            <w:r>
              <w:rPr>
                <w:rFonts w:hint="eastAsia" w:eastAsiaTheme="minorEastAsia"/>
                <w:sz w:val="24"/>
                <w:szCs w:val="24"/>
              </w:rPr>
              <w:t>017794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64" w:type="pct"/>
            <w:vAlign w:val="center"/>
          </w:tcPr>
          <w:p>
            <w:pPr>
              <w:spacing w:line="560" w:lineRule="exact"/>
              <w:rPr>
                <w:rFonts w:eastAsiaTheme="minorEastAsia"/>
                <w:color w:val="000000"/>
                <w:sz w:val="24"/>
                <w:szCs w:val="24"/>
              </w:rPr>
            </w:pPr>
            <w:r>
              <w:rPr>
                <w:rFonts w:eastAsiaTheme="minorEastAsia"/>
                <w:color w:val="000000"/>
                <w:sz w:val="24"/>
                <w:szCs w:val="24"/>
              </w:rPr>
              <w:t>基金运作方式</w:t>
            </w:r>
          </w:p>
        </w:tc>
        <w:tc>
          <w:tcPr>
            <w:tcW w:w="3336" w:type="pct"/>
            <w:gridSpan w:val="2"/>
            <w:vAlign w:val="center"/>
          </w:tcPr>
          <w:p>
            <w:pPr>
              <w:rPr>
                <w:rFonts w:eastAsiaTheme="minorEastAsia"/>
                <w:sz w:val="24"/>
                <w:szCs w:val="24"/>
              </w:rPr>
            </w:pPr>
            <w:r>
              <w:rPr>
                <w:rFonts w:eastAsiaTheme="minorEastAsia"/>
                <w:sz w:val="24"/>
                <w:szCs w:val="24"/>
              </w:rPr>
              <w:t>契约型</w:t>
            </w:r>
            <w:r>
              <w:rPr>
                <w:rFonts w:hint="eastAsia" w:eastAsiaTheme="minorEastAsia"/>
                <w:sz w:val="24"/>
                <w:szCs w:val="24"/>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1664" w:type="pct"/>
            <w:vAlign w:val="center"/>
          </w:tcPr>
          <w:p>
            <w:pPr>
              <w:spacing w:line="560" w:lineRule="exact"/>
              <w:rPr>
                <w:rFonts w:eastAsiaTheme="minorEastAsia"/>
                <w:color w:val="000000"/>
                <w:sz w:val="24"/>
                <w:szCs w:val="24"/>
              </w:rPr>
            </w:pPr>
            <w:r>
              <w:rPr>
                <w:rFonts w:eastAsiaTheme="minorEastAsia"/>
                <w:color w:val="000000"/>
                <w:sz w:val="24"/>
                <w:szCs w:val="24"/>
              </w:rPr>
              <w:t>基金合同生效日</w:t>
            </w:r>
          </w:p>
        </w:tc>
        <w:tc>
          <w:tcPr>
            <w:tcW w:w="3336" w:type="pct"/>
            <w:gridSpan w:val="2"/>
            <w:vAlign w:val="center"/>
          </w:tcPr>
          <w:p>
            <w:pPr>
              <w:rPr>
                <w:rFonts w:eastAsiaTheme="minorEastAsia"/>
                <w:sz w:val="24"/>
                <w:szCs w:val="24"/>
              </w:rPr>
            </w:pPr>
            <w:r>
              <w:rPr>
                <w:rFonts w:hint="eastAsia" w:eastAsiaTheme="minorEastAsia"/>
                <w:sz w:val="24"/>
                <w:szCs w:val="24"/>
              </w:rPr>
              <w:t>2023年3月</w:t>
            </w:r>
            <w:r>
              <w:rPr>
                <w:rFonts w:hint="eastAsia" w:eastAsiaTheme="minorEastAsia"/>
                <w:sz w:val="24"/>
                <w:szCs w:val="24"/>
                <w:lang w:val="en-US" w:eastAsia="zh-CN"/>
              </w:rPr>
              <w:t>30</w:t>
            </w:r>
            <w:r>
              <w:rPr>
                <w:rFonts w:hint="eastAsia" w:eastAsia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64" w:type="pct"/>
            <w:vAlign w:val="center"/>
          </w:tcPr>
          <w:p>
            <w:pPr>
              <w:spacing w:line="560" w:lineRule="exact"/>
              <w:rPr>
                <w:rFonts w:eastAsiaTheme="minorEastAsia"/>
                <w:color w:val="000000"/>
                <w:sz w:val="24"/>
                <w:szCs w:val="24"/>
              </w:rPr>
            </w:pPr>
            <w:r>
              <w:rPr>
                <w:rFonts w:eastAsiaTheme="minorEastAsia"/>
                <w:color w:val="000000"/>
                <w:sz w:val="24"/>
                <w:szCs w:val="24"/>
              </w:rPr>
              <w:t>基金管理人名称</w:t>
            </w:r>
          </w:p>
        </w:tc>
        <w:tc>
          <w:tcPr>
            <w:tcW w:w="3336" w:type="pct"/>
            <w:gridSpan w:val="2"/>
            <w:vAlign w:val="center"/>
          </w:tcPr>
          <w:p>
            <w:pPr>
              <w:rPr>
                <w:rFonts w:eastAsiaTheme="minorEastAsia"/>
                <w:sz w:val="24"/>
                <w:szCs w:val="24"/>
              </w:rPr>
            </w:pPr>
            <w:r>
              <w:rPr>
                <w:rFonts w:eastAsiaTheme="minorEastAsia"/>
                <w:sz w:val="24"/>
                <w:szCs w:val="24"/>
              </w:rPr>
              <w:t>交银施罗德基金管理有限公司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64" w:type="pct"/>
            <w:vAlign w:val="center"/>
          </w:tcPr>
          <w:p>
            <w:pPr>
              <w:spacing w:line="560" w:lineRule="exact"/>
              <w:rPr>
                <w:rFonts w:eastAsiaTheme="minorEastAsia"/>
                <w:color w:val="000000"/>
                <w:sz w:val="24"/>
                <w:szCs w:val="24"/>
              </w:rPr>
            </w:pPr>
            <w:r>
              <w:rPr>
                <w:rFonts w:eastAsiaTheme="minorEastAsia"/>
                <w:color w:val="000000"/>
                <w:sz w:val="24"/>
                <w:szCs w:val="24"/>
              </w:rPr>
              <w:t>基金托管人名称</w:t>
            </w:r>
          </w:p>
        </w:tc>
        <w:tc>
          <w:tcPr>
            <w:tcW w:w="3336" w:type="pct"/>
            <w:gridSpan w:val="2"/>
            <w:vAlign w:val="center"/>
          </w:tcPr>
          <w:p>
            <w:pPr>
              <w:rPr>
                <w:rFonts w:eastAsiaTheme="minorEastAsia"/>
                <w:sz w:val="24"/>
                <w:szCs w:val="24"/>
              </w:rPr>
            </w:pPr>
            <w:r>
              <w:rPr>
                <w:rFonts w:hint="eastAsia" w:eastAsiaTheme="minorEastAsia"/>
                <w:sz w:val="24"/>
                <w:szCs w:val="24"/>
              </w:rPr>
              <w:t>上海浦东发展银行股份有限公司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64" w:type="pct"/>
            <w:vAlign w:val="center"/>
          </w:tcPr>
          <w:p>
            <w:pPr>
              <w:spacing w:line="560" w:lineRule="exact"/>
              <w:rPr>
                <w:rFonts w:eastAsiaTheme="minorEastAsia"/>
                <w:color w:val="000000"/>
                <w:sz w:val="24"/>
                <w:szCs w:val="24"/>
              </w:rPr>
            </w:pPr>
            <w:r>
              <w:rPr>
                <w:rFonts w:eastAsiaTheme="minorEastAsia"/>
                <w:color w:val="000000"/>
                <w:sz w:val="24"/>
                <w:szCs w:val="24"/>
              </w:rPr>
              <w:t>公告依据</w:t>
            </w:r>
          </w:p>
        </w:tc>
        <w:tc>
          <w:tcPr>
            <w:tcW w:w="3336" w:type="pct"/>
            <w:gridSpan w:val="2"/>
            <w:vAlign w:val="center"/>
          </w:tcPr>
          <w:p>
            <w:pPr>
              <w:rPr>
                <w:rFonts w:eastAsiaTheme="minorEastAsia"/>
                <w:sz w:val="24"/>
                <w:szCs w:val="24"/>
              </w:rPr>
            </w:pPr>
            <w:r>
              <w:rPr>
                <w:rFonts w:eastAsiaTheme="minorEastAsia"/>
                <w:sz w:val="24"/>
                <w:szCs w:val="24"/>
              </w:rPr>
              <w:t>《</w:t>
            </w:r>
            <w:r>
              <w:rPr>
                <w:rFonts w:hint="eastAsia" w:eastAsiaTheme="minorEastAsia"/>
                <w:sz w:val="24"/>
                <w:szCs w:val="24"/>
              </w:rPr>
              <w:t>交银施罗德启盛混合型证券投资基金</w:t>
            </w:r>
            <w:r>
              <w:rPr>
                <w:rFonts w:eastAsiaTheme="minorEastAsia"/>
                <w:sz w:val="24"/>
                <w:szCs w:val="24"/>
              </w:rPr>
              <w:t>基金合同》、《</w:t>
            </w:r>
            <w:r>
              <w:rPr>
                <w:rFonts w:hint="eastAsia" w:eastAsiaTheme="minorEastAsia"/>
                <w:sz w:val="24"/>
                <w:szCs w:val="24"/>
              </w:rPr>
              <w:t>交银施罗德启盛混合型证券投资基金</w:t>
            </w:r>
            <w:r>
              <w:rPr>
                <w:rFonts w:eastAsiaTheme="minorEastAsia"/>
                <w:sz w:val="24"/>
                <w:szCs w:val="24"/>
              </w:rPr>
              <w:t>招募说明书》等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64" w:type="pct"/>
          </w:tcPr>
          <w:p>
            <w:pPr>
              <w:spacing w:line="560" w:lineRule="exact"/>
              <w:rPr>
                <w:rFonts w:eastAsiaTheme="minorEastAsia"/>
                <w:color w:val="000000"/>
                <w:sz w:val="24"/>
                <w:szCs w:val="24"/>
              </w:rPr>
            </w:pPr>
            <w:r>
              <w:rPr>
                <w:rFonts w:asciiTheme="minorEastAsia" w:hAnsiTheme="minorEastAsia" w:eastAsiaTheme="minorEastAsia"/>
                <w:color w:val="000000"/>
                <w:sz w:val="24"/>
                <w:szCs w:val="24"/>
              </w:rPr>
              <w:t>下属分级基金的基金简称</w:t>
            </w:r>
          </w:p>
        </w:tc>
        <w:tc>
          <w:tcPr>
            <w:tcW w:w="1669" w:type="pct"/>
            <w:vAlign w:val="center"/>
          </w:tcPr>
          <w:p>
            <w:pPr>
              <w:rPr>
                <w:rFonts w:eastAsiaTheme="minorEastAsia"/>
                <w:sz w:val="24"/>
                <w:szCs w:val="24"/>
              </w:rPr>
            </w:pPr>
            <w:r>
              <w:rPr>
                <w:rFonts w:hint="eastAsia" w:eastAsiaTheme="minorEastAsia"/>
                <w:sz w:val="24"/>
                <w:szCs w:val="24"/>
              </w:rPr>
              <w:t>交银启盛混合</w:t>
            </w:r>
            <w:r>
              <w:rPr>
                <w:rFonts w:eastAsiaTheme="minorEastAsia"/>
                <w:sz w:val="24"/>
                <w:szCs w:val="24"/>
              </w:rPr>
              <w:t>A</w:t>
            </w:r>
          </w:p>
        </w:tc>
        <w:tc>
          <w:tcPr>
            <w:tcW w:w="1667" w:type="pct"/>
            <w:vAlign w:val="center"/>
          </w:tcPr>
          <w:p>
            <w:pPr>
              <w:rPr>
                <w:rFonts w:eastAsiaTheme="minorEastAsia"/>
                <w:sz w:val="24"/>
                <w:szCs w:val="24"/>
              </w:rPr>
            </w:pPr>
            <w:r>
              <w:rPr>
                <w:rFonts w:hint="eastAsia" w:eastAsiaTheme="minorEastAsia"/>
                <w:sz w:val="24"/>
                <w:szCs w:val="24"/>
              </w:rPr>
              <w:t>交银启盛混合</w:t>
            </w:r>
            <w:r>
              <w:rPr>
                <w:rFonts w:eastAsiaTheme="minorEastAsia"/>
                <w:sz w:val="24"/>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64" w:type="pct"/>
            <w:vAlign w:val="center"/>
          </w:tcPr>
          <w:p>
            <w:pPr>
              <w:spacing w:line="560" w:lineRule="exact"/>
              <w:rPr>
                <w:rFonts w:eastAsiaTheme="minorEastAsia"/>
                <w:color w:val="000000"/>
                <w:sz w:val="24"/>
                <w:szCs w:val="24"/>
              </w:rPr>
            </w:pPr>
            <w:r>
              <w:rPr>
                <w:rFonts w:asciiTheme="minorEastAsia" w:hAnsiTheme="minorEastAsia" w:eastAsiaTheme="minorEastAsia"/>
                <w:color w:val="000000"/>
                <w:sz w:val="24"/>
                <w:szCs w:val="24"/>
              </w:rPr>
              <w:t>下属分级基金的交易代码</w:t>
            </w:r>
          </w:p>
        </w:tc>
        <w:tc>
          <w:tcPr>
            <w:tcW w:w="1669" w:type="pct"/>
            <w:vAlign w:val="center"/>
          </w:tcPr>
          <w:p>
            <w:pPr>
              <w:rPr>
                <w:rFonts w:eastAsiaTheme="minorEastAsia"/>
                <w:sz w:val="24"/>
                <w:szCs w:val="24"/>
              </w:rPr>
            </w:pPr>
            <w:r>
              <w:rPr>
                <w:rFonts w:hint="eastAsia" w:eastAsiaTheme="minorEastAsia"/>
                <w:sz w:val="24"/>
                <w:szCs w:val="24"/>
              </w:rPr>
              <w:t>017794</w:t>
            </w:r>
          </w:p>
        </w:tc>
        <w:tc>
          <w:tcPr>
            <w:tcW w:w="1667" w:type="pct"/>
            <w:vAlign w:val="center"/>
          </w:tcPr>
          <w:p>
            <w:pPr>
              <w:rPr>
                <w:rFonts w:eastAsiaTheme="minorEastAsia"/>
                <w:sz w:val="24"/>
                <w:szCs w:val="24"/>
              </w:rPr>
            </w:pPr>
            <w:r>
              <w:rPr>
                <w:rFonts w:hint="eastAsia" w:eastAsiaTheme="minorEastAsia"/>
                <w:sz w:val="24"/>
                <w:szCs w:val="24"/>
              </w:rPr>
              <w:t>017795</w:t>
            </w:r>
          </w:p>
        </w:tc>
      </w:tr>
    </w:tbl>
    <w:p>
      <w:pPr>
        <w:pStyle w:val="2"/>
        <w:spacing w:line="530" w:lineRule="exact"/>
        <w:rPr>
          <w:rFonts w:ascii="Times New Roman" w:hAnsi="Times New Roman" w:eastAsiaTheme="minorEastAsia"/>
          <w:bCs w:val="0"/>
          <w:color w:val="000000"/>
          <w:sz w:val="24"/>
          <w:szCs w:val="24"/>
        </w:rPr>
      </w:pPr>
      <w:bookmarkStart w:id="1" w:name="_Toc275961392"/>
      <w:r>
        <w:rPr>
          <w:rFonts w:ascii="Times New Roman" w:hAnsi="Times New Roman" w:eastAsiaTheme="minorEastAsia"/>
          <w:bCs w:val="0"/>
          <w:color w:val="000000"/>
          <w:sz w:val="24"/>
          <w:szCs w:val="24"/>
        </w:rPr>
        <w:t>2 基金募集情况</w:t>
      </w:r>
      <w:bookmarkEnd w:id="1"/>
    </w:p>
    <w:tbl>
      <w:tblPr>
        <w:tblStyle w:val="10"/>
        <w:tblpPr w:leftFromText="180" w:rightFromText="180" w:vertAnchor="text" w:tblpXSpec="center" w:tblpY="1"/>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984"/>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97" w:type="dxa"/>
            <w:gridSpan w:val="2"/>
          </w:tcPr>
          <w:p>
            <w:pPr>
              <w:spacing w:line="530" w:lineRule="exact"/>
              <w:rPr>
                <w:rFonts w:eastAsiaTheme="minorEastAsia"/>
                <w:color w:val="000000"/>
                <w:sz w:val="24"/>
                <w:szCs w:val="24"/>
              </w:rPr>
            </w:pPr>
            <w:r>
              <w:rPr>
                <w:rFonts w:eastAsiaTheme="minorEastAsia"/>
                <w:color w:val="000000"/>
                <w:sz w:val="24"/>
                <w:szCs w:val="24"/>
              </w:rPr>
              <w:t>基金募集申请获中国证监会</w:t>
            </w:r>
            <w:r>
              <w:rPr>
                <w:rFonts w:hint="eastAsia" w:eastAsiaTheme="minorEastAsia"/>
                <w:color w:val="000000"/>
                <w:sz w:val="24"/>
                <w:szCs w:val="24"/>
              </w:rPr>
              <w:t>准予注册</w:t>
            </w:r>
            <w:r>
              <w:rPr>
                <w:rFonts w:eastAsiaTheme="minorEastAsia"/>
                <w:color w:val="000000"/>
                <w:sz w:val="24"/>
                <w:szCs w:val="24"/>
              </w:rPr>
              <w:t>的文号</w:t>
            </w:r>
          </w:p>
        </w:tc>
        <w:tc>
          <w:tcPr>
            <w:tcW w:w="5529" w:type="dxa"/>
            <w:gridSpan w:val="3"/>
            <w:vAlign w:val="center"/>
          </w:tcPr>
          <w:p>
            <w:pPr>
              <w:rPr>
                <w:rFonts w:eastAsiaTheme="minorEastAsia"/>
                <w:sz w:val="24"/>
                <w:szCs w:val="24"/>
              </w:rPr>
            </w:pPr>
            <w:r>
              <w:rPr>
                <w:rFonts w:hint="eastAsia" w:eastAsiaTheme="minorEastAsia"/>
                <w:sz w:val="24"/>
                <w:szCs w:val="24"/>
              </w:rPr>
              <w:t>证监许可</w:t>
            </w:r>
            <w:r>
              <w:rPr>
                <w:rFonts w:eastAsiaTheme="minorEastAsia"/>
                <w:sz w:val="24"/>
                <w:szCs w:val="24"/>
              </w:rPr>
              <w:t>【2022】</w:t>
            </w:r>
            <w:r>
              <w:rPr>
                <w:rFonts w:hint="eastAsia" w:eastAsiaTheme="minorEastAsia"/>
                <w:sz w:val="24"/>
                <w:szCs w:val="24"/>
              </w:rPr>
              <w:t>2550</w:t>
            </w:r>
            <w:r>
              <w:rPr>
                <w:rFonts w:eastAsiaTheme="minorEastAsia"/>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97" w:type="dxa"/>
            <w:gridSpan w:val="2"/>
            <w:vAlign w:val="center"/>
          </w:tcPr>
          <w:p>
            <w:pPr>
              <w:spacing w:line="530" w:lineRule="exact"/>
              <w:rPr>
                <w:rFonts w:eastAsiaTheme="minorEastAsia"/>
                <w:color w:val="000000"/>
                <w:sz w:val="24"/>
                <w:szCs w:val="24"/>
              </w:rPr>
            </w:pPr>
            <w:r>
              <w:rPr>
                <w:rFonts w:eastAsiaTheme="minorEastAsia"/>
                <w:color w:val="000000"/>
                <w:sz w:val="24"/>
                <w:szCs w:val="24"/>
              </w:rPr>
              <w:t>基金募集期间</w:t>
            </w:r>
          </w:p>
        </w:tc>
        <w:tc>
          <w:tcPr>
            <w:tcW w:w="5529" w:type="dxa"/>
            <w:gridSpan w:val="3"/>
            <w:vAlign w:val="center"/>
          </w:tcPr>
          <w:p>
            <w:pPr>
              <w:rPr>
                <w:rFonts w:eastAsiaTheme="minorEastAsia"/>
                <w:sz w:val="24"/>
                <w:szCs w:val="24"/>
              </w:rPr>
            </w:pPr>
            <w:r>
              <w:rPr>
                <w:rFonts w:hint="eastAsia" w:eastAsiaTheme="minorEastAsia"/>
                <w:sz w:val="24"/>
                <w:szCs w:val="24"/>
              </w:rPr>
              <w:t>自2023年3月6日</w:t>
            </w:r>
          </w:p>
          <w:p>
            <w:pPr>
              <w:rPr>
                <w:rFonts w:eastAsiaTheme="minorEastAsia"/>
                <w:sz w:val="24"/>
                <w:szCs w:val="24"/>
              </w:rPr>
            </w:pPr>
            <w:r>
              <w:rPr>
                <w:rFonts w:hint="eastAsia" w:eastAsiaTheme="minorEastAsia"/>
                <w:sz w:val="24"/>
                <w:szCs w:val="24"/>
              </w:rPr>
              <w:t>至2023年3月24日</w:t>
            </w:r>
            <w:r>
              <w:rPr>
                <w:rFonts w:eastAsiaTheme="minorEastAsia"/>
                <w:sz w:val="24"/>
                <w:szCs w:val="24"/>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97" w:type="dxa"/>
            <w:gridSpan w:val="2"/>
            <w:vAlign w:val="center"/>
          </w:tcPr>
          <w:p>
            <w:pPr>
              <w:spacing w:line="530" w:lineRule="exact"/>
              <w:rPr>
                <w:rFonts w:eastAsiaTheme="minorEastAsia"/>
                <w:color w:val="000000"/>
                <w:sz w:val="24"/>
                <w:szCs w:val="24"/>
              </w:rPr>
            </w:pPr>
            <w:r>
              <w:rPr>
                <w:rFonts w:eastAsiaTheme="minorEastAsia"/>
                <w:color w:val="000000"/>
                <w:sz w:val="24"/>
                <w:szCs w:val="24"/>
              </w:rPr>
              <w:t>验资机构名称</w:t>
            </w:r>
          </w:p>
        </w:tc>
        <w:tc>
          <w:tcPr>
            <w:tcW w:w="5529" w:type="dxa"/>
            <w:gridSpan w:val="3"/>
            <w:vAlign w:val="center"/>
          </w:tcPr>
          <w:p>
            <w:pPr>
              <w:rPr>
                <w:rFonts w:eastAsiaTheme="minorEastAsia"/>
                <w:sz w:val="24"/>
                <w:szCs w:val="24"/>
              </w:rPr>
            </w:pPr>
            <w:r>
              <w:rPr>
                <w:rFonts w:hint="eastAsia" w:eastAsiaTheme="minorEastAsia"/>
                <w:sz w:val="24"/>
                <w:szCs w:val="24"/>
              </w:rPr>
              <w:t>普华永道中天会计师事务所（特殊普通合伙）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97" w:type="dxa"/>
            <w:gridSpan w:val="2"/>
            <w:vAlign w:val="center"/>
          </w:tcPr>
          <w:p>
            <w:pPr>
              <w:spacing w:line="530" w:lineRule="exact"/>
              <w:rPr>
                <w:rFonts w:eastAsiaTheme="minorEastAsia"/>
                <w:color w:val="000000"/>
                <w:sz w:val="24"/>
                <w:szCs w:val="24"/>
                <w:highlight w:val="none"/>
              </w:rPr>
            </w:pPr>
            <w:r>
              <w:rPr>
                <w:rFonts w:hint="eastAsia" w:eastAsiaTheme="minorEastAsia"/>
                <w:color w:val="000000"/>
                <w:sz w:val="24"/>
                <w:szCs w:val="24"/>
                <w:highlight w:val="none"/>
              </w:rPr>
              <w:t>募集资金划入基金托管专户的日期</w:t>
            </w:r>
          </w:p>
        </w:tc>
        <w:tc>
          <w:tcPr>
            <w:tcW w:w="5529" w:type="dxa"/>
            <w:gridSpan w:val="3"/>
            <w:vAlign w:val="center"/>
          </w:tcPr>
          <w:p>
            <w:pPr>
              <w:jc w:val="left"/>
              <w:rPr>
                <w:rFonts w:eastAsiaTheme="minorEastAsia"/>
                <w:sz w:val="24"/>
                <w:szCs w:val="24"/>
              </w:rPr>
            </w:pPr>
            <w:r>
              <w:rPr>
                <w:rFonts w:hint="eastAsia" w:eastAsiaTheme="minorEastAsia"/>
                <w:sz w:val="24"/>
                <w:szCs w:val="24"/>
              </w:rPr>
              <w:t>2023年3月</w:t>
            </w:r>
            <w:r>
              <w:rPr>
                <w:rFonts w:hint="eastAsia" w:eastAsiaTheme="minorEastAsia"/>
                <w:sz w:val="24"/>
                <w:szCs w:val="24"/>
                <w:lang w:val="en-US" w:eastAsia="zh-CN"/>
              </w:rPr>
              <w:t>29</w:t>
            </w:r>
            <w:r>
              <w:rPr>
                <w:rFonts w:hint="eastAsia" w:eastAsia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97" w:type="dxa"/>
            <w:gridSpan w:val="2"/>
            <w:vAlign w:val="center"/>
          </w:tcPr>
          <w:p>
            <w:pPr>
              <w:spacing w:line="530" w:lineRule="exact"/>
              <w:rPr>
                <w:rFonts w:eastAsiaTheme="minorEastAsia"/>
                <w:color w:val="000000"/>
                <w:sz w:val="24"/>
                <w:szCs w:val="24"/>
                <w:highlight w:val="none"/>
              </w:rPr>
            </w:pPr>
            <w:r>
              <w:rPr>
                <w:rFonts w:hint="eastAsia" w:eastAsiaTheme="minorEastAsia"/>
                <w:color w:val="000000"/>
                <w:sz w:val="24"/>
                <w:szCs w:val="24"/>
                <w:highlight w:val="none"/>
              </w:rPr>
              <w:t>募集有效认购总户数（单位：</w:t>
            </w:r>
            <w:r>
              <w:rPr>
                <w:rFonts w:hint="eastAsia" w:eastAsiaTheme="minorEastAsia"/>
                <w:color w:val="000000"/>
                <w:kern w:val="0"/>
                <w:sz w:val="24"/>
                <w:szCs w:val="24"/>
                <w:highlight w:val="none"/>
              </w:rPr>
              <w:t>户</w:t>
            </w:r>
            <w:r>
              <w:rPr>
                <w:rFonts w:hint="eastAsia" w:eastAsiaTheme="minorEastAsia"/>
                <w:color w:val="000000"/>
                <w:sz w:val="24"/>
                <w:szCs w:val="24"/>
                <w:highlight w:val="none"/>
              </w:rPr>
              <w:t>）</w:t>
            </w:r>
          </w:p>
        </w:tc>
        <w:tc>
          <w:tcPr>
            <w:tcW w:w="5529" w:type="dxa"/>
            <w:gridSpan w:val="3"/>
            <w:shd w:val="clear" w:color="auto" w:fill="auto"/>
            <w:vAlign w:val="center"/>
          </w:tcPr>
          <w:p>
            <w:pPr>
              <w:jc w:val="left"/>
              <w:rPr>
                <w:rFonts w:eastAsiaTheme="minorEastAsia"/>
                <w:sz w:val="24"/>
                <w:szCs w:val="24"/>
              </w:rPr>
            </w:pPr>
            <w:r>
              <w:rPr>
                <w:rFonts w:eastAsiaTheme="minorEastAsia"/>
                <w:sz w:val="24"/>
                <w:szCs w:val="24"/>
              </w:rPr>
              <w:t>6</w:t>
            </w:r>
            <w:r>
              <w:rPr>
                <w:rFonts w:hint="eastAsia" w:eastAsiaTheme="minorEastAsia"/>
                <w:sz w:val="24"/>
                <w:szCs w:val="24"/>
                <w:lang w:val="en-US" w:eastAsia="zh-CN"/>
              </w:rPr>
              <w:t>,</w:t>
            </w:r>
            <w:r>
              <w:rPr>
                <w:rFonts w:eastAsiaTheme="minorEastAsia"/>
                <w:sz w:val="24"/>
                <w:szCs w:val="24"/>
              </w:rPr>
              <w:t>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3397" w:type="dxa"/>
            <w:gridSpan w:val="2"/>
            <w:vAlign w:val="center"/>
          </w:tcPr>
          <w:p>
            <w:pPr>
              <w:spacing w:line="530" w:lineRule="exact"/>
              <w:rPr>
                <w:rFonts w:eastAsiaTheme="minorEastAsia"/>
                <w:color w:val="000000"/>
                <w:sz w:val="24"/>
                <w:szCs w:val="24"/>
              </w:rPr>
            </w:pPr>
            <w:r>
              <w:rPr>
                <w:rFonts w:eastAsiaTheme="minorEastAsia"/>
                <w:color w:val="000000"/>
                <w:sz w:val="24"/>
                <w:szCs w:val="24"/>
              </w:rPr>
              <w:t>份额级别</w:t>
            </w:r>
          </w:p>
        </w:tc>
        <w:tc>
          <w:tcPr>
            <w:tcW w:w="1843" w:type="dxa"/>
            <w:vAlign w:val="center"/>
          </w:tcPr>
          <w:p>
            <w:pPr>
              <w:rPr>
                <w:rFonts w:eastAsiaTheme="minorEastAsia"/>
                <w:sz w:val="24"/>
                <w:szCs w:val="24"/>
              </w:rPr>
            </w:pPr>
            <w:r>
              <w:rPr>
                <w:rFonts w:hint="eastAsia" w:eastAsiaTheme="minorEastAsia"/>
                <w:sz w:val="24"/>
                <w:szCs w:val="24"/>
              </w:rPr>
              <w:t>交银启盛混合A</w:t>
            </w:r>
          </w:p>
        </w:tc>
        <w:tc>
          <w:tcPr>
            <w:tcW w:w="1843" w:type="dxa"/>
            <w:vAlign w:val="center"/>
          </w:tcPr>
          <w:p>
            <w:pPr>
              <w:rPr>
                <w:rFonts w:eastAsiaTheme="minorEastAsia"/>
                <w:sz w:val="24"/>
                <w:szCs w:val="24"/>
              </w:rPr>
            </w:pPr>
            <w:r>
              <w:rPr>
                <w:rFonts w:hint="eastAsia" w:eastAsiaTheme="minorEastAsia"/>
                <w:sz w:val="24"/>
                <w:szCs w:val="24"/>
              </w:rPr>
              <w:t>交银启盛混合</w:t>
            </w:r>
            <w:r>
              <w:rPr>
                <w:rFonts w:eastAsiaTheme="minorEastAsia"/>
                <w:sz w:val="24"/>
                <w:szCs w:val="24"/>
              </w:rPr>
              <w:t>C</w:t>
            </w:r>
          </w:p>
        </w:tc>
        <w:tc>
          <w:tcPr>
            <w:tcW w:w="1843" w:type="dxa"/>
            <w:vAlign w:val="center"/>
          </w:tcPr>
          <w:p>
            <w:pPr>
              <w:rPr>
                <w:rFonts w:eastAsiaTheme="minorEastAsia"/>
                <w:sz w:val="24"/>
                <w:szCs w:val="24"/>
              </w:rPr>
            </w:pPr>
            <w:r>
              <w:rPr>
                <w:rFonts w:hint="eastAsia" w:eastAsiaTheme="minorEastAsia"/>
                <w:sz w:val="24"/>
                <w:szCs w:val="24"/>
              </w:rPr>
              <w:t>交银启盛混合</w:t>
            </w:r>
            <w:r>
              <w:rPr>
                <w:rFonts w:eastAsiaTheme="minorEastAsia"/>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97" w:type="dxa"/>
            <w:gridSpan w:val="2"/>
            <w:vAlign w:val="center"/>
          </w:tcPr>
          <w:p>
            <w:pPr>
              <w:rPr>
                <w:rFonts w:eastAsiaTheme="minorEastAsia"/>
                <w:sz w:val="24"/>
                <w:szCs w:val="24"/>
                <w:highlight w:val="none"/>
              </w:rPr>
            </w:pPr>
            <w:r>
              <w:rPr>
                <w:rFonts w:hint="eastAsia" w:eastAsiaTheme="minorEastAsia"/>
                <w:sz w:val="24"/>
                <w:szCs w:val="24"/>
                <w:highlight w:val="none"/>
              </w:rPr>
              <w:t>募集期间净认购金额（单位：元）</w:t>
            </w:r>
          </w:p>
        </w:tc>
        <w:tc>
          <w:tcPr>
            <w:tcW w:w="1843" w:type="dxa"/>
            <w:vAlign w:val="center"/>
          </w:tcPr>
          <w:p>
            <w:pPr>
              <w:widowControl/>
              <w:jc w:val="center"/>
              <w:rPr>
                <w:rFonts w:eastAsiaTheme="minorEastAsia"/>
                <w:color w:val="000000"/>
                <w:sz w:val="24"/>
                <w:szCs w:val="24"/>
              </w:rPr>
            </w:pPr>
            <w:r>
              <w:rPr>
                <w:rFonts w:eastAsiaTheme="minorEastAsia"/>
                <w:color w:val="000000"/>
                <w:sz w:val="24"/>
                <w:szCs w:val="24"/>
              </w:rPr>
              <w:t>257,900,088.01</w:t>
            </w:r>
          </w:p>
        </w:tc>
        <w:tc>
          <w:tcPr>
            <w:tcW w:w="1843" w:type="dxa"/>
            <w:vAlign w:val="center"/>
          </w:tcPr>
          <w:p>
            <w:pPr>
              <w:jc w:val="center"/>
              <w:rPr>
                <w:rFonts w:eastAsiaTheme="minorEastAsia"/>
                <w:color w:val="000000"/>
                <w:sz w:val="24"/>
                <w:szCs w:val="24"/>
              </w:rPr>
            </w:pPr>
            <w:r>
              <w:rPr>
                <w:rFonts w:eastAsiaTheme="minorEastAsia"/>
                <w:color w:val="000000"/>
                <w:sz w:val="24"/>
                <w:szCs w:val="24"/>
              </w:rPr>
              <w:t>182,851,055.55</w:t>
            </w:r>
          </w:p>
        </w:tc>
        <w:tc>
          <w:tcPr>
            <w:tcW w:w="1843" w:type="dxa"/>
            <w:vAlign w:val="center"/>
          </w:tcPr>
          <w:p>
            <w:pPr>
              <w:widowControl/>
              <w:jc w:val="center"/>
              <w:rPr>
                <w:rFonts w:eastAsiaTheme="minorEastAsia"/>
                <w:color w:val="000000"/>
                <w:sz w:val="24"/>
                <w:szCs w:val="24"/>
              </w:rPr>
            </w:pPr>
            <w:r>
              <w:rPr>
                <w:rFonts w:eastAsiaTheme="minorEastAsia"/>
                <w:color w:val="000000"/>
                <w:sz w:val="24"/>
                <w:szCs w:val="24"/>
              </w:rPr>
              <w:t>440,751,143.56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3397" w:type="dxa"/>
            <w:gridSpan w:val="2"/>
            <w:vAlign w:val="center"/>
          </w:tcPr>
          <w:p>
            <w:pPr>
              <w:rPr>
                <w:rFonts w:eastAsiaTheme="minorEastAsia"/>
                <w:sz w:val="24"/>
                <w:szCs w:val="24"/>
                <w:highlight w:val="none"/>
              </w:rPr>
            </w:pPr>
            <w:r>
              <w:rPr>
                <w:rFonts w:hint="eastAsia" w:eastAsiaTheme="minorEastAsia"/>
                <w:sz w:val="24"/>
                <w:szCs w:val="24"/>
                <w:highlight w:val="none"/>
              </w:rPr>
              <w:t>认购资金在募集期间产生的利息（单位：元）</w:t>
            </w:r>
          </w:p>
        </w:tc>
        <w:tc>
          <w:tcPr>
            <w:tcW w:w="1843" w:type="dxa"/>
            <w:vAlign w:val="center"/>
          </w:tcPr>
          <w:p>
            <w:pPr>
              <w:widowControl/>
              <w:jc w:val="center"/>
              <w:rPr>
                <w:rFonts w:eastAsiaTheme="minorEastAsia"/>
                <w:color w:val="000000"/>
                <w:sz w:val="24"/>
                <w:szCs w:val="24"/>
              </w:rPr>
            </w:pPr>
            <w:r>
              <w:rPr>
                <w:rFonts w:eastAsiaTheme="minorEastAsia"/>
                <w:color w:val="000000"/>
                <w:sz w:val="24"/>
                <w:szCs w:val="24"/>
              </w:rPr>
              <w:t>164,791.34</w:t>
            </w:r>
          </w:p>
        </w:tc>
        <w:tc>
          <w:tcPr>
            <w:tcW w:w="1843" w:type="dxa"/>
            <w:vAlign w:val="center"/>
          </w:tcPr>
          <w:p>
            <w:pPr>
              <w:jc w:val="center"/>
              <w:rPr>
                <w:rFonts w:eastAsiaTheme="minorEastAsia"/>
                <w:sz w:val="24"/>
                <w:szCs w:val="24"/>
              </w:rPr>
            </w:pPr>
            <w:r>
              <w:rPr>
                <w:rFonts w:eastAsiaTheme="minorEastAsia"/>
                <w:sz w:val="24"/>
                <w:szCs w:val="24"/>
              </w:rPr>
              <w:t>83,090.72</w:t>
            </w:r>
          </w:p>
        </w:tc>
        <w:tc>
          <w:tcPr>
            <w:tcW w:w="1843" w:type="dxa"/>
            <w:vAlign w:val="center"/>
          </w:tcPr>
          <w:p>
            <w:pPr>
              <w:widowControl/>
              <w:jc w:val="center"/>
              <w:rPr>
                <w:rFonts w:eastAsiaTheme="minorEastAsia"/>
                <w:color w:val="000000"/>
                <w:sz w:val="24"/>
                <w:szCs w:val="24"/>
              </w:rPr>
            </w:pPr>
            <w:r>
              <w:rPr>
                <w:rFonts w:eastAsiaTheme="minorEastAsia"/>
                <w:color w:val="000000"/>
                <w:sz w:val="24"/>
                <w:szCs w:val="24"/>
              </w:rPr>
              <w:t>247,882.06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3" w:type="dxa"/>
            <w:vMerge w:val="restart"/>
            <w:vAlign w:val="center"/>
          </w:tcPr>
          <w:p>
            <w:pPr>
              <w:spacing w:line="530" w:lineRule="exact"/>
              <w:rPr>
                <w:rFonts w:eastAsiaTheme="minorEastAsia"/>
                <w:color w:val="000000"/>
                <w:sz w:val="24"/>
                <w:szCs w:val="24"/>
                <w:highlight w:val="none"/>
              </w:rPr>
            </w:pPr>
            <w:r>
              <w:rPr>
                <w:rFonts w:hint="eastAsia" w:eastAsiaTheme="minorEastAsia"/>
                <w:color w:val="000000"/>
                <w:sz w:val="24"/>
                <w:szCs w:val="24"/>
                <w:highlight w:val="none"/>
              </w:rPr>
              <w:t>募集份额（单位：份）</w:t>
            </w:r>
          </w:p>
        </w:tc>
        <w:tc>
          <w:tcPr>
            <w:tcW w:w="1984" w:type="dxa"/>
            <w:vAlign w:val="center"/>
          </w:tcPr>
          <w:p>
            <w:pPr>
              <w:rPr>
                <w:rFonts w:eastAsiaTheme="minorEastAsia"/>
                <w:sz w:val="24"/>
                <w:szCs w:val="24"/>
                <w:highlight w:val="none"/>
              </w:rPr>
            </w:pPr>
            <w:r>
              <w:rPr>
                <w:rFonts w:hint="eastAsia" w:eastAsiaTheme="minorEastAsia"/>
                <w:sz w:val="24"/>
                <w:szCs w:val="24"/>
                <w:highlight w:val="none"/>
              </w:rPr>
              <w:t>有效认购份额</w:t>
            </w:r>
          </w:p>
        </w:tc>
        <w:tc>
          <w:tcPr>
            <w:tcW w:w="1843" w:type="dxa"/>
            <w:vAlign w:val="center"/>
          </w:tcPr>
          <w:p>
            <w:pPr>
              <w:spacing w:line="530" w:lineRule="exact"/>
              <w:jc w:val="center"/>
              <w:rPr>
                <w:rFonts w:eastAsiaTheme="minorEastAsia"/>
                <w:color w:val="000000"/>
                <w:sz w:val="24"/>
                <w:szCs w:val="24"/>
              </w:rPr>
            </w:pPr>
            <w:r>
              <w:rPr>
                <w:rFonts w:eastAsiaTheme="minorEastAsia"/>
                <w:color w:val="000000"/>
                <w:sz w:val="24"/>
                <w:szCs w:val="24"/>
              </w:rPr>
              <w:t>257,900,088.01</w:t>
            </w:r>
          </w:p>
        </w:tc>
        <w:tc>
          <w:tcPr>
            <w:tcW w:w="1843" w:type="dxa"/>
            <w:vAlign w:val="center"/>
          </w:tcPr>
          <w:p>
            <w:pPr>
              <w:spacing w:line="530" w:lineRule="exact"/>
              <w:jc w:val="center"/>
              <w:rPr>
                <w:rFonts w:eastAsiaTheme="minorEastAsia"/>
                <w:color w:val="000000"/>
                <w:sz w:val="24"/>
                <w:szCs w:val="24"/>
              </w:rPr>
            </w:pPr>
            <w:r>
              <w:rPr>
                <w:rFonts w:eastAsiaTheme="minorEastAsia"/>
                <w:color w:val="000000"/>
                <w:sz w:val="24"/>
                <w:szCs w:val="24"/>
              </w:rPr>
              <w:t>182,851,055.55</w:t>
            </w:r>
          </w:p>
        </w:tc>
        <w:tc>
          <w:tcPr>
            <w:tcW w:w="1843" w:type="dxa"/>
            <w:vAlign w:val="center"/>
          </w:tcPr>
          <w:p>
            <w:pPr>
              <w:spacing w:line="530" w:lineRule="exact"/>
              <w:jc w:val="center"/>
              <w:rPr>
                <w:rFonts w:eastAsiaTheme="minorEastAsia"/>
                <w:color w:val="000000"/>
                <w:sz w:val="24"/>
                <w:szCs w:val="24"/>
              </w:rPr>
            </w:pPr>
            <w:r>
              <w:rPr>
                <w:rFonts w:eastAsiaTheme="minorEastAsia"/>
                <w:color w:val="000000"/>
                <w:sz w:val="24"/>
                <w:szCs w:val="24"/>
              </w:rPr>
              <w:t>440,751,143.56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1413" w:type="dxa"/>
            <w:vMerge w:val="continue"/>
            <w:vAlign w:val="center"/>
          </w:tcPr>
          <w:p>
            <w:pPr>
              <w:spacing w:line="530" w:lineRule="exact"/>
              <w:rPr>
                <w:rFonts w:eastAsiaTheme="minorEastAsia"/>
                <w:color w:val="000000"/>
                <w:sz w:val="24"/>
                <w:szCs w:val="24"/>
                <w:highlight w:val="none"/>
              </w:rPr>
            </w:pPr>
          </w:p>
        </w:tc>
        <w:tc>
          <w:tcPr>
            <w:tcW w:w="1984" w:type="dxa"/>
            <w:vAlign w:val="center"/>
          </w:tcPr>
          <w:p>
            <w:pPr>
              <w:rPr>
                <w:rFonts w:eastAsiaTheme="minorEastAsia"/>
                <w:sz w:val="24"/>
                <w:szCs w:val="24"/>
                <w:highlight w:val="none"/>
              </w:rPr>
            </w:pPr>
            <w:r>
              <w:rPr>
                <w:rFonts w:hint="eastAsia" w:eastAsiaTheme="minorEastAsia"/>
                <w:sz w:val="24"/>
                <w:szCs w:val="24"/>
                <w:highlight w:val="none"/>
              </w:rPr>
              <w:t>利息结转的份额</w:t>
            </w:r>
          </w:p>
        </w:tc>
        <w:tc>
          <w:tcPr>
            <w:tcW w:w="1843" w:type="dxa"/>
            <w:vAlign w:val="center"/>
          </w:tcPr>
          <w:p>
            <w:pPr>
              <w:widowControl/>
              <w:jc w:val="center"/>
              <w:rPr>
                <w:rFonts w:eastAsiaTheme="minorEastAsia"/>
                <w:color w:val="000000"/>
                <w:sz w:val="24"/>
                <w:szCs w:val="24"/>
              </w:rPr>
            </w:pPr>
            <w:r>
              <w:rPr>
                <w:rFonts w:eastAsiaTheme="minorEastAsia"/>
                <w:color w:val="000000"/>
                <w:sz w:val="24"/>
                <w:szCs w:val="24"/>
              </w:rPr>
              <w:t>164,791.34</w:t>
            </w:r>
          </w:p>
        </w:tc>
        <w:tc>
          <w:tcPr>
            <w:tcW w:w="1843" w:type="dxa"/>
            <w:vAlign w:val="center"/>
          </w:tcPr>
          <w:p>
            <w:pPr>
              <w:jc w:val="center"/>
              <w:rPr>
                <w:rFonts w:eastAsiaTheme="minorEastAsia"/>
                <w:sz w:val="24"/>
                <w:szCs w:val="24"/>
              </w:rPr>
            </w:pPr>
            <w:r>
              <w:rPr>
                <w:rFonts w:eastAsiaTheme="minorEastAsia"/>
                <w:sz w:val="24"/>
                <w:szCs w:val="24"/>
              </w:rPr>
              <w:t>83,090.72</w:t>
            </w:r>
          </w:p>
        </w:tc>
        <w:tc>
          <w:tcPr>
            <w:tcW w:w="1843" w:type="dxa"/>
            <w:vAlign w:val="center"/>
          </w:tcPr>
          <w:p>
            <w:pPr>
              <w:widowControl/>
              <w:jc w:val="center"/>
              <w:rPr>
                <w:rFonts w:eastAsiaTheme="minorEastAsia"/>
                <w:color w:val="000000"/>
                <w:sz w:val="24"/>
                <w:szCs w:val="24"/>
              </w:rPr>
            </w:pPr>
            <w:r>
              <w:rPr>
                <w:rFonts w:eastAsiaTheme="minorEastAsia"/>
                <w:color w:val="000000"/>
                <w:sz w:val="24"/>
                <w:szCs w:val="24"/>
              </w:rPr>
              <w:t>247,882.06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1413" w:type="dxa"/>
            <w:vMerge w:val="continue"/>
            <w:vAlign w:val="center"/>
          </w:tcPr>
          <w:p>
            <w:pPr>
              <w:spacing w:line="530" w:lineRule="exact"/>
              <w:rPr>
                <w:rFonts w:eastAsiaTheme="minorEastAsia"/>
                <w:color w:val="000000"/>
                <w:sz w:val="24"/>
                <w:szCs w:val="24"/>
                <w:highlight w:val="none"/>
              </w:rPr>
            </w:pPr>
          </w:p>
        </w:tc>
        <w:tc>
          <w:tcPr>
            <w:tcW w:w="1984" w:type="dxa"/>
            <w:vAlign w:val="center"/>
          </w:tcPr>
          <w:p>
            <w:pPr>
              <w:rPr>
                <w:rFonts w:eastAsiaTheme="minorEastAsia"/>
                <w:sz w:val="24"/>
                <w:szCs w:val="24"/>
                <w:highlight w:val="none"/>
              </w:rPr>
            </w:pPr>
            <w:r>
              <w:rPr>
                <w:rFonts w:hint="eastAsia" w:eastAsiaTheme="minorEastAsia"/>
                <w:sz w:val="24"/>
                <w:szCs w:val="24"/>
                <w:highlight w:val="none"/>
              </w:rPr>
              <w:t>合计</w:t>
            </w:r>
          </w:p>
        </w:tc>
        <w:tc>
          <w:tcPr>
            <w:tcW w:w="1843" w:type="dxa"/>
            <w:vAlign w:val="center"/>
          </w:tcPr>
          <w:p>
            <w:pPr>
              <w:widowControl/>
              <w:jc w:val="center"/>
              <w:rPr>
                <w:rFonts w:eastAsiaTheme="minorEastAsia"/>
                <w:color w:val="000000"/>
                <w:sz w:val="24"/>
                <w:szCs w:val="24"/>
              </w:rPr>
            </w:pPr>
            <w:r>
              <w:rPr>
                <w:rFonts w:eastAsiaTheme="minorEastAsia"/>
                <w:color w:val="000000"/>
                <w:sz w:val="24"/>
                <w:szCs w:val="24"/>
              </w:rPr>
              <w:t>258,064,879.35</w:t>
            </w:r>
          </w:p>
        </w:tc>
        <w:tc>
          <w:tcPr>
            <w:tcW w:w="1843" w:type="dxa"/>
            <w:vAlign w:val="center"/>
          </w:tcPr>
          <w:p>
            <w:pPr>
              <w:jc w:val="center"/>
              <w:rPr>
                <w:rFonts w:eastAsiaTheme="minorEastAsia"/>
                <w:sz w:val="24"/>
                <w:szCs w:val="24"/>
              </w:rPr>
            </w:pPr>
            <w:r>
              <w:rPr>
                <w:rFonts w:eastAsiaTheme="minorEastAsia"/>
                <w:sz w:val="24"/>
                <w:szCs w:val="24"/>
              </w:rPr>
              <w:t>182,934,146.27</w:t>
            </w:r>
          </w:p>
        </w:tc>
        <w:tc>
          <w:tcPr>
            <w:tcW w:w="1843" w:type="dxa"/>
            <w:vAlign w:val="center"/>
          </w:tcPr>
          <w:p>
            <w:pPr>
              <w:jc w:val="center"/>
              <w:rPr>
                <w:rFonts w:eastAsiaTheme="minorEastAsia"/>
                <w:sz w:val="24"/>
                <w:szCs w:val="24"/>
              </w:rPr>
            </w:pPr>
            <w:r>
              <w:rPr>
                <w:rFonts w:eastAsiaTheme="minorEastAsia"/>
                <w:color w:val="000000"/>
                <w:sz w:val="24"/>
                <w:szCs w:val="24"/>
              </w:rPr>
              <w:t>440,999,025.62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3" w:type="dxa"/>
            <w:vMerge w:val="restart"/>
            <w:vAlign w:val="center"/>
          </w:tcPr>
          <w:p>
            <w:pPr>
              <w:rPr>
                <w:rFonts w:eastAsiaTheme="minorEastAsia"/>
                <w:sz w:val="24"/>
                <w:szCs w:val="24"/>
                <w:highlight w:val="none"/>
              </w:rPr>
            </w:pPr>
            <w:r>
              <w:rPr>
                <w:rFonts w:hint="eastAsia" w:eastAsiaTheme="minorEastAsia"/>
                <w:sz w:val="24"/>
                <w:szCs w:val="24"/>
                <w:highlight w:val="none"/>
              </w:rPr>
              <w:t>其中：募集期间基金管理人运用固有资金认购本基金情况</w:t>
            </w:r>
          </w:p>
        </w:tc>
        <w:tc>
          <w:tcPr>
            <w:tcW w:w="1984" w:type="dxa"/>
            <w:vAlign w:val="center"/>
          </w:tcPr>
          <w:p>
            <w:pPr>
              <w:rPr>
                <w:rFonts w:eastAsiaTheme="minorEastAsia"/>
                <w:sz w:val="24"/>
                <w:szCs w:val="24"/>
                <w:highlight w:val="none"/>
              </w:rPr>
            </w:pPr>
            <w:r>
              <w:rPr>
                <w:rFonts w:hint="eastAsia" w:eastAsiaTheme="minorEastAsia"/>
                <w:sz w:val="24"/>
                <w:szCs w:val="24"/>
                <w:highlight w:val="none"/>
              </w:rPr>
              <w:t>认购的基金份额（单位：份）</w:t>
            </w:r>
          </w:p>
        </w:tc>
        <w:tc>
          <w:tcPr>
            <w:tcW w:w="1843" w:type="dxa"/>
            <w:vAlign w:val="center"/>
          </w:tcPr>
          <w:p>
            <w:pPr>
              <w:jc w:val="right"/>
              <w:rPr>
                <w:rFonts w:eastAsiaTheme="minorEastAsia"/>
                <w:sz w:val="24"/>
                <w:szCs w:val="24"/>
              </w:rPr>
            </w:pPr>
            <w:r>
              <w:rPr>
                <w:rFonts w:eastAsiaTheme="minorEastAsia"/>
                <w:sz w:val="24"/>
                <w:szCs w:val="24"/>
              </w:rPr>
              <w:t>-</w:t>
            </w:r>
          </w:p>
        </w:tc>
        <w:tc>
          <w:tcPr>
            <w:tcW w:w="1843" w:type="dxa"/>
            <w:vAlign w:val="center"/>
          </w:tcPr>
          <w:p>
            <w:pPr>
              <w:jc w:val="right"/>
              <w:rPr>
                <w:rFonts w:eastAsiaTheme="minorEastAsia"/>
                <w:sz w:val="24"/>
                <w:szCs w:val="24"/>
              </w:rPr>
            </w:pPr>
            <w:r>
              <w:rPr>
                <w:rFonts w:eastAsiaTheme="minorEastAsia"/>
                <w:sz w:val="24"/>
                <w:szCs w:val="24"/>
              </w:rPr>
              <w:t>-</w:t>
            </w:r>
          </w:p>
        </w:tc>
        <w:tc>
          <w:tcPr>
            <w:tcW w:w="1843" w:type="dxa"/>
            <w:vAlign w:val="center"/>
          </w:tcPr>
          <w:p>
            <w:pPr>
              <w:jc w:val="right"/>
              <w:rPr>
                <w:rFonts w:eastAsiaTheme="minorEastAsia"/>
                <w:sz w:val="24"/>
                <w:szCs w:val="24"/>
              </w:rPr>
            </w:pPr>
            <w:r>
              <w:rPr>
                <w:rFonts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3" w:type="dxa"/>
            <w:vMerge w:val="continue"/>
            <w:vAlign w:val="center"/>
          </w:tcPr>
          <w:p>
            <w:pPr>
              <w:rPr>
                <w:rFonts w:eastAsiaTheme="minorEastAsia"/>
                <w:sz w:val="24"/>
                <w:szCs w:val="24"/>
                <w:highlight w:val="none"/>
              </w:rPr>
            </w:pPr>
          </w:p>
        </w:tc>
        <w:tc>
          <w:tcPr>
            <w:tcW w:w="1984" w:type="dxa"/>
            <w:vAlign w:val="center"/>
          </w:tcPr>
          <w:p>
            <w:pPr>
              <w:rPr>
                <w:rFonts w:eastAsiaTheme="minorEastAsia"/>
                <w:sz w:val="24"/>
                <w:szCs w:val="24"/>
                <w:highlight w:val="none"/>
              </w:rPr>
            </w:pPr>
            <w:r>
              <w:rPr>
                <w:rFonts w:hint="eastAsia" w:eastAsiaTheme="minorEastAsia"/>
                <w:sz w:val="24"/>
                <w:szCs w:val="24"/>
                <w:highlight w:val="none"/>
              </w:rPr>
              <w:t>占基金总份额比例</w:t>
            </w:r>
          </w:p>
        </w:tc>
        <w:tc>
          <w:tcPr>
            <w:tcW w:w="1843" w:type="dxa"/>
            <w:vAlign w:val="center"/>
          </w:tcPr>
          <w:p>
            <w:pPr>
              <w:jc w:val="right"/>
              <w:rPr>
                <w:rFonts w:eastAsiaTheme="minorEastAsia"/>
                <w:sz w:val="24"/>
                <w:szCs w:val="24"/>
              </w:rPr>
            </w:pPr>
            <w:r>
              <w:rPr>
                <w:rFonts w:eastAsiaTheme="minorEastAsia"/>
                <w:sz w:val="24"/>
                <w:szCs w:val="24"/>
              </w:rPr>
              <w:t>-</w:t>
            </w:r>
          </w:p>
        </w:tc>
        <w:tc>
          <w:tcPr>
            <w:tcW w:w="1843" w:type="dxa"/>
            <w:vAlign w:val="center"/>
          </w:tcPr>
          <w:p>
            <w:pPr>
              <w:jc w:val="right"/>
              <w:rPr>
                <w:rFonts w:eastAsiaTheme="minorEastAsia"/>
                <w:sz w:val="24"/>
                <w:szCs w:val="24"/>
              </w:rPr>
            </w:pPr>
            <w:r>
              <w:rPr>
                <w:rFonts w:eastAsiaTheme="minorEastAsia"/>
                <w:sz w:val="24"/>
                <w:szCs w:val="24"/>
              </w:rPr>
              <w:t>-</w:t>
            </w:r>
          </w:p>
        </w:tc>
        <w:tc>
          <w:tcPr>
            <w:tcW w:w="1843" w:type="dxa"/>
            <w:vAlign w:val="center"/>
          </w:tcPr>
          <w:p>
            <w:pPr>
              <w:jc w:val="right"/>
              <w:rPr>
                <w:rFonts w:eastAsiaTheme="minorEastAsia"/>
                <w:sz w:val="24"/>
                <w:szCs w:val="24"/>
              </w:rPr>
            </w:pPr>
            <w:r>
              <w:rPr>
                <w:rFonts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3" w:type="dxa"/>
            <w:vMerge w:val="continue"/>
            <w:vAlign w:val="center"/>
          </w:tcPr>
          <w:p>
            <w:pPr>
              <w:rPr>
                <w:rFonts w:eastAsiaTheme="minorEastAsia"/>
                <w:sz w:val="24"/>
                <w:szCs w:val="24"/>
                <w:highlight w:val="none"/>
              </w:rPr>
            </w:pPr>
          </w:p>
        </w:tc>
        <w:tc>
          <w:tcPr>
            <w:tcW w:w="1984" w:type="dxa"/>
            <w:vAlign w:val="center"/>
          </w:tcPr>
          <w:p>
            <w:pPr>
              <w:rPr>
                <w:rFonts w:eastAsiaTheme="minorEastAsia"/>
                <w:sz w:val="24"/>
                <w:szCs w:val="24"/>
                <w:highlight w:val="none"/>
              </w:rPr>
            </w:pPr>
            <w:r>
              <w:rPr>
                <w:rFonts w:hint="eastAsia" w:eastAsiaTheme="minorEastAsia"/>
                <w:sz w:val="24"/>
                <w:szCs w:val="24"/>
                <w:highlight w:val="none"/>
              </w:rPr>
              <w:t>其他需要说明的事项</w:t>
            </w:r>
          </w:p>
        </w:tc>
        <w:tc>
          <w:tcPr>
            <w:tcW w:w="1843" w:type="dxa"/>
            <w:vAlign w:val="center"/>
          </w:tcPr>
          <w:p>
            <w:pPr>
              <w:jc w:val="right"/>
              <w:rPr>
                <w:rFonts w:eastAsiaTheme="minorEastAsia"/>
                <w:sz w:val="24"/>
                <w:szCs w:val="24"/>
              </w:rPr>
            </w:pPr>
            <w:r>
              <w:rPr>
                <w:rFonts w:eastAsiaTheme="minorEastAsia"/>
                <w:sz w:val="24"/>
                <w:szCs w:val="24"/>
              </w:rPr>
              <w:t>-</w:t>
            </w:r>
          </w:p>
        </w:tc>
        <w:tc>
          <w:tcPr>
            <w:tcW w:w="1843" w:type="dxa"/>
            <w:vAlign w:val="center"/>
          </w:tcPr>
          <w:p>
            <w:pPr>
              <w:jc w:val="right"/>
              <w:rPr>
                <w:rFonts w:eastAsiaTheme="minorEastAsia"/>
                <w:sz w:val="24"/>
                <w:szCs w:val="24"/>
              </w:rPr>
            </w:pPr>
            <w:r>
              <w:rPr>
                <w:rFonts w:eastAsiaTheme="minorEastAsia"/>
                <w:sz w:val="24"/>
                <w:szCs w:val="24"/>
              </w:rPr>
              <w:t>-</w:t>
            </w:r>
          </w:p>
        </w:tc>
        <w:tc>
          <w:tcPr>
            <w:tcW w:w="1843" w:type="dxa"/>
            <w:vAlign w:val="center"/>
          </w:tcPr>
          <w:p>
            <w:pPr>
              <w:jc w:val="right"/>
              <w:rPr>
                <w:rFonts w:eastAsiaTheme="minorEastAsia"/>
                <w:sz w:val="24"/>
                <w:szCs w:val="24"/>
              </w:rPr>
            </w:pPr>
            <w:r>
              <w:rPr>
                <w:rFonts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trPr>
        <w:tc>
          <w:tcPr>
            <w:tcW w:w="1413" w:type="dxa"/>
            <w:vMerge w:val="restart"/>
            <w:vAlign w:val="center"/>
          </w:tcPr>
          <w:p>
            <w:pPr>
              <w:rPr>
                <w:rFonts w:eastAsiaTheme="minorEastAsia"/>
                <w:sz w:val="24"/>
                <w:szCs w:val="24"/>
                <w:highlight w:val="none"/>
              </w:rPr>
            </w:pPr>
            <w:r>
              <w:rPr>
                <w:rFonts w:hint="eastAsia" w:eastAsiaTheme="minorEastAsia"/>
                <w:sz w:val="24"/>
                <w:szCs w:val="24"/>
                <w:highlight w:val="none"/>
              </w:rPr>
              <w:t>其中：募集期间基金管理人的从业人员认购本基金情况</w:t>
            </w:r>
          </w:p>
        </w:tc>
        <w:tc>
          <w:tcPr>
            <w:tcW w:w="1984" w:type="dxa"/>
            <w:vAlign w:val="center"/>
          </w:tcPr>
          <w:p>
            <w:pPr>
              <w:rPr>
                <w:rFonts w:eastAsiaTheme="minorEastAsia"/>
                <w:sz w:val="24"/>
                <w:szCs w:val="24"/>
                <w:highlight w:val="none"/>
              </w:rPr>
            </w:pPr>
            <w:r>
              <w:rPr>
                <w:rFonts w:hint="eastAsia" w:eastAsiaTheme="minorEastAsia"/>
                <w:sz w:val="24"/>
                <w:szCs w:val="24"/>
                <w:highlight w:val="none"/>
              </w:rPr>
              <w:t>认购的基金份额（单位：份）</w:t>
            </w:r>
          </w:p>
        </w:tc>
        <w:tc>
          <w:tcPr>
            <w:tcW w:w="1843" w:type="dxa"/>
            <w:vAlign w:val="center"/>
          </w:tcPr>
          <w:p>
            <w:pPr>
              <w:widowControl/>
              <w:jc w:val="center"/>
              <w:rPr>
                <w:rFonts w:eastAsiaTheme="minorEastAsia"/>
                <w:color w:val="000000"/>
                <w:sz w:val="24"/>
                <w:szCs w:val="24"/>
              </w:rPr>
            </w:pPr>
            <w:r>
              <w:rPr>
                <w:rFonts w:hint="eastAsia" w:eastAsiaTheme="minorEastAsia"/>
                <w:color w:val="000000"/>
                <w:sz w:val="24"/>
                <w:szCs w:val="24"/>
              </w:rPr>
              <w:t>139</w:t>
            </w:r>
            <w:r>
              <w:rPr>
                <w:rFonts w:hint="eastAsia" w:eastAsiaTheme="minorEastAsia"/>
                <w:color w:val="000000"/>
                <w:sz w:val="24"/>
                <w:szCs w:val="24"/>
                <w:lang w:val="en-US" w:eastAsia="zh-CN"/>
              </w:rPr>
              <w:t>,</w:t>
            </w:r>
            <w:r>
              <w:rPr>
                <w:rFonts w:hint="eastAsia" w:eastAsiaTheme="minorEastAsia"/>
                <w:color w:val="000000"/>
                <w:sz w:val="24"/>
                <w:szCs w:val="24"/>
              </w:rPr>
              <w:t>990.62</w:t>
            </w:r>
          </w:p>
        </w:tc>
        <w:tc>
          <w:tcPr>
            <w:tcW w:w="1843" w:type="dxa"/>
            <w:vAlign w:val="center"/>
          </w:tcPr>
          <w:p>
            <w:pPr>
              <w:widowControl/>
              <w:jc w:val="center"/>
              <w:rPr>
                <w:rFonts w:eastAsiaTheme="minorEastAsia"/>
                <w:color w:val="000000"/>
                <w:sz w:val="24"/>
                <w:szCs w:val="24"/>
              </w:rPr>
            </w:pPr>
            <w:r>
              <w:rPr>
                <w:rFonts w:hint="eastAsia" w:eastAsiaTheme="minorEastAsia"/>
                <w:color w:val="000000"/>
                <w:sz w:val="24"/>
                <w:szCs w:val="24"/>
              </w:rPr>
              <w:t>35</w:t>
            </w:r>
            <w:r>
              <w:rPr>
                <w:rFonts w:hint="eastAsia" w:eastAsiaTheme="minorEastAsia"/>
                <w:color w:val="000000"/>
                <w:sz w:val="24"/>
                <w:szCs w:val="24"/>
                <w:lang w:val="en-US" w:eastAsia="zh-CN"/>
              </w:rPr>
              <w:t>,</w:t>
            </w:r>
            <w:r>
              <w:rPr>
                <w:rFonts w:hint="eastAsia" w:eastAsiaTheme="minorEastAsia"/>
                <w:color w:val="000000"/>
                <w:sz w:val="24"/>
                <w:szCs w:val="24"/>
              </w:rPr>
              <w:t>028.57</w:t>
            </w:r>
          </w:p>
        </w:tc>
        <w:tc>
          <w:tcPr>
            <w:tcW w:w="1843" w:type="dxa"/>
            <w:vAlign w:val="center"/>
          </w:tcPr>
          <w:p>
            <w:pPr>
              <w:widowControl/>
              <w:jc w:val="center"/>
              <w:rPr>
                <w:rFonts w:eastAsiaTheme="minorEastAsia"/>
                <w:color w:val="000000"/>
                <w:sz w:val="24"/>
                <w:szCs w:val="24"/>
              </w:rPr>
            </w:pPr>
            <w:r>
              <w:rPr>
                <w:rFonts w:hint="eastAsia" w:eastAsiaTheme="minorEastAsia"/>
                <w:color w:val="000000"/>
                <w:sz w:val="24"/>
                <w:szCs w:val="24"/>
              </w:rPr>
              <w:t>175</w:t>
            </w:r>
            <w:r>
              <w:rPr>
                <w:rFonts w:hint="eastAsia" w:eastAsiaTheme="minorEastAsia"/>
                <w:color w:val="000000"/>
                <w:sz w:val="24"/>
                <w:szCs w:val="24"/>
                <w:lang w:val="en-US" w:eastAsia="zh-CN"/>
              </w:rPr>
              <w:t>,</w:t>
            </w:r>
            <w:r>
              <w:rPr>
                <w:rFonts w:hint="eastAsia" w:eastAsiaTheme="minorEastAsia"/>
                <w:color w:val="000000"/>
                <w:sz w:val="24"/>
                <w:szCs w:val="24"/>
              </w:rPr>
              <w:t>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trPr>
        <w:tc>
          <w:tcPr>
            <w:tcW w:w="1413" w:type="dxa"/>
            <w:vMerge w:val="continue"/>
            <w:vAlign w:val="center"/>
          </w:tcPr>
          <w:p>
            <w:pPr>
              <w:spacing w:line="560" w:lineRule="exact"/>
              <w:rPr>
                <w:rFonts w:eastAsiaTheme="minorEastAsia"/>
                <w:color w:val="000000"/>
                <w:sz w:val="24"/>
                <w:szCs w:val="24"/>
                <w:highlight w:val="none"/>
              </w:rPr>
            </w:pPr>
          </w:p>
        </w:tc>
        <w:tc>
          <w:tcPr>
            <w:tcW w:w="1984" w:type="dxa"/>
            <w:vAlign w:val="center"/>
          </w:tcPr>
          <w:p>
            <w:pPr>
              <w:rPr>
                <w:rFonts w:eastAsiaTheme="minorEastAsia"/>
                <w:sz w:val="24"/>
                <w:szCs w:val="24"/>
                <w:highlight w:val="none"/>
              </w:rPr>
            </w:pPr>
            <w:r>
              <w:rPr>
                <w:rFonts w:hint="eastAsia" w:eastAsiaTheme="minorEastAsia"/>
                <w:sz w:val="24"/>
                <w:szCs w:val="24"/>
                <w:highlight w:val="none"/>
              </w:rPr>
              <w:t>占基金总份额比例</w:t>
            </w:r>
          </w:p>
        </w:tc>
        <w:tc>
          <w:tcPr>
            <w:tcW w:w="1843" w:type="dxa"/>
            <w:vAlign w:val="center"/>
          </w:tcPr>
          <w:p>
            <w:pPr>
              <w:widowControl/>
              <w:jc w:val="center"/>
              <w:rPr>
                <w:rFonts w:eastAsiaTheme="minorEastAsia"/>
                <w:color w:val="000000"/>
                <w:sz w:val="24"/>
                <w:szCs w:val="24"/>
              </w:rPr>
            </w:pPr>
            <w:r>
              <w:rPr>
                <w:rFonts w:hint="eastAsia" w:eastAsiaTheme="minorEastAsia"/>
                <w:color w:val="000000"/>
                <w:sz w:val="24"/>
                <w:szCs w:val="24"/>
              </w:rPr>
              <w:t>0.054</w:t>
            </w:r>
            <w:r>
              <w:rPr>
                <w:rFonts w:hint="eastAsia" w:eastAsiaTheme="minorEastAsia"/>
                <w:color w:val="000000"/>
                <w:sz w:val="24"/>
                <w:szCs w:val="24"/>
                <w:lang w:val="en-US" w:eastAsia="zh-CN"/>
              </w:rPr>
              <w:t>2</w:t>
            </w:r>
            <w:r>
              <w:rPr>
                <w:rFonts w:hint="eastAsia" w:eastAsiaTheme="minorEastAsia"/>
                <w:color w:val="000000"/>
                <w:sz w:val="24"/>
                <w:szCs w:val="24"/>
              </w:rPr>
              <w:t>%</w:t>
            </w:r>
          </w:p>
        </w:tc>
        <w:tc>
          <w:tcPr>
            <w:tcW w:w="1843" w:type="dxa"/>
            <w:vAlign w:val="center"/>
          </w:tcPr>
          <w:p>
            <w:pPr>
              <w:widowControl/>
              <w:jc w:val="center"/>
              <w:rPr>
                <w:rFonts w:eastAsiaTheme="minorEastAsia"/>
                <w:color w:val="000000"/>
                <w:sz w:val="24"/>
                <w:szCs w:val="24"/>
              </w:rPr>
            </w:pPr>
            <w:r>
              <w:rPr>
                <w:rFonts w:hint="eastAsia" w:eastAsiaTheme="minorEastAsia"/>
                <w:color w:val="000000"/>
                <w:sz w:val="24"/>
                <w:szCs w:val="24"/>
              </w:rPr>
              <w:t>0.0191%</w:t>
            </w:r>
          </w:p>
        </w:tc>
        <w:tc>
          <w:tcPr>
            <w:tcW w:w="1843" w:type="dxa"/>
            <w:vAlign w:val="center"/>
          </w:tcPr>
          <w:p>
            <w:pPr>
              <w:widowControl/>
              <w:jc w:val="center"/>
              <w:rPr>
                <w:rFonts w:eastAsiaTheme="minorEastAsia"/>
                <w:color w:val="000000"/>
                <w:sz w:val="24"/>
                <w:szCs w:val="24"/>
              </w:rPr>
            </w:pPr>
            <w:r>
              <w:rPr>
                <w:rFonts w:hint="eastAsia" w:eastAsiaTheme="minorEastAsia"/>
                <w:color w:val="000000"/>
                <w:sz w:val="24"/>
                <w:szCs w:val="24"/>
              </w:rPr>
              <w:t>0.0397%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83" w:type="dxa"/>
            <w:gridSpan w:val="4"/>
            <w:vAlign w:val="center"/>
          </w:tcPr>
          <w:p>
            <w:pPr>
              <w:spacing w:line="560" w:lineRule="exact"/>
              <w:rPr>
                <w:rFonts w:eastAsiaTheme="minorEastAsia"/>
                <w:color w:val="000000"/>
                <w:sz w:val="24"/>
                <w:szCs w:val="24"/>
              </w:rPr>
            </w:pPr>
            <w:r>
              <w:rPr>
                <w:rFonts w:hint="eastAsia" w:eastAsiaTheme="minorEastAsia"/>
                <w:color w:val="000000"/>
                <w:sz w:val="24"/>
                <w:szCs w:val="24"/>
              </w:rPr>
              <w:t>募集期限届满基金是否符合法律法规规定的办理基金备案手续的条件</w:t>
            </w:r>
          </w:p>
        </w:tc>
        <w:tc>
          <w:tcPr>
            <w:tcW w:w="1843" w:type="dxa"/>
            <w:vAlign w:val="center"/>
          </w:tcPr>
          <w:p>
            <w:pPr>
              <w:spacing w:line="560" w:lineRule="exact"/>
              <w:jc w:val="center"/>
              <w:rPr>
                <w:rFonts w:cs="宋体" w:eastAsiaTheme="minorEastAsia"/>
                <w:sz w:val="24"/>
                <w:szCs w:val="24"/>
              </w:rPr>
            </w:pPr>
            <w:r>
              <w:rPr>
                <w:rFonts w:hint="eastAsia" w:eastAsia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83" w:type="dxa"/>
            <w:gridSpan w:val="4"/>
            <w:vAlign w:val="center"/>
          </w:tcPr>
          <w:p>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1843" w:type="dxa"/>
            <w:vAlign w:val="center"/>
          </w:tcPr>
          <w:p>
            <w:pPr>
              <w:rPr>
                <w:rFonts w:cs="宋体" w:eastAsiaTheme="minorEastAsia"/>
                <w:sz w:val="24"/>
                <w:szCs w:val="24"/>
              </w:rPr>
            </w:pPr>
            <w:r>
              <w:rPr>
                <w:rFonts w:hint="eastAsia" w:eastAsiaTheme="minorEastAsia"/>
                <w:sz w:val="24"/>
                <w:szCs w:val="24"/>
              </w:rPr>
              <w:t>2023年3月</w:t>
            </w:r>
            <w:r>
              <w:rPr>
                <w:rFonts w:hint="eastAsia" w:eastAsiaTheme="minorEastAsia"/>
                <w:sz w:val="24"/>
                <w:szCs w:val="24"/>
                <w:lang w:val="en-US" w:eastAsia="zh-CN"/>
              </w:rPr>
              <w:t>30</w:t>
            </w:r>
            <w:bookmarkStart w:id="2" w:name="_GoBack"/>
            <w:bookmarkEnd w:id="2"/>
            <w:r>
              <w:rPr>
                <w:rFonts w:hint="eastAsia" w:eastAsiaTheme="minorEastAsia"/>
                <w:sz w:val="24"/>
                <w:szCs w:val="24"/>
              </w:rPr>
              <w:t>日</w:t>
            </w:r>
          </w:p>
        </w:tc>
      </w:tr>
    </w:tbl>
    <w:p>
      <w:pPr>
        <w:spacing w:line="360" w:lineRule="auto"/>
        <w:rPr>
          <w:rFonts w:eastAsiaTheme="minorEastAsia"/>
          <w:kern w:val="0"/>
          <w:sz w:val="24"/>
          <w:szCs w:val="24"/>
        </w:rPr>
      </w:pPr>
      <w:r>
        <w:rPr>
          <w:rFonts w:eastAsiaTheme="minorEastAsia"/>
          <w:kern w:val="0"/>
          <w:sz w:val="24"/>
          <w:szCs w:val="24"/>
        </w:rPr>
        <w:t>注：1、本基金合同生效前发生的与基金募集活动有关的费用，包括会计师费、律师费、信息披露费以及其他费用，不得从基金财产中列支。</w:t>
      </w:r>
    </w:p>
    <w:p>
      <w:pPr>
        <w:spacing w:line="360" w:lineRule="auto"/>
        <w:ind w:firstLine="480" w:firstLineChars="200"/>
        <w:rPr>
          <w:rFonts w:eastAsiaTheme="minorEastAsia"/>
          <w:kern w:val="0"/>
          <w:sz w:val="24"/>
          <w:szCs w:val="24"/>
          <w:highlight w:val="yellow"/>
        </w:rPr>
      </w:pPr>
      <w:r>
        <w:rPr>
          <w:rFonts w:eastAsiaTheme="minorEastAsia"/>
          <w:kern w:val="0"/>
          <w:sz w:val="24"/>
          <w:szCs w:val="24"/>
        </w:rPr>
        <w:t>2、</w:t>
      </w:r>
      <w:r>
        <w:rPr>
          <w:rFonts w:hint="eastAsia" w:eastAsiaTheme="minorEastAsia"/>
          <w:kern w:val="0"/>
          <w:sz w:val="24"/>
          <w:szCs w:val="24"/>
          <w:highlight w:val="none"/>
        </w:rPr>
        <w:t>本基金管理人的基金投资和研究部门负责人未认购本基金；本基金管理人的高级管理人员未认购本基金；本基金基金经理未认购本基金。</w:t>
      </w:r>
    </w:p>
    <w:p>
      <w:pPr>
        <w:spacing w:line="360" w:lineRule="auto"/>
        <w:ind w:firstLine="480" w:firstLineChars="200"/>
        <w:rPr>
          <w:rFonts w:eastAsiaTheme="minorEastAsia"/>
          <w:kern w:val="0"/>
          <w:sz w:val="24"/>
          <w:szCs w:val="24"/>
        </w:rPr>
      </w:pPr>
      <w:r>
        <w:rPr>
          <w:rFonts w:eastAsiaTheme="minorEastAsia"/>
          <w:kern w:val="0"/>
          <w:sz w:val="24"/>
          <w:szCs w:val="24"/>
        </w:rPr>
        <w:t>3</w:t>
      </w:r>
      <w:r>
        <w:rPr>
          <w:rFonts w:hint="eastAsia" w:eastAsiaTheme="minor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pPr>
        <w:widowControl/>
        <w:jc w:val="left"/>
        <w:rPr>
          <w:rFonts w:eastAsiaTheme="minorEastAsia"/>
          <w:kern w:val="0"/>
          <w:sz w:val="24"/>
          <w:szCs w:val="24"/>
        </w:rPr>
      </w:pPr>
    </w:p>
    <w:p>
      <w:pPr>
        <w:pStyle w:val="2"/>
        <w:spacing w:line="560" w:lineRule="exact"/>
        <w:rPr>
          <w:rFonts w:ascii="Times New Roman" w:hAnsi="Times New Roman" w:eastAsiaTheme="minorEastAsia"/>
          <w:bCs w:val="0"/>
          <w:color w:val="000000"/>
          <w:sz w:val="24"/>
          <w:szCs w:val="24"/>
        </w:rPr>
      </w:pPr>
      <w:r>
        <w:rPr>
          <w:rFonts w:ascii="Times New Roman" w:hAnsi="Times New Roman" w:eastAsiaTheme="minorEastAsia"/>
          <w:bCs w:val="0"/>
          <w:color w:val="000000"/>
          <w:sz w:val="24"/>
          <w:szCs w:val="24"/>
        </w:rPr>
        <w:t>3 其他需要提示的事项</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w:t>
      </w:r>
      <w:r>
        <w:rPr>
          <w:rFonts w:eastAsiaTheme="minorEastAsia"/>
          <w:kern w:val="0"/>
          <w:sz w:val="24"/>
          <w:szCs w:val="24"/>
        </w:rPr>
        <w:t>1）基金份额持有人可以在基金合同生效之日起2个工作日后到销售机构的网点进行交易确认单的查询和打印，也可以通过本基金管理人的网站（www.fund001.com）查询交易确认情况。</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w:t>
      </w:r>
      <w:r>
        <w:rPr>
          <w:rFonts w:eastAsiaTheme="minorEastAsia"/>
          <w:kern w:val="0"/>
          <w:sz w:val="24"/>
          <w:szCs w:val="24"/>
        </w:rPr>
        <w:t>2）</w:t>
      </w:r>
      <w:r>
        <w:rPr>
          <w:rFonts w:hint="eastAsia" w:eastAsiaTheme="minorEastAsia"/>
          <w:kern w:val="0"/>
          <w:sz w:val="24"/>
          <w:szCs w:val="24"/>
        </w:rPr>
        <w:t>基金管理人可根据实际情况依法决定本基金开始办理申购的具体日期，具体业务办理时间在申购开始公告中规定。基金管理人自基金合同生效之日起不超过3个月开始办理赎回，具体业务办理时间在赎回开始公告中规定。</w:t>
      </w:r>
      <w:r>
        <w:rPr>
          <w:rFonts w:eastAsiaTheme="minorEastAsia"/>
          <w:kern w:val="0"/>
          <w:sz w:val="24"/>
          <w:szCs w:val="24"/>
        </w:rPr>
        <w:t>办理申购、赎回业务的具体时间由本基金管理人于申购、赎回开放日前依照《</w:t>
      </w:r>
      <w:r>
        <w:rPr>
          <w:rFonts w:hint="eastAsia" w:eastAsiaTheme="minorEastAsia"/>
          <w:kern w:val="0"/>
          <w:sz w:val="24"/>
          <w:szCs w:val="24"/>
        </w:rPr>
        <w:t>公开募集</w:t>
      </w:r>
      <w:r>
        <w:rPr>
          <w:rFonts w:eastAsiaTheme="minorEastAsia"/>
          <w:kern w:val="0"/>
          <w:sz w:val="24"/>
          <w:szCs w:val="24"/>
        </w:rPr>
        <w:t>证券投资基金信息披露管理办法》的有关规定在</w:t>
      </w:r>
      <w:r>
        <w:rPr>
          <w:rFonts w:hint="eastAsia" w:eastAsiaTheme="minorEastAsia"/>
          <w:kern w:val="0"/>
          <w:sz w:val="24"/>
          <w:szCs w:val="24"/>
        </w:rPr>
        <w:t>规定</w:t>
      </w:r>
      <w:r>
        <w:rPr>
          <w:rFonts w:eastAsiaTheme="minorEastAsia"/>
          <w:kern w:val="0"/>
          <w:sz w:val="24"/>
          <w:szCs w:val="24"/>
        </w:rPr>
        <w:t>媒体上公告。</w:t>
      </w:r>
    </w:p>
    <w:p>
      <w:pPr>
        <w:widowControl/>
        <w:spacing w:line="360" w:lineRule="auto"/>
        <w:ind w:firstLine="480" w:firstLineChars="200"/>
        <w:rPr>
          <w:rFonts w:eastAsiaTheme="minorEastAsia"/>
          <w:kern w:val="0"/>
          <w:sz w:val="24"/>
          <w:szCs w:val="24"/>
        </w:rPr>
      </w:pPr>
    </w:p>
    <w:p>
      <w:pPr>
        <w:spacing w:line="360" w:lineRule="auto"/>
        <w:ind w:firstLine="480" w:firstLineChars="200"/>
        <w:rPr>
          <w:rFonts w:eastAsiaTheme="minorEastAsia"/>
          <w:kern w:val="0"/>
          <w:sz w:val="24"/>
          <w:szCs w:val="24"/>
        </w:rPr>
      </w:pPr>
      <w:r>
        <w:rPr>
          <w:rFonts w:hint="eastAsia" w:eastAsiaTheme="minorEastAsia"/>
          <w:kern w:val="0"/>
          <w:sz w:val="24"/>
          <w:szCs w:val="24"/>
        </w:rPr>
        <w:t>风险提示：</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特此公告。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3C9F"/>
    <w:rsid w:val="0004636C"/>
    <w:rsid w:val="00053224"/>
    <w:rsid w:val="0005479A"/>
    <w:rsid w:val="00055D1E"/>
    <w:rsid w:val="00063472"/>
    <w:rsid w:val="00064A42"/>
    <w:rsid w:val="000667FA"/>
    <w:rsid w:val="000710DE"/>
    <w:rsid w:val="00074E44"/>
    <w:rsid w:val="00077D6C"/>
    <w:rsid w:val="00077F66"/>
    <w:rsid w:val="00083E36"/>
    <w:rsid w:val="00090A74"/>
    <w:rsid w:val="000919E4"/>
    <w:rsid w:val="000A221B"/>
    <w:rsid w:val="000B5039"/>
    <w:rsid w:val="000C3C56"/>
    <w:rsid w:val="000C78D8"/>
    <w:rsid w:val="000D209F"/>
    <w:rsid w:val="000D5F83"/>
    <w:rsid w:val="000E1829"/>
    <w:rsid w:val="000F1D61"/>
    <w:rsid w:val="00102950"/>
    <w:rsid w:val="00107ABA"/>
    <w:rsid w:val="00115202"/>
    <w:rsid w:val="00115B3C"/>
    <w:rsid w:val="001204F3"/>
    <w:rsid w:val="00120672"/>
    <w:rsid w:val="00131030"/>
    <w:rsid w:val="00131CAD"/>
    <w:rsid w:val="00142050"/>
    <w:rsid w:val="00142AB7"/>
    <w:rsid w:val="001457F7"/>
    <w:rsid w:val="00155179"/>
    <w:rsid w:val="001613A7"/>
    <w:rsid w:val="001629D8"/>
    <w:rsid w:val="0016571B"/>
    <w:rsid w:val="00176ACF"/>
    <w:rsid w:val="00176B7C"/>
    <w:rsid w:val="0018104F"/>
    <w:rsid w:val="00182710"/>
    <w:rsid w:val="00195C61"/>
    <w:rsid w:val="001965BF"/>
    <w:rsid w:val="001A0386"/>
    <w:rsid w:val="001A3C23"/>
    <w:rsid w:val="001A63ED"/>
    <w:rsid w:val="001B676D"/>
    <w:rsid w:val="001C5EB7"/>
    <w:rsid w:val="001D1106"/>
    <w:rsid w:val="001D3511"/>
    <w:rsid w:val="001D39D6"/>
    <w:rsid w:val="001D40B9"/>
    <w:rsid w:val="001D4E91"/>
    <w:rsid w:val="001D6621"/>
    <w:rsid w:val="001E1459"/>
    <w:rsid w:val="001E44EF"/>
    <w:rsid w:val="001E4736"/>
    <w:rsid w:val="001E56A6"/>
    <w:rsid w:val="001E5E0F"/>
    <w:rsid w:val="001F09F4"/>
    <w:rsid w:val="00201E38"/>
    <w:rsid w:val="00221F2C"/>
    <w:rsid w:val="00224161"/>
    <w:rsid w:val="00227191"/>
    <w:rsid w:val="00235DA6"/>
    <w:rsid w:val="00237088"/>
    <w:rsid w:val="00240036"/>
    <w:rsid w:val="00246F51"/>
    <w:rsid w:val="00251199"/>
    <w:rsid w:val="002514F3"/>
    <w:rsid w:val="0025568C"/>
    <w:rsid w:val="00261007"/>
    <w:rsid w:val="0026382B"/>
    <w:rsid w:val="002708B9"/>
    <w:rsid w:val="00273B37"/>
    <w:rsid w:val="00275D2A"/>
    <w:rsid w:val="002811C2"/>
    <w:rsid w:val="00281608"/>
    <w:rsid w:val="00292AC7"/>
    <w:rsid w:val="0029332C"/>
    <w:rsid w:val="0029360C"/>
    <w:rsid w:val="002A2812"/>
    <w:rsid w:val="002A57CA"/>
    <w:rsid w:val="002B287A"/>
    <w:rsid w:val="002B4F0F"/>
    <w:rsid w:val="002B551A"/>
    <w:rsid w:val="002C1686"/>
    <w:rsid w:val="002C5B2A"/>
    <w:rsid w:val="002C7DB3"/>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C4"/>
    <w:rsid w:val="00353F65"/>
    <w:rsid w:val="003545E4"/>
    <w:rsid w:val="00355193"/>
    <w:rsid w:val="00357AC9"/>
    <w:rsid w:val="00361B89"/>
    <w:rsid w:val="00366377"/>
    <w:rsid w:val="003675D8"/>
    <w:rsid w:val="003735A2"/>
    <w:rsid w:val="003770DB"/>
    <w:rsid w:val="00390E48"/>
    <w:rsid w:val="00391516"/>
    <w:rsid w:val="003946C0"/>
    <w:rsid w:val="00395A7F"/>
    <w:rsid w:val="003A0766"/>
    <w:rsid w:val="003A0EF8"/>
    <w:rsid w:val="003A66ED"/>
    <w:rsid w:val="003A7935"/>
    <w:rsid w:val="003B52DD"/>
    <w:rsid w:val="003C0D0A"/>
    <w:rsid w:val="003C4D25"/>
    <w:rsid w:val="003C5F43"/>
    <w:rsid w:val="003D01EE"/>
    <w:rsid w:val="003D0993"/>
    <w:rsid w:val="003D6F46"/>
    <w:rsid w:val="003D79E3"/>
    <w:rsid w:val="003E0119"/>
    <w:rsid w:val="003E204C"/>
    <w:rsid w:val="003F5161"/>
    <w:rsid w:val="003F62E0"/>
    <w:rsid w:val="003F78B4"/>
    <w:rsid w:val="004013B2"/>
    <w:rsid w:val="00404261"/>
    <w:rsid w:val="00432AA7"/>
    <w:rsid w:val="00433603"/>
    <w:rsid w:val="0043612F"/>
    <w:rsid w:val="0044222E"/>
    <w:rsid w:val="00443ACF"/>
    <w:rsid w:val="00443C52"/>
    <w:rsid w:val="004449D1"/>
    <w:rsid w:val="00457F15"/>
    <w:rsid w:val="004669F8"/>
    <w:rsid w:val="00467A98"/>
    <w:rsid w:val="00470D71"/>
    <w:rsid w:val="00471C46"/>
    <w:rsid w:val="00471F62"/>
    <w:rsid w:val="004728BC"/>
    <w:rsid w:val="0049139B"/>
    <w:rsid w:val="00492AC6"/>
    <w:rsid w:val="00494441"/>
    <w:rsid w:val="004966BA"/>
    <w:rsid w:val="004A074A"/>
    <w:rsid w:val="004A1F75"/>
    <w:rsid w:val="004A631B"/>
    <w:rsid w:val="004B6B00"/>
    <w:rsid w:val="004C055C"/>
    <w:rsid w:val="004C5152"/>
    <w:rsid w:val="004D2CFF"/>
    <w:rsid w:val="004D40F4"/>
    <w:rsid w:val="004D6CE8"/>
    <w:rsid w:val="004D7EA3"/>
    <w:rsid w:val="004E5BA6"/>
    <w:rsid w:val="004F692B"/>
    <w:rsid w:val="005012DD"/>
    <w:rsid w:val="005025FA"/>
    <w:rsid w:val="00522FF9"/>
    <w:rsid w:val="00525C51"/>
    <w:rsid w:val="0052630B"/>
    <w:rsid w:val="00532682"/>
    <w:rsid w:val="0054292E"/>
    <w:rsid w:val="005434E3"/>
    <w:rsid w:val="00543DE4"/>
    <w:rsid w:val="00551804"/>
    <w:rsid w:val="00553FA4"/>
    <w:rsid w:val="00561DFB"/>
    <w:rsid w:val="00565CBB"/>
    <w:rsid w:val="00575394"/>
    <w:rsid w:val="00582351"/>
    <w:rsid w:val="00585268"/>
    <w:rsid w:val="00585A2E"/>
    <w:rsid w:val="00591F82"/>
    <w:rsid w:val="0059261A"/>
    <w:rsid w:val="005A05D5"/>
    <w:rsid w:val="005A137B"/>
    <w:rsid w:val="005A2F1F"/>
    <w:rsid w:val="005A3291"/>
    <w:rsid w:val="005A4BD5"/>
    <w:rsid w:val="005A6A45"/>
    <w:rsid w:val="005B0474"/>
    <w:rsid w:val="005B66AC"/>
    <w:rsid w:val="005B685A"/>
    <w:rsid w:val="005B6B4E"/>
    <w:rsid w:val="005C0B8D"/>
    <w:rsid w:val="005C1B44"/>
    <w:rsid w:val="005C4680"/>
    <w:rsid w:val="005C53D5"/>
    <w:rsid w:val="005D5CAA"/>
    <w:rsid w:val="005D6260"/>
    <w:rsid w:val="005D6289"/>
    <w:rsid w:val="005D78BE"/>
    <w:rsid w:val="005E0049"/>
    <w:rsid w:val="005F0D33"/>
    <w:rsid w:val="005F796C"/>
    <w:rsid w:val="00601BF3"/>
    <w:rsid w:val="00603670"/>
    <w:rsid w:val="00613952"/>
    <w:rsid w:val="00615513"/>
    <w:rsid w:val="0061553F"/>
    <w:rsid w:val="0061685F"/>
    <w:rsid w:val="006205E6"/>
    <w:rsid w:val="00623C2A"/>
    <w:rsid w:val="00623D12"/>
    <w:rsid w:val="00634C46"/>
    <w:rsid w:val="00634D25"/>
    <w:rsid w:val="00635330"/>
    <w:rsid w:val="00636D84"/>
    <w:rsid w:val="00641C81"/>
    <w:rsid w:val="006632DE"/>
    <w:rsid w:val="006706C5"/>
    <w:rsid w:val="00677A73"/>
    <w:rsid w:val="006860C1"/>
    <w:rsid w:val="006900FF"/>
    <w:rsid w:val="006A4579"/>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1018"/>
    <w:rsid w:val="0073131B"/>
    <w:rsid w:val="00732355"/>
    <w:rsid w:val="00736B3B"/>
    <w:rsid w:val="00740F43"/>
    <w:rsid w:val="007670F3"/>
    <w:rsid w:val="0076782E"/>
    <w:rsid w:val="00771F3C"/>
    <w:rsid w:val="007874DA"/>
    <w:rsid w:val="00790BC2"/>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66EF"/>
    <w:rsid w:val="0080709E"/>
    <w:rsid w:val="00813207"/>
    <w:rsid w:val="008150A5"/>
    <w:rsid w:val="0082274D"/>
    <w:rsid w:val="008251F6"/>
    <w:rsid w:val="00825D74"/>
    <w:rsid w:val="00832507"/>
    <w:rsid w:val="0084455A"/>
    <w:rsid w:val="008551C9"/>
    <w:rsid w:val="00865588"/>
    <w:rsid w:val="008660BD"/>
    <w:rsid w:val="00871BA0"/>
    <w:rsid w:val="00873914"/>
    <w:rsid w:val="008754FF"/>
    <w:rsid w:val="00877B57"/>
    <w:rsid w:val="00884CC9"/>
    <w:rsid w:val="00894643"/>
    <w:rsid w:val="008956FE"/>
    <w:rsid w:val="008A2893"/>
    <w:rsid w:val="008B7070"/>
    <w:rsid w:val="008C3CED"/>
    <w:rsid w:val="008C6FD7"/>
    <w:rsid w:val="008D1678"/>
    <w:rsid w:val="008E08B3"/>
    <w:rsid w:val="008E0998"/>
    <w:rsid w:val="008E0CC1"/>
    <w:rsid w:val="008E15D6"/>
    <w:rsid w:val="008E52F3"/>
    <w:rsid w:val="008F28E5"/>
    <w:rsid w:val="008F2920"/>
    <w:rsid w:val="00904108"/>
    <w:rsid w:val="009134B6"/>
    <w:rsid w:val="009157BD"/>
    <w:rsid w:val="00920232"/>
    <w:rsid w:val="009206A9"/>
    <w:rsid w:val="00925A66"/>
    <w:rsid w:val="00926DCE"/>
    <w:rsid w:val="00927C2D"/>
    <w:rsid w:val="00931B1F"/>
    <w:rsid w:val="0093293C"/>
    <w:rsid w:val="00936738"/>
    <w:rsid w:val="009371A9"/>
    <w:rsid w:val="00943D25"/>
    <w:rsid w:val="00944CBC"/>
    <w:rsid w:val="0094692C"/>
    <w:rsid w:val="00955159"/>
    <w:rsid w:val="0095670E"/>
    <w:rsid w:val="00965098"/>
    <w:rsid w:val="009666C0"/>
    <w:rsid w:val="00971704"/>
    <w:rsid w:val="00971C44"/>
    <w:rsid w:val="00974701"/>
    <w:rsid w:val="00990CDE"/>
    <w:rsid w:val="00991070"/>
    <w:rsid w:val="009965C2"/>
    <w:rsid w:val="00997551"/>
    <w:rsid w:val="009A5815"/>
    <w:rsid w:val="009A5A15"/>
    <w:rsid w:val="009B78B6"/>
    <w:rsid w:val="009B7BB3"/>
    <w:rsid w:val="009C32F4"/>
    <w:rsid w:val="009C4419"/>
    <w:rsid w:val="009C5969"/>
    <w:rsid w:val="009C5EBC"/>
    <w:rsid w:val="009D3F58"/>
    <w:rsid w:val="009E1BD9"/>
    <w:rsid w:val="009E2EAE"/>
    <w:rsid w:val="009E69BD"/>
    <w:rsid w:val="009F0A11"/>
    <w:rsid w:val="009F4198"/>
    <w:rsid w:val="009F6591"/>
    <w:rsid w:val="009F6A2B"/>
    <w:rsid w:val="009F72C0"/>
    <w:rsid w:val="009F7478"/>
    <w:rsid w:val="00A032FA"/>
    <w:rsid w:val="00A10082"/>
    <w:rsid w:val="00A11CBA"/>
    <w:rsid w:val="00A14E53"/>
    <w:rsid w:val="00A213DC"/>
    <w:rsid w:val="00A231CF"/>
    <w:rsid w:val="00A27B23"/>
    <w:rsid w:val="00A307CC"/>
    <w:rsid w:val="00A35BE9"/>
    <w:rsid w:val="00A35CE3"/>
    <w:rsid w:val="00A44BD2"/>
    <w:rsid w:val="00A52802"/>
    <w:rsid w:val="00A53800"/>
    <w:rsid w:val="00A57903"/>
    <w:rsid w:val="00A60BD3"/>
    <w:rsid w:val="00A61671"/>
    <w:rsid w:val="00A61873"/>
    <w:rsid w:val="00A6604D"/>
    <w:rsid w:val="00A66B74"/>
    <w:rsid w:val="00A74AFB"/>
    <w:rsid w:val="00A92B73"/>
    <w:rsid w:val="00A97A11"/>
    <w:rsid w:val="00AA1205"/>
    <w:rsid w:val="00AA7946"/>
    <w:rsid w:val="00AB011F"/>
    <w:rsid w:val="00AB494D"/>
    <w:rsid w:val="00AB5C5F"/>
    <w:rsid w:val="00AC3E86"/>
    <w:rsid w:val="00AD1BFF"/>
    <w:rsid w:val="00AD5E3C"/>
    <w:rsid w:val="00AD6302"/>
    <w:rsid w:val="00AE54B5"/>
    <w:rsid w:val="00AE6118"/>
    <w:rsid w:val="00AF083A"/>
    <w:rsid w:val="00AF0B13"/>
    <w:rsid w:val="00AF11D0"/>
    <w:rsid w:val="00AF5A33"/>
    <w:rsid w:val="00B002E7"/>
    <w:rsid w:val="00B068C7"/>
    <w:rsid w:val="00B10C79"/>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61FF"/>
    <w:rsid w:val="00B61EDA"/>
    <w:rsid w:val="00B64DD9"/>
    <w:rsid w:val="00B77F4F"/>
    <w:rsid w:val="00B820E1"/>
    <w:rsid w:val="00B82298"/>
    <w:rsid w:val="00B82A89"/>
    <w:rsid w:val="00B82B4A"/>
    <w:rsid w:val="00B852DA"/>
    <w:rsid w:val="00B90602"/>
    <w:rsid w:val="00B916FE"/>
    <w:rsid w:val="00B91711"/>
    <w:rsid w:val="00B955D9"/>
    <w:rsid w:val="00BA79D5"/>
    <w:rsid w:val="00BB2BAF"/>
    <w:rsid w:val="00BB7E8A"/>
    <w:rsid w:val="00BD2A37"/>
    <w:rsid w:val="00BD4D21"/>
    <w:rsid w:val="00BD7EFA"/>
    <w:rsid w:val="00BE2AE5"/>
    <w:rsid w:val="00BE542E"/>
    <w:rsid w:val="00BE6F95"/>
    <w:rsid w:val="00C00536"/>
    <w:rsid w:val="00C072D6"/>
    <w:rsid w:val="00C1325E"/>
    <w:rsid w:val="00C1591D"/>
    <w:rsid w:val="00C30E6A"/>
    <w:rsid w:val="00C35D35"/>
    <w:rsid w:val="00C40FE0"/>
    <w:rsid w:val="00C45C86"/>
    <w:rsid w:val="00C5233D"/>
    <w:rsid w:val="00C626A5"/>
    <w:rsid w:val="00C63E6D"/>
    <w:rsid w:val="00C65D47"/>
    <w:rsid w:val="00C83661"/>
    <w:rsid w:val="00C85D18"/>
    <w:rsid w:val="00C935DF"/>
    <w:rsid w:val="00CA4D70"/>
    <w:rsid w:val="00CA5FC5"/>
    <w:rsid w:val="00CA7356"/>
    <w:rsid w:val="00CB0006"/>
    <w:rsid w:val="00CB03BE"/>
    <w:rsid w:val="00CB0572"/>
    <w:rsid w:val="00CB3E1F"/>
    <w:rsid w:val="00CB583A"/>
    <w:rsid w:val="00CB6848"/>
    <w:rsid w:val="00CB6E9B"/>
    <w:rsid w:val="00CC551F"/>
    <w:rsid w:val="00CD5199"/>
    <w:rsid w:val="00CD6CA8"/>
    <w:rsid w:val="00CE3C01"/>
    <w:rsid w:val="00CE701E"/>
    <w:rsid w:val="00CF3173"/>
    <w:rsid w:val="00D063DE"/>
    <w:rsid w:val="00D15C76"/>
    <w:rsid w:val="00D327FB"/>
    <w:rsid w:val="00D339BD"/>
    <w:rsid w:val="00D35283"/>
    <w:rsid w:val="00D361E1"/>
    <w:rsid w:val="00D517E1"/>
    <w:rsid w:val="00D5237D"/>
    <w:rsid w:val="00D57F49"/>
    <w:rsid w:val="00D60295"/>
    <w:rsid w:val="00D64B99"/>
    <w:rsid w:val="00D710AA"/>
    <w:rsid w:val="00D753E9"/>
    <w:rsid w:val="00D8024F"/>
    <w:rsid w:val="00D826EE"/>
    <w:rsid w:val="00D87CD4"/>
    <w:rsid w:val="00D921BA"/>
    <w:rsid w:val="00DA4A51"/>
    <w:rsid w:val="00DA77B6"/>
    <w:rsid w:val="00DA7F43"/>
    <w:rsid w:val="00DB1342"/>
    <w:rsid w:val="00DB2A12"/>
    <w:rsid w:val="00DC081C"/>
    <w:rsid w:val="00DC4FF4"/>
    <w:rsid w:val="00DD46CD"/>
    <w:rsid w:val="00DE05CB"/>
    <w:rsid w:val="00DE090E"/>
    <w:rsid w:val="00DE3711"/>
    <w:rsid w:val="00DE7BC9"/>
    <w:rsid w:val="00DE7E98"/>
    <w:rsid w:val="00E03903"/>
    <w:rsid w:val="00E1438A"/>
    <w:rsid w:val="00E15A54"/>
    <w:rsid w:val="00E17D5D"/>
    <w:rsid w:val="00E2069A"/>
    <w:rsid w:val="00E2122C"/>
    <w:rsid w:val="00E25248"/>
    <w:rsid w:val="00E45320"/>
    <w:rsid w:val="00E5324F"/>
    <w:rsid w:val="00E533EE"/>
    <w:rsid w:val="00E56399"/>
    <w:rsid w:val="00E57275"/>
    <w:rsid w:val="00E613D7"/>
    <w:rsid w:val="00E621E2"/>
    <w:rsid w:val="00E66738"/>
    <w:rsid w:val="00E761DE"/>
    <w:rsid w:val="00E76CE0"/>
    <w:rsid w:val="00E77B33"/>
    <w:rsid w:val="00E8215C"/>
    <w:rsid w:val="00E954A2"/>
    <w:rsid w:val="00EA0545"/>
    <w:rsid w:val="00EB06D4"/>
    <w:rsid w:val="00EB22F0"/>
    <w:rsid w:val="00EB4F68"/>
    <w:rsid w:val="00EC181E"/>
    <w:rsid w:val="00ED13F9"/>
    <w:rsid w:val="00ED1B61"/>
    <w:rsid w:val="00ED65D5"/>
    <w:rsid w:val="00EE18FB"/>
    <w:rsid w:val="00EE338E"/>
    <w:rsid w:val="00EE75F0"/>
    <w:rsid w:val="00EF1CBB"/>
    <w:rsid w:val="00EF40F5"/>
    <w:rsid w:val="00F0485C"/>
    <w:rsid w:val="00F102A0"/>
    <w:rsid w:val="00F13DDD"/>
    <w:rsid w:val="00F1658B"/>
    <w:rsid w:val="00F26989"/>
    <w:rsid w:val="00F338FE"/>
    <w:rsid w:val="00F40A9D"/>
    <w:rsid w:val="00F4292E"/>
    <w:rsid w:val="00F47730"/>
    <w:rsid w:val="00F53425"/>
    <w:rsid w:val="00F566ED"/>
    <w:rsid w:val="00F6092A"/>
    <w:rsid w:val="00F62236"/>
    <w:rsid w:val="00F6422F"/>
    <w:rsid w:val="00F64C16"/>
    <w:rsid w:val="00F67D13"/>
    <w:rsid w:val="00F7145D"/>
    <w:rsid w:val="00F75020"/>
    <w:rsid w:val="00F76A56"/>
    <w:rsid w:val="00F76B10"/>
    <w:rsid w:val="00F76C44"/>
    <w:rsid w:val="00F82497"/>
    <w:rsid w:val="00F8684F"/>
    <w:rsid w:val="00F92D5C"/>
    <w:rsid w:val="00FA2042"/>
    <w:rsid w:val="00FA3E5F"/>
    <w:rsid w:val="00FC5BDE"/>
    <w:rsid w:val="00FC6601"/>
    <w:rsid w:val="00FC6A28"/>
    <w:rsid w:val="00FD5DCA"/>
    <w:rsid w:val="00FE174F"/>
    <w:rsid w:val="00FE1833"/>
    <w:rsid w:val="00FE1F9A"/>
    <w:rsid w:val="00FE4D0A"/>
    <w:rsid w:val="00FF2E75"/>
    <w:rsid w:val="00FF37C0"/>
    <w:rsid w:val="00FF3E55"/>
    <w:rsid w:val="00FF5DD0"/>
    <w:rsid w:val="00FF68C6"/>
    <w:rsid w:val="10703F15"/>
    <w:rsid w:val="134B0AF8"/>
    <w:rsid w:val="2F936CFC"/>
    <w:rsid w:val="30134BD0"/>
    <w:rsid w:val="48F205E0"/>
    <w:rsid w:val="67EE1836"/>
    <w:rsid w:val="74F979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paragraph" w:styleId="2">
    <w:name w:val="heading 2"/>
    <w:basedOn w:val="1"/>
    <w:next w:val="1"/>
    <w:link w:val="15"/>
    <w:qFormat/>
    <w:uiPriority w:val="0"/>
    <w:pPr>
      <w:keepNext/>
      <w:keepLines/>
      <w:spacing w:before="260" w:after="260" w:line="416" w:lineRule="auto"/>
      <w:outlineLvl w:val="1"/>
    </w:pPr>
    <w:rPr>
      <w:rFonts w:ascii="Arial" w:hAnsi="Arial" w:eastAsia="黑体"/>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9"/>
    <w:semiHidden/>
    <w:unhideWhenUsed/>
    <w:qFormat/>
    <w:uiPriority w:val="99"/>
    <w:rPr>
      <w:rFonts w:ascii="宋体" w:eastAsia="宋体"/>
      <w:sz w:val="18"/>
      <w:szCs w:val="18"/>
    </w:rPr>
  </w:style>
  <w:style w:type="paragraph" w:styleId="4">
    <w:name w:val="annotation text"/>
    <w:basedOn w:val="1"/>
    <w:link w:val="21"/>
    <w:semiHidden/>
    <w:unhideWhenUsed/>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6"/>
    <w:qFormat/>
    <w:uiPriority w:val="0"/>
    <w:pPr>
      <w:snapToGrid w:val="0"/>
      <w:jc w:val="left"/>
    </w:pPr>
    <w:rPr>
      <w:rFonts w:eastAsia="宋体"/>
      <w:sz w:val="18"/>
    </w:rPr>
  </w:style>
  <w:style w:type="paragraph" w:styleId="9">
    <w:name w:val="annotation subject"/>
    <w:basedOn w:val="4"/>
    <w:next w:val="4"/>
    <w:link w:val="22"/>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styleId="14">
    <w:name w:val="footnote reference"/>
    <w:basedOn w:val="12"/>
    <w:qFormat/>
    <w:uiPriority w:val="0"/>
    <w:rPr>
      <w:vertAlign w:val="superscript"/>
    </w:rPr>
  </w:style>
  <w:style w:type="character" w:customStyle="1" w:styleId="15">
    <w:name w:val="标题 2 字符"/>
    <w:basedOn w:val="12"/>
    <w:link w:val="2"/>
    <w:qFormat/>
    <w:uiPriority w:val="0"/>
    <w:rPr>
      <w:rFonts w:ascii="Arial" w:hAnsi="Arial" w:eastAsia="黑体" w:cs="Times New Roman"/>
      <w:b/>
      <w:bCs/>
      <w:sz w:val="32"/>
      <w:szCs w:val="32"/>
    </w:rPr>
  </w:style>
  <w:style w:type="character" w:customStyle="1" w:styleId="16">
    <w:name w:val="脚注文本 字符"/>
    <w:basedOn w:val="12"/>
    <w:link w:val="8"/>
    <w:qFormat/>
    <w:uiPriority w:val="0"/>
    <w:rPr>
      <w:rFonts w:ascii="Times New Roman" w:hAnsi="Times New Roman" w:eastAsia="宋体" w:cs="Times New Roman"/>
      <w:sz w:val="18"/>
      <w:szCs w:val="20"/>
    </w:rPr>
  </w:style>
  <w:style w:type="character" w:customStyle="1" w:styleId="17">
    <w:name w:val="页眉 字符"/>
    <w:basedOn w:val="12"/>
    <w:link w:val="7"/>
    <w:qFormat/>
    <w:uiPriority w:val="99"/>
    <w:rPr>
      <w:rFonts w:ascii="Times New Roman" w:hAnsi="Times New Roman" w:eastAsia="方正仿宋简体" w:cs="Times New Roman"/>
      <w:sz w:val="18"/>
      <w:szCs w:val="18"/>
    </w:rPr>
  </w:style>
  <w:style w:type="character" w:customStyle="1" w:styleId="18">
    <w:name w:val="页脚 字符"/>
    <w:basedOn w:val="12"/>
    <w:link w:val="6"/>
    <w:qFormat/>
    <w:uiPriority w:val="99"/>
    <w:rPr>
      <w:rFonts w:ascii="Times New Roman" w:hAnsi="Times New Roman" w:eastAsia="方正仿宋简体" w:cs="Times New Roman"/>
      <w:sz w:val="18"/>
      <w:szCs w:val="18"/>
    </w:rPr>
  </w:style>
  <w:style w:type="character" w:customStyle="1" w:styleId="19">
    <w:name w:val="文档结构图 字符"/>
    <w:basedOn w:val="12"/>
    <w:link w:val="3"/>
    <w:semiHidden/>
    <w:qFormat/>
    <w:uiPriority w:val="99"/>
    <w:rPr>
      <w:rFonts w:ascii="宋体" w:hAnsi="Times New Roman" w:eastAsia="宋体" w:cs="Times New Roman"/>
      <w:sz w:val="18"/>
      <w:szCs w:val="18"/>
    </w:rPr>
  </w:style>
  <w:style w:type="character" w:customStyle="1" w:styleId="20">
    <w:name w:val="批注框文本 字符"/>
    <w:basedOn w:val="12"/>
    <w:link w:val="5"/>
    <w:semiHidden/>
    <w:qFormat/>
    <w:uiPriority w:val="99"/>
    <w:rPr>
      <w:rFonts w:ascii="Times New Roman" w:hAnsi="Times New Roman" w:eastAsia="方正仿宋简体" w:cs="Times New Roman"/>
      <w:sz w:val="18"/>
      <w:szCs w:val="18"/>
    </w:rPr>
  </w:style>
  <w:style w:type="character" w:customStyle="1" w:styleId="21">
    <w:name w:val="批注文字 字符"/>
    <w:basedOn w:val="12"/>
    <w:link w:val="4"/>
    <w:semiHidden/>
    <w:qFormat/>
    <w:uiPriority w:val="99"/>
    <w:rPr>
      <w:rFonts w:ascii="Times New Roman" w:hAnsi="Times New Roman" w:eastAsia="方正仿宋简体" w:cs="Times New Roman"/>
      <w:sz w:val="32"/>
      <w:szCs w:val="20"/>
    </w:rPr>
  </w:style>
  <w:style w:type="character" w:customStyle="1" w:styleId="22">
    <w:name w:val="批注主题 字符"/>
    <w:basedOn w:val="21"/>
    <w:link w:val="9"/>
    <w:semiHidden/>
    <w:qFormat/>
    <w:uiPriority w:val="99"/>
    <w:rPr>
      <w:rFonts w:ascii="Times New Roman" w:hAnsi="Times New Roman" w:eastAsia="方正仿宋简体" w:cs="Times New Roman"/>
      <w:b/>
      <w:bCs/>
      <w:sz w:val="32"/>
      <w:szCs w:val="20"/>
    </w:rPr>
  </w:style>
  <w:style w:type="paragraph" w:customStyle="1" w:styleId="23">
    <w:name w:val="修订1"/>
    <w:hidden/>
    <w:semiHidden/>
    <w:qFormat/>
    <w:uiPriority w:val="99"/>
    <w:rPr>
      <w:rFonts w:ascii="Times New Roman" w:hAnsi="Times New Roman" w:eastAsia="方正仿宋简体" w:cs="Times New Roman"/>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253</Words>
  <Characters>1445</Characters>
  <Lines>12</Lines>
  <Paragraphs>3</Paragraphs>
  <TotalTime>80</TotalTime>
  <ScaleCrop>false</ScaleCrop>
  <LinksUpToDate>false</LinksUpToDate>
  <CharactersWithSpaces>1695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2022-09-21T02:47:00Z</dcterms:created>
  <dc:creator>User</dc:creator>
  <cp:lastModifiedBy>喻秋燕</cp:lastModifiedBy>
  <cp:lastPrinted>2023-03-28T08:58:00Z</cp:lastPrinted>
  <dcterms:modified xsi:type="dcterms:W3CDTF">2023-03-30T05:19:57Z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