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61BFFC" w14:textId="77777777" w:rsidR="00B838DF" w:rsidRPr="00EB07BC" w:rsidRDefault="00B838DF">
      <w:pPr>
        <w:rPr>
          <w:sz w:val="32"/>
        </w:rPr>
      </w:pPr>
    </w:p>
    <w:p w14:paraId="280ED84D" w14:textId="77777777" w:rsidR="00B838DF" w:rsidRPr="00EB07BC" w:rsidRDefault="00B838DF">
      <w:pPr>
        <w:rPr>
          <w:sz w:val="32"/>
        </w:rPr>
      </w:pPr>
    </w:p>
    <w:p w14:paraId="5C8CCCD3" w14:textId="77777777" w:rsidR="00B838DF" w:rsidRPr="00EB07BC" w:rsidRDefault="00B838DF">
      <w:pPr>
        <w:rPr>
          <w:sz w:val="32"/>
        </w:rPr>
      </w:pPr>
    </w:p>
    <w:p w14:paraId="209AA61A" w14:textId="733D2710" w:rsidR="00B838DF" w:rsidRPr="00EB07BC" w:rsidRDefault="00B97145">
      <w:pPr>
        <w:jc w:val="center"/>
        <w:rPr>
          <w:sz w:val="32"/>
        </w:rPr>
      </w:pPr>
      <w:r>
        <w:rPr>
          <w:noProof/>
        </w:rPr>
        <w:drawing>
          <wp:inline distT="0" distB="0" distL="0" distR="0" wp14:anchorId="59AE042E" wp14:editId="1189EC5B">
            <wp:extent cx="4343400" cy="574675"/>
            <wp:effectExtent l="0" t="0" r="0" b="0"/>
            <wp:docPr id="4"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logo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43400" cy="574675"/>
                    </a:xfrm>
                    <a:prstGeom prst="rect">
                      <a:avLst/>
                    </a:prstGeom>
                    <a:noFill/>
                    <a:ln>
                      <a:noFill/>
                    </a:ln>
                  </pic:spPr>
                </pic:pic>
              </a:graphicData>
            </a:graphic>
          </wp:inline>
        </w:drawing>
      </w:r>
    </w:p>
    <w:p w14:paraId="67E2F90D" w14:textId="77777777" w:rsidR="00FB4D29" w:rsidRDefault="00FB4D29">
      <w:pPr>
        <w:autoSpaceDE w:val="0"/>
        <w:autoSpaceDN w:val="0"/>
        <w:adjustRightInd w:val="0"/>
        <w:snapToGrid w:val="0"/>
        <w:spacing w:before="63" w:line="360" w:lineRule="auto"/>
        <w:ind w:rightChars="6" w:right="13"/>
        <w:jc w:val="center"/>
        <w:rPr>
          <w:rFonts w:ascii="宋体" w:hAnsi="宋体"/>
          <w:b/>
          <w:spacing w:val="2"/>
          <w:w w:val="99"/>
          <w:kern w:val="0"/>
          <w:position w:val="-4"/>
          <w:sz w:val="44"/>
          <w:szCs w:val="44"/>
        </w:rPr>
      </w:pPr>
    </w:p>
    <w:p w14:paraId="09795E1D" w14:textId="77777777" w:rsidR="00FB4D29" w:rsidRDefault="00FB4D29">
      <w:pPr>
        <w:autoSpaceDE w:val="0"/>
        <w:autoSpaceDN w:val="0"/>
        <w:adjustRightInd w:val="0"/>
        <w:snapToGrid w:val="0"/>
        <w:spacing w:before="63" w:line="360" w:lineRule="auto"/>
        <w:ind w:rightChars="6" w:right="13"/>
        <w:jc w:val="center"/>
        <w:rPr>
          <w:rFonts w:ascii="宋体" w:hAnsi="宋体"/>
          <w:b/>
          <w:spacing w:val="2"/>
          <w:w w:val="99"/>
          <w:kern w:val="0"/>
          <w:position w:val="-4"/>
          <w:sz w:val="44"/>
          <w:szCs w:val="44"/>
        </w:rPr>
      </w:pPr>
    </w:p>
    <w:p w14:paraId="101C31B7" w14:textId="77777777" w:rsidR="00FB4D29" w:rsidRDefault="00CF4592">
      <w:pPr>
        <w:autoSpaceDE w:val="0"/>
        <w:autoSpaceDN w:val="0"/>
        <w:adjustRightInd w:val="0"/>
        <w:snapToGrid w:val="0"/>
        <w:spacing w:before="63" w:line="360" w:lineRule="auto"/>
        <w:ind w:rightChars="6" w:right="13"/>
        <w:jc w:val="center"/>
        <w:rPr>
          <w:rFonts w:ascii="黑体" w:hAnsi="黑体"/>
          <w:b/>
          <w:spacing w:val="2"/>
          <w:w w:val="99"/>
          <w:kern w:val="0"/>
          <w:position w:val="-4"/>
          <w:sz w:val="44"/>
          <w:szCs w:val="44"/>
        </w:rPr>
      </w:pPr>
      <w:r>
        <w:rPr>
          <w:rFonts w:ascii="Times New Roman" w:hAnsi="Times New Roman"/>
          <w:b/>
          <w:spacing w:val="2"/>
          <w:w w:val="99"/>
          <w:kern w:val="0"/>
          <w:position w:val="-4"/>
          <w:sz w:val="44"/>
          <w:szCs w:val="44"/>
        </w:rPr>
        <w:t>交银施罗德持续成长主题混合型证券投资基金</w:t>
      </w:r>
    </w:p>
    <w:p w14:paraId="24ABEF48" w14:textId="79FB7F33" w:rsidR="00FB4D29" w:rsidRDefault="00CF4592">
      <w:pPr>
        <w:autoSpaceDE w:val="0"/>
        <w:autoSpaceDN w:val="0"/>
        <w:adjustRightInd w:val="0"/>
        <w:snapToGrid w:val="0"/>
        <w:spacing w:before="63" w:line="360" w:lineRule="auto"/>
        <w:ind w:rightChars="6" w:right="13"/>
        <w:jc w:val="center"/>
        <w:rPr>
          <w:rFonts w:ascii="宋体" w:hAnsi="宋体"/>
          <w:b/>
          <w:kern w:val="0"/>
          <w:sz w:val="44"/>
          <w:szCs w:val="44"/>
        </w:rPr>
      </w:pPr>
      <w:r>
        <w:rPr>
          <w:rFonts w:ascii="宋体" w:hAnsi="宋体"/>
          <w:b/>
          <w:spacing w:val="2"/>
          <w:w w:val="99"/>
          <w:kern w:val="0"/>
          <w:sz w:val="44"/>
          <w:szCs w:val="44"/>
        </w:rPr>
        <w:t>(更新)招募说明书</w:t>
      </w:r>
    </w:p>
    <w:p w14:paraId="730760AA" w14:textId="76295CE2" w:rsidR="00FB4D29" w:rsidRDefault="00CF4592">
      <w:pPr>
        <w:snapToGrid w:val="0"/>
        <w:spacing w:line="360" w:lineRule="auto"/>
        <w:jc w:val="center"/>
        <w:rPr>
          <w:rFonts w:ascii="宋体" w:hAnsi="宋体"/>
          <w:b/>
          <w:sz w:val="30"/>
          <w:szCs w:val="30"/>
        </w:rPr>
      </w:pPr>
      <w:r>
        <w:rPr>
          <w:rFonts w:ascii="Times New Roman" w:hAnsi="Times New Roman"/>
          <w:b/>
          <w:color w:val="000000"/>
          <w:sz w:val="32"/>
          <w:szCs w:val="32"/>
        </w:rPr>
        <w:t>(</w:t>
      </w:r>
      <w:r w:rsidR="00A73108">
        <w:rPr>
          <w:rFonts w:ascii="Times New Roman" w:hAnsi="Times New Roman"/>
          <w:b/>
          <w:color w:val="000000"/>
          <w:sz w:val="32"/>
          <w:szCs w:val="32"/>
        </w:rPr>
        <w:t>202</w:t>
      </w:r>
      <w:r w:rsidR="00F71F93">
        <w:rPr>
          <w:rFonts w:ascii="Times New Roman" w:hAnsi="Times New Roman"/>
          <w:b/>
          <w:color w:val="000000"/>
          <w:sz w:val="32"/>
          <w:szCs w:val="32"/>
        </w:rPr>
        <w:t>3</w:t>
      </w:r>
      <w:r>
        <w:rPr>
          <w:rFonts w:ascii="Times New Roman" w:hAnsi="Times New Roman"/>
          <w:b/>
          <w:color w:val="000000"/>
          <w:sz w:val="32"/>
          <w:szCs w:val="32"/>
        </w:rPr>
        <w:t>年</w:t>
      </w:r>
      <w:r w:rsidR="00057C09">
        <w:rPr>
          <w:rFonts w:ascii="Times New Roman" w:hAnsi="Times New Roman"/>
          <w:b/>
          <w:color w:val="000000"/>
          <w:sz w:val="32"/>
          <w:szCs w:val="32"/>
        </w:rPr>
        <w:t>第</w:t>
      </w:r>
      <w:r w:rsidR="00F71F93">
        <w:rPr>
          <w:rFonts w:ascii="Times New Roman" w:hAnsi="Times New Roman"/>
          <w:b/>
          <w:color w:val="000000"/>
          <w:sz w:val="32"/>
          <w:szCs w:val="32"/>
        </w:rPr>
        <w:t>1</w:t>
      </w:r>
      <w:r>
        <w:rPr>
          <w:rFonts w:ascii="Times New Roman" w:hAnsi="Times New Roman"/>
          <w:b/>
          <w:color w:val="000000"/>
          <w:sz w:val="32"/>
          <w:szCs w:val="32"/>
        </w:rPr>
        <w:t>号</w:t>
      </w:r>
      <w:r>
        <w:rPr>
          <w:rFonts w:ascii="Times New Roman" w:hAnsi="Times New Roman"/>
          <w:b/>
          <w:color w:val="000000"/>
          <w:sz w:val="32"/>
          <w:szCs w:val="32"/>
        </w:rPr>
        <w:t>)</w:t>
      </w:r>
    </w:p>
    <w:p w14:paraId="7D144CD8" w14:textId="77777777" w:rsidR="00FB4D29" w:rsidRDefault="00FB4D29">
      <w:pPr>
        <w:autoSpaceDE w:val="0"/>
        <w:autoSpaceDN w:val="0"/>
        <w:adjustRightInd w:val="0"/>
        <w:snapToGrid w:val="0"/>
        <w:spacing w:line="360" w:lineRule="auto"/>
        <w:ind w:rightChars="6" w:right="13"/>
        <w:jc w:val="center"/>
        <w:rPr>
          <w:rFonts w:ascii="宋体" w:hAnsi="宋体"/>
          <w:spacing w:val="2"/>
          <w:w w:val="99"/>
          <w:kern w:val="0"/>
          <w:sz w:val="32"/>
          <w:szCs w:val="32"/>
        </w:rPr>
      </w:pPr>
    </w:p>
    <w:p w14:paraId="0ED4FAAD" w14:textId="77777777" w:rsidR="00FB4D29" w:rsidRDefault="00FB4D29">
      <w:pPr>
        <w:autoSpaceDE w:val="0"/>
        <w:autoSpaceDN w:val="0"/>
        <w:adjustRightInd w:val="0"/>
        <w:snapToGrid w:val="0"/>
        <w:spacing w:line="360" w:lineRule="auto"/>
        <w:ind w:rightChars="6" w:right="13"/>
        <w:jc w:val="center"/>
        <w:rPr>
          <w:rFonts w:ascii="宋体" w:hAnsi="宋体"/>
          <w:spacing w:val="2"/>
          <w:w w:val="99"/>
          <w:kern w:val="0"/>
          <w:sz w:val="32"/>
          <w:szCs w:val="32"/>
        </w:rPr>
      </w:pPr>
    </w:p>
    <w:p w14:paraId="1BA16A3C" w14:textId="77777777" w:rsidR="00FB4D29" w:rsidRDefault="00FB4D29">
      <w:pPr>
        <w:autoSpaceDE w:val="0"/>
        <w:autoSpaceDN w:val="0"/>
        <w:adjustRightInd w:val="0"/>
        <w:snapToGrid w:val="0"/>
        <w:spacing w:line="360" w:lineRule="auto"/>
        <w:ind w:rightChars="6" w:right="13"/>
        <w:jc w:val="center"/>
        <w:rPr>
          <w:rFonts w:ascii="宋体" w:hAnsi="宋体"/>
          <w:spacing w:val="2"/>
          <w:w w:val="99"/>
          <w:kern w:val="0"/>
          <w:sz w:val="32"/>
          <w:szCs w:val="32"/>
        </w:rPr>
      </w:pPr>
    </w:p>
    <w:p w14:paraId="1A7539CB" w14:textId="77777777" w:rsidR="00FB4D29" w:rsidRDefault="00FB4D29">
      <w:pPr>
        <w:autoSpaceDE w:val="0"/>
        <w:autoSpaceDN w:val="0"/>
        <w:adjustRightInd w:val="0"/>
        <w:snapToGrid w:val="0"/>
        <w:spacing w:line="360" w:lineRule="auto"/>
        <w:ind w:rightChars="6" w:right="13"/>
        <w:jc w:val="center"/>
        <w:rPr>
          <w:rFonts w:ascii="宋体" w:hAnsi="宋体"/>
          <w:spacing w:val="2"/>
          <w:w w:val="99"/>
          <w:kern w:val="0"/>
          <w:sz w:val="32"/>
          <w:szCs w:val="32"/>
        </w:rPr>
      </w:pPr>
    </w:p>
    <w:p w14:paraId="1E36EADA" w14:textId="77777777" w:rsidR="00FB4D29" w:rsidRDefault="00FB4D29">
      <w:pPr>
        <w:autoSpaceDE w:val="0"/>
        <w:autoSpaceDN w:val="0"/>
        <w:adjustRightInd w:val="0"/>
        <w:snapToGrid w:val="0"/>
        <w:spacing w:line="360" w:lineRule="auto"/>
        <w:ind w:rightChars="6" w:right="13"/>
        <w:jc w:val="center"/>
        <w:rPr>
          <w:rFonts w:ascii="宋体" w:hAnsi="宋体"/>
          <w:spacing w:val="2"/>
          <w:w w:val="99"/>
          <w:kern w:val="0"/>
          <w:sz w:val="32"/>
          <w:szCs w:val="32"/>
        </w:rPr>
      </w:pPr>
    </w:p>
    <w:p w14:paraId="3BDC7953" w14:textId="77777777" w:rsidR="00FB4D29" w:rsidRDefault="00FB4D29">
      <w:pPr>
        <w:autoSpaceDE w:val="0"/>
        <w:autoSpaceDN w:val="0"/>
        <w:adjustRightInd w:val="0"/>
        <w:snapToGrid w:val="0"/>
        <w:spacing w:line="360" w:lineRule="auto"/>
        <w:ind w:rightChars="6" w:right="13"/>
        <w:jc w:val="center"/>
        <w:rPr>
          <w:rFonts w:ascii="宋体" w:hAnsi="宋体"/>
          <w:spacing w:val="2"/>
          <w:w w:val="99"/>
          <w:kern w:val="0"/>
          <w:sz w:val="32"/>
          <w:szCs w:val="32"/>
        </w:rPr>
      </w:pPr>
    </w:p>
    <w:p w14:paraId="14272D9C" w14:textId="77777777" w:rsidR="00FB4D29" w:rsidRDefault="00CF4592">
      <w:pPr>
        <w:autoSpaceDE w:val="0"/>
        <w:autoSpaceDN w:val="0"/>
        <w:adjustRightInd w:val="0"/>
        <w:snapToGrid w:val="0"/>
        <w:spacing w:line="360" w:lineRule="auto"/>
        <w:ind w:firstLineChars="500" w:firstLine="1405"/>
        <w:rPr>
          <w:rFonts w:ascii="宋体" w:hAnsi="宋体"/>
          <w:b/>
          <w:w w:val="99"/>
          <w:kern w:val="0"/>
          <w:sz w:val="28"/>
          <w:szCs w:val="32"/>
        </w:rPr>
      </w:pPr>
      <w:r>
        <w:rPr>
          <w:rFonts w:ascii="宋体" w:hAnsi="宋体"/>
          <w:b/>
          <w:spacing w:val="2"/>
          <w:w w:val="99"/>
          <w:kern w:val="0"/>
          <w:sz w:val="28"/>
          <w:szCs w:val="32"/>
        </w:rPr>
        <w:t>基金管理人：交银施罗德基金管理有限公司</w:t>
      </w:r>
    </w:p>
    <w:p w14:paraId="3E0D85F3" w14:textId="77777777" w:rsidR="00FB4D29" w:rsidRDefault="00CF4592">
      <w:pPr>
        <w:autoSpaceDE w:val="0"/>
        <w:autoSpaceDN w:val="0"/>
        <w:adjustRightInd w:val="0"/>
        <w:snapToGrid w:val="0"/>
        <w:spacing w:line="360" w:lineRule="auto"/>
        <w:ind w:firstLineChars="500" w:firstLine="1405"/>
        <w:rPr>
          <w:rFonts w:ascii="宋体" w:hAnsi="宋体"/>
          <w:b/>
          <w:w w:val="99"/>
          <w:kern w:val="0"/>
          <w:sz w:val="28"/>
          <w:szCs w:val="32"/>
        </w:rPr>
      </w:pPr>
      <w:r>
        <w:rPr>
          <w:rFonts w:ascii="宋体" w:hAnsi="宋体"/>
          <w:b/>
          <w:spacing w:val="2"/>
          <w:w w:val="99"/>
          <w:kern w:val="0"/>
          <w:sz w:val="28"/>
          <w:szCs w:val="32"/>
        </w:rPr>
        <w:t>基金托管人：中国工商银行股份有限公司</w:t>
      </w:r>
    </w:p>
    <w:p w14:paraId="27D891AC" w14:textId="77777777" w:rsidR="00FB4D29" w:rsidRDefault="00FB4D29">
      <w:pPr>
        <w:autoSpaceDE w:val="0"/>
        <w:autoSpaceDN w:val="0"/>
        <w:adjustRightInd w:val="0"/>
        <w:snapToGrid w:val="0"/>
        <w:spacing w:line="360" w:lineRule="auto"/>
        <w:ind w:rightChars="6" w:right="13"/>
        <w:jc w:val="center"/>
        <w:rPr>
          <w:rFonts w:ascii="宋体" w:hAnsi="宋体"/>
          <w:spacing w:val="2"/>
          <w:w w:val="99"/>
          <w:kern w:val="0"/>
          <w:sz w:val="32"/>
          <w:szCs w:val="32"/>
        </w:rPr>
      </w:pPr>
    </w:p>
    <w:p w14:paraId="3A593785" w14:textId="77777777" w:rsidR="00FB4D29" w:rsidRDefault="00FB4D29">
      <w:pPr>
        <w:autoSpaceDE w:val="0"/>
        <w:autoSpaceDN w:val="0"/>
        <w:adjustRightInd w:val="0"/>
        <w:snapToGrid w:val="0"/>
        <w:spacing w:line="360" w:lineRule="auto"/>
        <w:ind w:rightChars="6" w:right="13"/>
        <w:jc w:val="center"/>
        <w:rPr>
          <w:rFonts w:ascii="宋体" w:hAnsi="宋体"/>
          <w:spacing w:val="2"/>
          <w:w w:val="99"/>
          <w:kern w:val="0"/>
          <w:sz w:val="32"/>
          <w:szCs w:val="32"/>
        </w:rPr>
      </w:pPr>
    </w:p>
    <w:p w14:paraId="0BB3C076" w14:textId="6239525C" w:rsidR="00FB4D29" w:rsidRDefault="00CF4592">
      <w:pPr>
        <w:autoSpaceDE w:val="0"/>
        <w:autoSpaceDN w:val="0"/>
        <w:adjustRightInd w:val="0"/>
        <w:snapToGrid w:val="0"/>
        <w:spacing w:line="360" w:lineRule="auto"/>
        <w:ind w:rightChars="6" w:right="13"/>
        <w:jc w:val="center"/>
        <w:rPr>
          <w:rFonts w:ascii="宋体" w:hAnsi="宋体"/>
          <w:b/>
          <w:kern w:val="0"/>
          <w:sz w:val="28"/>
          <w:szCs w:val="32"/>
        </w:rPr>
      </w:pPr>
      <w:r>
        <w:rPr>
          <w:rFonts w:ascii="Times New Roman" w:hAnsi="Times New Roman"/>
          <w:b/>
          <w:spacing w:val="2"/>
          <w:w w:val="99"/>
          <w:kern w:val="0"/>
          <w:sz w:val="28"/>
          <w:szCs w:val="32"/>
        </w:rPr>
        <w:t>二〇二</w:t>
      </w:r>
      <w:r w:rsidR="00F71F93">
        <w:rPr>
          <w:rFonts w:ascii="Times New Roman" w:hAnsi="Times New Roman" w:hint="eastAsia"/>
          <w:b/>
          <w:spacing w:val="2"/>
          <w:w w:val="99"/>
          <w:kern w:val="0"/>
          <w:sz w:val="28"/>
          <w:szCs w:val="32"/>
        </w:rPr>
        <w:t>三</w:t>
      </w:r>
      <w:r>
        <w:rPr>
          <w:rFonts w:ascii="Times New Roman" w:hAnsi="Times New Roman"/>
          <w:b/>
          <w:spacing w:val="2"/>
          <w:w w:val="99"/>
          <w:kern w:val="0"/>
          <w:sz w:val="28"/>
          <w:szCs w:val="32"/>
        </w:rPr>
        <w:t>年</w:t>
      </w:r>
      <w:r w:rsidR="00F71F93">
        <w:rPr>
          <w:rFonts w:ascii="Times New Roman" w:hAnsi="Times New Roman" w:hint="eastAsia"/>
          <w:b/>
          <w:spacing w:val="2"/>
          <w:w w:val="99"/>
          <w:kern w:val="0"/>
          <w:sz w:val="28"/>
          <w:szCs w:val="32"/>
        </w:rPr>
        <w:t>三</w:t>
      </w:r>
      <w:r>
        <w:rPr>
          <w:rFonts w:ascii="Times New Roman" w:hAnsi="Times New Roman"/>
          <w:b/>
          <w:spacing w:val="2"/>
          <w:w w:val="99"/>
          <w:kern w:val="0"/>
          <w:sz w:val="28"/>
          <w:szCs w:val="32"/>
        </w:rPr>
        <w:t>月</w:t>
      </w:r>
    </w:p>
    <w:p w14:paraId="09EB2BDD" w14:textId="77777777" w:rsidR="00FB4D29" w:rsidRDefault="00FB4D29">
      <w:pPr>
        <w:autoSpaceDE w:val="0"/>
        <w:autoSpaceDN w:val="0"/>
        <w:adjustRightInd w:val="0"/>
        <w:snapToGrid w:val="0"/>
        <w:spacing w:line="360" w:lineRule="auto"/>
        <w:ind w:left="1347" w:rightChars="6" w:right="13"/>
        <w:rPr>
          <w:rFonts w:ascii="宋体" w:hAnsi="宋体"/>
          <w:kern w:val="0"/>
          <w:sz w:val="32"/>
          <w:szCs w:val="32"/>
        </w:rPr>
        <w:sectPr w:rsidR="00FB4D29">
          <w:headerReference w:type="default" r:id="rId10"/>
          <w:footerReference w:type="default" r:id="rId11"/>
          <w:headerReference w:type="first" r:id="rId12"/>
          <w:pgSz w:w="11920" w:h="16840"/>
          <w:pgMar w:top="1560" w:right="1680" w:bottom="280" w:left="1680" w:header="0" w:footer="1073" w:gutter="0"/>
          <w:pgNumType w:start="1"/>
          <w:cols w:space="720"/>
          <w:titlePg/>
          <w:docGrid w:linePitch="286"/>
        </w:sectPr>
      </w:pPr>
    </w:p>
    <w:p w14:paraId="1DFE6B38" w14:textId="77777777" w:rsidR="00FB4D29" w:rsidRDefault="00CF4592">
      <w:pPr>
        <w:pStyle w:val="1"/>
        <w:snapToGrid w:val="0"/>
        <w:spacing w:beforeLines="0" w:before="240" w:after="240"/>
        <w:rPr>
          <w:rFonts w:ascii="宋体" w:hAnsi="宋体"/>
          <w:kern w:val="0"/>
        </w:rPr>
      </w:pPr>
      <w:bookmarkStart w:id="0" w:name="_Toc324920538"/>
      <w:bookmarkStart w:id="1" w:name="_Toc496884613"/>
      <w:bookmarkStart w:id="2" w:name="_Toc107476019"/>
      <w:r>
        <w:rPr>
          <w:rFonts w:ascii="Times New Roman" w:hAnsi="Times New Roman"/>
          <w:kern w:val="0"/>
        </w:rPr>
        <w:lastRenderedPageBreak/>
        <w:t>重要提示</w:t>
      </w:r>
      <w:bookmarkEnd w:id="0"/>
      <w:bookmarkEnd w:id="1"/>
      <w:bookmarkEnd w:id="2"/>
    </w:p>
    <w:p w14:paraId="44640415" w14:textId="77777777" w:rsidR="00FB4D29" w:rsidRDefault="00CF4592">
      <w:pPr>
        <w:autoSpaceDE w:val="0"/>
        <w:autoSpaceDN w:val="0"/>
        <w:adjustRightInd w:val="0"/>
        <w:snapToGrid w:val="0"/>
        <w:spacing w:line="360" w:lineRule="auto"/>
        <w:ind w:leftChars="50" w:left="105" w:firstLineChars="200" w:firstLine="480"/>
        <w:rPr>
          <w:rFonts w:ascii="宋体" w:hAnsi="宋体"/>
          <w:kern w:val="0"/>
          <w:sz w:val="24"/>
        </w:rPr>
      </w:pPr>
      <w:r>
        <w:rPr>
          <w:rFonts w:ascii="Times New Roman" w:hAnsi="Times New Roman"/>
          <w:kern w:val="0"/>
          <w:sz w:val="24"/>
        </w:rPr>
        <w:t>交银施罗德持续成长主题混合型证券投资基金（以下简称</w:t>
      </w:r>
      <w:r>
        <w:rPr>
          <w:rFonts w:ascii="Times New Roman" w:hAnsi="Times New Roman"/>
          <w:kern w:val="0"/>
          <w:sz w:val="24"/>
        </w:rPr>
        <w:t>“</w:t>
      </w:r>
      <w:r>
        <w:rPr>
          <w:rFonts w:ascii="Times New Roman" w:hAnsi="Times New Roman"/>
          <w:kern w:val="0"/>
          <w:sz w:val="24"/>
        </w:rPr>
        <w:t>本基金</w:t>
      </w:r>
      <w:r>
        <w:rPr>
          <w:rFonts w:ascii="Times New Roman" w:hAnsi="Times New Roman"/>
          <w:kern w:val="0"/>
          <w:sz w:val="24"/>
        </w:rPr>
        <w:t>”</w:t>
      </w:r>
      <w:r>
        <w:rPr>
          <w:rFonts w:ascii="Times New Roman" w:hAnsi="Times New Roman"/>
          <w:kern w:val="0"/>
          <w:sz w:val="24"/>
        </w:rPr>
        <w:t>）经</w:t>
      </w:r>
      <w:r>
        <w:rPr>
          <w:rFonts w:ascii="Times New Roman" w:hAnsi="Times New Roman"/>
          <w:kern w:val="0"/>
          <w:sz w:val="24"/>
        </w:rPr>
        <w:t>2017</w:t>
      </w:r>
      <w:r>
        <w:rPr>
          <w:rFonts w:ascii="Times New Roman" w:hAnsi="Times New Roman"/>
          <w:kern w:val="0"/>
          <w:sz w:val="24"/>
        </w:rPr>
        <w:t>年</w:t>
      </w:r>
      <w:r>
        <w:rPr>
          <w:rFonts w:ascii="Times New Roman" w:hAnsi="Times New Roman"/>
          <w:kern w:val="0"/>
          <w:sz w:val="24"/>
        </w:rPr>
        <w:t>7</w:t>
      </w:r>
      <w:r>
        <w:rPr>
          <w:rFonts w:ascii="Times New Roman" w:hAnsi="Times New Roman"/>
          <w:kern w:val="0"/>
          <w:sz w:val="24"/>
        </w:rPr>
        <w:t>月</w:t>
      </w:r>
      <w:r>
        <w:rPr>
          <w:rFonts w:ascii="Times New Roman" w:hAnsi="Times New Roman"/>
          <w:kern w:val="0"/>
          <w:sz w:val="24"/>
        </w:rPr>
        <w:t>6</w:t>
      </w:r>
      <w:r>
        <w:rPr>
          <w:rFonts w:ascii="Times New Roman" w:hAnsi="Times New Roman"/>
          <w:kern w:val="0"/>
          <w:sz w:val="24"/>
        </w:rPr>
        <w:t>日中国证券监督管理委员会（以下简称</w:t>
      </w:r>
      <w:r>
        <w:rPr>
          <w:rFonts w:ascii="Times New Roman" w:hAnsi="Times New Roman"/>
          <w:kern w:val="0"/>
          <w:sz w:val="24"/>
        </w:rPr>
        <w:t>“</w:t>
      </w:r>
      <w:r>
        <w:rPr>
          <w:rFonts w:ascii="Times New Roman" w:hAnsi="Times New Roman"/>
          <w:kern w:val="0"/>
          <w:sz w:val="24"/>
        </w:rPr>
        <w:t>中国证监会</w:t>
      </w:r>
      <w:r>
        <w:rPr>
          <w:rFonts w:ascii="Times New Roman" w:hAnsi="Times New Roman"/>
          <w:kern w:val="0"/>
          <w:sz w:val="24"/>
        </w:rPr>
        <w:t>”</w:t>
      </w:r>
      <w:r>
        <w:rPr>
          <w:rFonts w:ascii="Times New Roman" w:hAnsi="Times New Roman"/>
          <w:kern w:val="0"/>
          <w:sz w:val="24"/>
        </w:rPr>
        <w:t>）证监许可【</w:t>
      </w:r>
      <w:r>
        <w:rPr>
          <w:rFonts w:ascii="Times New Roman" w:hAnsi="Times New Roman"/>
          <w:kern w:val="0"/>
          <w:sz w:val="24"/>
        </w:rPr>
        <w:t>2017</w:t>
      </w:r>
      <w:r>
        <w:rPr>
          <w:rFonts w:ascii="Times New Roman" w:hAnsi="Times New Roman"/>
          <w:kern w:val="0"/>
          <w:sz w:val="24"/>
        </w:rPr>
        <w:t>】</w:t>
      </w:r>
      <w:r>
        <w:rPr>
          <w:rFonts w:ascii="Times New Roman" w:hAnsi="Times New Roman"/>
          <w:kern w:val="0"/>
          <w:sz w:val="24"/>
        </w:rPr>
        <w:t>1156</w:t>
      </w:r>
      <w:r>
        <w:rPr>
          <w:rFonts w:ascii="Times New Roman" w:hAnsi="Times New Roman"/>
          <w:kern w:val="0"/>
          <w:sz w:val="24"/>
        </w:rPr>
        <w:t>号文准予募集注册。本基金基金合同于</w:t>
      </w:r>
      <w:r>
        <w:rPr>
          <w:rFonts w:ascii="Times New Roman" w:hAnsi="Times New Roman"/>
          <w:kern w:val="0"/>
          <w:sz w:val="24"/>
        </w:rPr>
        <w:t>2018</w:t>
      </w:r>
      <w:r>
        <w:rPr>
          <w:rFonts w:ascii="Times New Roman" w:hAnsi="Times New Roman"/>
          <w:kern w:val="0"/>
          <w:sz w:val="24"/>
        </w:rPr>
        <w:t>年</w:t>
      </w:r>
      <w:r>
        <w:rPr>
          <w:rFonts w:ascii="Times New Roman" w:hAnsi="Times New Roman"/>
          <w:kern w:val="0"/>
          <w:sz w:val="24"/>
        </w:rPr>
        <w:t>1</w:t>
      </w:r>
      <w:r>
        <w:rPr>
          <w:rFonts w:ascii="Times New Roman" w:hAnsi="Times New Roman"/>
          <w:kern w:val="0"/>
          <w:sz w:val="24"/>
        </w:rPr>
        <w:t>月</w:t>
      </w:r>
      <w:r>
        <w:rPr>
          <w:rFonts w:ascii="Times New Roman" w:hAnsi="Times New Roman"/>
          <w:kern w:val="0"/>
          <w:sz w:val="24"/>
        </w:rPr>
        <w:t>12</w:t>
      </w:r>
      <w:r>
        <w:rPr>
          <w:rFonts w:ascii="Times New Roman" w:hAnsi="Times New Roman"/>
          <w:kern w:val="0"/>
          <w:sz w:val="24"/>
        </w:rPr>
        <w:t>日正式生效。</w:t>
      </w:r>
    </w:p>
    <w:p w14:paraId="4BFD7112" w14:textId="6B817C13" w:rsidR="00B45E91" w:rsidRPr="00B45E91" w:rsidRDefault="00B45E91">
      <w:pPr>
        <w:autoSpaceDE w:val="0"/>
        <w:autoSpaceDN w:val="0"/>
        <w:adjustRightInd w:val="0"/>
        <w:snapToGrid w:val="0"/>
        <w:spacing w:line="360" w:lineRule="auto"/>
        <w:ind w:leftChars="50" w:left="105" w:firstLineChars="200" w:firstLine="480"/>
        <w:rPr>
          <w:rFonts w:ascii="Times New Roman" w:hAnsi="Times New Roman"/>
          <w:kern w:val="0"/>
          <w:sz w:val="24"/>
        </w:rPr>
      </w:pPr>
      <w:r w:rsidRPr="00B45E91">
        <w:rPr>
          <w:rFonts w:ascii="Times New Roman" w:hAnsi="Times New Roman" w:hint="eastAsia"/>
          <w:kern w:val="0"/>
          <w:sz w:val="24"/>
        </w:rPr>
        <w:t>本基金经</w:t>
      </w:r>
      <w:r w:rsidR="004B4674" w:rsidRPr="00B45E91">
        <w:rPr>
          <w:rFonts w:ascii="Times New Roman" w:hAnsi="Times New Roman" w:hint="eastAsia"/>
          <w:kern w:val="0"/>
          <w:sz w:val="24"/>
        </w:rPr>
        <w:t>202</w:t>
      </w:r>
      <w:r w:rsidR="00BF759E">
        <w:rPr>
          <w:rFonts w:ascii="Times New Roman" w:hAnsi="Times New Roman"/>
          <w:kern w:val="0"/>
          <w:sz w:val="24"/>
        </w:rPr>
        <w:t>2</w:t>
      </w:r>
      <w:r w:rsidRPr="00B45E91">
        <w:rPr>
          <w:rFonts w:ascii="Times New Roman" w:hAnsi="Times New Roman" w:hint="eastAsia"/>
          <w:kern w:val="0"/>
          <w:sz w:val="24"/>
        </w:rPr>
        <w:t>年</w:t>
      </w:r>
      <w:r w:rsidR="004B4674">
        <w:rPr>
          <w:rFonts w:ascii="Times New Roman" w:hAnsi="Times New Roman"/>
          <w:kern w:val="0"/>
          <w:sz w:val="24"/>
        </w:rPr>
        <w:t>10</w:t>
      </w:r>
      <w:r w:rsidRPr="00B45E91">
        <w:rPr>
          <w:rFonts w:ascii="Times New Roman" w:hAnsi="Times New Roman" w:hint="eastAsia"/>
          <w:kern w:val="0"/>
          <w:sz w:val="24"/>
        </w:rPr>
        <w:t>月</w:t>
      </w:r>
      <w:r w:rsidR="004B4674">
        <w:rPr>
          <w:rFonts w:ascii="Times New Roman" w:hAnsi="Times New Roman"/>
          <w:kern w:val="0"/>
          <w:sz w:val="24"/>
        </w:rPr>
        <w:t>13</w:t>
      </w:r>
      <w:r w:rsidRPr="00B45E91">
        <w:rPr>
          <w:rFonts w:ascii="Times New Roman" w:hAnsi="Times New Roman" w:hint="eastAsia"/>
          <w:kern w:val="0"/>
          <w:sz w:val="24"/>
        </w:rPr>
        <w:t>日中国证监会证监许可【</w:t>
      </w:r>
      <w:r w:rsidR="004B4674" w:rsidRPr="00B45E91">
        <w:rPr>
          <w:rFonts w:ascii="Times New Roman" w:hAnsi="Times New Roman" w:hint="eastAsia"/>
          <w:kern w:val="0"/>
          <w:sz w:val="24"/>
        </w:rPr>
        <w:t>202</w:t>
      </w:r>
      <w:r w:rsidR="004B4674">
        <w:rPr>
          <w:rFonts w:ascii="Times New Roman" w:hAnsi="Times New Roman"/>
          <w:kern w:val="0"/>
          <w:sz w:val="24"/>
        </w:rPr>
        <w:t>2</w:t>
      </w:r>
      <w:r w:rsidRPr="00B45E91">
        <w:rPr>
          <w:rFonts w:ascii="Times New Roman" w:hAnsi="Times New Roman" w:hint="eastAsia"/>
          <w:kern w:val="0"/>
          <w:sz w:val="24"/>
        </w:rPr>
        <w:t>】</w:t>
      </w:r>
      <w:r w:rsidR="004B4674">
        <w:rPr>
          <w:rFonts w:ascii="Times New Roman" w:hAnsi="Times New Roman"/>
          <w:kern w:val="0"/>
          <w:sz w:val="24"/>
        </w:rPr>
        <w:t>2464</w:t>
      </w:r>
      <w:r w:rsidRPr="00B45E91">
        <w:rPr>
          <w:rFonts w:ascii="Times New Roman" w:hAnsi="Times New Roman" w:hint="eastAsia"/>
          <w:kern w:val="0"/>
          <w:sz w:val="24"/>
        </w:rPr>
        <w:t>号文准予变更注册。</w:t>
      </w:r>
      <w:r>
        <w:rPr>
          <w:rFonts w:ascii="Times New Roman" w:hAnsi="Times New Roman"/>
          <w:kern w:val="0"/>
          <w:sz w:val="24"/>
        </w:rPr>
        <w:t>交银施罗德持续成长主题混合型证券投资基金</w:t>
      </w:r>
      <w:r w:rsidRPr="00B45E91">
        <w:rPr>
          <w:rFonts w:ascii="Times New Roman" w:hAnsi="Times New Roman" w:hint="eastAsia"/>
          <w:kern w:val="0"/>
          <w:sz w:val="24"/>
        </w:rPr>
        <w:t>以通讯方式召开基金份额持有人大会，大会于</w:t>
      </w:r>
      <w:r w:rsidRPr="00B45E91">
        <w:rPr>
          <w:rFonts w:ascii="Times New Roman" w:hAnsi="Times New Roman" w:hint="eastAsia"/>
          <w:kern w:val="0"/>
          <w:sz w:val="24"/>
        </w:rPr>
        <w:t>202</w:t>
      </w:r>
      <w:r w:rsidR="008A7725">
        <w:rPr>
          <w:rFonts w:ascii="Times New Roman" w:hAnsi="Times New Roman"/>
          <w:kern w:val="0"/>
          <w:sz w:val="24"/>
        </w:rPr>
        <w:t>3</w:t>
      </w:r>
      <w:r w:rsidRPr="00B45E91">
        <w:rPr>
          <w:rFonts w:ascii="Times New Roman" w:hAnsi="Times New Roman" w:hint="eastAsia"/>
          <w:kern w:val="0"/>
          <w:sz w:val="24"/>
        </w:rPr>
        <w:t>年</w:t>
      </w:r>
      <w:r w:rsidR="008A7725">
        <w:rPr>
          <w:rFonts w:ascii="Times New Roman" w:hAnsi="Times New Roman" w:hint="eastAsia"/>
          <w:kern w:val="0"/>
          <w:sz w:val="24"/>
        </w:rPr>
        <w:t>3</w:t>
      </w:r>
      <w:r w:rsidRPr="00B45E91">
        <w:rPr>
          <w:rFonts w:ascii="Times New Roman" w:hAnsi="Times New Roman" w:hint="eastAsia"/>
          <w:kern w:val="0"/>
          <w:sz w:val="24"/>
        </w:rPr>
        <w:t>月</w:t>
      </w:r>
      <w:r w:rsidR="008A7725">
        <w:rPr>
          <w:rFonts w:ascii="Times New Roman" w:hAnsi="Times New Roman"/>
          <w:kern w:val="0"/>
          <w:sz w:val="24"/>
        </w:rPr>
        <w:t>28</w:t>
      </w:r>
      <w:r w:rsidRPr="00B45E91">
        <w:rPr>
          <w:rFonts w:ascii="Times New Roman" w:hAnsi="Times New Roman" w:hint="eastAsia"/>
          <w:kern w:val="0"/>
          <w:sz w:val="24"/>
        </w:rPr>
        <w:t>日表决通过了</w:t>
      </w:r>
      <w:r w:rsidRPr="00563CCD">
        <w:rPr>
          <w:rFonts w:hAnsi="宋体" w:hint="eastAsia"/>
          <w:kern w:val="0"/>
          <w:sz w:val="24"/>
        </w:rPr>
        <w:t>《关于</w:t>
      </w:r>
      <w:r>
        <w:rPr>
          <w:rFonts w:ascii="Times New Roman" w:hAnsi="Times New Roman"/>
          <w:kern w:val="0"/>
          <w:sz w:val="24"/>
        </w:rPr>
        <w:t>交银施罗德持续成长主题混合型证券投资基金</w:t>
      </w:r>
      <w:r w:rsidRPr="00563CCD">
        <w:rPr>
          <w:rFonts w:hAnsi="宋体" w:hint="eastAsia"/>
          <w:kern w:val="0"/>
          <w:sz w:val="24"/>
        </w:rPr>
        <w:t>调整投资范围及修改基金合同有关事项的议案》</w:t>
      </w:r>
      <w:r>
        <w:rPr>
          <w:rFonts w:ascii="Times New Roman" w:hAnsi="Times New Roman" w:hint="eastAsia"/>
          <w:kern w:val="0"/>
          <w:sz w:val="24"/>
        </w:rPr>
        <w:t>，</w:t>
      </w:r>
      <w:r w:rsidRPr="00B45E91">
        <w:rPr>
          <w:rFonts w:ascii="Times New Roman" w:hAnsi="Times New Roman" w:hint="eastAsia"/>
          <w:kern w:val="0"/>
          <w:sz w:val="24"/>
        </w:rPr>
        <w:t>同意在交银施罗德持续成长主题混合型证券投资基金投资范围中增加港股通标的股票</w:t>
      </w:r>
      <w:r w:rsidR="005467B3" w:rsidRPr="005467B3">
        <w:rPr>
          <w:rFonts w:ascii="Times New Roman" w:hAnsi="Times New Roman" w:hint="eastAsia"/>
          <w:kern w:val="0"/>
          <w:sz w:val="24"/>
        </w:rPr>
        <w:t>、删除权证和中小板</w:t>
      </w:r>
      <w:r w:rsidR="00E25A3E" w:rsidRPr="00E25A3E">
        <w:rPr>
          <w:rFonts w:ascii="Times New Roman" w:hAnsi="Times New Roman" w:hint="eastAsia"/>
          <w:kern w:val="0"/>
          <w:sz w:val="24"/>
        </w:rPr>
        <w:t>，相应调整投资策略、业绩比较基准、投资比例限制、估值方法等内容，增加基金合同自动终止条款、增加</w:t>
      </w:r>
      <w:r w:rsidR="00E25A3E" w:rsidRPr="00E25A3E">
        <w:rPr>
          <w:rFonts w:ascii="Times New Roman" w:hAnsi="Times New Roman" w:hint="eastAsia"/>
          <w:kern w:val="0"/>
          <w:sz w:val="24"/>
        </w:rPr>
        <w:t>C</w:t>
      </w:r>
      <w:r w:rsidR="00E25A3E" w:rsidRPr="00E25A3E">
        <w:rPr>
          <w:rFonts w:ascii="Times New Roman" w:hAnsi="Times New Roman" w:hint="eastAsia"/>
          <w:kern w:val="0"/>
          <w:sz w:val="24"/>
        </w:rPr>
        <w:t>类基金份额、增加侧袋机制相关表述，并修改基金合同中根据上述调整需要同步进行修订的其他部分条款，以及按照最新的法律法规及中国证监会要求修改的内容。</w:t>
      </w:r>
      <w:r w:rsidRPr="00B45E91">
        <w:rPr>
          <w:rFonts w:ascii="Times New Roman" w:hAnsi="Times New Roman" w:hint="eastAsia"/>
          <w:kern w:val="0"/>
          <w:sz w:val="24"/>
        </w:rPr>
        <w:t>上述基金份额持有人大会决议事项自表决通过之日起生效。</w:t>
      </w:r>
    </w:p>
    <w:p w14:paraId="54E79867" w14:textId="77777777" w:rsidR="00FB4D29" w:rsidRDefault="00CF4592">
      <w:pPr>
        <w:autoSpaceDE w:val="0"/>
        <w:autoSpaceDN w:val="0"/>
        <w:adjustRightInd w:val="0"/>
        <w:snapToGrid w:val="0"/>
        <w:spacing w:line="360" w:lineRule="auto"/>
        <w:ind w:leftChars="50" w:left="105" w:firstLineChars="200" w:firstLine="480"/>
        <w:rPr>
          <w:rFonts w:ascii="宋体" w:hAnsi="宋体"/>
          <w:kern w:val="0"/>
          <w:sz w:val="24"/>
        </w:rPr>
      </w:pPr>
      <w:r>
        <w:rPr>
          <w:rFonts w:ascii="Times New Roman" w:hAnsi="Times New Roman"/>
          <w:kern w:val="0"/>
          <w:sz w:val="24"/>
        </w:rPr>
        <w:t>基金管理人保证招募说明书的内容真实、准确、完整。本招募说明书经中国证监会注册，但中国证监会对本基金募集的注册，并不表明其对本基金的价值和收益作出实质性判断或保证，也不表明投资于本基金没有风险。中国证监会不对基金的投资价值及市场前景等作出实质性判断或者保证。</w:t>
      </w:r>
    </w:p>
    <w:p w14:paraId="53CE9197" w14:textId="77777777" w:rsidR="00FB4D29" w:rsidRDefault="00CF4592">
      <w:pPr>
        <w:autoSpaceDE w:val="0"/>
        <w:autoSpaceDN w:val="0"/>
        <w:adjustRightInd w:val="0"/>
        <w:snapToGrid w:val="0"/>
        <w:spacing w:line="360" w:lineRule="auto"/>
        <w:ind w:leftChars="50" w:left="105" w:firstLineChars="200" w:firstLine="480"/>
        <w:rPr>
          <w:rFonts w:ascii="宋体" w:hAnsi="宋体"/>
          <w:kern w:val="0"/>
          <w:sz w:val="24"/>
        </w:rPr>
      </w:pPr>
      <w:r>
        <w:rPr>
          <w:rFonts w:ascii="Times New Roman" w:hAnsi="Times New Roman"/>
          <w:kern w:val="0"/>
          <w:sz w:val="24"/>
        </w:rPr>
        <w:t>基金管理人依照恪尽职守、诚实信用、勤勉尽责的原则管理和运用基金财产，但不保证投资本基金一定盈利，也不保证基金份额持有人的最低收益；因基金价格可升可跌，亦不保证基金份额持有人能全数取回其原本投资。</w:t>
      </w:r>
    </w:p>
    <w:p w14:paraId="36B43675" w14:textId="070BA5FB" w:rsidR="00FB4D29" w:rsidRDefault="00CF4592">
      <w:pPr>
        <w:autoSpaceDE w:val="0"/>
        <w:autoSpaceDN w:val="0"/>
        <w:adjustRightInd w:val="0"/>
        <w:snapToGrid w:val="0"/>
        <w:spacing w:line="360" w:lineRule="auto"/>
        <w:ind w:leftChars="50" w:left="105" w:firstLineChars="200" w:firstLine="480"/>
        <w:rPr>
          <w:rFonts w:ascii="宋体" w:hAnsi="宋体"/>
          <w:kern w:val="0"/>
          <w:sz w:val="24"/>
        </w:rPr>
      </w:pPr>
      <w:r>
        <w:rPr>
          <w:rFonts w:ascii="Times New Roman" w:hAnsi="Times New Roman"/>
          <w:kern w:val="0"/>
          <w:sz w:val="24"/>
        </w:rPr>
        <w:t>本基金投资于证券市场，基金净值会因为证券市场波动等因素产生波动。投资人在投资本基金前，需全面认识本基金产品的风险收益特征和产品特性，充分考虑自身的风险承受能力，理性判断市场，对投资本基金的意愿、时机、数量等投资行为作出独立决策。投资人根据所持有份额享受基金的收益，但同时也需承担相应的投资风险。投资本基金可能遇到的风险包括：因受到经济因素、政治因素、投资心理和交易制度等各种因素的影响而引起的市场风险；基金管理人在基金管理实施过程中产生的基金管理风险；流动性风险</w:t>
      </w:r>
      <w:r w:rsidR="00A7492B" w:rsidRPr="00201B8C">
        <w:rPr>
          <w:rFonts w:hint="eastAsia"/>
          <w:kern w:val="0"/>
          <w:sz w:val="24"/>
        </w:rPr>
        <w:t>（包括实施侧袋机制时的特定风险）</w:t>
      </w:r>
      <w:r>
        <w:rPr>
          <w:rFonts w:ascii="Times New Roman" w:hAnsi="Times New Roman"/>
          <w:kern w:val="0"/>
          <w:sz w:val="24"/>
        </w:rPr>
        <w:t>；基金在交易过程中发生交收违约等而导致的信用风险；本基金投资策</w:t>
      </w:r>
      <w:r>
        <w:rPr>
          <w:rFonts w:ascii="Times New Roman" w:hAnsi="Times New Roman"/>
          <w:kern w:val="0"/>
          <w:sz w:val="24"/>
        </w:rPr>
        <w:lastRenderedPageBreak/>
        <w:t>略所特有的风险；投资股指期货的特定风险；投资资产支持证券的特定风险；投资流通受限证券的特定风险；投资科创板股票的特定风险；投资本基金特有的其他风险等等。</w:t>
      </w:r>
    </w:p>
    <w:p w14:paraId="3A99EFDC" w14:textId="2149DF38" w:rsidR="00FB4D29" w:rsidRDefault="00CF4592">
      <w:pPr>
        <w:autoSpaceDE w:val="0"/>
        <w:autoSpaceDN w:val="0"/>
        <w:adjustRightInd w:val="0"/>
        <w:snapToGrid w:val="0"/>
        <w:spacing w:line="360" w:lineRule="auto"/>
        <w:ind w:leftChars="50" w:left="105" w:firstLineChars="200" w:firstLine="480"/>
        <w:rPr>
          <w:rFonts w:ascii="宋体" w:hAnsi="宋体"/>
          <w:kern w:val="0"/>
          <w:sz w:val="24"/>
        </w:rPr>
      </w:pPr>
      <w:r>
        <w:rPr>
          <w:rFonts w:ascii="Times New Roman" w:hAnsi="Times New Roman"/>
          <w:kern w:val="0"/>
          <w:sz w:val="24"/>
        </w:rPr>
        <w:t>本基金是一只混合型基金，其</w:t>
      </w:r>
      <w:r w:rsidR="009A6AB2">
        <w:rPr>
          <w:rFonts w:ascii="Times New Roman" w:hAnsi="Times New Roman" w:hint="eastAsia"/>
          <w:kern w:val="0"/>
          <w:sz w:val="24"/>
        </w:rPr>
        <w:t>预期</w:t>
      </w:r>
      <w:r>
        <w:rPr>
          <w:rFonts w:ascii="Times New Roman" w:hAnsi="Times New Roman"/>
          <w:kern w:val="0"/>
          <w:sz w:val="24"/>
        </w:rPr>
        <w:t>风险和预期收益</w:t>
      </w:r>
      <w:r w:rsidR="00896AD9">
        <w:rPr>
          <w:rFonts w:ascii="Times New Roman" w:hAnsi="Times New Roman" w:hint="eastAsia"/>
          <w:kern w:val="0"/>
          <w:sz w:val="24"/>
        </w:rPr>
        <w:t>理论上</w:t>
      </w:r>
      <w:r>
        <w:rPr>
          <w:rFonts w:ascii="Times New Roman" w:hAnsi="Times New Roman"/>
          <w:kern w:val="0"/>
          <w:sz w:val="24"/>
        </w:rPr>
        <w:t>高于债券型基金和货币市场基金，低于股票型基金。</w:t>
      </w:r>
    </w:p>
    <w:p w14:paraId="35DCD677" w14:textId="77777777" w:rsidR="00FB25E6" w:rsidRDefault="00FB25E6" w:rsidP="00FB25E6">
      <w:pPr>
        <w:autoSpaceDE w:val="0"/>
        <w:autoSpaceDN w:val="0"/>
        <w:adjustRightInd w:val="0"/>
        <w:snapToGrid w:val="0"/>
        <w:spacing w:line="360" w:lineRule="auto"/>
        <w:ind w:leftChars="50" w:left="105" w:firstLineChars="200" w:firstLine="480"/>
        <w:rPr>
          <w:rFonts w:ascii="Times New Roman" w:hAnsi="Times New Roman"/>
          <w:kern w:val="0"/>
          <w:sz w:val="24"/>
        </w:rPr>
      </w:pPr>
      <w:r w:rsidRPr="00FB25E6">
        <w:rPr>
          <w:rFonts w:ascii="Times New Roman" w:hAnsi="Times New Roman" w:hint="eastAsia"/>
          <w:kern w:val="0"/>
          <w:sz w:val="24"/>
        </w:rPr>
        <w:t>本基金可投资于股指期货，股指期货作为一种金融衍生品，其价值取决于一种或多种基础资产或指数，其评价主要源自于对挂钩资产的价格与价格波动的预期。投资股指期货所面临的风险主要是市场风险、流动性风险、基差风险、保证金风险、信用风险和操作风险。</w:t>
      </w:r>
    </w:p>
    <w:p w14:paraId="444FEBA5" w14:textId="7E7C54FE" w:rsidR="00FB25E6" w:rsidRPr="00FB25E6" w:rsidRDefault="00FB25E6" w:rsidP="00FB25E6">
      <w:pPr>
        <w:autoSpaceDE w:val="0"/>
        <w:autoSpaceDN w:val="0"/>
        <w:adjustRightInd w:val="0"/>
        <w:snapToGrid w:val="0"/>
        <w:spacing w:line="360" w:lineRule="auto"/>
        <w:ind w:leftChars="50" w:left="105" w:firstLineChars="200" w:firstLine="480"/>
        <w:rPr>
          <w:rFonts w:ascii="Times New Roman" w:hAnsi="Times New Roman"/>
          <w:kern w:val="0"/>
          <w:sz w:val="24"/>
        </w:rPr>
      </w:pPr>
      <w:r w:rsidRPr="00FB25E6">
        <w:rPr>
          <w:rFonts w:ascii="Times New Roman" w:hAnsi="Times New Roman" w:hint="eastAsia"/>
          <w:kern w:val="0"/>
          <w:sz w:val="24"/>
        </w:rPr>
        <w:t>本基金可投资资产支持证券，资产支持证券具有一定的价格波动风险、流动性风险、信用风险等风险，本公司将本着谨慎和控制风险的原则进行资产支持证券投资，请基金份额持有人关注包括投资资产支持证券可能导致的基金净值波动在内的各项风险。</w:t>
      </w:r>
    </w:p>
    <w:p w14:paraId="23D68CB4" w14:textId="77777777" w:rsidR="00FB25E6" w:rsidRDefault="00FB25E6">
      <w:pPr>
        <w:autoSpaceDE w:val="0"/>
        <w:autoSpaceDN w:val="0"/>
        <w:adjustRightInd w:val="0"/>
        <w:snapToGrid w:val="0"/>
        <w:spacing w:line="360" w:lineRule="auto"/>
        <w:ind w:leftChars="50" w:left="105" w:firstLineChars="200" w:firstLine="480"/>
        <w:rPr>
          <w:rFonts w:ascii="Times New Roman" w:hAnsi="Times New Roman"/>
          <w:kern w:val="0"/>
          <w:sz w:val="24"/>
        </w:rPr>
      </w:pPr>
      <w:r w:rsidRPr="00FB25E6">
        <w:rPr>
          <w:rFonts w:ascii="Times New Roman" w:hAnsi="Times New Roman" w:hint="eastAsia"/>
          <w:kern w:val="0"/>
          <w:sz w:val="24"/>
        </w:rPr>
        <w:t>基金投资流动受限证券将面临证券市场流动性风险，主要表现在几个方面：基金建仓困难，或建仓成本很高；基金资产不能迅速转变成现金，或变现成本很高；不能应付可能出现的投资者大额赎回的风险；证券投资中个券和个股的流动性风险等。</w:t>
      </w:r>
    </w:p>
    <w:p w14:paraId="4024CA06" w14:textId="60E4D06C" w:rsidR="00FB4D29" w:rsidRDefault="00CF4592">
      <w:pPr>
        <w:autoSpaceDE w:val="0"/>
        <w:autoSpaceDN w:val="0"/>
        <w:adjustRightInd w:val="0"/>
        <w:snapToGrid w:val="0"/>
        <w:spacing w:line="360" w:lineRule="auto"/>
        <w:ind w:leftChars="50" w:left="105" w:firstLineChars="200" w:firstLine="480"/>
        <w:rPr>
          <w:rFonts w:ascii="宋体" w:hAnsi="宋体"/>
          <w:kern w:val="0"/>
          <w:sz w:val="24"/>
        </w:rPr>
      </w:pPr>
      <w:r>
        <w:rPr>
          <w:rFonts w:ascii="Times New Roman" w:hAnsi="Times New Roman"/>
          <w:kern w:val="0"/>
          <w:sz w:val="24"/>
        </w:rPr>
        <w:t>本基金可投资国内依法发行上市的存托凭证，基金净值可能受到存托凭证的境外基础证券价格波动影响，与存托凭证的境外基础证券、境外基础证券的发行人及境内外交易机制相关的风险可能直接或间接成为本基金风险。具体风险烦请查阅本招募说明书</w:t>
      </w:r>
      <w:r>
        <w:rPr>
          <w:rFonts w:ascii="Times New Roman" w:hAnsi="Times New Roman"/>
          <w:kern w:val="0"/>
          <w:sz w:val="24"/>
        </w:rPr>
        <w:t>“</w:t>
      </w:r>
      <w:r>
        <w:rPr>
          <w:rFonts w:ascii="Times New Roman" w:hAnsi="Times New Roman"/>
          <w:kern w:val="0"/>
          <w:sz w:val="24"/>
        </w:rPr>
        <w:t>风险揭示</w:t>
      </w:r>
      <w:r>
        <w:rPr>
          <w:rFonts w:ascii="Times New Roman" w:hAnsi="Times New Roman"/>
          <w:kern w:val="0"/>
          <w:sz w:val="24"/>
        </w:rPr>
        <w:t>”</w:t>
      </w:r>
      <w:r>
        <w:rPr>
          <w:rFonts w:ascii="Times New Roman" w:hAnsi="Times New Roman"/>
          <w:kern w:val="0"/>
          <w:sz w:val="24"/>
        </w:rPr>
        <w:t>章节内容。</w:t>
      </w:r>
    </w:p>
    <w:p w14:paraId="5E6710B5" w14:textId="77777777" w:rsidR="00FB4D29" w:rsidRDefault="00CF4592">
      <w:pPr>
        <w:autoSpaceDE w:val="0"/>
        <w:autoSpaceDN w:val="0"/>
        <w:adjustRightInd w:val="0"/>
        <w:snapToGrid w:val="0"/>
        <w:spacing w:line="360" w:lineRule="auto"/>
        <w:ind w:leftChars="50" w:left="105" w:firstLineChars="200" w:firstLine="480"/>
        <w:rPr>
          <w:rFonts w:ascii="Times New Roman" w:hAnsi="Times New Roman"/>
          <w:kern w:val="0"/>
          <w:sz w:val="24"/>
        </w:rPr>
      </w:pPr>
      <w:r>
        <w:rPr>
          <w:rFonts w:ascii="Times New Roman" w:hAnsi="Times New Roman"/>
          <w:kern w:val="0"/>
          <w:sz w:val="24"/>
        </w:rPr>
        <w:t>本基金可根据投资策略需要或市场环境的变化，选择将部分基金资产投资于存托凭证或选择不将基金资产投资于存托凭证，基金资产并非必然投资存托凭证。</w:t>
      </w:r>
    </w:p>
    <w:p w14:paraId="32F8E95D" w14:textId="1E501756" w:rsidR="001F3E2C" w:rsidRDefault="001F3E2C">
      <w:pPr>
        <w:autoSpaceDE w:val="0"/>
        <w:autoSpaceDN w:val="0"/>
        <w:adjustRightInd w:val="0"/>
        <w:snapToGrid w:val="0"/>
        <w:spacing w:line="360" w:lineRule="auto"/>
        <w:ind w:leftChars="50" w:left="105" w:firstLineChars="200" w:firstLine="480"/>
        <w:rPr>
          <w:rFonts w:ascii="宋体" w:hAnsi="宋体"/>
          <w:kern w:val="0"/>
          <w:sz w:val="24"/>
        </w:rPr>
      </w:pPr>
      <w:r w:rsidRPr="001F3E2C">
        <w:rPr>
          <w:rFonts w:ascii="宋体" w:hAnsi="宋体" w:hint="eastAsia"/>
          <w:kern w:val="0"/>
          <w:sz w:val="24"/>
        </w:rPr>
        <w:t>本基金投资内地与香港股票市场交易互联互通机制允许买卖的规定范围内的香港联合交易所有限公司（以下简称“香港联合交易所”）上市的股票（以下简称“港股通标的股票”）的，会面临港股通机制下因投资环境、投资标的、市场制度以及交易规则等差异带来的特有风险，包括港股市场股价波动较大的风险（港股市场实行T+0回转交易，且对个股不设涨跌幅限制，港股股价可能表现出比A股更为剧烈的股价波动）、汇率风险（汇率波动可能对基金的投资收益造成损失）、港股通机制下交易日不连贯可能带来的风险（在内地开市香港休市的情</w:t>
      </w:r>
      <w:r w:rsidRPr="001F3E2C">
        <w:rPr>
          <w:rFonts w:ascii="宋体" w:hAnsi="宋体" w:hint="eastAsia"/>
          <w:kern w:val="0"/>
          <w:sz w:val="24"/>
        </w:rPr>
        <w:lastRenderedPageBreak/>
        <w:t>形下，港股通不能正常交易，港股不能及时卖出，可能带来一定的流动性风险）等。具体风险请查阅本基金招募说明书“风险揭示”章节的具体内容。</w:t>
      </w:r>
    </w:p>
    <w:p w14:paraId="019BF505" w14:textId="1D21796C" w:rsidR="005073E2" w:rsidRPr="001F3E2C" w:rsidRDefault="005073E2">
      <w:pPr>
        <w:autoSpaceDE w:val="0"/>
        <w:autoSpaceDN w:val="0"/>
        <w:adjustRightInd w:val="0"/>
        <w:snapToGrid w:val="0"/>
        <w:spacing w:line="360" w:lineRule="auto"/>
        <w:ind w:leftChars="50" w:left="105" w:firstLineChars="200" w:firstLine="480"/>
        <w:rPr>
          <w:rFonts w:ascii="宋体" w:hAnsi="宋体"/>
          <w:kern w:val="0"/>
          <w:sz w:val="24"/>
        </w:rPr>
      </w:pPr>
      <w:r w:rsidRPr="005073E2">
        <w:rPr>
          <w:rFonts w:ascii="宋体" w:hAnsi="宋体" w:hint="eastAsia"/>
          <w:kern w:val="0"/>
          <w:sz w:val="24"/>
        </w:rPr>
        <w:t>基金可根据投资策略需要或不同配置地市场环境的变化，选择将部分基金资产投资于港股或选择不将基金资产投资于港股，基金资产并非必然投资港股。</w:t>
      </w:r>
    </w:p>
    <w:p w14:paraId="588DADCE" w14:textId="77777777" w:rsidR="00FB25E6" w:rsidRDefault="00FB25E6" w:rsidP="00FB25E6">
      <w:pPr>
        <w:autoSpaceDE w:val="0"/>
        <w:autoSpaceDN w:val="0"/>
        <w:adjustRightInd w:val="0"/>
        <w:snapToGrid w:val="0"/>
        <w:spacing w:line="360" w:lineRule="auto"/>
        <w:ind w:leftChars="50" w:left="105" w:firstLineChars="200" w:firstLine="480"/>
        <w:rPr>
          <w:rFonts w:ascii="宋体" w:hAnsi="宋体"/>
          <w:kern w:val="0"/>
          <w:sz w:val="24"/>
        </w:rPr>
      </w:pPr>
      <w:r w:rsidRPr="00114F56">
        <w:rPr>
          <w:rFonts w:ascii="宋体" w:hAnsi="宋体" w:hint="eastAsia"/>
          <w:bCs/>
          <w:sz w:val="24"/>
        </w:rPr>
        <w:t>《基金合同》生效后，</w:t>
      </w:r>
      <w:r w:rsidRPr="0017051B">
        <w:rPr>
          <w:rFonts w:ascii="宋体" w:hAnsi="宋体" w:hint="eastAsia"/>
          <w:sz w:val="24"/>
        </w:rPr>
        <w:t>连续50个工作日出现基金份额持有人数量不满200人或者基金资产净值低于5000万元情形的，基金合同终止，不需召开基金份额持有人大会</w:t>
      </w:r>
      <w:r>
        <w:rPr>
          <w:rFonts w:ascii="宋体" w:hAnsi="宋体" w:hint="eastAsia"/>
          <w:sz w:val="24"/>
        </w:rPr>
        <w:t>。基金份额持有人可能面临</w:t>
      </w:r>
      <w:r w:rsidRPr="00C01711">
        <w:rPr>
          <w:rFonts w:ascii="宋体" w:hAnsi="宋体" w:hint="eastAsia"/>
          <w:sz w:val="24"/>
        </w:rPr>
        <w:t>基金合同提前终止</w:t>
      </w:r>
      <w:r>
        <w:rPr>
          <w:rFonts w:ascii="宋体" w:hAnsi="宋体" w:hint="eastAsia"/>
          <w:sz w:val="24"/>
        </w:rPr>
        <w:t>的</w:t>
      </w:r>
      <w:r w:rsidRPr="00C01711">
        <w:rPr>
          <w:rFonts w:ascii="宋体" w:hAnsi="宋体" w:hint="eastAsia"/>
          <w:sz w:val="24"/>
        </w:rPr>
        <w:t>风险</w:t>
      </w:r>
      <w:r w:rsidRPr="00114F56">
        <w:rPr>
          <w:rFonts w:ascii="宋体" w:hAnsi="宋体" w:hint="eastAsia"/>
          <w:sz w:val="24"/>
        </w:rPr>
        <w:t>。</w:t>
      </w:r>
    </w:p>
    <w:p w14:paraId="2E19194E" w14:textId="77777777" w:rsidR="00FB25E6" w:rsidRDefault="00FB25E6" w:rsidP="00FB25E6">
      <w:pPr>
        <w:autoSpaceDE w:val="0"/>
        <w:autoSpaceDN w:val="0"/>
        <w:adjustRightInd w:val="0"/>
        <w:snapToGrid w:val="0"/>
        <w:spacing w:line="360" w:lineRule="auto"/>
        <w:ind w:leftChars="50" w:left="105" w:firstLineChars="200" w:firstLine="480"/>
        <w:rPr>
          <w:rFonts w:ascii="宋体" w:hAnsi="宋体"/>
          <w:kern w:val="0"/>
          <w:sz w:val="24"/>
        </w:rPr>
      </w:pPr>
      <w:r>
        <w:rPr>
          <w:rFonts w:ascii="Times New Roman" w:hAnsi="Times New Roman"/>
          <w:kern w:val="0"/>
          <w:sz w:val="24"/>
        </w:rPr>
        <w:t>投资有风险，投资人在投资本基金前应认真阅读本基金的招募说明书、基金合同、基金产品资料概要等信息披露文件。基金的过往业绩并不代表未来表现。基金管理人管理的其他基金的业绩并不构成对本基金业绩表现的保证。基金管理人提醒投资者基金投资的</w:t>
      </w:r>
      <w:r>
        <w:rPr>
          <w:rFonts w:ascii="Times New Roman" w:hAnsi="Times New Roman"/>
          <w:kern w:val="0"/>
          <w:sz w:val="24"/>
        </w:rPr>
        <w:t>“</w:t>
      </w:r>
      <w:r>
        <w:rPr>
          <w:rFonts w:ascii="Times New Roman" w:hAnsi="Times New Roman"/>
          <w:kern w:val="0"/>
          <w:sz w:val="24"/>
        </w:rPr>
        <w:t>买者自负</w:t>
      </w:r>
      <w:r>
        <w:rPr>
          <w:rFonts w:ascii="Times New Roman" w:hAnsi="Times New Roman"/>
          <w:kern w:val="0"/>
          <w:sz w:val="24"/>
        </w:rPr>
        <w:t>”</w:t>
      </w:r>
      <w:r>
        <w:rPr>
          <w:rFonts w:ascii="Times New Roman" w:hAnsi="Times New Roman"/>
          <w:kern w:val="0"/>
          <w:sz w:val="24"/>
        </w:rPr>
        <w:t>原则，在投资者作出投资决策后，基金运营状况与基金净值变化引致的投资风险，由投资者自行负责。</w:t>
      </w:r>
    </w:p>
    <w:p w14:paraId="121D670F" w14:textId="0D456345" w:rsidR="00FB4D29" w:rsidRDefault="00CF4592">
      <w:pPr>
        <w:autoSpaceDE w:val="0"/>
        <w:autoSpaceDN w:val="0"/>
        <w:adjustRightInd w:val="0"/>
        <w:snapToGrid w:val="0"/>
        <w:spacing w:line="360" w:lineRule="auto"/>
        <w:ind w:leftChars="50" w:left="105" w:firstLineChars="200" w:firstLine="480"/>
        <w:rPr>
          <w:rFonts w:ascii="Times New Roman" w:hAnsi="Times New Roman"/>
          <w:kern w:val="0"/>
          <w:sz w:val="24"/>
        </w:rPr>
      </w:pPr>
      <w:r>
        <w:rPr>
          <w:rFonts w:ascii="Times New Roman" w:hAnsi="Times New Roman"/>
          <w:kern w:val="0"/>
          <w:sz w:val="24"/>
        </w:rPr>
        <w:t>本基金单一投资者持有基金份额数不得超过基金份额总数的</w:t>
      </w:r>
      <w:r>
        <w:rPr>
          <w:rFonts w:ascii="Times New Roman" w:hAnsi="Times New Roman"/>
          <w:kern w:val="0"/>
          <w:sz w:val="24"/>
        </w:rPr>
        <w:t>50%</w:t>
      </w:r>
      <w:r>
        <w:rPr>
          <w:rFonts w:ascii="Times New Roman" w:hAnsi="Times New Roman"/>
          <w:kern w:val="0"/>
          <w:sz w:val="24"/>
        </w:rPr>
        <w:t>，但在基金运作过程中因基金份额赎回等情形导致被动超过前述</w:t>
      </w:r>
      <w:r>
        <w:rPr>
          <w:rFonts w:ascii="Times New Roman" w:hAnsi="Times New Roman"/>
          <w:kern w:val="0"/>
          <w:sz w:val="24"/>
        </w:rPr>
        <w:t>50%</w:t>
      </w:r>
      <w:r>
        <w:rPr>
          <w:rFonts w:ascii="Times New Roman" w:hAnsi="Times New Roman"/>
          <w:kern w:val="0"/>
          <w:sz w:val="24"/>
        </w:rPr>
        <w:t>比例的除外。</w:t>
      </w:r>
    </w:p>
    <w:p w14:paraId="0D076EDD" w14:textId="3BC40934" w:rsidR="00FB4D29" w:rsidRDefault="001F3E2C">
      <w:pPr>
        <w:autoSpaceDE w:val="0"/>
        <w:autoSpaceDN w:val="0"/>
        <w:adjustRightInd w:val="0"/>
        <w:snapToGrid w:val="0"/>
        <w:spacing w:line="360" w:lineRule="auto"/>
        <w:ind w:leftChars="50" w:left="105" w:firstLineChars="200" w:firstLine="480"/>
        <w:rPr>
          <w:rFonts w:ascii="宋体" w:hAnsi="宋体"/>
          <w:kern w:val="0"/>
          <w:sz w:val="24"/>
        </w:rPr>
      </w:pPr>
      <w:r w:rsidRPr="001F3E2C">
        <w:rPr>
          <w:rFonts w:ascii="Times New Roman" w:hAnsi="Times New Roman" w:hint="eastAsia"/>
          <w:kern w:val="0"/>
          <w:sz w:val="24"/>
        </w:rPr>
        <w:t>本基金本次更新招募说明书对基金合同变更的相关信息进行更新，基金合同变更相关信息截止日为</w:t>
      </w:r>
      <w:r w:rsidRPr="001F3E2C">
        <w:rPr>
          <w:rFonts w:ascii="Times New Roman" w:hAnsi="Times New Roman" w:hint="eastAsia"/>
          <w:kern w:val="0"/>
          <w:sz w:val="24"/>
        </w:rPr>
        <w:t xml:space="preserve"> 202</w:t>
      </w:r>
      <w:r w:rsidR="00EC19FF">
        <w:rPr>
          <w:rFonts w:ascii="Times New Roman" w:hAnsi="Times New Roman"/>
          <w:kern w:val="0"/>
          <w:sz w:val="24"/>
        </w:rPr>
        <w:t>3</w:t>
      </w:r>
      <w:r w:rsidRPr="001F3E2C">
        <w:rPr>
          <w:rFonts w:ascii="Times New Roman" w:hAnsi="Times New Roman" w:hint="eastAsia"/>
          <w:kern w:val="0"/>
          <w:sz w:val="24"/>
        </w:rPr>
        <w:t>年</w:t>
      </w:r>
      <w:r w:rsidR="00EC19FF">
        <w:rPr>
          <w:rFonts w:ascii="Times New Roman" w:hAnsi="Times New Roman"/>
          <w:kern w:val="0"/>
          <w:sz w:val="24"/>
        </w:rPr>
        <w:t>3</w:t>
      </w:r>
      <w:r w:rsidRPr="001F3E2C">
        <w:rPr>
          <w:rFonts w:ascii="Times New Roman" w:hAnsi="Times New Roman" w:hint="eastAsia"/>
          <w:kern w:val="0"/>
          <w:sz w:val="24"/>
        </w:rPr>
        <w:t>月</w:t>
      </w:r>
      <w:r w:rsidR="00EC19FF">
        <w:rPr>
          <w:rFonts w:ascii="Times New Roman" w:hAnsi="Times New Roman"/>
          <w:kern w:val="0"/>
          <w:sz w:val="24"/>
        </w:rPr>
        <w:t>29</w:t>
      </w:r>
      <w:r w:rsidRPr="001F3E2C">
        <w:rPr>
          <w:rFonts w:ascii="Times New Roman" w:hAnsi="Times New Roman" w:hint="eastAsia"/>
          <w:kern w:val="0"/>
          <w:sz w:val="24"/>
        </w:rPr>
        <w:t>日。</w:t>
      </w:r>
      <w:r>
        <w:rPr>
          <w:rFonts w:hint="eastAsia"/>
          <w:iCs/>
          <w:kern w:val="0"/>
          <w:sz w:val="24"/>
        </w:rPr>
        <w:t>除非另有说明，</w:t>
      </w:r>
      <w:r w:rsidR="00CF4592">
        <w:rPr>
          <w:rFonts w:ascii="Times New Roman" w:hAnsi="Times New Roman"/>
          <w:kern w:val="0"/>
          <w:sz w:val="24"/>
        </w:rPr>
        <w:t>本招募说明书所载内容截止日为</w:t>
      </w:r>
      <w:r w:rsidR="00CF4592">
        <w:rPr>
          <w:rFonts w:ascii="Times New Roman" w:hAnsi="Times New Roman"/>
          <w:kern w:val="0"/>
          <w:sz w:val="24"/>
        </w:rPr>
        <w:t>2022</w:t>
      </w:r>
      <w:r w:rsidR="00CF4592">
        <w:rPr>
          <w:rFonts w:ascii="Times New Roman" w:hAnsi="Times New Roman"/>
          <w:kern w:val="0"/>
          <w:sz w:val="24"/>
        </w:rPr>
        <w:t>年</w:t>
      </w:r>
      <w:r w:rsidR="00CF4592">
        <w:rPr>
          <w:rFonts w:ascii="Times New Roman" w:hAnsi="Times New Roman"/>
          <w:kern w:val="0"/>
          <w:sz w:val="24"/>
        </w:rPr>
        <w:t>05</w:t>
      </w:r>
      <w:r w:rsidR="00CF4592">
        <w:rPr>
          <w:rFonts w:ascii="Times New Roman" w:hAnsi="Times New Roman"/>
          <w:kern w:val="0"/>
          <w:sz w:val="24"/>
        </w:rPr>
        <w:t>月</w:t>
      </w:r>
      <w:r w:rsidR="00CF4592">
        <w:rPr>
          <w:rFonts w:ascii="Times New Roman" w:hAnsi="Times New Roman"/>
          <w:kern w:val="0"/>
          <w:sz w:val="24"/>
        </w:rPr>
        <w:t>27</w:t>
      </w:r>
      <w:r w:rsidR="00CF4592">
        <w:rPr>
          <w:rFonts w:ascii="Times New Roman" w:hAnsi="Times New Roman"/>
          <w:kern w:val="0"/>
          <w:sz w:val="24"/>
        </w:rPr>
        <w:t>日，有关财务数据和净值表现截止日为</w:t>
      </w:r>
      <w:r w:rsidR="00CF4592">
        <w:rPr>
          <w:rFonts w:ascii="Times New Roman" w:hAnsi="Times New Roman"/>
          <w:kern w:val="0"/>
          <w:sz w:val="24"/>
        </w:rPr>
        <w:t>2022</w:t>
      </w:r>
      <w:r w:rsidR="00CF4592">
        <w:rPr>
          <w:rFonts w:ascii="Times New Roman" w:hAnsi="Times New Roman"/>
          <w:kern w:val="0"/>
          <w:sz w:val="24"/>
        </w:rPr>
        <w:t>年</w:t>
      </w:r>
      <w:r w:rsidR="00CF4592">
        <w:rPr>
          <w:rFonts w:ascii="Times New Roman" w:hAnsi="Times New Roman"/>
          <w:kern w:val="0"/>
          <w:sz w:val="24"/>
        </w:rPr>
        <w:t>03</w:t>
      </w:r>
      <w:r w:rsidR="00CF4592">
        <w:rPr>
          <w:rFonts w:ascii="Times New Roman" w:hAnsi="Times New Roman"/>
          <w:kern w:val="0"/>
          <w:sz w:val="24"/>
        </w:rPr>
        <w:t>月</w:t>
      </w:r>
      <w:r w:rsidR="00CF4592">
        <w:rPr>
          <w:rFonts w:ascii="Times New Roman" w:hAnsi="Times New Roman"/>
          <w:kern w:val="0"/>
          <w:sz w:val="24"/>
        </w:rPr>
        <w:t>31</w:t>
      </w:r>
      <w:r w:rsidR="00CF4592">
        <w:rPr>
          <w:rFonts w:ascii="Times New Roman" w:hAnsi="Times New Roman"/>
          <w:kern w:val="0"/>
          <w:sz w:val="24"/>
        </w:rPr>
        <w:t>日。本招募说明书所载的财务数据未经审计。</w:t>
      </w:r>
    </w:p>
    <w:p w14:paraId="7134C18A" w14:textId="77777777" w:rsidR="00FB4D29" w:rsidRDefault="00FB4D29">
      <w:pPr>
        <w:autoSpaceDE w:val="0"/>
        <w:autoSpaceDN w:val="0"/>
        <w:adjustRightInd w:val="0"/>
        <w:snapToGrid w:val="0"/>
        <w:spacing w:before="51" w:line="360" w:lineRule="auto"/>
        <w:ind w:left="120" w:rightChars="6" w:right="13" w:firstLine="480"/>
        <w:rPr>
          <w:rFonts w:ascii="宋体" w:hAnsi="宋体"/>
          <w:kern w:val="0"/>
          <w:szCs w:val="24"/>
        </w:rPr>
        <w:sectPr w:rsidR="00FB4D29">
          <w:headerReference w:type="default" r:id="rId13"/>
          <w:pgSz w:w="11920" w:h="16840"/>
          <w:pgMar w:top="1440" w:right="1680" w:bottom="280" w:left="1680" w:header="0" w:footer="1073" w:gutter="0"/>
          <w:pgNumType w:start="1"/>
          <w:cols w:space="720"/>
        </w:sectPr>
      </w:pPr>
    </w:p>
    <w:p w14:paraId="368CB0A9" w14:textId="77777777" w:rsidR="008C5B3C" w:rsidRPr="00F82365" w:rsidRDefault="00CF4592" w:rsidP="00F82365">
      <w:pPr>
        <w:keepNext/>
        <w:keepLines/>
        <w:widowControl/>
        <w:snapToGrid w:val="0"/>
        <w:spacing w:before="480" w:afterLines="100" w:after="240" w:line="360" w:lineRule="auto"/>
        <w:jc w:val="center"/>
        <w:rPr>
          <w:rFonts w:ascii="宋体" w:hAnsi="宋体"/>
          <w:b/>
          <w:bCs/>
          <w:color w:val="000000"/>
          <w:kern w:val="0"/>
          <w:position w:val="-4"/>
          <w:sz w:val="24"/>
          <w:szCs w:val="30"/>
        </w:rPr>
      </w:pPr>
      <w:r w:rsidRPr="00F82365">
        <w:rPr>
          <w:rFonts w:ascii="宋体" w:hAnsi="宋体"/>
          <w:b/>
          <w:bCs/>
          <w:color w:val="000000"/>
          <w:kern w:val="0"/>
          <w:position w:val="-4"/>
          <w:sz w:val="24"/>
          <w:szCs w:val="30"/>
        </w:rPr>
        <w:lastRenderedPageBreak/>
        <w:t>目</w:t>
      </w:r>
      <w:r w:rsidRPr="00F82365">
        <w:rPr>
          <w:rFonts w:ascii="宋体" w:hAnsi="宋体"/>
          <w:b/>
          <w:bCs/>
          <w:color w:val="000000"/>
          <w:kern w:val="0"/>
          <w:position w:val="-4"/>
          <w:sz w:val="24"/>
          <w:szCs w:val="30"/>
        </w:rPr>
        <w:tab/>
        <w:t>录</w:t>
      </w:r>
    </w:p>
    <w:p w14:paraId="3F087AFB" w14:textId="1EC25C10" w:rsidR="008C5B3C" w:rsidRPr="00F82365" w:rsidRDefault="00D4333C" w:rsidP="00F82365">
      <w:pPr>
        <w:pStyle w:val="11"/>
        <w:tabs>
          <w:tab w:val="right" w:leader="dot" w:pos="8550"/>
        </w:tabs>
        <w:spacing w:line="360" w:lineRule="auto"/>
        <w:rPr>
          <w:rStyle w:val="af0"/>
          <w:rFonts w:ascii="宋体" w:hAnsi="宋体"/>
          <w:noProof/>
          <w:kern w:val="0"/>
          <w:sz w:val="24"/>
        </w:rPr>
      </w:pPr>
      <w:r w:rsidRPr="00F82365">
        <w:rPr>
          <w:rStyle w:val="af0"/>
          <w:noProof/>
          <w:kern w:val="0"/>
        </w:rPr>
        <w:fldChar w:fldCharType="begin"/>
      </w:r>
      <w:r w:rsidRPr="00F82365">
        <w:rPr>
          <w:rStyle w:val="af0"/>
          <w:noProof/>
          <w:kern w:val="0"/>
        </w:rPr>
        <w:instrText xml:space="preserve"> TOC \o "1-3" \f - \h \t "-1" </w:instrText>
      </w:r>
      <w:r w:rsidRPr="00F82365">
        <w:rPr>
          <w:rStyle w:val="af0"/>
          <w:noProof/>
        </w:rPr>
        <w:fldChar w:fldCharType="separate"/>
      </w:r>
      <w:hyperlink w:anchor="_Toc107476019" w:history="1">
        <w:r w:rsidR="008C5B3C" w:rsidRPr="00F82365">
          <w:rPr>
            <w:rStyle w:val="af0"/>
            <w:rFonts w:ascii="宋体" w:hAnsi="宋体" w:hint="eastAsia"/>
            <w:noProof/>
            <w:kern w:val="0"/>
            <w:sz w:val="24"/>
          </w:rPr>
          <w:t>重要提示</w:t>
        </w:r>
        <w:r w:rsidR="008C5B3C" w:rsidRPr="00F82365">
          <w:rPr>
            <w:rStyle w:val="af0"/>
            <w:rFonts w:ascii="宋体" w:hAnsi="宋体"/>
            <w:noProof/>
            <w:kern w:val="0"/>
            <w:sz w:val="24"/>
          </w:rPr>
          <w:tab/>
        </w:r>
        <w:r w:rsidR="008C5B3C" w:rsidRPr="00F82365">
          <w:rPr>
            <w:rStyle w:val="af0"/>
            <w:rFonts w:ascii="宋体" w:hAnsi="宋体"/>
            <w:noProof/>
            <w:kern w:val="0"/>
            <w:sz w:val="24"/>
          </w:rPr>
          <w:fldChar w:fldCharType="begin"/>
        </w:r>
        <w:r w:rsidR="008C5B3C" w:rsidRPr="00F82365">
          <w:rPr>
            <w:rStyle w:val="af0"/>
            <w:rFonts w:ascii="宋体" w:hAnsi="宋体"/>
            <w:noProof/>
            <w:kern w:val="0"/>
            <w:sz w:val="24"/>
          </w:rPr>
          <w:instrText xml:space="preserve"> PAGEREF _Toc107476019 \h </w:instrText>
        </w:r>
        <w:r w:rsidR="008C5B3C" w:rsidRPr="00F82365">
          <w:rPr>
            <w:rStyle w:val="af0"/>
            <w:rFonts w:ascii="宋体" w:hAnsi="宋体"/>
            <w:noProof/>
            <w:kern w:val="0"/>
            <w:sz w:val="24"/>
          </w:rPr>
        </w:r>
        <w:r w:rsidR="008C5B3C" w:rsidRPr="00F82365">
          <w:rPr>
            <w:rStyle w:val="af0"/>
            <w:rFonts w:ascii="宋体" w:hAnsi="宋体"/>
            <w:noProof/>
            <w:kern w:val="0"/>
            <w:sz w:val="24"/>
          </w:rPr>
          <w:fldChar w:fldCharType="separate"/>
        </w:r>
        <w:r w:rsidR="003065AF">
          <w:rPr>
            <w:rStyle w:val="af0"/>
            <w:rFonts w:ascii="宋体" w:hAnsi="宋体"/>
            <w:noProof/>
            <w:kern w:val="0"/>
            <w:sz w:val="24"/>
          </w:rPr>
          <w:t>1</w:t>
        </w:r>
        <w:r w:rsidR="008C5B3C" w:rsidRPr="00F82365">
          <w:rPr>
            <w:rStyle w:val="af0"/>
            <w:rFonts w:ascii="宋体" w:hAnsi="宋体"/>
            <w:noProof/>
            <w:kern w:val="0"/>
            <w:sz w:val="24"/>
          </w:rPr>
          <w:fldChar w:fldCharType="end"/>
        </w:r>
      </w:hyperlink>
    </w:p>
    <w:p w14:paraId="4362B685" w14:textId="188D9E0D" w:rsidR="008C5B3C" w:rsidRPr="00F82365" w:rsidRDefault="001E631D" w:rsidP="00F82365">
      <w:pPr>
        <w:pStyle w:val="11"/>
        <w:tabs>
          <w:tab w:val="right" w:leader="dot" w:pos="8550"/>
        </w:tabs>
        <w:spacing w:line="360" w:lineRule="auto"/>
        <w:rPr>
          <w:rStyle w:val="af0"/>
          <w:rFonts w:ascii="宋体" w:hAnsi="宋体"/>
          <w:noProof/>
          <w:kern w:val="0"/>
          <w:sz w:val="24"/>
        </w:rPr>
      </w:pPr>
      <w:hyperlink w:anchor="_Toc107476020" w:history="1">
        <w:r w:rsidR="008C5B3C" w:rsidRPr="00F82365">
          <w:rPr>
            <w:rStyle w:val="af0"/>
            <w:rFonts w:ascii="宋体" w:hAnsi="宋体" w:hint="eastAsia"/>
            <w:noProof/>
            <w:kern w:val="0"/>
            <w:sz w:val="24"/>
          </w:rPr>
          <w:t>一、绪言</w:t>
        </w:r>
        <w:r w:rsidR="008C5B3C" w:rsidRPr="00F82365">
          <w:rPr>
            <w:rStyle w:val="af0"/>
            <w:rFonts w:ascii="宋体" w:hAnsi="宋体"/>
            <w:noProof/>
            <w:kern w:val="0"/>
            <w:sz w:val="24"/>
          </w:rPr>
          <w:tab/>
        </w:r>
        <w:r w:rsidR="008C5B3C" w:rsidRPr="00F82365">
          <w:rPr>
            <w:rStyle w:val="af0"/>
            <w:rFonts w:ascii="宋体" w:hAnsi="宋体"/>
            <w:noProof/>
            <w:kern w:val="0"/>
            <w:sz w:val="24"/>
          </w:rPr>
          <w:fldChar w:fldCharType="begin"/>
        </w:r>
        <w:r w:rsidR="008C5B3C" w:rsidRPr="00F82365">
          <w:rPr>
            <w:rStyle w:val="af0"/>
            <w:rFonts w:ascii="宋体" w:hAnsi="宋体"/>
            <w:noProof/>
            <w:kern w:val="0"/>
            <w:sz w:val="24"/>
          </w:rPr>
          <w:instrText xml:space="preserve"> PAGEREF _Toc107476020 \h </w:instrText>
        </w:r>
        <w:r w:rsidR="008C5B3C" w:rsidRPr="00F82365">
          <w:rPr>
            <w:rStyle w:val="af0"/>
            <w:rFonts w:ascii="宋体" w:hAnsi="宋体"/>
            <w:noProof/>
            <w:kern w:val="0"/>
            <w:sz w:val="24"/>
          </w:rPr>
        </w:r>
        <w:r w:rsidR="008C5B3C" w:rsidRPr="00F82365">
          <w:rPr>
            <w:rStyle w:val="af0"/>
            <w:rFonts w:ascii="宋体" w:hAnsi="宋体"/>
            <w:noProof/>
            <w:kern w:val="0"/>
            <w:sz w:val="24"/>
          </w:rPr>
          <w:fldChar w:fldCharType="separate"/>
        </w:r>
        <w:r w:rsidR="003065AF">
          <w:rPr>
            <w:rStyle w:val="af0"/>
            <w:rFonts w:ascii="宋体" w:hAnsi="宋体"/>
            <w:noProof/>
            <w:kern w:val="0"/>
            <w:sz w:val="24"/>
          </w:rPr>
          <w:t>5</w:t>
        </w:r>
        <w:r w:rsidR="008C5B3C" w:rsidRPr="00F82365">
          <w:rPr>
            <w:rStyle w:val="af0"/>
            <w:rFonts w:ascii="宋体" w:hAnsi="宋体"/>
            <w:noProof/>
            <w:kern w:val="0"/>
            <w:sz w:val="24"/>
          </w:rPr>
          <w:fldChar w:fldCharType="end"/>
        </w:r>
      </w:hyperlink>
    </w:p>
    <w:p w14:paraId="3D00D3CC" w14:textId="35DA6D16" w:rsidR="008C5B3C" w:rsidRPr="00F82365" w:rsidRDefault="001E631D" w:rsidP="00F82365">
      <w:pPr>
        <w:pStyle w:val="11"/>
        <w:tabs>
          <w:tab w:val="right" w:leader="dot" w:pos="8550"/>
        </w:tabs>
        <w:spacing w:line="360" w:lineRule="auto"/>
        <w:rPr>
          <w:rStyle w:val="af0"/>
          <w:rFonts w:ascii="宋体" w:hAnsi="宋体"/>
          <w:noProof/>
          <w:kern w:val="0"/>
          <w:sz w:val="24"/>
        </w:rPr>
      </w:pPr>
      <w:hyperlink w:anchor="_Toc107476021" w:history="1">
        <w:r w:rsidR="008C5B3C" w:rsidRPr="00F82365">
          <w:rPr>
            <w:rStyle w:val="af0"/>
            <w:rFonts w:ascii="宋体" w:hAnsi="宋体" w:hint="eastAsia"/>
            <w:noProof/>
            <w:kern w:val="0"/>
            <w:sz w:val="24"/>
          </w:rPr>
          <w:t>二、释义</w:t>
        </w:r>
        <w:r w:rsidR="008C5B3C" w:rsidRPr="00F82365">
          <w:rPr>
            <w:rStyle w:val="af0"/>
            <w:rFonts w:ascii="宋体" w:hAnsi="宋体"/>
            <w:noProof/>
            <w:kern w:val="0"/>
            <w:sz w:val="24"/>
          </w:rPr>
          <w:tab/>
        </w:r>
        <w:r w:rsidR="008C5B3C" w:rsidRPr="00F82365">
          <w:rPr>
            <w:rStyle w:val="af0"/>
            <w:rFonts w:ascii="宋体" w:hAnsi="宋体"/>
            <w:noProof/>
            <w:kern w:val="0"/>
            <w:sz w:val="24"/>
          </w:rPr>
          <w:fldChar w:fldCharType="begin"/>
        </w:r>
        <w:r w:rsidR="008C5B3C" w:rsidRPr="00F82365">
          <w:rPr>
            <w:rStyle w:val="af0"/>
            <w:rFonts w:ascii="宋体" w:hAnsi="宋体"/>
            <w:noProof/>
            <w:kern w:val="0"/>
            <w:sz w:val="24"/>
          </w:rPr>
          <w:instrText xml:space="preserve"> PAGEREF _Toc107476021 \h </w:instrText>
        </w:r>
        <w:r w:rsidR="008C5B3C" w:rsidRPr="00F82365">
          <w:rPr>
            <w:rStyle w:val="af0"/>
            <w:rFonts w:ascii="宋体" w:hAnsi="宋体"/>
            <w:noProof/>
            <w:kern w:val="0"/>
            <w:sz w:val="24"/>
          </w:rPr>
        </w:r>
        <w:r w:rsidR="008C5B3C" w:rsidRPr="00F82365">
          <w:rPr>
            <w:rStyle w:val="af0"/>
            <w:rFonts w:ascii="宋体" w:hAnsi="宋体"/>
            <w:noProof/>
            <w:kern w:val="0"/>
            <w:sz w:val="24"/>
          </w:rPr>
          <w:fldChar w:fldCharType="separate"/>
        </w:r>
        <w:r w:rsidR="003065AF">
          <w:rPr>
            <w:rStyle w:val="af0"/>
            <w:rFonts w:ascii="宋体" w:hAnsi="宋体"/>
            <w:noProof/>
            <w:kern w:val="0"/>
            <w:sz w:val="24"/>
          </w:rPr>
          <w:t>6</w:t>
        </w:r>
        <w:r w:rsidR="008C5B3C" w:rsidRPr="00F82365">
          <w:rPr>
            <w:rStyle w:val="af0"/>
            <w:rFonts w:ascii="宋体" w:hAnsi="宋体"/>
            <w:noProof/>
            <w:kern w:val="0"/>
            <w:sz w:val="24"/>
          </w:rPr>
          <w:fldChar w:fldCharType="end"/>
        </w:r>
      </w:hyperlink>
    </w:p>
    <w:p w14:paraId="63CA1DE3" w14:textId="627D67D6" w:rsidR="008C5B3C" w:rsidRPr="00F82365" w:rsidRDefault="001E631D" w:rsidP="00F82365">
      <w:pPr>
        <w:pStyle w:val="11"/>
        <w:tabs>
          <w:tab w:val="right" w:leader="dot" w:pos="8550"/>
        </w:tabs>
        <w:spacing w:line="360" w:lineRule="auto"/>
        <w:rPr>
          <w:rStyle w:val="af0"/>
          <w:rFonts w:ascii="宋体" w:hAnsi="宋体"/>
          <w:noProof/>
          <w:kern w:val="0"/>
          <w:sz w:val="24"/>
        </w:rPr>
      </w:pPr>
      <w:hyperlink w:anchor="_Toc107476022" w:history="1">
        <w:r w:rsidR="008C5B3C" w:rsidRPr="00F82365">
          <w:rPr>
            <w:rStyle w:val="af0"/>
            <w:rFonts w:ascii="宋体" w:hAnsi="宋体" w:hint="eastAsia"/>
            <w:noProof/>
            <w:kern w:val="0"/>
            <w:sz w:val="24"/>
          </w:rPr>
          <w:t>三、基金管理人</w:t>
        </w:r>
        <w:r w:rsidR="008C5B3C" w:rsidRPr="00F82365">
          <w:rPr>
            <w:rStyle w:val="af0"/>
            <w:rFonts w:ascii="宋体" w:hAnsi="宋体"/>
            <w:noProof/>
            <w:kern w:val="0"/>
            <w:sz w:val="24"/>
          </w:rPr>
          <w:tab/>
        </w:r>
        <w:r w:rsidR="008C5B3C" w:rsidRPr="00F82365">
          <w:rPr>
            <w:rStyle w:val="af0"/>
            <w:rFonts w:ascii="宋体" w:hAnsi="宋体"/>
            <w:noProof/>
            <w:kern w:val="0"/>
            <w:sz w:val="24"/>
          </w:rPr>
          <w:fldChar w:fldCharType="begin"/>
        </w:r>
        <w:r w:rsidR="008C5B3C" w:rsidRPr="00F82365">
          <w:rPr>
            <w:rStyle w:val="af0"/>
            <w:rFonts w:ascii="宋体" w:hAnsi="宋体"/>
            <w:noProof/>
            <w:kern w:val="0"/>
            <w:sz w:val="24"/>
          </w:rPr>
          <w:instrText xml:space="preserve"> PAGEREF _Toc107476022 \h </w:instrText>
        </w:r>
        <w:r w:rsidR="008C5B3C" w:rsidRPr="00F82365">
          <w:rPr>
            <w:rStyle w:val="af0"/>
            <w:rFonts w:ascii="宋体" w:hAnsi="宋体"/>
            <w:noProof/>
            <w:kern w:val="0"/>
            <w:sz w:val="24"/>
          </w:rPr>
        </w:r>
        <w:r w:rsidR="008C5B3C" w:rsidRPr="00F82365">
          <w:rPr>
            <w:rStyle w:val="af0"/>
            <w:rFonts w:ascii="宋体" w:hAnsi="宋体"/>
            <w:noProof/>
            <w:kern w:val="0"/>
            <w:sz w:val="24"/>
          </w:rPr>
          <w:fldChar w:fldCharType="separate"/>
        </w:r>
        <w:r w:rsidR="003065AF">
          <w:rPr>
            <w:rStyle w:val="af0"/>
            <w:rFonts w:ascii="宋体" w:hAnsi="宋体"/>
            <w:noProof/>
            <w:kern w:val="0"/>
            <w:sz w:val="24"/>
          </w:rPr>
          <w:t>11</w:t>
        </w:r>
        <w:r w:rsidR="008C5B3C" w:rsidRPr="00F82365">
          <w:rPr>
            <w:rStyle w:val="af0"/>
            <w:rFonts w:ascii="宋体" w:hAnsi="宋体"/>
            <w:noProof/>
            <w:kern w:val="0"/>
            <w:sz w:val="24"/>
          </w:rPr>
          <w:fldChar w:fldCharType="end"/>
        </w:r>
      </w:hyperlink>
    </w:p>
    <w:p w14:paraId="5BE97311" w14:textId="76829B7C" w:rsidR="008C5B3C" w:rsidRPr="00F82365" w:rsidRDefault="001E631D" w:rsidP="00F82365">
      <w:pPr>
        <w:pStyle w:val="11"/>
        <w:tabs>
          <w:tab w:val="right" w:leader="dot" w:pos="8550"/>
        </w:tabs>
        <w:spacing w:line="360" w:lineRule="auto"/>
        <w:rPr>
          <w:rStyle w:val="af0"/>
          <w:rFonts w:ascii="宋体" w:hAnsi="宋体"/>
          <w:noProof/>
          <w:kern w:val="0"/>
          <w:sz w:val="24"/>
        </w:rPr>
      </w:pPr>
      <w:hyperlink w:anchor="_Toc107476023" w:history="1">
        <w:r w:rsidR="008C5B3C" w:rsidRPr="00F82365">
          <w:rPr>
            <w:rStyle w:val="af0"/>
            <w:rFonts w:ascii="宋体" w:hAnsi="宋体" w:hint="eastAsia"/>
            <w:noProof/>
            <w:kern w:val="0"/>
            <w:sz w:val="24"/>
          </w:rPr>
          <w:t>四、基金托管人</w:t>
        </w:r>
        <w:r w:rsidR="008C5B3C" w:rsidRPr="00F82365">
          <w:rPr>
            <w:rStyle w:val="af0"/>
            <w:rFonts w:ascii="宋体" w:hAnsi="宋体"/>
            <w:noProof/>
            <w:kern w:val="0"/>
            <w:sz w:val="24"/>
          </w:rPr>
          <w:tab/>
        </w:r>
        <w:r w:rsidR="008C5B3C" w:rsidRPr="00F82365">
          <w:rPr>
            <w:rStyle w:val="af0"/>
            <w:rFonts w:ascii="宋体" w:hAnsi="宋体"/>
            <w:noProof/>
            <w:kern w:val="0"/>
            <w:sz w:val="24"/>
          </w:rPr>
          <w:fldChar w:fldCharType="begin"/>
        </w:r>
        <w:r w:rsidR="008C5B3C" w:rsidRPr="00F82365">
          <w:rPr>
            <w:rStyle w:val="af0"/>
            <w:rFonts w:ascii="宋体" w:hAnsi="宋体"/>
            <w:noProof/>
            <w:kern w:val="0"/>
            <w:sz w:val="24"/>
          </w:rPr>
          <w:instrText xml:space="preserve"> PAGEREF _Toc107476023 \h </w:instrText>
        </w:r>
        <w:r w:rsidR="008C5B3C" w:rsidRPr="00F82365">
          <w:rPr>
            <w:rStyle w:val="af0"/>
            <w:rFonts w:ascii="宋体" w:hAnsi="宋体"/>
            <w:noProof/>
            <w:kern w:val="0"/>
            <w:sz w:val="24"/>
          </w:rPr>
        </w:r>
        <w:r w:rsidR="008C5B3C" w:rsidRPr="00F82365">
          <w:rPr>
            <w:rStyle w:val="af0"/>
            <w:rFonts w:ascii="宋体" w:hAnsi="宋体"/>
            <w:noProof/>
            <w:kern w:val="0"/>
            <w:sz w:val="24"/>
          </w:rPr>
          <w:fldChar w:fldCharType="separate"/>
        </w:r>
        <w:r w:rsidR="003065AF">
          <w:rPr>
            <w:rStyle w:val="af0"/>
            <w:rFonts w:ascii="宋体" w:hAnsi="宋体"/>
            <w:noProof/>
            <w:kern w:val="0"/>
            <w:sz w:val="24"/>
          </w:rPr>
          <w:t>19</w:t>
        </w:r>
        <w:r w:rsidR="008C5B3C" w:rsidRPr="00F82365">
          <w:rPr>
            <w:rStyle w:val="af0"/>
            <w:rFonts w:ascii="宋体" w:hAnsi="宋体"/>
            <w:noProof/>
            <w:kern w:val="0"/>
            <w:sz w:val="24"/>
          </w:rPr>
          <w:fldChar w:fldCharType="end"/>
        </w:r>
      </w:hyperlink>
    </w:p>
    <w:p w14:paraId="25F038B5" w14:textId="6377A8D5" w:rsidR="008C5B3C" w:rsidRPr="00F82365" w:rsidRDefault="001E631D" w:rsidP="00F82365">
      <w:pPr>
        <w:pStyle w:val="11"/>
        <w:tabs>
          <w:tab w:val="right" w:leader="dot" w:pos="8550"/>
        </w:tabs>
        <w:spacing w:line="360" w:lineRule="auto"/>
        <w:rPr>
          <w:rStyle w:val="af0"/>
          <w:rFonts w:ascii="宋体" w:hAnsi="宋体"/>
          <w:noProof/>
          <w:kern w:val="0"/>
          <w:sz w:val="24"/>
        </w:rPr>
      </w:pPr>
      <w:hyperlink w:anchor="_Toc107476024" w:history="1">
        <w:r w:rsidR="008C5B3C" w:rsidRPr="00F82365">
          <w:rPr>
            <w:rStyle w:val="af0"/>
            <w:rFonts w:ascii="宋体" w:hAnsi="宋体" w:hint="eastAsia"/>
            <w:noProof/>
            <w:kern w:val="0"/>
            <w:sz w:val="24"/>
          </w:rPr>
          <w:t>五、相关服务机构</w:t>
        </w:r>
        <w:r w:rsidR="008C5B3C" w:rsidRPr="00F82365">
          <w:rPr>
            <w:rStyle w:val="af0"/>
            <w:rFonts w:ascii="宋体" w:hAnsi="宋体"/>
            <w:noProof/>
            <w:kern w:val="0"/>
            <w:sz w:val="24"/>
          </w:rPr>
          <w:tab/>
        </w:r>
        <w:r w:rsidR="008C5B3C" w:rsidRPr="00F82365">
          <w:rPr>
            <w:rStyle w:val="af0"/>
            <w:rFonts w:ascii="宋体" w:hAnsi="宋体"/>
            <w:noProof/>
            <w:kern w:val="0"/>
            <w:sz w:val="24"/>
          </w:rPr>
          <w:fldChar w:fldCharType="begin"/>
        </w:r>
        <w:r w:rsidR="008C5B3C" w:rsidRPr="00F82365">
          <w:rPr>
            <w:rStyle w:val="af0"/>
            <w:rFonts w:ascii="宋体" w:hAnsi="宋体"/>
            <w:noProof/>
            <w:kern w:val="0"/>
            <w:sz w:val="24"/>
          </w:rPr>
          <w:instrText xml:space="preserve"> PAGEREF _Toc107476024 \h </w:instrText>
        </w:r>
        <w:r w:rsidR="008C5B3C" w:rsidRPr="00F82365">
          <w:rPr>
            <w:rStyle w:val="af0"/>
            <w:rFonts w:ascii="宋体" w:hAnsi="宋体"/>
            <w:noProof/>
            <w:kern w:val="0"/>
            <w:sz w:val="24"/>
          </w:rPr>
        </w:r>
        <w:r w:rsidR="008C5B3C" w:rsidRPr="00F82365">
          <w:rPr>
            <w:rStyle w:val="af0"/>
            <w:rFonts w:ascii="宋体" w:hAnsi="宋体"/>
            <w:noProof/>
            <w:kern w:val="0"/>
            <w:sz w:val="24"/>
          </w:rPr>
          <w:fldChar w:fldCharType="separate"/>
        </w:r>
        <w:r w:rsidR="003065AF">
          <w:rPr>
            <w:rStyle w:val="af0"/>
            <w:rFonts w:ascii="宋体" w:hAnsi="宋体"/>
            <w:noProof/>
            <w:kern w:val="0"/>
            <w:sz w:val="24"/>
          </w:rPr>
          <w:t>24</w:t>
        </w:r>
        <w:r w:rsidR="008C5B3C" w:rsidRPr="00F82365">
          <w:rPr>
            <w:rStyle w:val="af0"/>
            <w:rFonts w:ascii="宋体" w:hAnsi="宋体"/>
            <w:noProof/>
            <w:kern w:val="0"/>
            <w:sz w:val="24"/>
          </w:rPr>
          <w:fldChar w:fldCharType="end"/>
        </w:r>
      </w:hyperlink>
    </w:p>
    <w:p w14:paraId="0BBC2FF4" w14:textId="2712960C" w:rsidR="008C5B3C" w:rsidRPr="00F82365" w:rsidRDefault="001E631D" w:rsidP="00F82365">
      <w:pPr>
        <w:pStyle w:val="11"/>
        <w:tabs>
          <w:tab w:val="right" w:leader="dot" w:pos="8550"/>
        </w:tabs>
        <w:spacing w:line="360" w:lineRule="auto"/>
        <w:rPr>
          <w:rStyle w:val="af0"/>
          <w:rFonts w:ascii="宋体" w:hAnsi="宋体"/>
          <w:noProof/>
          <w:kern w:val="0"/>
          <w:sz w:val="24"/>
        </w:rPr>
      </w:pPr>
      <w:hyperlink w:anchor="_Toc107476025" w:history="1">
        <w:r w:rsidR="008C5B3C" w:rsidRPr="00F82365">
          <w:rPr>
            <w:rStyle w:val="af0"/>
            <w:rFonts w:ascii="宋体" w:hAnsi="宋体" w:hint="eastAsia"/>
            <w:noProof/>
            <w:kern w:val="0"/>
            <w:sz w:val="24"/>
          </w:rPr>
          <w:t>六、基金的历史沿革</w:t>
        </w:r>
        <w:r w:rsidR="008C5B3C" w:rsidRPr="00F82365">
          <w:rPr>
            <w:rStyle w:val="af0"/>
            <w:rFonts w:ascii="宋体" w:hAnsi="宋体"/>
            <w:noProof/>
            <w:kern w:val="0"/>
            <w:sz w:val="24"/>
          </w:rPr>
          <w:tab/>
        </w:r>
        <w:r w:rsidR="008C5B3C" w:rsidRPr="00F82365">
          <w:rPr>
            <w:rStyle w:val="af0"/>
            <w:rFonts w:ascii="宋体" w:hAnsi="宋体"/>
            <w:noProof/>
            <w:kern w:val="0"/>
            <w:sz w:val="24"/>
          </w:rPr>
          <w:fldChar w:fldCharType="begin"/>
        </w:r>
        <w:r w:rsidR="008C5B3C" w:rsidRPr="00F82365">
          <w:rPr>
            <w:rStyle w:val="af0"/>
            <w:rFonts w:ascii="宋体" w:hAnsi="宋体"/>
            <w:noProof/>
            <w:kern w:val="0"/>
            <w:sz w:val="24"/>
          </w:rPr>
          <w:instrText xml:space="preserve"> PAGEREF _Toc107476025 \h </w:instrText>
        </w:r>
        <w:r w:rsidR="008C5B3C" w:rsidRPr="00F82365">
          <w:rPr>
            <w:rStyle w:val="af0"/>
            <w:rFonts w:ascii="宋体" w:hAnsi="宋体"/>
            <w:noProof/>
            <w:kern w:val="0"/>
            <w:sz w:val="24"/>
          </w:rPr>
        </w:r>
        <w:r w:rsidR="008C5B3C" w:rsidRPr="00F82365">
          <w:rPr>
            <w:rStyle w:val="af0"/>
            <w:rFonts w:ascii="宋体" w:hAnsi="宋体"/>
            <w:noProof/>
            <w:kern w:val="0"/>
            <w:sz w:val="24"/>
          </w:rPr>
          <w:fldChar w:fldCharType="separate"/>
        </w:r>
        <w:r w:rsidR="003065AF">
          <w:rPr>
            <w:rStyle w:val="af0"/>
            <w:rFonts w:ascii="宋体" w:hAnsi="宋体"/>
            <w:noProof/>
            <w:kern w:val="0"/>
            <w:sz w:val="24"/>
          </w:rPr>
          <w:t>52</w:t>
        </w:r>
        <w:r w:rsidR="008C5B3C" w:rsidRPr="00F82365">
          <w:rPr>
            <w:rStyle w:val="af0"/>
            <w:rFonts w:ascii="宋体" w:hAnsi="宋体"/>
            <w:noProof/>
            <w:kern w:val="0"/>
            <w:sz w:val="24"/>
          </w:rPr>
          <w:fldChar w:fldCharType="end"/>
        </w:r>
      </w:hyperlink>
    </w:p>
    <w:p w14:paraId="4D885FF5" w14:textId="17EC50D9" w:rsidR="008C5B3C" w:rsidRPr="00F82365" w:rsidRDefault="001E631D" w:rsidP="00F82365">
      <w:pPr>
        <w:pStyle w:val="11"/>
        <w:tabs>
          <w:tab w:val="right" w:leader="dot" w:pos="8550"/>
        </w:tabs>
        <w:spacing w:line="360" w:lineRule="auto"/>
        <w:rPr>
          <w:rStyle w:val="af0"/>
          <w:rFonts w:ascii="宋体" w:hAnsi="宋体"/>
          <w:noProof/>
          <w:kern w:val="0"/>
          <w:sz w:val="24"/>
        </w:rPr>
      </w:pPr>
      <w:hyperlink w:anchor="_Toc107476026" w:history="1">
        <w:r w:rsidR="008C5B3C" w:rsidRPr="00F82365">
          <w:rPr>
            <w:rStyle w:val="af0"/>
            <w:rFonts w:ascii="宋体" w:hAnsi="宋体" w:hint="eastAsia"/>
            <w:noProof/>
            <w:kern w:val="0"/>
            <w:sz w:val="24"/>
          </w:rPr>
          <w:t>七、基金的存续</w:t>
        </w:r>
        <w:r w:rsidR="008C5B3C" w:rsidRPr="00F82365">
          <w:rPr>
            <w:rStyle w:val="af0"/>
            <w:rFonts w:ascii="宋体" w:hAnsi="宋体"/>
            <w:noProof/>
            <w:kern w:val="0"/>
            <w:sz w:val="24"/>
          </w:rPr>
          <w:tab/>
        </w:r>
        <w:r w:rsidR="008C5B3C" w:rsidRPr="00F82365">
          <w:rPr>
            <w:rStyle w:val="af0"/>
            <w:rFonts w:ascii="宋体" w:hAnsi="宋体"/>
            <w:noProof/>
            <w:kern w:val="0"/>
            <w:sz w:val="24"/>
          </w:rPr>
          <w:fldChar w:fldCharType="begin"/>
        </w:r>
        <w:r w:rsidR="008C5B3C" w:rsidRPr="00F82365">
          <w:rPr>
            <w:rStyle w:val="af0"/>
            <w:rFonts w:ascii="宋体" w:hAnsi="宋体"/>
            <w:noProof/>
            <w:kern w:val="0"/>
            <w:sz w:val="24"/>
          </w:rPr>
          <w:instrText xml:space="preserve"> PAGEREF _Toc107476026 \h </w:instrText>
        </w:r>
        <w:r w:rsidR="008C5B3C" w:rsidRPr="00F82365">
          <w:rPr>
            <w:rStyle w:val="af0"/>
            <w:rFonts w:ascii="宋体" w:hAnsi="宋体"/>
            <w:noProof/>
            <w:kern w:val="0"/>
            <w:sz w:val="24"/>
          </w:rPr>
        </w:r>
        <w:r w:rsidR="008C5B3C" w:rsidRPr="00F82365">
          <w:rPr>
            <w:rStyle w:val="af0"/>
            <w:rFonts w:ascii="宋体" w:hAnsi="宋体"/>
            <w:noProof/>
            <w:kern w:val="0"/>
            <w:sz w:val="24"/>
          </w:rPr>
          <w:fldChar w:fldCharType="separate"/>
        </w:r>
        <w:r w:rsidR="003065AF">
          <w:rPr>
            <w:rStyle w:val="af0"/>
            <w:rFonts w:ascii="宋体" w:hAnsi="宋体"/>
            <w:noProof/>
            <w:kern w:val="0"/>
            <w:sz w:val="24"/>
          </w:rPr>
          <w:t>53</w:t>
        </w:r>
        <w:r w:rsidR="008C5B3C" w:rsidRPr="00F82365">
          <w:rPr>
            <w:rStyle w:val="af0"/>
            <w:rFonts w:ascii="宋体" w:hAnsi="宋体"/>
            <w:noProof/>
            <w:kern w:val="0"/>
            <w:sz w:val="24"/>
          </w:rPr>
          <w:fldChar w:fldCharType="end"/>
        </w:r>
      </w:hyperlink>
    </w:p>
    <w:p w14:paraId="03D61C50" w14:textId="7340558C" w:rsidR="008C5B3C" w:rsidRPr="00F82365" w:rsidRDefault="001E631D" w:rsidP="00F82365">
      <w:pPr>
        <w:pStyle w:val="11"/>
        <w:tabs>
          <w:tab w:val="right" w:leader="dot" w:pos="8550"/>
        </w:tabs>
        <w:spacing w:line="360" w:lineRule="auto"/>
        <w:rPr>
          <w:rStyle w:val="af0"/>
          <w:rFonts w:ascii="宋体" w:hAnsi="宋体"/>
          <w:noProof/>
          <w:kern w:val="0"/>
          <w:sz w:val="24"/>
        </w:rPr>
      </w:pPr>
      <w:hyperlink w:anchor="_Toc107476027" w:history="1">
        <w:r w:rsidR="008C5B3C" w:rsidRPr="00F82365">
          <w:rPr>
            <w:rStyle w:val="af0"/>
            <w:rFonts w:ascii="宋体" w:hAnsi="宋体" w:hint="eastAsia"/>
            <w:noProof/>
            <w:kern w:val="0"/>
            <w:sz w:val="24"/>
          </w:rPr>
          <w:t>八、基金份额的申购与赎回</w:t>
        </w:r>
        <w:r w:rsidR="008C5B3C" w:rsidRPr="00F82365">
          <w:rPr>
            <w:rStyle w:val="af0"/>
            <w:rFonts w:ascii="宋体" w:hAnsi="宋体"/>
            <w:noProof/>
            <w:kern w:val="0"/>
            <w:sz w:val="24"/>
          </w:rPr>
          <w:tab/>
        </w:r>
        <w:r w:rsidR="008C5B3C" w:rsidRPr="00F82365">
          <w:rPr>
            <w:rStyle w:val="af0"/>
            <w:rFonts w:ascii="宋体" w:hAnsi="宋体"/>
            <w:noProof/>
            <w:kern w:val="0"/>
            <w:sz w:val="24"/>
          </w:rPr>
          <w:fldChar w:fldCharType="begin"/>
        </w:r>
        <w:r w:rsidR="008C5B3C" w:rsidRPr="00F82365">
          <w:rPr>
            <w:rStyle w:val="af0"/>
            <w:rFonts w:ascii="宋体" w:hAnsi="宋体"/>
            <w:noProof/>
            <w:kern w:val="0"/>
            <w:sz w:val="24"/>
          </w:rPr>
          <w:instrText xml:space="preserve"> PAGEREF _Toc107476027 \h </w:instrText>
        </w:r>
        <w:r w:rsidR="008C5B3C" w:rsidRPr="00F82365">
          <w:rPr>
            <w:rStyle w:val="af0"/>
            <w:rFonts w:ascii="宋体" w:hAnsi="宋体"/>
            <w:noProof/>
            <w:kern w:val="0"/>
            <w:sz w:val="24"/>
          </w:rPr>
        </w:r>
        <w:r w:rsidR="008C5B3C" w:rsidRPr="00F82365">
          <w:rPr>
            <w:rStyle w:val="af0"/>
            <w:rFonts w:ascii="宋体" w:hAnsi="宋体"/>
            <w:noProof/>
            <w:kern w:val="0"/>
            <w:sz w:val="24"/>
          </w:rPr>
          <w:fldChar w:fldCharType="separate"/>
        </w:r>
        <w:r w:rsidR="003065AF">
          <w:rPr>
            <w:rStyle w:val="af0"/>
            <w:rFonts w:ascii="宋体" w:hAnsi="宋体"/>
            <w:noProof/>
            <w:kern w:val="0"/>
            <w:sz w:val="24"/>
          </w:rPr>
          <w:t>54</w:t>
        </w:r>
        <w:r w:rsidR="008C5B3C" w:rsidRPr="00F82365">
          <w:rPr>
            <w:rStyle w:val="af0"/>
            <w:rFonts w:ascii="宋体" w:hAnsi="宋体"/>
            <w:noProof/>
            <w:kern w:val="0"/>
            <w:sz w:val="24"/>
          </w:rPr>
          <w:fldChar w:fldCharType="end"/>
        </w:r>
      </w:hyperlink>
    </w:p>
    <w:p w14:paraId="4808E887" w14:textId="1FA0C677" w:rsidR="008C5B3C" w:rsidRPr="00F82365" w:rsidRDefault="001E631D" w:rsidP="00F82365">
      <w:pPr>
        <w:pStyle w:val="11"/>
        <w:tabs>
          <w:tab w:val="right" w:leader="dot" w:pos="8550"/>
        </w:tabs>
        <w:spacing w:line="360" w:lineRule="auto"/>
        <w:rPr>
          <w:rStyle w:val="af0"/>
          <w:rFonts w:ascii="宋体" w:hAnsi="宋体"/>
          <w:noProof/>
          <w:kern w:val="0"/>
          <w:sz w:val="24"/>
        </w:rPr>
      </w:pPr>
      <w:hyperlink w:anchor="_Toc107476028" w:history="1">
        <w:r w:rsidR="008C5B3C" w:rsidRPr="00F82365">
          <w:rPr>
            <w:rStyle w:val="af0"/>
            <w:rFonts w:ascii="宋体" w:hAnsi="宋体" w:hint="eastAsia"/>
            <w:noProof/>
            <w:kern w:val="0"/>
            <w:sz w:val="24"/>
          </w:rPr>
          <w:t>九、基金的转换</w:t>
        </w:r>
        <w:r w:rsidR="008C5B3C" w:rsidRPr="00F82365">
          <w:rPr>
            <w:rStyle w:val="af0"/>
            <w:rFonts w:ascii="宋体" w:hAnsi="宋体"/>
            <w:noProof/>
            <w:kern w:val="0"/>
            <w:sz w:val="24"/>
          </w:rPr>
          <w:tab/>
        </w:r>
        <w:r w:rsidR="008C5B3C" w:rsidRPr="00F82365">
          <w:rPr>
            <w:rStyle w:val="af0"/>
            <w:rFonts w:ascii="宋体" w:hAnsi="宋体"/>
            <w:noProof/>
            <w:kern w:val="0"/>
            <w:sz w:val="24"/>
          </w:rPr>
          <w:fldChar w:fldCharType="begin"/>
        </w:r>
        <w:r w:rsidR="008C5B3C" w:rsidRPr="00F82365">
          <w:rPr>
            <w:rStyle w:val="af0"/>
            <w:rFonts w:ascii="宋体" w:hAnsi="宋体"/>
            <w:noProof/>
            <w:kern w:val="0"/>
            <w:sz w:val="24"/>
          </w:rPr>
          <w:instrText xml:space="preserve"> PAGEREF _Toc107476028 \h </w:instrText>
        </w:r>
        <w:r w:rsidR="008C5B3C" w:rsidRPr="00F82365">
          <w:rPr>
            <w:rStyle w:val="af0"/>
            <w:rFonts w:ascii="宋体" w:hAnsi="宋体"/>
            <w:noProof/>
            <w:kern w:val="0"/>
            <w:sz w:val="24"/>
          </w:rPr>
        </w:r>
        <w:r w:rsidR="008C5B3C" w:rsidRPr="00F82365">
          <w:rPr>
            <w:rStyle w:val="af0"/>
            <w:rFonts w:ascii="宋体" w:hAnsi="宋体"/>
            <w:noProof/>
            <w:kern w:val="0"/>
            <w:sz w:val="24"/>
          </w:rPr>
          <w:fldChar w:fldCharType="separate"/>
        </w:r>
        <w:r w:rsidR="003065AF">
          <w:rPr>
            <w:rStyle w:val="af0"/>
            <w:rFonts w:ascii="宋体" w:hAnsi="宋体"/>
            <w:noProof/>
            <w:kern w:val="0"/>
            <w:sz w:val="24"/>
          </w:rPr>
          <w:t>68</w:t>
        </w:r>
        <w:r w:rsidR="008C5B3C" w:rsidRPr="00F82365">
          <w:rPr>
            <w:rStyle w:val="af0"/>
            <w:rFonts w:ascii="宋体" w:hAnsi="宋体"/>
            <w:noProof/>
            <w:kern w:val="0"/>
            <w:sz w:val="24"/>
          </w:rPr>
          <w:fldChar w:fldCharType="end"/>
        </w:r>
      </w:hyperlink>
    </w:p>
    <w:p w14:paraId="18CD571D" w14:textId="356D12E8" w:rsidR="008C5B3C" w:rsidRPr="00F82365" w:rsidRDefault="001E631D" w:rsidP="00F82365">
      <w:pPr>
        <w:pStyle w:val="11"/>
        <w:tabs>
          <w:tab w:val="right" w:leader="dot" w:pos="8550"/>
        </w:tabs>
        <w:spacing w:line="360" w:lineRule="auto"/>
        <w:rPr>
          <w:rStyle w:val="af0"/>
          <w:rFonts w:ascii="宋体" w:hAnsi="宋体"/>
          <w:noProof/>
          <w:kern w:val="0"/>
          <w:sz w:val="24"/>
        </w:rPr>
      </w:pPr>
      <w:hyperlink w:anchor="_Toc107476029" w:history="1">
        <w:r w:rsidR="008C5B3C" w:rsidRPr="00F82365">
          <w:rPr>
            <w:rStyle w:val="af0"/>
            <w:rFonts w:ascii="宋体" w:hAnsi="宋体" w:hint="eastAsia"/>
            <w:noProof/>
            <w:kern w:val="0"/>
            <w:sz w:val="24"/>
          </w:rPr>
          <w:t>十、基金的投资</w:t>
        </w:r>
        <w:r w:rsidR="008C5B3C" w:rsidRPr="00F82365">
          <w:rPr>
            <w:rStyle w:val="af0"/>
            <w:rFonts w:ascii="宋体" w:hAnsi="宋体"/>
            <w:noProof/>
            <w:kern w:val="0"/>
            <w:sz w:val="24"/>
          </w:rPr>
          <w:tab/>
        </w:r>
        <w:r w:rsidR="008C5B3C" w:rsidRPr="00F82365">
          <w:rPr>
            <w:rStyle w:val="af0"/>
            <w:rFonts w:ascii="宋体" w:hAnsi="宋体"/>
            <w:noProof/>
            <w:kern w:val="0"/>
            <w:sz w:val="24"/>
          </w:rPr>
          <w:fldChar w:fldCharType="begin"/>
        </w:r>
        <w:r w:rsidR="008C5B3C" w:rsidRPr="00F82365">
          <w:rPr>
            <w:rStyle w:val="af0"/>
            <w:rFonts w:ascii="宋体" w:hAnsi="宋体"/>
            <w:noProof/>
            <w:kern w:val="0"/>
            <w:sz w:val="24"/>
          </w:rPr>
          <w:instrText xml:space="preserve"> PAGEREF _Toc107476029 \h </w:instrText>
        </w:r>
        <w:r w:rsidR="008C5B3C" w:rsidRPr="00F82365">
          <w:rPr>
            <w:rStyle w:val="af0"/>
            <w:rFonts w:ascii="宋体" w:hAnsi="宋体"/>
            <w:noProof/>
            <w:kern w:val="0"/>
            <w:sz w:val="24"/>
          </w:rPr>
        </w:r>
        <w:r w:rsidR="008C5B3C" w:rsidRPr="00F82365">
          <w:rPr>
            <w:rStyle w:val="af0"/>
            <w:rFonts w:ascii="宋体" w:hAnsi="宋体"/>
            <w:noProof/>
            <w:kern w:val="0"/>
            <w:sz w:val="24"/>
          </w:rPr>
          <w:fldChar w:fldCharType="separate"/>
        </w:r>
        <w:r w:rsidR="003065AF">
          <w:rPr>
            <w:rStyle w:val="af0"/>
            <w:rFonts w:ascii="宋体" w:hAnsi="宋体"/>
            <w:noProof/>
            <w:kern w:val="0"/>
            <w:sz w:val="24"/>
          </w:rPr>
          <w:t>75</w:t>
        </w:r>
        <w:r w:rsidR="008C5B3C" w:rsidRPr="00F82365">
          <w:rPr>
            <w:rStyle w:val="af0"/>
            <w:rFonts w:ascii="宋体" w:hAnsi="宋体"/>
            <w:noProof/>
            <w:kern w:val="0"/>
            <w:sz w:val="24"/>
          </w:rPr>
          <w:fldChar w:fldCharType="end"/>
        </w:r>
      </w:hyperlink>
    </w:p>
    <w:p w14:paraId="1893C5BC" w14:textId="0DC84E90" w:rsidR="008C5B3C" w:rsidRPr="00F82365" w:rsidRDefault="001E631D" w:rsidP="00F82365">
      <w:pPr>
        <w:pStyle w:val="11"/>
        <w:tabs>
          <w:tab w:val="right" w:leader="dot" w:pos="8550"/>
        </w:tabs>
        <w:spacing w:line="360" w:lineRule="auto"/>
        <w:rPr>
          <w:rStyle w:val="af0"/>
          <w:rFonts w:ascii="宋体" w:hAnsi="宋体"/>
          <w:noProof/>
          <w:kern w:val="0"/>
          <w:sz w:val="24"/>
        </w:rPr>
      </w:pPr>
      <w:hyperlink w:anchor="_Toc107476030" w:history="1">
        <w:r w:rsidR="008C5B3C" w:rsidRPr="00F82365">
          <w:rPr>
            <w:rStyle w:val="af0"/>
            <w:rFonts w:ascii="宋体" w:hAnsi="宋体" w:hint="eastAsia"/>
            <w:noProof/>
            <w:kern w:val="0"/>
            <w:sz w:val="24"/>
          </w:rPr>
          <w:t>十一、基金的业绩</w:t>
        </w:r>
        <w:r w:rsidR="008C5B3C" w:rsidRPr="00F82365">
          <w:rPr>
            <w:rStyle w:val="af0"/>
            <w:rFonts w:ascii="宋体" w:hAnsi="宋体"/>
            <w:noProof/>
            <w:kern w:val="0"/>
            <w:sz w:val="24"/>
          </w:rPr>
          <w:tab/>
        </w:r>
        <w:r w:rsidR="008C5B3C" w:rsidRPr="00F82365">
          <w:rPr>
            <w:rStyle w:val="af0"/>
            <w:rFonts w:ascii="宋体" w:hAnsi="宋体"/>
            <w:noProof/>
            <w:kern w:val="0"/>
            <w:sz w:val="24"/>
          </w:rPr>
          <w:fldChar w:fldCharType="begin"/>
        </w:r>
        <w:r w:rsidR="008C5B3C" w:rsidRPr="00F82365">
          <w:rPr>
            <w:rStyle w:val="af0"/>
            <w:rFonts w:ascii="宋体" w:hAnsi="宋体"/>
            <w:noProof/>
            <w:kern w:val="0"/>
            <w:sz w:val="24"/>
          </w:rPr>
          <w:instrText xml:space="preserve"> PAGEREF _Toc107476030 \h </w:instrText>
        </w:r>
        <w:r w:rsidR="008C5B3C" w:rsidRPr="00F82365">
          <w:rPr>
            <w:rStyle w:val="af0"/>
            <w:rFonts w:ascii="宋体" w:hAnsi="宋体"/>
            <w:noProof/>
            <w:kern w:val="0"/>
            <w:sz w:val="24"/>
          </w:rPr>
        </w:r>
        <w:r w:rsidR="008C5B3C" w:rsidRPr="00F82365">
          <w:rPr>
            <w:rStyle w:val="af0"/>
            <w:rFonts w:ascii="宋体" w:hAnsi="宋体"/>
            <w:noProof/>
            <w:kern w:val="0"/>
            <w:sz w:val="24"/>
          </w:rPr>
          <w:fldChar w:fldCharType="separate"/>
        </w:r>
        <w:r w:rsidR="003065AF">
          <w:rPr>
            <w:rStyle w:val="af0"/>
            <w:rFonts w:ascii="宋体" w:hAnsi="宋体"/>
            <w:noProof/>
            <w:kern w:val="0"/>
            <w:sz w:val="24"/>
          </w:rPr>
          <w:t>89</w:t>
        </w:r>
        <w:r w:rsidR="008C5B3C" w:rsidRPr="00F82365">
          <w:rPr>
            <w:rStyle w:val="af0"/>
            <w:rFonts w:ascii="宋体" w:hAnsi="宋体"/>
            <w:noProof/>
            <w:kern w:val="0"/>
            <w:sz w:val="24"/>
          </w:rPr>
          <w:fldChar w:fldCharType="end"/>
        </w:r>
      </w:hyperlink>
    </w:p>
    <w:p w14:paraId="78157ABC" w14:textId="2D826D3B" w:rsidR="008C5B3C" w:rsidRPr="00F82365" w:rsidRDefault="001E631D" w:rsidP="00F82365">
      <w:pPr>
        <w:pStyle w:val="11"/>
        <w:tabs>
          <w:tab w:val="right" w:leader="dot" w:pos="8550"/>
        </w:tabs>
        <w:spacing w:line="360" w:lineRule="auto"/>
        <w:rPr>
          <w:rStyle w:val="af0"/>
          <w:rFonts w:ascii="宋体" w:hAnsi="宋体"/>
          <w:noProof/>
          <w:kern w:val="0"/>
          <w:sz w:val="24"/>
        </w:rPr>
      </w:pPr>
      <w:hyperlink w:anchor="_Toc107476031" w:history="1">
        <w:r w:rsidR="008C5B3C" w:rsidRPr="00F82365">
          <w:rPr>
            <w:rStyle w:val="af0"/>
            <w:rFonts w:ascii="宋体" w:hAnsi="宋体" w:hint="eastAsia"/>
            <w:noProof/>
            <w:kern w:val="0"/>
            <w:sz w:val="24"/>
          </w:rPr>
          <w:t>十二、基金的财产</w:t>
        </w:r>
        <w:r w:rsidR="008C5B3C" w:rsidRPr="00F82365">
          <w:rPr>
            <w:rStyle w:val="af0"/>
            <w:rFonts w:ascii="宋体" w:hAnsi="宋体"/>
            <w:noProof/>
            <w:kern w:val="0"/>
            <w:sz w:val="24"/>
          </w:rPr>
          <w:tab/>
        </w:r>
        <w:r w:rsidR="008C5B3C" w:rsidRPr="00F82365">
          <w:rPr>
            <w:rStyle w:val="af0"/>
            <w:rFonts w:ascii="宋体" w:hAnsi="宋体"/>
            <w:noProof/>
            <w:kern w:val="0"/>
            <w:sz w:val="24"/>
          </w:rPr>
          <w:fldChar w:fldCharType="begin"/>
        </w:r>
        <w:r w:rsidR="008C5B3C" w:rsidRPr="00F82365">
          <w:rPr>
            <w:rStyle w:val="af0"/>
            <w:rFonts w:ascii="宋体" w:hAnsi="宋体"/>
            <w:noProof/>
            <w:kern w:val="0"/>
            <w:sz w:val="24"/>
          </w:rPr>
          <w:instrText xml:space="preserve"> PAGEREF _Toc107476031 \h </w:instrText>
        </w:r>
        <w:r w:rsidR="008C5B3C" w:rsidRPr="00F82365">
          <w:rPr>
            <w:rStyle w:val="af0"/>
            <w:rFonts w:ascii="宋体" w:hAnsi="宋体"/>
            <w:noProof/>
            <w:kern w:val="0"/>
            <w:sz w:val="24"/>
          </w:rPr>
        </w:r>
        <w:r w:rsidR="008C5B3C" w:rsidRPr="00F82365">
          <w:rPr>
            <w:rStyle w:val="af0"/>
            <w:rFonts w:ascii="宋体" w:hAnsi="宋体"/>
            <w:noProof/>
            <w:kern w:val="0"/>
            <w:sz w:val="24"/>
          </w:rPr>
          <w:fldChar w:fldCharType="separate"/>
        </w:r>
        <w:r w:rsidR="003065AF">
          <w:rPr>
            <w:rStyle w:val="af0"/>
            <w:rFonts w:ascii="宋体" w:hAnsi="宋体"/>
            <w:noProof/>
            <w:kern w:val="0"/>
            <w:sz w:val="24"/>
          </w:rPr>
          <w:t>91</w:t>
        </w:r>
        <w:r w:rsidR="008C5B3C" w:rsidRPr="00F82365">
          <w:rPr>
            <w:rStyle w:val="af0"/>
            <w:rFonts w:ascii="宋体" w:hAnsi="宋体"/>
            <w:noProof/>
            <w:kern w:val="0"/>
            <w:sz w:val="24"/>
          </w:rPr>
          <w:fldChar w:fldCharType="end"/>
        </w:r>
      </w:hyperlink>
    </w:p>
    <w:p w14:paraId="6B127C66" w14:textId="5D7F5669" w:rsidR="008C5B3C" w:rsidRPr="00F82365" w:rsidRDefault="001E631D" w:rsidP="00F82365">
      <w:pPr>
        <w:pStyle w:val="11"/>
        <w:tabs>
          <w:tab w:val="right" w:leader="dot" w:pos="8550"/>
        </w:tabs>
        <w:spacing w:line="360" w:lineRule="auto"/>
        <w:rPr>
          <w:rStyle w:val="af0"/>
          <w:rFonts w:ascii="宋体" w:hAnsi="宋体"/>
          <w:noProof/>
          <w:kern w:val="0"/>
          <w:sz w:val="24"/>
        </w:rPr>
      </w:pPr>
      <w:hyperlink w:anchor="_Toc107476032" w:history="1">
        <w:r w:rsidR="008C5B3C" w:rsidRPr="00F82365">
          <w:rPr>
            <w:rStyle w:val="af0"/>
            <w:rFonts w:ascii="宋体" w:hAnsi="宋体" w:hint="eastAsia"/>
            <w:noProof/>
            <w:kern w:val="0"/>
            <w:sz w:val="24"/>
          </w:rPr>
          <w:t>十三、基金资产的估值</w:t>
        </w:r>
        <w:r w:rsidR="008C5B3C" w:rsidRPr="00F82365">
          <w:rPr>
            <w:rStyle w:val="af0"/>
            <w:rFonts w:ascii="宋体" w:hAnsi="宋体"/>
            <w:noProof/>
            <w:kern w:val="0"/>
            <w:sz w:val="24"/>
          </w:rPr>
          <w:tab/>
        </w:r>
        <w:r w:rsidR="008C5B3C" w:rsidRPr="00F82365">
          <w:rPr>
            <w:rStyle w:val="af0"/>
            <w:rFonts w:ascii="宋体" w:hAnsi="宋体"/>
            <w:noProof/>
            <w:kern w:val="0"/>
            <w:sz w:val="24"/>
          </w:rPr>
          <w:fldChar w:fldCharType="begin"/>
        </w:r>
        <w:r w:rsidR="008C5B3C" w:rsidRPr="00F82365">
          <w:rPr>
            <w:rStyle w:val="af0"/>
            <w:rFonts w:ascii="宋体" w:hAnsi="宋体"/>
            <w:noProof/>
            <w:kern w:val="0"/>
            <w:sz w:val="24"/>
          </w:rPr>
          <w:instrText xml:space="preserve"> PAGEREF _Toc107476032 \h </w:instrText>
        </w:r>
        <w:r w:rsidR="008C5B3C" w:rsidRPr="00F82365">
          <w:rPr>
            <w:rStyle w:val="af0"/>
            <w:rFonts w:ascii="宋体" w:hAnsi="宋体"/>
            <w:noProof/>
            <w:kern w:val="0"/>
            <w:sz w:val="24"/>
          </w:rPr>
        </w:r>
        <w:r w:rsidR="008C5B3C" w:rsidRPr="00F82365">
          <w:rPr>
            <w:rStyle w:val="af0"/>
            <w:rFonts w:ascii="宋体" w:hAnsi="宋体"/>
            <w:noProof/>
            <w:kern w:val="0"/>
            <w:sz w:val="24"/>
          </w:rPr>
          <w:fldChar w:fldCharType="separate"/>
        </w:r>
        <w:r w:rsidR="003065AF">
          <w:rPr>
            <w:rStyle w:val="af0"/>
            <w:rFonts w:ascii="宋体" w:hAnsi="宋体"/>
            <w:noProof/>
            <w:kern w:val="0"/>
            <w:sz w:val="24"/>
          </w:rPr>
          <w:t>92</w:t>
        </w:r>
        <w:r w:rsidR="008C5B3C" w:rsidRPr="00F82365">
          <w:rPr>
            <w:rStyle w:val="af0"/>
            <w:rFonts w:ascii="宋体" w:hAnsi="宋体"/>
            <w:noProof/>
            <w:kern w:val="0"/>
            <w:sz w:val="24"/>
          </w:rPr>
          <w:fldChar w:fldCharType="end"/>
        </w:r>
      </w:hyperlink>
    </w:p>
    <w:p w14:paraId="3F3B49DE" w14:textId="219C33B5" w:rsidR="008C5B3C" w:rsidRPr="00F82365" w:rsidRDefault="001E631D" w:rsidP="00F82365">
      <w:pPr>
        <w:pStyle w:val="11"/>
        <w:tabs>
          <w:tab w:val="right" w:leader="dot" w:pos="8550"/>
        </w:tabs>
        <w:spacing w:line="360" w:lineRule="auto"/>
        <w:rPr>
          <w:rStyle w:val="af0"/>
          <w:rFonts w:ascii="宋体" w:hAnsi="宋体"/>
          <w:noProof/>
          <w:kern w:val="0"/>
          <w:sz w:val="24"/>
        </w:rPr>
      </w:pPr>
      <w:hyperlink w:anchor="_Toc107476033" w:history="1">
        <w:r w:rsidR="008C5B3C" w:rsidRPr="00F82365">
          <w:rPr>
            <w:rStyle w:val="af0"/>
            <w:rFonts w:ascii="宋体" w:hAnsi="宋体" w:hint="eastAsia"/>
            <w:noProof/>
            <w:kern w:val="0"/>
            <w:sz w:val="24"/>
          </w:rPr>
          <w:t>十四、基金收益与分配</w:t>
        </w:r>
        <w:r w:rsidR="008C5B3C" w:rsidRPr="00F82365">
          <w:rPr>
            <w:rStyle w:val="af0"/>
            <w:rFonts w:ascii="宋体" w:hAnsi="宋体"/>
            <w:noProof/>
            <w:kern w:val="0"/>
            <w:sz w:val="24"/>
          </w:rPr>
          <w:tab/>
        </w:r>
        <w:r w:rsidR="008C5B3C" w:rsidRPr="00F82365">
          <w:rPr>
            <w:rStyle w:val="af0"/>
            <w:rFonts w:ascii="宋体" w:hAnsi="宋体"/>
            <w:noProof/>
            <w:kern w:val="0"/>
            <w:sz w:val="24"/>
          </w:rPr>
          <w:fldChar w:fldCharType="begin"/>
        </w:r>
        <w:r w:rsidR="008C5B3C" w:rsidRPr="00F82365">
          <w:rPr>
            <w:rStyle w:val="af0"/>
            <w:rFonts w:ascii="宋体" w:hAnsi="宋体"/>
            <w:noProof/>
            <w:kern w:val="0"/>
            <w:sz w:val="24"/>
          </w:rPr>
          <w:instrText xml:space="preserve"> PAGEREF _Toc107476033 \h </w:instrText>
        </w:r>
        <w:r w:rsidR="008C5B3C" w:rsidRPr="00F82365">
          <w:rPr>
            <w:rStyle w:val="af0"/>
            <w:rFonts w:ascii="宋体" w:hAnsi="宋体"/>
            <w:noProof/>
            <w:kern w:val="0"/>
            <w:sz w:val="24"/>
          </w:rPr>
        </w:r>
        <w:r w:rsidR="008C5B3C" w:rsidRPr="00F82365">
          <w:rPr>
            <w:rStyle w:val="af0"/>
            <w:rFonts w:ascii="宋体" w:hAnsi="宋体"/>
            <w:noProof/>
            <w:kern w:val="0"/>
            <w:sz w:val="24"/>
          </w:rPr>
          <w:fldChar w:fldCharType="separate"/>
        </w:r>
        <w:r w:rsidR="003065AF">
          <w:rPr>
            <w:rStyle w:val="af0"/>
            <w:rFonts w:ascii="宋体" w:hAnsi="宋体"/>
            <w:noProof/>
            <w:kern w:val="0"/>
            <w:sz w:val="24"/>
          </w:rPr>
          <w:t>99</w:t>
        </w:r>
        <w:r w:rsidR="008C5B3C" w:rsidRPr="00F82365">
          <w:rPr>
            <w:rStyle w:val="af0"/>
            <w:rFonts w:ascii="宋体" w:hAnsi="宋体"/>
            <w:noProof/>
            <w:kern w:val="0"/>
            <w:sz w:val="24"/>
          </w:rPr>
          <w:fldChar w:fldCharType="end"/>
        </w:r>
      </w:hyperlink>
    </w:p>
    <w:p w14:paraId="608DAA61" w14:textId="3C6807E3" w:rsidR="008C5B3C" w:rsidRPr="00F82365" w:rsidRDefault="001E631D" w:rsidP="00F82365">
      <w:pPr>
        <w:pStyle w:val="11"/>
        <w:tabs>
          <w:tab w:val="right" w:leader="dot" w:pos="8550"/>
        </w:tabs>
        <w:spacing w:line="360" w:lineRule="auto"/>
        <w:rPr>
          <w:rStyle w:val="af0"/>
          <w:rFonts w:ascii="宋体" w:hAnsi="宋体"/>
          <w:noProof/>
          <w:kern w:val="0"/>
          <w:sz w:val="24"/>
        </w:rPr>
      </w:pPr>
      <w:hyperlink w:anchor="_Toc107476034" w:history="1">
        <w:r w:rsidR="008C5B3C" w:rsidRPr="00F82365">
          <w:rPr>
            <w:rStyle w:val="af0"/>
            <w:rFonts w:ascii="宋体" w:hAnsi="宋体" w:hint="eastAsia"/>
            <w:noProof/>
            <w:kern w:val="0"/>
            <w:sz w:val="24"/>
          </w:rPr>
          <w:t>十五、基金的费用与税收</w:t>
        </w:r>
        <w:r w:rsidR="008C5B3C" w:rsidRPr="00F82365">
          <w:rPr>
            <w:rStyle w:val="af0"/>
            <w:rFonts w:ascii="宋体" w:hAnsi="宋体"/>
            <w:noProof/>
            <w:kern w:val="0"/>
            <w:sz w:val="24"/>
          </w:rPr>
          <w:tab/>
        </w:r>
        <w:r w:rsidR="008C5B3C" w:rsidRPr="00F82365">
          <w:rPr>
            <w:rStyle w:val="af0"/>
            <w:rFonts w:ascii="宋体" w:hAnsi="宋体"/>
            <w:noProof/>
            <w:kern w:val="0"/>
            <w:sz w:val="24"/>
          </w:rPr>
          <w:fldChar w:fldCharType="begin"/>
        </w:r>
        <w:r w:rsidR="008C5B3C" w:rsidRPr="00F82365">
          <w:rPr>
            <w:rStyle w:val="af0"/>
            <w:rFonts w:ascii="宋体" w:hAnsi="宋体"/>
            <w:noProof/>
            <w:kern w:val="0"/>
            <w:sz w:val="24"/>
          </w:rPr>
          <w:instrText xml:space="preserve"> PAGEREF _Toc107476034 \h </w:instrText>
        </w:r>
        <w:r w:rsidR="008C5B3C" w:rsidRPr="00F82365">
          <w:rPr>
            <w:rStyle w:val="af0"/>
            <w:rFonts w:ascii="宋体" w:hAnsi="宋体"/>
            <w:noProof/>
            <w:kern w:val="0"/>
            <w:sz w:val="24"/>
          </w:rPr>
        </w:r>
        <w:r w:rsidR="008C5B3C" w:rsidRPr="00F82365">
          <w:rPr>
            <w:rStyle w:val="af0"/>
            <w:rFonts w:ascii="宋体" w:hAnsi="宋体"/>
            <w:noProof/>
            <w:kern w:val="0"/>
            <w:sz w:val="24"/>
          </w:rPr>
          <w:fldChar w:fldCharType="separate"/>
        </w:r>
        <w:r w:rsidR="003065AF">
          <w:rPr>
            <w:rStyle w:val="af0"/>
            <w:rFonts w:ascii="宋体" w:hAnsi="宋体"/>
            <w:noProof/>
            <w:kern w:val="0"/>
            <w:sz w:val="24"/>
          </w:rPr>
          <w:t>101</w:t>
        </w:r>
        <w:r w:rsidR="008C5B3C" w:rsidRPr="00F82365">
          <w:rPr>
            <w:rStyle w:val="af0"/>
            <w:rFonts w:ascii="宋体" w:hAnsi="宋体"/>
            <w:noProof/>
            <w:kern w:val="0"/>
            <w:sz w:val="24"/>
          </w:rPr>
          <w:fldChar w:fldCharType="end"/>
        </w:r>
      </w:hyperlink>
    </w:p>
    <w:p w14:paraId="35CE382F" w14:textId="0FF5E4B9" w:rsidR="008C5B3C" w:rsidRPr="00F82365" w:rsidRDefault="001E631D" w:rsidP="00F82365">
      <w:pPr>
        <w:pStyle w:val="11"/>
        <w:tabs>
          <w:tab w:val="right" w:leader="dot" w:pos="8550"/>
        </w:tabs>
        <w:spacing w:line="360" w:lineRule="auto"/>
        <w:rPr>
          <w:rStyle w:val="af0"/>
          <w:rFonts w:ascii="宋体" w:hAnsi="宋体"/>
          <w:noProof/>
          <w:kern w:val="0"/>
          <w:sz w:val="24"/>
        </w:rPr>
      </w:pPr>
      <w:hyperlink w:anchor="_Toc107476035" w:history="1">
        <w:r w:rsidR="008C5B3C" w:rsidRPr="00F82365">
          <w:rPr>
            <w:rStyle w:val="af0"/>
            <w:rFonts w:ascii="宋体" w:hAnsi="宋体" w:hint="eastAsia"/>
            <w:noProof/>
            <w:kern w:val="0"/>
            <w:sz w:val="24"/>
          </w:rPr>
          <w:t>十六、基金的会计与审计</w:t>
        </w:r>
        <w:r w:rsidR="008C5B3C" w:rsidRPr="00F82365">
          <w:rPr>
            <w:rStyle w:val="af0"/>
            <w:rFonts w:ascii="宋体" w:hAnsi="宋体"/>
            <w:noProof/>
            <w:kern w:val="0"/>
            <w:sz w:val="24"/>
          </w:rPr>
          <w:tab/>
        </w:r>
        <w:r w:rsidR="008C5B3C" w:rsidRPr="00F82365">
          <w:rPr>
            <w:rStyle w:val="af0"/>
            <w:rFonts w:ascii="宋体" w:hAnsi="宋体"/>
            <w:noProof/>
            <w:kern w:val="0"/>
            <w:sz w:val="24"/>
          </w:rPr>
          <w:fldChar w:fldCharType="begin"/>
        </w:r>
        <w:r w:rsidR="008C5B3C" w:rsidRPr="00F82365">
          <w:rPr>
            <w:rStyle w:val="af0"/>
            <w:rFonts w:ascii="宋体" w:hAnsi="宋体"/>
            <w:noProof/>
            <w:kern w:val="0"/>
            <w:sz w:val="24"/>
          </w:rPr>
          <w:instrText xml:space="preserve"> PAGEREF _Toc107476035 \h </w:instrText>
        </w:r>
        <w:r w:rsidR="008C5B3C" w:rsidRPr="00F82365">
          <w:rPr>
            <w:rStyle w:val="af0"/>
            <w:rFonts w:ascii="宋体" w:hAnsi="宋体"/>
            <w:noProof/>
            <w:kern w:val="0"/>
            <w:sz w:val="24"/>
          </w:rPr>
        </w:r>
        <w:r w:rsidR="008C5B3C" w:rsidRPr="00F82365">
          <w:rPr>
            <w:rStyle w:val="af0"/>
            <w:rFonts w:ascii="宋体" w:hAnsi="宋体"/>
            <w:noProof/>
            <w:kern w:val="0"/>
            <w:sz w:val="24"/>
          </w:rPr>
          <w:fldChar w:fldCharType="separate"/>
        </w:r>
        <w:r w:rsidR="003065AF">
          <w:rPr>
            <w:rStyle w:val="af0"/>
            <w:rFonts w:ascii="宋体" w:hAnsi="宋体"/>
            <w:noProof/>
            <w:kern w:val="0"/>
            <w:sz w:val="24"/>
          </w:rPr>
          <w:t>104</w:t>
        </w:r>
        <w:r w:rsidR="008C5B3C" w:rsidRPr="00F82365">
          <w:rPr>
            <w:rStyle w:val="af0"/>
            <w:rFonts w:ascii="宋体" w:hAnsi="宋体"/>
            <w:noProof/>
            <w:kern w:val="0"/>
            <w:sz w:val="24"/>
          </w:rPr>
          <w:fldChar w:fldCharType="end"/>
        </w:r>
      </w:hyperlink>
    </w:p>
    <w:p w14:paraId="434E40F6" w14:textId="1109D985" w:rsidR="008C5B3C" w:rsidRPr="00F82365" w:rsidRDefault="001E631D" w:rsidP="00F82365">
      <w:pPr>
        <w:pStyle w:val="11"/>
        <w:tabs>
          <w:tab w:val="right" w:leader="dot" w:pos="8550"/>
        </w:tabs>
        <w:spacing w:line="360" w:lineRule="auto"/>
        <w:rPr>
          <w:rStyle w:val="af0"/>
          <w:rFonts w:ascii="宋体" w:hAnsi="宋体"/>
          <w:noProof/>
          <w:kern w:val="0"/>
          <w:sz w:val="24"/>
        </w:rPr>
      </w:pPr>
      <w:hyperlink w:anchor="_Toc107476036" w:history="1">
        <w:r w:rsidR="008C5B3C" w:rsidRPr="00F82365">
          <w:rPr>
            <w:rStyle w:val="af0"/>
            <w:rFonts w:ascii="宋体" w:hAnsi="宋体" w:hint="eastAsia"/>
            <w:noProof/>
            <w:kern w:val="0"/>
            <w:sz w:val="24"/>
          </w:rPr>
          <w:t>十七、基金的信息披露</w:t>
        </w:r>
        <w:r w:rsidR="008C5B3C" w:rsidRPr="00F82365">
          <w:rPr>
            <w:rStyle w:val="af0"/>
            <w:rFonts w:ascii="宋体" w:hAnsi="宋体"/>
            <w:noProof/>
            <w:kern w:val="0"/>
            <w:sz w:val="24"/>
          </w:rPr>
          <w:tab/>
        </w:r>
        <w:r w:rsidR="008C5B3C" w:rsidRPr="00F82365">
          <w:rPr>
            <w:rStyle w:val="af0"/>
            <w:rFonts w:ascii="宋体" w:hAnsi="宋体"/>
            <w:noProof/>
            <w:kern w:val="0"/>
            <w:sz w:val="24"/>
          </w:rPr>
          <w:fldChar w:fldCharType="begin"/>
        </w:r>
        <w:r w:rsidR="008C5B3C" w:rsidRPr="00F82365">
          <w:rPr>
            <w:rStyle w:val="af0"/>
            <w:rFonts w:ascii="宋体" w:hAnsi="宋体"/>
            <w:noProof/>
            <w:kern w:val="0"/>
            <w:sz w:val="24"/>
          </w:rPr>
          <w:instrText xml:space="preserve"> PAGEREF _Toc107476036 \h </w:instrText>
        </w:r>
        <w:r w:rsidR="008C5B3C" w:rsidRPr="00F82365">
          <w:rPr>
            <w:rStyle w:val="af0"/>
            <w:rFonts w:ascii="宋体" w:hAnsi="宋体"/>
            <w:noProof/>
            <w:kern w:val="0"/>
            <w:sz w:val="24"/>
          </w:rPr>
        </w:r>
        <w:r w:rsidR="008C5B3C" w:rsidRPr="00F82365">
          <w:rPr>
            <w:rStyle w:val="af0"/>
            <w:rFonts w:ascii="宋体" w:hAnsi="宋体"/>
            <w:noProof/>
            <w:kern w:val="0"/>
            <w:sz w:val="24"/>
          </w:rPr>
          <w:fldChar w:fldCharType="separate"/>
        </w:r>
        <w:r w:rsidR="003065AF">
          <w:rPr>
            <w:rStyle w:val="af0"/>
            <w:rFonts w:ascii="宋体" w:hAnsi="宋体"/>
            <w:noProof/>
            <w:kern w:val="0"/>
            <w:sz w:val="24"/>
          </w:rPr>
          <w:t>105</w:t>
        </w:r>
        <w:r w:rsidR="008C5B3C" w:rsidRPr="00F82365">
          <w:rPr>
            <w:rStyle w:val="af0"/>
            <w:rFonts w:ascii="宋体" w:hAnsi="宋体"/>
            <w:noProof/>
            <w:kern w:val="0"/>
            <w:sz w:val="24"/>
          </w:rPr>
          <w:fldChar w:fldCharType="end"/>
        </w:r>
      </w:hyperlink>
    </w:p>
    <w:p w14:paraId="2C1EE7B3" w14:textId="134C5D67" w:rsidR="008C5B3C" w:rsidRPr="00F82365" w:rsidRDefault="001E631D" w:rsidP="00F82365">
      <w:pPr>
        <w:pStyle w:val="11"/>
        <w:tabs>
          <w:tab w:val="right" w:leader="dot" w:pos="8550"/>
        </w:tabs>
        <w:spacing w:line="360" w:lineRule="auto"/>
        <w:rPr>
          <w:rStyle w:val="af0"/>
          <w:rFonts w:ascii="宋体" w:hAnsi="宋体"/>
          <w:noProof/>
          <w:kern w:val="0"/>
          <w:sz w:val="24"/>
        </w:rPr>
      </w:pPr>
      <w:hyperlink w:anchor="_Toc107476037" w:history="1">
        <w:r w:rsidR="008C5B3C" w:rsidRPr="00F82365">
          <w:rPr>
            <w:rStyle w:val="af0"/>
            <w:rFonts w:ascii="宋体" w:hAnsi="宋体" w:hint="eastAsia"/>
            <w:noProof/>
            <w:kern w:val="0"/>
            <w:sz w:val="24"/>
          </w:rPr>
          <w:t>十八、侧袋机制</w:t>
        </w:r>
        <w:r w:rsidR="008C5B3C" w:rsidRPr="00F82365">
          <w:rPr>
            <w:rStyle w:val="af0"/>
            <w:rFonts w:ascii="宋体" w:hAnsi="宋体"/>
            <w:noProof/>
            <w:kern w:val="0"/>
            <w:sz w:val="24"/>
          </w:rPr>
          <w:tab/>
        </w:r>
        <w:r w:rsidR="008C5B3C" w:rsidRPr="00F82365">
          <w:rPr>
            <w:rStyle w:val="af0"/>
            <w:rFonts w:ascii="宋体" w:hAnsi="宋体"/>
            <w:noProof/>
            <w:kern w:val="0"/>
            <w:sz w:val="24"/>
          </w:rPr>
          <w:fldChar w:fldCharType="begin"/>
        </w:r>
        <w:r w:rsidR="008C5B3C" w:rsidRPr="00F82365">
          <w:rPr>
            <w:rStyle w:val="af0"/>
            <w:rFonts w:ascii="宋体" w:hAnsi="宋体"/>
            <w:noProof/>
            <w:kern w:val="0"/>
            <w:sz w:val="24"/>
          </w:rPr>
          <w:instrText xml:space="preserve"> PAGEREF _Toc107476037 \h </w:instrText>
        </w:r>
        <w:r w:rsidR="008C5B3C" w:rsidRPr="00F82365">
          <w:rPr>
            <w:rStyle w:val="af0"/>
            <w:rFonts w:ascii="宋体" w:hAnsi="宋体"/>
            <w:noProof/>
            <w:kern w:val="0"/>
            <w:sz w:val="24"/>
          </w:rPr>
        </w:r>
        <w:r w:rsidR="008C5B3C" w:rsidRPr="00F82365">
          <w:rPr>
            <w:rStyle w:val="af0"/>
            <w:rFonts w:ascii="宋体" w:hAnsi="宋体"/>
            <w:noProof/>
            <w:kern w:val="0"/>
            <w:sz w:val="24"/>
          </w:rPr>
          <w:fldChar w:fldCharType="separate"/>
        </w:r>
        <w:r w:rsidR="003065AF">
          <w:rPr>
            <w:rStyle w:val="af0"/>
            <w:rFonts w:ascii="宋体" w:hAnsi="宋体"/>
            <w:noProof/>
            <w:kern w:val="0"/>
            <w:sz w:val="24"/>
          </w:rPr>
          <w:t>112</w:t>
        </w:r>
        <w:r w:rsidR="008C5B3C" w:rsidRPr="00F82365">
          <w:rPr>
            <w:rStyle w:val="af0"/>
            <w:rFonts w:ascii="宋体" w:hAnsi="宋体"/>
            <w:noProof/>
            <w:kern w:val="0"/>
            <w:sz w:val="24"/>
          </w:rPr>
          <w:fldChar w:fldCharType="end"/>
        </w:r>
      </w:hyperlink>
    </w:p>
    <w:p w14:paraId="38AB78B2" w14:textId="1EA8BC54" w:rsidR="008C5B3C" w:rsidRPr="00F82365" w:rsidRDefault="001E631D" w:rsidP="00F82365">
      <w:pPr>
        <w:pStyle w:val="11"/>
        <w:tabs>
          <w:tab w:val="right" w:leader="dot" w:pos="8550"/>
        </w:tabs>
        <w:spacing w:line="360" w:lineRule="auto"/>
        <w:rPr>
          <w:rStyle w:val="af0"/>
          <w:rFonts w:ascii="宋体" w:hAnsi="宋体"/>
          <w:noProof/>
          <w:kern w:val="0"/>
          <w:sz w:val="24"/>
        </w:rPr>
      </w:pPr>
      <w:hyperlink w:anchor="_Toc107476038" w:history="1">
        <w:r w:rsidR="008C5B3C" w:rsidRPr="00F82365">
          <w:rPr>
            <w:rStyle w:val="af0"/>
            <w:rFonts w:ascii="宋体" w:hAnsi="宋体" w:hint="eastAsia"/>
            <w:noProof/>
            <w:kern w:val="0"/>
            <w:sz w:val="24"/>
          </w:rPr>
          <w:t>十九、风险揭示</w:t>
        </w:r>
        <w:r w:rsidR="008C5B3C" w:rsidRPr="00F82365">
          <w:rPr>
            <w:rStyle w:val="af0"/>
            <w:rFonts w:ascii="宋体" w:hAnsi="宋体"/>
            <w:noProof/>
            <w:kern w:val="0"/>
            <w:sz w:val="24"/>
          </w:rPr>
          <w:tab/>
        </w:r>
        <w:r w:rsidR="008C5B3C" w:rsidRPr="00F82365">
          <w:rPr>
            <w:rStyle w:val="af0"/>
            <w:rFonts w:ascii="宋体" w:hAnsi="宋体"/>
            <w:noProof/>
            <w:kern w:val="0"/>
            <w:sz w:val="24"/>
          </w:rPr>
          <w:fldChar w:fldCharType="begin"/>
        </w:r>
        <w:r w:rsidR="008C5B3C" w:rsidRPr="00F82365">
          <w:rPr>
            <w:rStyle w:val="af0"/>
            <w:rFonts w:ascii="宋体" w:hAnsi="宋体"/>
            <w:noProof/>
            <w:kern w:val="0"/>
            <w:sz w:val="24"/>
          </w:rPr>
          <w:instrText xml:space="preserve"> PAGEREF _Toc107476038 \h </w:instrText>
        </w:r>
        <w:r w:rsidR="008C5B3C" w:rsidRPr="00F82365">
          <w:rPr>
            <w:rStyle w:val="af0"/>
            <w:rFonts w:ascii="宋体" w:hAnsi="宋体"/>
            <w:noProof/>
            <w:kern w:val="0"/>
            <w:sz w:val="24"/>
          </w:rPr>
        </w:r>
        <w:r w:rsidR="008C5B3C" w:rsidRPr="00F82365">
          <w:rPr>
            <w:rStyle w:val="af0"/>
            <w:rFonts w:ascii="宋体" w:hAnsi="宋体"/>
            <w:noProof/>
            <w:kern w:val="0"/>
            <w:sz w:val="24"/>
          </w:rPr>
          <w:fldChar w:fldCharType="separate"/>
        </w:r>
        <w:r w:rsidR="003065AF">
          <w:rPr>
            <w:rStyle w:val="af0"/>
            <w:rFonts w:ascii="宋体" w:hAnsi="宋体"/>
            <w:noProof/>
            <w:kern w:val="0"/>
            <w:sz w:val="24"/>
          </w:rPr>
          <w:t>114</w:t>
        </w:r>
        <w:r w:rsidR="008C5B3C" w:rsidRPr="00F82365">
          <w:rPr>
            <w:rStyle w:val="af0"/>
            <w:rFonts w:ascii="宋体" w:hAnsi="宋体"/>
            <w:noProof/>
            <w:kern w:val="0"/>
            <w:sz w:val="24"/>
          </w:rPr>
          <w:fldChar w:fldCharType="end"/>
        </w:r>
      </w:hyperlink>
    </w:p>
    <w:p w14:paraId="2542271F" w14:textId="52A07FFB" w:rsidR="008C5B3C" w:rsidRPr="00F82365" w:rsidRDefault="001E631D" w:rsidP="00F82365">
      <w:pPr>
        <w:pStyle w:val="11"/>
        <w:tabs>
          <w:tab w:val="right" w:leader="dot" w:pos="8550"/>
        </w:tabs>
        <w:spacing w:line="360" w:lineRule="auto"/>
        <w:rPr>
          <w:rStyle w:val="af0"/>
          <w:rFonts w:ascii="宋体" w:hAnsi="宋体"/>
          <w:noProof/>
          <w:kern w:val="0"/>
          <w:sz w:val="24"/>
        </w:rPr>
      </w:pPr>
      <w:hyperlink w:anchor="_Toc107476039" w:history="1">
        <w:r w:rsidR="008C5B3C" w:rsidRPr="00F82365">
          <w:rPr>
            <w:rStyle w:val="af0"/>
            <w:rFonts w:ascii="宋体" w:hAnsi="宋体" w:hint="eastAsia"/>
            <w:noProof/>
            <w:kern w:val="0"/>
            <w:sz w:val="24"/>
          </w:rPr>
          <w:t>二十、基金合同的变更、终止与基金财产的清算</w:t>
        </w:r>
        <w:r w:rsidR="008C5B3C" w:rsidRPr="00F82365">
          <w:rPr>
            <w:rStyle w:val="af0"/>
            <w:rFonts w:ascii="宋体" w:hAnsi="宋体"/>
            <w:noProof/>
            <w:kern w:val="0"/>
            <w:sz w:val="24"/>
          </w:rPr>
          <w:tab/>
        </w:r>
        <w:r w:rsidR="008C5B3C" w:rsidRPr="00F82365">
          <w:rPr>
            <w:rStyle w:val="af0"/>
            <w:rFonts w:ascii="宋体" w:hAnsi="宋体"/>
            <w:noProof/>
            <w:kern w:val="0"/>
            <w:sz w:val="24"/>
          </w:rPr>
          <w:fldChar w:fldCharType="begin"/>
        </w:r>
        <w:r w:rsidR="008C5B3C" w:rsidRPr="00F82365">
          <w:rPr>
            <w:rStyle w:val="af0"/>
            <w:rFonts w:ascii="宋体" w:hAnsi="宋体"/>
            <w:noProof/>
            <w:kern w:val="0"/>
            <w:sz w:val="24"/>
          </w:rPr>
          <w:instrText xml:space="preserve"> PAGEREF _Toc107476039 \h </w:instrText>
        </w:r>
        <w:r w:rsidR="008C5B3C" w:rsidRPr="00F82365">
          <w:rPr>
            <w:rStyle w:val="af0"/>
            <w:rFonts w:ascii="宋体" w:hAnsi="宋体"/>
            <w:noProof/>
            <w:kern w:val="0"/>
            <w:sz w:val="24"/>
          </w:rPr>
        </w:r>
        <w:r w:rsidR="008C5B3C" w:rsidRPr="00F82365">
          <w:rPr>
            <w:rStyle w:val="af0"/>
            <w:rFonts w:ascii="宋体" w:hAnsi="宋体"/>
            <w:noProof/>
            <w:kern w:val="0"/>
            <w:sz w:val="24"/>
          </w:rPr>
          <w:fldChar w:fldCharType="separate"/>
        </w:r>
        <w:r w:rsidR="003065AF">
          <w:rPr>
            <w:rStyle w:val="af0"/>
            <w:rFonts w:ascii="宋体" w:hAnsi="宋体"/>
            <w:noProof/>
            <w:kern w:val="0"/>
            <w:sz w:val="24"/>
          </w:rPr>
          <w:t>124</w:t>
        </w:r>
        <w:r w:rsidR="008C5B3C" w:rsidRPr="00F82365">
          <w:rPr>
            <w:rStyle w:val="af0"/>
            <w:rFonts w:ascii="宋体" w:hAnsi="宋体"/>
            <w:noProof/>
            <w:kern w:val="0"/>
            <w:sz w:val="24"/>
          </w:rPr>
          <w:fldChar w:fldCharType="end"/>
        </w:r>
      </w:hyperlink>
    </w:p>
    <w:p w14:paraId="75E39DA9" w14:textId="37DF500F" w:rsidR="008C5B3C" w:rsidRPr="00F82365" w:rsidRDefault="001E631D" w:rsidP="00F82365">
      <w:pPr>
        <w:pStyle w:val="11"/>
        <w:tabs>
          <w:tab w:val="right" w:leader="dot" w:pos="8550"/>
        </w:tabs>
        <w:spacing w:line="360" w:lineRule="auto"/>
        <w:rPr>
          <w:rStyle w:val="af0"/>
          <w:rFonts w:ascii="宋体" w:hAnsi="宋体"/>
          <w:noProof/>
          <w:kern w:val="0"/>
          <w:sz w:val="24"/>
        </w:rPr>
      </w:pPr>
      <w:hyperlink w:anchor="_Toc107476040" w:history="1">
        <w:r w:rsidR="008C5B3C" w:rsidRPr="00F82365">
          <w:rPr>
            <w:rStyle w:val="af0"/>
            <w:rFonts w:ascii="宋体" w:hAnsi="宋体" w:hint="eastAsia"/>
            <w:noProof/>
            <w:kern w:val="0"/>
            <w:sz w:val="24"/>
          </w:rPr>
          <w:t>二十一、基金合同内容摘要</w:t>
        </w:r>
        <w:r w:rsidR="008C5B3C" w:rsidRPr="00F82365">
          <w:rPr>
            <w:rStyle w:val="af0"/>
            <w:rFonts w:ascii="宋体" w:hAnsi="宋体"/>
            <w:noProof/>
            <w:kern w:val="0"/>
            <w:sz w:val="24"/>
          </w:rPr>
          <w:tab/>
        </w:r>
        <w:r w:rsidR="008C5B3C" w:rsidRPr="00F82365">
          <w:rPr>
            <w:rStyle w:val="af0"/>
            <w:rFonts w:ascii="宋体" w:hAnsi="宋体"/>
            <w:noProof/>
            <w:kern w:val="0"/>
            <w:sz w:val="24"/>
          </w:rPr>
          <w:fldChar w:fldCharType="begin"/>
        </w:r>
        <w:r w:rsidR="008C5B3C" w:rsidRPr="00F82365">
          <w:rPr>
            <w:rStyle w:val="af0"/>
            <w:rFonts w:ascii="宋体" w:hAnsi="宋体"/>
            <w:noProof/>
            <w:kern w:val="0"/>
            <w:sz w:val="24"/>
          </w:rPr>
          <w:instrText xml:space="preserve"> PAGEREF _Toc107476040 \h </w:instrText>
        </w:r>
        <w:r w:rsidR="008C5B3C" w:rsidRPr="00F82365">
          <w:rPr>
            <w:rStyle w:val="af0"/>
            <w:rFonts w:ascii="宋体" w:hAnsi="宋体"/>
            <w:noProof/>
            <w:kern w:val="0"/>
            <w:sz w:val="24"/>
          </w:rPr>
        </w:r>
        <w:r w:rsidR="008C5B3C" w:rsidRPr="00F82365">
          <w:rPr>
            <w:rStyle w:val="af0"/>
            <w:rFonts w:ascii="宋体" w:hAnsi="宋体"/>
            <w:noProof/>
            <w:kern w:val="0"/>
            <w:sz w:val="24"/>
          </w:rPr>
          <w:fldChar w:fldCharType="separate"/>
        </w:r>
        <w:r w:rsidR="003065AF">
          <w:rPr>
            <w:rStyle w:val="af0"/>
            <w:rFonts w:ascii="宋体" w:hAnsi="宋体"/>
            <w:noProof/>
            <w:kern w:val="0"/>
            <w:sz w:val="24"/>
          </w:rPr>
          <w:t>126</w:t>
        </w:r>
        <w:r w:rsidR="008C5B3C" w:rsidRPr="00F82365">
          <w:rPr>
            <w:rStyle w:val="af0"/>
            <w:rFonts w:ascii="宋体" w:hAnsi="宋体"/>
            <w:noProof/>
            <w:kern w:val="0"/>
            <w:sz w:val="24"/>
          </w:rPr>
          <w:fldChar w:fldCharType="end"/>
        </w:r>
      </w:hyperlink>
    </w:p>
    <w:p w14:paraId="38244E96" w14:textId="1C0E1427" w:rsidR="008C5B3C" w:rsidRPr="00F82365" w:rsidRDefault="001E631D" w:rsidP="00F82365">
      <w:pPr>
        <w:pStyle w:val="11"/>
        <w:tabs>
          <w:tab w:val="right" w:leader="dot" w:pos="8550"/>
        </w:tabs>
        <w:spacing w:line="360" w:lineRule="auto"/>
        <w:rPr>
          <w:rStyle w:val="af0"/>
          <w:rFonts w:ascii="宋体" w:hAnsi="宋体"/>
          <w:noProof/>
          <w:kern w:val="0"/>
          <w:sz w:val="24"/>
        </w:rPr>
      </w:pPr>
      <w:hyperlink w:anchor="_Toc107476041" w:history="1">
        <w:r w:rsidR="008C5B3C" w:rsidRPr="00F82365">
          <w:rPr>
            <w:rStyle w:val="af0"/>
            <w:rFonts w:ascii="宋体" w:hAnsi="宋体" w:hint="eastAsia"/>
            <w:noProof/>
            <w:kern w:val="0"/>
            <w:sz w:val="24"/>
          </w:rPr>
          <w:t>二十二、托管协议的内容摘要</w:t>
        </w:r>
        <w:r w:rsidR="008C5B3C" w:rsidRPr="00F82365">
          <w:rPr>
            <w:rStyle w:val="af0"/>
            <w:rFonts w:ascii="宋体" w:hAnsi="宋体"/>
            <w:noProof/>
            <w:kern w:val="0"/>
            <w:sz w:val="24"/>
          </w:rPr>
          <w:tab/>
        </w:r>
        <w:r w:rsidR="008C5B3C" w:rsidRPr="00F82365">
          <w:rPr>
            <w:rStyle w:val="af0"/>
            <w:rFonts w:ascii="宋体" w:hAnsi="宋体"/>
            <w:noProof/>
            <w:kern w:val="0"/>
            <w:sz w:val="24"/>
          </w:rPr>
          <w:fldChar w:fldCharType="begin"/>
        </w:r>
        <w:r w:rsidR="008C5B3C" w:rsidRPr="00F82365">
          <w:rPr>
            <w:rStyle w:val="af0"/>
            <w:rFonts w:ascii="宋体" w:hAnsi="宋体"/>
            <w:noProof/>
            <w:kern w:val="0"/>
            <w:sz w:val="24"/>
          </w:rPr>
          <w:instrText xml:space="preserve"> PAGEREF _Toc107476041 \h </w:instrText>
        </w:r>
        <w:r w:rsidR="008C5B3C" w:rsidRPr="00F82365">
          <w:rPr>
            <w:rStyle w:val="af0"/>
            <w:rFonts w:ascii="宋体" w:hAnsi="宋体"/>
            <w:noProof/>
            <w:kern w:val="0"/>
            <w:sz w:val="24"/>
          </w:rPr>
        </w:r>
        <w:r w:rsidR="008C5B3C" w:rsidRPr="00F82365">
          <w:rPr>
            <w:rStyle w:val="af0"/>
            <w:rFonts w:ascii="宋体" w:hAnsi="宋体"/>
            <w:noProof/>
            <w:kern w:val="0"/>
            <w:sz w:val="24"/>
          </w:rPr>
          <w:fldChar w:fldCharType="separate"/>
        </w:r>
        <w:r w:rsidR="003065AF">
          <w:rPr>
            <w:rStyle w:val="af0"/>
            <w:rFonts w:ascii="宋体" w:hAnsi="宋体"/>
            <w:noProof/>
            <w:kern w:val="0"/>
            <w:sz w:val="24"/>
          </w:rPr>
          <w:t>143</w:t>
        </w:r>
        <w:r w:rsidR="008C5B3C" w:rsidRPr="00F82365">
          <w:rPr>
            <w:rStyle w:val="af0"/>
            <w:rFonts w:ascii="宋体" w:hAnsi="宋体"/>
            <w:noProof/>
            <w:kern w:val="0"/>
            <w:sz w:val="24"/>
          </w:rPr>
          <w:fldChar w:fldCharType="end"/>
        </w:r>
      </w:hyperlink>
    </w:p>
    <w:p w14:paraId="63E7A370" w14:textId="56FEAC3D" w:rsidR="008C5B3C" w:rsidRPr="00F82365" w:rsidRDefault="001E631D" w:rsidP="00F82365">
      <w:pPr>
        <w:pStyle w:val="11"/>
        <w:tabs>
          <w:tab w:val="right" w:leader="dot" w:pos="8550"/>
        </w:tabs>
        <w:spacing w:line="360" w:lineRule="auto"/>
        <w:rPr>
          <w:rStyle w:val="af0"/>
          <w:rFonts w:ascii="宋体" w:hAnsi="宋体"/>
          <w:noProof/>
          <w:kern w:val="0"/>
          <w:sz w:val="24"/>
        </w:rPr>
      </w:pPr>
      <w:hyperlink w:anchor="_Toc107476042" w:history="1">
        <w:r w:rsidR="008C5B3C" w:rsidRPr="00F82365">
          <w:rPr>
            <w:rStyle w:val="af0"/>
            <w:rFonts w:ascii="宋体" w:hAnsi="宋体" w:hint="eastAsia"/>
            <w:noProof/>
            <w:kern w:val="0"/>
            <w:sz w:val="24"/>
          </w:rPr>
          <w:t>二十三、对基金份额持有人的服务</w:t>
        </w:r>
        <w:r w:rsidR="008C5B3C" w:rsidRPr="00F82365">
          <w:rPr>
            <w:rStyle w:val="af0"/>
            <w:rFonts w:ascii="宋体" w:hAnsi="宋体"/>
            <w:noProof/>
            <w:kern w:val="0"/>
            <w:sz w:val="24"/>
          </w:rPr>
          <w:tab/>
        </w:r>
        <w:r w:rsidR="008C5B3C" w:rsidRPr="00F82365">
          <w:rPr>
            <w:rStyle w:val="af0"/>
            <w:rFonts w:ascii="宋体" w:hAnsi="宋体"/>
            <w:noProof/>
            <w:kern w:val="0"/>
            <w:sz w:val="24"/>
          </w:rPr>
          <w:fldChar w:fldCharType="begin"/>
        </w:r>
        <w:r w:rsidR="008C5B3C" w:rsidRPr="00F82365">
          <w:rPr>
            <w:rStyle w:val="af0"/>
            <w:rFonts w:ascii="宋体" w:hAnsi="宋体"/>
            <w:noProof/>
            <w:kern w:val="0"/>
            <w:sz w:val="24"/>
          </w:rPr>
          <w:instrText xml:space="preserve"> PAGEREF _Toc107476042 \h </w:instrText>
        </w:r>
        <w:r w:rsidR="008C5B3C" w:rsidRPr="00F82365">
          <w:rPr>
            <w:rStyle w:val="af0"/>
            <w:rFonts w:ascii="宋体" w:hAnsi="宋体"/>
            <w:noProof/>
            <w:kern w:val="0"/>
            <w:sz w:val="24"/>
          </w:rPr>
        </w:r>
        <w:r w:rsidR="008C5B3C" w:rsidRPr="00F82365">
          <w:rPr>
            <w:rStyle w:val="af0"/>
            <w:rFonts w:ascii="宋体" w:hAnsi="宋体"/>
            <w:noProof/>
            <w:kern w:val="0"/>
            <w:sz w:val="24"/>
          </w:rPr>
          <w:fldChar w:fldCharType="separate"/>
        </w:r>
        <w:r w:rsidR="003065AF">
          <w:rPr>
            <w:rStyle w:val="af0"/>
            <w:rFonts w:ascii="宋体" w:hAnsi="宋体"/>
            <w:noProof/>
            <w:kern w:val="0"/>
            <w:sz w:val="24"/>
          </w:rPr>
          <w:t>160</w:t>
        </w:r>
        <w:r w:rsidR="008C5B3C" w:rsidRPr="00F82365">
          <w:rPr>
            <w:rStyle w:val="af0"/>
            <w:rFonts w:ascii="宋体" w:hAnsi="宋体"/>
            <w:noProof/>
            <w:kern w:val="0"/>
            <w:sz w:val="24"/>
          </w:rPr>
          <w:fldChar w:fldCharType="end"/>
        </w:r>
      </w:hyperlink>
    </w:p>
    <w:p w14:paraId="4875DC73" w14:textId="14D796E5" w:rsidR="008C5B3C" w:rsidRPr="00F82365" w:rsidRDefault="001E631D" w:rsidP="00F82365">
      <w:pPr>
        <w:pStyle w:val="11"/>
        <w:tabs>
          <w:tab w:val="right" w:leader="dot" w:pos="8550"/>
        </w:tabs>
        <w:spacing w:line="360" w:lineRule="auto"/>
        <w:rPr>
          <w:rStyle w:val="af0"/>
          <w:rFonts w:ascii="宋体" w:hAnsi="宋体"/>
          <w:noProof/>
          <w:kern w:val="0"/>
          <w:sz w:val="24"/>
        </w:rPr>
      </w:pPr>
      <w:hyperlink w:anchor="_Toc107476043" w:history="1">
        <w:r w:rsidR="008C5B3C" w:rsidRPr="00F82365">
          <w:rPr>
            <w:rStyle w:val="af0"/>
            <w:rFonts w:ascii="宋体" w:hAnsi="宋体" w:hint="eastAsia"/>
            <w:noProof/>
            <w:kern w:val="0"/>
            <w:sz w:val="24"/>
          </w:rPr>
          <w:t>二十四、其他应披露事项</w:t>
        </w:r>
        <w:r w:rsidR="008C5B3C" w:rsidRPr="00F82365">
          <w:rPr>
            <w:rStyle w:val="af0"/>
            <w:rFonts w:ascii="宋体" w:hAnsi="宋体"/>
            <w:noProof/>
            <w:kern w:val="0"/>
            <w:sz w:val="24"/>
          </w:rPr>
          <w:tab/>
        </w:r>
        <w:r w:rsidR="008C5B3C" w:rsidRPr="00F82365">
          <w:rPr>
            <w:rStyle w:val="af0"/>
            <w:rFonts w:ascii="宋体" w:hAnsi="宋体"/>
            <w:noProof/>
            <w:kern w:val="0"/>
            <w:sz w:val="24"/>
          </w:rPr>
          <w:fldChar w:fldCharType="begin"/>
        </w:r>
        <w:r w:rsidR="008C5B3C" w:rsidRPr="00F82365">
          <w:rPr>
            <w:rStyle w:val="af0"/>
            <w:rFonts w:ascii="宋体" w:hAnsi="宋体"/>
            <w:noProof/>
            <w:kern w:val="0"/>
            <w:sz w:val="24"/>
          </w:rPr>
          <w:instrText xml:space="preserve"> PAGEREF _Toc107476043 \h </w:instrText>
        </w:r>
        <w:r w:rsidR="008C5B3C" w:rsidRPr="00F82365">
          <w:rPr>
            <w:rStyle w:val="af0"/>
            <w:rFonts w:ascii="宋体" w:hAnsi="宋体"/>
            <w:noProof/>
            <w:kern w:val="0"/>
            <w:sz w:val="24"/>
          </w:rPr>
        </w:r>
        <w:r w:rsidR="008C5B3C" w:rsidRPr="00F82365">
          <w:rPr>
            <w:rStyle w:val="af0"/>
            <w:rFonts w:ascii="宋体" w:hAnsi="宋体"/>
            <w:noProof/>
            <w:kern w:val="0"/>
            <w:sz w:val="24"/>
          </w:rPr>
          <w:fldChar w:fldCharType="separate"/>
        </w:r>
        <w:r w:rsidR="003065AF">
          <w:rPr>
            <w:rStyle w:val="af0"/>
            <w:rFonts w:ascii="宋体" w:hAnsi="宋体"/>
            <w:noProof/>
            <w:kern w:val="0"/>
            <w:sz w:val="24"/>
          </w:rPr>
          <w:t>162</w:t>
        </w:r>
        <w:r w:rsidR="008C5B3C" w:rsidRPr="00F82365">
          <w:rPr>
            <w:rStyle w:val="af0"/>
            <w:rFonts w:ascii="宋体" w:hAnsi="宋体"/>
            <w:noProof/>
            <w:kern w:val="0"/>
            <w:sz w:val="24"/>
          </w:rPr>
          <w:fldChar w:fldCharType="end"/>
        </w:r>
      </w:hyperlink>
    </w:p>
    <w:p w14:paraId="6C96FCAB" w14:textId="32578396" w:rsidR="008C5B3C" w:rsidRPr="00F82365" w:rsidRDefault="001E631D" w:rsidP="00F82365">
      <w:pPr>
        <w:pStyle w:val="11"/>
        <w:tabs>
          <w:tab w:val="right" w:leader="dot" w:pos="8550"/>
        </w:tabs>
        <w:spacing w:line="360" w:lineRule="auto"/>
        <w:rPr>
          <w:rStyle w:val="af0"/>
          <w:rFonts w:ascii="宋体" w:hAnsi="宋体"/>
          <w:noProof/>
          <w:kern w:val="0"/>
          <w:sz w:val="24"/>
        </w:rPr>
      </w:pPr>
      <w:hyperlink w:anchor="_Toc107476044" w:history="1">
        <w:r w:rsidR="008C5B3C" w:rsidRPr="00F82365">
          <w:rPr>
            <w:rStyle w:val="af0"/>
            <w:rFonts w:ascii="宋体" w:hAnsi="宋体" w:hint="eastAsia"/>
            <w:noProof/>
            <w:kern w:val="0"/>
            <w:sz w:val="24"/>
          </w:rPr>
          <w:t>二十五、招募说明书的存放及查阅方式</w:t>
        </w:r>
        <w:r w:rsidR="008C5B3C" w:rsidRPr="00F82365">
          <w:rPr>
            <w:rStyle w:val="af0"/>
            <w:rFonts w:ascii="宋体" w:hAnsi="宋体"/>
            <w:noProof/>
            <w:kern w:val="0"/>
            <w:sz w:val="24"/>
          </w:rPr>
          <w:tab/>
        </w:r>
        <w:r w:rsidR="008C5B3C" w:rsidRPr="00F82365">
          <w:rPr>
            <w:rStyle w:val="af0"/>
            <w:rFonts w:ascii="宋体" w:hAnsi="宋体"/>
            <w:noProof/>
            <w:kern w:val="0"/>
            <w:sz w:val="24"/>
          </w:rPr>
          <w:fldChar w:fldCharType="begin"/>
        </w:r>
        <w:r w:rsidR="008C5B3C" w:rsidRPr="00F82365">
          <w:rPr>
            <w:rStyle w:val="af0"/>
            <w:rFonts w:ascii="宋体" w:hAnsi="宋体"/>
            <w:noProof/>
            <w:kern w:val="0"/>
            <w:sz w:val="24"/>
          </w:rPr>
          <w:instrText xml:space="preserve"> PAGEREF _Toc107476044 \h </w:instrText>
        </w:r>
        <w:r w:rsidR="008C5B3C" w:rsidRPr="00F82365">
          <w:rPr>
            <w:rStyle w:val="af0"/>
            <w:rFonts w:ascii="宋体" w:hAnsi="宋体"/>
            <w:noProof/>
            <w:kern w:val="0"/>
            <w:sz w:val="24"/>
          </w:rPr>
        </w:r>
        <w:r w:rsidR="008C5B3C" w:rsidRPr="00F82365">
          <w:rPr>
            <w:rStyle w:val="af0"/>
            <w:rFonts w:ascii="宋体" w:hAnsi="宋体"/>
            <w:noProof/>
            <w:kern w:val="0"/>
            <w:sz w:val="24"/>
          </w:rPr>
          <w:fldChar w:fldCharType="separate"/>
        </w:r>
        <w:r w:rsidR="003065AF">
          <w:rPr>
            <w:rStyle w:val="af0"/>
            <w:rFonts w:ascii="宋体" w:hAnsi="宋体"/>
            <w:noProof/>
            <w:kern w:val="0"/>
            <w:sz w:val="24"/>
          </w:rPr>
          <w:t>165</w:t>
        </w:r>
        <w:r w:rsidR="008C5B3C" w:rsidRPr="00F82365">
          <w:rPr>
            <w:rStyle w:val="af0"/>
            <w:rFonts w:ascii="宋体" w:hAnsi="宋体"/>
            <w:noProof/>
            <w:kern w:val="0"/>
            <w:sz w:val="24"/>
          </w:rPr>
          <w:fldChar w:fldCharType="end"/>
        </w:r>
      </w:hyperlink>
    </w:p>
    <w:p w14:paraId="7768249A" w14:textId="7E565BD1" w:rsidR="008C5B3C" w:rsidRPr="00F82365" w:rsidRDefault="001E631D" w:rsidP="00F82365">
      <w:pPr>
        <w:pStyle w:val="11"/>
        <w:tabs>
          <w:tab w:val="right" w:leader="dot" w:pos="8550"/>
        </w:tabs>
        <w:spacing w:line="360" w:lineRule="auto"/>
        <w:rPr>
          <w:rStyle w:val="af0"/>
          <w:rFonts w:ascii="宋体" w:hAnsi="宋体"/>
          <w:noProof/>
          <w:kern w:val="0"/>
          <w:sz w:val="24"/>
        </w:rPr>
      </w:pPr>
      <w:hyperlink w:anchor="_Toc107476045" w:history="1">
        <w:r w:rsidR="008C5B3C" w:rsidRPr="00F82365">
          <w:rPr>
            <w:rStyle w:val="af0"/>
            <w:rFonts w:ascii="宋体" w:hAnsi="宋体" w:hint="eastAsia"/>
            <w:noProof/>
            <w:kern w:val="0"/>
            <w:sz w:val="24"/>
          </w:rPr>
          <w:t>二十六、备查文件</w:t>
        </w:r>
        <w:r w:rsidR="008C5B3C" w:rsidRPr="00F82365">
          <w:rPr>
            <w:rStyle w:val="af0"/>
            <w:rFonts w:ascii="宋体" w:hAnsi="宋体"/>
            <w:noProof/>
            <w:kern w:val="0"/>
            <w:sz w:val="24"/>
          </w:rPr>
          <w:tab/>
        </w:r>
        <w:r w:rsidR="008C5B3C" w:rsidRPr="00F82365">
          <w:rPr>
            <w:rStyle w:val="af0"/>
            <w:rFonts w:ascii="宋体" w:hAnsi="宋体"/>
            <w:noProof/>
            <w:kern w:val="0"/>
            <w:sz w:val="24"/>
          </w:rPr>
          <w:fldChar w:fldCharType="begin"/>
        </w:r>
        <w:r w:rsidR="008C5B3C" w:rsidRPr="00F82365">
          <w:rPr>
            <w:rStyle w:val="af0"/>
            <w:rFonts w:ascii="宋体" w:hAnsi="宋体"/>
            <w:noProof/>
            <w:kern w:val="0"/>
            <w:sz w:val="24"/>
          </w:rPr>
          <w:instrText xml:space="preserve"> PAGEREF _Toc107476045 \h </w:instrText>
        </w:r>
        <w:r w:rsidR="008C5B3C" w:rsidRPr="00F82365">
          <w:rPr>
            <w:rStyle w:val="af0"/>
            <w:rFonts w:ascii="宋体" w:hAnsi="宋体"/>
            <w:noProof/>
            <w:kern w:val="0"/>
            <w:sz w:val="24"/>
          </w:rPr>
        </w:r>
        <w:r w:rsidR="008C5B3C" w:rsidRPr="00F82365">
          <w:rPr>
            <w:rStyle w:val="af0"/>
            <w:rFonts w:ascii="宋体" w:hAnsi="宋体"/>
            <w:noProof/>
            <w:kern w:val="0"/>
            <w:sz w:val="24"/>
          </w:rPr>
          <w:fldChar w:fldCharType="separate"/>
        </w:r>
        <w:r w:rsidR="003065AF">
          <w:rPr>
            <w:rStyle w:val="af0"/>
            <w:rFonts w:ascii="宋体" w:hAnsi="宋体"/>
            <w:noProof/>
            <w:kern w:val="0"/>
            <w:sz w:val="24"/>
          </w:rPr>
          <w:t>166</w:t>
        </w:r>
        <w:r w:rsidR="008C5B3C" w:rsidRPr="00F82365">
          <w:rPr>
            <w:rStyle w:val="af0"/>
            <w:rFonts w:ascii="宋体" w:hAnsi="宋体"/>
            <w:noProof/>
            <w:kern w:val="0"/>
            <w:sz w:val="24"/>
          </w:rPr>
          <w:fldChar w:fldCharType="end"/>
        </w:r>
      </w:hyperlink>
    </w:p>
    <w:p w14:paraId="5F2F0448" w14:textId="2C86D73C" w:rsidR="00FB4D29" w:rsidRDefault="00D4333C" w:rsidP="00F82365">
      <w:pPr>
        <w:pStyle w:val="af3"/>
        <w:snapToGrid w:val="0"/>
        <w:spacing w:after="240" w:line="360" w:lineRule="auto"/>
        <w:jc w:val="center"/>
        <w:sectPr w:rsidR="00FB4D29">
          <w:pgSz w:w="11920" w:h="16840"/>
          <w:pgMar w:top="1480" w:right="1680" w:bottom="280" w:left="1680" w:header="0" w:footer="1073" w:gutter="0"/>
          <w:cols w:space="720"/>
        </w:sectPr>
      </w:pPr>
      <w:r w:rsidRPr="00F82365">
        <w:rPr>
          <w:rStyle w:val="af0"/>
          <w:rFonts w:ascii="Calibri" w:hAnsi="Calibri"/>
          <w:noProof/>
          <w:kern w:val="2"/>
          <w:sz w:val="21"/>
          <w:szCs w:val="22"/>
        </w:rPr>
        <w:fldChar w:fldCharType="end"/>
      </w:r>
    </w:p>
    <w:p w14:paraId="29C4379E" w14:textId="77777777" w:rsidR="00FB4D29" w:rsidRDefault="00CF4592">
      <w:pPr>
        <w:pStyle w:val="1"/>
        <w:snapToGrid w:val="0"/>
        <w:spacing w:beforeLines="0" w:before="240" w:after="240"/>
        <w:rPr>
          <w:rFonts w:ascii="宋体" w:hAnsi="宋体"/>
          <w:szCs w:val="30"/>
        </w:rPr>
      </w:pPr>
      <w:bookmarkStart w:id="3" w:name="_Toc107476020"/>
      <w:r>
        <w:rPr>
          <w:rFonts w:ascii="Times New Roman" w:hAnsi="Times New Roman"/>
          <w:sz w:val="30"/>
        </w:rPr>
        <w:lastRenderedPageBreak/>
        <w:t>一、绪言</w:t>
      </w:r>
      <w:bookmarkEnd w:id="3"/>
    </w:p>
    <w:p w14:paraId="67966CBB" w14:textId="61F6DC05"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交银施罗德持续成长主题混合型证券投资基金招募说明书》（以下简称“本招募说明书”）依据《中华人民共和国证券投资基金法》（以下简称“《基金法》”）、《公开募集证券投资基金运作管理办法》（以下简称“《运作办法》”）、</w:t>
      </w:r>
      <w:r w:rsidR="001D5461" w:rsidRPr="001D5461">
        <w:rPr>
          <w:rFonts w:ascii="宋体" w:hAnsi="宋体" w:hint="eastAsia"/>
          <w:sz w:val="24"/>
        </w:rPr>
        <w:t>《</w:t>
      </w:r>
      <w:r w:rsidR="001D5461" w:rsidRPr="001D5461">
        <w:rPr>
          <w:rFonts w:ascii="宋体" w:hAnsi="宋体"/>
          <w:bCs/>
          <w:sz w:val="24"/>
        </w:rPr>
        <w:t>公开募集证券投资基金销售机构监督管理办法</w:t>
      </w:r>
      <w:r w:rsidR="001D5461" w:rsidRPr="001D5461">
        <w:rPr>
          <w:rFonts w:ascii="宋体" w:hAnsi="宋体" w:hint="eastAsia"/>
          <w:sz w:val="24"/>
        </w:rPr>
        <w:t>》</w:t>
      </w:r>
      <w:r>
        <w:rPr>
          <w:rFonts w:ascii="宋体" w:hAnsi="宋体"/>
          <w:sz w:val="24"/>
        </w:rPr>
        <w:t>（以下简称“《销售办法》”）、《公开募集证券投资基金信息披露管理办法》（以下简称“《信息披露办法》”）、《公开募集开放式证券投资基金流动性风险管理规定》（以下简称“《流动性规定》”）和其他相关法律法规的规定以及《交银施罗德持续成长主题混合型证券投资基金基金合同》（以下简称“基金合同”）编写。</w:t>
      </w:r>
    </w:p>
    <w:p w14:paraId="10D634F4"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或对本招募说明书作任何解释或者说明。</w:t>
      </w:r>
    </w:p>
    <w:p w14:paraId="04BA2127" w14:textId="1545CCB8"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本招募说明书根据本基金的基金合同编写，并经中国证监会</w:t>
      </w:r>
      <w:r w:rsidR="001B626D">
        <w:rPr>
          <w:rFonts w:ascii="宋体" w:hAnsi="宋体" w:hint="eastAsia"/>
          <w:sz w:val="24"/>
        </w:rPr>
        <w:t>变更</w:t>
      </w:r>
      <w:r>
        <w:rPr>
          <w:rFonts w:ascii="宋体" w:hAnsi="宋体"/>
          <w:sz w:val="24"/>
        </w:rPr>
        <w:t>注册。基金合同是约定基金合同当事人之间权利、义务的法律文件。基金投资人自依基金合同取得基金份额，即成为基金份额持有人和基金合同的当事人，其持有基金份额的行为本身即表明其对基金合同的承认和接受，并按照《基金法》、基金合同及其他有关规定享有权利、承担义务。基金投资人欲了解基金份额持有人的权利和义务，应详细查阅基金合同。</w:t>
      </w:r>
    </w:p>
    <w:p w14:paraId="4BAFE0F4" w14:textId="77777777" w:rsidR="00AF2A34" w:rsidRDefault="00AF2A34" w:rsidP="00AF2A34">
      <w:pPr>
        <w:autoSpaceDE w:val="0"/>
        <w:autoSpaceDN w:val="0"/>
        <w:adjustRightInd w:val="0"/>
        <w:spacing w:line="360" w:lineRule="auto"/>
        <w:ind w:firstLineChars="200" w:firstLine="420"/>
        <w:rPr>
          <w:rFonts w:ascii="宋体" w:hAnsi="宋体"/>
          <w:szCs w:val="24"/>
        </w:rPr>
      </w:pPr>
    </w:p>
    <w:p w14:paraId="7069BA98" w14:textId="5663A952" w:rsidR="00FB4D29" w:rsidRDefault="00CF4592">
      <w:pPr>
        <w:pStyle w:val="1"/>
        <w:snapToGrid w:val="0"/>
        <w:spacing w:beforeLines="0" w:before="240" w:after="240"/>
        <w:rPr>
          <w:rFonts w:ascii="宋体" w:hAnsi="宋体"/>
          <w:szCs w:val="30"/>
        </w:rPr>
      </w:pPr>
      <w:r>
        <w:rPr>
          <w:rFonts w:ascii="宋体" w:hAnsi="宋体"/>
          <w:sz w:val="24"/>
        </w:rPr>
        <w:br w:type="page"/>
      </w:r>
      <w:bookmarkStart w:id="4" w:name="_Toc107476021"/>
      <w:r>
        <w:rPr>
          <w:rFonts w:ascii="Times New Roman" w:hAnsi="Times New Roman"/>
          <w:sz w:val="30"/>
        </w:rPr>
        <w:lastRenderedPageBreak/>
        <w:t>二、释义</w:t>
      </w:r>
      <w:bookmarkEnd w:id="4"/>
    </w:p>
    <w:p w14:paraId="23285155"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在本招募说明书中，除非文意另有所指，下列词语或简称具有如下含义：</w:t>
      </w:r>
    </w:p>
    <w:p w14:paraId="5CC4E3F2"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1、基金或本基金：指交银施罗德持续成长主题混合型证券投资基金</w:t>
      </w:r>
    </w:p>
    <w:p w14:paraId="0869B25A"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2、基金管理人或本基金管理人：指交银施罗德基金管理有限公司</w:t>
      </w:r>
    </w:p>
    <w:p w14:paraId="59EBEEB3"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3、基金托管人或本基金托管人：指中国工商银行股份有限公司</w:t>
      </w:r>
    </w:p>
    <w:p w14:paraId="4B313838"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4、《基金合同》或基金合同：指《交银施罗德持续成长主题混合型证券投资基金基金合同》及对基金合同的任何有效修订和补充</w:t>
      </w:r>
    </w:p>
    <w:p w14:paraId="3A46AB77"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5、托管协议：指基金管理人与基金托管人就本基金签订之《交银施罗德持续成长主题混合型证券投资基金托管协议》及对该托管协议的任何有效修订和补充</w:t>
      </w:r>
    </w:p>
    <w:p w14:paraId="442CB605"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6、招募说明书或《招募说明书》或本招募说明书：指《交银施罗德持续成长主题混合型证券投资基金招募说明书》及其更新</w:t>
      </w:r>
    </w:p>
    <w:p w14:paraId="024FA3BB"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7、基金份额发售公告：指《交银施罗德持续成长主题混合型证券投资基金基金份额发售公告》</w:t>
      </w:r>
    </w:p>
    <w:p w14:paraId="4448DC1B"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8、基金产品资料概要：指《交银施罗德持续成长主题混合型证券投资基金基金产品资料概要》及其更新</w:t>
      </w:r>
    </w:p>
    <w:p w14:paraId="3A30C0DE"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9、法律法规：指中国现行有效并公布实施的法律、行政法规、规范性文件、司法解释、行政规章以及其他对基金合同当事人有约束力的决定、决议、通知等</w:t>
      </w:r>
    </w:p>
    <w:p w14:paraId="7B63D2F2"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10、《基金法》：指《中华人民共和国证券投资基金法》及颁布机关对其不时做出的修订</w:t>
      </w:r>
    </w:p>
    <w:p w14:paraId="3FA08700" w14:textId="5AD72B0C"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11、《销售办法》：指《</w:t>
      </w:r>
      <w:r w:rsidR="006C72AA">
        <w:rPr>
          <w:bCs/>
          <w:sz w:val="24"/>
        </w:rPr>
        <w:t>公开募集证券投资基金销售机构监督管理办法</w:t>
      </w:r>
      <w:r>
        <w:rPr>
          <w:rFonts w:ascii="宋体" w:hAnsi="宋体"/>
          <w:sz w:val="24"/>
        </w:rPr>
        <w:t>》及颁布机关对其不时做出的修订</w:t>
      </w:r>
    </w:p>
    <w:p w14:paraId="0C67D2DC"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12、《信息披露办法》：指《公开募集证券投资基金信息披露管理办法》及颁布机关对其不时做出的修订</w:t>
      </w:r>
    </w:p>
    <w:p w14:paraId="0610FCD2"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13、《运作办法》：指《公开募集证券投资基金运作管理办法》及颁布机关对其不时做出的修订</w:t>
      </w:r>
    </w:p>
    <w:p w14:paraId="54BFAEEC"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14、《流动性规定》：指《公开募集开放式证券投资基金流动性风险管理规定》及颁布机关对其不时做出的修订</w:t>
      </w:r>
    </w:p>
    <w:p w14:paraId="58A67B22"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15、流动性受限资产：指由于法律法规、监管、合同或操作障碍等原因无法以合理价格予以变现的资产，包括但不限于到期日在10个交易日以上的逆回购与银行</w:t>
      </w:r>
      <w:r>
        <w:rPr>
          <w:rFonts w:ascii="宋体" w:hAnsi="宋体"/>
          <w:sz w:val="24"/>
        </w:rPr>
        <w:lastRenderedPageBreak/>
        <w:t>定期存款（含协议约定有条件提前支取的银行存款）、停牌股票、流通受限的新股及非公开发行股票、资产支持证券、因发行人债务违约无法进行转让或交易的债券以及法律法规或中国证监会规定的其他流动性受限资产，如未来法律法规变动，基金管理人在履行适当程序后，可对上述流动性受限资产范围进行调整</w:t>
      </w:r>
    </w:p>
    <w:p w14:paraId="05CEBAAC"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16、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p w14:paraId="66DBFA80"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17、中国证监会：指中国证券监督管理委员会</w:t>
      </w:r>
    </w:p>
    <w:p w14:paraId="2025EC2D" w14:textId="0B9B6160"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18、银行业监督管理机构：指中国人民银行和/或</w:t>
      </w:r>
      <w:r w:rsidR="001A4EE9">
        <w:rPr>
          <w:rFonts w:ascii="宋体" w:hAnsi="宋体" w:hint="eastAsia"/>
          <w:sz w:val="24"/>
        </w:rPr>
        <w:t>中国银行保险监督管理委员会</w:t>
      </w:r>
    </w:p>
    <w:p w14:paraId="69E22E7F"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19、基金合同当事人：指受基金合同约束，根据基金合同享有权利并承担义务的法律主体，包括基金管理人、基金托管人和基金份额持有人</w:t>
      </w:r>
    </w:p>
    <w:p w14:paraId="251EA82A"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20、个人投资者：指依据有关法律法规规定可投资于证券投资基金的自然人</w:t>
      </w:r>
    </w:p>
    <w:p w14:paraId="2426078F"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21、机构投资者：指依法可以投资证券投资基金的、在中华人民共和国境内合法登记并存续或经有关政府部门批准设立并存续的企业法人、事业法人、社会团体或其他组织</w:t>
      </w:r>
    </w:p>
    <w:p w14:paraId="61FCCA8B" w14:textId="2C4D0FCF"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22、合格境外投资者：</w:t>
      </w:r>
      <w:r w:rsidR="001A4EE9" w:rsidRPr="001A4EE9">
        <w:rPr>
          <w:rFonts w:ascii="宋体" w:hAnsi="宋体" w:hint="eastAsia"/>
          <w:sz w:val="24"/>
        </w:rPr>
        <w:t>指符合《合格境外机构投资者和人民币合格境外机构投资者境内证券期货投资管理办法》（包括其不时修订）及相关法律法规规定使用来自境外的资金进行境内证券期货投资的境外机构投资者，包括合格境外机构投资者和人民币合格境外机构投资者</w:t>
      </w:r>
    </w:p>
    <w:p w14:paraId="4169AF81" w14:textId="4143B55A" w:rsidR="00FB4D29" w:rsidRDefault="00CF4592" w:rsidP="001D0AE1">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23、投资人或投资者：指个人投资者、机构投资者、合格境外投资者以及法律法规或中国证监会允许购买证券投资基金的其他投资人的合称</w:t>
      </w:r>
    </w:p>
    <w:p w14:paraId="0E7EB33F" w14:textId="5D912339"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w:t>
      </w:r>
      <w:r w:rsidR="001D0AE1">
        <w:rPr>
          <w:rFonts w:ascii="宋体" w:hAnsi="宋体"/>
          <w:sz w:val="24"/>
        </w:rPr>
        <w:t>4</w:t>
      </w:r>
      <w:r>
        <w:rPr>
          <w:rFonts w:ascii="宋体" w:hAnsi="宋体"/>
          <w:sz w:val="24"/>
        </w:rPr>
        <w:t>、基金份额持有人：指依基金合同和招募说明书合法取得基金份额的投资人</w:t>
      </w:r>
    </w:p>
    <w:p w14:paraId="2DAF2106" w14:textId="24012045"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w:t>
      </w:r>
      <w:r w:rsidR="001D0AE1">
        <w:rPr>
          <w:rFonts w:ascii="宋体" w:hAnsi="宋体"/>
          <w:sz w:val="24"/>
        </w:rPr>
        <w:t>5</w:t>
      </w:r>
      <w:r>
        <w:rPr>
          <w:rFonts w:ascii="宋体" w:hAnsi="宋体"/>
          <w:sz w:val="24"/>
        </w:rPr>
        <w:t>、基金销售业务：指基金管理人或销售机构宣传推介基金，发售基金份额，办理基金份额的申购、赎回、转换、转托管及定期定额投资等业务</w:t>
      </w:r>
    </w:p>
    <w:p w14:paraId="3292B24E" w14:textId="5A3FB362"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w:t>
      </w:r>
      <w:r w:rsidR="001D0AE1">
        <w:rPr>
          <w:rFonts w:ascii="宋体" w:hAnsi="宋体"/>
          <w:sz w:val="24"/>
        </w:rPr>
        <w:t>6</w:t>
      </w:r>
      <w:r>
        <w:rPr>
          <w:rFonts w:ascii="宋体" w:hAnsi="宋体"/>
          <w:sz w:val="24"/>
        </w:rPr>
        <w:t>、销售机构：指交银施罗德基金管理有限公司以及符合《销售办法》和中国证监会规定的其他条件，取得基金销售业务资格并与基金管理人签订了基金销售服务协议，办理基金销售业务的机构</w:t>
      </w:r>
    </w:p>
    <w:p w14:paraId="40CF2CFB" w14:textId="58D198E8"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w:t>
      </w:r>
      <w:r w:rsidR="001D0AE1">
        <w:rPr>
          <w:rFonts w:ascii="宋体" w:hAnsi="宋体"/>
          <w:sz w:val="24"/>
        </w:rPr>
        <w:t>7</w:t>
      </w:r>
      <w:r>
        <w:rPr>
          <w:rFonts w:ascii="宋体" w:hAnsi="宋体"/>
          <w:sz w:val="24"/>
        </w:rPr>
        <w:t>、登记业务：指基金登记、存管、过户、清算和结算业务，具体内容包括投</w:t>
      </w:r>
      <w:r>
        <w:rPr>
          <w:rFonts w:ascii="宋体" w:hAnsi="宋体"/>
          <w:sz w:val="24"/>
        </w:rPr>
        <w:lastRenderedPageBreak/>
        <w:t>资人基金账户的建立和管理、基金份额登记、基金销售业务的确认、清算和结算、代理发放红利、建立并保管基金份额持有人名册和办理非交易过户等</w:t>
      </w:r>
    </w:p>
    <w:p w14:paraId="66FD806F" w14:textId="7BE3E21B"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w:t>
      </w:r>
      <w:r w:rsidR="001D0AE1">
        <w:rPr>
          <w:rFonts w:ascii="宋体" w:hAnsi="宋体"/>
          <w:sz w:val="24"/>
        </w:rPr>
        <w:t>8</w:t>
      </w:r>
      <w:r>
        <w:rPr>
          <w:rFonts w:ascii="宋体" w:hAnsi="宋体"/>
          <w:sz w:val="24"/>
        </w:rPr>
        <w:t>、登记机构：指办理登记业务的机构。基金的登记机构为交银施罗德基金管理有限公司或接受交银施罗德基金管理有限公司委托办理登记业务的机构</w:t>
      </w:r>
    </w:p>
    <w:p w14:paraId="263507B4" w14:textId="7066203D" w:rsidR="00FB4D29" w:rsidRDefault="001D0AE1">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29</w:t>
      </w:r>
      <w:r w:rsidR="00CF4592">
        <w:rPr>
          <w:rFonts w:ascii="宋体" w:hAnsi="宋体"/>
          <w:sz w:val="24"/>
        </w:rPr>
        <w:t>、基金账户：指登记机构为投资人开立的、记录其持有的、基金管理人所管理的基金份额余额及其变动情况的账户</w:t>
      </w:r>
    </w:p>
    <w:p w14:paraId="5B755503" w14:textId="18EFBCDF"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w:t>
      </w:r>
      <w:r w:rsidR="001D0AE1">
        <w:rPr>
          <w:rFonts w:ascii="宋体" w:hAnsi="宋体"/>
          <w:sz w:val="24"/>
        </w:rPr>
        <w:t>0</w:t>
      </w:r>
      <w:r>
        <w:rPr>
          <w:rFonts w:ascii="宋体" w:hAnsi="宋体"/>
          <w:sz w:val="24"/>
        </w:rPr>
        <w:t>、基金交易账户：指销售机构为投资人开立的、记录投资人通过该销售机构办理认购、申购、赎回、转换、定期定额投资及转托管等业务而引起的基金份额变动及结余情况的账户</w:t>
      </w:r>
    </w:p>
    <w:p w14:paraId="3F4B3F03" w14:textId="6F79A5A9"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w:t>
      </w:r>
      <w:r w:rsidR="001D0AE1">
        <w:rPr>
          <w:rFonts w:ascii="宋体" w:hAnsi="宋体"/>
          <w:sz w:val="24"/>
        </w:rPr>
        <w:t>1</w:t>
      </w:r>
      <w:r>
        <w:rPr>
          <w:rFonts w:ascii="宋体" w:hAnsi="宋体"/>
          <w:sz w:val="24"/>
        </w:rPr>
        <w:t>、基金合同生效日：指</w:t>
      </w:r>
      <w:r w:rsidR="001D0AE1" w:rsidRPr="001D0AE1">
        <w:rPr>
          <w:rFonts w:ascii="宋体" w:hAnsi="宋体" w:hint="eastAsia"/>
          <w:sz w:val="24"/>
        </w:rPr>
        <w:t>根据202</w:t>
      </w:r>
      <w:r w:rsidR="00F81D04">
        <w:rPr>
          <w:rFonts w:ascii="宋体" w:hAnsi="宋体"/>
          <w:sz w:val="24"/>
        </w:rPr>
        <w:t>3</w:t>
      </w:r>
      <w:r w:rsidR="001D0AE1" w:rsidRPr="001D0AE1">
        <w:rPr>
          <w:rFonts w:ascii="宋体" w:hAnsi="宋体" w:hint="eastAsia"/>
          <w:sz w:val="24"/>
        </w:rPr>
        <w:t>年</w:t>
      </w:r>
      <w:r w:rsidR="00F81D04">
        <w:rPr>
          <w:rFonts w:ascii="宋体" w:hAnsi="宋体"/>
          <w:sz w:val="24"/>
        </w:rPr>
        <w:t>2</w:t>
      </w:r>
      <w:r w:rsidR="001D0AE1" w:rsidRPr="001D0AE1">
        <w:rPr>
          <w:rFonts w:ascii="宋体" w:hAnsi="宋体" w:hint="eastAsia"/>
          <w:sz w:val="24"/>
        </w:rPr>
        <w:t>月</w:t>
      </w:r>
      <w:r w:rsidR="00F81D04">
        <w:rPr>
          <w:rFonts w:ascii="宋体" w:hAnsi="宋体"/>
          <w:sz w:val="24"/>
        </w:rPr>
        <w:t>24</w:t>
      </w:r>
      <w:r w:rsidR="001D0AE1" w:rsidRPr="001D0AE1">
        <w:rPr>
          <w:rFonts w:ascii="宋体" w:hAnsi="宋体" w:hint="eastAsia"/>
          <w:sz w:val="24"/>
        </w:rPr>
        <w:t>日至202</w:t>
      </w:r>
      <w:r w:rsidR="00F81D04">
        <w:rPr>
          <w:rFonts w:ascii="宋体" w:hAnsi="宋体"/>
          <w:sz w:val="24"/>
        </w:rPr>
        <w:t>3</w:t>
      </w:r>
      <w:r w:rsidR="001D0AE1" w:rsidRPr="001D0AE1">
        <w:rPr>
          <w:rFonts w:ascii="宋体" w:hAnsi="宋体" w:hint="eastAsia"/>
          <w:sz w:val="24"/>
        </w:rPr>
        <w:t>年</w:t>
      </w:r>
      <w:r w:rsidR="00F81D04">
        <w:rPr>
          <w:rFonts w:ascii="宋体" w:hAnsi="宋体" w:hint="eastAsia"/>
          <w:sz w:val="24"/>
        </w:rPr>
        <w:t>3</w:t>
      </w:r>
      <w:r w:rsidR="001D0AE1" w:rsidRPr="001D0AE1">
        <w:rPr>
          <w:rFonts w:ascii="宋体" w:hAnsi="宋体" w:hint="eastAsia"/>
          <w:sz w:val="24"/>
        </w:rPr>
        <w:t>月</w:t>
      </w:r>
      <w:r w:rsidR="00F81D04">
        <w:rPr>
          <w:rFonts w:ascii="宋体" w:hAnsi="宋体" w:hint="eastAsia"/>
          <w:sz w:val="24"/>
        </w:rPr>
        <w:t>2</w:t>
      </w:r>
      <w:r w:rsidR="00F81D04">
        <w:rPr>
          <w:rFonts w:ascii="宋体" w:hAnsi="宋体"/>
          <w:sz w:val="24"/>
        </w:rPr>
        <w:t>7</w:t>
      </w:r>
      <w:r w:rsidR="001D0AE1" w:rsidRPr="001D0AE1">
        <w:rPr>
          <w:rFonts w:ascii="宋体" w:hAnsi="宋体" w:hint="eastAsia"/>
          <w:sz w:val="24"/>
        </w:rPr>
        <w:t>日基金份额持有人大会审议通过的《关于交银施罗德持续成长主题混合型证券投资基金调整投资范围及修改基金合同有关事项的议案》所修订的《交银施罗德持续成长主题混合型证券投资基金基金合同》生效日</w:t>
      </w:r>
    </w:p>
    <w:p w14:paraId="44BD37A6" w14:textId="52AD38ED"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w:t>
      </w:r>
      <w:r w:rsidR="003246BF">
        <w:rPr>
          <w:rFonts w:ascii="宋体" w:hAnsi="宋体"/>
          <w:sz w:val="24"/>
        </w:rPr>
        <w:t>2</w:t>
      </w:r>
      <w:r>
        <w:rPr>
          <w:rFonts w:ascii="宋体" w:hAnsi="宋体"/>
          <w:sz w:val="24"/>
        </w:rPr>
        <w:t>、基金合同终止日：指基金合同规定的基金合同终止事由出现后，基金财产清算完毕，清算结果报中国证监会备案并予以公告的日期</w:t>
      </w:r>
    </w:p>
    <w:p w14:paraId="2A0CA1D0" w14:textId="5A6DBFD3"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w:t>
      </w:r>
      <w:r w:rsidR="003246BF">
        <w:rPr>
          <w:rFonts w:ascii="宋体" w:hAnsi="宋体"/>
          <w:sz w:val="24"/>
        </w:rPr>
        <w:t>3</w:t>
      </w:r>
      <w:r>
        <w:rPr>
          <w:rFonts w:ascii="宋体" w:hAnsi="宋体"/>
          <w:sz w:val="24"/>
        </w:rPr>
        <w:t>、基金募集期：指自基金份额发售之日起至发售结束之日止的期间，最长不得超过3个月</w:t>
      </w:r>
    </w:p>
    <w:p w14:paraId="41A87F7B" w14:textId="3F64F8CA"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w:t>
      </w:r>
      <w:r w:rsidR="003246BF">
        <w:rPr>
          <w:rFonts w:ascii="宋体" w:hAnsi="宋体"/>
          <w:sz w:val="24"/>
        </w:rPr>
        <w:t>4</w:t>
      </w:r>
      <w:r>
        <w:rPr>
          <w:rFonts w:ascii="宋体" w:hAnsi="宋体"/>
          <w:sz w:val="24"/>
        </w:rPr>
        <w:t>、存续期：指基金合同生效至终止之间的不定期期限</w:t>
      </w:r>
    </w:p>
    <w:p w14:paraId="782F6021" w14:textId="1FA92FE2"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w:t>
      </w:r>
      <w:r w:rsidR="003246BF">
        <w:rPr>
          <w:rFonts w:ascii="宋体" w:hAnsi="宋体"/>
          <w:sz w:val="24"/>
        </w:rPr>
        <w:t>5</w:t>
      </w:r>
      <w:r>
        <w:rPr>
          <w:rFonts w:ascii="宋体" w:hAnsi="宋体"/>
          <w:sz w:val="24"/>
        </w:rPr>
        <w:t>、工作日：指上海证券交易所、深圳证券交易所的正常交易日</w:t>
      </w:r>
    </w:p>
    <w:p w14:paraId="4C87D902" w14:textId="389EA40E"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w:t>
      </w:r>
      <w:r w:rsidR="003246BF">
        <w:rPr>
          <w:rFonts w:ascii="宋体" w:hAnsi="宋体"/>
          <w:sz w:val="24"/>
        </w:rPr>
        <w:t>6</w:t>
      </w:r>
      <w:r>
        <w:rPr>
          <w:rFonts w:ascii="宋体" w:hAnsi="宋体"/>
          <w:sz w:val="24"/>
        </w:rPr>
        <w:t>、T日：指销售机构在规定时间受理投资人申购、赎回或其他业务申请的开放日</w:t>
      </w:r>
    </w:p>
    <w:p w14:paraId="129D07DB" w14:textId="39087458"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w:t>
      </w:r>
      <w:r w:rsidR="003246BF">
        <w:rPr>
          <w:rFonts w:ascii="宋体" w:hAnsi="宋体"/>
          <w:sz w:val="24"/>
        </w:rPr>
        <w:t>7</w:t>
      </w:r>
      <w:r>
        <w:rPr>
          <w:rFonts w:ascii="宋体" w:hAnsi="宋体"/>
          <w:sz w:val="24"/>
        </w:rPr>
        <w:t>、T+n日：指自T日起第n个工作日（不包含T日）</w:t>
      </w:r>
    </w:p>
    <w:p w14:paraId="2D432624" w14:textId="146423D8"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w:t>
      </w:r>
      <w:r w:rsidR="003246BF">
        <w:rPr>
          <w:rFonts w:ascii="宋体" w:hAnsi="宋体"/>
          <w:sz w:val="24"/>
        </w:rPr>
        <w:t>8</w:t>
      </w:r>
      <w:r>
        <w:rPr>
          <w:rFonts w:ascii="宋体" w:hAnsi="宋体"/>
          <w:sz w:val="24"/>
        </w:rPr>
        <w:t>、开放日：指为投资人办理基金份额申购、赎回或其他业务的工作日</w:t>
      </w:r>
      <w:r w:rsidR="003246BF" w:rsidRPr="003246BF">
        <w:rPr>
          <w:rFonts w:ascii="宋体" w:hAnsi="宋体" w:hint="eastAsia"/>
          <w:sz w:val="24"/>
        </w:rPr>
        <w:t>（若该工作日为非港股通交易日，则本基金可不开放）</w:t>
      </w:r>
    </w:p>
    <w:p w14:paraId="041AF4CB" w14:textId="60BFE112" w:rsidR="00FB4D29" w:rsidRDefault="003246BF">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39</w:t>
      </w:r>
      <w:r w:rsidR="00CF4592">
        <w:rPr>
          <w:rFonts w:ascii="宋体" w:hAnsi="宋体"/>
          <w:sz w:val="24"/>
        </w:rPr>
        <w:t>、开放时间：指开放日基金接受申购、赎回或其他交易的时间段</w:t>
      </w:r>
    </w:p>
    <w:p w14:paraId="3F001E13" w14:textId="3C2A53F2" w:rsidR="003246BF" w:rsidRDefault="00CF4592">
      <w:pPr>
        <w:autoSpaceDE w:val="0"/>
        <w:autoSpaceDN w:val="0"/>
        <w:adjustRightInd w:val="0"/>
        <w:snapToGrid w:val="0"/>
        <w:spacing w:line="360" w:lineRule="auto"/>
        <w:ind w:firstLineChars="200" w:firstLine="480"/>
        <w:jc w:val="left"/>
        <w:rPr>
          <w:bCs/>
          <w:sz w:val="24"/>
        </w:rPr>
      </w:pPr>
      <w:r>
        <w:rPr>
          <w:rFonts w:ascii="宋体" w:hAnsi="宋体"/>
          <w:sz w:val="24"/>
        </w:rPr>
        <w:t>4</w:t>
      </w:r>
      <w:r w:rsidR="003246BF">
        <w:rPr>
          <w:rFonts w:ascii="宋体" w:hAnsi="宋体"/>
          <w:sz w:val="24"/>
        </w:rPr>
        <w:t>0</w:t>
      </w:r>
      <w:r>
        <w:rPr>
          <w:rFonts w:ascii="宋体" w:hAnsi="宋体"/>
          <w:sz w:val="24"/>
        </w:rPr>
        <w:t>、《业务规则》：指</w:t>
      </w:r>
      <w:r w:rsidR="003246BF">
        <w:rPr>
          <w:rFonts w:hint="eastAsia"/>
          <w:bCs/>
          <w:sz w:val="24"/>
        </w:rPr>
        <w:t>中国证券登记结算有限责任公司相关业务规则及其不时做出的修订</w:t>
      </w:r>
    </w:p>
    <w:p w14:paraId="0D5EFF98" w14:textId="2C5C199E"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w:t>
      </w:r>
      <w:r w:rsidR="003246BF">
        <w:rPr>
          <w:rFonts w:ascii="宋体" w:hAnsi="宋体"/>
          <w:sz w:val="24"/>
        </w:rPr>
        <w:t>1</w:t>
      </w:r>
      <w:r>
        <w:rPr>
          <w:rFonts w:ascii="宋体" w:hAnsi="宋体"/>
          <w:sz w:val="24"/>
        </w:rPr>
        <w:t>、认购：指在基金募集期内，投资人根据基金合同和招募说明书的规定申请购买基金份额的行为</w:t>
      </w:r>
    </w:p>
    <w:p w14:paraId="108032E7" w14:textId="644F9F15"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w:t>
      </w:r>
      <w:r w:rsidR="003246BF">
        <w:rPr>
          <w:rFonts w:ascii="宋体" w:hAnsi="宋体"/>
          <w:sz w:val="24"/>
        </w:rPr>
        <w:t>2</w:t>
      </w:r>
      <w:r>
        <w:rPr>
          <w:rFonts w:ascii="宋体" w:hAnsi="宋体"/>
          <w:sz w:val="24"/>
        </w:rPr>
        <w:t>、申购：指基金合同生效后，投资人根据基金合同和招募说明书的规定申请</w:t>
      </w:r>
      <w:r>
        <w:rPr>
          <w:rFonts w:ascii="宋体" w:hAnsi="宋体"/>
          <w:sz w:val="24"/>
        </w:rPr>
        <w:lastRenderedPageBreak/>
        <w:t>购买基金份额的行为</w:t>
      </w:r>
    </w:p>
    <w:p w14:paraId="212D82BD" w14:textId="5D96DCEB"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w:t>
      </w:r>
      <w:r w:rsidR="003246BF">
        <w:rPr>
          <w:rFonts w:ascii="宋体" w:hAnsi="宋体"/>
          <w:sz w:val="24"/>
        </w:rPr>
        <w:t>3</w:t>
      </w:r>
      <w:r>
        <w:rPr>
          <w:rFonts w:ascii="宋体" w:hAnsi="宋体"/>
          <w:sz w:val="24"/>
        </w:rPr>
        <w:t>、赎回：指基金合同生效后，基金份额持有人按基金合同和招募说明书规定的条件要求将基金份额兑换为现金的行为</w:t>
      </w:r>
    </w:p>
    <w:p w14:paraId="69FD56B0" w14:textId="7FA5F99C"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w:t>
      </w:r>
      <w:r w:rsidR="003246BF">
        <w:rPr>
          <w:rFonts w:ascii="宋体" w:hAnsi="宋体"/>
          <w:sz w:val="24"/>
        </w:rPr>
        <w:t>4</w:t>
      </w:r>
      <w:r>
        <w:rPr>
          <w:rFonts w:ascii="宋体" w:hAnsi="宋体"/>
          <w:sz w:val="24"/>
        </w:rPr>
        <w:t>、基金转换：指基金份额持有人按照基金合同和基金管理人届时有效公告规定的条件，申请将其持有基金管理人管理的、某一基金的基金份额转换为基金管理人管理的其他基金基金份额的行为</w:t>
      </w:r>
    </w:p>
    <w:p w14:paraId="36F38976" w14:textId="1D65D880"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w:t>
      </w:r>
      <w:r w:rsidR="003246BF">
        <w:rPr>
          <w:rFonts w:ascii="宋体" w:hAnsi="宋体"/>
          <w:sz w:val="24"/>
        </w:rPr>
        <w:t>5</w:t>
      </w:r>
      <w:r>
        <w:rPr>
          <w:rFonts w:ascii="宋体" w:hAnsi="宋体"/>
          <w:sz w:val="24"/>
        </w:rPr>
        <w:t>、转托管：指基金份额持有人在本基金的不同销售机构之间实施的变更所持基金份额销售机构的操作</w:t>
      </w:r>
    </w:p>
    <w:p w14:paraId="37ED4072" w14:textId="672F5FAB"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w:t>
      </w:r>
      <w:r w:rsidR="003246BF">
        <w:rPr>
          <w:rFonts w:ascii="宋体" w:hAnsi="宋体"/>
          <w:sz w:val="24"/>
        </w:rPr>
        <w:t>6</w:t>
      </w:r>
      <w:r>
        <w:rPr>
          <w:rFonts w:ascii="宋体" w:hAnsi="宋体"/>
          <w:sz w:val="24"/>
        </w:rPr>
        <w:t>、定期定额投资计划：指投资人通过有关销售机构提出申请，约定每期申购日、扣款金额及扣款方式，由指定的销售机构在投资人指定银行账户内自动完成扣款并于每期约定的申购日受理基金申购申请的一种投资方式</w:t>
      </w:r>
    </w:p>
    <w:p w14:paraId="23CE2152" w14:textId="1F7613AA"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w:t>
      </w:r>
      <w:r w:rsidR="003246BF">
        <w:rPr>
          <w:rFonts w:ascii="宋体" w:hAnsi="宋体"/>
          <w:sz w:val="24"/>
        </w:rPr>
        <w:t>7</w:t>
      </w:r>
      <w:r>
        <w:rPr>
          <w:rFonts w:ascii="宋体" w:hAnsi="宋体"/>
          <w:sz w:val="24"/>
        </w:rPr>
        <w:t>、巨额赎回：指本基金单个开放日，基金净赎回申请（赎回申请份额总数加上基金转换中转出申请份额总数后扣除申购申请份额总数及基金转换中转入申请份额总数后的余额）超过上一开放日基金总份额的10%的情形</w:t>
      </w:r>
    </w:p>
    <w:p w14:paraId="35E0FA57" w14:textId="0FDD33DB"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w:t>
      </w:r>
      <w:r w:rsidR="003246BF">
        <w:rPr>
          <w:rFonts w:ascii="宋体" w:hAnsi="宋体"/>
          <w:sz w:val="24"/>
        </w:rPr>
        <w:t>8</w:t>
      </w:r>
      <w:r>
        <w:rPr>
          <w:rFonts w:ascii="宋体" w:hAnsi="宋体"/>
          <w:sz w:val="24"/>
        </w:rPr>
        <w:t>、元：指人民币元</w:t>
      </w:r>
    </w:p>
    <w:p w14:paraId="12F0B440" w14:textId="341B1CE5" w:rsidR="00FB4D29" w:rsidRDefault="003246BF">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49</w:t>
      </w:r>
      <w:r w:rsidR="00CF4592">
        <w:rPr>
          <w:rFonts w:ascii="宋体" w:hAnsi="宋体"/>
          <w:sz w:val="24"/>
        </w:rPr>
        <w:t>、基金收益：指基金投资所得红利、股息、债券利息、买卖证券价差、银行存款利息、已实现的其他合法收入及因运用基金财产带来的成本和费用的节约</w:t>
      </w:r>
    </w:p>
    <w:p w14:paraId="373FAA28" w14:textId="4A8DB65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w:t>
      </w:r>
      <w:r w:rsidR="003246BF">
        <w:rPr>
          <w:rFonts w:ascii="宋体" w:hAnsi="宋体"/>
          <w:sz w:val="24"/>
        </w:rPr>
        <w:t>0</w:t>
      </w:r>
      <w:r>
        <w:rPr>
          <w:rFonts w:ascii="宋体" w:hAnsi="宋体"/>
          <w:sz w:val="24"/>
        </w:rPr>
        <w:t>、基金资产总值：指基金拥有的各类有价证券、股指期货合约、银行存款本息、基金应收</w:t>
      </w:r>
      <w:r w:rsidR="00125E1E">
        <w:rPr>
          <w:rFonts w:ascii="宋体" w:hAnsi="宋体" w:hint="eastAsia"/>
          <w:sz w:val="24"/>
        </w:rPr>
        <w:t>款项</w:t>
      </w:r>
      <w:r>
        <w:rPr>
          <w:rFonts w:ascii="宋体" w:hAnsi="宋体"/>
          <w:sz w:val="24"/>
        </w:rPr>
        <w:t>及其他资产的价值总和</w:t>
      </w:r>
    </w:p>
    <w:p w14:paraId="206F8F22" w14:textId="3998FD66"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w:t>
      </w:r>
      <w:r w:rsidR="003246BF">
        <w:rPr>
          <w:rFonts w:ascii="宋体" w:hAnsi="宋体"/>
          <w:sz w:val="24"/>
        </w:rPr>
        <w:t>1</w:t>
      </w:r>
      <w:r>
        <w:rPr>
          <w:rFonts w:ascii="宋体" w:hAnsi="宋体"/>
          <w:sz w:val="24"/>
        </w:rPr>
        <w:t>、基金资产净值：指基金资产总值减去基金负债后的价值</w:t>
      </w:r>
    </w:p>
    <w:p w14:paraId="72D2D394" w14:textId="3D3E0B12"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w:t>
      </w:r>
      <w:r w:rsidR="003246BF">
        <w:rPr>
          <w:rFonts w:ascii="宋体" w:hAnsi="宋体"/>
          <w:sz w:val="24"/>
        </w:rPr>
        <w:t>2</w:t>
      </w:r>
      <w:r>
        <w:rPr>
          <w:rFonts w:ascii="宋体" w:hAnsi="宋体"/>
          <w:sz w:val="24"/>
        </w:rPr>
        <w:t>、基金份额净值：指计算日基金资产净值除以计算日基金份额总数</w:t>
      </w:r>
    </w:p>
    <w:p w14:paraId="1D0BD8DE" w14:textId="103B834A"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w:t>
      </w:r>
      <w:r w:rsidR="003246BF">
        <w:rPr>
          <w:rFonts w:ascii="宋体" w:hAnsi="宋体"/>
          <w:sz w:val="24"/>
        </w:rPr>
        <w:t>3</w:t>
      </w:r>
      <w:r>
        <w:rPr>
          <w:rFonts w:ascii="宋体" w:hAnsi="宋体"/>
          <w:sz w:val="24"/>
        </w:rPr>
        <w:t>、基金资产估值：指计算评估基金资产和负债的价值，以确定基金资产净值和基金份额净值的过程</w:t>
      </w:r>
    </w:p>
    <w:p w14:paraId="056F5CD5" w14:textId="77777777" w:rsidR="003246BF" w:rsidRPr="003246BF" w:rsidRDefault="003246BF" w:rsidP="003246BF">
      <w:pPr>
        <w:autoSpaceDE w:val="0"/>
        <w:autoSpaceDN w:val="0"/>
        <w:adjustRightInd w:val="0"/>
        <w:snapToGrid w:val="0"/>
        <w:spacing w:line="360" w:lineRule="auto"/>
        <w:ind w:firstLineChars="200" w:firstLine="480"/>
        <w:jc w:val="left"/>
        <w:rPr>
          <w:rFonts w:ascii="宋体" w:hAnsi="宋体"/>
          <w:sz w:val="24"/>
        </w:rPr>
      </w:pPr>
      <w:r w:rsidRPr="003246BF">
        <w:rPr>
          <w:rFonts w:ascii="宋体" w:hAnsi="宋体" w:hint="eastAsia"/>
          <w:sz w:val="24"/>
        </w:rPr>
        <w:t>54、港股通：指内地投资者委托内地证券公司，经由内地证券交易所在香港设立的证券交易服务公司，向香港联合交易所进行申报，买卖规定范围内的香港联合交易所上市的股票</w:t>
      </w:r>
    </w:p>
    <w:p w14:paraId="1C4900E4" w14:textId="77777777" w:rsidR="003246BF" w:rsidRPr="003246BF" w:rsidRDefault="003246BF" w:rsidP="003246BF">
      <w:pPr>
        <w:autoSpaceDE w:val="0"/>
        <w:autoSpaceDN w:val="0"/>
        <w:adjustRightInd w:val="0"/>
        <w:snapToGrid w:val="0"/>
        <w:spacing w:line="360" w:lineRule="auto"/>
        <w:ind w:firstLineChars="200" w:firstLine="480"/>
        <w:jc w:val="left"/>
        <w:rPr>
          <w:rFonts w:ascii="宋体" w:hAnsi="宋体"/>
          <w:sz w:val="24"/>
        </w:rPr>
      </w:pPr>
      <w:r w:rsidRPr="003246BF">
        <w:rPr>
          <w:rFonts w:ascii="宋体" w:hAnsi="宋体" w:hint="eastAsia"/>
          <w:sz w:val="24"/>
        </w:rPr>
        <w:t>55、销售服务费：指从基金财产中计提的，用于本基金市场推广、销售以及基金份额持有人服务的费用</w:t>
      </w:r>
    </w:p>
    <w:p w14:paraId="37B3F66E" w14:textId="4E02E482" w:rsidR="003246BF" w:rsidRPr="003246BF" w:rsidRDefault="003246BF" w:rsidP="003246BF">
      <w:pPr>
        <w:autoSpaceDE w:val="0"/>
        <w:autoSpaceDN w:val="0"/>
        <w:adjustRightInd w:val="0"/>
        <w:snapToGrid w:val="0"/>
        <w:spacing w:line="360" w:lineRule="auto"/>
        <w:ind w:firstLineChars="200" w:firstLine="480"/>
        <w:jc w:val="left"/>
        <w:rPr>
          <w:rFonts w:ascii="宋体" w:hAnsi="宋体"/>
          <w:sz w:val="24"/>
        </w:rPr>
      </w:pPr>
      <w:r w:rsidRPr="003246BF">
        <w:rPr>
          <w:rFonts w:ascii="宋体" w:hAnsi="宋体" w:hint="eastAsia"/>
          <w:sz w:val="24"/>
        </w:rPr>
        <w:t>56、A</w:t>
      </w:r>
      <w:r w:rsidR="00125E1E">
        <w:rPr>
          <w:rFonts w:ascii="宋体" w:hAnsi="宋体" w:hint="eastAsia"/>
          <w:sz w:val="24"/>
        </w:rPr>
        <w:t>类基金份额：指在投资人</w:t>
      </w:r>
      <w:r w:rsidRPr="003246BF">
        <w:rPr>
          <w:rFonts w:ascii="宋体" w:hAnsi="宋体" w:hint="eastAsia"/>
          <w:sz w:val="24"/>
        </w:rPr>
        <w:t>申购时收取申购费用、赎回时收取赎回费用</w:t>
      </w:r>
      <w:r w:rsidR="00A81CF9">
        <w:rPr>
          <w:rFonts w:ascii="宋体" w:hAnsi="宋体" w:hint="eastAsia"/>
          <w:sz w:val="24"/>
        </w:rPr>
        <w:t>，</w:t>
      </w:r>
      <w:r w:rsidRPr="003246BF">
        <w:rPr>
          <w:rFonts w:ascii="宋体" w:hAnsi="宋体" w:hint="eastAsia"/>
          <w:sz w:val="24"/>
        </w:rPr>
        <w:t>且不从本类别基金资产中计提销售服务费的基金份额</w:t>
      </w:r>
    </w:p>
    <w:p w14:paraId="1D092FB6" w14:textId="7F35E7EA" w:rsidR="003246BF" w:rsidRDefault="003246BF" w:rsidP="003246BF">
      <w:pPr>
        <w:autoSpaceDE w:val="0"/>
        <w:autoSpaceDN w:val="0"/>
        <w:adjustRightInd w:val="0"/>
        <w:snapToGrid w:val="0"/>
        <w:spacing w:line="360" w:lineRule="auto"/>
        <w:ind w:firstLineChars="200" w:firstLine="480"/>
        <w:jc w:val="left"/>
        <w:rPr>
          <w:rFonts w:ascii="宋体" w:hAnsi="宋体"/>
          <w:sz w:val="24"/>
        </w:rPr>
      </w:pPr>
      <w:r w:rsidRPr="003246BF">
        <w:rPr>
          <w:rFonts w:ascii="宋体" w:hAnsi="宋体" w:hint="eastAsia"/>
          <w:sz w:val="24"/>
        </w:rPr>
        <w:lastRenderedPageBreak/>
        <w:t>57、C</w:t>
      </w:r>
      <w:r w:rsidR="00125E1E">
        <w:rPr>
          <w:rFonts w:ascii="宋体" w:hAnsi="宋体" w:hint="eastAsia"/>
          <w:sz w:val="24"/>
        </w:rPr>
        <w:t>类基金份额：指在投资人</w:t>
      </w:r>
      <w:r w:rsidRPr="003246BF">
        <w:rPr>
          <w:rFonts w:ascii="宋体" w:hAnsi="宋体" w:hint="eastAsia"/>
          <w:sz w:val="24"/>
        </w:rPr>
        <w:t>申购时不收取申购费用、赎回时收取赎回费用，并从本类别基金资产中计提销售服务费的基金份额</w:t>
      </w:r>
    </w:p>
    <w:p w14:paraId="543E1682" w14:textId="6725ECD7" w:rsidR="003246BF" w:rsidRDefault="00CF4592">
      <w:pPr>
        <w:autoSpaceDE w:val="0"/>
        <w:autoSpaceDN w:val="0"/>
        <w:adjustRightInd w:val="0"/>
        <w:snapToGrid w:val="0"/>
        <w:spacing w:line="360" w:lineRule="auto"/>
        <w:ind w:firstLineChars="200" w:firstLine="480"/>
        <w:jc w:val="left"/>
        <w:rPr>
          <w:rFonts w:ascii="宋体" w:hAnsi="宋体"/>
          <w:sz w:val="24"/>
        </w:rPr>
      </w:pPr>
      <w:r>
        <w:rPr>
          <w:rFonts w:ascii="宋体" w:hAnsi="宋体"/>
          <w:sz w:val="24"/>
        </w:rPr>
        <w:t>5</w:t>
      </w:r>
      <w:r w:rsidR="003246BF">
        <w:rPr>
          <w:rFonts w:ascii="宋体" w:hAnsi="宋体"/>
          <w:sz w:val="24"/>
        </w:rPr>
        <w:t>8</w:t>
      </w:r>
      <w:r>
        <w:rPr>
          <w:rFonts w:ascii="宋体" w:hAnsi="宋体"/>
          <w:sz w:val="24"/>
        </w:rPr>
        <w:t>、</w:t>
      </w:r>
      <w:r w:rsidR="003246BF">
        <w:rPr>
          <w:rFonts w:ascii="宋体" w:hAnsi="宋体"/>
          <w:sz w:val="24"/>
        </w:rPr>
        <w:t>规定媒介</w:t>
      </w:r>
      <w:r>
        <w:rPr>
          <w:rFonts w:ascii="宋体" w:hAnsi="宋体"/>
          <w:sz w:val="24"/>
        </w:rPr>
        <w:t>：指</w:t>
      </w:r>
      <w:r w:rsidR="003246BF" w:rsidRPr="003246BF">
        <w:rPr>
          <w:rFonts w:ascii="宋体" w:hAnsi="宋体" w:hint="eastAsia"/>
          <w:sz w:val="24"/>
        </w:rPr>
        <w:t>符合中国证监会规定条件的用以进行信息披露的全国性报刊及《信息披露办法》规定的互联网网站（包括基金管理人网站、基金托管人网站、中国证监会基金电子披露网站）等媒介</w:t>
      </w:r>
    </w:p>
    <w:p w14:paraId="4AB7E469" w14:textId="280910CF" w:rsidR="003246BF" w:rsidRPr="003246BF" w:rsidRDefault="003246BF">
      <w:pPr>
        <w:autoSpaceDE w:val="0"/>
        <w:autoSpaceDN w:val="0"/>
        <w:adjustRightInd w:val="0"/>
        <w:snapToGrid w:val="0"/>
        <w:spacing w:line="360" w:lineRule="auto"/>
        <w:ind w:firstLineChars="200" w:firstLine="480"/>
        <w:jc w:val="left"/>
        <w:rPr>
          <w:rFonts w:ascii="宋体" w:hAnsi="宋体"/>
          <w:sz w:val="24"/>
        </w:rPr>
      </w:pPr>
      <w:r w:rsidRPr="003246BF">
        <w:rPr>
          <w:rFonts w:ascii="宋体" w:hAnsi="宋体" w:hint="eastAsia"/>
          <w:sz w:val="24"/>
        </w:rPr>
        <w:t>59、侧袋机制：指将基金投资组合中的特定资产从原有账户分离至一个专门账户进行处置清算，目的在于有效隔离并化解风险，确保投资者得到公平对待，属于流动性风险管理工具。侧袋机制实施期间，原有账户称为主袋账户，专门账户称为侧袋账户</w:t>
      </w:r>
    </w:p>
    <w:p w14:paraId="0BC26D10" w14:textId="0833E57E" w:rsidR="003246BF" w:rsidRPr="003246BF" w:rsidRDefault="003246BF" w:rsidP="003246BF">
      <w:pPr>
        <w:autoSpaceDE w:val="0"/>
        <w:autoSpaceDN w:val="0"/>
        <w:adjustRightInd w:val="0"/>
        <w:snapToGrid w:val="0"/>
        <w:spacing w:line="360" w:lineRule="auto"/>
        <w:ind w:firstLineChars="200" w:firstLine="480"/>
        <w:jc w:val="left"/>
        <w:rPr>
          <w:rFonts w:ascii="宋体" w:hAnsi="宋体"/>
          <w:sz w:val="24"/>
        </w:rPr>
      </w:pPr>
      <w:r w:rsidRPr="003246BF">
        <w:rPr>
          <w:rFonts w:ascii="宋体" w:hAnsi="宋体" w:hint="eastAsia"/>
          <w:sz w:val="24"/>
        </w:rPr>
        <w:t>6</w:t>
      </w:r>
      <w:r w:rsidR="00125E1E">
        <w:rPr>
          <w:rFonts w:ascii="宋体" w:hAnsi="宋体"/>
          <w:sz w:val="24"/>
        </w:rPr>
        <w:t>0</w:t>
      </w:r>
      <w:r w:rsidRPr="003246BF">
        <w:rPr>
          <w:rFonts w:ascii="宋体" w:hAnsi="宋体" w:hint="eastAsia"/>
          <w:sz w:val="24"/>
        </w:rPr>
        <w:t>、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p w14:paraId="03B23DC8" w14:textId="70A0FFE8" w:rsidR="00FB4D29" w:rsidRDefault="003246BF" w:rsidP="003246BF">
      <w:pPr>
        <w:autoSpaceDE w:val="0"/>
        <w:autoSpaceDN w:val="0"/>
        <w:adjustRightInd w:val="0"/>
        <w:snapToGrid w:val="0"/>
        <w:spacing w:line="360" w:lineRule="auto"/>
        <w:ind w:firstLineChars="200" w:firstLine="480"/>
        <w:jc w:val="left"/>
        <w:rPr>
          <w:rFonts w:ascii="宋体" w:hAnsi="宋体"/>
          <w:szCs w:val="24"/>
        </w:rPr>
      </w:pPr>
      <w:r w:rsidRPr="003246BF">
        <w:rPr>
          <w:rFonts w:ascii="宋体" w:hAnsi="宋体"/>
          <w:sz w:val="24"/>
        </w:rPr>
        <w:t>6</w:t>
      </w:r>
      <w:r w:rsidR="00125E1E">
        <w:rPr>
          <w:rFonts w:ascii="宋体" w:hAnsi="宋体"/>
          <w:sz w:val="24"/>
        </w:rPr>
        <w:t>1</w:t>
      </w:r>
      <w:r w:rsidR="00CF4592">
        <w:rPr>
          <w:rFonts w:ascii="宋体" w:hAnsi="宋体"/>
          <w:sz w:val="24"/>
        </w:rPr>
        <w:t>、不可抗力：指基金合同当事人不能预见、不能避免且不能克服的客观事件</w:t>
      </w:r>
    </w:p>
    <w:p w14:paraId="6684B743" w14:textId="77777777" w:rsidR="00AF2A34" w:rsidRDefault="00AF2A34" w:rsidP="00AF2A34">
      <w:pPr>
        <w:autoSpaceDE w:val="0"/>
        <w:autoSpaceDN w:val="0"/>
        <w:adjustRightInd w:val="0"/>
        <w:spacing w:line="360" w:lineRule="auto"/>
        <w:ind w:firstLineChars="200" w:firstLine="420"/>
        <w:rPr>
          <w:rFonts w:ascii="宋体" w:hAnsi="宋体"/>
          <w:szCs w:val="24"/>
        </w:rPr>
      </w:pPr>
    </w:p>
    <w:p w14:paraId="50A5048E" w14:textId="6B866409" w:rsidR="00FB4D29" w:rsidRDefault="00CF4592">
      <w:pPr>
        <w:pStyle w:val="1"/>
        <w:snapToGrid w:val="0"/>
        <w:spacing w:beforeLines="0" w:before="240" w:after="240"/>
        <w:rPr>
          <w:rFonts w:ascii="宋体" w:hAnsi="宋体"/>
          <w:szCs w:val="30"/>
        </w:rPr>
      </w:pPr>
      <w:r>
        <w:rPr>
          <w:rFonts w:ascii="宋体" w:hAnsi="宋体"/>
          <w:sz w:val="24"/>
        </w:rPr>
        <w:br w:type="page"/>
      </w:r>
      <w:bookmarkStart w:id="5" w:name="_Toc107476022"/>
      <w:r>
        <w:rPr>
          <w:rFonts w:ascii="Times New Roman" w:hAnsi="Times New Roman"/>
          <w:sz w:val="30"/>
        </w:rPr>
        <w:lastRenderedPageBreak/>
        <w:t>三、基金管理人</w:t>
      </w:r>
      <w:bookmarkEnd w:id="5"/>
    </w:p>
    <w:p w14:paraId="65ACAD1A"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（一）基金管理人概况</w:t>
      </w:r>
    </w:p>
    <w:p w14:paraId="2C799F67"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名称：交银施罗德基金管理有限公司</w:t>
      </w:r>
    </w:p>
    <w:p w14:paraId="50E50DE8"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住所：中国(上海)自由贸易试验区银城中路188号交通银行大楼二层（裙）</w:t>
      </w:r>
    </w:p>
    <w:p w14:paraId="7E534ECD"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办公地址：上海市浦东新区世纪大道8号国金中心二期21-22楼</w:t>
      </w:r>
    </w:p>
    <w:p w14:paraId="5D03004A"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邮政编码：200120</w:t>
      </w:r>
    </w:p>
    <w:p w14:paraId="572EED6D"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法定代表人：阮红</w:t>
      </w:r>
    </w:p>
    <w:p w14:paraId="3E574092"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成立时间：2005年8月4日</w:t>
      </w:r>
    </w:p>
    <w:p w14:paraId="3454EFF1"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注册资本：2亿元人民币</w:t>
      </w:r>
    </w:p>
    <w:p w14:paraId="3985AE4B"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存续期间：持续经营</w:t>
      </w:r>
    </w:p>
    <w:p w14:paraId="587C407F"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联系人：郭佳敏</w:t>
      </w:r>
    </w:p>
    <w:p w14:paraId="31C32C64"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电话：（021）61055050</w:t>
      </w:r>
    </w:p>
    <w:p w14:paraId="278AD385"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传真：（021）61055034</w:t>
      </w:r>
    </w:p>
    <w:p w14:paraId="13E14AF8"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交银施罗德基金管理有限公司（以下简称“公司”）经中国证监会证监基金字[2005]128号文批准设立。公司股权结构如下：</w:t>
      </w:r>
    </w:p>
    <w:tbl>
      <w:tblPr>
        <w:tblW w:w="5000" w:type="pct"/>
        <w:tblCellMar>
          <w:left w:w="0" w:type="dxa"/>
          <w:right w:w="0" w:type="dxa"/>
        </w:tblCellMar>
        <w:tblLook w:val="0000" w:firstRow="0" w:lastRow="0" w:firstColumn="0" w:lastColumn="0" w:noHBand="0" w:noVBand="0"/>
      </w:tblPr>
      <w:tblGrid>
        <w:gridCol w:w="4325"/>
        <w:gridCol w:w="4325"/>
      </w:tblGrid>
      <w:tr w:rsidR="00FB4D29" w14:paraId="1D685573" w14:textId="77777777">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14:paraId="4505C1AB" w14:textId="77777777" w:rsidR="00FB4D29" w:rsidRDefault="00CF4592">
            <w:pPr>
              <w:widowControl/>
              <w:snapToGrid w:val="0"/>
              <w:jc w:val="center"/>
              <w:rPr>
                <w:rFonts w:ascii="宋体" w:hAnsi="宋体"/>
                <w:color w:val="000000"/>
                <w:kern w:val="0"/>
                <w:sz w:val="25"/>
                <w:szCs w:val="24"/>
              </w:rPr>
            </w:pPr>
            <w:r>
              <w:rPr>
                <w:rFonts w:ascii="Times New Roman" w:hAnsi="Times New Roman"/>
                <w:color w:val="000000"/>
                <w:kern w:val="0"/>
                <w:sz w:val="25"/>
                <w:szCs w:val="24"/>
              </w:rPr>
              <w:t>股东名称</w:t>
            </w:r>
          </w:p>
        </w:tc>
        <w:tc>
          <w:tcPr>
            <w:tcW w:w="750" w:type="pct"/>
            <w:tcBorders>
              <w:top w:val="single" w:sz="4" w:space="0" w:color="auto"/>
              <w:left w:val="single" w:sz="4" w:space="0" w:color="auto"/>
              <w:bottom w:val="single" w:sz="4" w:space="0" w:color="auto"/>
              <w:right w:val="single" w:sz="4" w:space="0" w:color="auto"/>
            </w:tcBorders>
            <w:vAlign w:val="center"/>
          </w:tcPr>
          <w:p w14:paraId="08E39218" w14:textId="77777777" w:rsidR="00FB4D29" w:rsidRDefault="00CF4592">
            <w:pPr>
              <w:widowControl/>
              <w:snapToGrid w:val="0"/>
              <w:jc w:val="center"/>
              <w:rPr>
                <w:rFonts w:ascii="宋体" w:hAnsi="宋体"/>
                <w:color w:val="000000"/>
                <w:kern w:val="0"/>
                <w:sz w:val="25"/>
                <w:szCs w:val="24"/>
              </w:rPr>
            </w:pPr>
            <w:r>
              <w:rPr>
                <w:rFonts w:ascii="Times New Roman" w:hAnsi="Times New Roman"/>
                <w:color w:val="000000"/>
                <w:kern w:val="0"/>
                <w:sz w:val="25"/>
                <w:szCs w:val="24"/>
              </w:rPr>
              <w:t>股权比例</w:t>
            </w:r>
          </w:p>
        </w:tc>
      </w:tr>
      <w:tr w:rsidR="00FB4D29" w14:paraId="2EC8D88D" w14:textId="77777777">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14:paraId="46A2CF21"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交通银行股份有限公司（以下使用全称或其简称</w:t>
            </w:r>
            <w:r>
              <w:rPr>
                <w:rFonts w:ascii="Times New Roman" w:hAnsi="Times New Roman"/>
                <w:color w:val="000000"/>
                <w:kern w:val="0"/>
                <w:sz w:val="25"/>
                <w:szCs w:val="24"/>
              </w:rPr>
              <w:t>“</w:t>
            </w:r>
            <w:r>
              <w:rPr>
                <w:rFonts w:ascii="Times New Roman" w:hAnsi="Times New Roman"/>
                <w:color w:val="000000"/>
                <w:kern w:val="0"/>
                <w:sz w:val="25"/>
                <w:szCs w:val="24"/>
              </w:rPr>
              <w:t>交通银行</w:t>
            </w:r>
            <w:r>
              <w:rPr>
                <w:rFonts w:ascii="Times New Roman" w:hAnsi="Times New Roman"/>
                <w:color w:val="000000"/>
                <w:kern w:val="0"/>
                <w:sz w:val="25"/>
                <w:szCs w:val="24"/>
              </w:rPr>
              <w:t>”</w:t>
            </w:r>
            <w:r>
              <w:rPr>
                <w:rFonts w:ascii="Times New Roman" w:hAnsi="Times New Roman"/>
                <w:color w:val="000000"/>
                <w:kern w:val="0"/>
                <w:sz w:val="25"/>
                <w:szCs w:val="24"/>
              </w:rPr>
              <w:t>）</w:t>
            </w:r>
          </w:p>
        </w:tc>
        <w:tc>
          <w:tcPr>
            <w:tcW w:w="750" w:type="pct"/>
            <w:tcBorders>
              <w:top w:val="single" w:sz="4" w:space="0" w:color="auto"/>
              <w:left w:val="single" w:sz="4" w:space="0" w:color="auto"/>
              <w:bottom w:val="single" w:sz="4" w:space="0" w:color="auto"/>
              <w:right w:val="single" w:sz="4" w:space="0" w:color="auto"/>
            </w:tcBorders>
            <w:vAlign w:val="center"/>
          </w:tcPr>
          <w:p w14:paraId="6EF10139" w14:textId="77777777" w:rsidR="00FB4D29" w:rsidRDefault="00CF4592">
            <w:pPr>
              <w:widowControl/>
              <w:snapToGrid w:val="0"/>
              <w:jc w:val="center"/>
              <w:rPr>
                <w:rFonts w:ascii="宋体" w:hAnsi="宋体"/>
                <w:color w:val="000000"/>
                <w:kern w:val="0"/>
                <w:sz w:val="25"/>
                <w:szCs w:val="24"/>
              </w:rPr>
            </w:pPr>
            <w:r>
              <w:rPr>
                <w:rFonts w:ascii="Times New Roman" w:hAnsi="Times New Roman"/>
                <w:color w:val="000000"/>
                <w:kern w:val="0"/>
                <w:sz w:val="25"/>
                <w:szCs w:val="24"/>
              </w:rPr>
              <w:t>65%</w:t>
            </w:r>
          </w:p>
        </w:tc>
      </w:tr>
      <w:tr w:rsidR="00FB4D29" w14:paraId="7EC3655D" w14:textId="77777777">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14:paraId="6A2861FA"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施罗德投资管理有限公司</w:t>
            </w:r>
          </w:p>
        </w:tc>
        <w:tc>
          <w:tcPr>
            <w:tcW w:w="750" w:type="pct"/>
            <w:tcBorders>
              <w:top w:val="single" w:sz="4" w:space="0" w:color="auto"/>
              <w:left w:val="single" w:sz="4" w:space="0" w:color="auto"/>
              <w:bottom w:val="single" w:sz="4" w:space="0" w:color="auto"/>
              <w:right w:val="single" w:sz="4" w:space="0" w:color="auto"/>
            </w:tcBorders>
            <w:vAlign w:val="center"/>
          </w:tcPr>
          <w:p w14:paraId="2A439BF9" w14:textId="77777777" w:rsidR="00FB4D29" w:rsidRDefault="00CF4592">
            <w:pPr>
              <w:widowControl/>
              <w:snapToGrid w:val="0"/>
              <w:jc w:val="center"/>
              <w:rPr>
                <w:rFonts w:ascii="宋体" w:hAnsi="宋体"/>
                <w:color w:val="000000"/>
                <w:kern w:val="0"/>
                <w:sz w:val="25"/>
                <w:szCs w:val="24"/>
              </w:rPr>
            </w:pPr>
            <w:r>
              <w:rPr>
                <w:rFonts w:ascii="Times New Roman" w:hAnsi="Times New Roman"/>
                <w:color w:val="000000"/>
                <w:kern w:val="0"/>
                <w:sz w:val="25"/>
                <w:szCs w:val="24"/>
              </w:rPr>
              <w:t>30%</w:t>
            </w:r>
          </w:p>
        </w:tc>
      </w:tr>
      <w:tr w:rsidR="00FB4D29" w14:paraId="231AA427" w14:textId="77777777">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14:paraId="29148CAF"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中国国际海运集装箱（集团）股份有限公司</w:t>
            </w:r>
          </w:p>
        </w:tc>
        <w:tc>
          <w:tcPr>
            <w:tcW w:w="750" w:type="pct"/>
            <w:tcBorders>
              <w:top w:val="single" w:sz="4" w:space="0" w:color="auto"/>
              <w:left w:val="single" w:sz="4" w:space="0" w:color="auto"/>
              <w:bottom w:val="single" w:sz="4" w:space="0" w:color="auto"/>
              <w:right w:val="single" w:sz="4" w:space="0" w:color="auto"/>
            </w:tcBorders>
            <w:vAlign w:val="center"/>
          </w:tcPr>
          <w:p w14:paraId="1465DEA2" w14:textId="77777777" w:rsidR="00FB4D29" w:rsidRDefault="00CF4592">
            <w:pPr>
              <w:widowControl/>
              <w:snapToGrid w:val="0"/>
              <w:jc w:val="center"/>
              <w:rPr>
                <w:rFonts w:ascii="宋体" w:hAnsi="宋体"/>
                <w:color w:val="000000"/>
                <w:kern w:val="0"/>
                <w:sz w:val="25"/>
                <w:szCs w:val="24"/>
              </w:rPr>
            </w:pPr>
            <w:r>
              <w:rPr>
                <w:rFonts w:ascii="Times New Roman" w:hAnsi="Times New Roman"/>
                <w:color w:val="000000"/>
                <w:kern w:val="0"/>
                <w:sz w:val="25"/>
                <w:szCs w:val="24"/>
              </w:rPr>
              <w:t>5%</w:t>
            </w:r>
          </w:p>
        </w:tc>
      </w:tr>
    </w:tbl>
    <w:p w14:paraId="50182197" w14:textId="77777777" w:rsidR="00FB4D29" w:rsidRDefault="00FB4D29">
      <w:pPr>
        <w:autoSpaceDE w:val="0"/>
        <w:autoSpaceDN w:val="0"/>
        <w:adjustRightInd w:val="0"/>
        <w:snapToGrid w:val="0"/>
        <w:spacing w:line="360" w:lineRule="auto"/>
        <w:ind w:firstLineChars="200" w:firstLine="420"/>
        <w:jc w:val="left"/>
        <w:rPr>
          <w:rFonts w:ascii="宋体" w:hAnsi="宋体"/>
          <w:szCs w:val="24"/>
        </w:rPr>
      </w:pPr>
    </w:p>
    <w:p w14:paraId="48CD8B40" w14:textId="77777777" w:rsidR="00FB4D29" w:rsidRDefault="00FB4D29">
      <w:pPr>
        <w:autoSpaceDE w:val="0"/>
        <w:autoSpaceDN w:val="0"/>
        <w:adjustRightInd w:val="0"/>
        <w:snapToGrid w:val="0"/>
        <w:spacing w:line="360" w:lineRule="auto"/>
        <w:ind w:firstLineChars="200" w:firstLine="420"/>
        <w:jc w:val="left"/>
        <w:rPr>
          <w:rFonts w:ascii="宋体" w:hAnsi="宋体"/>
          <w:szCs w:val="24"/>
        </w:rPr>
      </w:pPr>
    </w:p>
    <w:p w14:paraId="1063F796"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（二）主要成员情况</w:t>
      </w:r>
    </w:p>
    <w:p w14:paraId="4DB25395" w14:textId="77777777" w:rsidR="004E1592" w:rsidRPr="002C1FF7" w:rsidRDefault="004E1592" w:rsidP="004E1592">
      <w:pPr>
        <w:autoSpaceDE w:val="0"/>
        <w:autoSpaceDN w:val="0"/>
        <w:adjustRightInd w:val="0"/>
        <w:snapToGrid w:val="0"/>
        <w:spacing w:line="360" w:lineRule="auto"/>
        <w:ind w:firstLineChars="200" w:firstLine="480"/>
        <w:jc w:val="left"/>
        <w:rPr>
          <w:rFonts w:ascii="宋体" w:hAnsi="宋体"/>
          <w:sz w:val="24"/>
        </w:rPr>
      </w:pPr>
      <w:r>
        <w:rPr>
          <w:rFonts w:ascii="宋体" w:hAnsi="宋体"/>
          <w:sz w:val="24"/>
        </w:rPr>
        <w:t>1、基金管理人董事会成员</w:t>
      </w:r>
    </w:p>
    <w:p w14:paraId="4D3D4E60" w14:textId="77777777" w:rsidR="004E1592" w:rsidRPr="002C1FF7" w:rsidRDefault="004E1592" w:rsidP="002C1FF7">
      <w:pPr>
        <w:autoSpaceDE w:val="0"/>
        <w:autoSpaceDN w:val="0"/>
        <w:adjustRightInd w:val="0"/>
        <w:snapToGrid w:val="0"/>
        <w:spacing w:line="360" w:lineRule="auto"/>
        <w:ind w:firstLineChars="200" w:firstLine="480"/>
        <w:jc w:val="left"/>
        <w:rPr>
          <w:rFonts w:ascii="宋体" w:hAnsi="宋体"/>
          <w:sz w:val="24"/>
        </w:rPr>
      </w:pPr>
      <w:r w:rsidRPr="002C1FF7">
        <w:rPr>
          <w:rFonts w:ascii="宋体" w:hAnsi="宋体" w:hint="eastAsia"/>
          <w:sz w:val="24"/>
        </w:rPr>
        <w:t>阮红女士，董事长，博士。历任交通银行办公室副处长、处长，交通银行海外机构管理部副总经理、总经理，交通银行上海分行副行长，交通银行资产托管部总经理，交通银行投资管理部总经理，交银施罗德基金管理有限公司总经理。</w:t>
      </w:r>
    </w:p>
    <w:p w14:paraId="43F48B25" w14:textId="77777777" w:rsidR="004E1592" w:rsidRPr="002C1FF7" w:rsidRDefault="004E1592" w:rsidP="002C1FF7">
      <w:pPr>
        <w:autoSpaceDE w:val="0"/>
        <w:autoSpaceDN w:val="0"/>
        <w:adjustRightInd w:val="0"/>
        <w:snapToGrid w:val="0"/>
        <w:spacing w:line="360" w:lineRule="auto"/>
        <w:ind w:firstLineChars="200" w:firstLine="480"/>
        <w:jc w:val="left"/>
        <w:rPr>
          <w:rFonts w:ascii="宋体" w:hAnsi="宋体"/>
          <w:sz w:val="24"/>
        </w:rPr>
      </w:pPr>
      <w:r w:rsidRPr="002C1FF7">
        <w:rPr>
          <w:rFonts w:ascii="宋体" w:hAnsi="宋体" w:hint="eastAsia"/>
          <w:sz w:val="24"/>
        </w:rPr>
        <w:t>童洁萍女士，董事，硕士。现任交通银行个人金融业务部副总经理。历任交通银行南京分行个人金融业务部副高级经理，江苏省分行个人金融业务部副总经理、总经理，江苏省分行玄武支行行长。</w:t>
      </w:r>
    </w:p>
    <w:p w14:paraId="178AF538" w14:textId="77777777" w:rsidR="004E1592" w:rsidRPr="002C1FF7" w:rsidRDefault="004E1592" w:rsidP="002C1FF7">
      <w:pPr>
        <w:autoSpaceDE w:val="0"/>
        <w:autoSpaceDN w:val="0"/>
        <w:adjustRightInd w:val="0"/>
        <w:snapToGrid w:val="0"/>
        <w:spacing w:line="360" w:lineRule="auto"/>
        <w:ind w:firstLineChars="200" w:firstLine="480"/>
        <w:jc w:val="left"/>
        <w:rPr>
          <w:rFonts w:ascii="宋体" w:hAnsi="宋体"/>
          <w:sz w:val="24"/>
        </w:rPr>
      </w:pPr>
      <w:r w:rsidRPr="002C1FF7">
        <w:rPr>
          <w:rFonts w:ascii="宋体" w:hAnsi="宋体" w:hint="eastAsia"/>
          <w:sz w:val="24"/>
        </w:rPr>
        <w:lastRenderedPageBreak/>
        <w:t>王贤家先生，董事，学士。现任交通银行风险管理部</w:t>
      </w:r>
      <w:r w:rsidRPr="002C1FF7">
        <w:rPr>
          <w:rFonts w:ascii="宋体" w:hAnsi="宋体"/>
          <w:sz w:val="24"/>
        </w:rPr>
        <w:t>/</w:t>
      </w:r>
      <w:r w:rsidRPr="002C1FF7">
        <w:rPr>
          <w:rFonts w:ascii="宋体" w:hAnsi="宋体" w:hint="eastAsia"/>
          <w:sz w:val="24"/>
        </w:rPr>
        <w:t>内控案防办</w:t>
      </w:r>
      <w:r w:rsidRPr="002C1FF7">
        <w:rPr>
          <w:rFonts w:ascii="宋体" w:hAnsi="宋体"/>
          <w:sz w:val="24"/>
        </w:rPr>
        <w:t xml:space="preserve"> </w:t>
      </w:r>
      <w:r w:rsidRPr="002C1FF7">
        <w:rPr>
          <w:rFonts w:ascii="宋体" w:hAnsi="宋体" w:hint="eastAsia"/>
          <w:sz w:val="24"/>
        </w:rPr>
        <w:t>副总经理。历任交通银行国际业务部外汇资金处交易员，澳门分行资金部主管，总行金融市场部债券投资部副高级经理、外汇交易部高级经理。</w:t>
      </w:r>
    </w:p>
    <w:p w14:paraId="48EE129A" w14:textId="77777777" w:rsidR="004E1592" w:rsidRPr="002C1FF7" w:rsidRDefault="004E1592" w:rsidP="002C1FF7">
      <w:pPr>
        <w:autoSpaceDE w:val="0"/>
        <w:autoSpaceDN w:val="0"/>
        <w:adjustRightInd w:val="0"/>
        <w:snapToGrid w:val="0"/>
        <w:spacing w:line="360" w:lineRule="auto"/>
        <w:ind w:firstLineChars="200" w:firstLine="480"/>
        <w:jc w:val="left"/>
        <w:rPr>
          <w:rFonts w:ascii="宋体" w:hAnsi="宋体"/>
          <w:sz w:val="24"/>
        </w:rPr>
      </w:pPr>
      <w:r w:rsidRPr="002C1FF7">
        <w:rPr>
          <w:rFonts w:ascii="宋体" w:hAnsi="宋体" w:hint="eastAsia"/>
          <w:sz w:val="24"/>
        </w:rPr>
        <w:t>谢卫先生，董事，总经理，代任首席信息官，博士，高级经济师，民盟中央委员、全国政协委员。现任交银施罗德基金管理有限公司总经理，兼任交银施罗德资产管理</w:t>
      </w:r>
      <w:r w:rsidRPr="002C1FF7">
        <w:rPr>
          <w:rFonts w:ascii="宋体" w:hAnsi="宋体"/>
          <w:sz w:val="24"/>
        </w:rPr>
        <w:t>(</w:t>
      </w:r>
      <w:r w:rsidRPr="002C1FF7">
        <w:rPr>
          <w:rFonts w:ascii="宋体" w:hAnsi="宋体" w:hint="eastAsia"/>
          <w:sz w:val="24"/>
        </w:rPr>
        <w:t>香港</w:t>
      </w:r>
      <w:r w:rsidRPr="002C1FF7">
        <w:rPr>
          <w:rFonts w:ascii="宋体" w:hAnsi="宋体"/>
          <w:sz w:val="24"/>
        </w:rPr>
        <w:t>)</w:t>
      </w:r>
      <w:r w:rsidRPr="002C1FF7">
        <w:rPr>
          <w:rFonts w:ascii="宋体" w:hAnsi="宋体" w:hint="eastAsia"/>
          <w:sz w:val="24"/>
        </w:rPr>
        <w:t>有限公司董事长。历任中央财经大学教师，中国社会科学院财贸所助理研究员，中国电力信托投资公司基金部副总经理，中国人保信托投资公司证券部副总经理、总经理，北京证券营业部总经理、证券总部副总经理兼北方部总经理，富国基金管理有限公司副总经理，交银施罗德基金管理有限公司副总经理。</w:t>
      </w:r>
    </w:p>
    <w:p w14:paraId="704C6CB1" w14:textId="77777777" w:rsidR="004E1592" w:rsidRPr="002C1FF7" w:rsidRDefault="004E1592" w:rsidP="002C1FF7">
      <w:pPr>
        <w:autoSpaceDE w:val="0"/>
        <w:autoSpaceDN w:val="0"/>
        <w:adjustRightInd w:val="0"/>
        <w:snapToGrid w:val="0"/>
        <w:spacing w:line="360" w:lineRule="auto"/>
        <w:ind w:firstLineChars="200" w:firstLine="480"/>
        <w:jc w:val="left"/>
        <w:rPr>
          <w:rFonts w:ascii="宋体" w:hAnsi="宋体"/>
          <w:sz w:val="24"/>
        </w:rPr>
      </w:pPr>
      <w:r w:rsidRPr="002C1FF7">
        <w:rPr>
          <w:rFonts w:ascii="宋体" w:hAnsi="宋体" w:hint="eastAsia"/>
          <w:sz w:val="24"/>
        </w:rPr>
        <w:t>李定邦（</w:t>
      </w:r>
      <w:r w:rsidRPr="002C1FF7">
        <w:rPr>
          <w:rFonts w:ascii="宋体" w:hAnsi="宋体"/>
          <w:sz w:val="24"/>
        </w:rPr>
        <w:t>Lieven Debruyne</w:t>
      </w:r>
      <w:r w:rsidRPr="002C1FF7">
        <w:rPr>
          <w:rFonts w:ascii="宋体" w:hAnsi="宋体" w:hint="eastAsia"/>
          <w:sz w:val="24"/>
        </w:rPr>
        <w:t>）先生，董事，硕士。现任施罗德集团全球业务总裁，担任集团管理委员会成员。历任施罗德投资管理有限公司亚洲投资产品总监、亚太区行政总裁、施罗德投资管理（香港）有限公司行政总裁兼亚太区基金业务拓展总监。</w:t>
      </w:r>
    </w:p>
    <w:p w14:paraId="3EF2BED5" w14:textId="77777777" w:rsidR="004E1592" w:rsidRPr="002C1FF7" w:rsidRDefault="004E1592" w:rsidP="002C1FF7">
      <w:pPr>
        <w:autoSpaceDE w:val="0"/>
        <w:autoSpaceDN w:val="0"/>
        <w:adjustRightInd w:val="0"/>
        <w:snapToGrid w:val="0"/>
        <w:spacing w:line="360" w:lineRule="auto"/>
        <w:ind w:firstLineChars="200" w:firstLine="480"/>
        <w:jc w:val="left"/>
        <w:rPr>
          <w:rFonts w:ascii="宋体" w:hAnsi="宋体"/>
          <w:sz w:val="24"/>
        </w:rPr>
      </w:pPr>
      <w:r w:rsidRPr="002C1FF7">
        <w:rPr>
          <w:rFonts w:ascii="宋体" w:hAnsi="宋体" w:hint="eastAsia"/>
          <w:sz w:val="24"/>
        </w:rPr>
        <w:t>章骏翔先生，副董事长，硕士，美国特许金融分析师</w:t>
      </w:r>
      <w:r w:rsidRPr="002C1FF7">
        <w:rPr>
          <w:rFonts w:ascii="宋体" w:hAnsi="宋体"/>
          <w:sz w:val="24"/>
        </w:rPr>
        <w:t>(CFA)</w:t>
      </w:r>
      <w:r w:rsidRPr="002C1FF7">
        <w:rPr>
          <w:rFonts w:ascii="宋体" w:hAnsi="宋体" w:hint="eastAsia"/>
          <w:sz w:val="24"/>
        </w:rPr>
        <w:t>持证人。现任施罗德投资管理</w:t>
      </w:r>
      <w:r w:rsidRPr="002C1FF7">
        <w:rPr>
          <w:rFonts w:ascii="宋体" w:hAnsi="宋体"/>
          <w:sz w:val="24"/>
        </w:rPr>
        <w:t>(</w:t>
      </w:r>
      <w:r w:rsidRPr="002C1FF7">
        <w:rPr>
          <w:rFonts w:ascii="宋体" w:hAnsi="宋体" w:hint="eastAsia"/>
          <w:sz w:val="24"/>
        </w:rPr>
        <w:t>香港</w:t>
      </w:r>
      <w:r w:rsidRPr="002C1FF7">
        <w:rPr>
          <w:rFonts w:ascii="宋体" w:hAnsi="宋体"/>
          <w:sz w:val="24"/>
        </w:rPr>
        <w:t>)</w:t>
      </w:r>
      <w:r w:rsidRPr="002C1FF7">
        <w:rPr>
          <w:rFonts w:ascii="宋体" w:hAnsi="宋体" w:hint="eastAsia"/>
          <w:sz w:val="24"/>
        </w:rPr>
        <w:t>有限公司亚洲投资风险主管。历任渣打银行（香港）交易风险监控，华宝兴业基金管理有限公司风险管理部总经理，法国安盛投资管理（香港）有限公司亚洲风险经理等职。</w:t>
      </w:r>
    </w:p>
    <w:p w14:paraId="018FC707" w14:textId="77777777" w:rsidR="004E1592" w:rsidRPr="002C1FF7" w:rsidRDefault="004E1592" w:rsidP="002C1FF7">
      <w:pPr>
        <w:autoSpaceDE w:val="0"/>
        <w:autoSpaceDN w:val="0"/>
        <w:adjustRightInd w:val="0"/>
        <w:snapToGrid w:val="0"/>
        <w:spacing w:line="360" w:lineRule="auto"/>
        <w:ind w:firstLineChars="200" w:firstLine="480"/>
        <w:jc w:val="left"/>
        <w:rPr>
          <w:rFonts w:ascii="宋体" w:hAnsi="宋体"/>
          <w:sz w:val="24"/>
        </w:rPr>
      </w:pPr>
      <w:r w:rsidRPr="002C1FF7">
        <w:rPr>
          <w:rFonts w:ascii="宋体" w:hAnsi="宋体" w:hint="eastAsia"/>
          <w:sz w:val="24"/>
        </w:rPr>
        <w:t>郝爱群女士，独立董事，学士。历任人民银行稽核司副处长、处长，合作司调研员，非银司副巡视员、副司长，银监会非银部副主任，银行监管一部副主任、巡视员，汇金公司派出董事。</w:t>
      </w:r>
    </w:p>
    <w:p w14:paraId="03D2FC43" w14:textId="77777777" w:rsidR="004E1592" w:rsidRPr="002C1FF7" w:rsidRDefault="004E1592" w:rsidP="002C1FF7">
      <w:pPr>
        <w:autoSpaceDE w:val="0"/>
        <w:autoSpaceDN w:val="0"/>
        <w:adjustRightInd w:val="0"/>
        <w:snapToGrid w:val="0"/>
        <w:spacing w:line="360" w:lineRule="auto"/>
        <w:ind w:firstLineChars="200" w:firstLine="480"/>
        <w:jc w:val="left"/>
        <w:rPr>
          <w:rFonts w:ascii="宋体" w:hAnsi="宋体"/>
          <w:sz w:val="24"/>
        </w:rPr>
      </w:pPr>
      <w:r w:rsidRPr="002C1FF7">
        <w:rPr>
          <w:rFonts w:ascii="宋体" w:hAnsi="宋体" w:hint="eastAsia"/>
          <w:sz w:val="24"/>
        </w:rPr>
        <w:t>张子学先生，独立董事，博士。现任中国政法大学民商经济法学院教授，兼任基金业协会自律监察委员会委员。历任证监会办公厅副处长、上市公司监管部处长、行政处罚委员会专职委员、副主任审理员，兼任证监会上市公司并购重组审核委员会委员、行政复议委员会委员。</w:t>
      </w:r>
    </w:p>
    <w:p w14:paraId="502449F7" w14:textId="77777777" w:rsidR="004E1592" w:rsidRPr="002C1FF7" w:rsidRDefault="004E1592" w:rsidP="002C1FF7">
      <w:pPr>
        <w:autoSpaceDE w:val="0"/>
        <w:autoSpaceDN w:val="0"/>
        <w:adjustRightInd w:val="0"/>
        <w:snapToGrid w:val="0"/>
        <w:spacing w:line="360" w:lineRule="auto"/>
        <w:ind w:firstLineChars="200" w:firstLine="480"/>
        <w:jc w:val="left"/>
        <w:rPr>
          <w:rFonts w:ascii="宋体" w:hAnsi="宋体"/>
          <w:sz w:val="24"/>
        </w:rPr>
      </w:pPr>
      <w:r w:rsidRPr="002C1FF7">
        <w:rPr>
          <w:rFonts w:ascii="宋体" w:hAnsi="宋体" w:hint="eastAsia"/>
          <w:sz w:val="24"/>
        </w:rPr>
        <w:t>黎建强先生，独立董事，博士，教育部长江学者讲座教授。现任香港大学工业工程系荣誉教授，亚洲风险及危机管理协会主席，兼任深交所上市的中联重科集团独立非执行董事。历任香港城市大学管理科学讲座教授，湖南省政协委员并兼任湖南大学工商管理学院院长。</w:t>
      </w:r>
    </w:p>
    <w:p w14:paraId="1B3673D7" w14:textId="77777777" w:rsidR="004E1592" w:rsidRPr="002C1FF7" w:rsidRDefault="004E1592" w:rsidP="002C1FF7">
      <w:pPr>
        <w:autoSpaceDE w:val="0"/>
        <w:autoSpaceDN w:val="0"/>
        <w:adjustRightInd w:val="0"/>
        <w:snapToGrid w:val="0"/>
        <w:spacing w:line="360" w:lineRule="auto"/>
        <w:ind w:firstLineChars="200" w:firstLine="480"/>
        <w:jc w:val="left"/>
        <w:rPr>
          <w:rFonts w:ascii="宋体" w:hAnsi="宋体"/>
          <w:sz w:val="24"/>
        </w:rPr>
      </w:pPr>
      <w:r w:rsidRPr="002C1FF7">
        <w:rPr>
          <w:rFonts w:ascii="宋体" w:hAnsi="宋体"/>
          <w:sz w:val="24"/>
        </w:rPr>
        <w:t>2</w:t>
      </w:r>
      <w:r w:rsidRPr="002C1FF7">
        <w:rPr>
          <w:rFonts w:ascii="宋体" w:hAnsi="宋体" w:hint="eastAsia"/>
          <w:sz w:val="24"/>
        </w:rPr>
        <w:t>、基金管理人监事会成员</w:t>
      </w:r>
    </w:p>
    <w:p w14:paraId="1306B0F0" w14:textId="77777777" w:rsidR="004E1592" w:rsidRPr="002C1FF7" w:rsidRDefault="004E1592" w:rsidP="002C1FF7">
      <w:pPr>
        <w:autoSpaceDE w:val="0"/>
        <w:autoSpaceDN w:val="0"/>
        <w:adjustRightInd w:val="0"/>
        <w:snapToGrid w:val="0"/>
        <w:spacing w:line="360" w:lineRule="auto"/>
        <w:ind w:firstLineChars="200" w:firstLine="480"/>
        <w:jc w:val="left"/>
        <w:rPr>
          <w:rFonts w:ascii="宋体" w:hAnsi="宋体"/>
          <w:sz w:val="24"/>
        </w:rPr>
      </w:pPr>
      <w:r w:rsidRPr="002C1FF7">
        <w:rPr>
          <w:rFonts w:ascii="宋体" w:hAnsi="宋体" w:hint="eastAsia"/>
          <w:sz w:val="24"/>
        </w:rPr>
        <w:t>梅津芝女士，监事长，学士。高级经济师、审计师。现任交通银行工会办公室</w:t>
      </w:r>
      <w:r w:rsidRPr="002C1FF7">
        <w:rPr>
          <w:rFonts w:ascii="宋体" w:hAnsi="宋体" w:hint="eastAsia"/>
          <w:sz w:val="24"/>
        </w:rPr>
        <w:lastRenderedPageBreak/>
        <w:t>主任。历任交通银行山西省分行个人金融业务部高级经理，交通银行山西省分行副行长，交通银行个人金融业务部副总经理，交通银行私人银行部总经理。</w:t>
      </w:r>
    </w:p>
    <w:p w14:paraId="02BE92A6" w14:textId="77777777" w:rsidR="004E1592" w:rsidRPr="002C1FF7" w:rsidRDefault="004E1592" w:rsidP="002C1FF7">
      <w:pPr>
        <w:autoSpaceDE w:val="0"/>
        <w:autoSpaceDN w:val="0"/>
        <w:adjustRightInd w:val="0"/>
        <w:snapToGrid w:val="0"/>
        <w:spacing w:line="360" w:lineRule="auto"/>
        <w:ind w:firstLineChars="200" w:firstLine="480"/>
        <w:jc w:val="left"/>
        <w:rPr>
          <w:rFonts w:ascii="宋体" w:hAnsi="宋体"/>
          <w:sz w:val="24"/>
        </w:rPr>
      </w:pPr>
      <w:r w:rsidRPr="002C1FF7">
        <w:rPr>
          <w:rFonts w:ascii="宋体" w:hAnsi="宋体" w:hint="eastAsia"/>
          <w:sz w:val="24"/>
        </w:rPr>
        <w:t>林凯珊女士，监事，硕士。现任施罗德投资管理（香港）有限公司中国内地及中国香港法律部主管。历任香港证券及期货事务监察委员会发牌科经理，的近律师行律师。</w:t>
      </w:r>
    </w:p>
    <w:p w14:paraId="640CAB44" w14:textId="77777777" w:rsidR="004E1592" w:rsidRPr="002C1FF7" w:rsidRDefault="004E1592" w:rsidP="002C1FF7">
      <w:pPr>
        <w:autoSpaceDE w:val="0"/>
        <w:autoSpaceDN w:val="0"/>
        <w:adjustRightInd w:val="0"/>
        <w:snapToGrid w:val="0"/>
        <w:spacing w:line="360" w:lineRule="auto"/>
        <w:ind w:firstLineChars="200" w:firstLine="480"/>
        <w:jc w:val="left"/>
        <w:rPr>
          <w:rFonts w:ascii="宋体" w:hAnsi="宋体"/>
          <w:sz w:val="24"/>
        </w:rPr>
      </w:pPr>
      <w:r w:rsidRPr="002C1FF7">
        <w:rPr>
          <w:rFonts w:ascii="宋体" w:hAnsi="宋体" w:hint="eastAsia"/>
          <w:sz w:val="24"/>
        </w:rPr>
        <w:t>刘峥先生，监事，硕士。现任交银施罗德基金管理有限公司综合管理部总经理。历任交通银行上海市分行管理培训生，交通银行战略投资部高级投资并购经理，交银施罗德基金管理有限公司总裁办公室高级综合管理经理、副总经理。</w:t>
      </w:r>
    </w:p>
    <w:p w14:paraId="55133C0D" w14:textId="77777777" w:rsidR="004E1592" w:rsidRPr="002C1FF7" w:rsidRDefault="004E1592" w:rsidP="002C1FF7">
      <w:pPr>
        <w:autoSpaceDE w:val="0"/>
        <w:autoSpaceDN w:val="0"/>
        <w:adjustRightInd w:val="0"/>
        <w:snapToGrid w:val="0"/>
        <w:spacing w:line="360" w:lineRule="auto"/>
        <w:ind w:firstLineChars="200" w:firstLine="480"/>
        <w:jc w:val="left"/>
        <w:rPr>
          <w:rFonts w:ascii="宋体" w:hAnsi="宋体"/>
          <w:sz w:val="24"/>
        </w:rPr>
      </w:pPr>
      <w:r w:rsidRPr="002C1FF7">
        <w:rPr>
          <w:rFonts w:ascii="宋体" w:hAnsi="宋体" w:hint="eastAsia"/>
          <w:sz w:val="24"/>
        </w:rPr>
        <w:t>黄伟峰先生，监事，硕士。现任交银施罗德基金管理有限公司市场总监。历任平安人寿保险公司上海分公司行政督导、营销管理经理，交银施罗德基金管理有限公司行政部总经理助理、西部营销中心总经理、机构理财部（上海）总经理兼产品开发部总经理。</w:t>
      </w:r>
    </w:p>
    <w:p w14:paraId="5DF3A23A" w14:textId="77777777" w:rsidR="004E1592" w:rsidRPr="002C1FF7" w:rsidRDefault="004E1592" w:rsidP="002C1FF7">
      <w:pPr>
        <w:autoSpaceDE w:val="0"/>
        <w:autoSpaceDN w:val="0"/>
        <w:adjustRightInd w:val="0"/>
        <w:snapToGrid w:val="0"/>
        <w:spacing w:line="360" w:lineRule="auto"/>
        <w:ind w:firstLineChars="200" w:firstLine="480"/>
        <w:jc w:val="left"/>
        <w:rPr>
          <w:rFonts w:ascii="宋体" w:hAnsi="宋体"/>
          <w:sz w:val="24"/>
        </w:rPr>
      </w:pPr>
      <w:r w:rsidRPr="002C1FF7">
        <w:rPr>
          <w:rFonts w:ascii="宋体" w:hAnsi="宋体"/>
          <w:sz w:val="24"/>
        </w:rPr>
        <w:t>3</w:t>
      </w:r>
      <w:r w:rsidRPr="002C1FF7">
        <w:rPr>
          <w:rFonts w:ascii="宋体" w:hAnsi="宋体" w:hint="eastAsia"/>
          <w:sz w:val="24"/>
        </w:rPr>
        <w:t>、基金管理人高级管理人员</w:t>
      </w:r>
    </w:p>
    <w:p w14:paraId="66A36D4D" w14:textId="77777777" w:rsidR="004E1592" w:rsidRPr="002C1FF7" w:rsidRDefault="004E1592" w:rsidP="002C1FF7">
      <w:pPr>
        <w:autoSpaceDE w:val="0"/>
        <w:autoSpaceDN w:val="0"/>
        <w:adjustRightInd w:val="0"/>
        <w:snapToGrid w:val="0"/>
        <w:spacing w:line="360" w:lineRule="auto"/>
        <w:ind w:firstLineChars="200" w:firstLine="480"/>
        <w:jc w:val="left"/>
        <w:rPr>
          <w:rFonts w:ascii="宋体" w:hAnsi="宋体"/>
          <w:sz w:val="24"/>
        </w:rPr>
      </w:pPr>
      <w:r w:rsidRPr="002C1FF7">
        <w:rPr>
          <w:rFonts w:ascii="宋体" w:hAnsi="宋体" w:hint="eastAsia"/>
          <w:sz w:val="24"/>
        </w:rPr>
        <w:t>谢卫先生，总经理、代任首席信息官。简历同上。</w:t>
      </w:r>
    </w:p>
    <w:p w14:paraId="26A501D5" w14:textId="77777777" w:rsidR="004E1592" w:rsidRPr="002C1FF7" w:rsidRDefault="004E1592" w:rsidP="002C1FF7">
      <w:pPr>
        <w:autoSpaceDE w:val="0"/>
        <w:autoSpaceDN w:val="0"/>
        <w:adjustRightInd w:val="0"/>
        <w:snapToGrid w:val="0"/>
        <w:spacing w:line="360" w:lineRule="auto"/>
        <w:ind w:firstLineChars="200" w:firstLine="480"/>
        <w:jc w:val="left"/>
        <w:rPr>
          <w:rFonts w:ascii="宋体" w:hAnsi="宋体"/>
          <w:sz w:val="24"/>
        </w:rPr>
      </w:pPr>
      <w:r w:rsidRPr="002C1FF7">
        <w:rPr>
          <w:rFonts w:ascii="宋体" w:hAnsi="宋体" w:hint="eastAsia"/>
          <w:sz w:val="24"/>
        </w:rPr>
        <w:t>印皓女士，副总经理，硕士，兼任交银施罗德资产管理有限公司董事长。历任交通银行研究开发部副主管体改规划员，交通银行市场营销部副主管市场规划员、主管市场规划员，交通银行公司业务部副高级经理、高级经理，交通银行机构业务部高级经理、总经理助理、副总经理。</w:t>
      </w:r>
    </w:p>
    <w:p w14:paraId="23442092" w14:textId="77777777" w:rsidR="004E1592" w:rsidRPr="002C1FF7" w:rsidRDefault="004E1592" w:rsidP="002C1FF7">
      <w:pPr>
        <w:autoSpaceDE w:val="0"/>
        <w:autoSpaceDN w:val="0"/>
        <w:adjustRightInd w:val="0"/>
        <w:snapToGrid w:val="0"/>
        <w:spacing w:line="360" w:lineRule="auto"/>
        <w:ind w:firstLineChars="200" w:firstLine="480"/>
        <w:jc w:val="left"/>
        <w:rPr>
          <w:rFonts w:ascii="宋体" w:hAnsi="宋体"/>
          <w:sz w:val="24"/>
        </w:rPr>
      </w:pPr>
      <w:r w:rsidRPr="002C1FF7">
        <w:rPr>
          <w:rFonts w:ascii="宋体" w:hAnsi="宋体" w:hint="eastAsia"/>
          <w:sz w:val="24"/>
        </w:rPr>
        <w:t>佘川女士，督察长，硕士，兼任交银施罗德资产管理有限公司董事。历任华泰证券有限责任公司综合发展部高级经理、投资银行部项目经理，银河基金管理有限公司监察部总监，交银施罗德基金管理有限公司监察稽核部总经理、监察风控副总监、投资运营总监。</w:t>
      </w:r>
    </w:p>
    <w:p w14:paraId="07A252DD" w14:textId="77777777" w:rsidR="004E1592" w:rsidRPr="002C1FF7" w:rsidRDefault="004E1592" w:rsidP="004E1592">
      <w:pPr>
        <w:autoSpaceDE w:val="0"/>
        <w:autoSpaceDN w:val="0"/>
        <w:adjustRightInd w:val="0"/>
        <w:snapToGrid w:val="0"/>
        <w:spacing w:line="360" w:lineRule="auto"/>
        <w:ind w:firstLineChars="200" w:firstLine="480"/>
        <w:jc w:val="left"/>
        <w:rPr>
          <w:rFonts w:ascii="宋体" w:hAnsi="宋体"/>
          <w:sz w:val="24"/>
        </w:rPr>
      </w:pPr>
      <w:r w:rsidRPr="002C1FF7">
        <w:rPr>
          <w:rFonts w:ascii="宋体" w:hAnsi="宋体" w:hint="eastAsia"/>
          <w:sz w:val="24"/>
        </w:rPr>
        <w:t>马俊先生，副总经理，硕士。历任交通银行总行投资管理部高级投资分析、副高级经理，交银施罗德基金管理有限公司总裁办公室总经理、研究部副总经理、研究总监、综合管理部总经理。</w:t>
      </w:r>
    </w:p>
    <w:p w14:paraId="2F69B211"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4、本基金基金经理</w:t>
      </w:r>
    </w:p>
    <w:p w14:paraId="04E11317" w14:textId="6DC4BCFB"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何帅先生:上海财经大学硕士，</w:t>
      </w:r>
      <w:r w:rsidR="004057EA">
        <w:rPr>
          <w:rFonts w:ascii="宋体" w:hAnsi="宋体"/>
          <w:sz w:val="24"/>
        </w:rPr>
        <w:t>13</w:t>
      </w:r>
      <w:r>
        <w:rPr>
          <w:rFonts w:ascii="宋体" w:hAnsi="宋体"/>
          <w:sz w:val="24"/>
        </w:rPr>
        <w:t>年证券投资行业从业经验。2010年至2012年任国联安基金管理有限公司研究员。2012年加入交银施罗德基金管理有限公司，曾任行业分析师，现任权益部基金经理。现任交银施罗德优势行业灵活配置混合型证券投资基金(2015年07月09日至今)、交银施罗德阿尔法核心混合型证券投资基金</w:t>
      </w:r>
      <w:r>
        <w:rPr>
          <w:rFonts w:ascii="宋体" w:hAnsi="宋体"/>
          <w:sz w:val="24"/>
        </w:rPr>
        <w:lastRenderedPageBreak/>
        <w:t>(2015年09月16日至今)、交银施罗德持续成长主题混合型证券投资基金(2018年01月12日至今)</w:t>
      </w:r>
      <w:r w:rsidR="003C030D" w:rsidRPr="003C030D">
        <w:rPr>
          <w:rFonts w:ascii="宋体" w:hAnsi="宋体" w:hint="eastAsia"/>
          <w:sz w:val="24"/>
        </w:rPr>
        <w:t>、交银施罗德瑞和三年持有期混合型证券投资基金(2022年03月02日至今)的基金经理</w:t>
      </w:r>
      <w:r>
        <w:rPr>
          <w:rFonts w:ascii="宋体" w:hAnsi="宋体"/>
          <w:sz w:val="24"/>
        </w:rPr>
        <w:t>。</w:t>
      </w:r>
    </w:p>
    <w:p w14:paraId="49A615D3" w14:textId="77777777" w:rsidR="00FB4D29" w:rsidRDefault="00FB4D29">
      <w:pPr>
        <w:autoSpaceDE w:val="0"/>
        <w:autoSpaceDN w:val="0"/>
        <w:adjustRightInd w:val="0"/>
        <w:snapToGrid w:val="0"/>
        <w:spacing w:line="360" w:lineRule="auto"/>
        <w:ind w:firstLineChars="200" w:firstLine="420"/>
        <w:jc w:val="left"/>
        <w:rPr>
          <w:rFonts w:ascii="宋体" w:hAnsi="宋体"/>
          <w:szCs w:val="24"/>
        </w:rPr>
      </w:pPr>
    </w:p>
    <w:p w14:paraId="03A00989"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5、投资决策委员会成员</w:t>
      </w:r>
    </w:p>
    <w:p w14:paraId="2D9A83FE"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委员：谢卫（总经理）</w:t>
      </w:r>
    </w:p>
    <w:p w14:paraId="1BC67C18"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马俊（副总经理、研究总监）</w:t>
      </w:r>
    </w:p>
    <w:p w14:paraId="28936FE0"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王少成（权益投资总监、基金经理）</w:t>
      </w:r>
    </w:p>
    <w:p w14:paraId="3B379EF8"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于海颖（固定收益（公募）投资总监、基金经理）</w:t>
      </w:r>
    </w:p>
    <w:p w14:paraId="5FDA6B94"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王崇（权益投资副总监、权益部一级专家、基金经理）</w:t>
      </w:r>
    </w:p>
    <w:p w14:paraId="06E54620" w14:textId="77777777" w:rsidR="00FB4D29" w:rsidRDefault="00FB4D29" w:rsidP="002C1FF7">
      <w:pPr>
        <w:autoSpaceDE w:val="0"/>
        <w:autoSpaceDN w:val="0"/>
        <w:adjustRightInd w:val="0"/>
        <w:snapToGrid w:val="0"/>
        <w:spacing w:line="360" w:lineRule="auto"/>
        <w:jc w:val="left"/>
        <w:rPr>
          <w:rFonts w:ascii="宋体" w:hAnsi="宋体"/>
          <w:szCs w:val="24"/>
        </w:rPr>
      </w:pPr>
    </w:p>
    <w:p w14:paraId="24BFE9BB" w14:textId="5880BC4B"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上述人员之间无近亲属关系，上述各项人员信息更新截止日为</w:t>
      </w:r>
      <w:r w:rsidR="00EE4FAE">
        <w:rPr>
          <w:rFonts w:ascii="宋体" w:hAnsi="宋体"/>
          <w:sz w:val="24"/>
        </w:rPr>
        <w:t>2023</w:t>
      </w:r>
      <w:r>
        <w:rPr>
          <w:rFonts w:ascii="宋体" w:hAnsi="宋体"/>
          <w:sz w:val="24"/>
        </w:rPr>
        <w:t>年0</w:t>
      </w:r>
      <w:r w:rsidR="00EE4FAE">
        <w:rPr>
          <w:rFonts w:ascii="宋体" w:hAnsi="宋体"/>
          <w:sz w:val="24"/>
        </w:rPr>
        <w:t>3</w:t>
      </w:r>
      <w:r>
        <w:rPr>
          <w:rFonts w:ascii="宋体" w:hAnsi="宋体"/>
          <w:sz w:val="24"/>
        </w:rPr>
        <w:t>月2</w:t>
      </w:r>
      <w:r w:rsidR="00EE4FAE">
        <w:rPr>
          <w:rFonts w:ascii="宋体" w:hAnsi="宋体"/>
          <w:sz w:val="24"/>
        </w:rPr>
        <w:t>9</w:t>
      </w:r>
      <w:r>
        <w:rPr>
          <w:rFonts w:ascii="宋体" w:hAnsi="宋体"/>
          <w:sz w:val="24"/>
        </w:rPr>
        <w:t>日，期后变动（如有）敬请关注基金管理人发布的相关公告。</w:t>
      </w:r>
    </w:p>
    <w:p w14:paraId="717675EF"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（三）基金管理人的职责</w:t>
      </w:r>
    </w:p>
    <w:p w14:paraId="68974B35"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1、依法募集资金，办理或者委托经中国证监会认定的其他机构办理基金份额的发售、申购、赎回和登记事宜；</w:t>
      </w:r>
    </w:p>
    <w:p w14:paraId="0F2D13FD"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2、办理基金备案手续；</w:t>
      </w:r>
    </w:p>
    <w:p w14:paraId="4F647B52"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3、对所管理的不同基金财产分别管理、分别记账，进行证券投资；</w:t>
      </w:r>
    </w:p>
    <w:p w14:paraId="5CDBCB49"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4、按照基金合同的约定确定基金收益分配方案，及时向基金份额持有人分配收益；</w:t>
      </w:r>
    </w:p>
    <w:p w14:paraId="771288D5"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5、进行基金会计核算并编制基金财务会计报告；</w:t>
      </w:r>
    </w:p>
    <w:p w14:paraId="1D184100"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6、编制季度报告、中期报告和年度报告；</w:t>
      </w:r>
    </w:p>
    <w:p w14:paraId="46826CF3"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7、计算并公告基金净值信息，确定基金份额申购、赎回价格；</w:t>
      </w:r>
    </w:p>
    <w:p w14:paraId="149A78DA"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8、办理与基金财产管理业务活动有关的信息披露事项；</w:t>
      </w:r>
    </w:p>
    <w:p w14:paraId="051AFD1E"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9、按照规定召集基金份额持有人大会；</w:t>
      </w:r>
    </w:p>
    <w:p w14:paraId="776D2B08"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10、保存基金财产管理业务活动的记录、账册、报表和其他相关资料；</w:t>
      </w:r>
    </w:p>
    <w:p w14:paraId="3218C885"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11、以基金管理人名义，代表基金份额持有人利益行使诉讼权利或者实施其他法律行为；</w:t>
      </w:r>
    </w:p>
    <w:p w14:paraId="7BD15E78"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12、有关法律法规和中国证监会规定的其他职责。</w:t>
      </w:r>
    </w:p>
    <w:p w14:paraId="2A221EBA"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（四）基金管理人的承诺</w:t>
      </w:r>
    </w:p>
    <w:p w14:paraId="7A01863B"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1、基金管理人承诺不从事违反《中华人民共和国证券法》的行为，并承诺建立健全内部控制制度，采取有效措施，防止违反《中华人民共和国证券法》行为的发生；</w:t>
      </w:r>
    </w:p>
    <w:p w14:paraId="27877C46"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2、基金管理人承诺不从事违反《基金法》的行为，并承诺建立健全内部风险控制制度，采取有效措施，防止下列行为的发生：</w:t>
      </w:r>
    </w:p>
    <w:p w14:paraId="13B74035"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（1）将基金管理人固有财产或者他人财产混同于基金财产从事证券投资；</w:t>
      </w:r>
    </w:p>
    <w:p w14:paraId="7826DC42"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（2）不公平地对待管理的不同基金财产；</w:t>
      </w:r>
    </w:p>
    <w:p w14:paraId="05DCDA39"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（3）利用基金财产为基金份额持有人以外的第三人牟取利益；</w:t>
      </w:r>
    </w:p>
    <w:p w14:paraId="04AC7522"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（4）向基金份额持有人违规承诺收益或者承担损失；</w:t>
      </w:r>
    </w:p>
    <w:p w14:paraId="67164435"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（5）侵占、挪用基金财产；</w:t>
      </w:r>
    </w:p>
    <w:p w14:paraId="5C43A18F"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（6）法律、行政法规和中国证监会禁止的其他行为。</w:t>
      </w:r>
    </w:p>
    <w:p w14:paraId="2999D1E7"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3、基金管理人承诺严格遵守基金合同，并承诺建立健全内部控制制度，采取有效措施，防止违反基金合同行为的发生；</w:t>
      </w:r>
    </w:p>
    <w:p w14:paraId="0D16546D"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4、基金管理人承诺加强人员管理，强化职业操守，督促和约束员工遵守国家有关法律法规及行业规范，诚实信用、勤勉尽责；</w:t>
      </w:r>
    </w:p>
    <w:p w14:paraId="2CB19458"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5、基金管理人承诺不从事其他法规规定禁止从事的行为。</w:t>
      </w:r>
    </w:p>
    <w:p w14:paraId="3394B708"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（五）基金经理承诺</w:t>
      </w:r>
    </w:p>
    <w:p w14:paraId="6B3E772F"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1、依照有关法律法规和基金合同的规定，本着谨慎的原则为基金份额持有人谋取最大利益；</w:t>
      </w:r>
    </w:p>
    <w:p w14:paraId="566F38A3"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2、不利用职务之便为自己、受雇人或任何第三者谋取利益；</w:t>
      </w:r>
    </w:p>
    <w:p w14:paraId="03DCBB15"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3、不泄露在任职期间知悉的有关证券、基金的商业秘密，尚未依法公开的基金投资内容、基金投资计划等信息，或利用该信息从事或者明示、暗示他人从事相关的交易活动；</w:t>
      </w:r>
    </w:p>
    <w:p w14:paraId="4601BD64"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4、不以任何形式为其他组织或个人进行证券交易。</w:t>
      </w:r>
    </w:p>
    <w:p w14:paraId="4BCB77F9"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（六）基金管理人的内部控制制度</w:t>
      </w:r>
    </w:p>
    <w:p w14:paraId="57C672B5"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1、风险管理的原则</w:t>
      </w:r>
    </w:p>
    <w:p w14:paraId="732B6F21"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（1）全面性原则</w:t>
      </w:r>
    </w:p>
    <w:p w14:paraId="64533BF9"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公司风险管理必须覆盖公司的所有部门和岗位，渗透各项业务过程和业务环节。</w:t>
      </w:r>
    </w:p>
    <w:p w14:paraId="6830AA61"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（2）独立性原则</w:t>
      </w:r>
    </w:p>
    <w:p w14:paraId="2E052CCC"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公司设立独立的风险管理部，风险管理部保持高度的独立性和权威性，负责对公司各部门风险控制工作进行监督和检查。</w:t>
      </w:r>
    </w:p>
    <w:p w14:paraId="1794549F"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（3）相互制约原则</w:t>
      </w:r>
    </w:p>
    <w:p w14:paraId="307F0851"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公司及各部门在内部组织结构的设计上要形成一种相互制约的机制，建立不同岗位之间的制衡体系。</w:t>
      </w:r>
    </w:p>
    <w:p w14:paraId="146ED9E1"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（4）定性和定量相结合原则</w:t>
      </w:r>
    </w:p>
    <w:p w14:paraId="7BA94707"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建立完备的风险管理指标体系，使风险管理更具客观性和操作性。</w:t>
      </w:r>
    </w:p>
    <w:p w14:paraId="2816E3E3"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2、风险管理和内部风险控制体系结构</w:t>
      </w:r>
    </w:p>
    <w:p w14:paraId="11313730"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公司的风险管理体系结构是一个分工明确、相互牵制的组织结构，由最高管理层对风险管理负最终责任，各个业务部门负责本部门的风险评估和监控，风险管理部负责监察公司的风险管理措施的执行。具体而言，包括如下组成部分：</w:t>
      </w:r>
    </w:p>
    <w:p w14:paraId="281ED700"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（1）董事会</w:t>
      </w:r>
    </w:p>
    <w:p w14:paraId="422AD512"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负责制定公司的风险管理政策，对风险管理负完全的和最终的责任。</w:t>
      </w:r>
    </w:p>
    <w:p w14:paraId="003CE49E"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（2）监事会</w:t>
      </w:r>
    </w:p>
    <w:p w14:paraId="3B1B230B"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是公司常设的监事机构，对股东会负责。监事会对公司财务、公司董事、总经理及其他高级管理人员进行监督。</w:t>
      </w:r>
    </w:p>
    <w:p w14:paraId="1B1C25D5"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（3）合规审核及风险管理委员会</w:t>
      </w:r>
    </w:p>
    <w:p w14:paraId="21E40D29"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作为董事会下的专业委员会之一，对公司内部控制制度、监察稽核制度进行检查评估；审查公司财务，对公司内部管理制度、投资决策程序和运作流程进行合规性审议；对公司资产与基金资产的经营进行评估。</w:t>
      </w:r>
    </w:p>
    <w:p w14:paraId="44D99AE3"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（4）风险控制委员会</w:t>
      </w:r>
    </w:p>
    <w:p w14:paraId="6B17CAC2"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作为总经理下设的专业委员会之一，风险控制委员会负责拟定公司风险管理战略及政策，制定灾难复原计划及紧急情况处理制度，确保公司风险控制符合标准，就潜在风险与相关部门协调，审阅公司审计报告及监察情况。</w:t>
      </w:r>
    </w:p>
    <w:p w14:paraId="0ACA5B95"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（5）督察长</w:t>
      </w:r>
    </w:p>
    <w:p w14:paraId="10281436"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独立行使督察权利；直接对董事会负责；就内部控制制度和执行情况独立地履行检查、评价、报告、建议职能；定期和不定期地向董事会报告公司内部控制执行情况。</w:t>
      </w:r>
    </w:p>
    <w:p w14:paraId="6C9C0E1E"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（6）风险管理部</w:t>
      </w:r>
    </w:p>
    <w:p w14:paraId="39D67F13"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风险管理部负责制定公司风险管理政策和防范及控制措施，组织执行，并为每</w:t>
      </w:r>
      <w:r>
        <w:rPr>
          <w:rFonts w:ascii="宋体" w:hAnsi="宋体"/>
          <w:sz w:val="24"/>
        </w:rPr>
        <w:lastRenderedPageBreak/>
        <w:t>一个部门的风险管理系统的发展提供协助，汇总公司业务所有的风险信息，独立识别、评估各类风险，提出风险控制建议，使公司在一种风险管理和控制的环境中实现业务目标。</w:t>
      </w:r>
    </w:p>
    <w:p w14:paraId="74D5BE36"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（7）审计部</w:t>
      </w:r>
    </w:p>
    <w:p w14:paraId="46EF144E"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审计部负责按照公司要求，根据国家法律法规及行业规范，结合公司战略发展及管理目标，对公司内部控制体系的适当性及运行的效果和效率进行独立评价，协助促进公司风险管理、控制和治理过程的完善，实现合规经营目标。</w:t>
      </w:r>
    </w:p>
    <w:p w14:paraId="5CEAC362"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（8）法律合规部</w:t>
      </w:r>
    </w:p>
    <w:p w14:paraId="355678A5"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法律合规部负责公司的法律、合规事务及协调实施信息披露事务，依法维护公司合法权益，评估并处理公司运营中发生的法律、合规及信息披露相关问题，及时向公司管理层及全体员工传达法规及监管要求。</w:t>
      </w:r>
    </w:p>
    <w:p w14:paraId="515F16F3"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（9）业务部门</w:t>
      </w:r>
    </w:p>
    <w:p w14:paraId="48004D48"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风险管理是每一个业务部门首要的责任。部门经理对本部门的风险负全部责任，负责履行公司的风险管理程序，负责本部门的风险管理系统的开发、执行和维护，用于识别、监控和降低风险。</w:t>
      </w:r>
    </w:p>
    <w:p w14:paraId="4EA1974D"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3、风险管理和内部风险控制的措施</w:t>
      </w:r>
    </w:p>
    <w:p w14:paraId="28363E24"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（1）建立内控体系，完善内控制度</w:t>
      </w:r>
    </w:p>
    <w:p w14:paraId="43FAA466"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公司建立、健全了内控体系，通过高管人员关于内控的明确分工，确保各项业务活动有恰当的组织和授权，确保监察活动独立，并得到高管人员的支持，同时置备操作手册，并定期更新。</w:t>
      </w:r>
    </w:p>
    <w:p w14:paraId="0181B52D"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（2）建立相互分离、相互制衡的内控机制</w:t>
      </w:r>
    </w:p>
    <w:p w14:paraId="681023D6"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建立、健全了各项制度，做到基金经理分开，投资决策分开，基金交易集中，形成不同部门、不同岗位之间的制衡机制，从制度上减少和防范风险。</w:t>
      </w:r>
    </w:p>
    <w:p w14:paraId="4E3BB431"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（3）建立、健全岗位责任制</w:t>
      </w:r>
    </w:p>
    <w:p w14:paraId="637C8CDF"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建立、健全了岗位责任制，使每个员工都明确自己的任务、职责，并及时将各自工作领域中的风险隐患上报，以防范和减少风险。</w:t>
      </w:r>
    </w:p>
    <w:p w14:paraId="3C353562"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（4）建立风险分类、识别、评估、报告、提示程序</w:t>
      </w:r>
    </w:p>
    <w:p w14:paraId="604DB96E"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建立了风险评估机制，通过适合的程序，确认和评估与公司运作有关的风险；公司建立了自下而上的风险报告程序，对风险隐患进行层层汇报，使各个层次的人员及时掌握风险状况，从而以最快速度作出决策。</w:t>
      </w:r>
    </w:p>
    <w:p w14:paraId="20CFA015"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（5）建立有效的内部监控系统</w:t>
      </w:r>
    </w:p>
    <w:p w14:paraId="583D076A"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建立了足够、有效的内部监控系统，如电脑预警系统、投资监控系统，对可能出现的各种风险进行全面和实时的监控。</w:t>
      </w:r>
    </w:p>
    <w:p w14:paraId="385259C8"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（6）使用数量化的风险管理手段</w:t>
      </w:r>
    </w:p>
    <w:p w14:paraId="4A4B1330"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采取数量化、技术化的风险控制手段，建立数量化的风险管理模型，用以提示指数趋势、行业及个股的风险，以便公司及时采取有效的措施，对风险进行分散、控制和规避，尽可能地减少损失。</w:t>
      </w:r>
    </w:p>
    <w:p w14:paraId="3D2C07DB"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（7）提供足够的培训</w:t>
      </w:r>
    </w:p>
    <w:p w14:paraId="5D363A38"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制定了完整的培训计划，为所有员工提供足够和适当的培训，使员工明确其职责所在，控制风险。</w:t>
      </w:r>
    </w:p>
    <w:p w14:paraId="247555E1" w14:textId="77777777" w:rsidR="00AF2A34" w:rsidRDefault="00AF2A34" w:rsidP="00AF2A34">
      <w:pPr>
        <w:autoSpaceDE w:val="0"/>
        <w:autoSpaceDN w:val="0"/>
        <w:adjustRightInd w:val="0"/>
        <w:spacing w:line="360" w:lineRule="auto"/>
        <w:ind w:firstLineChars="200" w:firstLine="420"/>
        <w:rPr>
          <w:rFonts w:ascii="宋体" w:hAnsi="宋体"/>
          <w:szCs w:val="24"/>
        </w:rPr>
      </w:pPr>
    </w:p>
    <w:p w14:paraId="17AFA963" w14:textId="58747BA8" w:rsidR="00FB4D29" w:rsidRDefault="00CF4592">
      <w:pPr>
        <w:pStyle w:val="1"/>
        <w:snapToGrid w:val="0"/>
        <w:spacing w:beforeLines="0" w:before="240" w:after="240"/>
        <w:rPr>
          <w:rFonts w:ascii="宋体" w:hAnsi="宋体"/>
          <w:szCs w:val="30"/>
        </w:rPr>
      </w:pPr>
      <w:r>
        <w:rPr>
          <w:rFonts w:ascii="宋体" w:hAnsi="宋体"/>
          <w:sz w:val="24"/>
        </w:rPr>
        <w:br w:type="page"/>
      </w:r>
      <w:bookmarkStart w:id="6" w:name="_Toc107476023"/>
      <w:r>
        <w:rPr>
          <w:rFonts w:ascii="Times New Roman" w:hAnsi="Times New Roman"/>
          <w:sz w:val="30"/>
        </w:rPr>
        <w:lastRenderedPageBreak/>
        <w:t>四、基金托管人</w:t>
      </w:r>
      <w:bookmarkEnd w:id="6"/>
    </w:p>
    <w:p w14:paraId="4901F5EF" w14:textId="77777777" w:rsidR="00FB4D29" w:rsidRDefault="00CF4592">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（一）基金托管人基本情况</w:t>
      </w:r>
    </w:p>
    <w:p w14:paraId="6B44A9CA"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名称：中国工商银行股份有限公司</w:t>
      </w:r>
    </w:p>
    <w:p w14:paraId="44328DAA"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注册地址：北京市西城区复兴门内大街55号</w:t>
      </w:r>
    </w:p>
    <w:p w14:paraId="62718028"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成立时间：1984年1月1日</w:t>
      </w:r>
    </w:p>
    <w:p w14:paraId="374E70B9"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 陈四清</w:t>
      </w:r>
    </w:p>
    <w:p w14:paraId="57473C27"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注册资本：人民币35,640,625.7089万元</w:t>
      </w:r>
    </w:p>
    <w:p w14:paraId="62DB80ED"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联系电话：010-66105799</w:t>
      </w:r>
    </w:p>
    <w:p w14:paraId="19EDFF5B"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联系人：郭明</w:t>
      </w:r>
    </w:p>
    <w:p w14:paraId="5A6A182E" w14:textId="77777777" w:rsidR="00FB4D29" w:rsidRDefault="00CF4592">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（二）主要人员情况</w:t>
      </w:r>
    </w:p>
    <w:p w14:paraId="332E798C"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截至2022年3月，中国工商银行资产托管部共有员工214人，平均年龄34岁，95%以上员工拥有大学本科以上学历，高管人员均拥有研究生以上学历或高级技术职称。</w:t>
      </w:r>
    </w:p>
    <w:p w14:paraId="18F9CBB9" w14:textId="77777777" w:rsidR="00FB4D29" w:rsidRDefault="00CF4592">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（三）基金托管业务经营情况</w:t>
      </w:r>
    </w:p>
    <w:p w14:paraId="42094635"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作为中国大陆托管服务的先行者，中国工商银行自1998年在国内首家提供托管服务以来，秉承“诚实信用、勤勉尽责”的宗旨，依靠严密科学的风险管理和内部控制体系、规范的管理模式、先进的营运系统和专业的服务团队，严格履行资产托管人职责，为境内外广大投资者、金融资产管理机构和企业客户提供安全、高效、专业的托管服务，展现优异的市场形象和影响力。建立了国内托管银行中最丰富、最成熟的产品线。拥有包括证券投资基金、信托资产、保险资产、社会保障基金、基本养老保险、企业年金基金、QFII资产、QDII资产、股权投资基金、证券公司集合资产管理计划、证券公司定向资产管理计划、商业银行信贷资产证券化、基金公司特定客户资产管理、QDII专户资产、ESCROW等门类齐全的托管产品体系，同时在国内率先开展绩效评估、风险管理等增值服务，可以为各类客户提供个性化的托管服务。截至2022年3月，中国工商银行共托管证券投资基金1304只。自2003年以来，本行连续二十年获得香港《亚洲货币》、英国《全球托管人》、香港《财资》、美国《环球金融》、内地《证券时报》、《上海证券报》等境内外权威财经媒体评选的81项最佳托管银行大奖；是获得奖项最多的国内托管银行，优良的服务品质获得国内外金融领域的持续认可和广泛好评。</w:t>
      </w:r>
    </w:p>
    <w:p w14:paraId="78D73C76" w14:textId="77777777" w:rsidR="00FB4D29" w:rsidRDefault="00CF4592">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（四）基金托管人的内部控制制度</w:t>
      </w:r>
    </w:p>
    <w:p w14:paraId="74377991"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中国工商银行资产托管部自成立以来，各项业务飞速发展，始终保持在资产托管行业的优势地位。这些成绩的取得，是与资产托管部“一手抓业务拓展，一手抓内控建设”的做法是分不开的。资产托管部非常重视改进和加强内部风险管理工作，在积极拓展各项托管业务的同时，把加强风险防范和控制的力度，精心培育内控文化，完善风险控制机制，强化业务项目全过程风险管理作为重要工作来做。从2005年至今共十五次顺利通过评估组织内部控制和安全措施最权威的ISAE3402审阅，全部获得无保留意见的控制及有效性报告。充分表明独立第三方对我行托管服务在风险管理、内部控制方面的健全性和有效性的全面认可,也证明中国工商银行托管服务的风险控制能力已经与国际大型托管银行接轨，达到国际先进水平。目前，ISAE3402审阅已经成为年度化、常规化的内控工作手段。</w:t>
      </w:r>
    </w:p>
    <w:p w14:paraId="0F3FB5E0"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1、内部风险控制目标</w:t>
      </w:r>
    </w:p>
    <w:p w14:paraId="1A311224"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保证业务运作严格遵守国家有关法律法规和行业监管规则，强化和建立守法经营、规范运作的经营思想和经营风格，形成一个运作规范化、管理科学化、监控制度化的内控体系；防范和化解经营风险，保证托管资产的安全完整；维护持有人的权益；保障资产托管业务安全、有效、稳健运行。</w:t>
      </w:r>
    </w:p>
    <w:p w14:paraId="6791B8A8"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2、内部风险控制组织结构</w:t>
      </w:r>
    </w:p>
    <w:p w14:paraId="5C65ED1B"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中国工商银行资产托管业务内部风险控制组织结构由中国工商银行稽核监察部门（内控合规部、内部审计局）、资产托管部内设风险控制处及资产托管部各业务处室共同组成。总行稽核监察部门负责制定全行风险管理政策，对各业务部门风险控制工作进行指导、监督。资产托管部内部设置专门负责稽核监察工作的内部风险控制处，配备专职稽核监察人员，在总经理的直接领导下，依照有关法律规章，对业务的运行独立行使稽核监察职权。各业务处室在各自职责范围内实施具体的风险控制措施。</w:t>
      </w:r>
    </w:p>
    <w:p w14:paraId="4D460A1C"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3、内部风险控制原则</w:t>
      </w:r>
    </w:p>
    <w:p w14:paraId="12FEC431"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（1）合法性原则。内控制度应当符合国家法律法规及监管机构的监管要求，并贯穿于托管业务经营管理活动的始终。</w:t>
      </w:r>
    </w:p>
    <w:p w14:paraId="52B9547B"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（2）完整性原则。托管业务的各项经营管理活动都必须有相应的规范程序和监督制约；监督制约应渗透到托管业务的全过程和各个操作环节，覆盖所有的部门、岗位和人员。</w:t>
      </w:r>
    </w:p>
    <w:p w14:paraId="2AEAD3DE"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（3）及时性原则。托管业务经营活动必须在发生时能准确及时地记录；按照</w:t>
      </w:r>
      <w:r>
        <w:rPr>
          <w:rFonts w:ascii="宋体" w:hAnsi="宋体"/>
          <w:sz w:val="24"/>
        </w:rPr>
        <w:lastRenderedPageBreak/>
        <w:t>“内控优先”的原则，新设机构或新增业务品种时，必须做到已建立相关的规章制度。</w:t>
      </w:r>
    </w:p>
    <w:p w14:paraId="0DCEB5AE"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（4）审慎性原则。各项业务经营活动必须防范风险，审慎经营，保证基金资产和其他委托资产的安全与完整。</w:t>
      </w:r>
    </w:p>
    <w:p w14:paraId="4E1C995F"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（5）有效性原则。内控制度应根据国家政策、法律及经营管理的需要适时修改完善，并保证得到全面落实执行，不得有任何空间、时限及人员的例外。</w:t>
      </w:r>
    </w:p>
    <w:p w14:paraId="3A349E17"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（6）独立性原则。设立专门履行托管人职责的管理部门；直接操作人员和控制人员必须相对独立，适当分离；内控制度的检查、评价部门必须独立于内控制度的制定和执行部门。</w:t>
      </w:r>
    </w:p>
    <w:p w14:paraId="0FA1A443"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4、内部风险控制措施实施</w:t>
      </w:r>
    </w:p>
    <w:p w14:paraId="472751E4"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严格的隔离制度。资产托管业务与传统业务实行严格分离，建立了明确的岗位职责、科学的业务流程、详细的操作手册、严格的人员行为规范等一系列规章制度，并采取了良好的防火墙隔离制度，能够确保资产独立、环境独立、人员独立、业务制度和管理独立、网络独立。</w:t>
      </w:r>
    </w:p>
    <w:p w14:paraId="4A7D7078"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高层检查。主管行领导与部门高级管理层作为工行托管业务政策和策略的制定者和管理者，要求下级部门及时报告经营管理情况和特别情况，以检查资产托管部在实现内部控制目标方面的进展，并根据检查情况提出内部控制措施，督促职能管理部门改进。</w:t>
      </w:r>
    </w:p>
    <w:p w14:paraId="495080DD"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人事控制。资产托管部严格落实岗位责任制，建立“自控防线”、“互控防线”、“监控防线”三道控制防线，健全绩效考核和激励机制，树立“以人为本”的内控文化，增强员工的责任心和荣誉感，培育团队精神和核心竞争力。并通过进行定期、定向的业务与职业道德培训、签订承诺书，使员工树立风险防范与控制理念。</w:t>
      </w:r>
    </w:p>
    <w:p w14:paraId="306C6CE3"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（4）经营控制。资产托管部通过制定计划、编制预算等方法开展各种业务营销活动、处理各项事务，从而有效地控制和配置组织资源，达到资源利用和效益最大化目的。</w:t>
      </w:r>
    </w:p>
    <w:p w14:paraId="4A9A08B2"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内部风险管理。资产托管部通过稽核监察、风险评估等方式加强内部风险管理，定期或不定期地对业务运作状况进行检查、监控，指导业务部门进行风险识别、评估，制定并实施风险控制措施，排查风险隐患。</w:t>
      </w:r>
    </w:p>
    <w:p w14:paraId="124C7267"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（6）数据安全控制。我们通过业务操作区相对独立、数据和传真加密、数据</w:t>
      </w:r>
      <w:r>
        <w:rPr>
          <w:rFonts w:ascii="宋体" w:hAnsi="宋体"/>
          <w:sz w:val="24"/>
        </w:rPr>
        <w:lastRenderedPageBreak/>
        <w:t>传输线路的冗余备份、监控设施的运用和保障等措施来保障数据安全。</w:t>
      </w:r>
    </w:p>
    <w:p w14:paraId="19CD95D0"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应急准备与响应。资产托管业务建立专门的灾难恢复中心，制定了基于数据、应用、操作、环境四个层面的完备的灾难恢复方案，并组织员工定期演练。为使演练更加接近实战，资产托管部不断提高演练标准，从最初的按照预订时间演练发展到现在的“随机演练”。从演练结果看，资产托管部完全有能力在发生灾难的情况下两个小时内恢复业务。</w:t>
      </w:r>
    </w:p>
    <w:p w14:paraId="7EF90F78"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5、资产托管部内部风险控制情况</w:t>
      </w:r>
    </w:p>
    <w:p w14:paraId="33D376AA"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（1）资产托管部内部设置专职稽核监察部门，配备专职稽核监察人员，在总经理的直接领导下，依照有关法律规章，全面贯彻落实全程监控思想，确保资产托管业务健康、稳定地发展。</w:t>
      </w:r>
    </w:p>
    <w:p w14:paraId="527C2C34"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完善组织结构，实施全员风险管理。完善的风险管理体系需要从上至下每个员工的共同参与，只有这样，风险控制制度和措施才会全面、有效。资产托管部实施全员风险管理，将风险控制责任落实到具体业务部门和业务岗位，每位员工对自己岗位职责范围内的风险负责，通过建立纵向双人制、横向多部门制的内部组织结构，形成不同部门、不同岗位相互制衡的组织结构。</w:t>
      </w:r>
    </w:p>
    <w:p w14:paraId="00B89592"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建立健全规章制度。资产托管部十分重视内控制度的建设，一贯坚持把风险防范和控制的理念和方法融入岗位职责、制度建设和工作流程中。经过多年努力，资产托管部已经建立了一整套内部风险控制制度，包括：岗位职责、业务操作流程、稽核监察制度、信息披露制度等，覆盖所有部门和岗位，渗透各项业务过程，形成各个业务环节之间的相互制约机制。</w:t>
      </w:r>
    </w:p>
    <w:p w14:paraId="444EAAE0"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内部风险控制始终是托管部工作重点之一，保持与业务发展同等地位。资产托管业务是商业银行新兴的中间业务，资产托管部从成立之日起就特别强调规范运作，一直将建立一个系统、高效的风险防范和控制体系作为工作重点。随着市场环境的变化和托管业务的快速发展，新问题、新情况不断出现，资产托管部始终将风险管理放在与业务发展同等重要的位置，视风险防范和控制为托管业务生存和发展的生命线。</w:t>
      </w:r>
    </w:p>
    <w:p w14:paraId="18FE2CFE" w14:textId="77777777" w:rsidR="00FB4D29" w:rsidRDefault="00CF4592">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(五)基金托管人对基金管理人运作基金进行监督的方法和程序</w:t>
      </w:r>
    </w:p>
    <w:p w14:paraId="6A10D481" w14:textId="51405BD4"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根据《基金法》、基金合同、托管协议和有关基金法规的规定，基金托管人对基金的投资范围和投资对象、基金投融资比例、基金投资禁止行为、基金参与银行间债券市场、基金资产净值的计算、</w:t>
      </w:r>
      <w:r w:rsidR="0019797F">
        <w:rPr>
          <w:rFonts w:ascii="宋体" w:hAnsi="宋体" w:hint="eastAsia"/>
          <w:sz w:val="24"/>
        </w:rPr>
        <w:t>各类</w:t>
      </w:r>
      <w:r>
        <w:rPr>
          <w:rFonts w:ascii="宋体" w:hAnsi="宋体"/>
          <w:sz w:val="24"/>
        </w:rPr>
        <w:t>基金份额净值计算、应收资金到账、基金</w:t>
      </w:r>
      <w:r>
        <w:rPr>
          <w:rFonts w:ascii="宋体" w:hAnsi="宋体"/>
          <w:sz w:val="24"/>
        </w:rPr>
        <w:lastRenderedPageBreak/>
        <w:t>费用开支及收入确定、基金收益分配、相关信息披露、基金宣传推介材料中登载基金业绩表现数据等进行监督和核查，其中对基金的投资比例的监督和核查自基金合同生效之后六个月开始。</w:t>
      </w:r>
    </w:p>
    <w:p w14:paraId="22B5369A"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托管人发现基金管理人违反《基金法》、基金合同、基金托管协议或有关基金法律法规规定的行为，应及时以书面形式通知基金管理人限期纠正，基金管理人收到通知后应及时核对，并以书面形式对基金托管人发出回函确认。在限期内，基金托管人有权随时对通知事项进行复查，督促基金管理人改正。基金管理人对基金托管人通知的违规事项未能在限期内纠正的，基金托管人应报告中国证监会。</w:t>
      </w:r>
    </w:p>
    <w:p w14:paraId="1CFC6E57"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基金托管人发现基金管理人有重大违规行为，应立即报告中国证监会，同时通知基金管理人限期纠正。</w:t>
      </w:r>
    </w:p>
    <w:p w14:paraId="1B21C285" w14:textId="77777777" w:rsidR="00FB4D29" w:rsidRDefault="00FB4D29">
      <w:pPr>
        <w:autoSpaceDE w:val="0"/>
        <w:autoSpaceDN w:val="0"/>
        <w:adjustRightInd w:val="0"/>
        <w:snapToGrid w:val="0"/>
        <w:spacing w:line="360" w:lineRule="auto"/>
        <w:ind w:firstLineChars="200" w:firstLine="420"/>
        <w:jc w:val="left"/>
        <w:rPr>
          <w:rFonts w:ascii="宋体" w:hAnsi="宋体"/>
          <w:szCs w:val="24"/>
        </w:rPr>
      </w:pPr>
    </w:p>
    <w:p w14:paraId="1FE4B8B7" w14:textId="77777777" w:rsidR="00AF2A34" w:rsidRDefault="00AF2A34" w:rsidP="00AF2A34">
      <w:pPr>
        <w:autoSpaceDE w:val="0"/>
        <w:autoSpaceDN w:val="0"/>
        <w:adjustRightInd w:val="0"/>
        <w:spacing w:line="360" w:lineRule="auto"/>
        <w:ind w:firstLineChars="200" w:firstLine="420"/>
        <w:rPr>
          <w:rFonts w:ascii="宋体" w:hAnsi="宋体"/>
          <w:szCs w:val="24"/>
        </w:rPr>
      </w:pPr>
    </w:p>
    <w:p w14:paraId="46D4DED7" w14:textId="12E0D879" w:rsidR="00FB4D29" w:rsidRDefault="00CF4592">
      <w:pPr>
        <w:pStyle w:val="1"/>
        <w:snapToGrid w:val="0"/>
        <w:spacing w:beforeLines="0" w:before="240" w:after="240"/>
        <w:rPr>
          <w:rFonts w:ascii="宋体" w:hAnsi="宋体"/>
          <w:szCs w:val="30"/>
        </w:rPr>
      </w:pPr>
      <w:r>
        <w:rPr>
          <w:rFonts w:ascii="宋体" w:hAnsi="宋体"/>
          <w:sz w:val="24"/>
        </w:rPr>
        <w:br w:type="page"/>
      </w:r>
      <w:bookmarkStart w:id="7" w:name="_Toc107476024"/>
      <w:r>
        <w:rPr>
          <w:rFonts w:ascii="Times New Roman" w:hAnsi="Times New Roman"/>
          <w:sz w:val="30"/>
        </w:rPr>
        <w:lastRenderedPageBreak/>
        <w:t>五、相关服务机构</w:t>
      </w:r>
      <w:bookmarkEnd w:id="7"/>
    </w:p>
    <w:p w14:paraId="6F75ACDA"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（一）基金份额销售机构</w:t>
      </w:r>
    </w:p>
    <w:p w14:paraId="107523BB"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1、直销机构</w:t>
      </w:r>
    </w:p>
    <w:p w14:paraId="78E86C36"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本基金直销机构为基金管理人直销柜台以及基金管理人的网上直销交易平台（网站及手机APP，下同）。</w:t>
      </w:r>
    </w:p>
    <w:p w14:paraId="078C4510"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名称：交银施罗德基金管理有限公司</w:t>
      </w:r>
    </w:p>
    <w:p w14:paraId="2B422A97"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住所：中国(上海)自由贸易试验区银城中路188号交通银行大楼二层（裙）</w:t>
      </w:r>
    </w:p>
    <w:p w14:paraId="2468AA0A"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办公地址：上海市浦东新区世纪大道8号国金中心二期21-22楼</w:t>
      </w:r>
    </w:p>
    <w:p w14:paraId="5E500A89"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法定代表人：阮红</w:t>
      </w:r>
    </w:p>
    <w:p w14:paraId="3FB11FDB"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成立时间：2005年8月4日</w:t>
      </w:r>
    </w:p>
    <w:p w14:paraId="091FF897"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电话：（021）61055724</w:t>
      </w:r>
    </w:p>
    <w:p w14:paraId="2A907F24"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传真：（021）61055054</w:t>
      </w:r>
    </w:p>
    <w:p w14:paraId="046A4A18"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联系人：傅鲸</w:t>
      </w:r>
    </w:p>
    <w:p w14:paraId="7CA92F2A"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客户服务电话：400-700-5000（免长途话费），（021）61055000</w:t>
      </w:r>
    </w:p>
    <w:p w14:paraId="01836429"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网址：www.fund001.com</w:t>
      </w:r>
    </w:p>
    <w:p w14:paraId="28A61CC9"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个人投资者可以通过基金管理人网上直销交易平台办理开户、本基金的申购、赎回、转换、定期定额投资等业务，具体交易细则请参阅基金管理人网站。</w:t>
      </w:r>
    </w:p>
    <w:p w14:paraId="07AB2517" w14:textId="500F70C0"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网上直销交易平台网址：www.fund001.com。</w:t>
      </w:r>
    </w:p>
    <w:p w14:paraId="4BBA88B5"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2、代销机构</w:t>
      </w:r>
    </w:p>
    <w:p w14:paraId="52DA1D0B" w14:textId="77777777" w:rsidR="00E520E1" w:rsidRDefault="00E520E1">
      <w:pPr>
        <w:autoSpaceDE w:val="0"/>
        <w:autoSpaceDN w:val="0"/>
        <w:adjustRightInd w:val="0"/>
        <w:snapToGrid w:val="0"/>
        <w:spacing w:line="360" w:lineRule="auto"/>
        <w:ind w:firstLineChars="200" w:firstLine="480"/>
        <w:jc w:val="left"/>
        <w:rPr>
          <w:rFonts w:ascii="宋体" w:hAnsi="宋体"/>
          <w:sz w:val="24"/>
        </w:rPr>
      </w:pPr>
      <w:r w:rsidRPr="00E520E1">
        <w:rPr>
          <w:rFonts w:ascii="宋体" w:hAnsi="宋体" w:hint="eastAsia"/>
          <w:sz w:val="24"/>
        </w:rPr>
        <w:t>本基金A类基金份额除直销机构外的其他销售机构：</w:t>
      </w:r>
    </w:p>
    <w:p w14:paraId="4E1B636E" w14:textId="2003F4FC"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（1）名称：交通银行股份有限公司</w:t>
      </w:r>
    </w:p>
    <w:p w14:paraId="0BC242B0"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住所：上海市浦东新区银城中路188号</w:t>
      </w:r>
    </w:p>
    <w:p w14:paraId="3685179B"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办公地址：上海市浦东新区银城中路188号</w:t>
      </w:r>
    </w:p>
    <w:p w14:paraId="2AE75B98"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法定代表人：任德奇</w:t>
      </w:r>
    </w:p>
    <w:p w14:paraId="08B1983C"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电话：（021）58781234</w:t>
      </w:r>
    </w:p>
    <w:p w14:paraId="2029EA40"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传真：（021）58408483</w:t>
      </w:r>
    </w:p>
    <w:p w14:paraId="030C526D"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联系人：范瑞波</w:t>
      </w:r>
    </w:p>
    <w:p w14:paraId="0AC2C36B"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客户服务电话：95559</w:t>
      </w:r>
    </w:p>
    <w:p w14:paraId="6CCF8C9A"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网址：www.bankcomm.com</w:t>
      </w:r>
    </w:p>
    <w:p w14:paraId="7151F1A2"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（2）名称：中国工商银行股份有限公司</w:t>
      </w:r>
    </w:p>
    <w:p w14:paraId="6FAFD4F3"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住所：北京市复兴门内大街55号</w:t>
      </w:r>
    </w:p>
    <w:p w14:paraId="47896D48"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办公地址：北京市复兴门内大街55号</w:t>
      </w:r>
    </w:p>
    <w:p w14:paraId="7E32387F" w14:textId="7B65434C"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w:t>
      </w:r>
      <w:r w:rsidR="00E072F7">
        <w:rPr>
          <w:rFonts w:ascii="宋体" w:hAnsi="宋体" w:hint="eastAsia"/>
          <w:sz w:val="24"/>
        </w:rPr>
        <w:t>陈四清</w:t>
      </w:r>
    </w:p>
    <w:p w14:paraId="67AE5C11"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客户服务电话：95588</w:t>
      </w:r>
    </w:p>
    <w:p w14:paraId="270EE2CD"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网址：www.icbc.com.cn</w:t>
      </w:r>
    </w:p>
    <w:p w14:paraId="011F9829"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（3）名称：招商银行股份有限公司</w:t>
      </w:r>
    </w:p>
    <w:p w14:paraId="341D0D86"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住所：深圳市福田区深南大道7088号</w:t>
      </w:r>
    </w:p>
    <w:p w14:paraId="599CA319"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办公地址：深圳市福田区深南大道7088号</w:t>
      </w:r>
    </w:p>
    <w:p w14:paraId="6929DE1E"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法定代表人：缪建民</w:t>
      </w:r>
    </w:p>
    <w:p w14:paraId="063B19F1"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电话：（0755）83198888</w:t>
      </w:r>
    </w:p>
    <w:p w14:paraId="245EDB64"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传真：（0755）83195109</w:t>
      </w:r>
    </w:p>
    <w:p w14:paraId="66133E94"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联系人：季平伟</w:t>
      </w:r>
    </w:p>
    <w:p w14:paraId="0B5496E6"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客户服务电话：95555</w:t>
      </w:r>
    </w:p>
    <w:p w14:paraId="472DB4F2"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网址：www.cmbchina.com</w:t>
      </w:r>
    </w:p>
    <w:p w14:paraId="3F837504"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（4）名称：中信银行股份有限公司</w:t>
      </w:r>
    </w:p>
    <w:p w14:paraId="312CF0C6"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住所：北京市东城区朝阳门北大街9号</w:t>
      </w:r>
    </w:p>
    <w:p w14:paraId="241D9900"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办公地址：北京市东城区朝阳门北大街9号</w:t>
      </w:r>
    </w:p>
    <w:p w14:paraId="1E8349E7"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法定代表人：朱鹤新</w:t>
      </w:r>
    </w:p>
    <w:p w14:paraId="2DB6DF89"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电话：（010）89936330</w:t>
      </w:r>
    </w:p>
    <w:p w14:paraId="5BAA6296"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传真：（010）85230024</w:t>
      </w:r>
    </w:p>
    <w:p w14:paraId="3294E9D6"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联系人：丰靖</w:t>
      </w:r>
    </w:p>
    <w:p w14:paraId="15DB8C50"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客户服务电话：95558</w:t>
      </w:r>
    </w:p>
    <w:p w14:paraId="22A29D2D"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网址：bank.ecitic.com</w:t>
      </w:r>
    </w:p>
    <w:p w14:paraId="53747F18"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（5）名称：东莞农村商业银行股份有限公司</w:t>
      </w:r>
    </w:p>
    <w:p w14:paraId="373C9AF4"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住所：东莞市东城区鸿福东路2号</w:t>
      </w:r>
    </w:p>
    <w:p w14:paraId="2B115750"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办公地址：东莞市东城区鸿福东路2号</w:t>
      </w:r>
    </w:p>
    <w:p w14:paraId="534F5547"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法定代表人：王耀球</w:t>
      </w:r>
    </w:p>
    <w:p w14:paraId="25876DFF"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电话：（0769）22866254</w:t>
      </w:r>
    </w:p>
    <w:p w14:paraId="57938403"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传真：（0769）22866282</w:t>
      </w:r>
    </w:p>
    <w:p w14:paraId="513C3FA8"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联系人：林培珊</w:t>
      </w:r>
    </w:p>
    <w:p w14:paraId="0F62DE56"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客户服务电话：（0769）961122</w:t>
      </w:r>
    </w:p>
    <w:p w14:paraId="5EF83599"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网址：www.drcbank.com</w:t>
      </w:r>
    </w:p>
    <w:p w14:paraId="732D1CCC"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（6）名称：上海浦东发展银行股份有限公司</w:t>
      </w:r>
    </w:p>
    <w:p w14:paraId="24B6C5BB"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住所：上海市中山东一路12 号</w:t>
      </w:r>
    </w:p>
    <w:p w14:paraId="12CC6816"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办公地址：上海市中山东一路12 号</w:t>
      </w:r>
    </w:p>
    <w:p w14:paraId="46C1BC9A"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法定代表人：郑杨</w:t>
      </w:r>
    </w:p>
    <w:p w14:paraId="116D4B05"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电话：（021）61618888</w:t>
      </w:r>
    </w:p>
    <w:p w14:paraId="28E3C7F3"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传真：（021）61618888</w:t>
      </w:r>
    </w:p>
    <w:p w14:paraId="457A738B"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联系人：朱瑛</w:t>
      </w:r>
    </w:p>
    <w:p w14:paraId="05AF732B"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客户服务电话：95528</w:t>
      </w:r>
    </w:p>
    <w:p w14:paraId="36E1D9AA"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网址：www.spdb.com.cn</w:t>
      </w:r>
    </w:p>
    <w:p w14:paraId="11682C92"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（7）名称：宁波银行股份有限公司</w:t>
      </w:r>
    </w:p>
    <w:p w14:paraId="6482A066"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住所：宁波市江东区中山东路294号</w:t>
      </w:r>
    </w:p>
    <w:p w14:paraId="02504E36"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法定代表人：陆华裕</w:t>
      </w:r>
    </w:p>
    <w:p w14:paraId="5DD52955"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电话：（021）63586210</w:t>
      </w:r>
    </w:p>
    <w:p w14:paraId="559F992B"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传真：（021）63586215</w:t>
      </w:r>
    </w:p>
    <w:p w14:paraId="66C3D7B1"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联系人：胡技勋</w:t>
      </w:r>
    </w:p>
    <w:p w14:paraId="02368FAD"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客户服务电话：96528（上海地区962528）</w:t>
      </w:r>
    </w:p>
    <w:p w14:paraId="02328252"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网址：www.nbcb.com.cn</w:t>
      </w:r>
    </w:p>
    <w:p w14:paraId="66BE262E"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（8）名称：平安银行股份有限公司</w:t>
      </w:r>
    </w:p>
    <w:p w14:paraId="27CBB1DD"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注册地址：深圳市罗湖区深南东路5047号</w:t>
      </w:r>
    </w:p>
    <w:p w14:paraId="4C73207C"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办公地址：深圳市深南东路5047号</w:t>
      </w:r>
    </w:p>
    <w:p w14:paraId="77B20D89"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法人代表：谢永林</w:t>
      </w:r>
    </w:p>
    <w:p w14:paraId="04BE2E78"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电话：0755-22166574</w:t>
      </w:r>
    </w:p>
    <w:p w14:paraId="0F096213"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传真：0755-82080406</w:t>
      </w:r>
    </w:p>
    <w:p w14:paraId="76043A62"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联系人：赵杨</w:t>
      </w:r>
    </w:p>
    <w:p w14:paraId="1B40A662"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客服电话：95511-3或95501</w:t>
      </w:r>
    </w:p>
    <w:p w14:paraId="1A3BBCEB"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网址：bank.pingan.com</w:t>
      </w:r>
    </w:p>
    <w:p w14:paraId="00CB4982"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（9）名称：中国光大银行股份有限公司</w:t>
      </w:r>
    </w:p>
    <w:p w14:paraId="11CFB44E"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住所：北京市西城区太平桥大街25号、甲25号中国光大中心</w:t>
      </w:r>
    </w:p>
    <w:p w14:paraId="6844D107"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办公地址：北京市西城区太平桥大街25号、甲25号中国光大中心</w:t>
      </w:r>
    </w:p>
    <w:p w14:paraId="3313E3D4"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法定代表人：李晓鹏</w:t>
      </w:r>
    </w:p>
    <w:p w14:paraId="1D181BED"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电话：（010）63639681</w:t>
      </w:r>
    </w:p>
    <w:p w14:paraId="40F419C1"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传真：（010）63639709</w:t>
      </w:r>
    </w:p>
    <w:p w14:paraId="6F8CE5F7"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联系人：刘昭宇</w:t>
      </w:r>
    </w:p>
    <w:p w14:paraId="0B5F214E"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客户服务电话：95595</w:t>
      </w:r>
    </w:p>
    <w:p w14:paraId="5B8D6874"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网址：www.cebbank.com</w:t>
      </w:r>
    </w:p>
    <w:p w14:paraId="5AED100B"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（10）名称：东方财富证券股份有限公司</w:t>
      </w:r>
    </w:p>
    <w:p w14:paraId="538D5108"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住所：西藏自治区拉萨市柳梧新区国际总部城10栋楼</w:t>
      </w:r>
    </w:p>
    <w:p w14:paraId="6F6A9458"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办公地址：上海市徐汇区宛平南路88号东方财富大厦</w:t>
      </w:r>
    </w:p>
    <w:p w14:paraId="66C9D825"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法定代表人：徐伟琴</w:t>
      </w:r>
    </w:p>
    <w:p w14:paraId="6875FE19"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电话：（021）021-23586603</w:t>
      </w:r>
    </w:p>
    <w:p w14:paraId="11A1EC30"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传真：（021）021-23586860</w:t>
      </w:r>
    </w:p>
    <w:p w14:paraId="0BEE9E85"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联系人：付佳</w:t>
      </w:r>
    </w:p>
    <w:p w14:paraId="5C4406D1"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客户服务电话：95357</w:t>
      </w:r>
    </w:p>
    <w:p w14:paraId="38C66A1A"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网址：http://www.18.cn</w:t>
      </w:r>
    </w:p>
    <w:p w14:paraId="2EE129AF"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（11）名称：安信证券股份有限公司</w:t>
      </w:r>
    </w:p>
    <w:p w14:paraId="0F08E7EF"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住所：深圳市福田区金田路4018号安联大厦35层、28层A02单元</w:t>
      </w:r>
    </w:p>
    <w:p w14:paraId="63B668A1"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办公地址：深圳市福田区金田路4018号安联大厦35层、28层A02单元</w:t>
      </w:r>
    </w:p>
    <w:p w14:paraId="67D8DA27"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法定代表人：黄炎勋</w:t>
      </w:r>
    </w:p>
    <w:p w14:paraId="0535F911"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电话：（0755）82558305</w:t>
      </w:r>
    </w:p>
    <w:p w14:paraId="02A0AE10"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传真：（0755）82558355</w:t>
      </w:r>
    </w:p>
    <w:p w14:paraId="694247B8"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联系人：陈剑虹</w:t>
      </w:r>
    </w:p>
    <w:p w14:paraId="2EC6489F"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客户服务电话：400-800-1001</w:t>
      </w:r>
    </w:p>
    <w:p w14:paraId="07DCC006"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网址：www.essence.com.cn</w:t>
      </w:r>
    </w:p>
    <w:p w14:paraId="3ABF6BDD"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（12）名称：中泰证券股份有限公司</w:t>
      </w:r>
    </w:p>
    <w:p w14:paraId="5C99D447"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住所：山东省济南市市中区经七路86号</w:t>
      </w:r>
    </w:p>
    <w:p w14:paraId="14717D37"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办公地址：山东省济南市市中区经七路86号</w:t>
      </w:r>
    </w:p>
    <w:p w14:paraId="60DD5D27"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法定代表人：李玮</w:t>
      </w:r>
    </w:p>
    <w:p w14:paraId="274B8786"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电话：（0531）68889155</w:t>
      </w:r>
    </w:p>
    <w:p w14:paraId="179AD7CE"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传真：（0531）68889752</w:t>
      </w:r>
    </w:p>
    <w:p w14:paraId="2A55AF30"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联系人：许曼华</w:t>
      </w:r>
    </w:p>
    <w:p w14:paraId="342E8481"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客户服务电话：95538</w:t>
      </w:r>
    </w:p>
    <w:p w14:paraId="779E07F3"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网址：www.zts.com.cn</w:t>
      </w:r>
    </w:p>
    <w:p w14:paraId="04A3F33C"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（13）名称：招商证券股份有限公司</w:t>
      </w:r>
    </w:p>
    <w:p w14:paraId="20B70550"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住所：深圳市福田区福田街道福华一路111号</w:t>
      </w:r>
    </w:p>
    <w:p w14:paraId="2853909A"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办公地址：深圳市福田区益田路江苏大厦A座38-45层</w:t>
      </w:r>
    </w:p>
    <w:p w14:paraId="28DF22D0"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法定代表人：霍达</w:t>
      </w:r>
    </w:p>
    <w:p w14:paraId="13474840"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电话：（0755）82943666</w:t>
      </w:r>
    </w:p>
    <w:p w14:paraId="30AB8C0E"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传真：（0755）82943636</w:t>
      </w:r>
    </w:p>
    <w:p w14:paraId="4028AF88"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联系人：黄婵君</w:t>
      </w:r>
    </w:p>
    <w:p w14:paraId="73E2C1F4"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客户服务电话：400-8888-111，95565</w:t>
      </w:r>
    </w:p>
    <w:p w14:paraId="5D37ADC4"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网址：www.newone.com.cn</w:t>
      </w:r>
    </w:p>
    <w:p w14:paraId="3C12296C"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（14）名称：山西证券股份有限公司</w:t>
      </w:r>
    </w:p>
    <w:p w14:paraId="1FCBD952"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住所：山西省太原市府西街69号山西国际贸易中心东塔楼</w:t>
      </w:r>
    </w:p>
    <w:p w14:paraId="6A5CE465"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办公地址：山西省太原市府西街69号山西国际贸易中心东塔楼</w:t>
      </w:r>
    </w:p>
    <w:p w14:paraId="08B2ED15"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法定代表人：侯巍</w:t>
      </w:r>
    </w:p>
    <w:p w14:paraId="533DF1CE"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电话：0351—8686815</w:t>
      </w:r>
    </w:p>
    <w:p w14:paraId="0A724800"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联系人：谢武兵</w:t>
      </w:r>
    </w:p>
    <w:p w14:paraId="5D40EB82"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客户服务电话：400-666-1618、95573</w:t>
      </w:r>
    </w:p>
    <w:p w14:paraId="1E97CD52"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网址：www.i618.com.cn</w:t>
      </w:r>
    </w:p>
    <w:p w14:paraId="40AC7644"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（15）名称：联储证券有限责任公司</w:t>
      </w:r>
    </w:p>
    <w:p w14:paraId="3341E060"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住所：深圳市福田区福田街道岗厦社区深南大道南侧金地中心大厦9楼</w:t>
      </w:r>
    </w:p>
    <w:p w14:paraId="01499C45"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办公地址：北京市朝阳区安定路5号院3号楼中建财富国际中心27层联储证券</w:t>
      </w:r>
    </w:p>
    <w:p w14:paraId="7FFCAAED"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法定代表人：吕春卫</w:t>
      </w:r>
    </w:p>
    <w:p w14:paraId="1B363838"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传真：010-86499401</w:t>
      </w:r>
    </w:p>
    <w:p w14:paraId="0A176D93"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 祝博文、张婉婷</w:t>
      </w:r>
    </w:p>
    <w:p w14:paraId="3FD360D7"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客服电话: 400-620-6868</w:t>
      </w:r>
    </w:p>
    <w:p w14:paraId="2B36FA0A"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 www.lczq.com</w:t>
      </w:r>
    </w:p>
    <w:p w14:paraId="7723149E"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（16）名称：中信证券（山东）有限责任公司</w:t>
      </w:r>
    </w:p>
    <w:p w14:paraId="17DADA13"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住所：青岛市崂山区深圳路222号1号楼2001</w:t>
      </w:r>
    </w:p>
    <w:p w14:paraId="41ECDB4D"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办公地址：青岛市市南区东海西路28号龙翔广场东座5层</w:t>
      </w:r>
    </w:p>
    <w:p w14:paraId="36A5EEFE"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法定代表人：姜晓林</w:t>
      </w:r>
    </w:p>
    <w:p w14:paraId="16CE4DD5"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电话：0531-89606166</w:t>
      </w:r>
    </w:p>
    <w:p w14:paraId="038CA9C4"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传真：0532-85022605</w:t>
      </w:r>
    </w:p>
    <w:p w14:paraId="46597F52"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联系人：焦刚</w:t>
      </w:r>
    </w:p>
    <w:p w14:paraId="727652B0"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客户服务电话：95548</w:t>
      </w:r>
    </w:p>
    <w:p w14:paraId="404F2B57"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网址：sd.citics.com</w:t>
      </w:r>
    </w:p>
    <w:p w14:paraId="383E76C2"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（17）名称：中信证券股份有限公司</w:t>
      </w:r>
    </w:p>
    <w:p w14:paraId="4F5EB543"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住所：广东省深圳市福田区中心三路8号卓越时代广场（二期）北座</w:t>
      </w:r>
    </w:p>
    <w:p w14:paraId="7F5C9B6F"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办公地址：北京市朝阳区亮马桥路48号中信证券大厦</w:t>
      </w:r>
    </w:p>
    <w:p w14:paraId="1EC3F833"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法定代表人：张佑君</w:t>
      </w:r>
    </w:p>
    <w:p w14:paraId="5F156E34"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电话：010-60838888</w:t>
      </w:r>
    </w:p>
    <w:p w14:paraId="5431AB23"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客服电话：95548</w:t>
      </w:r>
    </w:p>
    <w:p w14:paraId="107F4D49"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网址：www.cs.ecitic.com</w:t>
      </w:r>
    </w:p>
    <w:p w14:paraId="7EC4AEC0"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（18）名称：中信证券华南股份有限公司</w:t>
      </w:r>
    </w:p>
    <w:p w14:paraId="5A70F5A8"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住所：广州市天河区珠江西路5号广州国际金融中心主塔19层、20层</w:t>
      </w:r>
    </w:p>
    <w:p w14:paraId="3A8D1C40"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办公地址：广州市天河区珠江西路5号广州国际金融中心主塔19层、20层</w:t>
      </w:r>
    </w:p>
    <w:p w14:paraId="5281A482"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法定代表人：胡伏云</w:t>
      </w:r>
    </w:p>
    <w:p w14:paraId="5290E039"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电话：020-88836999</w:t>
      </w:r>
    </w:p>
    <w:p w14:paraId="1AF6D21C"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传真：020-88836984</w:t>
      </w:r>
    </w:p>
    <w:p w14:paraId="09E74920"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联系人：陈靖</w:t>
      </w:r>
    </w:p>
    <w:p w14:paraId="08ED1902"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客服电话：（020）95396</w:t>
      </w:r>
    </w:p>
    <w:p w14:paraId="0AE5270A"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网址：www.gzs.com.cn</w:t>
      </w:r>
    </w:p>
    <w:p w14:paraId="14175EC9"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（19）名称：国信证券股份有限公司</w:t>
      </w:r>
    </w:p>
    <w:p w14:paraId="5F9C08AE"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住所：深圳市罗湖区红岭中路1012号国信证券大厦16-26楼</w:t>
      </w:r>
    </w:p>
    <w:p w14:paraId="0005D5E1"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办公地址：深圳市罗湖区红岭中路1012号国信证券大厦16-26楼</w:t>
      </w:r>
    </w:p>
    <w:p w14:paraId="7AEAC3F8"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法定代表人：何如</w:t>
      </w:r>
    </w:p>
    <w:p w14:paraId="1B6CF9E2"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电话：（0755）82130833</w:t>
      </w:r>
    </w:p>
    <w:p w14:paraId="3EBB0D06"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传真：（0755）82133952</w:t>
      </w:r>
    </w:p>
    <w:p w14:paraId="28EF6251"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联系人：周杨</w:t>
      </w:r>
    </w:p>
    <w:p w14:paraId="029B8DAE"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客户服务电话：95536</w:t>
      </w:r>
    </w:p>
    <w:p w14:paraId="2496EDEE"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网址：www.guosen.com.cn</w:t>
      </w:r>
    </w:p>
    <w:p w14:paraId="4D329343"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（20）名称：东莞证券股份有限公司</w:t>
      </w:r>
    </w:p>
    <w:p w14:paraId="28484CFB"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住所：广东省东莞市莞城区可园南路一号</w:t>
      </w:r>
    </w:p>
    <w:p w14:paraId="78BDF247"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办公地址：广东省东莞市莞城区可园南路一号</w:t>
      </w:r>
    </w:p>
    <w:p w14:paraId="2A04775E"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电话：（0769）22115712</w:t>
      </w:r>
    </w:p>
    <w:p w14:paraId="08642872"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传真：（0769）22115712</w:t>
      </w:r>
    </w:p>
    <w:p w14:paraId="057041FC"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联系人：李荣</w:t>
      </w:r>
    </w:p>
    <w:p w14:paraId="3EA0063C"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客户服务电话：95328</w:t>
      </w:r>
    </w:p>
    <w:p w14:paraId="1C1C13A6"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网址：www.dgzq.com</w:t>
      </w:r>
    </w:p>
    <w:p w14:paraId="7C2A97B3"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（21）名称：财通证券股份有限公司</w:t>
      </w:r>
    </w:p>
    <w:p w14:paraId="090AAA69"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注册地址：杭州市杭大路15号嘉华国际商务中心201、501、502、1103、1601-1615、1701-1716</w:t>
      </w:r>
    </w:p>
    <w:p w14:paraId="793845B3"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办公地址：杭州市杭大路15号嘉华国际商务中心201、501、502、1103、1601-1615、1701-1716</w:t>
      </w:r>
    </w:p>
    <w:p w14:paraId="7ED6CFC5"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 沈继宁</w:t>
      </w:r>
    </w:p>
    <w:p w14:paraId="11EDC090"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电话：0571-87789160</w:t>
      </w:r>
    </w:p>
    <w:p w14:paraId="690121DC"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 陶志华</w:t>
      </w:r>
    </w:p>
    <w:p w14:paraId="6B7CF50C"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客户服务电话：95336,40086-96336</w:t>
      </w:r>
    </w:p>
    <w:p w14:paraId="33D1BE6D"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网址：www.ctsec.com</w:t>
      </w:r>
    </w:p>
    <w:p w14:paraId="10833930"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（22）名称：中国国际金融股份有限公司</w:t>
      </w:r>
    </w:p>
    <w:p w14:paraId="153594E5"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住所：北京建国门外大街1号国贸大厦2座27层及28层</w:t>
      </w:r>
    </w:p>
    <w:p w14:paraId="439DE058"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办公地址：北京建国门外大街1号国贸大厦2座27层及28层</w:t>
      </w:r>
    </w:p>
    <w:p w14:paraId="1AB470EE"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法定代表人：毕明建</w:t>
      </w:r>
    </w:p>
    <w:p w14:paraId="175D0F97"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电话：（010）65051166</w:t>
      </w:r>
    </w:p>
    <w:p w14:paraId="682BBF03"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传真：（010）85679203</w:t>
      </w:r>
    </w:p>
    <w:p w14:paraId="714BC7E7"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联系人：杨涵宇</w:t>
      </w:r>
    </w:p>
    <w:p w14:paraId="0340E5C1"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网址：www.cicc.com.cn</w:t>
      </w:r>
    </w:p>
    <w:p w14:paraId="6BBAC1E7"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（23）名称：万联证券股份有限公司</w:t>
      </w:r>
    </w:p>
    <w:p w14:paraId="76AD9BE0"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住所：广东省广州市天河区珠江东路11号高德置地广场F座18、19层</w:t>
      </w:r>
    </w:p>
    <w:p w14:paraId="7D41D2F0"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办公地址：广东省广州市天河区珠江东路13号高德置地广场E座12层</w:t>
      </w:r>
    </w:p>
    <w:p w14:paraId="6146370C"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法定代表人：罗钦城</w:t>
      </w:r>
    </w:p>
    <w:p w14:paraId="5DBABCEC"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联系电话：020-83988334</w:t>
      </w:r>
    </w:p>
    <w:p w14:paraId="5FEE8359"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传真：020-38286588</w:t>
      </w:r>
    </w:p>
    <w:p w14:paraId="5C31D076"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联系人：丁思</w:t>
      </w:r>
    </w:p>
    <w:p w14:paraId="7E17249E"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客户服务电话：95322</w:t>
      </w:r>
    </w:p>
    <w:p w14:paraId="58E4B4DD"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网址：www.wlzq.cn</w:t>
      </w:r>
    </w:p>
    <w:p w14:paraId="58FB58AD"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（24）名称：华龙证券股份有限公司</w:t>
      </w:r>
    </w:p>
    <w:p w14:paraId="3D85CF3F"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住所：兰州市城关区东岗西路638号财富中心</w:t>
      </w:r>
    </w:p>
    <w:p w14:paraId="516C7B07"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办公地址：兰州市城关区东岗西路638号财富中心</w:t>
      </w:r>
    </w:p>
    <w:p w14:paraId="49B89EE6"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法定代表人：李晓安</w:t>
      </w:r>
    </w:p>
    <w:p w14:paraId="4AB4B1D9"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电话：（0931）4890208</w:t>
      </w:r>
    </w:p>
    <w:p w14:paraId="1117B8F0"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传真：（0931）4890628</w:t>
      </w:r>
    </w:p>
    <w:p w14:paraId="561E8044"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联系人：李昕田</w:t>
      </w:r>
    </w:p>
    <w:p w14:paraId="6B2B8991"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客户服务电话：4006898888、（0931）4890208</w:t>
      </w:r>
    </w:p>
    <w:p w14:paraId="004969DA"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网址：www.hlzqgs.com</w:t>
      </w:r>
    </w:p>
    <w:p w14:paraId="1B6E9282"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（25）名称：西部证券股份有限公司</w:t>
      </w:r>
    </w:p>
    <w:p w14:paraId="7BF7558C"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住所：陕西省西安市新城区东新街 319 号 8 幢 10000 室</w:t>
      </w:r>
    </w:p>
    <w:p w14:paraId="5A99DFA8"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办公地址：陕西省西安市新城区东新街 319 号 8 幢 10000 室</w:t>
      </w:r>
    </w:p>
    <w:p w14:paraId="5C261D5A"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法定代表人：徐朝晖</w:t>
      </w:r>
    </w:p>
    <w:p w14:paraId="3D40E00F"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电话：029-87211668</w:t>
      </w:r>
    </w:p>
    <w:p w14:paraId="7CE07B88"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w:t>
      </w:r>
    </w:p>
    <w:p w14:paraId="4AF019AD"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联系人：张吉安</w:t>
      </w:r>
    </w:p>
    <w:p w14:paraId="7815D2B1"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客户服务电话：95582</w:t>
      </w:r>
    </w:p>
    <w:p w14:paraId="7840D020"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网址：www.west95582.com</w:t>
      </w:r>
    </w:p>
    <w:p w14:paraId="697D5754"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（26）名称：东兴证券股份有限公司</w:t>
      </w:r>
    </w:p>
    <w:p w14:paraId="088C2D87"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住所：北京市西城区金融大街5号新盛大厦B座12-15层</w:t>
      </w:r>
    </w:p>
    <w:p w14:paraId="04BB38C3"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法定代表人：徐勇力</w:t>
      </w:r>
    </w:p>
    <w:p w14:paraId="1D7D4478"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电话：（010）66555316</w:t>
      </w:r>
    </w:p>
    <w:p w14:paraId="69B868D6"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传真：（010）66555246</w:t>
      </w:r>
    </w:p>
    <w:p w14:paraId="629AD140"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联系人：汤漫川</w:t>
      </w:r>
    </w:p>
    <w:p w14:paraId="685A7996"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 400-8888-993</w:t>
      </w:r>
    </w:p>
    <w:p w14:paraId="71F75A90"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网址：www.dxzq.net</w:t>
      </w:r>
    </w:p>
    <w:p w14:paraId="395A35CE"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（27）名称：国联证券股份有限公司</w:t>
      </w:r>
    </w:p>
    <w:p w14:paraId="54CF0477"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住所：江苏省无锡市金融一街8号</w:t>
      </w:r>
    </w:p>
    <w:p w14:paraId="24EB20E6"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办公地址：江苏省无锡市金融一街8号</w:t>
      </w:r>
    </w:p>
    <w:p w14:paraId="6B59DEF6"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法定代表人：姚志勇</w:t>
      </w:r>
    </w:p>
    <w:p w14:paraId="71CB612D"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联系电话：0510-82831662</w:t>
      </w:r>
    </w:p>
    <w:p w14:paraId="225BE513"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传真：0510-82830162</w:t>
      </w:r>
    </w:p>
    <w:p w14:paraId="3A6FC8C5"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联系人：吕胜强</w:t>
      </w:r>
    </w:p>
    <w:p w14:paraId="6D75F040"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客户服务电话：95570</w:t>
      </w:r>
    </w:p>
    <w:p w14:paraId="608EBA6A"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网址：www.glsc.com.cn</w:t>
      </w:r>
    </w:p>
    <w:p w14:paraId="5E925563"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（28）名称：华宝证券股份有限公司</w:t>
      </w:r>
    </w:p>
    <w:p w14:paraId="2EE2B1D9"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住所：中国上海市陆家嘴环路166号未来资产大厦27楼</w:t>
      </w:r>
    </w:p>
    <w:p w14:paraId="49CDA77A"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办公地址：中国上海市浦东新区世纪大道100号上海环球金融中心57楼</w:t>
      </w:r>
    </w:p>
    <w:p w14:paraId="719EBE65"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 陈林</w:t>
      </w:r>
    </w:p>
    <w:p w14:paraId="71FB290A"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电话：（021）68777222</w:t>
      </w:r>
    </w:p>
    <w:p w14:paraId="4B626AAE"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传真：（021）68777822</w:t>
      </w:r>
    </w:p>
    <w:p w14:paraId="19A36D67"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联系人：赵洁</w:t>
      </w:r>
    </w:p>
    <w:p w14:paraId="2DA8DA3E"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客户服务电话：400-820-9898</w:t>
      </w:r>
    </w:p>
    <w:p w14:paraId="41C93D7D"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网址：www.cnhbstock.com</w:t>
      </w:r>
    </w:p>
    <w:p w14:paraId="6048AA64"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（29）名称：广发证券股份有限公司</w:t>
      </w:r>
    </w:p>
    <w:p w14:paraId="5EBDB131"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住所：广州市黄埔区中新广州知识城腾飞一街2号618室</w:t>
      </w:r>
    </w:p>
    <w:p w14:paraId="2E439019"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办公地址：广州市天河区马场路26号广发证券大厦</w:t>
      </w:r>
    </w:p>
    <w:p w14:paraId="70FBED1D"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法定代表人：孙树明</w:t>
      </w:r>
    </w:p>
    <w:p w14:paraId="0BC4702B"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电话：（020）66338888</w:t>
      </w:r>
    </w:p>
    <w:p w14:paraId="0A0FD434"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传真：（020）87553600</w:t>
      </w:r>
    </w:p>
    <w:p w14:paraId="1C4C734F"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联系人：马梦洁</w:t>
      </w:r>
    </w:p>
    <w:p w14:paraId="3BF05BD1"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客户服务电话：95575</w:t>
      </w:r>
    </w:p>
    <w:p w14:paraId="0EFF2AA9"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网址：www.gf.com.cn</w:t>
      </w:r>
    </w:p>
    <w:p w14:paraId="6E143EAD"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（30）名称：天风证券股份有限公司</w:t>
      </w:r>
    </w:p>
    <w:p w14:paraId="19B57646"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注册地址：湖北省武汉市东湖新技术开发区关东园路2号高科大厦4楼</w:t>
      </w:r>
    </w:p>
    <w:p w14:paraId="618725FB"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办公地址：武汉市武昌区中南路99号保利广场A座37楼</w:t>
      </w:r>
    </w:p>
    <w:p w14:paraId="18C90420"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法定代表人：余磊</w:t>
      </w:r>
    </w:p>
    <w:p w14:paraId="72AFEF5A"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联系电话：027-87107535</w:t>
      </w:r>
    </w:p>
    <w:p w14:paraId="627E4495"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传真：027-87618863</w:t>
      </w:r>
    </w:p>
    <w:p w14:paraId="2119EFC2"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联系人：王雅薇</w:t>
      </w:r>
    </w:p>
    <w:p w14:paraId="7B0FA0F7"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客户服务电话：95391 / 400-800-5000</w:t>
      </w:r>
    </w:p>
    <w:p w14:paraId="219F2C7A"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网址：www.tfzq.com</w:t>
      </w:r>
    </w:p>
    <w:p w14:paraId="727A0AD3"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（31）名称：国金证券股份有限公司</w:t>
      </w:r>
    </w:p>
    <w:p w14:paraId="4EFE3DEF"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住所：四川省成都市东城根上街95号</w:t>
      </w:r>
    </w:p>
    <w:p w14:paraId="0A9AC847"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办公地址：成都市东城根上街95号</w:t>
      </w:r>
    </w:p>
    <w:p w14:paraId="6F020616"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法定代表人：冉云</w:t>
      </w:r>
    </w:p>
    <w:p w14:paraId="3BB05FF8"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电话：（028）86690057，（028）86690058</w:t>
      </w:r>
    </w:p>
    <w:p w14:paraId="785E8F2C"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传真：（028）86690126</w:t>
      </w:r>
    </w:p>
    <w:p w14:paraId="5EA78245"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联系人：刘婧漪 贾鹏</w:t>
      </w:r>
    </w:p>
    <w:p w14:paraId="5B3D717F"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客户服务电话：95310</w:t>
      </w:r>
    </w:p>
    <w:p w14:paraId="5F380C92"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网址：www.gjzq.com.cn</w:t>
      </w:r>
    </w:p>
    <w:p w14:paraId="04472B6A"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（32）名称：海通证券股份有限公司</w:t>
      </w:r>
    </w:p>
    <w:p w14:paraId="395923FA"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住所：上海市淮海中路98号</w:t>
      </w:r>
    </w:p>
    <w:p w14:paraId="2BC5F694"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办公地址：上海市广东路689号</w:t>
      </w:r>
    </w:p>
    <w:p w14:paraId="64914D8D"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法定代表人：王开国</w:t>
      </w:r>
    </w:p>
    <w:p w14:paraId="3559067F"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电话：（021）23219000</w:t>
      </w:r>
    </w:p>
    <w:p w14:paraId="335AFBAC"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传真：（021）23219100</w:t>
      </w:r>
    </w:p>
    <w:p w14:paraId="4475BE8A"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联系人：李笑鸣</w:t>
      </w:r>
    </w:p>
    <w:p w14:paraId="741B91CA"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客户服务电话：95553或拨打各城市营业网点咨询电话</w:t>
      </w:r>
    </w:p>
    <w:p w14:paraId="60B4F488"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网址：www.htsec.com"</w:t>
      </w:r>
    </w:p>
    <w:p w14:paraId="1915F2E1"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（33）名称：恒泰证券股份有限公司</w:t>
      </w:r>
    </w:p>
    <w:p w14:paraId="7A1363AC"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住所：内蒙古呼和浩特市新城区新华东街111号</w:t>
      </w:r>
    </w:p>
    <w:p w14:paraId="54E3B7B1"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办公地址：内蒙古呼和浩特市新城区新华东街111号</w:t>
      </w:r>
    </w:p>
    <w:p w14:paraId="3F0AE508"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法定代表人：庞介民</w:t>
      </w:r>
    </w:p>
    <w:p w14:paraId="200134AE"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电话：（0471）4979037</w:t>
      </w:r>
    </w:p>
    <w:p w14:paraId="694EC9B4"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传真：（0471）4961259</w:t>
      </w:r>
    </w:p>
    <w:p w14:paraId="0E9CFE12"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联系人：王旭华</w:t>
      </w:r>
    </w:p>
    <w:p w14:paraId="37CBBFCC"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客户服务电话：（0471）4960762，（021）68405273</w:t>
      </w:r>
    </w:p>
    <w:p w14:paraId="1E89C4FC"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网址：www.cnht.com.cn</w:t>
      </w:r>
    </w:p>
    <w:p w14:paraId="2656C327"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（34）名称：方正中期期货有限公司</w:t>
      </w:r>
    </w:p>
    <w:p w14:paraId="69896D35"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住所：北京市石景山区金府路32号院3号楼5层512室</w:t>
      </w:r>
    </w:p>
    <w:p w14:paraId="582F7361"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办公地址：北京市朝阳区东三环北路38号院1号泰康金融大厦22层</w:t>
      </w:r>
    </w:p>
    <w:p w14:paraId="2F6A2402"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法定代表人：姜志军</w:t>
      </w:r>
    </w:p>
    <w:p w14:paraId="15F43D6A"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联系电话：010-85881211</w:t>
      </w:r>
    </w:p>
    <w:p w14:paraId="55E4D96F"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传真：010-85881394</w:t>
      </w:r>
    </w:p>
    <w:p w14:paraId="47764D91"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联系人：罗雯</w:t>
      </w:r>
    </w:p>
    <w:p w14:paraId="208A9024"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客户服务电话：4008802277</w:t>
      </w:r>
    </w:p>
    <w:p w14:paraId="7EC86E18"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网址：www.founderfu.com</w:t>
      </w:r>
    </w:p>
    <w:p w14:paraId="6A3497AF"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（35）名称：国泰君安证券股份有限公司</w:t>
      </w:r>
    </w:p>
    <w:p w14:paraId="7EAC1646"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注册地址：中国（上海）自由贸易试验区商城路618号</w:t>
      </w:r>
    </w:p>
    <w:p w14:paraId="2ADF6561"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办公地址：上海市静安区南京西路768号国泰君安大厦</w:t>
      </w:r>
    </w:p>
    <w:p w14:paraId="57410E15"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法定代表人：贺青</w:t>
      </w:r>
    </w:p>
    <w:p w14:paraId="75C61F48"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联系电话：021-38676666</w:t>
      </w:r>
    </w:p>
    <w:p w14:paraId="4CAAFD53"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传真：021-38670666</w:t>
      </w:r>
    </w:p>
    <w:p w14:paraId="56C52FD8"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联系人：朱雅崴</w:t>
      </w:r>
    </w:p>
    <w:p w14:paraId="65C95160"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服务热线 : 95521 / 4008888666</w:t>
      </w:r>
    </w:p>
    <w:p w14:paraId="7743BCE5"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网址：www.gtja.com</w:t>
      </w:r>
    </w:p>
    <w:p w14:paraId="7CB2820B"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（36）名称：北京钱景财富投资管理有限公司</w:t>
      </w:r>
    </w:p>
    <w:p w14:paraId="6733CCB7"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住所：北京市海淀区丹棱街6幢1号9层1008-1012</w:t>
      </w:r>
    </w:p>
    <w:p w14:paraId="494177E6"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办公地址：北京市海淀区丹棱街6幢1号9层1008-1012</w:t>
      </w:r>
    </w:p>
    <w:p w14:paraId="6FA19036"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法定代表人：赵荣春</w:t>
      </w:r>
    </w:p>
    <w:p w14:paraId="242669C5"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电话：（010）57418829</w:t>
      </w:r>
    </w:p>
    <w:p w14:paraId="70B471AC"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传真：（010）57569671</w:t>
      </w:r>
    </w:p>
    <w:p w14:paraId="5579BBC9"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 魏争</w:t>
      </w:r>
    </w:p>
    <w:p w14:paraId="3A25E1DD"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 400-678-5095</w:t>
      </w:r>
    </w:p>
    <w:p w14:paraId="5A56BEF0"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网址：www.niuji.net</w:t>
      </w:r>
    </w:p>
    <w:p w14:paraId="4CE7ED5B"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（37）名称：北京肯特瑞基金销售有限公司</w:t>
      </w:r>
    </w:p>
    <w:p w14:paraId="788992AC" w14:textId="77777777" w:rsidR="00FB4D29" w:rsidRPr="002C1FF7" w:rsidRDefault="00CF4592" w:rsidP="002C1FF7">
      <w:pPr>
        <w:autoSpaceDE w:val="0"/>
        <w:autoSpaceDN w:val="0"/>
        <w:adjustRightInd w:val="0"/>
        <w:snapToGrid w:val="0"/>
        <w:spacing w:line="360" w:lineRule="auto"/>
        <w:ind w:firstLineChars="200" w:firstLine="480"/>
        <w:jc w:val="left"/>
        <w:rPr>
          <w:rFonts w:ascii="宋体" w:hAnsi="宋体"/>
          <w:sz w:val="24"/>
        </w:rPr>
      </w:pPr>
      <w:r w:rsidRPr="002C1FF7">
        <w:rPr>
          <w:rFonts w:ascii="宋体" w:hAnsi="宋体" w:hint="eastAsia"/>
          <w:sz w:val="24"/>
        </w:rPr>
        <w:t>住所：</w:t>
      </w:r>
      <w:r w:rsidRPr="002C1FF7">
        <w:rPr>
          <w:rFonts w:ascii="宋体" w:hAnsi="宋体"/>
          <w:sz w:val="24"/>
        </w:rPr>
        <w:t xml:space="preserve"> </w:t>
      </w:r>
      <w:r w:rsidRPr="002C1FF7">
        <w:rPr>
          <w:rFonts w:ascii="宋体" w:hAnsi="宋体" w:hint="eastAsia"/>
          <w:sz w:val="24"/>
        </w:rPr>
        <w:t>北京市海淀区西三旗建材城中路</w:t>
      </w:r>
      <w:r w:rsidRPr="002C1FF7">
        <w:rPr>
          <w:rFonts w:ascii="宋体" w:hAnsi="宋体"/>
          <w:sz w:val="24"/>
        </w:rPr>
        <w:t>12号17号平房157</w:t>
      </w:r>
    </w:p>
    <w:p w14:paraId="50CCCFC9"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办公地址：北京市通州区亦庄经济技术开发区科创十一街18号院京东集团总部A座15层</w:t>
      </w:r>
    </w:p>
    <w:p w14:paraId="5C4C433C"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法定代表人：王苏宁</w:t>
      </w:r>
    </w:p>
    <w:p w14:paraId="74BC403E"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电话：95118</w:t>
      </w:r>
    </w:p>
    <w:p w14:paraId="74F9767E"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传真：010-89189566</w:t>
      </w:r>
    </w:p>
    <w:p w14:paraId="2143B63D"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联系人：李丹</w:t>
      </w:r>
    </w:p>
    <w:p w14:paraId="3DB2FC61"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客服热线：95118</w:t>
      </w:r>
    </w:p>
    <w:p w14:paraId="1688F440"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网址：kenterui.jd.com</w:t>
      </w:r>
    </w:p>
    <w:p w14:paraId="1F0EFB04"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（38）名称：上海大智慧基金销售有限公司</w:t>
      </w:r>
    </w:p>
    <w:p w14:paraId="1CC09209"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住所：上海市浦东新区杨高南路428号1号楼10-11层</w:t>
      </w:r>
    </w:p>
    <w:p w14:paraId="22AF24FC"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办公地址：上海市浦东新区杨高南路428号1号楼10-11层</w:t>
      </w:r>
    </w:p>
    <w:p w14:paraId="342A967D"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法定代表人：申健</w:t>
      </w:r>
    </w:p>
    <w:p w14:paraId="60DC0310"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电话：021-0219988-35374</w:t>
      </w:r>
    </w:p>
    <w:p w14:paraId="736E6BDA"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传真：021-20219923</w:t>
      </w:r>
    </w:p>
    <w:p w14:paraId="6E2C91BD"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联系人：张蜓</w:t>
      </w:r>
    </w:p>
    <w:p w14:paraId="3EDFF021"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客户服务电话：021-20292031</w:t>
      </w:r>
    </w:p>
    <w:p w14:paraId="300BEE31"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网址：https://www.wg.com.cn</w:t>
      </w:r>
    </w:p>
    <w:p w14:paraId="54BD9D39"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（39）名称：珠海盈米财富管理有限公司</w:t>
      </w:r>
    </w:p>
    <w:p w14:paraId="0945823B"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住所：珠海市横琴新区宝华路6号105室-3491</w:t>
      </w:r>
    </w:p>
    <w:p w14:paraId="4AA1C1D6"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办公地址：广州市海珠区琶洲大道东1号保利国际广场南塔12楼B1201-1203</w:t>
      </w:r>
    </w:p>
    <w:p w14:paraId="3A96159F"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法定代表人：肖雯</w:t>
      </w:r>
    </w:p>
    <w:p w14:paraId="2AC8374D"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电话：（020）89629099</w:t>
      </w:r>
    </w:p>
    <w:p w14:paraId="5DFE43D6"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传真：（020）89629011</w:t>
      </w:r>
    </w:p>
    <w:p w14:paraId="7E7D51CA"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联系人：黄敏嫦</w:t>
      </w:r>
    </w:p>
    <w:p w14:paraId="28B7A58D"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客户服务电话：（020）89629066</w:t>
      </w:r>
    </w:p>
    <w:p w14:paraId="2856CCBE"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网址：www.yingmi.cn</w:t>
      </w:r>
    </w:p>
    <w:p w14:paraId="24F9698B"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（40）名称：北京汇成基金销售有限公司</w:t>
      </w:r>
    </w:p>
    <w:p w14:paraId="0F52CF24"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住所：北京市海淀区中关村大街11号11层1108</w:t>
      </w:r>
    </w:p>
    <w:p w14:paraId="76E16327"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办公地址：北京市海淀区中关村大街11号11层1108</w:t>
      </w:r>
    </w:p>
    <w:p w14:paraId="3FA5CF85"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法定代表人：王伟刚</w:t>
      </w:r>
    </w:p>
    <w:p w14:paraId="57170100"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电话：（010）56282140</w:t>
      </w:r>
    </w:p>
    <w:p w14:paraId="288E351E"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传真：（010）62680827</w:t>
      </w:r>
    </w:p>
    <w:p w14:paraId="72988AC0"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联系人：丁向坤</w:t>
      </w:r>
    </w:p>
    <w:p w14:paraId="610FD332"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客户服务电话：400-619-9059</w:t>
      </w:r>
    </w:p>
    <w:p w14:paraId="37261149"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网址：www.fundzone.cn、www.51jijinhui.com</w:t>
      </w:r>
    </w:p>
    <w:p w14:paraId="4A71FB7B"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（41）名称：上海利得基金销售有限公司</w:t>
      </w:r>
    </w:p>
    <w:p w14:paraId="11C96EFC"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 上海浦东新区峨山路91弄61号陆家嘴软件园10号楼12楼</w:t>
      </w:r>
    </w:p>
    <w:p w14:paraId="77B37017"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办公地址：上海浦东新区峨山路91弄61号陆家嘴软件园10号楼12楼</w:t>
      </w:r>
    </w:p>
    <w:p w14:paraId="39E02B8D"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法定代表人：沈继伟</w:t>
      </w:r>
    </w:p>
    <w:p w14:paraId="67F38A2D"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电话：021-50583533</w:t>
      </w:r>
    </w:p>
    <w:p w14:paraId="0508C4E8"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传真：021-50583633</w:t>
      </w:r>
    </w:p>
    <w:p w14:paraId="3C76A29E"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 徐鹏</w:t>
      </w:r>
    </w:p>
    <w:p w14:paraId="2E4952ED"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客服电话：400-005-6355</w:t>
      </w:r>
    </w:p>
    <w:p w14:paraId="4DFF2B88"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网址：a.leadfund.com.cn</w:t>
      </w:r>
    </w:p>
    <w:p w14:paraId="5135EDA7"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（42）名称：上海凯石财富基金销售有限公司</w:t>
      </w:r>
    </w:p>
    <w:p w14:paraId="1CEAF311"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住所：上海市黄浦区西藏南路765号602-115室</w:t>
      </w:r>
    </w:p>
    <w:p w14:paraId="7C7B8D04"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办公地址：上海市黄浦区延安东路1号凯石大厦4楼</w:t>
      </w:r>
    </w:p>
    <w:p w14:paraId="2ADDDB59"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法定代表人：陈继武</w:t>
      </w:r>
    </w:p>
    <w:p w14:paraId="1C34B9C7"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电话：021-63333319</w:t>
      </w:r>
    </w:p>
    <w:p w14:paraId="2DC7D5F8"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传真：021-63332523</w:t>
      </w:r>
    </w:p>
    <w:p w14:paraId="66685A4A"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联系人：李晓明</w:t>
      </w:r>
    </w:p>
    <w:p w14:paraId="4C5CC8DC"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客服电话：4000 178 000</w:t>
      </w:r>
    </w:p>
    <w:p w14:paraId="1E92830E"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网址：www.lingxianfund.com</w:t>
      </w:r>
    </w:p>
    <w:p w14:paraId="75BA6F79"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（43）名称：北京虹点基金销售有限公司</w:t>
      </w:r>
    </w:p>
    <w:p w14:paraId="0C53686D"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住所：北京市朝阳区工人体育场北路甲2号裙房2层222单元</w:t>
      </w:r>
    </w:p>
    <w:p w14:paraId="76D9CDA0"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办公地址：北京市朝阳区工人体育场北路甲2号裙房2层222单元</w:t>
      </w:r>
    </w:p>
    <w:p w14:paraId="1CB25D87"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法定代表人：胡伟</w:t>
      </w:r>
    </w:p>
    <w:p w14:paraId="01BAB4D3"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电话：（010）65951887</w:t>
      </w:r>
    </w:p>
    <w:p w14:paraId="72B7BFA4"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传真：（010）65951887</w:t>
      </w:r>
    </w:p>
    <w:p w14:paraId="0E3FF13E"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联系人：姜颖</w:t>
      </w:r>
    </w:p>
    <w:p w14:paraId="461688E7"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客户服务电话：400-618-0707</w:t>
      </w:r>
    </w:p>
    <w:p w14:paraId="698ED44A"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网址：www.hongdianfund.com/</w:t>
      </w:r>
    </w:p>
    <w:p w14:paraId="27731AF0"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（44）名称：上海陆金所资产管理有限公司</w:t>
      </w:r>
    </w:p>
    <w:p w14:paraId="05DD2CED"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住所：上海市浦东新区陆家嘴环路1333号14楼09单元</w:t>
      </w:r>
    </w:p>
    <w:p w14:paraId="11113B5E"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办公地址：上海市浦东新区陆家嘴环路1333号14楼</w:t>
      </w:r>
    </w:p>
    <w:p w14:paraId="5D1F529F"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法定代表人：郭坚</w:t>
      </w:r>
    </w:p>
    <w:p w14:paraId="15B196EC"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电话：（021）20665952</w:t>
      </w:r>
    </w:p>
    <w:p w14:paraId="58F7AA8F"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传真：（021）22066653</w:t>
      </w:r>
    </w:p>
    <w:p w14:paraId="30570D16"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联系人：宁博宇</w:t>
      </w:r>
    </w:p>
    <w:p w14:paraId="169DD65E"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客户服务电话：4008219031</w:t>
      </w:r>
    </w:p>
    <w:p w14:paraId="403591AA"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网址：www.lufunds.com</w:t>
      </w:r>
    </w:p>
    <w:p w14:paraId="62220577"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（45）名称：天津万家财富资产管理有限公司</w:t>
      </w:r>
    </w:p>
    <w:p w14:paraId="4E3896D9"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住所：天津自贸区（中心商务区）迎宾大道1988号滨海浙商大厦公寓2-2413室</w:t>
      </w:r>
    </w:p>
    <w:p w14:paraId="6BFFDCE5"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办公地址：北京市西城区丰盛胡同28号太平洋保险大厦5层</w:t>
      </w:r>
    </w:p>
    <w:p w14:paraId="51CA23C4"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法定代表人：李修辞</w:t>
      </w:r>
    </w:p>
    <w:p w14:paraId="52CB09AB"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电话：（010）59013828</w:t>
      </w:r>
    </w:p>
    <w:p w14:paraId="523EBB70"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传真：（010）59013707</w:t>
      </w:r>
    </w:p>
    <w:p w14:paraId="4BA99B1E"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联系人：王芳芳</w:t>
      </w:r>
    </w:p>
    <w:p w14:paraId="44B0A929"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客户服务电话：010-59013842</w:t>
      </w:r>
    </w:p>
    <w:p w14:paraId="48566CE0"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网址：http://www.wanjiawealth.com/</w:t>
      </w:r>
    </w:p>
    <w:p w14:paraId="369BA531"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（46）名称：上海万得基金销售有限公司</w:t>
      </w:r>
    </w:p>
    <w:p w14:paraId="0C1D1E26"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住所：中国（上海）自由贸易试验区福山路33号11楼B座</w:t>
      </w:r>
    </w:p>
    <w:p w14:paraId="541A4702"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办公地址：上海市浦东新区福山路33号9楼</w:t>
      </w:r>
    </w:p>
    <w:p w14:paraId="0F230234"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法定代表人： 王廷富</w:t>
      </w:r>
    </w:p>
    <w:p w14:paraId="4D183CA3"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电话：021-50712782</w:t>
      </w:r>
    </w:p>
    <w:p w14:paraId="35DB1873"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传真：021-50710161</w:t>
      </w:r>
    </w:p>
    <w:p w14:paraId="3145C873"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 徐亚丹</w:t>
      </w:r>
    </w:p>
    <w:p w14:paraId="5D27A0FE"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客户服务电话：400-821-0203</w:t>
      </w:r>
    </w:p>
    <w:p w14:paraId="54581979"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 www.520fund.com.cn</w:t>
      </w:r>
    </w:p>
    <w:p w14:paraId="52D611B2"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（47）名称：格上富信投资顾问有限公司</w:t>
      </w:r>
    </w:p>
    <w:p w14:paraId="7971B23A"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住所：北京市朝阳区东三环北路19号楼701内09室</w:t>
      </w:r>
    </w:p>
    <w:p w14:paraId="19CF4FBC"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办公地址：北京市朝阳区东三环北路19号楼701内09室</w:t>
      </w:r>
    </w:p>
    <w:p w14:paraId="4132B218"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法定代表人：李悦章</w:t>
      </w:r>
    </w:p>
    <w:p w14:paraId="50E7118B"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电话：（010）85594745</w:t>
      </w:r>
    </w:p>
    <w:p w14:paraId="4B98DEA2"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传真：（010）65983333</w:t>
      </w:r>
    </w:p>
    <w:p w14:paraId="42A1BE39"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联系人：张林</w:t>
      </w:r>
    </w:p>
    <w:p w14:paraId="520B7496"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客户服务电话：400-066-8586</w:t>
      </w:r>
    </w:p>
    <w:p w14:paraId="1C847D34"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网址：www.igesafe.com</w:t>
      </w:r>
    </w:p>
    <w:p w14:paraId="21C3FE26"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（48）名称：深圳市金斧子基金销售有限公司</w:t>
      </w:r>
    </w:p>
    <w:p w14:paraId="76F9AB81"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住所：深圳市南山区粤海街道科苑路16号东方科技大厦18楼</w:t>
      </w:r>
    </w:p>
    <w:p w14:paraId="63355A70"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办公地址：深圳市南山区粤海街道科苑路科兴科学园B3单元7楼</w:t>
      </w:r>
    </w:p>
    <w:p w14:paraId="10DB6E28"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法定代表人：赖任军</w:t>
      </w:r>
    </w:p>
    <w:p w14:paraId="4D1DA47C"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电话：（0755）66892301</w:t>
      </w:r>
    </w:p>
    <w:p w14:paraId="053C0C7B"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传真：（0755）66892399</w:t>
      </w:r>
    </w:p>
    <w:p w14:paraId="6BB77F95"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联系人：张烨</w:t>
      </w:r>
    </w:p>
    <w:p w14:paraId="79A65A1B"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客户服务电话：400-9500-888</w:t>
      </w:r>
    </w:p>
    <w:p w14:paraId="7DDBBC0F"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网址：www.jfzinv.com</w:t>
      </w:r>
    </w:p>
    <w:p w14:paraId="71CA8E32"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（49）名称：凤凰金信（银川）投资管理有限公司</w:t>
      </w:r>
    </w:p>
    <w:p w14:paraId="02BE1306"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住所：宁夏回族自治区银川市金凤区阅海湾中央商务区万寿路142号14层1402(750000)</w:t>
      </w:r>
    </w:p>
    <w:p w14:paraId="50EC6E39"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办公地址：北京市朝阳区紫月路18号院朝来高科技产业园18号楼 (100000)</w:t>
      </w:r>
    </w:p>
    <w:p w14:paraId="194D5E86"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法定代表人：程刚</w:t>
      </w:r>
    </w:p>
    <w:p w14:paraId="482FEEAE"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电话：（010）58160168</w:t>
      </w:r>
    </w:p>
    <w:p w14:paraId="71E4654C"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传真：（010）58160173</w:t>
      </w:r>
    </w:p>
    <w:p w14:paraId="620EF783"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联系人：张旭</w:t>
      </w:r>
    </w:p>
    <w:p w14:paraId="733A53CC"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客户服务电话：400-810-5919</w:t>
      </w:r>
    </w:p>
    <w:p w14:paraId="1FADB8F0"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网址：www.fengfd.com</w:t>
      </w:r>
    </w:p>
    <w:p w14:paraId="669CA487"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（50）名称：北京蛋卷基金销售有限公司</w:t>
      </w:r>
    </w:p>
    <w:p w14:paraId="2260CAFA"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住所：北京市朝阳区阜通东大街1号院6号楼2单元21层222507</w:t>
      </w:r>
    </w:p>
    <w:p w14:paraId="76579CED"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办公地址：北京市朝阳区创远路 34 号院融新科技中心 C 座 17 层</w:t>
      </w:r>
    </w:p>
    <w:p w14:paraId="1A2C3493"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法定代表人：钟斐斐</w:t>
      </w:r>
    </w:p>
    <w:p w14:paraId="2CE9A446"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电话：（010）61840688</w:t>
      </w:r>
    </w:p>
    <w:p w14:paraId="1A4FE61A"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传真：（010）84997571</w:t>
      </w:r>
    </w:p>
    <w:p w14:paraId="063B30AA"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联系人：侯芳芳</w:t>
      </w:r>
    </w:p>
    <w:p w14:paraId="27C6AC98"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客户服务电话：400-1599-288</w:t>
      </w:r>
    </w:p>
    <w:p w14:paraId="0BD81DF6"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网址：https://danjuanapp.com</w:t>
      </w:r>
    </w:p>
    <w:p w14:paraId="7D021891"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（51）名称：北京新浪仓石基金销售有限公司</w:t>
      </w:r>
    </w:p>
    <w:p w14:paraId="54756757"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住所：北京市海淀区东北旺西路中关村软件园二期(西扩)N-1、N-2地块新浪总部科研楼5层518室</w:t>
      </w:r>
    </w:p>
    <w:p w14:paraId="370A4767"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办公地址：北京市海淀区东北旺西路中关村软件园二期(西扩)N-1、N-2地块新浪总部科研楼5层518室</w:t>
      </w:r>
    </w:p>
    <w:p w14:paraId="2062093F"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法定代表人：李昭琛</w:t>
      </w:r>
    </w:p>
    <w:p w14:paraId="6C096CA8"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电话：（010）60619607</w:t>
      </w:r>
    </w:p>
    <w:p w14:paraId="409A60C4"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传真：8610-62676582</w:t>
      </w:r>
    </w:p>
    <w:p w14:paraId="7D7F233B"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联系人：付文红</w:t>
      </w:r>
    </w:p>
    <w:p w14:paraId="11777B15"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客户服务电话：（010）62675369</w:t>
      </w:r>
    </w:p>
    <w:p w14:paraId="2FB996CB"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网址：www.xincai.com</w:t>
      </w:r>
    </w:p>
    <w:p w14:paraId="7DDAAC21"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（52）名称：中证金牛（北京）投资咨询有限公司</w:t>
      </w:r>
    </w:p>
    <w:p w14:paraId="490A6BA5"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 北京市丰台区东管头1号2号楼2-45室</w:t>
      </w:r>
    </w:p>
    <w:p w14:paraId="2FD063F2"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 北京市西城区宣武门外大街甲一号环球财讯中心A座5层</w:t>
      </w:r>
    </w:p>
    <w:p w14:paraId="68970DEF"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 钱昊旻</w:t>
      </w:r>
    </w:p>
    <w:p w14:paraId="05FE6D8F"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电话：（010）59336533</w:t>
      </w:r>
    </w:p>
    <w:p w14:paraId="0CBDB15D"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传真：（010）59336500</w:t>
      </w:r>
    </w:p>
    <w:p w14:paraId="6449E8EB"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联系人： 孟汉霄</w:t>
      </w:r>
    </w:p>
    <w:p w14:paraId="027958B1"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客户服务电话：4008-909-998</w:t>
      </w:r>
    </w:p>
    <w:p w14:paraId="044C1F33"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 www.jnlc.com</w:t>
      </w:r>
    </w:p>
    <w:p w14:paraId="77559109"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（53）名称：上海云湾投资管理有限公司</w:t>
      </w:r>
    </w:p>
    <w:p w14:paraId="28AA0F3B"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住所：中国（上海）自由贸易试验区新金桥路27号13号楼2层，200127</w:t>
      </w:r>
    </w:p>
    <w:p w14:paraId="1F1716A3"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办公地址：上海市锦康路308号6号楼6层</w:t>
      </w:r>
    </w:p>
    <w:p w14:paraId="53CC3AA3"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法定代表人：戴新装</w:t>
      </w:r>
    </w:p>
    <w:p w14:paraId="5CF26DBC"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电话：（021）20538888</w:t>
      </w:r>
    </w:p>
    <w:p w14:paraId="5B689C10"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传真：（021）20538999</w:t>
      </w:r>
    </w:p>
    <w:p w14:paraId="5737F8B0"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联系人：江辉</w:t>
      </w:r>
    </w:p>
    <w:p w14:paraId="194C60D7"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客户服务电话：400-820-1515</w:t>
      </w:r>
    </w:p>
    <w:p w14:paraId="222BD6F9"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网址：www.zhengtongfunds.com</w:t>
      </w:r>
    </w:p>
    <w:p w14:paraId="06E2D126"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（54）名称：北京创金启富基金销售有限公司</w:t>
      </w:r>
    </w:p>
    <w:p w14:paraId="467E453E"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 北京市西城区民丰胡同31号中水大厦215A</w:t>
      </w:r>
    </w:p>
    <w:p w14:paraId="75333C54"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办公地址：北京市西城区白纸坊东街2号经济日报社A综合楼712室</w:t>
      </w:r>
    </w:p>
    <w:p w14:paraId="499E566E"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法定代表人：梁蓉</w:t>
      </w:r>
    </w:p>
    <w:p w14:paraId="5A6693CC"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电话：（010）66154828</w:t>
      </w:r>
    </w:p>
    <w:p w14:paraId="2C40F125"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传真：（010）63583991</w:t>
      </w:r>
    </w:p>
    <w:p w14:paraId="526FF1D4"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联系人：李婷婷</w:t>
      </w:r>
    </w:p>
    <w:p w14:paraId="2B9D469B"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客户服务电话：400-6262-818</w:t>
      </w:r>
    </w:p>
    <w:p w14:paraId="4BAA7410"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 www.5irich.com</w:t>
      </w:r>
    </w:p>
    <w:p w14:paraId="653355CA"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（55）名称：奕丰基金销售有限公司</w:t>
      </w:r>
    </w:p>
    <w:p w14:paraId="7D6F0743"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住所：深圳市前海深港合作区前湾一路1号A栋201室（入驻深圳市前海商务秘书有限公司）</w:t>
      </w:r>
    </w:p>
    <w:p w14:paraId="27769039"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办公地址：深圳市南山区海德三路海岸大厦A座17楼1704室</w:t>
      </w:r>
    </w:p>
    <w:p w14:paraId="0A87B05B"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法定代表人：TEO WEE HOWE</w:t>
      </w:r>
    </w:p>
    <w:p w14:paraId="128537C7"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电话：（0755）89460500</w:t>
      </w:r>
    </w:p>
    <w:p w14:paraId="1BB980EC"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传真：（0755）21674453</w:t>
      </w:r>
    </w:p>
    <w:p w14:paraId="369396FB"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联系人：叶健</w:t>
      </w:r>
    </w:p>
    <w:p w14:paraId="5713EC54"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客户服务电话：400-684-0500</w:t>
      </w:r>
    </w:p>
    <w:p w14:paraId="325E47DB"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网址：www.ifastps.com.cn</w:t>
      </w:r>
    </w:p>
    <w:p w14:paraId="65F76144"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（56）名称：北京中植基金销售有限公司</w:t>
      </w:r>
    </w:p>
    <w:p w14:paraId="5E5B5D32"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住所：北京市经济技术开发区宏达北路10号五层5122室</w:t>
      </w:r>
    </w:p>
    <w:p w14:paraId="72132BCA"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办公地址：北京市朝阳区东三环北路甲19号SOHO嘉盛中心30层3001室</w:t>
      </w:r>
    </w:p>
    <w:p w14:paraId="6483E269"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法定代表人：李悦</w:t>
      </w:r>
    </w:p>
    <w:p w14:paraId="3291C411"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电话：（010）56642600</w:t>
      </w:r>
    </w:p>
    <w:p w14:paraId="1D1B8590"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传真：（010）56642623</w:t>
      </w:r>
    </w:p>
    <w:p w14:paraId="43DFA06E"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联系人：张晔</w:t>
      </w:r>
    </w:p>
    <w:p w14:paraId="751A81DC"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客户服务电话：4007868868</w:t>
      </w:r>
    </w:p>
    <w:p w14:paraId="14F4D653"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网址：www.chtfund.com</w:t>
      </w:r>
    </w:p>
    <w:p w14:paraId="0FCEFC4E"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（57）名称：上海天天基金销售有限公司</w:t>
      </w:r>
    </w:p>
    <w:p w14:paraId="12B20120"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住所：上海市徐汇区龙田路190号2号楼2层</w:t>
      </w:r>
    </w:p>
    <w:p w14:paraId="51E1D25C"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办公地址：上海市徐汇区龙田路195号3C座10楼</w:t>
      </w:r>
    </w:p>
    <w:p w14:paraId="5F4FF3EE"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法定代表人：其实</w:t>
      </w:r>
    </w:p>
    <w:p w14:paraId="194DC981"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电话：（021）54509998</w:t>
      </w:r>
    </w:p>
    <w:p w14:paraId="58381DBF"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传真：（021）64385308</w:t>
      </w:r>
    </w:p>
    <w:p w14:paraId="7BDA17F4"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联系人：潘世友</w:t>
      </w:r>
    </w:p>
    <w:p w14:paraId="78D5D73C"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客户服务电话：400-1818-188</w:t>
      </w:r>
    </w:p>
    <w:p w14:paraId="3EAF12B5"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网址：www.1234567.com.cn</w:t>
      </w:r>
    </w:p>
    <w:p w14:paraId="5D6D719C"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（58）名称：和讯信息科技有限公司</w:t>
      </w:r>
    </w:p>
    <w:p w14:paraId="4AAC4EEE"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住所：北京市朝阳区朝外大街22号泛利大厦10层</w:t>
      </w:r>
    </w:p>
    <w:p w14:paraId="4F5CD175"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办公地址：北京市朝阳区朝外大街22号泛利大厦10层</w:t>
      </w:r>
    </w:p>
    <w:p w14:paraId="36DC5CE8"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法定代表人：王莉</w:t>
      </w:r>
    </w:p>
    <w:p w14:paraId="3EE4FD3C"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电话：（021）20835789</w:t>
      </w:r>
    </w:p>
    <w:p w14:paraId="71D3AF2D"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传真：（021）20835879</w:t>
      </w:r>
    </w:p>
    <w:p w14:paraId="60F43D05"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联系人：周轶</w:t>
      </w:r>
    </w:p>
    <w:p w14:paraId="14D5C368"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客户服务电话：4009200022</w:t>
      </w:r>
    </w:p>
    <w:p w14:paraId="67B63768"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网址：http://licaike.hexun.com/</w:t>
      </w:r>
    </w:p>
    <w:p w14:paraId="54788DB0"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（59）名称：诺亚正行(上海)基金销售投资顾问有限公司</w:t>
      </w:r>
    </w:p>
    <w:p w14:paraId="2FE06AE9"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住所：上海市虹口区飞虹路360弄9号3724室</w:t>
      </w:r>
    </w:p>
    <w:p w14:paraId="4F723B8B"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办公地址：上海杨浦区秦皇岛路32号C栋 2楼</w:t>
      </w:r>
    </w:p>
    <w:p w14:paraId="6C632799"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法定代表人：汪静波</w:t>
      </w:r>
    </w:p>
    <w:p w14:paraId="32F30C33"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电话：（021）38600735</w:t>
      </w:r>
    </w:p>
    <w:p w14:paraId="3127BE7F"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传真：（021）38509777</w:t>
      </w:r>
    </w:p>
    <w:p w14:paraId="5CC3C9EE"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联系人：方成</w:t>
      </w:r>
    </w:p>
    <w:p w14:paraId="5E26875A"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客户服务电话：400-821-5399</w:t>
      </w:r>
    </w:p>
    <w:p w14:paraId="07236403"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网址：www.noah-fund.com</w:t>
      </w:r>
    </w:p>
    <w:p w14:paraId="73C0722C"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（60）名称：上海好买基金销售有限公司</w:t>
      </w:r>
    </w:p>
    <w:p w14:paraId="38E8ECD5"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住所：上海市虹口区场中路685弄37号4号楼449室</w:t>
      </w:r>
    </w:p>
    <w:p w14:paraId="5AD2821E"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办公地址：上海市浦东新区浦东南路1118号鄂尔多斯国际大厦903-906室</w:t>
      </w:r>
    </w:p>
    <w:p w14:paraId="58D69176"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法定代表人：杨文斌</w:t>
      </w:r>
    </w:p>
    <w:p w14:paraId="3A975088"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传真：（021）68596916</w:t>
      </w:r>
    </w:p>
    <w:p w14:paraId="59F94420"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联系人：薛年</w:t>
      </w:r>
    </w:p>
    <w:p w14:paraId="4AB76DD8"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客户服务电话：400-700-9665</w:t>
      </w:r>
    </w:p>
    <w:p w14:paraId="79FDD8B9"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网址：www.ehowbuy.com</w:t>
      </w:r>
    </w:p>
    <w:p w14:paraId="1A702892"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（61）名称：上海长量基金销售投资顾问有限公司</w:t>
      </w:r>
    </w:p>
    <w:p w14:paraId="5BD12A26"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住所：上海市浦东新区高翔路526号2幢220室</w:t>
      </w:r>
    </w:p>
    <w:p w14:paraId="024AEE17"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办公地址：上海市浦东新区浦东大道555号裕景国际B座16层</w:t>
      </w:r>
    </w:p>
    <w:p w14:paraId="0F9CAC9E"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法定代表人：张跃伟</w:t>
      </w:r>
    </w:p>
    <w:p w14:paraId="0896EF16"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电话：（021）20691832</w:t>
      </w:r>
    </w:p>
    <w:p w14:paraId="215EE6A0"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传真：（021）20691861</w:t>
      </w:r>
    </w:p>
    <w:p w14:paraId="50C2547A"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联系人：单丙烨</w:t>
      </w:r>
    </w:p>
    <w:p w14:paraId="4A2FA9AE"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客户服务电话：400-820-2899</w:t>
      </w:r>
    </w:p>
    <w:p w14:paraId="218D5E7E"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网址：www.erichfund.com</w:t>
      </w:r>
    </w:p>
    <w:p w14:paraId="476EB8ED"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（62）名称：深圳众禄基金销售有限公司</w:t>
      </w:r>
    </w:p>
    <w:p w14:paraId="7DB93BED"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住所：深圳市罗湖区梨园路物资控股置地大厦8楼</w:t>
      </w:r>
    </w:p>
    <w:p w14:paraId="463CFF83"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办公地址：深圳市罗湖区梨园路物资控股置地大厦8楼</w:t>
      </w:r>
    </w:p>
    <w:p w14:paraId="2D232DB7"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法定代表人：薛峰</w:t>
      </w:r>
    </w:p>
    <w:p w14:paraId="399D9940"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电话：（0755）33227953</w:t>
      </w:r>
    </w:p>
    <w:p w14:paraId="6E0D08EF"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传真：（0755）33227951</w:t>
      </w:r>
    </w:p>
    <w:p w14:paraId="051CAD1E"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联系人：汤素娅</w:t>
      </w:r>
    </w:p>
    <w:p w14:paraId="382A07C7"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客户服务电话：4006-788-887</w:t>
      </w:r>
    </w:p>
    <w:p w14:paraId="3F7939C1"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网址：www.zlfund.cn，www.jjmmw.com</w:t>
      </w:r>
    </w:p>
    <w:p w14:paraId="28A98080"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（63）名称：蚂蚁（杭州）基金销售有限公司</w:t>
      </w:r>
    </w:p>
    <w:p w14:paraId="09B36ABF"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住所：浙江省杭州市余杭区五常街道文一西路969号3幢5层599室</w:t>
      </w:r>
    </w:p>
    <w:p w14:paraId="4312D65C"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办公地址：浙江省杭州市西湖区西溪路556号</w:t>
      </w:r>
    </w:p>
    <w:p w14:paraId="44B6715F"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法定代表人：王珺</w:t>
      </w:r>
    </w:p>
    <w:p w14:paraId="26281D35"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联系人：韩爱彬</w:t>
      </w:r>
    </w:p>
    <w:p w14:paraId="6BF54FF8"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客户服务电话：95188-8</w:t>
      </w:r>
    </w:p>
    <w:p w14:paraId="3D09D581"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网址：www.fund123.cn</w:t>
      </w:r>
    </w:p>
    <w:p w14:paraId="3D508BCE"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（64）名称：上海基煜基金销售有限公司</w:t>
      </w:r>
    </w:p>
    <w:p w14:paraId="561044C9"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 上海市崇明县长兴镇路潘园公路1800号2号楼6153室（上海泰和经济发展区）</w:t>
      </w:r>
    </w:p>
    <w:p w14:paraId="492BC2E3"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办公地址：上海市昆明路518号北美广场A1002-A1003室</w:t>
      </w:r>
    </w:p>
    <w:p w14:paraId="2EE05F93"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法定代表人：王翔</w:t>
      </w:r>
    </w:p>
    <w:p w14:paraId="70BF4D76"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电话：（021）35385521</w:t>
      </w:r>
    </w:p>
    <w:p w14:paraId="760B9782"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传真：（021）55085991</w:t>
      </w:r>
    </w:p>
    <w:p w14:paraId="35C048F1"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联系人：蓝杰</w:t>
      </w:r>
    </w:p>
    <w:p w14:paraId="2CBB22FD"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客户服务电话：400-820-5369</w:t>
      </w:r>
    </w:p>
    <w:p w14:paraId="223A0ACB"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网址：www.jiyufund.com.cn</w:t>
      </w:r>
    </w:p>
    <w:p w14:paraId="27BCE125"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（65）名称：浙江同花顺基金销售有限公司</w:t>
      </w:r>
    </w:p>
    <w:p w14:paraId="1416024A"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住所：浙江省杭州市文二西路1号元茂大厦903</w:t>
      </w:r>
    </w:p>
    <w:p w14:paraId="2B628D0D"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办公地址：浙江省杭州市西湖区翠柏路7号电子商务产业园2号楼 2楼</w:t>
      </w:r>
    </w:p>
    <w:p w14:paraId="7ECA0017"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法定代表人：凌顺平</w:t>
      </w:r>
    </w:p>
    <w:p w14:paraId="2672606D"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电话：（0571）88911818</w:t>
      </w:r>
    </w:p>
    <w:p w14:paraId="0CEA08FF"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传真：（0571）86800423</w:t>
      </w:r>
    </w:p>
    <w:p w14:paraId="0967D87C"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联系人：吴强</w:t>
      </w:r>
    </w:p>
    <w:p w14:paraId="6FE8C936"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客户服务电话：400-877-3772</w:t>
      </w:r>
    </w:p>
    <w:p w14:paraId="507C1759"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网址：www.5ifund.com</w:t>
      </w:r>
    </w:p>
    <w:p w14:paraId="43989F8D"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（66）名称：宜信普泽投资顾问（北京）有限公司</w:t>
      </w:r>
    </w:p>
    <w:p w14:paraId="512DC57B"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住所：北京市朝阳区建国路88号9号楼15层1809</w:t>
      </w:r>
    </w:p>
    <w:p w14:paraId="63FDD0AE"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办公地址：北京市朝阳区建国路88号SOHO现代城C座1809</w:t>
      </w:r>
    </w:p>
    <w:p w14:paraId="1B3B8A9D"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法定代表人：沈伟桦</w:t>
      </w:r>
    </w:p>
    <w:p w14:paraId="564175FC"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电话：010-52855713</w:t>
      </w:r>
    </w:p>
    <w:p w14:paraId="2858334B"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传真：010-85894285</w:t>
      </w:r>
    </w:p>
    <w:p w14:paraId="5AB4898E"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联系人：程刚</w:t>
      </w:r>
    </w:p>
    <w:p w14:paraId="5B0DE719"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客户服务电话：400-6099-200</w:t>
      </w:r>
    </w:p>
    <w:p w14:paraId="3F67941B"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网址：www.yixinfund.com</w:t>
      </w:r>
    </w:p>
    <w:p w14:paraId="03A9AA7A"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（67）名称：上海联泰基金销售有限公司</w:t>
      </w:r>
    </w:p>
    <w:p w14:paraId="1EFDB58E"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住所：中国（上海）自由贸易试验区富特北路277号3层310室</w:t>
      </w:r>
    </w:p>
    <w:p w14:paraId="062ADB03"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办公地址：上海市长宁区福泉北路518号8座3楼</w:t>
      </w:r>
    </w:p>
    <w:p w14:paraId="3520AE13"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法定代表人：燕斌</w:t>
      </w:r>
    </w:p>
    <w:p w14:paraId="41C2DA48"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电话：021-52822063</w:t>
      </w:r>
    </w:p>
    <w:p w14:paraId="6B3CCBA7"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传真：021-52975270</w:t>
      </w:r>
    </w:p>
    <w:p w14:paraId="165DBB29"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联系人：凌秋艳</w:t>
      </w:r>
    </w:p>
    <w:p w14:paraId="24E1C02E"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客户服务电话：4000-466-788</w:t>
      </w:r>
    </w:p>
    <w:p w14:paraId="0396659A"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网址：www.66zichan.com</w:t>
      </w:r>
    </w:p>
    <w:p w14:paraId="3BC483F6"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（68）名称：一路财富（北京）信息科技有限公司</w:t>
      </w:r>
    </w:p>
    <w:p w14:paraId="7D0744FD"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住所：北京市西城区车公庄大街9号五栋大楼C座702</w:t>
      </w:r>
    </w:p>
    <w:p w14:paraId="1AEE88D6"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办公地址：北京西城区阜成门大街2号万通新世界广场A座22层2208</w:t>
      </w:r>
    </w:p>
    <w:p w14:paraId="4C043503"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 吴雪秀</w:t>
      </w:r>
    </w:p>
    <w:p w14:paraId="58728191"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电话：010-88312877</w:t>
      </w:r>
    </w:p>
    <w:p w14:paraId="3BE16A79"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传真：010-88312099</w:t>
      </w:r>
    </w:p>
    <w:p w14:paraId="51BE72C8"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 苏昊</w:t>
      </w:r>
    </w:p>
    <w:p w14:paraId="12463FCC"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客户服务电话：400-001-1566</w:t>
      </w:r>
    </w:p>
    <w:p w14:paraId="2C0A201F"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网址：http://www.yilucaifu.com/</w:t>
      </w:r>
    </w:p>
    <w:p w14:paraId="1B7F02C8"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（69）名称：北京展恒基金销售股份有限公司</w:t>
      </w:r>
    </w:p>
    <w:p w14:paraId="729A6B00"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住所：北京市顺义区后沙峪镇安富街6号</w:t>
      </w:r>
    </w:p>
    <w:p w14:paraId="2907CF9E"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办公地址：北京市朝阳区安苑路15-1号邮电新闻大厦2层</w:t>
      </w:r>
    </w:p>
    <w:p w14:paraId="2BB4BA8A"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法定代表人：闫振杰</w:t>
      </w:r>
    </w:p>
    <w:p w14:paraId="4F650750"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电话：（010）59601366-7024</w:t>
      </w:r>
    </w:p>
    <w:p w14:paraId="71D67754"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传真：（010）62020355</w:t>
      </w:r>
    </w:p>
    <w:p w14:paraId="4BACC79A"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 马林</w:t>
      </w:r>
    </w:p>
    <w:p w14:paraId="3E7242FA"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客户服务电话：400-888-6661</w:t>
      </w:r>
    </w:p>
    <w:p w14:paraId="4080371A"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网址：www.myfund.com</w:t>
      </w:r>
    </w:p>
    <w:p w14:paraId="11CEC8D3"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（70）名称：深圳市新兰德证券投资咨询有限公司</w:t>
      </w:r>
    </w:p>
    <w:p w14:paraId="44FAFB1A"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住所：深圳市福田区华强北路赛格科技园4栋10层1006#</w:t>
      </w:r>
    </w:p>
    <w:p w14:paraId="6B7FF3FA"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办公地址：北京市西城区金融大街35号国际企业大厦C座9层</w:t>
      </w:r>
    </w:p>
    <w:p w14:paraId="26BFAE5D"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法定代表人：陈操</w:t>
      </w:r>
    </w:p>
    <w:p w14:paraId="2290F908"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电话：（010）58325395</w:t>
      </w:r>
    </w:p>
    <w:p w14:paraId="2EAE7A2E"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传真：（010）58325282</w:t>
      </w:r>
    </w:p>
    <w:p w14:paraId="7691FB1E"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联系人：刘宝文</w:t>
      </w:r>
    </w:p>
    <w:p w14:paraId="595BA7E1"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客户服务电话：400-850-7771</w:t>
      </w:r>
    </w:p>
    <w:p w14:paraId="2C4457DA"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网址：http://8.jrj.com.cn/</w:t>
      </w:r>
    </w:p>
    <w:p w14:paraId="54EB1C5D"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（71）名称：上海挖财金融信息服务有限公司</w:t>
      </w:r>
    </w:p>
    <w:p w14:paraId="5AABF147"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住所：中国（上海）自由贸易试验区杨高南路799号5层01、02、03室</w:t>
      </w:r>
    </w:p>
    <w:p w14:paraId="1154144D"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办公地址：中国（上海）自由贸易试验区杨高南路799号5层01、02、03室</w:t>
      </w:r>
    </w:p>
    <w:p w14:paraId="619B89D7"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 胡燕亮</w:t>
      </w:r>
    </w:p>
    <w:p w14:paraId="2703DBF7"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电话：（021）50810687</w:t>
      </w:r>
    </w:p>
    <w:p w14:paraId="5A1A6AEB"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传真：（021）58300279</w:t>
      </w:r>
    </w:p>
    <w:p w14:paraId="4284B18E"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 李娟</w:t>
      </w:r>
    </w:p>
    <w:p w14:paraId="779C7BE9"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客户服务电话：（021）50810673</w:t>
      </w:r>
    </w:p>
    <w:p w14:paraId="494A85FE"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网址：www.wacaijijin.com</w:t>
      </w:r>
    </w:p>
    <w:p w14:paraId="4B032DED"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（72）名称：嘉实财富管理有限公司</w:t>
      </w:r>
    </w:p>
    <w:p w14:paraId="5405AFF8"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住所：上海市浦东新区世纪大道8号上海国金中心办公楼二期53层5312-15单元</w:t>
      </w:r>
    </w:p>
    <w:p w14:paraId="793C92E2"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办公地址：北京市朝阳区建国路91号金地中心A座6层</w:t>
      </w:r>
    </w:p>
    <w:p w14:paraId="23DBE77B"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 赵学军</w:t>
      </w:r>
    </w:p>
    <w:p w14:paraId="464C2B6E"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电话：（021）38789658</w:t>
      </w:r>
    </w:p>
    <w:p w14:paraId="732AFB51"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传真：（021）68880023</w:t>
      </w:r>
    </w:p>
    <w:p w14:paraId="52F842E4"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 王宫</w:t>
      </w:r>
    </w:p>
    <w:p w14:paraId="192B1765"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客户服务电话：400-021-8850</w:t>
      </w:r>
    </w:p>
    <w:p w14:paraId="252D4D1E"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 www.harvestwm.cn</w:t>
      </w:r>
    </w:p>
    <w:p w14:paraId="55F4400E"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（73）名称：南京苏宁基金销售有限公司</w:t>
      </w:r>
    </w:p>
    <w:p w14:paraId="164A2FDB"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住所：南京市玄武区苏宁大道1-5号</w:t>
      </w:r>
    </w:p>
    <w:p w14:paraId="371AA513"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办公地址：南京市玄武区苏宁大道1-5号</w:t>
      </w:r>
    </w:p>
    <w:p w14:paraId="143B8C71"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法定代表人：王锋</w:t>
      </w:r>
    </w:p>
    <w:p w14:paraId="4B8789EA"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电话：025-66996699</w:t>
      </w:r>
    </w:p>
    <w:p w14:paraId="29C2BF0F"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传真：025-66996699</w:t>
      </w:r>
    </w:p>
    <w:p w14:paraId="2F286F41"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 冯鹏鹏</w:t>
      </w:r>
    </w:p>
    <w:p w14:paraId="3D40CB0F"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客户服务电话：95177</w:t>
      </w:r>
    </w:p>
    <w:p w14:paraId="79BACBFF"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 www.snjijin.com</w:t>
      </w:r>
    </w:p>
    <w:p w14:paraId="0E30F5C4"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（74）名称：北京度小满基金销售有限公司</w:t>
      </w:r>
    </w:p>
    <w:p w14:paraId="07512B0F"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住所：北京市海淀区上地十街10号1幢1层101</w:t>
      </w:r>
    </w:p>
    <w:p w14:paraId="4FEDA388"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 北京市海淀区信息路甲9号奎科大厦</w:t>
      </w:r>
    </w:p>
    <w:p w14:paraId="6AA78460"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 张旭阳</w:t>
      </w:r>
    </w:p>
    <w:p w14:paraId="378E4D43"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电话：010-61952703</w:t>
      </w:r>
    </w:p>
    <w:p w14:paraId="6936DCE1"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传真：010-61951007</w:t>
      </w:r>
    </w:p>
    <w:p w14:paraId="78C47FE6"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联系人：盛超</w:t>
      </w:r>
    </w:p>
    <w:p w14:paraId="256B846E"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客户服务电话：95599-9</w:t>
      </w:r>
    </w:p>
    <w:p w14:paraId="28C43CC4"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 www.baiyingfund.com</w:t>
      </w:r>
    </w:p>
    <w:p w14:paraId="0B5BE5A7"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（75）名称：北京唐鼎耀华投资咨询有限公司</w:t>
      </w:r>
    </w:p>
    <w:p w14:paraId="5F85DEDB"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住所：北京市延庆县延庆经济开发区百泉街10号2栋236室</w:t>
      </w:r>
    </w:p>
    <w:p w14:paraId="2DC35153"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办公地址：北京市朝阳区东三环北路38号院1号泰康金融中心38层</w:t>
      </w:r>
    </w:p>
    <w:p w14:paraId="3913A7DB"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法定代表人：张冠宇</w:t>
      </w:r>
    </w:p>
    <w:p w14:paraId="421B5A12"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电话：（010）85870662</w:t>
      </w:r>
    </w:p>
    <w:p w14:paraId="2E5B3264"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传真：（010）59200800</w:t>
      </w:r>
    </w:p>
    <w:p w14:paraId="7BA8F599"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 刘美薇</w:t>
      </w:r>
    </w:p>
    <w:p w14:paraId="1BE2F588"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客户服务电话：400-819-9868</w:t>
      </w:r>
    </w:p>
    <w:p w14:paraId="6CF21B20"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网址：www.tdyhfund.com</w:t>
      </w:r>
    </w:p>
    <w:p w14:paraId="1F0787B9"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（76）名称：上海华夏财富投资管理有限公司</w:t>
      </w:r>
    </w:p>
    <w:p w14:paraId="7EEE89A9"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住所：上海市虹口区东大名路687号1幢2楼268室</w:t>
      </w:r>
    </w:p>
    <w:p w14:paraId="20242736"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 北京市西城区金融大街33号通泰大厦B座8层</w:t>
      </w:r>
    </w:p>
    <w:p w14:paraId="2600FE30"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 毛淮平</w:t>
      </w:r>
    </w:p>
    <w:p w14:paraId="0F243A6D"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电话：010-88066632</w:t>
      </w:r>
    </w:p>
    <w:p w14:paraId="7BE229E8"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传真：010-63136184</w:t>
      </w:r>
    </w:p>
    <w:p w14:paraId="2E6E9FF8"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 张静怡</w:t>
      </w:r>
    </w:p>
    <w:p w14:paraId="64FBBC24"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客户服务电话：400-817-5666</w:t>
      </w:r>
    </w:p>
    <w:p w14:paraId="286DA31F"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 www.amcfortune.com</w:t>
      </w:r>
    </w:p>
    <w:p w14:paraId="1117A146"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（77）名称：江苏汇林保大基金销售有限公司</w:t>
      </w:r>
    </w:p>
    <w:p w14:paraId="5292B912"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住所：南京市高淳区经济开发区古檀大道47号</w:t>
      </w:r>
    </w:p>
    <w:p w14:paraId="61D2BBAF"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办公地址：江苏省南京市鼓楼区中山北路105号中环国际1413室</w:t>
      </w:r>
    </w:p>
    <w:p w14:paraId="6C7701BD"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 吴言林</w:t>
      </w:r>
    </w:p>
    <w:p w14:paraId="2C8A8F58"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电话：025-66046166转837</w:t>
      </w:r>
    </w:p>
    <w:p w14:paraId="5AA9FB28"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传真：025-56663409</w:t>
      </w:r>
    </w:p>
    <w:p w14:paraId="461525B7"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 孙平</w:t>
      </w:r>
    </w:p>
    <w:p w14:paraId="3454C4CF"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客户服务电话：025-66046166</w:t>
      </w:r>
    </w:p>
    <w:p w14:paraId="330EFF2F"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 www.huilinbd.com</w:t>
      </w:r>
    </w:p>
    <w:p w14:paraId="61607A93"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（78）名称：玄元保险代理有限公司</w:t>
      </w:r>
    </w:p>
    <w:p w14:paraId="4D4B44B3"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住所：中国(上海)自由贸易试验区张杨路707号1105室</w:t>
      </w:r>
    </w:p>
    <w:p w14:paraId="5B976510"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办公地址：中国(上海)自由贸易试验区张杨路707号1105室</w:t>
      </w:r>
    </w:p>
    <w:p w14:paraId="5A0CEF14"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法定代表人：马永谙</w:t>
      </w:r>
    </w:p>
    <w:p w14:paraId="3D3CAB0E"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电话：（021）50701053</w:t>
      </w:r>
    </w:p>
    <w:p w14:paraId="5B7B1B4A"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传真：（021）50701053</w:t>
      </w:r>
    </w:p>
    <w:p w14:paraId="1CD2D29B"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客户服务电话：400-080-8208</w:t>
      </w:r>
    </w:p>
    <w:p w14:paraId="5EE64D4A"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网址：www.licaimofang.cn</w:t>
      </w:r>
    </w:p>
    <w:p w14:paraId="442FE693"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（79）名称：阳光人寿保险股份有限公司</w:t>
      </w:r>
    </w:p>
    <w:p w14:paraId="7CAD754F"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住所：海南省三亚市迎宾路360-1号三亚阳光金融广场16层</w:t>
      </w:r>
    </w:p>
    <w:p w14:paraId="257A44B9"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办公地址：北京市朝阳区朝阳门外大街乙12号院1号昆泰国际大厦12层</w:t>
      </w:r>
    </w:p>
    <w:p w14:paraId="5EAB2BC5"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法定代表人：李科</w:t>
      </w:r>
    </w:p>
    <w:p w14:paraId="67BB181B"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电话：（010）85632771</w:t>
      </w:r>
    </w:p>
    <w:p w14:paraId="0F98A119"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传真：（010）85632773</w:t>
      </w:r>
    </w:p>
    <w:p w14:paraId="6D68F506"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联系人：王超</w:t>
      </w:r>
    </w:p>
    <w:p w14:paraId="6E8CE92E"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客户服务电话：95510</w:t>
      </w:r>
    </w:p>
    <w:p w14:paraId="2EDA693F"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网址：http://fund.sinosig.com</w:t>
      </w:r>
    </w:p>
    <w:p w14:paraId="0C046025"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（80）名称：大连网金基金销售有限公司</w:t>
      </w:r>
    </w:p>
    <w:p w14:paraId="1EE91F25"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 辽宁省大连市沙河口区体坛路22号诺德大厦2层202室</w:t>
      </w:r>
    </w:p>
    <w:p w14:paraId="705C8EA7"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 辽宁省大连市沙河口区体坛路22号诺德大厦2层202室</w:t>
      </w:r>
    </w:p>
    <w:p w14:paraId="29D9900F"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 樊怀东</w:t>
      </w:r>
    </w:p>
    <w:p w14:paraId="1A785ECD"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电话：（0411-39027810）</w:t>
      </w:r>
    </w:p>
    <w:p w14:paraId="16D99FAA"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传真：（0411-39027835）</w:t>
      </w:r>
    </w:p>
    <w:p w14:paraId="35CEF149"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 于秀</w:t>
      </w:r>
    </w:p>
    <w:p w14:paraId="5F0B3DA8"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 4000-899-100</w:t>
      </w:r>
    </w:p>
    <w:p w14:paraId="4D494274"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网址：http://www.yibaijin.com</w:t>
      </w:r>
    </w:p>
    <w:p w14:paraId="0E872F9D"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（81）名称：中信期货有限公司</w:t>
      </w:r>
    </w:p>
    <w:p w14:paraId="733A5AD8"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住所：深圳市福田区中心三路8号卓越时代广场（二期）北座13层1301-1305室、14层</w:t>
      </w:r>
    </w:p>
    <w:p w14:paraId="20BC153E"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办公地址：深圳市福田区中心三路8号卓越时代广场（二期）北座13层1301-1305室、14层</w:t>
      </w:r>
    </w:p>
    <w:p w14:paraId="6A87C044"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法定代表人：张皓</w:t>
      </w:r>
    </w:p>
    <w:p w14:paraId="74E7DB40"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电话：010-60833754</w:t>
      </w:r>
    </w:p>
    <w:p w14:paraId="7DD30B53"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传真：021-60819988</w:t>
      </w:r>
    </w:p>
    <w:p w14:paraId="246670B5"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联系人：刘宏莹</w:t>
      </w:r>
    </w:p>
    <w:p w14:paraId="08FE857B"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客服电话：400-990-8826</w:t>
      </w:r>
    </w:p>
    <w:p w14:paraId="27537C3A"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网站：www.citicsf.com</w:t>
      </w:r>
    </w:p>
    <w:p w14:paraId="48D18DEB"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（82）名称：上海中欧财富基金销售有限公司</w:t>
      </w:r>
    </w:p>
    <w:p w14:paraId="2A3E49D6"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 中国（上海）自由贸易试验区陆家嘴环路333号502室</w:t>
      </w:r>
    </w:p>
    <w:p w14:paraId="32A36BF0"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 上海市虹口区公平路18号8栋嘉昱大厦6层</w:t>
      </w:r>
    </w:p>
    <w:p w14:paraId="42709DD2"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 许欣</w:t>
      </w:r>
    </w:p>
    <w:p w14:paraId="75634DA3"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电话：021-68609600</w:t>
      </w:r>
    </w:p>
    <w:p w14:paraId="7DA669EF"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传真：021-33830351</w:t>
      </w:r>
    </w:p>
    <w:p w14:paraId="743B029D"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联系人： 黎静</w:t>
      </w:r>
    </w:p>
    <w:p w14:paraId="16E02691"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客户服务电话：400-700-9700</w:t>
      </w:r>
    </w:p>
    <w:p w14:paraId="303440F3"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 www.qiangungun.com</w:t>
      </w:r>
    </w:p>
    <w:p w14:paraId="5FAC6D90"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（83）名称：中国人寿保险股份有限公司</w:t>
      </w:r>
    </w:p>
    <w:p w14:paraId="74F40B7F"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住所：中国北京市西城区金融大街16号</w:t>
      </w:r>
    </w:p>
    <w:p w14:paraId="5169ED57"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办公地址：北京市西城区金融大街16号中国人寿广场A座</w:t>
      </w:r>
    </w:p>
    <w:p w14:paraId="67C2F327"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法定代表人：王滨</w:t>
      </w:r>
    </w:p>
    <w:p w14:paraId="3CF7031F"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客户服务电话：95519</w:t>
      </w:r>
    </w:p>
    <w:p w14:paraId="6B3FA1F0"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 www.e-chinalife.com</w:t>
      </w:r>
    </w:p>
    <w:p w14:paraId="033460B0"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（84）名称：和耕传承基金销售有限公司</w:t>
      </w:r>
    </w:p>
    <w:p w14:paraId="0B6DF404"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住所：河南自贸试验区郑州片区（郑东）东风南路东康宁街北6号楼5楼503</w:t>
      </w:r>
    </w:p>
    <w:p w14:paraId="1436FA26"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办公地址：河南自贸试验区郑州片区（郑东）东风南路东康宁街北6号楼5楼503</w:t>
      </w:r>
    </w:p>
    <w:p w14:paraId="1C275339"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法定代表人：温丽燕</w:t>
      </w:r>
    </w:p>
    <w:p w14:paraId="2BB06A9E"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电话：0371-85518395</w:t>
      </w:r>
    </w:p>
    <w:p w14:paraId="29F6F45F"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传真：0371-85518397</w:t>
      </w:r>
    </w:p>
    <w:p w14:paraId="0209AEDA"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联系人：胡静华</w:t>
      </w:r>
    </w:p>
    <w:p w14:paraId="4885A438"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客户服务电话：4000555671</w:t>
      </w:r>
    </w:p>
    <w:p w14:paraId="49F9D153"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网址：www.hgccpb.com</w:t>
      </w:r>
    </w:p>
    <w:p w14:paraId="0FE02F34"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（85）名称：腾安基金销售（深圳）有限公司</w:t>
      </w:r>
    </w:p>
    <w:p w14:paraId="267F8D66"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住所：深圳市前海深港合作区前湾一路1号A栋201室（入驻深圳市前海商务秘书有限公司）</w:t>
      </w:r>
    </w:p>
    <w:p w14:paraId="06603BAE"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办公地址：深圳市南山区海天二路33号腾讯滨海大厦</w:t>
      </w:r>
    </w:p>
    <w:p w14:paraId="34DE2979"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法定代表人：刘明军</w:t>
      </w:r>
    </w:p>
    <w:p w14:paraId="49E9E7B0"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电话：95017（拨通后转1转8）</w:t>
      </w:r>
    </w:p>
    <w:p w14:paraId="2D6A37E2"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联系人：谭广峰</w:t>
      </w:r>
    </w:p>
    <w:p w14:paraId="5EEEB6FC"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客户服务电话：95017（拨通后转1转8）</w:t>
      </w:r>
    </w:p>
    <w:p w14:paraId="06EED23E"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网址：http://www.tenganxinxi.com/</w:t>
      </w:r>
    </w:p>
    <w:p w14:paraId="13044F32"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（86）名称：北京植信基金销售有限公司</w:t>
      </w:r>
    </w:p>
    <w:p w14:paraId="275EED42"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住所：北京市密云区兴盛南路8号院2号楼106室-67</w:t>
      </w:r>
    </w:p>
    <w:p w14:paraId="7FC0CA60"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办公地址：北京市朝阳区惠河南路盛世龙源10号</w:t>
      </w:r>
    </w:p>
    <w:p w14:paraId="2220B711"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法定代表人：王军辉</w:t>
      </w:r>
    </w:p>
    <w:p w14:paraId="5C1BDA1F"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电话：010-56075718</w:t>
      </w:r>
    </w:p>
    <w:p w14:paraId="338BB406"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传真：010-67767615</w:t>
      </w:r>
    </w:p>
    <w:p w14:paraId="11861F14"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联系人：张喆</w:t>
      </w:r>
    </w:p>
    <w:p w14:paraId="6162EE06"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客户服务电话：4006-802-123</w:t>
      </w:r>
    </w:p>
    <w:p w14:paraId="2B523904"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网址：www.zhixin-inv.com</w:t>
      </w:r>
    </w:p>
    <w:p w14:paraId="0C622A52"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（87）名称：上海钜派钰茂基金销售有限公司</w:t>
      </w:r>
    </w:p>
    <w:p w14:paraId="2CFE336D"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住所：上海市浦东新区泥城镇新城路2号24幢N3187室</w:t>
      </w:r>
    </w:p>
    <w:p w14:paraId="2F07B9CF"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办公地址：上海市闵行区闵虹路166弄中庚环球创意中心T2栋9层</w:t>
      </w:r>
    </w:p>
    <w:p w14:paraId="5670128A"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法定代表人：洪思夷</w:t>
      </w:r>
    </w:p>
    <w:p w14:paraId="248417E5"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电话：021-52265962</w:t>
      </w:r>
    </w:p>
    <w:p w14:paraId="7A9564E9"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联系人：王世之</w:t>
      </w:r>
    </w:p>
    <w:p w14:paraId="504D2BBD"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客户服务电话：400-021-2428</w:t>
      </w:r>
    </w:p>
    <w:p w14:paraId="3B93DD7C" w14:textId="22AAC73B" w:rsidR="00FB4D29" w:rsidRDefault="00CF4592">
      <w:pPr>
        <w:autoSpaceDE w:val="0"/>
        <w:autoSpaceDN w:val="0"/>
        <w:adjustRightInd w:val="0"/>
        <w:snapToGrid w:val="0"/>
        <w:spacing w:line="360" w:lineRule="auto"/>
        <w:ind w:firstLineChars="200" w:firstLine="480"/>
        <w:jc w:val="left"/>
        <w:rPr>
          <w:rFonts w:ascii="宋体" w:hAnsi="宋体"/>
          <w:sz w:val="24"/>
        </w:rPr>
      </w:pPr>
      <w:r>
        <w:rPr>
          <w:rFonts w:ascii="宋体" w:hAnsi="宋体"/>
          <w:sz w:val="24"/>
        </w:rPr>
        <w:t>网址：</w:t>
      </w:r>
      <w:hyperlink r:id="rId14" w:history="1">
        <w:r w:rsidR="00244C56" w:rsidRPr="00AD0209">
          <w:rPr>
            <w:rStyle w:val="af0"/>
            <w:rFonts w:ascii="宋体" w:hAnsi="宋体"/>
            <w:sz w:val="24"/>
          </w:rPr>
          <w:t>www.jp-fund.com</w:t>
        </w:r>
      </w:hyperlink>
    </w:p>
    <w:p w14:paraId="293FC83D" w14:textId="77777777" w:rsidR="00244C56" w:rsidRDefault="00244C56">
      <w:pPr>
        <w:autoSpaceDE w:val="0"/>
        <w:autoSpaceDN w:val="0"/>
        <w:adjustRightInd w:val="0"/>
        <w:snapToGrid w:val="0"/>
        <w:spacing w:line="360" w:lineRule="auto"/>
        <w:ind w:firstLineChars="200" w:firstLine="420"/>
        <w:jc w:val="left"/>
        <w:rPr>
          <w:rFonts w:ascii="宋体" w:hAnsi="宋体"/>
          <w:szCs w:val="24"/>
        </w:rPr>
      </w:pPr>
    </w:p>
    <w:p w14:paraId="415D78F1" w14:textId="77777777" w:rsidR="00640C22" w:rsidRDefault="00640C22" w:rsidP="00727890">
      <w:pPr>
        <w:autoSpaceDE w:val="0"/>
        <w:autoSpaceDN w:val="0"/>
        <w:adjustRightInd w:val="0"/>
        <w:snapToGrid w:val="0"/>
        <w:spacing w:line="360" w:lineRule="auto"/>
        <w:ind w:firstLineChars="200" w:firstLine="480"/>
        <w:jc w:val="left"/>
        <w:rPr>
          <w:rFonts w:ascii="宋体" w:hAnsi="宋体"/>
          <w:sz w:val="24"/>
        </w:rPr>
      </w:pPr>
      <w:r w:rsidRPr="00640C22">
        <w:rPr>
          <w:rFonts w:ascii="宋体" w:hAnsi="宋体" w:hint="eastAsia"/>
          <w:sz w:val="24"/>
        </w:rPr>
        <w:t>本基金C类基金份额目前仅通过直销机构进行销售。</w:t>
      </w:r>
    </w:p>
    <w:p w14:paraId="32A4A023" w14:textId="56ECE800" w:rsidR="00FB4D29" w:rsidRDefault="00CF4592" w:rsidP="00727890">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基金管理人可根据有关法律法规的要求，选择其它符合要求的机构销售本基金，并在管理人网站公示。</w:t>
      </w:r>
    </w:p>
    <w:p w14:paraId="382BDBF4" w14:textId="185B8CC0" w:rsidR="006A4C40" w:rsidRPr="006A4C40" w:rsidRDefault="006A4C40" w:rsidP="006A4C40">
      <w:pPr>
        <w:autoSpaceDE w:val="0"/>
        <w:autoSpaceDN w:val="0"/>
        <w:adjustRightInd w:val="0"/>
        <w:snapToGrid w:val="0"/>
        <w:spacing w:line="360" w:lineRule="auto"/>
        <w:ind w:firstLineChars="200" w:firstLine="480"/>
        <w:jc w:val="left"/>
        <w:rPr>
          <w:rFonts w:ascii="宋体" w:hAnsi="宋体"/>
          <w:sz w:val="24"/>
        </w:rPr>
      </w:pPr>
    </w:p>
    <w:p w14:paraId="70A01A21" w14:textId="0A2C457C" w:rsidR="00FB4D29" w:rsidRDefault="00CF4592" w:rsidP="00B46D5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（二）登记机构</w:t>
      </w:r>
    </w:p>
    <w:p w14:paraId="491765C4"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名称：中国证券登记结算有限责任公司</w:t>
      </w:r>
    </w:p>
    <w:p w14:paraId="21A7DAC2"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住所：北京市西城区太平桥大街17号</w:t>
      </w:r>
    </w:p>
    <w:p w14:paraId="3F80140D"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办公地址：北京市西城区太平桥大街17号</w:t>
      </w:r>
    </w:p>
    <w:p w14:paraId="2F8E0CD1"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法定代表人：于文强</w:t>
      </w:r>
    </w:p>
    <w:p w14:paraId="778E7C73"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电话：（010）50938782</w:t>
      </w:r>
    </w:p>
    <w:p w14:paraId="30492F68"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传真：（010）50938907</w:t>
      </w:r>
    </w:p>
    <w:p w14:paraId="2A9293AF" w14:textId="0B336A2C" w:rsidR="00FB4D29" w:rsidRDefault="00CF4592" w:rsidP="00B46D5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联系人：赵亦清</w:t>
      </w:r>
    </w:p>
    <w:p w14:paraId="543862E3"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（三）出具法律意见书的律师事务所</w:t>
      </w:r>
    </w:p>
    <w:p w14:paraId="123685CB"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名称：上海市通力律师事务所</w:t>
      </w:r>
    </w:p>
    <w:p w14:paraId="50B782BA"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住所：上海市银城中路68号时代金融中心19楼</w:t>
      </w:r>
    </w:p>
    <w:p w14:paraId="2B1F0C70"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办公地址：上海市银城中路68号时代金融中心19楼</w:t>
      </w:r>
    </w:p>
    <w:p w14:paraId="612CE99F"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负责人：韩炯</w:t>
      </w:r>
    </w:p>
    <w:p w14:paraId="130B56CD"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电话：（021）31358666</w:t>
      </w:r>
    </w:p>
    <w:p w14:paraId="350DA860"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传真：（021）31358600</w:t>
      </w:r>
    </w:p>
    <w:p w14:paraId="680143AA"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联系人：丁媛</w:t>
      </w:r>
    </w:p>
    <w:p w14:paraId="138DB3F7"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经办律师：黎明、丁媛</w:t>
      </w:r>
    </w:p>
    <w:p w14:paraId="3E3DD117"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（四）审计基金财产的会计师事务所</w:t>
      </w:r>
    </w:p>
    <w:p w14:paraId="648B2855"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名称：普华永道中天会计师事务所（特殊普通合伙）</w:t>
      </w:r>
    </w:p>
    <w:p w14:paraId="499741EF"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住所：中国(上海)自由贸易试验区陆家嘴环路1318号星展银行大厦507单元01室</w:t>
      </w:r>
    </w:p>
    <w:p w14:paraId="4AC94DBB" w14:textId="1B084E0E"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w:t>
      </w:r>
      <w:r w:rsidR="00436F9A" w:rsidRPr="00436F9A">
        <w:rPr>
          <w:rFonts w:ascii="宋体" w:hAnsi="宋体" w:hint="eastAsia"/>
          <w:sz w:val="24"/>
        </w:rPr>
        <w:t>中国上海市浦东新区东育路588号前滩中心42楼</w:t>
      </w:r>
    </w:p>
    <w:p w14:paraId="27B7EBF5"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执行事务合伙人：李丹</w:t>
      </w:r>
    </w:p>
    <w:p w14:paraId="55E3D47E"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电话：（021）23238888</w:t>
      </w:r>
    </w:p>
    <w:p w14:paraId="205BD259"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传真：（021）23238800</w:t>
      </w:r>
    </w:p>
    <w:p w14:paraId="7DA15B5F"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联系人：金诗涛</w:t>
      </w:r>
    </w:p>
    <w:p w14:paraId="323B50CF" w14:textId="425385A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经办注册会计师：</w:t>
      </w:r>
      <w:r w:rsidR="0037412B" w:rsidRPr="0037412B">
        <w:rPr>
          <w:rFonts w:ascii="宋体" w:hAnsi="宋体" w:hint="eastAsia"/>
          <w:sz w:val="24"/>
        </w:rPr>
        <w:t>沈兆杰</w:t>
      </w:r>
      <w:r>
        <w:rPr>
          <w:rFonts w:ascii="宋体" w:hAnsi="宋体"/>
          <w:sz w:val="24"/>
        </w:rPr>
        <w:t>、金诗涛</w:t>
      </w:r>
    </w:p>
    <w:p w14:paraId="2897F46F" w14:textId="77777777" w:rsidR="00FB4D29" w:rsidRDefault="00FB4D29">
      <w:pPr>
        <w:autoSpaceDE w:val="0"/>
        <w:autoSpaceDN w:val="0"/>
        <w:adjustRightInd w:val="0"/>
        <w:snapToGrid w:val="0"/>
        <w:spacing w:line="360" w:lineRule="auto"/>
        <w:ind w:firstLineChars="200" w:firstLine="420"/>
        <w:jc w:val="left"/>
        <w:rPr>
          <w:rFonts w:ascii="宋体" w:hAnsi="宋体"/>
          <w:szCs w:val="24"/>
        </w:rPr>
      </w:pPr>
    </w:p>
    <w:p w14:paraId="57B9EBA8" w14:textId="77777777" w:rsidR="00AF2A34" w:rsidRDefault="00AF2A34" w:rsidP="00AF2A34">
      <w:pPr>
        <w:autoSpaceDE w:val="0"/>
        <w:autoSpaceDN w:val="0"/>
        <w:adjustRightInd w:val="0"/>
        <w:spacing w:line="360" w:lineRule="auto"/>
        <w:ind w:firstLineChars="200" w:firstLine="420"/>
        <w:rPr>
          <w:rFonts w:ascii="宋体" w:hAnsi="宋体"/>
          <w:szCs w:val="24"/>
        </w:rPr>
      </w:pPr>
    </w:p>
    <w:p w14:paraId="6EDD65DA" w14:textId="06C2E552" w:rsidR="00FB4D29" w:rsidRDefault="00CF4592">
      <w:pPr>
        <w:pStyle w:val="1"/>
        <w:snapToGrid w:val="0"/>
        <w:spacing w:beforeLines="0" w:before="240" w:after="240"/>
        <w:rPr>
          <w:rFonts w:ascii="宋体" w:hAnsi="宋体"/>
          <w:szCs w:val="30"/>
        </w:rPr>
      </w:pPr>
      <w:r>
        <w:rPr>
          <w:rFonts w:ascii="宋体" w:hAnsi="宋体"/>
          <w:sz w:val="24"/>
        </w:rPr>
        <w:br w:type="page"/>
      </w:r>
      <w:bookmarkStart w:id="8" w:name="_Toc107476025"/>
      <w:r>
        <w:rPr>
          <w:rFonts w:ascii="Times New Roman" w:hAnsi="Times New Roman"/>
          <w:sz w:val="30"/>
        </w:rPr>
        <w:lastRenderedPageBreak/>
        <w:t>六、基金的</w:t>
      </w:r>
      <w:r w:rsidR="007F006B">
        <w:rPr>
          <w:rFonts w:ascii="Times New Roman" w:hAnsi="Times New Roman" w:hint="eastAsia"/>
          <w:sz w:val="30"/>
        </w:rPr>
        <w:t>历史沿革</w:t>
      </w:r>
      <w:bookmarkEnd w:id="8"/>
    </w:p>
    <w:p w14:paraId="1898F83C" w14:textId="579D94C5" w:rsidR="007F006B" w:rsidRPr="007F006B" w:rsidRDefault="007F006B" w:rsidP="007F006B">
      <w:pPr>
        <w:autoSpaceDE w:val="0"/>
        <w:autoSpaceDN w:val="0"/>
        <w:adjustRightInd w:val="0"/>
        <w:snapToGrid w:val="0"/>
        <w:spacing w:line="360" w:lineRule="auto"/>
        <w:ind w:firstLineChars="200" w:firstLine="480"/>
        <w:jc w:val="left"/>
        <w:rPr>
          <w:rFonts w:ascii="宋体" w:hAnsi="宋体"/>
          <w:sz w:val="24"/>
        </w:rPr>
      </w:pPr>
      <w:r w:rsidRPr="007F006B">
        <w:rPr>
          <w:rFonts w:ascii="宋体" w:hAnsi="宋体" w:hint="eastAsia"/>
          <w:sz w:val="24"/>
        </w:rPr>
        <w:t>交银施罗德持续成长主题混合型</w:t>
      </w:r>
      <w:r>
        <w:rPr>
          <w:rFonts w:ascii="宋体" w:hAnsi="宋体" w:hint="eastAsia"/>
          <w:sz w:val="24"/>
        </w:rPr>
        <w:t>证券投资基金</w:t>
      </w:r>
      <w:r w:rsidR="00CF4592">
        <w:rPr>
          <w:rFonts w:ascii="宋体" w:hAnsi="宋体"/>
          <w:sz w:val="24"/>
        </w:rPr>
        <w:t>经中国证监会证监许可[2017]1156号文</w:t>
      </w:r>
      <w:r w:rsidR="000975FA">
        <w:rPr>
          <w:rFonts w:ascii="宋体" w:hAnsi="宋体" w:hint="eastAsia"/>
          <w:sz w:val="24"/>
        </w:rPr>
        <w:t>准予</w:t>
      </w:r>
      <w:r w:rsidR="00594B0D">
        <w:rPr>
          <w:rFonts w:ascii="宋体" w:hAnsi="宋体" w:hint="eastAsia"/>
          <w:sz w:val="24"/>
        </w:rPr>
        <w:t>募集</w:t>
      </w:r>
      <w:r w:rsidR="000975FA">
        <w:rPr>
          <w:rFonts w:ascii="宋体" w:hAnsi="宋体" w:hint="eastAsia"/>
          <w:sz w:val="24"/>
        </w:rPr>
        <w:t>注册</w:t>
      </w:r>
      <w:r>
        <w:rPr>
          <w:rFonts w:ascii="宋体" w:hAnsi="宋体" w:hint="eastAsia"/>
          <w:sz w:val="24"/>
        </w:rPr>
        <w:t>，</w:t>
      </w:r>
      <w:r w:rsidR="00CF4592">
        <w:rPr>
          <w:rFonts w:ascii="宋体" w:hAnsi="宋体"/>
          <w:sz w:val="24"/>
        </w:rPr>
        <w:t>自2017年11月22日</w:t>
      </w:r>
      <w:r w:rsidRPr="007F006B">
        <w:rPr>
          <w:rFonts w:ascii="宋体" w:hAnsi="宋体" w:hint="eastAsia"/>
          <w:sz w:val="24"/>
        </w:rPr>
        <w:t>起向社会公开募集，于</w:t>
      </w:r>
      <w:r w:rsidR="00CF4592">
        <w:rPr>
          <w:rFonts w:ascii="宋体" w:hAnsi="宋体"/>
          <w:sz w:val="24"/>
        </w:rPr>
        <w:t>2018年1月8日</w:t>
      </w:r>
      <w:r w:rsidRPr="007F006B">
        <w:rPr>
          <w:rFonts w:ascii="宋体" w:hAnsi="宋体" w:hint="eastAsia"/>
          <w:sz w:val="24"/>
        </w:rPr>
        <w:t>结束募集工作，并于</w:t>
      </w:r>
      <w:r>
        <w:rPr>
          <w:rFonts w:ascii="宋体" w:hAnsi="宋体" w:hint="eastAsia"/>
          <w:sz w:val="24"/>
        </w:rPr>
        <w:t>201</w:t>
      </w:r>
      <w:r>
        <w:rPr>
          <w:rFonts w:ascii="宋体" w:hAnsi="宋体"/>
          <w:sz w:val="24"/>
        </w:rPr>
        <w:t>8</w:t>
      </w:r>
      <w:r w:rsidRPr="007F006B">
        <w:rPr>
          <w:rFonts w:ascii="宋体" w:hAnsi="宋体" w:hint="eastAsia"/>
          <w:sz w:val="24"/>
        </w:rPr>
        <w:t>年</w:t>
      </w:r>
      <w:r>
        <w:rPr>
          <w:rFonts w:ascii="宋体" w:hAnsi="宋体"/>
          <w:sz w:val="24"/>
        </w:rPr>
        <w:t>1</w:t>
      </w:r>
      <w:r w:rsidRPr="007F006B">
        <w:rPr>
          <w:rFonts w:ascii="宋体" w:hAnsi="宋体" w:hint="eastAsia"/>
          <w:sz w:val="24"/>
        </w:rPr>
        <w:t>月</w:t>
      </w:r>
      <w:r>
        <w:rPr>
          <w:rFonts w:ascii="宋体" w:hAnsi="宋体" w:hint="eastAsia"/>
          <w:sz w:val="24"/>
        </w:rPr>
        <w:t>1</w:t>
      </w:r>
      <w:r>
        <w:rPr>
          <w:rFonts w:ascii="宋体" w:hAnsi="宋体"/>
          <w:sz w:val="24"/>
        </w:rPr>
        <w:t>2</w:t>
      </w:r>
      <w:r w:rsidRPr="007F006B">
        <w:rPr>
          <w:rFonts w:ascii="宋体" w:hAnsi="宋体" w:hint="eastAsia"/>
          <w:sz w:val="24"/>
        </w:rPr>
        <w:t>日获得中国证监会的书面确认，《交银施罗德持续成长主题混合型</w:t>
      </w:r>
      <w:r>
        <w:rPr>
          <w:rFonts w:ascii="宋体" w:hAnsi="宋体" w:hint="eastAsia"/>
          <w:sz w:val="24"/>
        </w:rPr>
        <w:t>证券投资基金</w:t>
      </w:r>
      <w:r w:rsidRPr="007F006B">
        <w:rPr>
          <w:rFonts w:ascii="宋体" w:hAnsi="宋体" w:hint="eastAsia"/>
          <w:sz w:val="24"/>
        </w:rPr>
        <w:t>基金合同》自该日起生效。</w:t>
      </w:r>
    </w:p>
    <w:p w14:paraId="7FEE0D9E" w14:textId="4ACB8BBE" w:rsidR="007F006B" w:rsidRPr="002861D7" w:rsidRDefault="002861D7" w:rsidP="009C2C56">
      <w:pPr>
        <w:autoSpaceDE w:val="0"/>
        <w:autoSpaceDN w:val="0"/>
        <w:adjustRightInd w:val="0"/>
        <w:snapToGrid w:val="0"/>
        <w:spacing w:line="360" w:lineRule="auto"/>
        <w:ind w:firstLineChars="200" w:firstLine="480"/>
        <w:jc w:val="left"/>
        <w:rPr>
          <w:rFonts w:ascii="宋体" w:hAnsi="宋体"/>
          <w:sz w:val="24"/>
        </w:rPr>
      </w:pPr>
      <w:r w:rsidRPr="002861D7">
        <w:rPr>
          <w:rFonts w:ascii="宋体" w:hAnsi="宋体" w:hint="eastAsia"/>
          <w:sz w:val="24"/>
        </w:rPr>
        <w:t>自202</w:t>
      </w:r>
      <w:r w:rsidR="0043711A">
        <w:rPr>
          <w:rFonts w:ascii="宋体" w:hAnsi="宋体"/>
          <w:sz w:val="24"/>
        </w:rPr>
        <w:t>3</w:t>
      </w:r>
      <w:r w:rsidRPr="002861D7">
        <w:rPr>
          <w:rFonts w:ascii="宋体" w:hAnsi="宋体" w:hint="eastAsia"/>
          <w:sz w:val="24"/>
        </w:rPr>
        <w:t>年</w:t>
      </w:r>
      <w:r w:rsidR="0043711A">
        <w:rPr>
          <w:rFonts w:ascii="宋体" w:hAnsi="宋体" w:hint="eastAsia"/>
          <w:sz w:val="24"/>
        </w:rPr>
        <w:t>2</w:t>
      </w:r>
      <w:r w:rsidRPr="002861D7">
        <w:rPr>
          <w:rFonts w:ascii="宋体" w:hAnsi="宋体" w:hint="eastAsia"/>
          <w:sz w:val="24"/>
        </w:rPr>
        <w:t>月</w:t>
      </w:r>
      <w:r w:rsidR="0043711A">
        <w:rPr>
          <w:rFonts w:ascii="宋体" w:hAnsi="宋体"/>
          <w:sz w:val="24"/>
        </w:rPr>
        <w:t>2</w:t>
      </w:r>
      <w:r w:rsidR="006A31E4">
        <w:rPr>
          <w:rFonts w:ascii="宋体" w:hAnsi="宋体"/>
          <w:sz w:val="24"/>
        </w:rPr>
        <w:t>4</w:t>
      </w:r>
      <w:r w:rsidRPr="002861D7">
        <w:rPr>
          <w:rFonts w:ascii="宋体" w:hAnsi="宋体" w:hint="eastAsia"/>
          <w:sz w:val="24"/>
        </w:rPr>
        <w:t>日至202</w:t>
      </w:r>
      <w:r w:rsidR="0043711A">
        <w:rPr>
          <w:rFonts w:ascii="宋体" w:hAnsi="宋体"/>
          <w:sz w:val="24"/>
        </w:rPr>
        <w:t>3</w:t>
      </w:r>
      <w:r w:rsidRPr="002861D7">
        <w:rPr>
          <w:rFonts w:ascii="宋体" w:hAnsi="宋体" w:hint="eastAsia"/>
          <w:sz w:val="24"/>
        </w:rPr>
        <w:t>年</w:t>
      </w:r>
      <w:r w:rsidR="0043711A">
        <w:rPr>
          <w:rFonts w:ascii="宋体" w:hAnsi="宋体"/>
          <w:sz w:val="24"/>
        </w:rPr>
        <w:t>3</w:t>
      </w:r>
      <w:r w:rsidRPr="002861D7">
        <w:rPr>
          <w:rFonts w:ascii="宋体" w:hAnsi="宋体" w:hint="eastAsia"/>
          <w:sz w:val="24"/>
        </w:rPr>
        <w:t>月</w:t>
      </w:r>
      <w:r w:rsidR="0043711A">
        <w:rPr>
          <w:rFonts w:ascii="宋体" w:hAnsi="宋体" w:hint="eastAsia"/>
          <w:sz w:val="24"/>
        </w:rPr>
        <w:t>2</w:t>
      </w:r>
      <w:r w:rsidR="0043711A">
        <w:rPr>
          <w:rFonts w:ascii="宋体" w:hAnsi="宋体"/>
          <w:sz w:val="24"/>
        </w:rPr>
        <w:t>7</w:t>
      </w:r>
      <w:r w:rsidRPr="002861D7">
        <w:rPr>
          <w:rFonts w:ascii="宋体" w:hAnsi="宋体" w:hint="eastAsia"/>
          <w:sz w:val="24"/>
        </w:rPr>
        <w:t>日</w:t>
      </w:r>
      <w:r w:rsidR="009C2C56">
        <w:rPr>
          <w:rFonts w:ascii="宋体" w:hAnsi="宋体" w:hint="eastAsia"/>
          <w:sz w:val="24"/>
        </w:rPr>
        <w:t>交银施罗德持续成长主题混合型证券投资基金</w:t>
      </w:r>
      <w:r w:rsidRPr="002861D7">
        <w:rPr>
          <w:rFonts w:ascii="宋体" w:hAnsi="宋体" w:hint="eastAsia"/>
          <w:sz w:val="24"/>
        </w:rPr>
        <w:t>以通讯方式召开基金份额持有人大会，大会于202</w:t>
      </w:r>
      <w:r w:rsidR="0043711A">
        <w:rPr>
          <w:rFonts w:ascii="宋体" w:hAnsi="宋体"/>
          <w:sz w:val="24"/>
        </w:rPr>
        <w:t>3</w:t>
      </w:r>
      <w:r w:rsidRPr="002861D7">
        <w:rPr>
          <w:rFonts w:ascii="宋体" w:hAnsi="宋体" w:hint="eastAsia"/>
          <w:sz w:val="24"/>
        </w:rPr>
        <w:t>年</w:t>
      </w:r>
      <w:r w:rsidR="0043711A">
        <w:rPr>
          <w:rFonts w:ascii="宋体" w:hAnsi="宋体" w:hint="eastAsia"/>
          <w:sz w:val="24"/>
        </w:rPr>
        <w:t>3</w:t>
      </w:r>
      <w:r w:rsidRPr="002861D7">
        <w:rPr>
          <w:rFonts w:ascii="宋体" w:hAnsi="宋体" w:hint="eastAsia"/>
          <w:sz w:val="24"/>
        </w:rPr>
        <w:t>月</w:t>
      </w:r>
      <w:r w:rsidR="0043711A">
        <w:rPr>
          <w:rFonts w:ascii="宋体" w:hAnsi="宋体"/>
          <w:sz w:val="24"/>
        </w:rPr>
        <w:t>28</w:t>
      </w:r>
      <w:r w:rsidRPr="002861D7">
        <w:rPr>
          <w:rFonts w:ascii="宋体" w:hAnsi="宋体" w:hint="eastAsia"/>
          <w:sz w:val="24"/>
        </w:rPr>
        <w:t>日审议通过了《</w:t>
      </w:r>
      <w:r w:rsidR="009C2C56" w:rsidRPr="00C865F7">
        <w:rPr>
          <w:rFonts w:hint="eastAsia"/>
          <w:kern w:val="0"/>
          <w:sz w:val="24"/>
        </w:rPr>
        <w:t>关于</w:t>
      </w:r>
      <w:r w:rsidR="009C2C56" w:rsidRPr="009C2C56">
        <w:rPr>
          <w:rFonts w:hint="eastAsia"/>
          <w:kern w:val="0"/>
          <w:sz w:val="24"/>
        </w:rPr>
        <w:t>交银施罗德持续成长主题混合型证券投资基金</w:t>
      </w:r>
      <w:r w:rsidR="009C2C56" w:rsidRPr="00C865F7">
        <w:rPr>
          <w:rFonts w:hint="eastAsia"/>
          <w:kern w:val="0"/>
          <w:sz w:val="24"/>
        </w:rPr>
        <w:t>调整投资范围及修改基金合同有关事项的议案</w:t>
      </w:r>
      <w:r w:rsidR="009C2C56">
        <w:rPr>
          <w:rFonts w:ascii="宋体" w:hAnsi="宋体" w:hint="eastAsia"/>
          <w:sz w:val="24"/>
        </w:rPr>
        <w:t>》，内容包括在交银施罗德持续成长主题混合型证券投资基金</w:t>
      </w:r>
      <w:r w:rsidR="009C2C56" w:rsidRPr="009C2C56">
        <w:rPr>
          <w:rFonts w:ascii="宋体" w:hAnsi="宋体" w:hint="eastAsia"/>
          <w:sz w:val="24"/>
        </w:rPr>
        <w:t>的投资范围中增加港股通标的股票</w:t>
      </w:r>
      <w:r w:rsidR="001C019A" w:rsidRPr="001C019A">
        <w:rPr>
          <w:rFonts w:ascii="宋体" w:hAnsi="宋体" w:hint="eastAsia"/>
          <w:bCs/>
          <w:sz w:val="24"/>
        </w:rPr>
        <w:t>、删除权证和中小板</w:t>
      </w:r>
      <w:r w:rsidR="009C2C56" w:rsidRPr="009C2C56">
        <w:rPr>
          <w:rFonts w:ascii="宋体" w:hAnsi="宋体" w:hint="eastAsia"/>
          <w:sz w:val="24"/>
        </w:rPr>
        <w:t>，相</w:t>
      </w:r>
      <w:r w:rsidR="009C2C56">
        <w:rPr>
          <w:rFonts w:ascii="宋体" w:hAnsi="宋体" w:hint="eastAsia"/>
          <w:sz w:val="24"/>
        </w:rPr>
        <w:t>应调整投资策略</w:t>
      </w:r>
      <w:r w:rsidR="00296C6C">
        <w:rPr>
          <w:rFonts w:ascii="宋体" w:hAnsi="宋体" w:hint="eastAsia"/>
          <w:sz w:val="24"/>
        </w:rPr>
        <w:t>、业绩比较基准</w:t>
      </w:r>
      <w:r w:rsidR="009C2C56">
        <w:rPr>
          <w:rFonts w:ascii="宋体" w:hAnsi="宋体" w:hint="eastAsia"/>
          <w:sz w:val="24"/>
        </w:rPr>
        <w:t>、投资比例限制、估值方法等内容，</w:t>
      </w:r>
      <w:r w:rsidR="009C2C56" w:rsidRPr="009C2C56">
        <w:rPr>
          <w:rFonts w:ascii="宋体" w:hAnsi="宋体" w:hint="eastAsia"/>
          <w:sz w:val="24"/>
        </w:rPr>
        <w:t>增加基金合同自动终止条款、增加</w:t>
      </w:r>
      <w:bookmarkStart w:id="9" w:name="_GoBack"/>
      <w:bookmarkEnd w:id="9"/>
      <w:r w:rsidR="009C2C56" w:rsidRPr="009C2C56">
        <w:rPr>
          <w:rFonts w:ascii="宋体" w:hAnsi="宋体" w:hint="eastAsia"/>
          <w:sz w:val="24"/>
        </w:rPr>
        <w:t>C类基金份额、增加侧袋机制相关表述</w:t>
      </w:r>
      <w:r w:rsidR="00296C6C">
        <w:rPr>
          <w:rFonts w:ascii="宋体" w:hAnsi="宋体" w:hint="eastAsia"/>
          <w:sz w:val="24"/>
        </w:rPr>
        <w:t>，并</w:t>
      </w:r>
      <w:r w:rsidR="009C2C56" w:rsidRPr="009C2C56">
        <w:rPr>
          <w:rFonts w:ascii="宋体" w:hAnsi="宋体" w:hint="eastAsia"/>
          <w:sz w:val="24"/>
        </w:rPr>
        <w:t>修改基金合同</w:t>
      </w:r>
      <w:r w:rsidR="00296C6C" w:rsidRPr="00C25B30">
        <w:rPr>
          <w:rFonts w:hint="eastAsia"/>
          <w:bCs/>
          <w:sz w:val="24"/>
        </w:rPr>
        <w:t>中根据上述调整需要同步进行修订的</w:t>
      </w:r>
      <w:r w:rsidR="009C2C56" w:rsidRPr="009C2C56">
        <w:rPr>
          <w:rFonts w:ascii="宋体" w:hAnsi="宋体" w:hint="eastAsia"/>
          <w:sz w:val="24"/>
        </w:rPr>
        <w:t>其他</w:t>
      </w:r>
      <w:r w:rsidR="00296C6C">
        <w:rPr>
          <w:rFonts w:ascii="宋体" w:hAnsi="宋体" w:hint="eastAsia"/>
          <w:sz w:val="24"/>
        </w:rPr>
        <w:t>部分</w:t>
      </w:r>
      <w:r w:rsidR="009C2C56" w:rsidRPr="009C2C56">
        <w:rPr>
          <w:rFonts w:ascii="宋体" w:hAnsi="宋体" w:hint="eastAsia"/>
          <w:sz w:val="24"/>
        </w:rPr>
        <w:t>条款，</w:t>
      </w:r>
      <w:r w:rsidR="00296C6C" w:rsidRPr="00C25B30">
        <w:rPr>
          <w:rFonts w:hint="eastAsia"/>
          <w:bCs/>
          <w:sz w:val="24"/>
        </w:rPr>
        <w:t>以及按照最新的法律法规及中国证监会要求修改的内容</w:t>
      </w:r>
      <w:r w:rsidR="00296C6C">
        <w:rPr>
          <w:rFonts w:hint="eastAsia"/>
          <w:bCs/>
          <w:sz w:val="24"/>
        </w:rPr>
        <w:t>。</w:t>
      </w:r>
      <w:r w:rsidR="009C2C56" w:rsidRPr="009C2C56">
        <w:rPr>
          <w:rFonts w:ascii="宋体" w:hAnsi="宋体" w:hint="eastAsia"/>
          <w:sz w:val="24"/>
        </w:rPr>
        <w:t>上述基金份额持有人大会决议事项自表决通过之日起生效。</w:t>
      </w:r>
      <w:r w:rsidRPr="002861D7">
        <w:rPr>
          <w:rFonts w:ascii="宋体" w:hAnsi="宋体" w:hint="eastAsia"/>
          <w:sz w:val="24"/>
        </w:rPr>
        <w:t>自202</w:t>
      </w:r>
      <w:r w:rsidR="0043711A">
        <w:rPr>
          <w:rFonts w:ascii="宋体" w:hAnsi="宋体"/>
          <w:sz w:val="24"/>
        </w:rPr>
        <w:t>3</w:t>
      </w:r>
      <w:r w:rsidRPr="002861D7">
        <w:rPr>
          <w:rFonts w:ascii="宋体" w:hAnsi="宋体" w:hint="eastAsia"/>
          <w:sz w:val="24"/>
        </w:rPr>
        <w:t>年</w:t>
      </w:r>
      <w:r w:rsidR="0043711A">
        <w:rPr>
          <w:rFonts w:ascii="宋体" w:hAnsi="宋体" w:hint="eastAsia"/>
          <w:sz w:val="24"/>
        </w:rPr>
        <w:t>3</w:t>
      </w:r>
      <w:r w:rsidRPr="002861D7">
        <w:rPr>
          <w:rFonts w:ascii="宋体" w:hAnsi="宋体" w:hint="eastAsia"/>
          <w:sz w:val="24"/>
        </w:rPr>
        <w:t>月</w:t>
      </w:r>
      <w:r w:rsidR="0043711A">
        <w:rPr>
          <w:rFonts w:ascii="宋体" w:hAnsi="宋体"/>
          <w:sz w:val="24"/>
        </w:rPr>
        <w:t>29</w:t>
      </w:r>
      <w:r w:rsidRPr="002861D7">
        <w:rPr>
          <w:rFonts w:ascii="宋体" w:hAnsi="宋体" w:hint="eastAsia"/>
          <w:sz w:val="24"/>
        </w:rPr>
        <w:t>日起，根据《</w:t>
      </w:r>
      <w:r w:rsidR="009C2C56" w:rsidRPr="009C2C56">
        <w:rPr>
          <w:rFonts w:ascii="宋体" w:hAnsi="宋体" w:hint="eastAsia"/>
          <w:sz w:val="24"/>
        </w:rPr>
        <w:t>关于交银施罗德持续成长主题混合型证券投资基金调整投资范围及修改基金合同有关事项的议案</w:t>
      </w:r>
      <w:r w:rsidRPr="002861D7">
        <w:rPr>
          <w:rFonts w:ascii="宋体" w:hAnsi="宋体" w:hint="eastAsia"/>
          <w:sz w:val="24"/>
        </w:rPr>
        <w:t>》修改而成的《</w:t>
      </w:r>
      <w:r w:rsidR="009C2C56">
        <w:rPr>
          <w:rFonts w:ascii="宋体" w:hAnsi="宋体" w:hint="eastAsia"/>
          <w:sz w:val="24"/>
        </w:rPr>
        <w:t>交银施罗德持续成长主题混合型证券投资基金</w:t>
      </w:r>
      <w:r w:rsidRPr="002861D7">
        <w:rPr>
          <w:rFonts w:ascii="宋体" w:hAnsi="宋体" w:hint="eastAsia"/>
          <w:sz w:val="24"/>
        </w:rPr>
        <w:t>基金合同》生效。</w:t>
      </w:r>
    </w:p>
    <w:p w14:paraId="7DC1D79D" w14:textId="77777777" w:rsidR="00AF2A34" w:rsidRDefault="00AF2A34" w:rsidP="00F82365">
      <w:pPr>
        <w:autoSpaceDE w:val="0"/>
        <w:autoSpaceDN w:val="0"/>
        <w:adjustRightInd w:val="0"/>
        <w:spacing w:line="360" w:lineRule="auto"/>
        <w:rPr>
          <w:rFonts w:ascii="宋体" w:hAnsi="宋体"/>
          <w:szCs w:val="24"/>
        </w:rPr>
      </w:pPr>
    </w:p>
    <w:p w14:paraId="51E32B28" w14:textId="168BDC83" w:rsidR="00FB4D29" w:rsidRDefault="00CF4592">
      <w:pPr>
        <w:pStyle w:val="1"/>
        <w:snapToGrid w:val="0"/>
        <w:spacing w:beforeLines="0" w:before="240" w:after="240"/>
        <w:rPr>
          <w:rFonts w:ascii="宋体" w:hAnsi="宋体"/>
          <w:szCs w:val="30"/>
        </w:rPr>
      </w:pPr>
      <w:r>
        <w:rPr>
          <w:rFonts w:ascii="宋体" w:hAnsi="宋体"/>
          <w:sz w:val="24"/>
        </w:rPr>
        <w:br w:type="page"/>
      </w:r>
      <w:bookmarkStart w:id="10" w:name="_Toc107476026"/>
      <w:r>
        <w:rPr>
          <w:rFonts w:ascii="Times New Roman" w:hAnsi="Times New Roman"/>
          <w:sz w:val="30"/>
        </w:rPr>
        <w:lastRenderedPageBreak/>
        <w:t>七、基金的</w:t>
      </w:r>
      <w:r w:rsidR="00BA2CAA">
        <w:rPr>
          <w:rFonts w:ascii="Times New Roman" w:hAnsi="Times New Roman" w:hint="eastAsia"/>
          <w:sz w:val="30"/>
        </w:rPr>
        <w:t>存续</w:t>
      </w:r>
      <w:bookmarkEnd w:id="10"/>
    </w:p>
    <w:p w14:paraId="2FE150AD" w14:textId="77777777" w:rsidR="00BA2CAA" w:rsidRDefault="00CF4592">
      <w:pPr>
        <w:autoSpaceDE w:val="0"/>
        <w:autoSpaceDN w:val="0"/>
        <w:adjustRightInd w:val="0"/>
        <w:snapToGrid w:val="0"/>
        <w:spacing w:line="360" w:lineRule="auto"/>
        <w:ind w:firstLineChars="200" w:firstLine="480"/>
        <w:jc w:val="left"/>
        <w:rPr>
          <w:rFonts w:ascii="宋体" w:hAnsi="宋体"/>
          <w:sz w:val="24"/>
        </w:rPr>
      </w:pPr>
      <w:r>
        <w:rPr>
          <w:rFonts w:ascii="宋体" w:hAnsi="宋体"/>
          <w:sz w:val="24"/>
        </w:rPr>
        <w:t>《基金合同》生效后，连续20个工作日出现基金份额持有人数量不满200人或者基金资产净值低于5000万元情形的，基金管理人应当在定期报告中予以披露。</w:t>
      </w:r>
      <w:r w:rsidR="00BA2CAA" w:rsidRPr="00BA2CAA">
        <w:rPr>
          <w:rFonts w:ascii="宋体" w:hAnsi="宋体" w:hint="eastAsia"/>
          <w:sz w:val="24"/>
        </w:rPr>
        <w:t>连续50个工作日出现前述情形的，基金合同终止，不需召开基金份额持有人大会。</w:t>
      </w:r>
    </w:p>
    <w:p w14:paraId="74825CA3" w14:textId="4A091F90" w:rsidR="00FB4D29" w:rsidRDefault="00BA2CAA">
      <w:pPr>
        <w:autoSpaceDE w:val="0"/>
        <w:autoSpaceDN w:val="0"/>
        <w:adjustRightInd w:val="0"/>
        <w:snapToGrid w:val="0"/>
        <w:spacing w:line="360" w:lineRule="auto"/>
        <w:ind w:firstLineChars="200" w:firstLine="480"/>
        <w:jc w:val="left"/>
        <w:rPr>
          <w:rFonts w:ascii="宋体" w:hAnsi="宋体"/>
          <w:szCs w:val="24"/>
        </w:rPr>
      </w:pPr>
      <w:r w:rsidRPr="00BA2CAA">
        <w:rPr>
          <w:rFonts w:ascii="宋体" w:hAnsi="宋体" w:hint="eastAsia"/>
          <w:sz w:val="24"/>
        </w:rPr>
        <w:t>法律法规或监管机构另有规定时，从其规定。</w:t>
      </w:r>
    </w:p>
    <w:p w14:paraId="228BBF82" w14:textId="77777777" w:rsidR="00AF2A34" w:rsidRDefault="00AF2A34" w:rsidP="00AF2A34">
      <w:pPr>
        <w:autoSpaceDE w:val="0"/>
        <w:autoSpaceDN w:val="0"/>
        <w:adjustRightInd w:val="0"/>
        <w:spacing w:line="360" w:lineRule="auto"/>
        <w:ind w:firstLineChars="200" w:firstLine="420"/>
        <w:rPr>
          <w:rFonts w:ascii="宋体" w:hAnsi="宋体"/>
          <w:szCs w:val="24"/>
        </w:rPr>
      </w:pPr>
    </w:p>
    <w:p w14:paraId="603B45DC" w14:textId="5B0CC681" w:rsidR="00FB4D29" w:rsidRDefault="00CF4592">
      <w:pPr>
        <w:pStyle w:val="1"/>
        <w:snapToGrid w:val="0"/>
        <w:spacing w:beforeLines="0" w:before="240" w:after="240"/>
        <w:rPr>
          <w:rFonts w:ascii="宋体" w:hAnsi="宋体"/>
          <w:szCs w:val="30"/>
        </w:rPr>
      </w:pPr>
      <w:r>
        <w:rPr>
          <w:rFonts w:ascii="宋体" w:hAnsi="宋体"/>
          <w:sz w:val="24"/>
        </w:rPr>
        <w:br w:type="page"/>
      </w:r>
      <w:bookmarkStart w:id="11" w:name="_Toc107476027"/>
      <w:r>
        <w:rPr>
          <w:rFonts w:ascii="Times New Roman" w:hAnsi="Times New Roman"/>
          <w:sz w:val="30"/>
        </w:rPr>
        <w:lastRenderedPageBreak/>
        <w:t>八、基金份额的申购与赎回</w:t>
      </w:r>
      <w:bookmarkEnd w:id="11"/>
    </w:p>
    <w:p w14:paraId="5CF3FB90" w14:textId="77777777" w:rsidR="00FB4D29" w:rsidRDefault="00CF4592">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（一）申购和赎回的场所</w:t>
      </w:r>
    </w:p>
    <w:p w14:paraId="170699B5"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投资人可通过下述场所按照规定的方式进行申购或赎回：</w:t>
      </w:r>
    </w:p>
    <w:p w14:paraId="734378C9"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1、本基金管理人的直销机构</w:t>
      </w:r>
    </w:p>
    <w:p w14:paraId="7E7DB485"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本基金直销机构为基金管理人直销柜台以及基金管理人的网上直销交易平台。</w:t>
      </w:r>
    </w:p>
    <w:p w14:paraId="37835C1C"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名称：交银施罗德基金管理有限公司</w:t>
      </w:r>
    </w:p>
    <w:p w14:paraId="45717982"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住所：中国(上海)自由贸易试验区银城中路188号交通银行大楼二层（裙）</w:t>
      </w:r>
    </w:p>
    <w:p w14:paraId="2D4F5A2D"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办公地址：上海市浦东新区世纪大道8号国金中心二期21-22楼</w:t>
      </w:r>
    </w:p>
    <w:p w14:paraId="5843440B"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电话：（021）61055724</w:t>
      </w:r>
    </w:p>
    <w:p w14:paraId="27962FB7"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传真：（021）61055054</w:t>
      </w:r>
    </w:p>
    <w:p w14:paraId="47B15187"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联系人：傅鲸</w:t>
      </w:r>
    </w:p>
    <w:p w14:paraId="78917DE8"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客户服务电话：400-700-5000（免长途话费），（021）61055000</w:t>
      </w:r>
    </w:p>
    <w:p w14:paraId="009833A2"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网址：www.fund001.com</w:t>
      </w:r>
    </w:p>
    <w:p w14:paraId="6A017530"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个人投资者可以通过基金管理人网上直销交易平台办理开户、本基金的申购、赎回、转换、定期定额投资等业务，具体交易细则请参阅基金管理人网站。</w:t>
      </w:r>
    </w:p>
    <w:p w14:paraId="54F99A23"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网上直销交易平台网址：www.fund001.com</w:t>
      </w:r>
    </w:p>
    <w:p w14:paraId="069B2502"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2、除基金管理人之外的其他销售机构</w:t>
      </w:r>
    </w:p>
    <w:p w14:paraId="08E76D9C"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本基金除基金管理人之外的其他销售机构参见本招募说明书“五、相关服务机构”章节或拨打本公司客户服务电话进行咨询。</w:t>
      </w:r>
    </w:p>
    <w:p w14:paraId="3164AFC5"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投资人应当通过上述销售机构办理基金申购、赎回业务的营业场所或按上述销售机构提供的其他方式进行申购或赎回。本基金管理人可根据情况变更或增减基金销售机构，并在管理人网站公示。</w:t>
      </w:r>
    </w:p>
    <w:p w14:paraId="7EB7F7F2"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若基金管理人或其指定的销售机构开通电话、传真或网上等交易方式，投资人可以通过上述方式进行申购与赎回。</w:t>
      </w:r>
    </w:p>
    <w:p w14:paraId="72B007E1" w14:textId="77777777" w:rsidR="00FB4D29" w:rsidRDefault="00CF4592">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（二）申购和赎回的开放日及时间</w:t>
      </w:r>
    </w:p>
    <w:p w14:paraId="662B4470"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1、开放日及开放时间</w:t>
      </w:r>
    </w:p>
    <w:p w14:paraId="24ED66B7" w14:textId="0FFF7466"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投资人在开放日办理基金份额的申购和赎回，具体办理时间为上海证券交易所、深圳证券交易所的正常交易日的交易时间</w:t>
      </w:r>
      <w:r w:rsidR="00B8012B" w:rsidRPr="00796A70">
        <w:rPr>
          <w:rFonts w:hint="eastAsia"/>
          <w:bCs/>
          <w:sz w:val="24"/>
        </w:rPr>
        <w:t>（若该工作日为非港股通交易日，则本基金可不开放）</w:t>
      </w:r>
      <w:r>
        <w:rPr>
          <w:rFonts w:ascii="宋体" w:hAnsi="宋体"/>
          <w:sz w:val="24"/>
        </w:rPr>
        <w:t>，但基金管理人根据法律法规、中国证监会的要求或基金合同的规定公告暂停申购、赎回时除外。</w:t>
      </w:r>
    </w:p>
    <w:p w14:paraId="428A2EC8" w14:textId="5579EA55"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基金合同生效后，若出现新的证券/期货交易市场、证券/期货交易所交易时间变更或其他特殊情况，基金管理人将视情况对前述开放日及开放时间进行相应的调整，但应在实施日前依照《信息披露办法》的有关规定在</w:t>
      </w:r>
      <w:r w:rsidR="003246BF">
        <w:rPr>
          <w:rFonts w:ascii="宋体" w:hAnsi="宋体"/>
          <w:sz w:val="24"/>
        </w:rPr>
        <w:t>规定媒介</w:t>
      </w:r>
      <w:r>
        <w:rPr>
          <w:rFonts w:ascii="宋体" w:hAnsi="宋体"/>
          <w:sz w:val="24"/>
        </w:rPr>
        <w:t>上公告。</w:t>
      </w:r>
    </w:p>
    <w:p w14:paraId="4A318041"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2、申购、赎回开始日及业务办理时间</w:t>
      </w:r>
    </w:p>
    <w:p w14:paraId="68121008" w14:textId="795747B4" w:rsidR="00FB4D29" w:rsidRDefault="00CF4592">
      <w:pPr>
        <w:autoSpaceDE w:val="0"/>
        <w:autoSpaceDN w:val="0"/>
        <w:adjustRightInd w:val="0"/>
        <w:snapToGrid w:val="0"/>
        <w:spacing w:line="360" w:lineRule="auto"/>
        <w:ind w:firstLineChars="200" w:firstLine="480"/>
        <w:jc w:val="left"/>
        <w:rPr>
          <w:rFonts w:ascii="宋体" w:hAnsi="宋体"/>
          <w:sz w:val="24"/>
        </w:rPr>
      </w:pPr>
      <w:r>
        <w:rPr>
          <w:rFonts w:ascii="宋体" w:hAnsi="宋体"/>
          <w:sz w:val="24"/>
        </w:rPr>
        <w:t>本基金</w:t>
      </w:r>
      <w:r w:rsidR="00B82B06" w:rsidRPr="00B82B06">
        <w:rPr>
          <w:rFonts w:ascii="宋体" w:hAnsi="宋体" w:hint="eastAsia"/>
          <w:sz w:val="24"/>
        </w:rPr>
        <w:t>A类基金份额</w:t>
      </w:r>
      <w:r>
        <w:rPr>
          <w:rFonts w:ascii="宋体" w:hAnsi="宋体"/>
          <w:sz w:val="24"/>
        </w:rPr>
        <w:t>已于2018年3月5日起开放申购、赎回业务。</w:t>
      </w:r>
    </w:p>
    <w:p w14:paraId="2466C831" w14:textId="29A89F4D" w:rsidR="00B82B06" w:rsidRPr="00F82365" w:rsidRDefault="00B82B06">
      <w:pPr>
        <w:autoSpaceDE w:val="0"/>
        <w:autoSpaceDN w:val="0"/>
        <w:adjustRightInd w:val="0"/>
        <w:snapToGrid w:val="0"/>
        <w:spacing w:line="360" w:lineRule="auto"/>
        <w:ind w:firstLineChars="200" w:firstLine="480"/>
        <w:jc w:val="left"/>
        <w:rPr>
          <w:rFonts w:ascii="宋体" w:hAnsi="宋体"/>
          <w:sz w:val="24"/>
        </w:rPr>
      </w:pPr>
      <w:r w:rsidRPr="00F82365">
        <w:rPr>
          <w:rFonts w:ascii="宋体" w:hAnsi="宋体" w:hint="eastAsia"/>
          <w:sz w:val="24"/>
        </w:rPr>
        <w:t>本基金</w:t>
      </w:r>
      <w:r w:rsidRPr="00F82365">
        <w:rPr>
          <w:rFonts w:ascii="宋体" w:hAnsi="宋体"/>
          <w:sz w:val="24"/>
        </w:rPr>
        <w:t>C类基金份额</w:t>
      </w:r>
      <w:r w:rsidR="005E57F7">
        <w:rPr>
          <w:rFonts w:ascii="宋体" w:hAnsi="宋体"/>
          <w:sz w:val="24"/>
        </w:rPr>
        <w:t>已</w:t>
      </w:r>
      <w:r w:rsidRPr="00F82365">
        <w:rPr>
          <w:rFonts w:ascii="宋体" w:hAnsi="宋体"/>
          <w:sz w:val="24"/>
        </w:rPr>
        <w:t>于</w:t>
      </w:r>
      <w:r w:rsidR="00FA7CBF" w:rsidRPr="00FA7CBF">
        <w:rPr>
          <w:rFonts w:ascii="宋体" w:hAnsi="宋体" w:hint="eastAsia"/>
          <w:sz w:val="24"/>
        </w:rPr>
        <w:t>202</w:t>
      </w:r>
      <w:r w:rsidR="009E6E71">
        <w:rPr>
          <w:rFonts w:ascii="宋体" w:hAnsi="宋体"/>
          <w:sz w:val="24"/>
        </w:rPr>
        <w:t>3</w:t>
      </w:r>
      <w:r w:rsidRPr="00F82365">
        <w:rPr>
          <w:rFonts w:ascii="宋体" w:hAnsi="宋体" w:hint="eastAsia"/>
          <w:sz w:val="24"/>
        </w:rPr>
        <w:t>年</w:t>
      </w:r>
      <w:r w:rsidR="009E6E71">
        <w:rPr>
          <w:rFonts w:ascii="宋体" w:hAnsi="宋体"/>
          <w:sz w:val="24"/>
        </w:rPr>
        <w:t>3</w:t>
      </w:r>
      <w:r w:rsidRPr="00F82365">
        <w:rPr>
          <w:rFonts w:ascii="宋体" w:hAnsi="宋体" w:hint="eastAsia"/>
          <w:sz w:val="24"/>
        </w:rPr>
        <w:t>月</w:t>
      </w:r>
      <w:r w:rsidR="009E6E71">
        <w:rPr>
          <w:rFonts w:ascii="宋体" w:hAnsi="宋体"/>
          <w:sz w:val="24"/>
        </w:rPr>
        <w:t>29</w:t>
      </w:r>
      <w:r w:rsidRPr="00F82365">
        <w:rPr>
          <w:rFonts w:ascii="宋体" w:hAnsi="宋体" w:hint="eastAsia"/>
          <w:sz w:val="24"/>
        </w:rPr>
        <w:t>日起开放申购、赎回业务。</w:t>
      </w:r>
    </w:p>
    <w:p w14:paraId="17FDFB9E"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不得在基金合同约定之外的日期或者时间办理基金份额的申购、赎回或者转换。投资人在基金合同约定之外的日期和时间提出申购、赎回或转换申请且登记机构确认接受的，其基金份额申购、赎回价格为下一开放日基金份额申购、赎回的价格。</w:t>
      </w:r>
    </w:p>
    <w:p w14:paraId="05AAA7C8" w14:textId="77777777" w:rsidR="00FB4D29" w:rsidRDefault="00CF4592">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（三）申购与赎回的原则</w:t>
      </w:r>
    </w:p>
    <w:p w14:paraId="7EF34CCA"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1、“未知价”原则，即申购、赎回价格以申请当日收市后计算的基金份额净值为基准进行计算；</w:t>
      </w:r>
    </w:p>
    <w:p w14:paraId="56D5D6DF"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2、“金额申购、份额赎回”原则，即申购以金额申请，赎回以份额申请；</w:t>
      </w:r>
    </w:p>
    <w:p w14:paraId="64A0FBA8"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3、当日的申购与赎回申请可以在基金管理人规定的时间以内撤销，但申请经登记机构受理的不得撤销；</w:t>
      </w:r>
    </w:p>
    <w:p w14:paraId="0EE34349"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份额持有人赎回时，除指定赎回外，基金管理人按“先进先出”的原则，对该持有人账户在该销售机构托管的基金份额进行处理，即登记确认日期在先的基金份额先赎回，登记确认日期在后的基金份额后赎回，以确定被赎回基金份额的持有期限和所适用的赎回费率。</w:t>
      </w:r>
    </w:p>
    <w:p w14:paraId="3F990689" w14:textId="411FA036"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基金管理人可在法律法规允许的情况下，对上述原则进行调整。基金管理人必须在新规则开始实施前依照《信息披露办法》的有关规定在</w:t>
      </w:r>
      <w:r w:rsidR="003246BF">
        <w:rPr>
          <w:rFonts w:ascii="宋体" w:hAnsi="宋体"/>
          <w:sz w:val="24"/>
        </w:rPr>
        <w:t>规定媒介</w:t>
      </w:r>
      <w:r>
        <w:rPr>
          <w:rFonts w:ascii="宋体" w:hAnsi="宋体"/>
          <w:sz w:val="24"/>
        </w:rPr>
        <w:t>上公告。</w:t>
      </w:r>
    </w:p>
    <w:p w14:paraId="6C9C8664" w14:textId="77777777" w:rsidR="00FB4D29" w:rsidRDefault="00CF4592">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（四）申购和赎回的数额限定</w:t>
      </w:r>
    </w:p>
    <w:p w14:paraId="4BDC9540"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1、申购金额的限制</w:t>
      </w:r>
    </w:p>
    <w:p w14:paraId="685699E1" w14:textId="6453F8D0"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直销机构首次申购的最低金额为单笔100</w:t>
      </w:r>
      <w:r w:rsidR="003E0C78">
        <w:rPr>
          <w:rFonts w:ascii="宋体" w:hAnsi="宋体" w:hint="eastAsia"/>
          <w:sz w:val="24"/>
        </w:rPr>
        <w:t>万</w:t>
      </w:r>
      <w:r>
        <w:rPr>
          <w:rFonts w:ascii="宋体" w:hAnsi="宋体"/>
          <w:sz w:val="24"/>
        </w:rPr>
        <w:t>元，追加申购的最低金额为单笔10</w:t>
      </w:r>
      <w:r w:rsidR="003E0C78">
        <w:rPr>
          <w:rFonts w:ascii="宋体" w:hAnsi="宋体" w:hint="eastAsia"/>
          <w:sz w:val="24"/>
        </w:rPr>
        <w:t>万</w:t>
      </w:r>
      <w:r>
        <w:rPr>
          <w:rFonts w:ascii="宋体" w:hAnsi="宋体"/>
          <w:sz w:val="24"/>
        </w:rPr>
        <w:t>元；已在直销机构有认购或申购过本基金管理人管理的任一基金（包括本基金）记录的投资人不受首次申购最低金额的限制。通过基金管理人网上直销交易平台办理基金申购业务的不受直销机构单笔申购最低金额的限制，申购最低金额为单笔1 元。本基金直销机构单笔申购最低金额可由基金管理人酌情调整。其他销售机构接受申购申请的最低金额为单笔1元，如果销售机构业务规则规定的最低单笔申购金</w:t>
      </w:r>
      <w:r>
        <w:rPr>
          <w:rFonts w:ascii="宋体" w:hAnsi="宋体"/>
          <w:sz w:val="24"/>
        </w:rPr>
        <w:lastRenderedPageBreak/>
        <w:t>额高于1元，以该销售机构的规定为准。</w:t>
      </w:r>
    </w:p>
    <w:p w14:paraId="5D5A4093"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2、赎回份额的限制</w:t>
      </w:r>
    </w:p>
    <w:p w14:paraId="6A6C408F"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赎回的最低份额为1份基金份额，如果销售机构业务规则规定的最低单笔赎回份额高于1份，以该销售机构的规定为准。</w:t>
      </w:r>
    </w:p>
    <w:p w14:paraId="55F5A323"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3、最低余额的限制</w:t>
      </w:r>
    </w:p>
    <w:p w14:paraId="4B8052DA"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每个工作日投资人在单个交易账户的本基金份额余额少于1份时，若当日该账户同时有基金份额减少类业务（如赎回、转换出等）被确认，则基金管理人有权将投资人在该账户的本基金份额一次性全部赎回。</w:t>
      </w:r>
    </w:p>
    <w:p w14:paraId="14F74692"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请参见相关公告。</w:t>
      </w:r>
    </w:p>
    <w:p w14:paraId="6D5B0C8E" w14:textId="14924B8C"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5、基金管理人可根据市场情况，在法律法规允许的情况下，调整申购的金额和赎回的份额以及最低基金份额保留余额的数量限制，基金管理人必须在调整实施前依照《信息披露办法》的有关规定在</w:t>
      </w:r>
      <w:r w:rsidR="003246BF">
        <w:rPr>
          <w:rFonts w:ascii="宋体" w:hAnsi="宋体"/>
          <w:sz w:val="24"/>
        </w:rPr>
        <w:t>规定媒介</w:t>
      </w:r>
      <w:r>
        <w:rPr>
          <w:rFonts w:ascii="宋体" w:hAnsi="宋体"/>
          <w:sz w:val="24"/>
        </w:rPr>
        <w:t>上刊登公告。</w:t>
      </w:r>
    </w:p>
    <w:p w14:paraId="58FD824B" w14:textId="77777777" w:rsidR="00FB4D29" w:rsidRDefault="00CF4592">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（五）申购和赎回的程序</w:t>
      </w:r>
    </w:p>
    <w:p w14:paraId="107C67DE"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1、申购和赎回的申请方式</w:t>
      </w:r>
    </w:p>
    <w:p w14:paraId="0FA9635A"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必须根据销售机构规定的程序，在开放日的具体业务办理时间内提出申购或赎回的申请。投资人在提交申购申请时须按销售机构规定的方式备足申购资金，投资人在提交赎回申请时须持有足够的基金份额余额，否则所提交的申购、赎回申请不成立。</w:t>
      </w:r>
    </w:p>
    <w:p w14:paraId="705533E8"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2、申购和赎回的款项支付</w:t>
      </w:r>
    </w:p>
    <w:p w14:paraId="0FB53EAD"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投资人申购基金份额时，必须全额交付申购款项，若申购资金在规定时间内未全额到账则申购不成立。投资人全额交付申购款项，申购成立；登记机构确认基金份额时，申购生效。</w:t>
      </w:r>
    </w:p>
    <w:p w14:paraId="37321BD6"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递交赎回申请，赎回成立；登记机构确认赎回时，赎回生效。投资人赎回申请成功后，基金管理人将在T＋7日（包括该日）内支付赎回款项。在发生巨额赎回或基金合同载明的其他暂停赎回或延缓支付赎回款项的情形时，款项的支付办法参照基金合同有关条款处理。</w:t>
      </w:r>
    </w:p>
    <w:p w14:paraId="1862A1EF"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3、申购和赎回申请的确认</w:t>
      </w:r>
    </w:p>
    <w:p w14:paraId="1AEB025A"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或基金管理人委托的登记机构应以交易时间结束前受理有效申购和赎回申请的当天作为申购或赎回申请日（T日），在正常情况下，本基金登记机构在T+1日（包括该日）内对该交易的有效性进行确认。T日提交的有效申请，投资人应在T+2日后（包括该日）及时到销售网点柜台或以销售机构规定的其他方式查询申请的确认情况。若申购不成功，则申购款项退还给投资人。</w:t>
      </w:r>
    </w:p>
    <w:p w14:paraId="44C5F6D5" w14:textId="170C03E3"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基金管理人可在法律法规允许的范围内，依法对上述申购和赎回申请的确认时间进行调整，并必须在调整实施日前按照《信息披露办法》的有关规定在</w:t>
      </w:r>
      <w:r w:rsidR="003246BF">
        <w:rPr>
          <w:rFonts w:ascii="宋体" w:hAnsi="宋体"/>
          <w:sz w:val="24"/>
        </w:rPr>
        <w:t>规定媒介</w:t>
      </w:r>
      <w:r>
        <w:rPr>
          <w:rFonts w:ascii="宋体" w:hAnsi="宋体"/>
          <w:sz w:val="24"/>
        </w:rPr>
        <w:t>上公告。</w:t>
      </w:r>
    </w:p>
    <w:p w14:paraId="799B35CC"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销售机构对申购、赎回申请的受理并不代表该申请一定成功，而仅代表销售机构确实接收到申购、赎回申请。申购、赎回申请的确认以登记机构的确认结果为准。对于申请的确认情况，投资者应及时查询。</w:t>
      </w:r>
    </w:p>
    <w:p w14:paraId="526BCCF1"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4、申购和赎回的登记</w:t>
      </w:r>
    </w:p>
    <w:p w14:paraId="0CA220E1"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（1）投资人T日申购基金成功后，正常情况下，登记机构在T＋1日为投资人增加权益并办理登记手续，投资人自T＋2日起（包括该日）有权赎回该部分基金份额。投资人应及时查询有关申请的确认情况。</w:t>
      </w:r>
    </w:p>
    <w:p w14:paraId="42D41DB9"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（2）投资人T日赎回基金成功后，正常情况下，登记机构在T＋1日为投资人扣除权益并办理相应的登记手续。</w:t>
      </w:r>
    </w:p>
    <w:p w14:paraId="5E850EB5" w14:textId="1E68E02E"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（3）基金管理人可在法律法规允许的范围内，对上述登记办理时间进行调整，并于开始实施前按照《信息披露办法》的有关规定在</w:t>
      </w:r>
      <w:r w:rsidR="003246BF">
        <w:rPr>
          <w:rFonts w:ascii="宋体" w:hAnsi="宋体"/>
          <w:sz w:val="24"/>
        </w:rPr>
        <w:t>规定媒介</w:t>
      </w:r>
      <w:r>
        <w:rPr>
          <w:rFonts w:ascii="宋体" w:hAnsi="宋体"/>
          <w:sz w:val="24"/>
        </w:rPr>
        <w:t>上公告。</w:t>
      </w:r>
    </w:p>
    <w:p w14:paraId="3192210D" w14:textId="77777777" w:rsidR="00FB4D29" w:rsidRDefault="00CF4592">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（六）基金的申购费和赎回费</w:t>
      </w:r>
    </w:p>
    <w:p w14:paraId="4E0ACDC2"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1、申购费用</w:t>
      </w:r>
    </w:p>
    <w:p w14:paraId="350107CF" w14:textId="77777777" w:rsidR="00B8012B" w:rsidRDefault="00B8012B">
      <w:pPr>
        <w:autoSpaceDE w:val="0"/>
        <w:autoSpaceDN w:val="0"/>
        <w:adjustRightInd w:val="0"/>
        <w:snapToGrid w:val="0"/>
        <w:spacing w:line="360" w:lineRule="auto"/>
        <w:ind w:firstLineChars="200" w:firstLine="480"/>
        <w:jc w:val="left"/>
        <w:rPr>
          <w:rFonts w:ascii="宋体" w:hAnsi="宋体"/>
          <w:sz w:val="24"/>
        </w:rPr>
      </w:pPr>
      <w:r w:rsidRPr="00B8012B">
        <w:rPr>
          <w:rFonts w:ascii="宋体" w:hAnsi="宋体" w:hint="eastAsia"/>
          <w:sz w:val="24"/>
        </w:rPr>
        <w:t>本基金基金份额分为A类基金份额和C类基金份额。投资人申购A类基金份额在申购时支付申购费用；申购C类基金份额不支付申购费用，并从该类别基金资产中计提销售服务费。</w:t>
      </w:r>
    </w:p>
    <w:p w14:paraId="0F8463BF" w14:textId="386D16D5"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w:t>
      </w:r>
      <w:r w:rsidR="00B8012B" w:rsidRPr="00B8012B">
        <w:rPr>
          <w:rFonts w:ascii="宋体" w:hAnsi="宋体" w:hint="eastAsia"/>
          <w:sz w:val="24"/>
        </w:rPr>
        <w:t>A类基金份额</w:t>
      </w:r>
      <w:r>
        <w:rPr>
          <w:rFonts w:ascii="宋体" w:hAnsi="宋体"/>
          <w:sz w:val="24"/>
        </w:rPr>
        <w:t>的申购费用由</w:t>
      </w:r>
      <w:r w:rsidR="00B8012B" w:rsidRPr="00B8012B">
        <w:rPr>
          <w:rFonts w:ascii="宋体" w:hAnsi="宋体" w:hint="eastAsia"/>
          <w:sz w:val="24"/>
        </w:rPr>
        <w:t>申购A类基金份额的</w:t>
      </w:r>
      <w:r>
        <w:rPr>
          <w:rFonts w:ascii="宋体" w:hAnsi="宋体"/>
          <w:sz w:val="24"/>
        </w:rPr>
        <w:t>申购人承担，不列入基金财产，主要用于本基金的市场推广、销售、登记等各项费用。</w:t>
      </w:r>
    </w:p>
    <w:p w14:paraId="64F348D0"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投资人可以多次申购本基金，申购费用按每笔申购申请单独计算。</w:t>
      </w:r>
    </w:p>
    <w:p w14:paraId="643D36C4" w14:textId="069588BC"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w:t>
      </w:r>
      <w:r w:rsidR="00B8012B" w:rsidRPr="00B8012B">
        <w:rPr>
          <w:rFonts w:ascii="宋体" w:hAnsi="宋体" w:hint="eastAsia"/>
          <w:sz w:val="24"/>
        </w:rPr>
        <w:t>A类基金份额（非养老金客户）</w:t>
      </w:r>
      <w:r>
        <w:rPr>
          <w:rFonts w:ascii="宋体" w:hAnsi="宋体"/>
          <w:sz w:val="24"/>
        </w:rPr>
        <w:t>的申购费率如下：</w:t>
      </w:r>
    </w:p>
    <w:tbl>
      <w:tblPr>
        <w:tblW w:w="4741" w:type="pct"/>
        <w:tblInd w:w="289" w:type="dxa"/>
        <w:tblCellMar>
          <w:left w:w="0" w:type="dxa"/>
          <w:right w:w="0" w:type="dxa"/>
        </w:tblCellMar>
        <w:tblLook w:val="0000" w:firstRow="0" w:lastRow="0" w:firstColumn="0" w:lastColumn="0" w:noHBand="0" w:noVBand="0"/>
      </w:tblPr>
      <w:tblGrid>
        <w:gridCol w:w="2263"/>
        <w:gridCol w:w="3820"/>
        <w:gridCol w:w="2119"/>
      </w:tblGrid>
      <w:tr w:rsidR="00FB4D29" w14:paraId="5873F9FC" w14:textId="77777777" w:rsidTr="00F82365">
        <w:trPr>
          <w:cantSplit/>
          <w:trHeight w:val="375"/>
        </w:trPr>
        <w:tc>
          <w:tcPr>
            <w:tcW w:w="1379" w:type="pct"/>
            <w:vMerge w:val="restart"/>
            <w:tcBorders>
              <w:top w:val="single" w:sz="4" w:space="0" w:color="auto"/>
              <w:left w:val="single" w:sz="4" w:space="0" w:color="auto"/>
              <w:bottom w:val="single" w:sz="4" w:space="0" w:color="auto"/>
              <w:right w:val="single" w:sz="4" w:space="0" w:color="auto"/>
            </w:tcBorders>
            <w:vAlign w:val="center"/>
          </w:tcPr>
          <w:p w14:paraId="1B6AE9ED" w14:textId="0381CD49" w:rsidR="00FB4D29" w:rsidRDefault="00B8012B">
            <w:pPr>
              <w:widowControl/>
              <w:snapToGrid w:val="0"/>
              <w:jc w:val="center"/>
              <w:rPr>
                <w:rFonts w:ascii="宋体" w:hAnsi="宋体"/>
                <w:color w:val="000000"/>
                <w:kern w:val="0"/>
                <w:sz w:val="25"/>
                <w:szCs w:val="24"/>
              </w:rPr>
            </w:pPr>
            <w:r w:rsidRPr="00B8012B">
              <w:rPr>
                <w:rFonts w:ascii="Times New Roman" w:hAnsi="Times New Roman" w:hint="eastAsia"/>
                <w:color w:val="000000"/>
                <w:kern w:val="0"/>
                <w:sz w:val="25"/>
                <w:szCs w:val="24"/>
              </w:rPr>
              <w:lastRenderedPageBreak/>
              <w:t>A</w:t>
            </w:r>
            <w:r w:rsidRPr="00B8012B">
              <w:rPr>
                <w:rFonts w:ascii="Times New Roman" w:hAnsi="Times New Roman" w:hint="eastAsia"/>
                <w:color w:val="000000"/>
                <w:kern w:val="0"/>
                <w:sz w:val="25"/>
                <w:szCs w:val="24"/>
              </w:rPr>
              <w:t>类基金份额的</w:t>
            </w:r>
            <w:r w:rsidR="00CF4592">
              <w:rPr>
                <w:rFonts w:ascii="Times New Roman" w:hAnsi="Times New Roman"/>
                <w:color w:val="000000"/>
                <w:kern w:val="0"/>
                <w:sz w:val="25"/>
                <w:szCs w:val="24"/>
              </w:rPr>
              <w:t>申购费率</w:t>
            </w:r>
          </w:p>
        </w:tc>
        <w:tc>
          <w:tcPr>
            <w:tcW w:w="2329" w:type="pct"/>
            <w:tcBorders>
              <w:top w:val="single" w:sz="4" w:space="0" w:color="auto"/>
              <w:left w:val="single" w:sz="4" w:space="0" w:color="auto"/>
              <w:bottom w:val="single" w:sz="4" w:space="0" w:color="auto"/>
              <w:right w:val="single" w:sz="4" w:space="0" w:color="auto"/>
            </w:tcBorders>
            <w:vAlign w:val="center"/>
          </w:tcPr>
          <w:p w14:paraId="6F9CF213" w14:textId="77777777" w:rsidR="00FB4D29" w:rsidRDefault="00CF4592">
            <w:pPr>
              <w:widowControl/>
              <w:snapToGrid w:val="0"/>
              <w:jc w:val="center"/>
              <w:rPr>
                <w:rFonts w:ascii="宋体" w:hAnsi="宋体"/>
                <w:color w:val="000000"/>
                <w:kern w:val="0"/>
                <w:sz w:val="25"/>
                <w:szCs w:val="24"/>
              </w:rPr>
            </w:pPr>
            <w:r>
              <w:rPr>
                <w:rFonts w:ascii="Times New Roman" w:hAnsi="Times New Roman"/>
                <w:color w:val="000000"/>
                <w:kern w:val="0"/>
                <w:sz w:val="25"/>
                <w:szCs w:val="24"/>
              </w:rPr>
              <w:t>申购金额（含申购费）</w:t>
            </w:r>
          </w:p>
        </w:tc>
        <w:tc>
          <w:tcPr>
            <w:tcW w:w="1292" w:type="pct"/>
            <w:tcBorders>
              <w:top w:val="single" w:sz="4" w:space="0" w:color="auto"/>
              <w:left w:val="single" w:sz="4" w:space="0" w:color="auto"/>
              <w:bottom w:val="single" w:sz="4" w:space="0" w:color="auto"/>
              <w:right w:val="single" w:sz="4" w:space="0" w:color="auto"/>
            </w:tcBorders>
            <w:vAlign w:val="center"/>
          </w:tcPr>
          <w:p w14:paraId="72FFBFF4" w14:textId="341A15BC" w:rsidR="00FB4D29" w:rsidRDefault="00B8012B">
            <w:pPr>
              <w:widowControl/>
              <w:snapToGrid w:val="0"/>
              <w:jc w:val="center"/>
              <w:rPr>
                <w:rFonts w:ascii="宋体" w:hAnsi="宋体"/>
                <w:color w:val="000000"/>
                <w:kern w:val="0"/>
                <w:sz w:val="25"/>
                <w:szCs w:val="24"/>
              </w:rPr>
            </w:pPr>
            <w:r w:rsidRPr="00B8012B">
              <w:rPr>
                <w:rFonts w:ascii="Times New Roman" w:hAnsi="Times New Roman" w:hint="eastAsia"/>
                <w:color w:val="000000"/>
                <w:kern w:val="0"/>
                <w:sz w:val="25"/>
                <w:szCs w:val="24"/>
              </w:rPr>
              <w:t>A</w:t>
            </w:r>
            <w:r w:rsidRPr="00B8012B">
              <w:rPr>
                <w:rFonts w:ascii="Times New Roman" w:hAnsi="Times New Roman" w:hint="eastAsia"/>
                <w:color w:val="000000"/>
                <w:kern w:val="0"/>
                <w:sz w:val="25"/>
                <w:szCs w:val="24"/>
              </w:rPr>
              <w:t>类基金份额</w:t>
            </w:r>
            <w:r w:rsidR="00CF4592">
              <w:rPr>
                <w:rFonts w:ascii="Times New Roman" w:hAnsi="Times New Roman"/>
                <w:color w:val="000000"/>
                <w:kern w:val="0"/>
                <w:sz w:val="25"/>
                <w:szCs w:val="24"/>
              </w:rPr>
              <w:t>申购费率</w:t>
            </w:r>
          </w:p>
        </w:tc>
      </w:tr>
      <w:tr w:rsidR="00FB4D29" w14:paraId="47EB9680" w14:textId="77777777" w:rsidTr="00F82365">
        <w:trPr>
          <w:cantSplit/>
          <w:trHeight w:val="375"/>
        </w:trPr>
        <w:tc>
          <w:tcPr>
            <w:tcW w:w="1379" w:type="pct"/>
            <w:vMerge/>
            <w:tcBorders>
              <w:top w:val="single" w:sz="4" w:space="0" w:color="auto"/>
              <w:left w:val="single" w:sz="4" w:space="0" w:color="auto"/>
              <w:bottom w:val="single" w:sz="4" w:space="0" w:color="auto"/>
              <w:right w:val="single" w:sz="4" w:space="0" w:color="auto"/>
            </w:tcBorders>
            <w:vAlign w:val="center"/>
          </w:tcPr>
          <w:p w14:paraId="744A2C9C" w14:textId="77777777" w:rsidR="00FB4D29" w:rsidRDefault="00FB4D29">
            <w:pPr>
              <w:widowControl/>
              <w:snapToGrid w:val="0"/>
              <w:jc w:val="center"/>
              <w:rPr>
                <w:rFonts w:ascii="宋体" w:hAnsi="宋体"/>
                <w:color w:val="000000"/>
                <w:kern w:val="0"/>
                <w:sz w:val="25"/>
                <w:szCs w:val="24"/>
              </w:rPr>
            </w:pPr>
          </w:p>
        </w:tc>
        <w:tc>
          <w:tcPr>
            <w:tcW w:w="2329" w:type="pct"/>
            <w:tcBorders>
              <w:top w:val="single" w:sz="4" w:space="0" w:color="auto"/>
              <w:left w:val="single" w:sz="4" w:space="0" w:color="auto"/>
              <w:bottom w:val="single" w:sz="4" w:space="0" w:color="auto"/>
              <w:right w:val="single" w:sz="4" w:space="0" w:color="auto"/>
            </w:tcBorders>
            <w:vAlign w:val="center"/>
          </w:tcPr>
          <w:p w14:paraId="5C9E445F"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200</w:t>
            </w:r>
            <w:r>
              <w:rPr>
                <w:rFonts w:ascii="Times New Roman" w:hAnsi="Times New Roman"/>
                <w:color w:val="000000"/>
                <w:kern w:val="0"/>
                <w:sz w:val="25"/>
                <w:szCs w:val="24"/>
              </w:rPr>
              <w:t>万元以下</w:t>
            </w:r>
          </w:p>
        </w:tc>
        <w:tc>
          <w:tcPr>
            <w:tcW w:w="1292" w:type="pct"/>
            <w:tcBorders>
              <w:top w:val="single" w:sz="4" w:space="0" w:color="auto"/>
              <w:left w:val="single" w:sz="4" w:space="0" w:color="auto"/>
              <w:bottom w:val="single" w:sz="4" w:space="0" w:color="auto"/>
              <w:right w:val="single" w:sz="4" w:space="0" w:color="auto"/>
            </w:tcBorders>
            <w:vAlign w:val="center"/>
          </w:tcPr>
          <w:p w14:paraId="3EB1D956" w14:textId="77777777" w:rsidR="00FB4D29" w:rsidRDefault="00CF4592">
            <w:pPr>
              <w:widowControl/>
              <w:snapToGrid w:val="0"/>
              <w:jc w:val="center"/>
              <w:rPr>
                <w:rFonts w:ascii="宋体" w:hAnsi="宋体"/>
                <w:color w:val="000000"/>
                <w:kern w:val="0"/>
                <w:sz w:val="25"/>
                <w:szCs w:val="24"/>
              </w:rPr>
            </w:pPr>
            <w:r>
              <w:rPr>
                <w:rFonts w:ascii="Times New Roman" w:hAnsi="Times New Roman"/>
                <w:color w:val="000000"/>
                <w:kern w:val="0"/>
                <w:sz w:val="25"/>
                <w:szCs w:val="24"/>
              </w:rPr>
              <w:t>1.5%</w:t>
            </w:r>
          </w:p>
        </w:tc>
      </w:tr>
      <w:tr w:rsidR="00FB4D29" w14:paraId="6B9EA79C" w14:textId="77777777" w:rsidTr="00F82365">
        <w:trPr>
          <w:cantSplit/>
          <w:trHeight w:val="375"/>
        </w:trPr>
        <w:tc>
          <w:tcPr>
            <w:tcW w:w="1379" w:type="pct"/>
            <w:vMerge/>
            <w:tcBorders>
              <w:top w:val="single" w:sz="4" w:space="0" w:color="auto"/>
              <w:left w:val="single" w:sz="4" w:space="0" w:color="auto"/>
              <w:bottom w:val="single" w:sz="4" w:space="0" w:color="auto"/>
              <w:right w:val="single" w:sz="4" w:space="0" w:color="auto"/>
            </w:tcBorders>
            <w:vAlign w:val="center"/>
          </w:tcPr>
          <w:p w14:paraId="33F999AC" w14:textId="77777777" w:rsidR="00FB4D29" w:rsidRDefault="00FB4D29">
            <w:pPr>
              <w:widowControl/>
              <w:snapToGrid w:val="0"/>
              <w:jc w:val="center"/>
              <w:rPr>
                <w:rFonts w:ascii="宋体" w:hAnsi="宋体"/>
                <w:color w:val="000000"/>
                <w:kern w:val="0"/>
                <w:sz w:val="25"/>
                <w:szCs w:val="24"/>
              </w:rPr>
            </w:pPr>
          </w:p>
        </w:tc>
        <w:tc>
          <w:tcPr>
            <w:tcW w:w="2329" w:type="pct"/>
            <w:tcBorders>
              <w:top w:val="single" w:sz="4" w:space="0" w:color="auto"/>
              <w:left w:val="single" w:sz="4" w:space="0" w:color="auto"/>
              <w:bottom w:val="single" w:sz="4" w:space="0" w:color="auto"/>
              <w:right w:val="single" w:sz="4" w:space="0" w:color="auto"/>
            </w:tcBorders>
            <w:vAlign w:val="center"/>
          </w:tcPr>
          <w:p w14:paraId="098927EA"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200</w:t>
            </w:r>
            <w:r>
              <w:rPr>
                <w:rFonts w:ascii="Times New Roman" w:hAnsi="Times New Roman"/>
                <w:color w:val="000000"/>
                <w:kern w:val="0"/>
                <w:sz w:val="25"/>
                <w:szCs w:val="24"/>
              </w:rPr>
              <w:t>万元（含）至</w:t>
            </w:r>
            <w:r>
              <w:rPr>
                <w:rFonts w:ascii="Times New Roman" w:hAnsi="Times New Roman"/>
                <w:color w:val="000000"/>
                <w:kern w:val="0"/>
                <w:sz w:val="25"/>
                <w:szCs w:val="24"/>
              </w:rPr>
              <w:t>500</w:t>
            </w:r>
            <w:r>
              <w:rPr>
                <w:rFonts w:ascii="Times New Roman" w:hAnsi="Times New Roman"/>
                <w:color w:val="000000"/>
                <w:kern w:val="0"/>
                <w:sz w:val="25"/>
                <w:szCs w:val="24"/>
              </w:rPr>
              <w:t>万元</w:t>
            </w:r>
          </w:p>
        </w:tc>
        <w:tc>
          <w:tcPr>
            <w:tcW w:w="1292" w:type="pct"/>
            <w:tcBorders>
              <w:top w:val="single" w:sz="4" w:space="0" w:color="auto"/>
              <w:left w:val="single" w:sz="4" w:space="0" w:color="auto"/>
              <w:bottom w:val="single" w:sz="4" w:space="0" w:color="auto"/>
              <w:right w:val="single" w:sz="4" w:space="0" w:color="auto"/>
            </w:tcBorders>
            <w:vAlign w:val="center"/>
          </w:tcPr>
          <w:p w14:paraId="6DCCF9F9" w14:textId="77777777" w:rsidR="00FB4D29" w:rsidRDefault="00CF4592">
            <w:pPr>
              <w:widowControl/>
              <w:snapToGrid w:val="0"/>
              <w:jc w:val="center"/>
              <w:rPr>
                <w:rFonts w:ascii="宋体" w:hAnsi="宋体"/>
                <w:color w:val="000000"/>
                <w:kern w:val="0"/>
                <w:sz w:val="25"/>
                <w:szCs w:val="24"/>
              </w:rPr>
            </w:pPr>
            <w:r>
              <w:rPr>
                <w:rFonts w:ascii="Times New Roman" w:hAnsi="Times New Roman"/>
                <w:color w:val="000000"/>
                <w:kern w:val="0"/>
                <w:sz w:val="25"/>
                <w:szCs w:val="24"/>
              </w:rPr>
              <w:t>1.0%</w:t>
            </w:r>
          </w:p>
        </w:tc>
      </w:tr>
      <w:tr w:rsidR="00FB4D29" w14:paraId="53085C00" w14:textId="77777777" w:rsidTr="00F82365">
        <w:trPr>
          <w:cantSplit/>
          <w:trHeight w:val="375"/>
        </w:trPr>
        <w:tc>
          <w:tcPr>
            <w:tcW w:w="1379" w:type="pct"/>
            <w:vMerge/>
            <w:tcBorders>
              <w:top w:val="single" w:sz="4" w:space="0" w:color="auto"/>
              <w:left w:val="single" w:sz="4" w:space="0" w:color="auto"/>
              <w:bottom w:val="single" w:sz="4" w:space="0" w:color="auto"/>
              <w:right w:val="single" w:sz="4" w:space="0" w:color="auto"/>
            </w:tcBorders>
            <w:vAlign w:val="center"/>
          </w:tcPr>
          <w:p w14:paraId="40910A14" w14:textId="77777777" w:rsidR="00FB4D29" w:rsidRDefault="00FB4D29">
            <w:pPr>
              <w:widowControl/>
              <w:snapToGrid w:val="0"/>
              <w:jc w:val="center"/>
              <w:rPr>
                <w:rFonts w:ascii="宋体" w:hAnsi="宋体"/>
                <w:color w:val="000000"/>
                <w:kern w:val="0"/>
                <w:sz w:val="25"/>
                <w:szCs w:val="24"/>
              </w:rPr>
            </w:pPr>
          </w:p>
        </w:tc>
        <w:tc>
          <w:tcPr>
            <w:tcW w:w="2329" w:type="pct"/>
            <w:tcBorders>
              <w:top w:val="single" w:sz="4" w:space="0" w:color="auto"/>
              <w:left w:val="single" w:sz="4" w:space="0" w:color="auto"/>
              <w:bottom w:val="single" w:sz="4" w:space="0" w:color="auto"/>
              <w:right w:val="single" w:sz="4" w:space="0" w:color="auto"/>
            </w:tcBorders>
            <w:vAlign w:val="center"/>
          </w:tcPr>
          <w:p w14:paraId="173C653A"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500</w:t>
            </w:r>
            <w:r>
              <w:rPr>
                <w:rFonts w:ascii="Times New Roman" w:hAnsi="Times New Roman"/>
                <w:color w:val="000000"/>
                <w:kern w:val="0"/>
                <w:sz w:val="25"/>
                <w:szCs w:val="24"/>
              </w:rPr>
              <w:t>万元以上（含</w:t>
            </w:r>
            <w:r>
              <w:rPr>
                <w:rFonts w:ascii="Times New Roman" w:hAnsi="Times New Roman"/>
                <w:color w:val="000000"/>
                <w:kern w:val="0"/>
                <w:sz w:val="25"/>
                <w:szCs w:val="24"/>
              </w:rPr>
              <w:t>500</w:t>
            </w:r>
            <w:r>
              <w:rPr>
                <w:rFonts w:ascii="Times New Roman" w:hAnsi="Times New Roman"/>
                <w:color w:val="000000"/>
                <w:kern w:val="0"/>
                <w:sz w:val="25"/>
                <w:szCs w:val="24"/>
              </w:rPr>
              <w:t>万元）</w:t>
            </w:r>
          </w:p>
        </w:tc>
        <w:tc>
          <w:tcPr>
            <w:tcW w:w="1292" w:type="pct"/>
            <w:tcBorders>
              <w:top w:val="single" w:sz="4" w:space="0" w:color="auto"/>
              <w:left w:val="single" w:sz="4" w:space="0" w:color="auto"/>
              <w:bottom w:val="single" w:sz="4" w:space="0" w:color="auto"/>
              <w:right w:val="single" w:sz="4" w:space="0" w:color="auto"/>
            </w:tcBorders>
            <w:vAlign w:val="center"/>
          </w:tcPr>
          <w:p w14:paraId="0304323F" w14:textId="77777777" w:rsidR="00FB4D29" w:rsidRDefault="00CF4592">
            <w:pPr>
              <w:widowControl/>
              <w:snapToGrid w:val="0"/>
              <w:jc w:val="center"/>
              <w:rPr>
                <w:rFonts w:ascii="宋体" w:hAnsi="宋体"/>
                <w:color w:val="000000"/>
                <w:kern w:val="0"/>
                <w:sz w:val="25"/>
                <w:szCs w:val="24"/>
              </w:rPr>
            </w:pPr>
            <w:r>
              <w:rPr>
                <w:rFonts w:ascii="Times New Roman" w:hAnsi="Times New Roman"/>
                <w:color w:val="000000"/>
                <w:kern w:val="0"/>
                <w:sz w:val="25"/>
                <w:szCs w:val="24"/>
              </w:rPr>
              <w:t>每笔交易</w:t>
            </w:r>
            <w:r>
              <w:rPr>
                <w:rFonts w:ascii="Times New Roman" w:hAnsi="Times New Roman"/>
                <w:color w:val="000000"/>
                <w:kern w:val="0"/>
                <w:sz w:val="25"/>
                <w:szCs w:val="24"/>
              </w:rPr>
              <w:t>1000</w:t>
            </w:r>
            <w:r>
              <w:rPr>
                <w:rFonts w:ascii="Times New Roman" w:hAnsi="Times New Roman"/>
                <w:color w:val="000000"/>
                <w:kern w:val="0"/>
                <w:sz w:val="25"/>
                <w:szCs w:val="24"/>
              </w:rPr>
              <w:t>元</w:t>
            </w:r>
          </w:p>
        </w:tc>
      </w:tr>
    </w:tbl>
    <w:p w14:paraId="02BE3FED" w14:textId="5AE4934A" w:rsidR="00FB4D29" w:rsidRDefault="005D6F94">
      <w:pPr>
        <w:autoSpaceDE w:val="0"/>
        <w:autoSpaceDN w:val="0"/>
        <w:adjustRightInd w:val="0"/>
        <w:snapToGrid w:val="0"/>
        <w:spacing w:line="360" w:lineRule="auto"/>
        <w:ind w:firstLineChars="200" w:firstLine="480"/>
        <w:jc w:val="left"/>
        <w:rPr>
          <w:rFonts w:ascii="宋体" w:hAnsi="宋体"/>
          <w:szCs w:val="24"/>
        </w:rPr>
      </w:pPr>
      <w:r w:rsidRPr="005D6F94">
        <w:rPr>
          <w:rFonts w:ascii="宋体" w:hAnsi="宋体" w:hint="eastAsia"/>
          <w:sz w:val="24"/>
        </w:rPr>
        <w:t>持有A类基金份额的投资人</w:t>
      </w:r>
      <w:r w:rsidR="00CF4592">
        <w:rPr>
          <w:rFonts w:ascii="宋体" w:hAnsi="宋体"/>
          <w:sz w:val="24"/>
        </w:rPr>
        <w:t>因红利自动再投资而产生的</w:t>
      </w:r>
      <w:r>
        <w:rPr>
          <w:rFonts w:ascii="宋体" w:hAnsi="宋体"/>
          <w:sz w:val="24"/>
        </w:rPr>
        <w:t>A</w:t>
      </w:r>
      <w:r>
        <w:rPr>
          <w:rFonts w:ascii="宋体" w:hAnsi="宋体" w:hint="eastAsia"/>
          <w:sz w:val="24"/>
        </w:rPr>
        <w:t>类</w:t>
      </w:r>
      <w:r w:rsidR="00CF4592">
        <w:rPr>
          <w:rFonts w:ascii="宋体" w:hAnsi="宋体"/>
          <w:sz w:val="24"/>
        </w:rPr>
        <w:t>基金份额，不收取相应的申购费用。</w:t>
      </w:r>
    </w:p>
    <w:p w14:paraId="57A71BFF" w14:textId="141D3FD2"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本基金对通过基金管理人直销柜台申购本基金</w:t>
      </w:r>
      <w:r w:rsidR="005D6F94">
        <w:rPr>
          <w:rFonts w:ascii="宋体" w:hAnsi="宋体"/>
          <w:sz w:val="24"/>
        </w:rPr>
        <w:t>A</w:t>
      </w:r>
      <w:r w:rsidR="005D6F94">
        <w:rPr>
          <w:rFonts w:ascii="宋体" w:hAnsi="宋体" w:hint="eastAsia"/>
          <w:sz w:val="24"/>
        </w:rPr>
        <w:t>类</w:t>
      </w:r>
      <w:r>
        <w:rPr>
          <w:rFonts w:ascii="宋体" w:hAnsi="宋体"/>
          <w:sz w:val="24"/>
        </w:rPr>
        <w:t>基金份额的养老金客户实施特定申购费率。</w:t>
      </w:r>
    </w:p>
    <w:p w14:paraId="40E9E89F" w14:textId="4C11C63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养老金客户指基本养老基金与依法成立的养老计划筹集的资金及其投资运营收益形成的补充养老基金等，具体包括全国社会保障基金、可以投资基金的地方社会保障基金、企业年金单一计划以及集合计划、企业年金理事会委托的特定客户资产管理计划、企业年金养老金产品。如将来出现经养老基金监管部门认可的新的养老基金类型，基金管理人可在招募说明书更新或发布临时公告将其纳入养老金客户范围。</w:t>
      </w:r>
    </w:p>
    <w:p w14:paraId="688DE437" w14:textId="3FAC9038"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通过基金管理人直销柜台申购本基金</w:t>
      </w:r>
      <w:r w:rsidR="005A1E26" w:rsidRPr="005A1E26">
        <w:rPr>
          <w:rFonts w:ascii="宋体" w:hAnsi="宋体" w:hint="eastAsia"/>
          <w:sz w:val="24"/>
        </w:rPr>
        <w:t>A类</w:t>
      </w:r>
      <w:r>
        <w:rPr>
          <w:rFonts w:ascii="宋体" w:hAnsi="宋体"/>
          <w:sz w:val="24"/>
        </w:rPr>
        <w:t>基金份额的养老金客户特定申购费率如下表：</w:t>
      </w:r>
    </w:p>
    <w:tbl>
      <w:tblPr>
        <w:tblW w:w="4915" w:type="pct"/>
        <w:tblInd w:w="147" w:type="dxa"/>
        <w:tblCellMar>
          <w:left w:w="0" w:type="dxa"/>
          <w:right w:w="0" w:type="dxa"/>
        </w:tblCellMar>
        <w:tblLook w:val="0000" w:firstRow="0" w:lastRow="0" w:firstColumn="0" w:lastColumn="0" w:noHBand="0" w:noVBand="0"/>
      </w:tblPr>
      <w:tblGrid>
        <w:gridCol w:w="2263"/>
        <w:gridCol w:w="4102"/>
        <w:gridCol w:w="2138"/>
      </w:tblGrid>
      <w:tr w:rsidR="00FB4D29" w14:paraId="088799D2" w14:textId="77777777" w:rsidTr="00F82365">
        <w:trPr>
          <w:cantSplit/>
          <w:trHeight w:val="375"/>
        </w:trPr>
        <w:tc>
          <w:tcPr>
            <w:tcW w:w="1331" w:type="pct"/>
            <w:vMerge w:val="restart"/>
            <w:tcBorders>
              <w:top w:val="single" w:sz="4" w:space="0" w:color="auto"/>
              <w:left w:val="single" w:sz="4" w:space="0" w:color="auto"/>
              <w:bottom w:val="single" w:sz="4" w:space="0" w:color="auto"/>
              <w:right w:val="single" w:sz="4" w:space="0" w:color="auto"/>
            </w:tcBorders>
            <w:vAlign w:val="center"/>
          </w:tcPr>
          <w:p w14:paraId="2679049F" w14:textId="38142379" w:rsidR="00FB4D29" w:rsidRDefault="005D6F94">
            <w:pPr>
              <w:widowControl/>
              <w:snapToGrid w:val="0"/>
              <w:jc w:val="center"/>
              <w:rPr>
                <w:rFonts w:ascii="宋体" w:hAnsi="宋体"/>
                <w:color w:val="000000"/>
                <w:kern w:val="0"/>
                <w:sz w:val="25"/>
                <w:szCs w:val="24"/>
              </w:rPr>
            </w:pPr>
            <w:r w:rsidRPr="005D6F94">
              <w:rPr>
                <w:rFonts w:ascii="Times New Roman" w:hAnsi="Times New Roman" w:hint="eastAsia"/>
                <w:color w:val="000000"/>
                <w:kern w:val="0"/>
                <w:sz w:val="25"/>
                <w:szCs w:val="24"/>
              </w:rPr>
              <w:t>A</w:t>
            </w:r>
            <w:r w:rsidRPr="005D6F94">
              <w:rPr>
                <w:rFonts w:ascii="Times New Roman" w:hAnsi="Times New Roman" w:hint="eastAsia"/>
                <w:color w:val="000000"/>
                <w:kern w:val="0"/>
                <w:sz w:val="25"/>
                <w:szCs w:val="24"/>
              </w:rPr>
              <w:t>类基金份额的</w:t>
            </w:r>
            <w:r w:rsidR="00CF4592">
              <w:rPr>
                <w:rFonts w:ascii="Times New Roman" w:hAnsi="Times New Roman"/>
                <w:color w:val="000000"/>
                <w:kern w:val="0"/>
                <w:sz w:val="25"/>
                <w:szCs w:val="24"/>
              </w:rPr>
              <w:t>申购费率</w:t>
            </w:r>
          </w:p>
        </w:tc>
        <w:tc>
          <w:tcPr>
            <w:tcW w:w="2412" w:type="pct"/>
            <w:tcBorders>
              <w:top w:val="single" w:sz="4" w:space="0" w:color="auto"/>
              <w:left w:val="single" w:sz="4" w:space="0" w:color="auto"/>
              <w:bottom w:val="single" w:sz="4" w:space="0" w:color="auto"/>
              <w:right w:val="single" w:sz="4" w:space="0" w:color="auto"/>
            </w:tcBorders>
            <w:vAlign w:val="center"/>
          </w:tcPr>
          <w:p w14:paraId="0BB31E28" w14:textId="77777777" w:rsidR="00FB4D29" w:rsidRDefault="00CF4592">
            <w:pPr>
              <w:widowControl/>
              <w:snapToGrid w:val="0"/>
              <w:jc w:val="center"/>
              <w:rPr>
                <w:rFonts w:ascii="宋体" w:hAnsi="宋体"/>
                <w:color w:val="000000"/>
                <w:kern w:val="0"/>
                <w:sz w:val="25"/>
                <w:szCs w:val="24"/>
              </w:rPr>
            </w:pPr>
            <w:r>
              <w:rPr>
                <w:rFonts w:ascii="Times New Roman" w:hAnsi="Times New Roman"/>
                <w:color w:val="000000"/>
                <w:kern w:val="0"/>
                <w:sz w:val="25"/>
                <w:szCs w:val="24"/>
              </w:rPr>
              <w:t>申购金额（含申购费）</w:t>
            </w:r>
          </w:p>
        </w:tc>
        <w:tc>
          <w:tcPr>
            <w:tcW w:w="1257" w:type="pct"/>
            <w:tcBorders>
              <w:top w:val="single" w:sz="4" w:space="0" w:color="auto"/>
              <w:left w:val="single" w:sz="4" w:space="0" w:color="auto"/>
              <w:bottom w:val="single" w:sz="4" w:space="0" w:color="auto"/>
              <w:right w:val="single" w:sz="4" w:space="0" w:color="auto"/>
            </w:tcBorders>
            <w:vAlign w:val="center"/>
          </w:tcPr>
          <w:p w14:paraId="7198A890" w14:textId="24E2EB99" w:rsidR="00FB4D29" w:rsidRDefault="005D6F94">
            <w:pPr>
              <w:widowControl/>
              <w:snapToGrid w:val="0"/>
              <w:jc w:val="center"/>
              <w:rPr>
                <w:rFonts w:ascii="宋体" w:hAnsi="宋体"/>
                <w:color w:val="000000"/>
                <w:kern w:val="0"/>
                <w:sz w:val="25"/>
                <w:szCs w:val="24"/>
              </w:rPr>
            </w:pPr>
            <w:r w:rsidRPr="005D6F94">
              <w:rPr>
                <w:rFonts w:ascii="Times New Roman" w:hAnsi="Times New Roman" w:hint="eastAsia"/>
                <w:color w:val="000000"/>
                <w:kern w:val="0"/>
                <w:sz w:val="25"/>
                <w:szCs w:val="24"/>
              </w:rPr>
              <w:t>A</w:t>
            </w:r>
            <w:r>
              <w:rPr>
                <w:rFonts w:ascii="Times New Roman" w:hAnsi="Times New Roman" w:hint="eastAsia"/>
                <w:color w:val="000000"/>
                <w:kern w:val="0"/>
                <w:sz w:val="25"/>
                <w:szCs w:val="24"/>
              </w:rPr>
              <w:t>类基金份额</w:t>
            </w:r>
            <w:r w:rsidR="00CF4592">
              <w:rPr>
                <w:rFonts w:ascii="Times New Roman" w:hAnsi="Times New Roman"/>
                <w:color w:val="000000"/>
                <w:kern w:val="0"/>
                <w:sz w:val="25"/>
                <w:szCs w:val="24"/>
              </w:rPr>
              <w:t>特定申购费率</w:t>
            </w:r>
          </w:p>
        </w:tc>
      </w:tr>
      <w:tr w:rsidR="00FB4D29" w14:paraId="6E323974" w14:textId="77777777" w:rsidTr="00F82365">
        <w:trPr>
          <w:cantSplit/>
          <w:trHeight w:val="375"/>
        </w:trPr>
        <w:tc>
          <w:tcPr>
            <w:tcW w:w="1331" w:type="pct"/>
            <w:vMerge/>
            <w:tcBorders>
              <w:top w:val="single" w:sz="4" w:space="0" w:color="auto"/>
              <w:left w:val="single" w:sz="4" w:space="0" w:color="auto"/>
              <w:bottom w:val="single" w:sz="4" w:space="0" w:color="auto"/>
              <w:right w:val="single" w:sz="4" w:space="0" w:color="auto"/>
            </w:tcBorders>
            <w:vAlign w:val="center"/>
          </w:tcPr>
          <w:p w14:paraId="5524CA5B" w14:textId="77777777" w:rsidR="00FB4D29" w:rsidRDefault="00FB4D29">
            <w:pPr>
              <w:widowControl/>
              <w:snapToGrid w:val="0"/>
              <w:jc w:val="center"/>
              <w:rPr>
                <w:rFonts w:ascii="宋体" w:hAnsi="宋体"/>
                <w:color w:val="000000"/>
                <w:kern w:val="0"/>
                <w:sz w:val="25"/>
                <w:szCs w:val="24"/>
              </w:rPr>
            </w:pPr>
          </w:p>
        </w:tc>
        <w:tc>
          <w:tcPr>
            <w:tcW w:w="2412" w:type="pct"/>
            <w:tcBorders>
              <w:top w:val="single" w:sz="4" w:space="0" w:color="auto"/>
              <w:left w:val="single" w:sz="4" w:space="0" w:color="auto"/>
              <w:bottom w:val="single" w:sz="4" w:space="0" w:color="auto"/>
              <w:right w:val="single" w:sz="4" w:space="0" w:color="auto"/>
            </w:tcBorders>
            <w:vAlign w:val="center"/>
          </w:tcPr>
          <w:p w14:paraId="7F73E051"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200</w:t>
            </w:r>
            <w:r>
              <w:rPr>
                <w:rFonts w:ascii="Times New Roman" w:hAnsi="Times New Roman"/>
                <w:color w:val="000000"/>
                <w:kern w:val="0"/>
                <w:sz w:val="25"/>
                <w:szCs w:val="24"/>
              </w:rPr>
              <w:t>万元以下</w:t>
            </w:r>
          </w:p>
        </w:tc>
        <w:tc>
          <w:tcPr>
            <w:tcW w:w="1257" w:type="pct"/>
            <w:tcBorders>
              <w:top w:val="single" w:sz="4" w:space="0" w:color="auto"/>
              <w:left w:val="single" w:sz="4" w:space="0" w:color="auto"/>
              <w:bottom w:val="single" w:sz="4" w:space="0" w:color="auto"/>
              <w:right w:val="single" w:sz="4" w:space="0" w:color="auto"/>
            </w:tcBorders>
            <w:vAlign w:val="center"/>
          </w:tcPr>
          <w:p w14:paraId="1B718CC6" w14:textId="77777777" w:rsidR="00FB4D29" w:rsidRDefault="00CF4592">
            <w:pPr>
              <w:widowControl/>
              <w:snapToGrid w:val="0"/>
              <w:jc w:val="center"/>
              <w:rPr>
                <w:rFonts w:ascii="宋体" w:hAnsi="宋体"/>
                <w:color w:val="000000"/>
                <w:kern w:val="0"/>
                <w:sz w:val="25"/>
                <w:szCs w:val="24"/>
              </w:rPr>
            </w:pPr>
            <w:r>
              <w:rPr>
                <w:rFonts w:ascii="Times New Roman" w:hAnsi="Times New Roman"/>
                <w:color w:val="000000"/>
                <w:kern w:val="0"/>
                <w:sz w:val="25"/>
                <w:szCs w:val="24"/>
              </w:rPr>
              <w:t>0.6%</w:t>
            </w:r>
          </w:p>
        </w:tc>
      </w:tr>
      <w:tr w:rsidR="00FB4D29" w14:paraId="01E7C704" w14:textId="77777777" w:rsidTr="00F82365">
        <w:trPr>
          <w:cantSplit/>
          <w:trHeight w:val="375"/>
        </w:trPr>
        <w:tc>
          <w:tcPr>
            <w:tcW w:w="1331" w:type="pct"/>
            <w:vMerge/>
            <w:tcBorders>
              <w:top w:val="single" w:sz="4" w:space="0" w:color="auto"/>
              <w:left w:val="single" w:sz="4" w:space="0" w:color="auto"/>
              <w:bottom w:val="single" w:sz="4" w:space="0" w:color="auto"/>
              <w:right w:val="single" w:sz="4" w:space="0" w:color="auto"/>
            </w:tcBorders>
            <w:vAlign w:val="center"/>
          </w:tcPr>
          <w:p w14:paraId="17D319D1" w14:textId="77777777" w:rsidR="00FB4D29" w:rsidRDefault="00FB4D29">
            <w:pPr>
              <w:widowControl/>
              <w:snapToGrid w:val="0"/>
              <w:jc w:val="center"/>
              <w:rPr>
                <w:rFonts w:ascii="宋体" w:hAnsi="宋体"/>
                <w:color w:val="000000"/>
                <w:kern w:val="0"/>
                <w:sz w:val="25"/>
                <w:szCs w:val="24"/>
              </w:rPr>
            </w:pPr>
          </w:p>
        </w:tc>
        <w:tc>
          <w:tcPr>
            <w:tcW w:w="2412" w:type="pct"/>
            <w:tcBorders>
              <w:top w:val="single" w:sz="4" w:space="0" w:color="auto"/>
              <w:left w:val="single" w:sz="4" w:space="0" w:color="auto"/>
              <w:bottom w:val="single" w:sz="4" w:space="0" w:color="auto"/>
              <w:right w:val="single" w:sz="4" w:space="0" w:color="auto"/>
            </w:tcBorders>
            <w:vAlign w:val="center"/>
          </w:tcPr>
          <w:p w14:paraId="18923860"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200</w:t>
            </w:r>
            <w:r>
              <w:rPr>
                <w:rFonts w:ascii="Times New Roman" w:hAnsi="Times New Roman"/>
                <w:color w:val="000000"/>
                <w:kern w:val="0"/>
                <w:sz w:val="25"/>
                <w:szCs w:val="24"/>
              </w:rPr>
              <w:t>万元（含）至</w:t>
            </w:r>
            <w:r>
              <w:rPr>
                <w:rFonts w:ascii="Times New Roman" w:hAnsi="Times New Roman"/>
                <w:color w:val="000000"/>
                <w:kern w:val="0"/>
                <w:sz w:val="25"/>
                <w:szCs w:val="24"/>
              </w:rPr>
              <w:t>500</w:t>
            </w:r>
            <w:r>
              <w:rPr>
                <w:rFonts w:ascii="Times New Roman" w:hAnsi="Times New Roman"/>
                <w:color w:val="000000"/>
                <w:kern w:val="0"/>
                <w:sz w:val="25"/>
                <w:szCs w:val="24"/>
              </w:rPr>
              <w:t>万元</w:t>
            </w:r>
          </w:p>
        </w:tc>
        <w:tc>
          <w:tcPr>
            <w:tcW w:w="1257" w:type="pct"/>
            <w:tcBorders>
              <w:top w:val="single" w:sz="4" w:space="0" w:color="auto"/>
              <w:left w:val="single" w:sz="4" w:space="0" w:color="auto"/>
              <w:bottom w:val="single" w:sz="4" w:space="0" w:color="auto"/>
              <w:right w:val="single" w:sz="4" w:space="0" w:color="auto"/>
            </w:tcBorders>
            <w:vAlign w:val="center"/>
          </w:tcPr>
          <w:p w14:paraId="3C897F5C" w14:textId="77777777" w:rsidR="00FB4D29" w:rsidRDefault="00CF4592">
            <w:pPr>
              <w:widowControl/>
              <w:snapToGrid w:val="0"/>
              <w:jc w:val="center"/>
              <w:rPr>
                <w:rFonts w:ascii="宋体" w:hAnsi="宋体"/>
                <w:color w:val="000000"/>
                <w:kern w:val="0"/>
                <w:sz w:val="25"/>
                <w:szCs w:val="24"/>
              </w:rPr>
            </w:pPr>
            <w:r>
              <w:rPr>
                <w:rFonts w:ascii="Times New Roman" w:hAnsi="Times New Roman"/>
                <w:color w:val="000000"/>
                <w:kern w:val="0"/>
                <w:sz w:val="25"/>
                <w:szCs w:val="24"/>
              </w:rPr>
              <w:t>0.4%</w:t>
            </w:r>
          </w:p>
        </w:tc>
      </w:tr>
      <w:tr w:rsidR="00FB4D29" w14:paraId="66ED0275" w14:textId="77777777" w:rsidTr="00F82365">
        <w:trPr>
          <w:cantSplit/>
          <w:trHeight w:val="375"/>
        </w:trPr>
        <w:tc>
          <w:tcPr>
            <w:tcW w:w="1331" w:type="pct"/>
            <w:vMerge/>
            <w:tcBorders>
              <w:top w:val="single" w:sz="4" w:space="0" w:color="auto"/>
              <w:left w:val="single" w:sz="4" w:space="0" w:color="auto"/>
              <w:bottom w:val="single" w:sz="4" w:space="0" w:color="auto"/>
              <w:right w:val="single" w:sz="4" w:space="0" w:color="auto"/>
            </w:tcBorders>
            <w:vAlign w:val="center"/>
          </w:tcPr>
          <w:p w14:paraId="33CA88B8" w14:textId="77777777" w:rsidR="00FB4D29" w:rsidRDefault="00FB4D29">
            <w:pPr>
              <w:widowControl/>
              <w:snapToGrid w:val="0"/>
              <w:jc w:val="center"/>
              <w:rPr>
                <w:rFonts w:ascii="宋体" w:hAnsi="宋体"/>
                <w:color w:val="000000"/>
                <w:kern w:val="0"/>
                <w:sz w:val="25"/>
                <w:szCs w:val="24"/>
              </w:rPr>
            </w:pPr>
          </w:p>
        </w:tc>
        <w:tc>
          <w:tcPr>
            <w:tcW w:w="2412" w:type="pct"/>
            <w:tcBorders>
              <w:top w:val="single" w:sz="4" w:space="0" w:color="auto"/>
              <w:left w:val="single" w:sz="4" w:space="0" w:color="auto"/>
              <w:bottom w:val="single" w:sz="4" w:space="0" w:color="auto"/>
              <w:right w:val="single" w:sz="4" w:space="0" w:color="auto"/>
            </w:tcBorders>
            <w:vAlign w:val="center"/>
          </w:tcPr>
          <w:p w14:paraId="7BEBD163"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500</w:t>
            </w:r>
            <w:r>
              <w:rPr>
                <w:rFonts w:ascii="Times New Roman" w:hAnsi="Times New Roman"/>
                <w:color w:val="000000"/>
                <w:kern w:val="0"/>
                <w:sz w:val="25"/>
                <w:szCs w:val="24"/>
              </w:rPr>
              <w:t>万元以上（含</w:t>
            </w:r>
            <w:r>
              <w:rPr>
                <w:rFonts w:ascii="Times New Roman" w:hAnsi="Times New Roman"/>
                <w:color w:val="000000"/>
                <w:kern w:val="0"/>
                <w:sz w:val="25"/>
                <w:szCs w:val="24"/>
              </w:rPr>
              <w:t>500</w:t>
            </w:r>
            <w:r>
              <w:rPr>
                <w:rFonts w:ascii="Times New Roman" w:hAnsi="Times New Roman"/>
                <w:color w:val="000000"/>
                <w:kern w:val="0"/>
                <w:sz w:val="25"/>
                <w:szCs w:val="24"/>
              </w:rPr>
              <w:t>万元）</w:t>
            </w:r>
          </w:p>
        </w:tc>
        <w:tc>
          <w:tcPr>
            <w:tcW w:w="1257" w:type="pct"/>
            <w:tcBorders>
              <w:top w:val="single" w:sz="4" w:space="0" w:color="auto"/>
              <w:left w:val="single" w:sz="4" w:space="0" w:color="auto"/>
              <w:bottom w:val="single" w:sz="4" w:space="0" w:color="auto"/>
              <w:right w:val="single" w:sz="4" w:space="0" w:color="auto"/>
            </w:tcBorders>
            <w:vAlign w:val="center"/>
          </w:tcPr>
          <w:p w14:paraId="20CCABF1" w14:textId="77777777" w:rsidR="00FB4D29" w:rsidRDefault="00CF4592">
            <w:pPr>
              <w:widowControl/>
              <w:snapToGrid w:val="0"/>
              <w:jc w:val="center"/>
              <w:rPr>
                <w:rFonts w:ascii="宋体" w:hAnsi="宋体"/>
                <w:color w:val="000000"/>
                <w:kern w:val="0"/>
                <w:sz w:val="25"/>
                <w:szCs w:val="24"/>
              </w:rPr>
            </w:pPr>
            <w:r>
              <w:rPr>
                <w:rFonts w:ascii="Times New Roman" w:hAnsi="Times New Roman"/>
                <w:color w:val="000000"/>
                <w:kern w:val="0"/>
                <w:sz w:val="25"/>
                <w:szCs w:val="24"/>
              </w:rPr>
              <w:t>每笔交易</w:t>
            </w:r>
            <w:r>
              <w:rPr>
                <w:rFonts w:ascii="Times New Roman" w:hAnsi="Times New Roman"/>
                <w:color w:val="000000"/>
                <w:kern w:val="0"/>
                <w:sz w:val="25"/>
                <w:szCs w:val="24"/>
              </w:rPr>
              <w:t>1000</w:t>
            </w:r>
            <w:r>
              <w:rPr>
                <w:rFonts w:ascii="Times New Roman" w:hAnsi="Times New Roman"/>
                <w:color w:val="000000"/>
                <w:kern w:val="0"/>
                <w:sz w:val="25"/>
                <w:szCs w:val="24"/>
              </w:rPr>
              <w:t>元</w:t>
            </w:r>
          </w:p>
        </w:tc>
      </w:tr>
    </w:tbl>
    <w:p w14:paraId="2D842E67"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投资者通过直销机构交易享有如下费率优惠，有关费率优惠活动的具体费率折扣及活动起止时间如有变化，敬请投资者留意本基金管理人的有关公告，届时费率优惠相关事项以最新公告为准：</w:t>
      </w:r>
    </w:p>
    <w:p w14:paraId="42F4EE79" w14:textId="2AD7D41C"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1）通过本基金管理人直销柜台办理本基金</w:t>
      </w:r>
      <w:r w:rsidR="00E32A18" w:rsidRPr="00E32A18">
        <w:rPr>
          <w:rFonts w:ascii="宋体" w:hAnsi="宋体" w:hint="eastAsia"/>
          <w:sz w:val="24"/>
        </w:rPr>
        <w:t>A类基金份额</w:t>
      </w:r>
      <w:r>
        <w:rPr>
          <w:rFonts w:ascii="宋体" w:hAnsi="宋体"/>
          <w:sz w:val="24"/>
        </w:rPr>
        <w:t>申购业务的投资者，享受申购费率一折优惠；对上述实施特定申购费率的养老金客户而言，以其目前适用的特定申购费率和上述一般申购费率的一折优惠中孰低者执行。若享有折扣前的原申购费率为固定费用的，则按原固定费率执行，不再享有费率折扣。</w:t>
      </w:r>
    </w:p>
    <w:p w14:paraId="496D759E" w14:textId="20857A2D"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2）通过本基金管理人网上直销交易平台办理本基金</w:t>
      </w:r>
      <w:r w:rsidR="00E32A18" w:rsidRPr="00E32A18">
        <w:rPr>
          <w:rFonts w:ascii="宋体" w:hAnsi="宋体" w:hint="eastAsia"/>
          <w:sz w:val="24"/>
        </w:rPr>
        <w:t>A类基金份额</w:t>
      </w:r>
      <w:r>
        <w:rPr>
          <w:rFonts w:ascii="宋体" w:hAnsi="宋体"/>
          <w:sz w:val="24"/>
        </w:rPr>
        <w:t>申购业务的个人投资者享受申购费率优惠，赎回费率标准不变。具体优惠费率请参见本基金管理人网站列示的网上直销交易平台申购费率表或相关公告。</w:t>
      </w:r>
    </w:p>
    <w:p w14:paraId="07460A30"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本公司基金网上直销业务已开通的银行卡及各银行卡交易金额限额请参阅本公司网站。</w:t>
      </w:r>
    </w:p>
    <w:p w14:paraId="25019A79"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本基金管理人可根据业务情况调整上述交易费用和限额要求，并依据相关法规的要求提前进行公告。</w:t>
      </w:r>
    </w:p>
    <w:p w14:paraId="498FCEED"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2、赎回费用</w:t>
      </w:r>
    </w:p>
    <w:p w14:paraId="4653BF39" w14:textId="77777777" w:rsidR="00E32A18" w:rsidRDefault="00E32A18">
      <w:pPr>
        <w:autoSpaceDE w:val="0"/>
        <w:autoSpaceDN w:val="0"/>
        <w:adjustRightInd w:val="0"/>
        <w:snapToGrid w:val="0"/>
        <w:spacing w:line="360" w:lineRule="auto"/>
        <w:ind w:firstLineChars="200" w:firstLine="480"/>
        <w:jc w:val="left"/>
        <w:rPr>
          <w:rFonts w:ascii="宋体" w:hAnsi="宋体"/>
          <w:sz w:val="24"/>
        </w:rPr>
      </w:pPr>
      <w:r w:rsidRPr="00E32A18">
        <w:rPr>
          <w:rFonts w:ascii="宋体" w:hAnsi="宋体" w:hint="eastAsia"/>
          <w:sz w:val="24"/>
        </w:rPr>
        <w:t>（1）本基金A类基金份额的赎回费率</w:t>
      </w:r>
    </w:p>
    <w:p w14:paraId="2D023211" w14:textId="3D6A22A6"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w:t>
      </w:r>
      <w:r w:rsidR="00E32A18" w:rsidRPr="00E32A18">
        <w:rPr>
          <w:rFonts w:ascii="宋体" w:hAnsi="宋体" w:hint="eastAsia"/>
          <w:sz w:val="24"/>
        </w:rPr>
        <w:t>A类基金份额</w:t>
      </w:r>
      <w:r>
        <w:rPr>
          <w:rFonts w:ascii="宋体" w:hAnsi="宋体"/>
          <w:sz w:val="24"/>
        </w:rPr>
        <w:t>的赎回费用由赎回</w:t>
      </w:r>
      <w:r w:rsidR="00E32A18">
        <w:rPr>
          <w:rFonts w:ascii="宋体" w:hAnsi="宋体" w:hint="eastAsia"/>
          <w:sz w:val="24"/>
        </w:rPr>
        <w:t>A类</w:t>
      </w:r>
      <w:r>
        <w:rPr>
          <w:rFonts w:ascii="宋体" w:hAnsi="宋体"/>
          <w:sz w:val="24"/>
        </w:rPr>
        <w:t>基金份额的基金份额持有人承担，在基金份额持有人赎回</w:t>
      </w:r>
      <w:r w:rsidR="00E32A18">
        <w:rPr>
          <w:rFonts w:ascii="宋体" w:hAnsi="宋体" w:hint="eastAsia"/>
          <w:sz w:val="24"/>
        </w:rPr>
        <w:t>A类</w:t>
      </w:r>
      <w:r>
        <w:rPr>
          <w:rFonts w:ascii="宋体" w:hAnsi="宋体"/>
          <w:sz w:val="24"/>
        </w:rPr>
        <w:t>基金份额时收取，对持续持有期少于7日的投资人收取1.5%的赎回费，对持续持有期大于等于7日但少于30日的投资人收取0.75%的赎回费，并将上述赎回费全额计入基金财产；对持续持有期大于等于30日但少于3个月的投资人收取0.5%的赎回费，并将赎回费总额的75%计入基金财产；对持续持有期大于等于3个月但少于6个月的投资人收取0.5%的赎回费，并将赎回费总额的50%计入基金财产；对持续持有期大于等于6个月的投资人，应当将赎回费总额的25%计入基金财产。上述“月”指的是30个自然日。未归入基金财产的部分用于支付登记费和其他必要的手续费。</w:t>
      </w:r>
    </w:p>
    <w:p w14:paraId="48477318" w14:textId="1EFF7A69"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w:t>
      </w:r>
      <w:r w:rsidR="00C840FD" w:rsidRPr="00C840FD">
        <w:rPr>
          <w:rFonts w:ascii="宋体" w:hAnsi="宋体" w:hint="eastAsia"/>
          <w:sz w:val="24"/>
        </w:rPr>
        <w:t>A类基金份额</w:t>
      </w:r>
      <w:r>
        <w:rPr>
          <w:rFonts w:ascii="宋体" w:hAnsi="宋体"/>
          <w:sz w:val="24"/>
        </w:rPr>
        <w:t>的赎回费率如下：</w:t>
      </w:r>
    </w:p>
    <w:tbl>
      <w:tblPr>
        <w:tblW w:w="4915" w:type="pct"/>
        <w:tblInd w:w="147" w:type="dxa"/>
        <w:tblCellMar>
          <w:left w:w="0" w:type="dxa"/>
          <w:right w:w="0" w:type="dxa"/>
        </w:tblCellMar>
        <w:tblLook w:val="0000" w:firstRow="0" w:lastRow="0" w:firstColumn="0" w:lastColumn="0" w:noHBand="0" w:noVBand="0"/>
      </w:tblPr>
      <w:tblGrid>
        <w:gridCol w:w="2263"/>
        <w:gridCol w:w="4102"/>
        <w:gridCol w:w="2138"/>
      </w:tblGrid>
      <w:tr w:rsidR="00FB4D29" w14:paraId="51B0A167" w14:textId="77777777" w:rsidTr="00F82365">
        <w:trPr>
          <w:cantSplit/>
          <w:trHeight w:val="375"/>
        </w:trPr>
        <w:tc>
          <w:tcPr>
            <w:tcW w:w="1331" w:type="pct"/>
            <w:vMerge w:val="restart"/>
            <w:tcBorders>
              <w:top w:val="single" w:sz="4" w:space="0" w:color="auto"/>
              <w:left w:val="single" w:sz="4" w:space="0" w:color="auto"/>
              <w:bottom w:val="single" w:sz="4" w:space="0" w:color="auto"/>
              <w:right w:val="single" w:sz="4" w:space="0" w:color="auto"/>
            </w:tcBorders>
            <w:vAlign w:val="center"/>
          </w:tcPr>
          <w:p w14:paraId="78172D0B" w14:textId="59D614DA" w:rsidR="00FB4D29" w:rsidRDefault="00C840FD">
            <w:pPr>
              <w:widowControl/>
              <w:snapToGrid w:val="0"/>
              <w:jc w:val="center"/>
              <w:rPr>
                <w:rFonts w:ascii="宋体" w:hAnsi="宋体"/>
                <w:color w:val="000000"/>
                <w:kern w:val="0"/>
                <w:sz w:val="25"/>
                <w:szCs w:val="24"/>
              </w:rPr>
            </w:pPr>
            <w:r w:rsidRPr="00C840FD">
              <w:rPr>
                <w:rFonts w:ascii="Times New Roman" w:hAnsi="Times New Roman" w:hint="eastAsia"/>
                <w:color w:val="000000"/>
                <w:kern w:val="0"/>
                <w:sz w:val="25"/>
                <w:szCs w:val="24"/>
              </w:rPr>
              <w:t>A</w:t>
            </w:r>
            <w:r w:rsidRPr="00C840FD">
              <w:rPr>
                <w:rFonts w:ascii="Times New Roman" w:hAnsi="Times New Roman" w:hint="eastAsia"/>
                <w:color w:val="000000"/>
                <w:kern w:val="0"/>
                <w:sz w:val="25"/>
                <w:szCs w:val="24"/>
              </w:rPr>
              <w:t>类基金份额</w:t>
            </w:r>
            <w:r>
              <w:rPr>
                <w:rFonts w:ascii="Times New Roman" w:hAnsi="Times New Roman" w:hint="eastAsia"/>
                <w:color w:val="000000"/>
                <w:kern w:val="0"/>
                <w:sz w:val="25"/>
                <w:szCs w:val="24"/>
              </w:rPr>
              <w:t>的</w:t>
            </w:r>
            <w:r w:rsidR="00CF4592">
              <w:rPr>
                <w:rFonts w:ascii="Times New Roman" w:hAnsi="Times New Roman"/>
                <w:color w:val="000000"/>
                <w:kern w:val="0"/>
                <w:sz w:val="25"/>
                <w:szCs w:val="24"/>
              </w:rPr>
              <w:t>赎回费率</w:t>
            </w:r>
          </w:p>
        </w:tc>
        <w:tc>
          <w:tcPr>
            <w:tcW w:w="2412" w:type="pct"/>
            <w:tcBorders>
              <w:top w:val="single" w:sz="4" w:space="0" w:color="auto"/>
              <w:left w:val="single" w:sz="4" w:space="0" w:color="auto"/>
              <w:bottom w:val="single" w:sz="4" w:space="0" w:color="auto"/>
              <w:right w:val="single" w:sz="4" w:space="0" w:color="auto"/>
            </w:tcBorders>
            <w:vAlign w:val="center"/>
          </w:tcPr>
          <w:p w14:paraId="2C27EA38" w14:textId="77777777" w:rsidR="00FB4D29" w:rsidRDefault="00CF4592">
            <w:pPr>
              <w:widowControl/>
              <w:snapToGrid w:val="0"/>
              <w:jc w:val="center"/>
              <w:rPr>
                <w:rFonts w:ascii="宋体" w:hAnsi="宋体"/>
                <w:color w:val="000000"/>
                <w:kern w:val="0"/>
                <w:sz w:val="25"/>
                <w:szCs w:val="24"/>
              </w:rPr>
            </w:pPr>
            <w:r>
              <w:rPr>
                <w:rFonts w:ascii="Times New Roman" w:hAnsi="Times New Roman"/>
                <w:color w:val="000000"/>
                <w:kern w:val="0"/>
                <w:sz w:val="25"/>
                <w:szCs w:val="24"/>
              </w:rPr>
              <w:t>持有期限</w:t>
            </w:r>
          </w:p>
        </w:tc>
        <w:tc>
          <w:tcPr>
            <w:tcW w:w="1257" w:type="pct"/>
            <w:tcBorders>
              <w:top w:val="single" w:sz="4" w:space="0" w:color="auto"/>
              <w:left w:val="single" w:sz="4" w:space="0" w:color="auto"/>
              <w:bottom w:val="single" w:sz="4" w:space="0" w:color="auto"/>
              <w:right w:val="single" w:sz="4" w:space="0" w:color="auto"/>
            </w:tcBorders>
            <w:vAlign w:val="center"/>
          </w:tcPr>
          <w:p w14:paraId="12513D7D" w14:textId="5D6F4BAD" w:rsidR="00FB4D29" w:rsidRDefault="00C840FD">
            <w:pPr>
              <w:widowControl/>
              <w:snapToGrid w:val="0"/>
              <w:jc w:val="center"/>
              <w:rPr>
                <w:rFonts w:ascii="宋体" w:hAnsi="宋体"/>
                <w:color w:val="000000"/>
                <w:kern w:val="0"/>
                <w:sz w:val="25"/>
                <w:szCs w:val="24"/>
              </w:rPr>
            </w:pPr>
            <w:r w:rsidRPr="00C840FD">
              <w:rPr>
                <w:rFonts w:ascii="Times New Roman" w:hAnsi="Times New Roman" w:hint="eastAsia"/>
                <w:color w:val="000000"/>
                <w:kern w:val="0"/>
                <w:sz w:val="25"/>
                <w:szCs w:val="24"/>
              </w:rPr>
              <w:t>A</w:t>
            </w:r>
            <w:r w:rsidRPr="00C840FD">
              <w:rPr>
                <w:rFonts w:ascii="Times New Roman" w:hAnsi="Times New Roman" w:hint="eastAsia"/>
                <w:color w:val="000000"/>
                <w:kern w:val="0"/>
                <w:sz w:val="25"/>
                <w:szCs w:val="24"/>
              </w:rPr>
              <w:t>类基金份额</w:t>
            </w:r>
            <w:r w:rsidR="00CF4592">
              <w:rPr>
                <w:rFonts w:ascii="Times New Roman" w:hAnsi="Times New Roman"/>
                <w:color w:val="000000"/>
                <w:kern w:val="0"/>
                <w:sz w:val="25"/>
                <w:szCs w:val="24"/>
              </w:rPr>
              <w:t>赎回费率</w:t>
            </w:r>
          </w:p>
        </w:tc>
      </w:tr>
      <w:tr w:rsidR="00FB4D29" w14:paraId="5E478A45" w14:textId="77777777" w:rsidTr="00F82365">
        <w:trPr>
          <w:cantSplit/>
          <w:trHeight w:val="375"/>
        </w:trPr>
        <w:tc>
          <w:tcPr>
            <w:tcW w:w="1331" w:type="pct"/>
            <w:vMerge/>
            <w:tcBorders>
              <w:top w:val="single" w:sz="4" w:space="0" w:color="auto"/>
              <w:left w:val="single" w:sz="4" w:space="0" w:color="auto"/>
              <w:bottom w:val="single" w:sz="4" w:space="0" w:color="auto"/>
              <w:right w:val="single" w:sz="4" w:space="0" w:color="auto"/>
            </w:tcBorders>
            <w:vAlign w:val="center"/>
          </w:tcPr>
          <w:p w14:paraId="002CC0B7" w14:textId="77777777" w:rsidR="00FB4D29" w:rsidRDefault="00FB4D29">
            <w:pPr>
              <w:widowControl/>
              <w:snapToGrid w:val="0"/>
              <w:jc w:val="center"/>
              <w:rPr>
                <w:rFonts w:ascii="宋体" w:hAnsi="宋体"/>
                <w:color w:val="000000"/>
                <w:kern w:val="0"/>
                <w:sz w:val="25"/>
                <w:szCs w:val="24"/>
              </w:rPr>
            </w:pPr>
          </w:p>
        </w:tc>
        <w:tc>
          <w:tcPr>
            <w:tcW w:w="2412" w:type="pct"/>
            <w:tcBorders>
              <w:top w:val="single" w:sz="4" w:space="0" w:color="auto"/>
              <w:left w:val="single" w:sz="4" w:space="0" w:color="auto"/>
              <w:bottom w:val="single" w:sz="4" w:space="0" w:color="auto"/>
              <w:right w:val="single" w:sz="4" w:space="0" w:color="auto"/>
            </w:tcBorders>
            <w:vAlign w:val="center"/>
          </w:tcPr>
          <w:p w14:paraId="4FE9ED38"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7</w:t>
            </w:r>
            <w:r>
              <w:rPr>
                <w:rFonts w:ascii="Times New Roman" w:hAnsi="Times New Roman"/>
                <w:color w:val="000000"/>
                <w:kern w:val="0"/>
                <w:sz w:val="25"/>
                <w:szCs w:val="24"/>
              </w:rPr>
              <w:t>日以内</w:t>
            </w:r>
          </w:p>
        </w:tc>
        <w:tc>
          <w:tcPr>
            <w:tcW w:w="1257" w:type="pct"/>
            <w:tcBorders>
              <w:top w:val="single" w:sz="4" w:space="0" w:color="auto"/>
              <w:left w:val="single" w:sz="4" w:space="0" w:color="auto"/>
              <w:bottom w:val="single" w:sz="4" w:space="0" w:color="auto"/>
              <w:right w:val="single" w:sz="4" w:space="0" w:color="auto"/>
            </w:tcBorders>
            <w:vAlign w:val="center"/>
          </w:tcPr>
          <w:p w14:paraId="5C3E54C9" w14:textId="77777777" w:rsidR="00FB4D29" w:rsidRDefault="00CF4592">
            <w:pPr>
              <w:widowControl/>
              <w:snapToGrid w:val="0"/>
              <w:jc w:val="center"/>
              <w:rPr>
                <w:rFonts w:ascii="宋体" w:hAnsi="宋体"/>
                <w:color w:val="000000"/>
                <w:kern w:val="0"/>
                <w:sz w:val="25"/>
                <w:szCs w:val="24"/>
              </w:rPr>
            </w:pPr>
            <w:r>
              <w:rPr>
                <w:rFonts w:ascii="Times New Roman" w:hAnsi="Times New Roman"/>
                <w:color w:val="000000"/>
                <w:kern w:val="0"/>
                <w:sz w:val="25"/>
                <w:szCs w:val="24"/>
              </w:rPr>
              <w:t>1.5%</w:t>
            </w:r>
          </w:p>
        </w:tc>
      </w:tr>
      <w:tr w:rsidR="00FB4D29" w14:paraId="27E4595C" w14:textId="77777777" w:rsidTr="00F82365">
        <w:trPr>
          <w:cantSplit/>
          <w:trHeight w:val="375"/>
        </w:trPr>
        <w:tc>
          <w:tcPr>
            <w:tcW w:w="1331" w:type="pct"/>
            <w:vMerge/>
            <w:tcBorders>
              <w:top w:val="single" w:sz="4" w:space="0" w:color="auto"/>
              <w:left w:val="single" w:sz="4" w:space="0" w:color="auto"/>
              <w:bottom w:val="single" w:sz="4" w:space="0" w:color="auto"/>
              <w:right w:val="single" w:sz="4" w:space="0" w:color="auto"/>
            </w:tcBorders>
            <w:vAlign w:val="center"/>
          </w:tcPr>
          <w:p w14:paraId="79905E71" w14:textId="77777777" w:rsidR="00FB4D29" w:rsidRDefault="00FB4D29">
            <w:pPr>
              <w:widowControl/>
              <w:snapToGrid w:val="0"/>
              <w:jc w:val="center"/>
              <w:rPr>
                <w:rFonts w:ascii="宋体" w:hAnsi="宋体"/>
                <w:color w:val="000000"/>
                <w:kern w:val="0"/>
                <w:sz w:val="25"/>
                <w:szCs w:val="24"/>
              </w:rPr>
            </w:pPr>
          </w:p>
        </w:tc>
        <w:tc>
          <w:tcPr>
            <w:tcW w:w="2412" w:type="pct"/>
            <w:tcBorders>
              <w:top w:val="single" w:sz="4" w:space="0" w:color="auto"/>
              <w:left w:val="single" w:sz="4" w:space="0" w:color="auto"/>
              <w:bottom w:val="single" w:sz="4" w:space="0" w:color="auto"/>
              <w:right w:val="single" w:sz="4" w:space="0" w:color="auto"/>
            </w:tcBorders>
            <w:vAlign w:val="center"/>
          </w:tcPr>
          <w:p w14:paraId="32840C0A"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7</w:t>
            </w:r>
            <w:r>
              <w:rPr>
                <w:rFonts w:ascii="Times New Roman" w:hAnsi="Times New Roman"/>
                <w:color w:val="000000"/>
                <w:kern w:val="0"/>
                <w:sz w:val="25"/>
                <w:szCs w:val="24"/>
              </w:rPr>
              <w:t>日（含）</w:t>
            </w:r>
            <w:r>
              <w:rPr>
                <w:rFonts w:ascii="Times New Roman" w:hAnsi="Times New Roman"/>
                <w:color w:val="000000"/>
                <w:kern w:val="0"/>
                <w:sz w:val="25"/>
                <w:szCs w:val="24"/>
              </w:rPr>
              <w:t>—30</w:t>
            </w:r>
            <w:r>
              <w:rPr>
                <w:rFonts w:ascii="Times New Roman" w:hAnsi="Times New Roman"/>
                <w:color w:val="000000"/>
                <w:kern w:val="0"/>
                <w:sz w:val="25"/>
                <w:szCs w:val="24"/>
              </w:rPr>
              <w:t>日</w:t>
            </w:r>
          </w:p>
        </w:tc>
        <w:tc>
          <w:tcPr>
            <w:tcW w:w="1257" w:type="pct"/>
            <w:tcBorders>
              <w:top w:val="single" w:sz="4" w:space="0" w:color="auto"/>
              <w:left w:val="single" w:sz="4" w:space="0" w:color="auto"/>
              <w:bottom w:val="single" w:sz="4" w:space="0" w:color="auto"/>
              <w:right w:val="single" w:sz="4" w:space="0" w:color="auto"/>
            </w:tcBorders>
            <w:vAlign w:val="center"/>
          </w:tcPr>
          <w:p w14:paraId="0ECEA032" w14:textId="77777777" w:rsidR="00FB4D29" w:rsidRDefault="00CF4592">
            <w:pPr>
              <w:widowControl/>
              <w:snapToGrid w:val="0"/>
              <w:jc w:val="center"/>
              <w:rPr>
                <w:rFonts w:ascii="宋体" w:hAnsi="宋体"/>
                <w:color w:val="000000"/>
                <w:kern w:val="0"/>
                <w:sz w:val="25"/>
                <w:szCs w:val="24"/>
              </w:rPr>
            </w:pPr>
            <w:r>
              <w:rPr>
                <w:rFonts w:ascii="Times New Roman" w:hAnsi="Times New Roman"/>
                <w:color w:val="000000"/>
                <w:kern w:val="0"/>
                <w:sz w:val="25"/>
                <w:szCs w:val="24"/>
              </w:rPr>
              <w:t>0.75%</w:t>
            </w:r>
          </w:p>
        </w:tc>
      </w:tr>
      <w:tr w:rsidR="00FB4D29" w14:paraId="1FCA9899" w14:textId="77777777" w:rsidTr="00F82365">
        <w:trPr>
          <w:cantSplit/>
          <w:trHeight w:val="375"/>
        </w:trPr>
        <w:tc>
          <w:tcPr>
            <w:tcW w:w="1331" w:type="pct"/>
            <w:vMerge/>
            <w:tcBorders>
              <w:top w:val="single" w:sz="4" w:space="0" w:color="auto"/>
              <w:left w:val="single" w:sz="4" w:space="0" w:color="auto"/>
              <w:bottom w:val="single" w:sz="4" w:space="0" w:color="auto"/>
              <w:right w:val="single" w:sz="4" w:space="0" w:color="auto"/>
            </w:tcBorders>
            <w:vAlign w:val="center"/>
          </w:tcPr>
          <w:p w14:paraId="7E44E4ED" w14:textId="77777777" w:rsidR="00FB4D29" w:rsidRDefault="00FB4D29">
            <w:pPr>
              <w:widowControl/>
              <w:snapToGrid w:val="0"/>
              <w:jc w:val="center"/>
              <w:rPr>
                <w:rFonts w:ascii="宋体" w:hAnsi="宋体"/>
                <w:color w:val="000000"/>
                <w:kern w:val="0"/>
                <w:sz w:val="25"/>
                <w:szCs w:val="24"/>
              </w:rPr>
            </w:pPr>
          </w:p>
        </w:tc>
        <w:tc>
          <w:tcPr>
            <w:tcW w:w="2412" w:type="pct"/>
            <w:tcBorders>
              <w:top w:val="single" w:sz="4" w:space="0" w:color="auto"/>
              <w:left w:val="single" w:sz="4" w:space="0" w:color="auto"/>
              <w:bottom w:val="single" w:sz="4" w:space="0" w:color="auto"/>
              <w:right w:val="single" w:sz="4" w:space="0" w:color="auto"/>
            </w:tcBorders>
            <w:vAlign w:val="center"/>
          </w:tcPr>
          <w:p w14:paraId="340F5561"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30</w:t>
            </w:r>
            <w:r>
              <w:rPr>
                <w:rFonts w:ascii="Times New Roman" w:hAnsi="Times New Roman"/>
                <w:color w:val="000000"/>
                <w:kern w:val="0"/>
                <w:sz w:val="25"/>
                <w:szCs w:val="24"/>
              </w:rPr>
              <w:t>日（含）</w:t>
            </w:r>
            <w:r>
              <w:rPr>
                <w:rFonts w:ascii="Times New Roman" w:hAnsi="Times New Roman"/>
                <w:color w:val="000000"/>
                <w:kern w:val="0"/>
                <w:sz w:val="25"/>
                <w:szCs w:val="24"/>
              </w:rPr>
              <w:t>—1</w:t>
            </w:r>
            <w:r>
              <w:rPr>
                <w:rFonts w:ascii="Times New Roman" w:hAnsi="Times New Roman"/>
                <w:color w:val="000000"/>
                <w:kern w:val="0"/>
                <w:sz w:val="25"/>
                <w:szCs w:val="24"/>
              </w:rPr>
              <w:t>年</w:t>
            </w:r>
          </w:p>
        </w:tc>
        <w:tc>
          <w:tcPr>
            <w:tcW w:w="1257" w:type="pct"/>
            <w:tcBorders>
              <w:top w:val="single" w:sz="4" w:space="0" w:color="auto"/>
              <w:left w:val="single" w:sz="4" w:space="0" w:color="auto"/>
              <w:bottom w:val="single" w:sz="4" w:space="0" w:color="auto"/>
              <w:right w:val="single" w:sz="4" w:space="0" w:color="auto"/>
            </w:tcBorders>
            <w:vAlign w:val="center"/>
          </w:tcPr>
          <w:p w14:paraId="4B4B38B0" w14:textId="77777777" w:rsidR="00FB4D29" w:rsidRDefault="00CF4592">
            <w:pPr>
              <w:widowControl/>
              <w:snapToGrid w:val="0"/>
              <w:jc w:val="center"/>
              <w:rPr>
                <w:rFonts w:ascii="宋体" w:hAnsi="宋体"/>
                <w:color w:val="000000"/>
                <w:kern w:val="0"/>
                <w:sz w:val="25"/>
                <w:szCs w:val="24"/>
              </w:rPr>
            </w:pPr>
            <w:r>
              <w:rPr>
                <w:rFonts w:ascii="Times New Roman" w:hAnsi="Times New Roman"/>
                <w:color w:val="000000"/>
                <w:kern w:val="0"/>
                <w:sz w:val="25"/>
                <w:szCs w:val="24"/>
              </w:rPr>
              <w:t>0.5%</w:t>
            </w:r>
          </w:p>
        </w:tc>
      </w:tr>
      <w:tr w:rsidR="00FB4D29" w14:paraId="34E8F1BE" w14:textId="77777777" w:rsidTr="00F82365">
        <w:trPr>
          <w:cantSplit/>
          <w:trHeight w:val="375"/>
        </w:trPr>
        <w:tc>
          <w:tcPr>
            <w:tcW w:w="1331" w:type="pct"/>
            <w:vMerge/>
            <w:tcBorders>
              <w:top w:val="single" w:sz="4" w:space="0" w:color="auto"/>
              <w:left w:val="single" w:sz="4" w:space="0" w:color="auto"/>
              <w:bottom w:val="single" w:sz="4" w:space="0" w:color="auto"/>
              <w:right w:val="single" w:sz="4" w:space="0" w:color="auto"/>
            </w:tcBorders>
            <w:vAlign w:val="center"/>
          </w:tcPr>
          <w:p w14:paraId="3A4CE532" w14:textId="77777777" w:rsidR="00FB4D29" w:rsidRDefault="00FB4D29">
            <w:pPr>
              <w:widowControl/>
              <w:snapToGrid w:val="0"/>
              <w:jc w:val="center"/>
              <w:rPr>
                <w:rFonts w:ascii="宋体" w:hAnsi="宋体"/>
                <w:color w:val="000000"/>
                <w:kern w:val="0"/>
                <w:sz w:val="25"/>
                <w:szCs w:val="24"/>
              </w:rPr>
            </w:pPr>
          </w:p>
        </w:tc>
        <w:tc>
          <w:tcPr>
            <w:tcW w:w="2412" w:type="pct"/>
            <w:tcBorders>
              <w:top w:val="single" w:sz="4" w:space="0" w:color="auto"/>
              <w:left w:val="single" w:sz="4" w:space="0" w:color="auto"/>
              <w:bottom w:val="single" w:sz="4" w:space="0" w:color="auto"/>
              <w:right w:val="single" w:sz="4" w:space="0" w:color="auto"/>
            </w:tcBorders>
            <w:vAlign w:val="center"/>
          </w:tcPr>
          <w:p w14:paraId="3301912C"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1</w:t>
            </w:r>
            <w:r>
              <w:rPr>
                <w:rFonts w:ascii="Times New Roman" w:hAnsi="Times New Roman"/>
                <w:color w:val="000000"/>
                <w:kern w:val="0"/>
                <w:sz w:val="25"/>
                <w:szCs w:val="24"/>
              </w:rPr>
              <w:t>年（含）</w:t>
            </w:r>
            <w:r>
              <w:rPr>
                <w:rFonts w:ascii="Times New Roman" w:hAnsi="Times New Roman"/>
                <w:color w:val="000000"/>
                <w:kern w:val="0"/>
                <w:sz w:val="25"/>
                <w:szCs w:val="24"/>
              </w:rPr>
              <w:t>—2</w:t>
            </w:r>
            <w:r>
              <w:rPr>
                <w:rFonts w:ascii="Times New Roman" w:hAnsi="Times New Roman"/>
                <w:color w:val="000000"/>
                <w:kern w:val="0"/>
                <w:sz w:val="25"/>
                <w:szCs w:val="24"/>
              </w:rPr>
              <w:t>年</w:t>
            </w:r>
          </w:p>
        </w:tc>
        <w:tc>
          <w:tcPr>
            <w:tcW w:w="1257" w:type="pct"/>
            <w:tcBorders>
              <w:top w:val="single" w:sz="4" w:space="0" w:color="auto"/>
              <w:left w:val="single" w:sz="4" w:space="0" w:color="auto"/>
              <w:bottom w:val="single" w:sz="4" w:space="0" w:color="auto"/>
              <w:right w:val="single" w:sz="4" w:space="0" w:color="auto"/>
            </w:tcBorders>
            <w:vAlign w:val="center"/>
          </w:tcPr>
          <w:p w14:paraId="5E2B0EF0" w14:textId="77777777" w:rsidR="00FB4D29" w:rsidRDefault="00CF4592">
            <w:pPr>
              <w:widowControl/>
              <w:snapToGrid w:val="0"/>
              <w:jc w:val="center"/>
              <w:rPr>
                <w:rFonts w:ascii="宋体" w:hAnsi="宋体"/>
                <w:color w:val="000000"/>
                <w:kern w:val="0"/>
                <w:sz w:val="25"/>
                <w:szCs w:val="24"/>
              </w:rPr>
            </w:pPr>
            <w:r>
              <w:rPr>
                <w:rFonts w:ascii="Times New Roman" w:hAnsi="Times New Roman"/>
                <w:color w:val="000000"/>
                <w:kern w:val="0"/>
                <w:sz w:val="25"/>
                <w:szCs w:val="24"/>
              </w:rPr>
              <w:t>0.25%</w:t>
            </w:r>
          </w:p>
        </w:tc>
      </w:tr>
      <w:tr w:rsidR="00FB4D29" w14:paraId="47A50A41" w14:textId="77777777" w:rsidTr="00F82365">
        <w:trPr>
          <w:cantSplit/>
          <w:trHeight w:val="375"/>
        </w:trPr>
        <w:tc>
          <w:tcPr>
            <w:tcW w:w="1331" w:type="pct"/>
            <w:vMerge/>
            <w:tcBorders>
              <w:top w:val="single" w:sz="4" w:space="0" w:color="auto"/>
              <w:left w:val="single" w:sz="4" w:space="0" w:color="auto"/>
              <w:bottom w:val="single" w:sz="4" w:space="0" w:color="auto"/>
              <w:right w:val="single" w:sz="4" w:space="0" w:color="auto"/>
            </w:tcBorders>
            <w:vAlign w:val="center"/>
          </w:tcPr>
          <w:p w14:paraId="678ED6B8" w14:textId="77777777" w:rsidR="00FB4D29" w:rsidRDefault="00FB4D29">
            <w:pPr>
              <w:widowControl/>
              <w:snapToGrid w:val="0"/>
              <w:jc w:val="center"/>
              <w:rPr>
                <w:rFonts w:ascii="宋体" w:hAnsi="宋体"/>
                <w:color w:val="000000"/>
                <w:kern w:val="0"/>
                <w:sz w:val="25"/>
                <w:szCs w:val="24"/>
              </w:rPr>
            </w:pPr>
          </w:p>
        </w:tc>
        <w:tc>
          <w:tcPr>
            <w:tcW w:w="2412" w:type="pct"/>
            <w:tcBorders>
              <w:top w:val="single" w:sz="4" w:space="0" w:color="auto"/>
              <w:left w:val="single" w:sz="4" w:space="0" w:color="auto"/>
              <w:bottom w:val="single" w:sz="4" w:space="0" w:color="auto"/>
              <w:right w:val="single" w:sz="4" w:space="0" w:color="auto"/>
            </w:tcBorders>
            <w:vAlign w:val="center"/>
          </w:tcPr>
          <w:p w14:paraId="6DD042BB"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2</w:t>
            </w:r>
            <w:r>
              <w:rPr>
                <w:rFonts w:ascii="Times New Roman" w:hAnsi="Times New Roman"/>
                <w:color w:val="000000"/>
                <w:kern w:val="0"/>
                <w:sz w:val="25"/>
                <w:szCs w:val="24"/>
              </w:rPr>
              <w:t>年以上（含）</w:t>
            </w:r>
          </w:p>
        </w:tc>
        <w:tc>
          <w:tcPr>
            <w:tcW w:w="1257" w:type="pct"/>
            <w:tcBorders>
              <w:top w:val="single" w:sz="4" w:space="0" w:color="auto"/>
              <w:left w:val="single" w:sz="4" w:space="0" w:color="auto"/>
              <w:bottom w:val="single" w:sz="4" w:space="0" w:color="auto"/>
              <w:right w:val="single" w:sz="4" w:space="0" w:color="auto"/>
            </w:tcBorders>
            <w:vAlign w:val="center"/>
          </w:tcPr>
          <w:p w14:paraId="699D03BB" w14:textId="77777777" w:rsidR="00FB4D29" w:rsidRDefault="00CF4592">
            <w:pPr>
              <w:widowControl/>
              <w:snapToGrid w:val="0"/>
              <w:jc w:val="center"/>
              <w:rPr>
                <w:rFonts w:ascii="宋体" w:hAnsi="宋体"/>
                <w:color w:val="000000"/>
                <w:kern w:val="0"/>
                <w:sz w:val="25"/>
                <w:szCs w:val="24"/>
              </w:rPr>
            </w:pPr>
            <w:r>
              <w:rPr>
                <w:rFonts w:ascii="Times New Roman" w:hAnsi="Times New Roman"/>
                <w:color w:val="000000"/>
                <w:kern w:val="0"/>
                <w:sz w:val="25"/>
                <w:szCs w:val="24"/>
              </w:rPr>
              <w:t>0</w:t>
            </w:r>
          </w:p>
        </w:tc>
      </w:tr>
    </w:tbl>
    <w:p w14:paraId="218739FB"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上表中的“年”指的是365个自然日。</w:t>
      </w:r>
    </w:p>
    <w:p w14:paraId="15A96071" w14:textId="49D14A86" w:rsidR="004D2CC3" w:rsidRDefault="007A253B" w:rsidP="007A253B">
      <w:pPr>
        <w:autoSpaceDE w:val="0"/>
        <w:autoSpaceDN w:val="0"/>
        <w:adjustRightInd w:val="0"/>
        <w:snapToGrid w:val="0"/>
        <w:spacing w:line="360" w:lineRule="auto"/>
        <w:ind w:firstLineChars="200" w:firstLine="480"/>
        <w:rPr>
          <w:rFonts w:ascii="宋体" w:hAnsi="宋体"/>
          <w:sz w:val="24"/>
        </w:rPr>
      </w:pPr>
      <w:r w:rsidRPr="009F4A6B">
        <w:rPr>
          <w:rFonts w:ascii="宋体" w:hAnsi="宋体" w:hint="eastAsia"/>
          <w:sz w:val="24"/>
        </w:rPr>
        <w:t>（</w:t>
      </w:r>
      <w:r w:rsidRPr="009F4A6B">
        <w:rPr>
          <w:rFonts w:ascii="宋体" w:hAnsi="宋体"/>
          <w:sz w:val="24"/>
        </w:rPr>
        <w:t>2</w:t>
      </w:r>
      <w:r w:rsidRPr="009F4A6B">
        <w:rPr>
          <w:rFonts w:ascii="宋体" w:hAnsi="宋体" w:hint="eastAsia"/>
          <w:sz w:val="24"/>
        </w:rPr>
        <w:t>）</w:t>
      </w:r>
      <w:r w:rsidR="004D2CC3" w:rsidRPr="00E32A18">
        <w:rPr>
          <w:rFonts w:ascii="宋体" w:hAnsi="宋体" w:hint="eastAsia"/>
          <w:sz w:val="24"/>
        </w:rPr>
        <w:t>本基金</w:t>
      </w:r>
      <w:r w:rsidR="004D2CC3">
        <w:rPr>
          <w:rFonts w:ascii="宋体" w:hAnsi="宋体"/>
          <w:sz w:val="24"/>
        </w:rPr>
        <w:t>C</w:t>
      </w:r>
      <w:r w:rsidR="004D2CC3" w:rsidRPr="00E32A18">
        <w:rPr>
          <w:rFonts w:ascii="宋体" w:hAnsi="宋体" w:hint="eastAsia"/>
          <w:sz w:val="24"/>
        </w:rPr>
        <w:t>类基金份额的赎回费率</w:t>
      </w:r>
    </w:p>
    <w:p w14:paraId="305A9151" w14:textId="77777777" w:rsidR="004D2CC3" w:rsidRDefault="004D2CC3" w:rsidP="00F82365">
      <w:pPr>
        <w:autoSpaceDE w:val="0"/>
        <w:autoSpaceDN w:val="0"/>
        <w:adjustRightInd w:val="0"/>
        <w:snapToGrid w:val="0"/>
        <w:spacing w:line="360" w:lineRule="auto"/>
        <w:ind w:firstLineChars="200" w:firstLine="480"/>
        <w:rPr>
          <w:rFonts w:ascii="宋体" w:hAnsi="宋体"/>
          <w:sz w:val="24"/>
        </w:rPr>
      </w:pPr>
      <w:r w:rsidRPr="003C2E0A">
        <w:rPr>
          <w:rFonts w:ascii="宋体" w:hAnsi="宋体" w:hint="eastAsia"/>
          <w:sz w:val="24"/>
        </w:rPr>
        <w:t>本基金</w:t>
      </w:r>
      <w:r w:rsidRPr="003C2E0A">
        <w:rPr>
          <w:rFonts w:ascii="宋体" w:hAnsi="宋体"/>
          <w:sz w:val="24"/>
        </w:rPr>
        <w:t>C</w:t>
      </w:r>
      <w:r w:rsidRPr="003C2E0A">
        <w:rPr>
          <w:rFonts w:ascii="宋体" w:hAnsi="宋体" w:hint="eastAsia"/>
          <w:sz w:val="24"/>
        </w:rPr>
        <w:t>类基金份额的赎回费用由赎回</w:t>
      </w:r>
      <w:r w:rsidRPr="003C2E0A">
        <w:rPr>
          <w:rFonts w:ascii="宋体" w:hAnsi="宋体"/>
          <w:sz w:val="24"/>
        </w:rPr>
        <w:t>C</w:t>
      </w:r>
      <w:r w:rsidRPr="003C2E0A">
        <w:rPr>
          <w:rFonts w:ascii="宋体" w:hAnsi="宋体" w:hint="eastAsia"/>
          <w:sz w:val="24"/>
        </w:rPr>
        <w:t>类基金份额的基金份额持有人承担，在基金份额持有人赎回</w:t>
      </w:r>
      <w:r w:rsidRPr="003C2E0A">
        <w:rPr>
          <w:rFonts w:ascii="宋体" w:hAnsi="宋体"/>
          <w:sz w:val="24"/>
        </w:rPr>
        <w:t>C</w:t>
      </w:r>
      <w:r w:rsidRPr="003C2E0A">
        <w:rPr>
          <w:rFonts w:ascii="宋体" w:hAnsi="宋体" w:hint="eastAsia"/>
          <w:sz w:val="24"/>
        </w:rPr>
        <w:t>类基金份额时收取，对</w:t>
      </w:r>
      <w:r w:rsidRPr="003C2E0A">
        <w:rPr>
          <w:rFonts w:ascii="宋体" w:hAnsi="宋体"/>
          <w:sz w:val="24"/>
        </w:rPr>
        <w:t>C</w:t>
      </w:r>
      <w:r w:rsidRPr="003C2E0A">
        <w:rPr>
          <w:rFonts w:ascii="宋体" w:hAnsi="宋体" w:hint="eastAsia"/>
          <w:sz w:val="24"/>
        </w:rPr>
        <w:t>类基金份额持有人收取的赎回费全额计入基金财产。</w:t>
      </w:r>
    </w:p>
    <w:p w14:paraId="6A43A8CF" w14:textId="298D64A3" w:rsidR="007A253B" w:rsidRPr="009F4A6B" w:rsidRDefault="007A253B" w:rsidP="007A253B">
      <w:pPr>
        <w:autoSpaceDE w:val="0"/>
        <w:autoSpaceDN w:val="0"/>
        <w:adjustRightInd w:val="0"/>
        <w:snapToGrid w:val="0"/>
        <w:spacing w:line="360" w:lineRule="auto"/>
        <w:ind w:firstLineChars="200" w:firstLine="480"/>
        <w:rPr>
          <w:rFonts w:ascii="宋体" w:hAnsi="宋体"/>
          <w:sz w:val="24"/>
        </w:rPr>
      </w:pPr>
      <w:r w:rsidRPr="009F4A6B">
        <w:rPr>
          <w:rFonts w:ascii="宋体" w:hAnsi="宋体" w:hint="eastAsia"/>
          <w:sz w:val="24"/>
        </w:rPr>
        <w:t>本基金</w:t>
      </w:r>
      <w:r w:rsidRPr="00F82365">
        <w:rPr>
          <w:rFonts w:ascii="宋体" w:hAnsi="宋体"/>
          <w:sz w:val="24"/>
        </w:rPr>
        <w:t>C</w:t>
      </w:r>
      <w:r w:rsidRPr="00F82365">
        <w:rPr>
          <w:rFonts w:ascii="宋体" w:hAnsi="宋体" w:hint="eastAsia"/>
          <w:sz w:val="24"/>
        </w:rPr>
        <w:t>类基</w:t>
      </w:r>
      <w:r w:rsidRPr="009F4A6B">
        <w:rPr>
          <w:rFonts w:ascii="宋体" w:hAnsi="宋体" w:hint="eastAsia"/>
          <w:sz w:val="24"/>
        </w:rPr>
        <w:t>金份额的赎回费率如下：</w:t>
      </w:r>
    </w:p>
    <w:tbl>
      <w:tblPr>
        <w:tblW w:w="8361"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403"/>
        <w:gridCol w:w="3625"/>
        <w:gridCol w:w="2333"/>
      </w:tblGrid>
      <w:tr w:rsidR="007A253B" w:rsidRPr="00950533" w14:paraId="6BCF8E0A" w14:textId="77777777" w:rsidTr="00F82365">
        <w:trPr>
          <w:cantSplit/>
          <w:trHeight w:val="132"/>
          <w:jc w:val="center"/>
        </w:trPr>
        <w:tc>
          <w:tcPr>
            <w:tcW w:w="2403" w:type="dxa"/>
            <w:vMerge w:val="restart"/>
            <w:vAlign w:val="center"/>
          </w:tcPr>
          <w:p w14:paraId="40AFF87F" w14:textId="77777777" w:rsidR="007A253B" w:rsidRPr="00F51638" w:rsidRDefault="007A253B" w:rsidP="00B838DF">
            <w:pPr>
              <w:widowControl/>
              <w:snapToGrid w:val="0"/>
              <w:jc w:val="center"/>
              <w:rPr>
                <w:rFonts w:ascii="Times New Roman" w:hAnsi="Times New Roman"/>
                <w:color w:val="000000"/>
                <w:kern w:val="0"/>
                <w:sz w:val="25"/>
                <w:szCs w:val="24"/>
              </w:rPr>
            </w:pPr>
            <w:r w:rsidRPr="00F51638">
              <w:rPr>
                <w:rFonts w:ascii="Times New Roman" w:hAnsi="Times New Roman"/>
                <w:color w:val="000000"/>
                <w:kern w:val="0"/>
                <w:sz w:val="25"/>
                <w:szCs w:val="24"/>
              </w:rPr>
              <w:t>C</w:t>
            </w:r>
            <w:r w:rsidRPr="00F51638">
              <w:rPr>
                <w:rFonts w:ascii="Times New Roman" w:hAnsi="Times New Roman" w:hint="eastAsia"/>
                <w:color w:val="000000"/>
                <w:kern w:val="0"/>
                <w:sz w:val="25"/>
                <w:szCs w:val="24"/>
              </w:rPr>
              <w:t>类基金份额的</w:t>
            </w:r>
            <w:r w:rsidRPr="00F51638">
              <w:rPr>
                <w:rFonts w:ascii="Times New Roman" w:hAnsi="Times New Roman"/>
                <w:color w:val="000000"/>
                <w:kern w:val="0"/>
                <w:sz w:val="25"/>
                <w:szCs w:val="24"/>
              </w:rPr>
              <w:t>赎回费率</w:t>
            </w:r>
          </w:p>
        </w:tc>
        <w:tc>
          <w:tcPr>
            <w:tcW w:w="3625" w:type="dxa"/>
            <w:shd w:val="clear" w:color="auto" w:fill="FFFFFF"/>
            <w:vAlign w:val="center"/>
          </w:tcPr>
          <w:p w14:paraId="39DCFE2C" w14:textId="77777777" w:rsidR="007A253B" w:rsidRPr="00F51638" w:rsidRDefault="007A253B" w:rsidP="00B838DF">
            <w:pPr>
              <w:widowControl/>
              <w:snapToGrid w:val="0"/>
              <w:jc w:val="center"/>
              <w:rPr>
                <w:rFonts w:ascii="Times New Roman" w:hAnsi="Times New Roman"/>
                <w:color w:val="000000"/>
                <w:kern w:val="0"/>
                <w:sz w:val="25"/>
                <w:szCs w:val="24"/>
              </w:rPr>
            </w:pPr>
            <w:r w:rsidRPr="00F51638">
              <w:rPr>
                <w:rFonts w:ascii="Times New Roman" w:hAnsi="Times New Roman"/>
                <w:color w:val="000000"/>
                <w:kern w:val="0"/>
                <w:sz w:val="25"/>
                <w:szCs w:val="24"/>
              </w:rPr>
              <w:t>持有期限</w:t>
            </w:r>
          </w:p>
        </w:tc>
        <w:tc>
          <w:tcPr>
            <w:tcW w:w="2333" w:type="dxa"/>
            <w:shd w:val="clear" w:color="auto" w:fill="FFFFFF"/>
            <w:vAlign w:val="center"/>
          </w:tcPr>
          <w:p w14:paraId="6E0FB63F" w14:textId="77777777" w:rsidR="007A253B" w:rsidRPr="00F51638" w:rsidRDefault="007A253B" w:rsidP="00B838DF">
            <w:pPr>
              <w:widowControl/>
              <w:snapToGrid w:val="0"/>
              <w:jc w:val="center"/>
              <w:rPr>
                <w:rFonts w:ascii="Times New Roman" w:hAnsi="Times New Roman"/>
                <w:color w:val="000000"/>
                <w:kern w:val="0"/>
                <w:sz w:val="25"/>
                <w:szCs w:val="24"/>
              </w:rPr>
            </w:pPr>
            <w:r w:rsidRPr="00F51638">
              <w:rPr>
                <w:rFonts w:ascii="Times New Roman" w:hAnsi="Times New Roman"/>
                <w:color w:val="000000"/>
                <w:kern w:val="0"/>
                <w:sz w:val="25"/>
                <w:szCs w:val="24"/>
              </w:rPr>
              <w:t>C</w:t>
            </w:r>
            <w:r w:rsidRPr="00F51638">
              <w:rPr>
                <w:rFonts w:ascii="Times New Roman" w:hAnsi="Times New Roman" w:hint="eastAsia"/>
                <w:color w:val="000000"/>
                <w:kern w:val="0"/>
                <w:sz w:val="25"/>
                <w:szCs w:val="24"/>
              </w:rPr>
              <w:t>类基金份额</w:t>
            </w:r>
            <w:r w:rsidRPr="00F51638">
              <w:rPr>
                <w:rFonts w:ascii="Times New Roman" w:hAnsi="Times New Roman"/>
                <w:color w:val="000000"/>
                <w:kern w:val="0"/>
                <w:sz w:val="25"/>
                <w:szCs w:val="24"/>
              </w:rPr>
              <w:t>赎回费率</w:t>
            </w:r>
          </w:p>
        </w:tc>
      </w:tr>
      <w:tr w:rsidR="007A253B" w:rsidRPr="00950533" w14:paraId="52815467" w14:textId="77777777" w:rsidTr="00F82365">
        <w:trPr>
          <w:cantSplit/>
          <w:trHeight w:val="131"/>
          <w:jc w:val="center"/>
        </w:trPr>
        <w:tc>
          <w:tcPr>
            <w:tcW w:w="2403" w:type="dxa"/>
            <w:vMerge/>
          </w:tcPr>
          <w:p w14:paraId="1488F8EA" w14:textId="77777777" w:rsidR="007A253B" w:rsidRPr="00F51638" w:rsidRDefault="007A253B" w:rsidP="00B838DF">
            <w:pPr>
              <w:widowControl/>
              <w:snapToGrid w:val="0"/>
              <w:jc w:val="center"/>
              <w:rPr>
                <w:rFonts w:ascii="Times New Roman" w:hAnsi="Times New Roman"/>
                <w:color w:val="000000"/>
                <w:kern w:val="0"/>
                <w:sz w:val="25"/>
                <w:szCs w:val="24"/>
              </w:rPr>
            </w:pPr>
          </w:p>
        </w:tc>
        <w:tc>
          <w:tcPr>
            <w:tcW w:w="3625" w:type="dxa"/>
          </w:tcPr>
          <w:p w14:paraId="65C1F668" w14:textId="77777777" w:rsidR="007A253B" w:rsidRPr="00F51638" w:rsidRDefault="007A253B" w:rsidP="00B838DF">
            <w:pPr>
              <w:widowControl/>
              <w:snapToGrid w:val="0"/>
              <w:jc w:val="left"/>
              <w:rPr>
                <w:rFonts w:ascii="Times New Roman" w:hAnsi="Times New Roman"/>
                <w:color w:val="000000"/>
                <w:kern w:val="0"/>
                <w:sz w:val="25"/>
                <w:szCs w:val="24"/>
              </w:rPr>
            </w:pPr>
            <w:r w:rsidRPr="00F51638">
              <w:rPr>
                <w:rFonts w:ascii="Times New Roman" w:hAnsi="Times New Roman"/>
                <w:color w:val="000000"/>
                <w:kern w:val="0"/>
                <w:sz w:val="25"/>
                <w:szCs w:val="24"/>
              </w:rPr>
              <w:t>7</w:t>
            </w:r>
            <w:r w:rsidRPr="00F51638">
              <w:rPr>
                <w:rFonts w:ascii="Times New Roman" w:hAnsi="Times New Roman" w:hint="eastAsia"/>
                <w:color w:val="000000"/>
                <w:kern w:val="0"/>
                <w:sz w:val="25"/>
                <w:szCs w:val="24"/>
              </w:rPr>
              <w:t>日以内</w:t>
            </w:r>
          </w:p>
        </w:tc>
        <w:tc>
          <w:tcPr>
            <w:tcW w:w="2333" w:type="dxa"/>
          </w:tcPr>
          <w:p w14:paraId="5D16E5F8" w14:textId="77777777" w:rsidR="007A253B" w:rsidRPr="00F51638" w:rsidRDefault="007A253B" w:rsidP="00B838DF">
            <w:pPr>
              <w:widowControl/>
              <w:snapToGrid w:val="0"/>
              <w:jc w:val="center"/>
              <w:rPr>
                <w:rFonts w:ascii="Times New Roman" w:hAnsi="Times New Roman"/>
                <w:color w:val="000000"/>
                <w:kern w:val="0"/>
                <w:sz w:val="25"/>
                <w:szCs w:val="24"/>
              </w:rPr>
            </w:pPr>
            <w:r w:rsidRPr="00F51638">
              <w:rPr>
                <w:rFonts w:ascii="Times New Roman" w:hAnsi="Times New Roman"/>
                <w:color w:val="000000"/>
                <w:kern w:val="0"/>
                <w:sz w:val="25"/>
                <w:szCs w:val="24"/>
              </w:rPr>
              <w:t>1.5%</w:t>
            </w:r>
          </w:p>
        </w:tc>
      </w:tr>
      <w:tr w:rsidR="007A253B" w:rsidRPr="00950533" w14:paraId="555E05CC" w14:textId="77777777" w:rsidTr="00F82365">
        <w:trPr>
          <w:cantSplit/>
          <w:trHeight w:val="131"/>
          <w:jc w:val="center"/>
        </w:trPr>
        <w:tc>
          <w:tcPr>
            <w:tcW w:w="2403" w:type="dxa"/>
            <w:vMerge/>
          </w:tcPr>
          <w:p w14:paraId="468FD02E" w14:textId="77777777" w:rsidR="007A253B" w:rsidRPr="00F51638" w:rsidRDefault="007A253B" w:rsidP="00B838DF">
            <w:pPr>
              <w:widowControl/>
              <w:snapToGrid w:val="0"/>
              <w:jc w:val="center"/>
              <w:rPr>
                <w:rFonts w:ascii="Times New Roman" w:hAnsi="Times New Roman"/>
                <w:color w:val="000000"/>
                <w:kern w:val="0"/>
                <w:sz w:val="25"/>
                <w:szCs w:val="24"/>
              </w:rPr>
            </w:pPr>
          </w:p>
        </w:tc>
        <w:tc>
          <w:tcPr>
            <w:tcW w:w="3625" w:type="dxa"/>
            <w:vAlign w:val="center"/>
          </w:tcPr>
          <w:p w14:paraId="1632499C" w14:textId="77777777" w:rsidR="007A253B" w:rsidRPr="00F51638" w:rsidRDefault="007A253B" w:rsidP="00B838DF">
            <w:pPr>
              <w:widowControl/>
              <w:snapToGrid w:val="0"/>
              <w:jc w:val="left"/>
              <w:rPr>
                <w:rFonts w:ascii="Times New Roman" w:hAnsi="Times New Roman"/>
                <w:color w:val="000000"/>
                <w:kern w:val="0"/>
                <w:sz w:val="25"/>
                <w:szCs w:val="24"/>
              </w:rPr>
            </w:pPr>
            <w:r w:rsidRPr="00F51638">
              <w:rPr>
                <w:rFonts w:ascii="Times New Roman" w:hAnsi="Times New Roman"/>
                <w:color w:val="000000"/>
                <w:kern w:val="0"/>
                <w:sz w:val="25"/>
                <w:szCs w:val="24"/>
              </w:rPr>
              <w:t>7</w:t>
            </w:r>
            <w:r w:rsidRPr="00F51638">
              <w:rPr>
                <w:rFonts w:ascii="Times New Roman" w:hAnsi="Times New Roman" w:hint="eastAsia"/>
                <w:color w:val="000000"/>
                <w:kern w:val="0"/>
                <w:sz w:val="25"/>
                <w:szCs w:val="24"/>
              </w:rPr>
              <w:t>日（含）</w:t>
            </w:r>
            <w:r>
              <w:rPr>
                <w:rFonts w:ascii="Times New Roman" w:hAnsi="Times New Roman"/>
                <w:color w:val="000000"/>
                <w:kern w:val="0"/>
                <w:sz w:val="25"/>
                <w:szCs w:val="24"/>
              </w:rPr>
              <w:t>—</w:t>
            </w:r>
            <w:r w:rsidRPr="00F51638">
              <w:rPr>
                <w:rFonts w:ascii="Times New Roman" w:hAnsi="Times New Roman"/>
                <w:color w:val="000000"/>
                <w:kern w:val="0"/>
                <w:sz w:val="25"/>
                <w:szCs w:val="24"/>
              </w:rPr>
              <w:t>30</w:t>
            </w:r>
            <w:r w:rsidRPr="00F51638">
              <w:rPr>
                <w:rFonts w:ascii="Times New Roman" w:hAnsi="Times New Roman" w:hint="eastAsia"/>
                <w:color w:val="000000"/>
                <w:kern w:val="0"/>
                <w:sz w:val="25"/>
                <w:szCs w:val="24"/>
              </w:rPr>
              <w:t>日</w:t>
            </w:r>
          </w:p>
        </w:tc>
        <w:tc>
          <w:tcPr>
            <w:tcW w:w="2333" w:type="dxa"/>
          </w:tcPr>
          <w:p w14:paraId="223E916F" w14:textId="77777777" w:rsidR="007A253B" w:rsidRPr="00F51638" w:rsidRDefault="007A253B" w:rsidP="00B838DF">
            <w:pPr>
              <w:widowControl/>
              <w:snapToGrid w:val="0"/>
              <w:jc w:val="center"/>
              <w:rPr>
                <w:rFonts w:ascii="Times New Roman" w:hAnsi="Times New Roman"/>
                <w:color w:val="000000"/>
                <w:kern w:val="0"/>
                <w:sz w:val="25"/>
                <w:szCs w:val="24"/>
              </w:rPr>
            </w:pPr>
            <w:r w:rsidRPr="00F51638">
              <w:rPr>
                <w:rFonts w:ascii="Times New Roman" w:hAnsi="Times New Roman"/>
                <w:color w:val="000000"/>
                <w:kern w:val="0"/>
                <w:sz w:val="25"/>
                <w:szCs w:val="24"/>
              </w:rPr>
              <w:t>0.5%</w:t>
            </w:r>
          </w:p>
        </w:tc>
      </w:tr>
      <w:tr w:rsidR="007A253B" w:rsidRPr="00950533" w14:paraId="2676B9D3" w14:textId="77777777" w:rsidTr="00F82365">
        <w:trPr>
          <w:cantSplit/>
          <w:trHeight w:val="131"/>
          <w:jc w:val="center"/>
        </w:trPr>
        <w:tc>
          <w:tcPr>
            <w:tcW w:w="2403" w:type="dxa"/>
            <w:vMerge/>
          </w:tcPr>
          <w:p w14:paraId="13113EF9" w14:textId="77777777" w:rsidR="007A253B" w:rsidRPr="00F51638" w:rsidRDefault="007A253B" w:rsidP="00B838DF">
            <w:pPr>
              <w:widowControl/>
              <w:snapToGrid w:val="0"/>
              <w:jc w:val="center"/>
              <w:rPr>
                <w:rFonts w:ascii="Times New Roman" w:hAnsi="Times New Roman"/>
                <w:color w:val="000000"/>
                <w:kern w:val="0"/>
                <w:sz w:val="25"/>
                <w:szCs w:val="24"/>
              </w:rPr>
            </w:pPr>
          </w:p>
        </w:tc>
        <w:tc>
          <w:tcPr>
            <w:tcW w:w="3625" w:type="dxa"/>
            <w:vAlign w:val="center"/>
          </w:tcPr>
          <w:p w14:paraId="17A9A476" w14:textId="77777777" w:rsidR="007A253B" w:rsidRPr="00F51638" w:rsidRDefault="007A253B" w:rsidP="00B838DF">
            <w:pPr>
              <w:widowControl/>
              <w:snapToGrid w:val="0"/>
              <w:jc w:val="left"/>
              <w:rPr>
                <w:rFonts w:ascii="Times New Roman" w:hAnsi="Times New Roman"/>
                <w:color w:val="000000"/>
                <w:kern w:val="0"/>
                <w:sz w:val="25"/>
                <w:szCs w:val="24"/>
              </w:rPr>
            </w:pPr>
            <w:r w:rsidRPr="00F51638">
              <w:rPr>
                <w:rFonts w:ascii="Times New Roman" w:hAnsi="Times New Roman"/>
                <w:color w:val="000000"/>
                <w:kern w:val="0"/>
                <w:sz w:val="25"/>
                <w:szCs w:val="24"/>
              </w:rPr>
              <w:t>30</w:t>
            </w:r>
            <w:r w:rsidRPr="00F51638">
              <w:rPr>
                <w:rFonts w:ascii="Times New Roman" w:hAnsi="Times New Roman" w:hint="eastAsia"/>
                <w:color w:val="000000"/>
                <w:kern w:val="0"/>
                <w:sz w:val="25"/>
                <w:szCs w:val="24"/>
              </w:rPr>
              <w:t>日以上（含）</w:t>
            </w:r>
          </w:p>
        </w:tc>
        <w:tc>
          <w:tcPr>
            <w:tcW w:w="2333" w:type="dxa"/>
          </w:tcPr>
          <w:p w14:paraId="6216F9B7" w14:textId="77777777" w:rsidR="007A253B" w:rsidRPr="00F51638" w:rsidRDefault="007A253B" w:rsidP="00B838DF">
            <w:pPr>
              <w:widowControl/>
              <w:snapToGrid w:val="0"/>
              <w:jc w:val="center"/>
              <w:rPr>
                <w:rFonts w:ascii="Times New Roman" w:hAnsi="Times New Roman"/>
                <w:color w:val="000000"/>
                <w:kern w:val="0"/>
                <w:sz w:val="25"/>
                <w:szCs w:val="24"/>
              </w:rPr>
            </w:pPr>
            <w:r w:rsidRPr="00F51638">
              <w:rPr>
                <w:rFonts w:ascii="Times New Roman" w:hAnsi="Times New Roman"/>
                <w:color w:val="000000"/>
                <w:kern w:val="0"/>
                <w:sz w:val="25"/>
                <w:szCs w:val="24"/>
              </w:rPr>
              <w:t>0</w:t>
            </w:r>
          </w:p>
        </w:tc>
      </w:tr>
    </w:tbl>
    <w:p w14:paraId="33C38D0C" w14:textId="3E73DA09" w:rsidR="007A253B" w:rsidRPr="00F82365" w:rsidRDefault="007A253B" w:rsidP="007A253B">
      <w:pPr>
        <w:autoSpaceDE w:val="0"/>
        <w:autoSpaceDN w:val="0"/>
        <w:adjustRightInd w:val="0"/>
        <w:snapToGrid w:val="0"/>
        <w:spacing w:line="360" w:lineRule="auto"/>
        <w:ind w:firstLineChars="200" w:firstLine="480"/>
        <w:jc w:val="left"/>
        <w:rPr>
          <w:rFonts w:ascii="宋体" w:hAnsi="宋体"/>
          <w:sz w:val="24"/>
        </w:rPr>
      </w:pPr>
    </w:p>
    <w:p w14:paraId="5BC807E8" w14:textId="7D806D0C"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3、基金管理人可以在基金合同约定的范围内调整费率或收费方式，并最迟应于新的费率或收费方式实施日前依照《信息披露办法》的有关规定在</w:t>
      </w:r>
      <w:r w:rsidR="003246BF">
        <w:rPr>
          <w:rFonts w:ascii="宋体" w:hAnsi="宋体"/>
          <w:sz w:val="24"/>
        </w:rPr>
        <w:t>规定媒介</w:t>
      </w:r>
      <w:r>
        <w:rPr>
          <w:rFonts w:ascii="宋体" w:hAnsi="宋体"/>
          <w:sz w:val="24"/>
        </w:rPr>
        <w:t>上公告。</w:t>
      </w:r>
    </w:p>
    <w:p w14:paraId="23E43230"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管理人可以在不违背法律法规规定及基金合同约定的情况下根据市场情况制定基金促销计划，针对投资人定期和不定期地开展基金促销活动。在基金促销活动期间，基金管理人可以按中国证监会要求履行必要手续后，对投资人适当调低基金销售费用。</w:t>
      </w:r>
    </w:p>
    <w:p w14:paraId="04662C4A"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5、当发生大额申购或赎回情形时，基金管理人可以采用摆动定价机制以确保基金估值的公平性。具体处理原则与操作规范遵循相关法律法规以及监管部门、自律规则的规定。</w:t>
      </w:r>
    </w:p>
    <w:p w14:paraId="5EBDC5FB" w14:textId="77777777" w:rsidR="00FB4D29" w:rsidRDefault="00CF4592">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（七）申购和赎回的数额和价格</w:t>
      </w:r>
    </w:p>
    <w:p w14:paraId="316129BE"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1、申购和赎回数额、余额的处理方式</w:t>
      </w:r>
    </w:p>
    <w:p w14:paraId="778B25A7" w14:textId="2C3D92BC"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（1）申购</w:t>
      </w:r>
      <w:r w:rsidR="00A60BCD" w:rsidRPr="00A60BCD">
        <w:rPr>
          <w:rFonts w:ascii="宋体" w:hAnsi="宋体" w:hint="eastAsia"/>
          <w:sz w:val="24"/>
        </w:rPr>
        <w:t>A类基金份额或C类基金份额</w:t>
      </w:r>
      <w:r>
        <w:rPr>
          <w:rFonts w:ascii="宋体" w:hAnsi="宋体"/>
          <w:sz w:val="24"/>
        </w:rPr>
        <w:t>的有效份额为净申购金额除以当日</w:t>
      </w:r>
      <w:r w:rsidR="00A60BCD" w:rsidRPr="00A60BCD">
        <w:rPr>
          <w:rFonts w:ascii="宋体" w:hAnsi="宋体" w:hint="eastAsia"/>
          <w:sz w:val="24"/>
        </w:rPr>
        <w:t>该类基金份额</w:t>
      </w:r>
      <w:r>
        <w:rPr>
          <w:rFonts w:ascii="宋体" w:hAnsi="宋体"/>
          <w:sz w:val="24"/>
        </w:rPr>
        <w:t>的基金份额净值，有效份额单位为份，申购份额计算结果按四舍五入方法，保留到小数点后2位，由此产生的收益或损失由基金财产承担。</w:t>
      </w:r>
    </w:p>
    <w:p w14:paraId="30306A62" w14:textId="4F557445"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（2）赎回金额为按实际确认的</w:t>
      </w:r>
      <w:r w:rsidR="00A60BCD" w:rsidRPr="00A60BCD">
        <w:rPr>
          <w:rFonts w:ascii="宋体" w:hAnsi="宋体" w:hint="eastAsia"/>
          <w:sz w:val="24"/>
        </w:rPr>
        <w:t>A类基金份额</w:t>
      </w:r>
      <w:r w:rsidR="0095704D">
        <w:rPr>
          <w:rFonts w:ascii="宋体" w:hAnsi="宋体" w:hint="eastAsia"/>
          <w:sz w:val="24"/>
        </w:rPr>
        <w:t>和</w:t>
      </w:r>
      <w:r w:rsidR="00A60BCD" w:rsidRPr="00A60BCD">
        <w:rPr>
          <w:rFonts w:ascii="宋体" w:hAnsi="宋体" w:hint="eastAsia"/>
          <w:sz w:val="24"/>
        </w:rPr>
        <w:t>C类基金份额</w:t>
      </w:r>
      <w:r>
        <w:rPr>
          <w:rFonts w:ascii="宋体" w:hAnsi="宋体"/>
          <w:sz w:val="24"/>
        </w:rPr>
        <w:t>有效赎回份额乘以当日</w:t>
      </w:r>
      <w:r w:rsidR="00A60BCD" w:rsidRPr="002122DE">
        <w:rPr>
          <w:rFonts w:ascii="Times New Roman" w:hAnsi="Times New Roman" w:hint="eastAsia"/>
          <w:sz w:val="24"/>
        </w:rPr>
        <w:t>该类</w:t>
      </w:r>
      <w:r>
        <w:rPr>
          <w:rFonts w:ascii="宋体" w:hAnsi="宋体"/>
          <w:sz w:val="24"/>
        </w:rPr>
        <w:t>基金份额净值并扣除相应的费用（如有），赎回金额单位为元。赎回金额计算结果按四舍五入方法，保留到小数点后2位，由此产生的收益或损失由基金财产承担。</w:t>
      </w:r>
    </w:p>
    <w:p w14:paraId="4C6E0F09"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2、申购份额的计算</w:t>
      </w:r>
    </w:p>
    <w:p w14:paraId="7000B66D" w14:textId="77777777" w:rsidR="00A60BCD" w:rsidRDefault="00A60BCD">
      <w:pPr>
        <w:autoSpaceDE w:val="0"/>
        <w:autoSpaceDN w:val="0"/>
        <w:adjustRightInd w:val="0"/>
        <w:snapToGrid w:val="0"/>
        <w:spacing w:line="360" w:lineRule="auto"/>
        <w:ind w:firstLineChars="200" w:firstLine="480"/>
        <w:jc w:val="left"/>
        <w:rPr>
          <w:rFonts w:ascii="宋体" w:hAnsi="宋体"/>
          <w:sz w:val="24"/>
        </w:rPr>
      </w:pPr>
      <w:r w:rsidRPr="00A60BCD">
        <w:rPr>
          <w:rFonts w:ascii="宋体" w:hAnsi="宋体" w:hint="eastAsia"/>
          <w:sz w:val="24"/>
        </w:rPr>
        <w:t>（1）A类基金份额的申购</w:t>
      </w:r>
    </w:p>
    <w:p w14:paraId="3543B984" w14:textId="5715879F"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申购总金额=申请总金额</w:t>
      </w:r>
    </w:p>
    <w:p w14:paraId="0230D05A"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净申购金额=申购总金额/（1+申购费率）</w:t>
      </w:r>
    </w:p>
    <w:p w14:paraId="25B5C68B"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（注：对于适用固定金额申购费用的申购，净申购金额＝申购总金额－固定申购费用金额）</w:t>
      </w:r>
    </w:p>
    <w:p w14:paraId="498E7EAA"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申购费用=申购总金额-净申购金额</w:t>
      </w:r>
    </w:p>
    <w:p w14:paraId="7A9E2B20"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（注：对于适用固定金额申购费用的申购，申购费用＝固定申购费用金额）</w:t>
      </w:r>
    </w:p>
    <w:p w14:paraId="20E975FE" w14:textId="60F82C5A"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申购份额=（申购总金额-申购费用）/ T日</w:t>
      </w:r>
      <w:r w:rsidR="00A60BCD" w:rsidRPr="00A60BCD">
        <w:rPr>
          <w:rFonts w:ascii="宋体" w:hAnsi="宋体" w:hint="eastAsia"/>
          <w:sz w:val="24"/>
        </w:rPr>
        <w:t>A类</w:t>
      </w:r>
      <w:r>
        <w:rPr>
          <w:rFonts w:ascii="宋体" w:hAnsi="宋体"/>
          <w:sz w:val="24"/>
        </w:rPr>
        <w:t>基金份额净值</w:t>
      </w:r>
    </w:p>
    <w:p w14:paraId="3760656B" w14:textId="1C5A4AA5"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例</w:t>
      </w:r>
      <w:r w:rsidR="00AB72E0">
        <w:rPr>
          <w:rFonts w:ascii="宋体" w:hAnsi="宋体" w:hint="eastAsia"/>
          <w:sz w:val="24"/>
        </w:rPr>
        <w:t>一</w:t>
      </w:r>
      <w:r>
        <w:rPr>
          <w:rFonts w:ascii="宋体" w:hAnsi="宋体"/>
          <w:sz w:val="24"/>
        </w:rPr>
        <w:t>：某投资者（非养老金客户）投资40,000元申购本基金</w:t>
      </w:r>
      <w:r w:rsidR="00A60BCD" w:rsidRPr="00A60BCD">
        <w:rPr>
          <w:rFonts w:ascii="宋体" w:hAnsi="宋体" w:hint="eastAsia"/>
          <w:sz w:val="24"/>
        </w:rPr>
        <w:t>A类基金份额</w:t>
      </w:r>
      <w:r>
        <w:rPr>
          <w:rFonts w:ascii="宋体" w:hAnsi="宋体"/>
          <w:sz w:val="24"/>
        </w:rPr>
        <w:t>，假设申购当日</w:t>
      </w:r>
      <w:r w:rsidR="00A60BCD">
        <w:rPr>
          <w:rFonts w:ascii="宋体" w:hAnsi="宋体" w:hint="eastAsia"/>
          <w:sz w:val="24"/>
        </w:rPr>
        <w:t>A类</w:t>
      </w:r>
      <w:r>
        <w:rPr>
          <w:rFonts w:ascii="宋体" w:hAnsi="宋体"/>
          <w:sz w:val="24"/>
        </w:rPr>
        <w:t>基金份额净值为1.0400元，申购费率为1.5%，则其可得到的申购份额为：</w:t>
      </w:r>
    </w:p>
    <w:p w14:paraId="081F930A"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申购总金额＝40,000元</w:t>
      </w:r>
    </w:p>
    <w:p w14:paraId="3E589FF4"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净申购金额=40,000/（1+1.5%）=39,408.87元</w:t>
      </w:r>
    </w:p>
    <w:p w14:paraId="68FD2BC1"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申购费用=40,000-39,408.87=591.13元</w:t>
      </w:r>
    </w:p>
    <w:p w14:paraId="53847C54"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申购份额=（40,000-591.13）/1.0400=37,893.14份</w:t>
      </w:r>
    </w:p>
    <w:p w14:paraId="1CA28DF7" w14:textId="732B7823"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即：某投资者（非养老金客户）投资40,000元申购本基金</w:t>
      </w:r>
      <w:r w:rsidR="00A60BCD">
        <w:rPr>
          <w:rFonts w:ascii="宋体" w:hAnsi="宋体" w:hint="eastAsia"/>
          <w:sz w:val="24"/>
        </w:rPr>
        <w:t>A类基金份额</w:t>
      </w:r>
      <w:r>
        <w:rPr>
          <w:rFonts w:ascii="宋体" w:hAnsi="宋体"/>
          <w:sz w:val="24"/>
        </w:rPr>
        <w:t>，假设申购当日</w:t>
      </w:r>
      <w:r w:rsidR="00AB65A5">
        <w:rPr>
          <w:rFonts w:ascii="宋体" w:hAnsi="宋体" w:hint="eastAsia"/>
          <w:sz w:val="24"/>
        </w:rPr>
        <w:t>A类</w:t>
      </w:r>
      <w:r>
        <w:rPr>
          <w:rFonts w:ascii="宋体" w:hAnsi="宋体"/>
          <w:sz w:val="24"/>
        </w:rPr>
        <w:t>基金份额净值为1.0400元，则其可得到37,893.14份</w:t>
      </w:r>
      <w:r w:rsidR="00AB65A5">
        <w:rPr>
          <w:rFonts w:ascii="宋体" w:hAnsi="宋体" w:hint="eastAsia"/>
          <w:sz w:val="24"/>
        </w:rPr>
        <w:t>A类</w:t>
      </w:r>
      <w:r>
        <w:rPr>
          <w:rFonts w:ascii="宋体" w:hAnsi="宋体"/>
          <w:sz w:val="24"/>
        </w:rPr>
        <w:t>基金份额。</w:t>
      </w:r>
    </w:p>
    <w:p w14:paraId="232D0257" w14:textId="4EEE4BAC"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例</w:t>
      </w:r>
      <w:r w:rsidR="00AB72E0">
        <w:rPr>
          <w:rFonts w:ascii="宋体" w:hAnsi="宋体" w:hint="eastAsia"/>
          <w:sz w:val="24"/>
        </w:rPr>
        <w:t>二</w:t>
      </w:r>
      <w:r>
        <w:rPr>
          <w:rFonts w:ascii="宋体" w:hAnsi="宋体"/>
          <w:sz w:val="24"/>
        </w:rPr>
        <w:t>：某养老金客户投资100,000元通过基金管理人的直销柜台申购本基金</w:t>
      </w:r>
      <w:r w:rsidR="00AB65A5">
        <w:rPr>
          <w:rFonts w:ascii="宋体" w:hAnsi="宋体" w:hint="eastAsia"/>
          <w:sz w:val="24"/>
        </w:rPr>
        <w:t>A类基金份额</w:t>
      </w:r>
      <w:r>
        <w:rPr>
          <w:rFonts w:ascii="宋体" w:hAnsi="宋体"/>
          <w:sz w:val="24"/>
        </w:rPr>
        <w:t>，假设申购当日</w:t>
      </w:r>
      <w:r w:rsidR="00AB65A5">
        <w:rPr>
          <w:rFonts w:ascii="宋体" w:hAnsi="宋体" w:hint="eastAsia"/>
          <w:sz w:val="24"/>
        </w:rPr>
        <w:t>A类</w:t>
      </w:r>
      <w:r>
        <w:rPr>
          <w:rFonts w:ascii="宋体" w:hAnsi="宋体"/>
          <w:sz w:val="24"/>
        </w:rPr>
        <w:t>基金份额净值为1.0400元，申购费率为0.6%，则其可得到的申购份额为：</w:t>
      </w:r>
    </w:p>
    <w:p w14:paraId="10BF93A2"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申购总金额＝100,000元</w:t>
      </w:r>
    </w:p>
    <w:p w14:paraId="208F6108"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净申购金额=100,000/（1+0.6%）=99,403.58元</w:t>
      </w:r>
    </w:p>
    <w:p w14:paraId="378A25B5"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申购费用=100,000-99,403.58=596.42元</w:t>
      </w:r>
    </w:p>
    <w:p w14:paraId="49D55444"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申购份额=（100,000-596.42）/1.0400=95,580.37份</w:t>
      </w:r>
    </w:p>
    <w:p w14:paraId="180E816F" w14:textId="3F44DEB9"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即：该养老金客户投资100,000元通过基金管理人的直销柜台申购本基金</w:t>
      </w:r>
      <w:r w:rsidR="002E4379">
        <w:rPr>
          <w:rFonts w:ascii="宋体" w:hAnsi="宋体" w:hint="eastAsia"/>
          <w:sz w:val="24"/>
        </w:rPr>
        <w:t>A类基金份额</w:t>
      </w:r>
      <w:r>
        <w:rPr>
          <w:rFonts w:ascii="宋体" w:hAnsi="宋体"/>
          <w:sz w:val="24"/>
        </w:rPr>
        <w:t>，假设申购当日</w:t>
      </w:r>
      <w:r w:rsidR="002E4379">
        <w:rPr>
          <w:rFonts w:ascii="宋体" w:hAnsi="宋体" w:hint="eastAsia"/>
          <w:sz w:val="24"/>
        </w:rPr>
        <w:t>A类</w:t>
      </w:r>
      <w:r>
        <w:rPr>
          <w:rFonts w:ascii="宋体" w:hAnsi="宋体"/>
          <w:sz w:val="24"/>
        </w:rPr>
        <w:t>基金份额净值为1.0400元，则其可得到95,580.37份</w:t>
      </w:r>
      <w:r w:rsidR="002E4379">
        <w:rPr>
          <w:rFonts w:ascii="宋体" w:hAnsi="宋体" w:hint="eastAsia"/>
          <w:sz w:val="24"/>
        </w:rPr>
        <w:t>A类</w:t>
      </w:r>
      <w:r>
        <w:rPr>
          <w:rFonts w:ascii="宋体" w:hAnsi="宋体"/>
          <w:sz w:val="24"/>
        </w:rPr>
        <w:t>基金份额。</w:t>
      </w:r>
    </w:p>
    <w:p w14:paraId="68625747" w14:textId="77777777" w:rsidR="00AB72E0" w:rsidRPr="00AB72E0" w:rsidRDefault="00AB72E0" w:rsidP="00AB72E0">
      <w:pPr>
        <w:autoSpaceDE w:val="0"/>
        <w:autoSpaceDN w:val="0"/>
        <w:adjustRightInd w:val="0"/>
        <w:snapToGrid w:val="0"/>
        <w:spacing w:line="360" w:lineRule="auto"/>
        <w:ind w:firstLineChars="200" w:firstLine="480"/>
        <w:jc w:val="left"/>
        <w:rPr>
          <w:rFonts w:ascii="宋体" w:hAnsi="宋体"/>
          <w:sz w:val="24"/>
        </w:rPr>
      </w:pPr>
      <w:r w:rsidRPr="00AB72E0">
        <w:rPr>
          <w:rFonts w:ascii="宋体" w:hAnsi="宋体" w:hint="eastAsia"/>
          <w:sz w:val="24"/>
        </w:rPr>
        <w:t>（2）C类基金份额的申购</w:t>
      </w:r>
    </w:p>
    <w:p w14:paraId="1FBB2320" w14:textId="77777777" w:rsidR="00AB72E0" w:rsidRPr="00AB72E0" w:rsidRDefault="00AB72E0" w:rsidP="00AB72E0">
      <w:pPr>
        <w:autoSpaceDE w:val="0"/>
        <w:autoSpaceDN w:val="0"/>
        <w:adjustRightInd w:val="0"/>
        <w:snapToGrid w:val="0"/>
        <w:spacing w:line="360" w:lineRule="auto"/>
        <w:ind w:firstLineChars="200" w:firstLine="480"/>
        <w:jc w:val="left"/>
        <w:rPr>
          <w:rFonts w:ascii="宋体" w:hAnsi="宋体"/>
          <w:sz w:val="24"/>
        </w:rPr>
      </w:pPr>
      <w:r w:rsidRPr="00AB72E0">
        <w:rPr>
          <w:rFonts w:ascii="宋体" w:hAnsi="宋体" w:hint="eastAsia"/>
          <w:sz w:val="24"/>
        </w:rPr>
        <w:t>如果投资者选择申购C类基金份额，则申购份额的计算方法如下：</w:t>
      </w:r>
    </w:p>
    <w:p w14:paraId="3A4A66C3" w14:textId="77777777" w:rsidR="00AB72E0" w:rsidRPr="00AB72E0" w:rsidRDefault="00AB72E0" w:rsidP="00AB72E0">
      <w:pPr>
        <w:autoSpaceDE w:val="0"/>
        <w:autoSpaceDN w:val="0"/>
        <w:adjustRightInd w:val="0"/>
        <w:snapToGrid w:val="0"/>
        <w:spacing w:line="360" w:lineRule="auto"/>
        <w:ind w:firstLineChars="200" w:firstLine="480"/>
        <w:jc w:val="left"/>
        <w:rPr>
          <w:rFonts w:ascii="宋体" w:hAnsi="宋体"/>
          <w:sz w:val="24"/>
        </w:rPr>
      </w:pPr>
      <w:r w:rsidRPr="00AB72E0">
        <w:rPr>
          <w:rFonts w:ascii="宋体" w:hAnsi="宋体" w:hint="eastAsia"/>
          <w:sz w:val="24"/>
        </w:rPr>
        <w:t>申购份额=申购总金额/T日C类基金份额净值</w:t>
      </w:r>
    </w:p>
    <w:p w14:paraId="53552327" w14:textId="3E0B8861" w:rsidR="00AB72E0" w:rsidRPr="00AB72E0" w:rsidRDefault="00AB72E0" w:rsidP="00AB72E0">
      <w:pPr>
        <w:autoSpaceDE w:val="0"/>
        <w:autoSpaceDN w:val="0"/>
        <w:adjustRightInd w:val="0"/>
        <w:snapToGrid w:val="0"/>
        <w:spacing w:line="360" w:lineRule="auto"/>
        <w:ind w:firstLineChars="200" w:firstLine="480"/>
        <w:jc w:val="left"/>
        <w:rPr>
          <w:rFonts w:ascii="宋体" w:hAnsi="宋体"/>
          <w:sz w:val="24"/>
        </w:rPr>
      </w:pPr>
      <w:r>
        <w:rPr>
          <w:rFonts w:ascii="宋体" w:hAnsi="宋体" w:hint="eastAsia"/>
          <w:sz w:val="24"/>
        </w:rPr>
        <w:t>例三</w:t>
      </w:r>
      <w:r w:rsidRPr="00AB72E0">
        <w:rPr>
          <w:rFonts w:ascii="宋体" w:hAnsi="宋体" w:hint="eastAsia"/>
          <w:sz w:val="24"/>
        </w:rPr>
        <w:t>：某投资者投资100,000元申购本基金的C类基金份额，假设申购当日C类基金份额净值为1.0400元，则其可得到的申购份额为：</w:t>
      </w:r>
    </w:p>
    <w:p w14:paraId="0432609E" w14:textId="77777777" w:rsidR="00AB72E0" w:rsidRPr="00AB72E0" w:rsidRDefault="00AB72E0" w:rsidP="00AB72E0">
      <w:pPr>
        <w:autoSpaceDE w:val="0"/>
        <w:autoSpaceDN w:val="0"/>
        <w:adjustRightInd w:val="0"/>
        <w:snapToGrid w:val="0"/>
        <w:spacing w:line="360" w:lineRule="auto"/>
        <w:ind w:firstLineChars="200" w:firstLine="480"/>
        <w:jc w:val="left"/>
        <w:rPr>
          <w:rFonts w:ascii="宋体" w:hAnsi="宋体"/>
          <w:sz w:val="24"/>
        </w:rPr>
      </w:pPr>
      <w:r w:rsidRPr="00AB72E0">
        <w:rPr>
          <w:rFonts w:ascii="宋体" w:hAnsi="宋体" w:hint="eastAsia"/>
          <w:sz w:val="24"/>
        </w:rPr>
        <w:t>申购份额＝100,000/1.0400＝96,153.85份</w:t>
      </w:r>
    </w:p>
    <w:p w14:paraId="3342411A" w14:textId="77777777" w:rsidR="00AB72E0" w:rsidRDefault="00AB72E0" w:rsidP="00AB72E0">
      <w:pPr>
        <w:autoSpaceDE w:val="0"/>
        <w:autoSpaceDN w:val="0"/>
        <w:adjustRightInd w:val="0"/>
        <w:snapToGrid w:val="0"/>
        <w:spacing w:line="360" w:lineRule="auto"/>
        <w:ind w:firstLineChars="200" w:firstLine="480"/>
        <w:jc w:val="left"/>
        <w:rPr>
          <w:rFonts w:ascii="宋体" w:hAnsi="宋体"/>
          <w:sz w:val="24"/>
        </w:rPr>
      </w:pPr>
      <w:r w:rsidRPr="00AB72E0">
        <w:rPr>
          <w:rFonts w:ascii="宋体" w:hAnsi="宋体" w:hint="eastAsia"/>
          <w:sz w:val="24"/>
        </w:rPr>
        <w:t>即：投资者投资100,000元申购本基金的C类基金份额，假设申购当日C类基金份额净值为1.0400元，则其可得到96,153.85份C类基金份额。</w:t>
      </w:r>
    </w:p>
    <w:p w14:paraId="7F8832CC" w14:textId="7C85C778" w:rsidR="00FB4D29" w:rsidRDefault="00CF4592" w:rsidP="00AB72E0">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3、赎回金额的计算</w:t>
      </w:r>
    </w:p>
    <w:p w14:paraId="2711B425" w14:textId="740EFDBD"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赎回金额为按实际确认的</w:t>
      </w:r>
      <w:r w:rsidR="002D330D" w:rsidRPr="002D330D">
        <w:rPr>
          <w:rFonts w:ascii="宋体" w:hAnsi="宋体" w:hint="eastAsia"/>
          <w:sz w:val="24"/>
        </w:rPr>
        <w:t>A类基金份额</w:t>
      </w:r>
      <w:r w:rsidR="005D1093">
        <w:rPr>
          <w:rFonts w:ascii="宋体" w:hAnsi="宋体" w:hint="eastAsia"/>
          <w:sz w:val="24"/>
        </w:rPr>
        <w:t>和</w:t>
      </w:r>
      <w:r w:rsidR="002D330D" w:rsidRPr="002D330D">
        <w:rPr>
          <w:rFonts w:ascii="宋体" w:hAnsi="宋体" w:hint="eastAsia"/>
          <w:sz w:val="24"/>
        </w:rPr>
        <w:t>C类基金份额</w:t>
      </w:r>
      <w:r>
        <w:rPr>
          <w:rFonts w:ascii="宋体" w:hAnsi="宋体"/>
          <w:sz w:val="24"/>
        </w:rPr>
        <w:t>有效赎回份额乘以当日</w:t>
      </w:r>
      <w:r w:rsidR="002D330D">
        <w:rPr>
          <w:rFonts w:ascii="Times New Roman" w:hAnsi="Times New Roman" w:hint="eastAsia"/>
          <w:sz w:val="24"/>
        </w:rPr>
        <w:t>该类</w:t>
      </w:r>
      <w:r>
        <w:rPr>
          <w:rFonts w:ascii="宋体" w:hAnsi="宋体"/>
          <w:sz w:val="24"/>
        </w:rPr>
        <w:t>基金份额净值并扣除相应的费用</w:t>
      </w:r>
      <w:r w:rsidR="002D330D" w:rsidRPr="002D330D">
        <w:rPr>
          <w:rFonts w:ascii="宋体" w:hAnsi="宋体" w:hint="eastAsia"/>
          <w:sz w:val="24"/>
        </w:rPr>
        <w:t>（如有）</w:t>
      </w:r>
      <w:r>
        <w:rPr>
          <w:rFonts w:ascii="宋体" w:hAnsi="宋体"/>
          <w:sz w:val="24"/>
        </w:rPr>
        <w:t>，赎回金额单位为元，计算结果保留到</w:t>
      </w:r>
      <w:r>
        <w:rPr>
          <w:rFonts w:ascii="宋体" w:hAnsi="宋体"/>
          <w:sz w:val="24"/>
        </w:rPr>
        <w:lastRenderedPageBreak/>
        <w:t>小数点后两位，第三位四舍五入。</w:t>
      </w:r>
    </w:p>
    <w:p w14:paraId="19315CD5" w14:textId="77777777" w:rsidR="002D330D" w:rsidRPr="002D330D" w:rsidRDefault="002D330D" w:rsidP="002D330D">
      <w:pPr>
        <w:autoSpaceDE w:val="0"/>
        <w:autoSpaceDN w:val="0"/>
        <w:adjustRightInd w:val="0"/>
        <w:snapToGrid w:val="0"/>
        <w:spacing w:line="360" w:lineRule="auto"/>
        <w:ind w:firstLineChars="200" w:firstLine="480"/>
        <w:jc w:val="left"/>
        <w:rPr>
          <w:rFonts w:ascii="宋体" w:hAnsi="宋体"/>
          <w:sz w:val="24"/>
        </w:rPr>
      </w:pPr>
      <w:r w:rsidRPr="002D330D">
        <w:rPr>
          <w:rFonts w:ascii="宋体" w:hAnsi="宋体" w:hint="eastAsia"/>
          <w:sz w:val="24"/>
        </w:rPr>
        <w:t>（1）A类基金份额的赎回</w:t>
      </w:r>
    </w:p>
    <w:p w14:paraId="6D38C8FA" w14:textId="15C30E87" w:rsidR="00FB4D29" w:rsidRDefault="002D330D" w:rsidP="002D330D">
      <w:pPr>
        <w:autoSpaceDE w:val="0"/>
        <w:autoSpaceDN w:val="0"/>
        <w:adjustRightInd w:val="0"/>
        <w:snapToGrid w:val="0"/>
        <w:spacing w:line="360" w:lineRule="auto"/>
        <w:ind w:firstLineChars="200" w:firstLine="480"/>
        <w:jc w:val="left"/>
        <w:rPr>
          <w:rFonts w:ascii="宋体" w:hAnsi="宋体"/>
          <w:szCs w:val="24"/>
        </w:rPr>
      </w:pPr>
      <w:r w:rsidRPr="002D330D">
        <w:rPr>
          <w:rFonts w:ascii="宋体" w:hAnsi="宋体" w:hint="eastAsia"/>
          <w:sz w:val="24"/>
        </w:rPr>
        <w:t>投资者赎回A类基金份额，</w:t>
      </w:r>
      <w:r w:rsidR="00CF4592">
        <w:rPr>
          <w:rFonts w:ascii="宋体" w:hAnsi="宋体"/>
          <w:sz w:val="24"/>
        </w:rPr>
        <w:t>赎回金额的计算方法如下：</w:t>
      </w:r>
    </w:p>
    <w:p w14:paraId="36832159" w14:textId="7D53A35D"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赎回费用=赎回份额×T日</w:t>
      </w:r>
      <w:r w:rsidR="002D330D" w:rsidRPr="002D330D">
        <w:rPr>
          <w:rFonts w:ascii="宋体" w:hAnsi="宋体" w:hint="eastAsia"/>
          <w:sz w:val="24"/>
        </w:rPr>
        <w:t>A类</w:t>
      </w:r>
      <w:r>
        <w:rPr>
          <w:rFonts w:ascii="宋体" w:hAnsi="宋体"/>
          <w:sz w:val="24"/>
        </w:rPr>
        <w:t>基金份额净值×赎回费率</w:t>
      </w:r>
    </w:p>
    <w:p w14:paraId="5FA316FE" w14:textId="54697099"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赎回金额=赎回份额×T日</w:t>
      </w:r>
      <w:r w:rsidR="002D330D" w:rsidRPr="002D330D">
        <w:rPr>
          <w:rFonts w:ascii="宋体" w:hAnsi="宋体" w:hint="eastAsia"/>
          <w:sz w:val="24"/>
        </w:rPr>
        <w:t>A类</w:t>
      </w:r>
      <w:r>
        <w:rPr>
          <w:rFonts w:ascii="宋体" w:hAnsi="宋体"/>
          <w:sz w:val="24"/>
        </w:rPr>
        <w:t>基金份额净值-赎回费用</w:t>
      </w:r>
    </w:p>
    <w:p w14:paraId="0EB5E8F1" w14:textId="7E2931F8"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例</w:t>
      </w:r>
      <w:r w:rsidR="002D330D">
        <w:rPr>
          <w:rFonts w:ascii="宋体" w:hAnsi="宋体" w:hint="eastAsia"/>
          <w:sz w:val="24"/>
        </w:rPr>
        <w:t>四</w:t>
      </w:r>
      <w:r>
        <w:rPr>
          <w:rFonts w:ascii="宋体" w:hAnsi="宋体"/>
          <w:sz w:val="24"/>
        </w:rPr>
        <w:t>：某投资者赎回持有的10,000份</w:t>
      </w:r>
      <w:r w:rsidR="002D330D" w:rsidRPr="002D330D">
        <w:rPr>
          <w:rFonts w:ascii="宋体" w:hAnsi="宋体" w:hint="eastAsia"/>
          <w:sz w:val="24"/>
        </w:rPr>
        <w:t>A类</w:t>
      </w:r>
      <w:r>
        <w:rPr>
          <w:rFonts w:ascii="宋体" w:hAnsi="宋体"/>
          <w:sz w:val="24"/>
        </w:rPr>
        <w:t>基金份额，持有期限为30日，对应的赎回费率为0.5%，假设赎回当日</w:t>
      </w:r>
      <w:r w:rsidR="002D330D" w:rsidRPr="002D330D">
        <w:rPr>
          <w:rFonts w:ascii="宋体" w:hAnsi="宋体" w:hint="eastAsia"/>
          <w:sz w:val="24"/>
        </w:rPr>
        <w:t>A类</w:t>
      </w:r>
      <w:r>
        <w:rPr>
          <w:rFonts w:ascii="宋体" w:hAnsi="宋体"/>
          <w:sz w:val="24"/>
        </w:rPr>
        <w:t>基金份额净值是1.0160元，则其可得到的赎回金额为：</w:t>
      </w:r>
    </w:p>
    <w:p w14:paraId="73B610C8"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赎回费用 = 10,000×1.0160×0.5% ＝ 50.80元</w:t>
      </w:r>
    </w:p>
    <w:p w14:paraId="2AAEC171"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赎回金额 = 10,000×1.0160-50.80 ＝ 10,109.20元</w:t>
      </w:r>
    </w:p>
    <w:p w14:paraId="0D3FDE67" w14:textId="769629BF"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即：投资者赎回本基金10,000份</w:t>
      </w:r>
      <w:r w:rsidR="002D330D" w:rsidRPr="002D330D">
        <w:rPr>
          <w:rFonts w:ascii="宋体" w:hAnsi="宋体" w:hint="eastAsia"/>
          <w:sz w:val="24"/>
        </w:rPr>
        <w:t>A类</w:t>
      </w:r>
      <w:r>
        <w:rPr>
          <w:rFonts w:ascii="宋体" w:hAnsi="宋体"/>
          <w:sz w:val="24"/>
        </w:rPr>
        <w:t>基金份额，对应的赎回费率为0.5%，假设赎回当日</w:t>
      </w:r>
      <w:r w:rsidR="002D330D" w:rsidRPr="002D330D">
        <w:rPr>
          <w:rFonts w:ascii="宋体" w:hAnsi="宋体" w:hint="eastAsia"/>
          <w:sz w:val="24"/>
        </w:rPr>
        <w:t>A类</w:t>
      </w:r>
      <w:r>
        <w:rPr>
          <w:rFonts w:ascii="宋体" w:hAnsi="宋体"/>
          <w:sz w:val="24"/>
        </w:rPr>
        <w:t>基金份额净值是1.0160元，则其可得到的赎回金额为10,109.20元。</w:t>
      </w:r>
    </w:p>
    <w:p w14:paraId="661B9C3C" w14:textId="77777777" w:rsidR="002D330D" w:rsidRPr="002D330D" w:rsidRDefault="002D330D" w:rsidP="002D330D">
      <w:pPr>
        <w:autoSpaceDE w:val="0"/>
        <w:autoSpaceDN w:val="0"/>
        <w:adjustRightInd w:val="0"/>
        <w:snapToGrid w:val="0"/>
        <w:spacing w:line="360" w:lineRule="auto"/>
        <w:ind w:firstLineChars="200" w:firstLine="480"/>
        <w:jc w:val="left"/>
        <w:rPr>
          <w:rFonts w:ascii="宋体" w:hAnsi="宋体"/>
          <w:sz w:val="24"/>
        </w:rPr>
      </w:pPr>
      <w:r w:rsidRPr="002D330D">
        <w:rPr>
          <w:rFonts w:ascii="宋体" w:hAnsi="宋体" w:hint="eastAsia"/>
          <w:sz w:val="24"/>
        </w:rPr>
        <w:t>（2）C类基金份额的赎回</w:t>
      </w:r>
    </w:p>
    <w:p w14:paraId="4C458762" w14:textId="77777777" w:rsidR="002D330D" w:rsidRPr="002D330D" w:rsidRDefault="002D330D" w:rsidP="002D330D">
      <w:pPr>
        <w:autoSpaceDE w:val="0"/>
        <w:autoSpaceDN w:val="0"/>
        <w:adjustRightInd w:val="0"/>
        <w:snapToGrid w:val="0"/>
        <w:spacing w:line="360" w:lineRule="auto"/>
        <w:ind w:firstLineChars="200" w:firstLine="480"/>
        <w:jc w:val="left"/>
        <w:rPr>
          <w:rFonts w:ascii="宋体" w:hAnsi="宋体"/>
          <w:sz w:val="24"/>
        </w:rPr>
      </w:pPr>
      <w:r w:rsidRPr="002D330D">
        <w:rPr>
          <w:rFonts w:ascii="宋体" w:hAnsi="宋体" w:hint="eastAsia"/>
          <w:sz w:val="24"/>
        </w:rPr>
        <w:t>投资者赎回C类基金份额，赎回金额的计算方法如下：</w:t>
      </w:r>
    </w:p>
    <w:p w14:paraId="22678F6C" w14:textId="77777777" w:rsidR="002D330D" w:rsidRPr="002D330D" w:rsidRDefault="002D330D" w:rsidP="002D330D">
      <w:pPr>
        <w:autoSpaceDE w:val="0"/>
        <w:autoSpaceDN w:val="0"/>
        <w:adjustRightInd w:val="0"/>
        <w:snapToGrid w:val="0"/>
        <w:spacing w:line="360" w:lineRule="auto"/>
        <w:ind w:firstLineChars="200" w:firstLine="480"/>
        <w:jc w:val="left"/>
        <w:rPr>
          <w:rFonts w:ascii="宋体" w:hAnsi="宋体"/>
          <w:sz w:val="24"/>
        </w:rPr>
      </w:pPr>
      <w:r w:rsidRPr="002D330D">
        <w:rPr>
          <w:rFonts w:ascii="宋体" w:hAnsi="宋体" w:hint="eastAsia"/>
          <w:sz w:val="24"/>
        </w:rPr>
        <w:t>赎回费用=赎回份额×T日C类基金份额净值×赎回费率</w:t>
      </w:r>
    </w:p>
    <w:p w14:paraId="79F5ED62" w14:textId="77777777" w:rsidR="002D330D" w:rsidRPr="002D330D" w:rsidRDefault="002D330D" w:rsidP="002D330D">
      <w:pPr>
        <w:autoSpaceDE w:val="0"/>
        <w:autoSpaceDN w:val="0"/>
        <w:adjustRightInd w:val="0"/>
        <w:snapToGrid w:val="0"/>
        <w:spacing w:line="360" w:lineRule="auto"/>
        <w:ind w:firstLineChars="200" w:firstLine="480"/>
        <w:jc w:val="left"/>
        <w:rPr>
          <w:rFonts w:ascii="宋体" w:hAnsi="宋体"/>
          <w:sz w:val="24"/>
        </w:rPr>
      </w:pPr>
      <w:r w:rsidRPr="002D330D">
        <w:rPr>
          <w:rFonts w:ascii="宋体" w:hAnsi="宋体" w:hint="eastAsia"/>
          <w:sz w:val="24"/>
        </w:rPr>
        <w:t>赎回金额=赎回份额×T日C类基金份额净值-赎回费用</w:t>
      </w:r>
    </w:p>
    <w:p w14:paraId="6AA0CFEB" w14:textId="77777777" w:rsidR="002D330D" w:rsidRPr="002D330D" w:rsidRDefault="002D330D" w:rsidP="002D330D">
      <w:pPr>
        <w:autoSpaceDE w:val="0"/>
        <w:autoSpaceDN w:val="0"/>
        <w:adjustRightInd w:val="0"/>
        <w:snapToGrid w:val="0"/>
        <w:spacing w:line="360" w:lineRule="auto"/>
        <w:ind w:firstLineChars="200" w:firstLine="480"/>
        <w:jc w:val="left"/>
        <w:rPr>
          <w:rFonts w:ascii="宋体" w:hAnsi="宋体"/>
          <w:sz w:val="24"/>
        </w:rPr>
      </w:pPr>
      <w:r w:rsidRPr="002D330D">
        <w:rPr>
          <w:rFonts w:ascii="宋体" w:hAnsi="宋体" w:hint="eastAsia"/>
          <w:sz w:val="24"/>
        </w:rPr>
        <w:t>例五：某投资者赎回10,000份C类基金份额，持有期限为20日，对应的赎回费率为0.5%，假设赎回当日C类基金份额净值是1.0160元，则其可得到的赎回金额为：</w:t>
      </w:r>
    </w:p>
    <w:p w14:paraId="36556C5F" w14:textId="77777777" w:rsidR="002D330D" w:rsidRPr="002D330D" w:rsidRDefault="002D330D" w:rsidP="002D330D">
      <w:pPr>
        <w:autoSpaceDE w:val="0"/>
        <w:autoSpaceDN w:val="0"/>
        <w:adjustRightInd w:val="0"/>
        <w:snapToGrid w:val="0"/>
        <w:spacing w:line="360" w:lineRule="auto"/>
        <w:ind w:firstLineChars="200" w:firstLine="480"/>
        <w:jc w:val="left"/>
        <w:rPr>
          <w:rFonts w:ascii="宋体" w:hAnsi="宋体"/>
          <w:sz w:val="24"/>
        </w:rPr>
      </w:pPr>
      <w:r w:rsidRPr="002D330D">
        <w:rPr>
          <w:rFonts w:ascii="宋体" w:hAnsi="宋体" w:hint="eastAsia"/>
          <w:sz w:val="24"/>
        </w:rPr>
        <w:t>赎回费用=10,000×1.0160×0.5%＝50.80元</w:t>
      </w:r>
    </w:p>
    <w:p w14:paraId="062B57F9" w14:textId="77777777" w:rsidR="002D330D" w:rsidRPr="002D330D" w:rsidRDefault="002D330D" w:rsidP="002D330D">
      <w:pPr>
        <w:autoSpaceDE w:val="0"/>
        <w:autoSpaceDN w:val="0"/>
        <w:adjustRightInd w:val="0"/>
        <w:snapToGrid w:val="0"/>
        <w:spacing w:line="360" w:lineRule="auto"/>
        <w:ind w:firstLineChars="200" w:firstLine="480"/>
        <w:jc w:val="left"/>
        <w:rPr>
          <w:rFonts w:ascii="宋体" w:hAnsi="宋体"/>
          <w:sz w:val="24"/>
        </w:rPr>
      </w:pPr>
      <w:r w:rsidRPr="002D330D">
        <w:rPr>
          <w:rFonts w:ascii="宋体" w:hAnsi="宋体" w:hint="eastAsia"/>
          <w:sz w:val="24"/>
        </w:rPr>
        <w:t>赎回金额=10,000×1.0160-50.80＝10,109.20元</w:t>
      </w:r>
    </w:p>
    <w:p w14:paraId="32222B3E" w14:textId="77777777" w:rsidR="002D330D" w:rsidRDefault="002D330D" w:rsidP="002D330D">
      <w:pPr>
        <w:autoSpaceDE w:val="0"/>
        <w:autoSpaceDN w:val="0"/>
        <w:adjustRightInd w:val="0"/>
        <w:snapToGrid w:val="0"/>
        <w:spacing w:line="360" w:lineRule="auto"/>
        <w:ind w:firstLineChars="200" w:firstLine="480"/>
        <w:jc w:val="left"/>
        <w:rPr>
          <w:rFonts w:ascii="宋体" w:hAnsi="宋体"/>
          <w:sz w:val="24"/>
        </w:rPr>
      </w:pPr>
      <w:r w:rsidRPr="002D330D">
        <w:rPr>
          <w:rFonts w:ascii="宋体" w:hAnsi="宋体" w:hint="eastAsia"/>
          <w:sz w:val="24"/>
        </w:rPr>
        <w:t>即：投资者赎回10,000份C类基金份额，持有期限为20日，对应的赎回费率为0.5%，假设赎回当日C类基金份额净值是1.0160元，则其可得到的赎回金额为10,109.20元。</w:t>
      </w:r>
    </w:p>
    <w:p w14:paraId="6643BA6E" w14:textId="6F1C7785" w:rsidR="00FB4D29" w:rsidRDefault="00CF4592" w:rsidP="002D330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4、基金份额净值的计算公式</w:t>
      </w:r>
    </w:p>
    <w:p w14:paraId="4F5403D3" w14:textId="2075C19B" w:rsidR="00FB4D29" w:rsidRDefault="002D330D">
      <w:pPr>
        <w:autoSpaceDE w:val="0"/>
        <w:autoSpaceDN w:val="0"/>
        <w:adjustRightInd w:val="0"/>
        <w:snapToGrid w:val="0"/>
        <w:spacing w:line="360" w:lineRule="auto"/>
        <w:ind w:firstLineChars="200" w:firstLine="480"/>
        <w:jc w:val="left"/>
        <w:rPr>
          <w:rFonts w:ascii="宋体" w:hAnsi="宋体"/>
          <w:sz w:val="24"/>
        </w:rPr>
      </w:pPr>
      <w:r w:rsidRPr="002D330D">
        <w:rPr>
          <w:rFonts w:ascii="宋体" w:hAnsi="宋体" w:hint="eastAsia"/>
          <w:sz w:val="24"/>
        </w:rPr>
        <w:t>A类</w:t>
      </w:r>
      <w:r w:rsidR="00CF4592">
        <w:rPr>
          <w:rFonts w:ascii="宋体" w:hAnsi="宋体"/>
          <w:sz w:val="24"/>
        </w:rPr>
        <w:t>基金份额净值＝</w:t>
      </w:r>
      <w:r w:rsidRPr="002D330D">
        <w:rPr>
          <w:rFonts w:ascii="宋体" w:hAnsi="宋体" w:hint="eastAsia"/>
          <w:sz w:val="24"/>
        </w:rPr>
        <w:t>A类基金份额的</w:t>
      </w:r>
      <w:r w:rsidR="00CF4592">
        <w:rPr>
          <w:rFonts w:ascii="宋体" w:hAnsi="宋体"/>
          <w:sz w:val="24"/>
        </w:rPr>
        <w:t>基金资产净值总额/发行在外的</w:t>
      </w:r>
      <w:r>
        <w:rPr>
          <w:rFonts w:ascii="宋体" w:hAnsi="宋体" w:hint="eastAsia"/>
          <w:sz w:val="24"/>
        </w:rPr>
        <w:t>A类</w:t>
      </w:r>
      <w:r w:rsidR="00CF4592">
        <w:rPr>
          <w:rFonts w:ascii="宋体" w:hAnsi="宋体"/>
          <w:sz w:val="24"/>
        </w:rPr>
        <w:t>基金份额总数</w:t>
      </w:r>
    </w:p>
    <w:p w14:paraId="60911B31" w14:textId="069BF9B7" w:rsidR="002D330D" w:rsidRPr="00F82365" w:rsidRDefault="002D330D">
      <w:pPr>
        <w:autoSpaceDE w:val="0"/>
        <w:autoSpaceDN w:val="0"/>
        <w:adjustRightInd w:val="0"/>
        <w:snapToGrid w:val="0"/>
        <w:spacing w:line="360" w:lineRule="auto"/>
        <w:ind w:firstLineChars="200" w:firstLine="480"/>
        <w:jc w:val="left"/>
        <w:rPr>
          <w:rFonts w:ascii="宋体" w:hAnsi="宋体"/>
          <w:sz w:val="24"/>
        </w:rPr>
      </w:pPr>
      <w:r w:rsidRPr="00F82365">
        <w:rPr>
          <w:rFonts w:ascii="宋体" w:hAnsi="宋体"/>
          <w:sz w:val="24"/>
        </w:rPr>
        <w:t>C类基金份额净值＝C类基金份额的基金资产净值总额/发行在外的C类基金份额总数</w:t>
      </w:r>
    </w:p>
    <w:p w14:paraId="652384C6" w14:textId="7D1EAEA0"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本基金T日的基金份额净值在当天收市后计算，并在T＋1日（包括该日）内公</w:t>
      </w:r>
      <w:r>
        <w:rPr>
          <w:rFonts w:ascii="宋体" w:hAnsi="宋体"/>
          <w:sz w:val="24"/>
        </w:rPr>
        <w:lastRenderedPageBreak/>
        <w:t>告。遇特殊情况，经中国证监会同意，可以适当延迟计算或公告。本基金</w:t>
      </w:r>
      <w:r w:rsidR="00F10E0A" w:rsidRPr="00F10E0A">
        <w:rPr>
          <w:rFonts w:ascii="宋体" w:hAnsi="宋体" w:hint="eastAsia"/>
          <w:sz w:val="24"/>
        </w:rPr>
        <w:t>A类基金份额和C类基金份额的</w:t>
      </w:r>
      <w:r>
        <w:rPr>
          <w:rFonts w:ascii="宋体" w:hAnsi="宋体"/>
          <w:sz w:val="24"/>
        </w:rPr>
        <w:t>基金份额净值的计算，</w:t>
      </w:r>
      <w:r w:rsidR="00F10E0A">
        <w:rPr>
          <w:rFonts w:ascii="宋体" w:hAnsi="宋体" w:hint="eastAsia"/>
          <w:sz w:val="24"/>
        </w:rPr>
        <w:t>均</w:t>
      </w:r>
      <w:r>
        <w:rPr>
          <w:rFonts w:ascii="宋体" w:hAnsi="宋体"/>
          <w:sz w:val="24"/>
        </w:rPr>
        <w:t>保留到小数点后4位，小数点后第5位四舍五入，由此误差产生的收益或损失由基金财产承担。</w:t>
      </w:r>
    </w:p>
    <w:p w14:paraId="1EA998F1" w14:textId="77777777" w:rsidR="00FB4D29" w:rsidRDefault="00CF4592">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（八）拒绝或暂停申购的情形</w:t>
      </w:r>
    </w:p>
    <w:p w14:paraId="6B5D1670"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发生下列情况时，基金管理人可拒绝或暂停接受投资人的申购申请：</w:t>
      </w:r>
    </w:p>
    <w:p w14:paraId="6D32AC10"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1、因不可抗力导致基金无法正常运作。</w:t>
      </w:r>
    </w:p>
    <w:p w14:paraId="4BFFD8E0"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2、发生基金合同规定的暂停基金资产估值情况时，基金管理人可暂停接受投资人的申购申请。</w:t>
      </w:r>
    </w:p>
    <w:p w14:paraId="312FD4FB" w14:textId="0C6A02B6"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3、证券、期货交易所交易时间非正常停市</w:t>
      </w:r>
      <w:r w:rsidR="00F10E0A" w:rsidRPr="003F207A">
        <w:rPr>
          <w:rFonts w:hint="eastAsia"/>
          <w:bCs/>
          <w:sz w:val="24"/>
        </w:rPr>
        <w:t>或港股通临时停市</w:t>
      </w:r>
      <w:r>
        <w:rPr>
          <w:rFonts w:ascii="宋体" w:hAnsi="宋体"/>
          <w:sz w:val="24"/>
        </w:rPr>
        <w:t>，导致基金管理人无法计算当日基金资产净值。</w:t>
      </w:r>
    </w:p>
    <w:p w14:paraId="130A5F3A"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4、接受某笔或某些申购申请可能会影响或损害现有基金份额持有人利益时。</w:t>
      </w:r>
    </w:p>
    <w:p w14:paraId="0FF3F6D6"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5、基金资产规模过大，使基金管理人无法找到合适的投资品种，或其他可能对基金业绩产生负面影响，或发生其他损害现有基金份额持有人利益的情形。</w:t>
      </w:r>
    </w:p>
    <w:p w14:paraId="1D511D27"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6、基金管理人、基金托管人、基金销售机构、基金销售支付结算机构或登记机构的异常情况导致基金销售系统、基金销售支付结算系统、基金注册登记系统或基金会计系统无法正常运行。</w:t>
      </w:r>
    </w:p>
    <w:p w14:paraId="4BD8177E"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7、基金管理人接受某笔或者某些申购申请有可能导致单一投资者持有基金份额的比例超过50%，或者变相规避50%集中度的。出现上述情形时，基金管理人有权将上述申购申请全部或部分确认失败。</w:t>
      </w:r>
    </w:p>
    <w:p w14:paraId="017B4926" w14:textId="77777777" w:rsidR="00F10E0A" w:rsidRPr="00F10E0A" w:rsidRDefault="00CF4592" w:rsidP="00F10E0A">
      <w:pPr>
        <w:autoSpaceDE w:val="0"/>
        <w:autoSpaceDN w:val="0"/>
        <w:adjustRightInd w:val="0"/>
        <w:snapToGrid w:val="0"/>
        <w:spacing w:line="360" w:lineRule="auto"/>
        <w:ind w:firstLineChars="200" w:firstLine="480"/>
        <w:jc w:val="left"/>
        <w:rPr>
          <w:rFonts w:ascii="宋体" w:hAnsi="宋体"/>
          <w:sz w:val="24"/>
        </w:rPr>
      </w:pPr>
      <w:r>
        <w:rPr>
          <w:rFonts w:ascii="宋体" w:hAnsi="宋体"/>
          <w:sz w:val="24"/>
        </w:rPr>
        <w:t>8、</w:t>
      </w:r>
      <w:r w:rsidR="00F10E0A" w:rsidRPr="00F10E0A">
        <w:rPr>
          <w:rFonts w:ascii="宋体" w:hAnsi="宋体" w:hint="eastAsia"/>
          <w:sz w:val="24"/>
        </w:rPr>
        <w:t>港股通交易每日额度不足。</w:t>
      </w:r>
    </w:p>
    <w:p w14:paraId="3C0A0AB3" w14:textId="71B1F90A" w:rsidR="00FB4D29" w:rsidRDefault="00F10E0A" w:rsidP="00F10E0A">
      <w:pPr>
        <w:autoSpaceDE w:val="0"/>
        <w:autoSpaceDN w:val="0"/>
        <w:adjustRightInd w:val="0"/>
        <w:snapToGrid w:val="0"/>
        <w:spacing w:line="360" w:lineRule="auto"/>
        <w:ind w:firstLineChars="200" w:firstLine="480"/>
        <w:jc w:val="left"/>
        <w:rPr>
          <w:rFonts w:ascii="宋体" w:hAnsi="宋体"/>
          <w:szCs w:val="24"/>
        </w:rPr>
      </w:pPr>
      <w:r w:rsidRPr="00F10E0A">
        <w:rPr>
          <w:rFonts w:ascii="宋体" w:hAnsi="宋体" w:hint="eastAsia"/>
          <w:sz w:val="24"/>
        </w:rPr>
        <w:t>9、</w:t>
      </w:r>
      <w:r w:rsidR="00CF4592">
        <w:rPr>
          <w:rFonts w:ascii="宋体" w:hAnsi="宋体"/>
          <w:sz w:val="24"/>
        </w:rPr>
        <w:t>当前一估值日基金资产净值50%以上的资产出现无可参考的活跃市场价格且采用估值技术仍导致公允价值存在重大不确定性时，经与基金托管人协商确认后，基金管理人应当暂停接受申购申请。</w:t>
      </w:r>
    </w:p>
    <w:p w14:paraId="68494B45" w14:textId="0D6EF01B" w:rsidR="00FB4D29" w:rsidRDefault="00F10E0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w:t>
      </w:r>
      <w:r w:rsidR="00CF4592">
        <w:rPr>
          <w:rFonts w:ascii="宋体" w:hAnsi="宋体"/>
          <w:sz w:val="24"/>
        </w:rPr>
        <w:t>、基金合同约定、法律法规规定或中国证监会认定的其他情形。</w:t>
      </w:r>
    </w:p>
    <w:p w14:paraId="5ED97287" w14:textId="73FDFCC5"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发生上述第1、2、3、5、6、8、9</w:t>
      </w:r>
      <w:r w:rsidR="00F10E0A">
        <w:rPr>
          <w:rFonts w:ascii="宋体" w:hAnsi="宋体" w:hint="eastAsia"/>
          <w:sz w:val="24"/>
        </w:rPr>
        <w:t>、1</w:t>
      </w:r>
      <w:r w:rsidR="00F10E0A">
        <w:rPr>
          <w:rFonts w:ascii="宋体" w:hAnsi="宋体"/>
          <w:sz w:val="24"/>
        </w:rPr>
        <w:t>0</w:t>
      </w:r>
      <w:r>
        <w:rPr>
          <w:rFonts w:ascii="宋体" w:hAnsi="宋体"/>
          <w:sz w:val="24"/>
        </w:rPr>
        <w:t>项暂停申购情形之一且基金管理人决定暂停接受投资人的申购申请时，基金管理人应当根据有关规定在</w:t>
      </w:r>
      <w:r w:rsidR="003246BF">
        <w:rPr>
          <w:rFonts w:ascii="宋体" w:hAnsi="宋体"/>
          <w:sz w:val="24"/>
        </w:rPr>
        <w:t>规定媒介</w:t>
      </w:r>
      <w:r>
        <w:rPr>
          <w:rFonts w:ascii="宋体" w:hAnsi="宋体"/>
          <w:sz w:val="24"/>
        </w:rPr>
        <w:t>上刊登暂停申购公告。如果投资人的申购申请被拒绝，被拒绝的申购款项将退还给投资人。在暂停申购的情况消除时，基金管理人应及时恢复申购业务的办理并依法公告。</w:t>
      </w:r>
    </w:p>
    <w:p w14:paraId="570B846D" w14:textId="77777777" w:rsidR="00FB4D29" w:rsidRDefault="00CF4592">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（九）暂停赎回或延缓支付赎回款项的情形</w:t>
      </w:r>
    </w:p>
    <w:p w14:paraId="6FE42C33"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发生下列情形时，基金管理人可暂停接受投资人的赎回申请或延缓支付赎回款</w:t>
      </w:r>
      <w:r>
        <w:rPr>
          <w:rFonts w:ascii="宋体" w:hAnsi="宋体"/>
          <w:sz w:val="24"/>
        </w:rPr>
        <w:lastRenderedPageBreak/>
        <w:t>项：</w:t>
      </w:r>
    </w:p>
    <w:p w14:paraId="1F80A23B"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1、因不可抗力导致基金管理人不能支付赎回款项。</w:t>
      </w:r>
    </w:p>
    <w:p w14:paraId="24DC7519"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2、发生基金合同规定的暂停基金资产估值情况时，基金管理人可暂停接受投资人的赎回申请或延缓支付赎回款项。</w:t>
      </w:r>
    </w:p>
    <w:p w14:paraId="3884F462" w14:textId="1A45CF33"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3、证券、期货交易所交易时间非正常停市</w:t>
      </w:r>
      <w:r w:rsidR="00976AD8" w:rsidRPr="00DF1676">
        <w:rPr>
          <w:rFonts w:hint="eastAsia"/>
          <w:bCs/>
          <w:sz w:val="24"/>
        </w:rPr>
        <w:t>或港股通临时停市</w:t>
      </w:r>
      <w:r>
        <w:rPr>
          <w:rFonts w:ascii="宋体" w:hAnsi="宋体"/>
          <w:sz w:val="24"/>
        </w:rPr>
        <w:t>，导致基金管理人无法计算当日基金资产净值。</w:t>
      </w:r>
    </w:p>
    <w:p w14:paraId="5FA02532"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4、连续两个或两个以上开放日发生巨额赎回。</w:t>
      </w:r>
    </w:p>
    <w:p w14:paraId="1DBFE7F3"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5、发生继续接受赎回申请将损害现有基金份额持有人利益的情形时，可暂停接受投资人的赎回申请。</w:t>
      </w:r>
    </w:p>
    <w:p w14:paraId="6632279F"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p w14:paraId="2D26F081"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7、基金合同约定、法律法规规定或中国证监会认定的其他情形。</w:t>
      </w:r>
    </w:p>
    <w:p w14:paraId="49E5545D" w14:textId="71D6FDE9"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发生上述情形之一且基金管理人决定暂停接受投资人的赎回申请或延缓支付赎回款项时，基金管理人应</w:t>
      </w:r>
      <w:r w:rsidR="00976AD8">
        <w:rPr>
          <w:rFonts w:ascii="宋体" w:hAnsi="宋体" w:hint="eastAsia"/>
          <w:sz w:val="24"/>
        </w:rPr>
        <w:t>及时</w:t>
      </w:r>
      <w:r>
        <w:rPr>
          <w:rFonts w:ascii="宋体" w:hAnsi="宋体"/>
          <w:sz w:val="24"/>
        </w:rPr>
        <w:t>报中国证监会备案，已确认的赎回申请，基金管理人应足额支付；如暂时不能足额支付，应将可支付部分按单个账户申请量占申请总量的比例分配给赎回申请人，未支付部分可延期确认并支付，并以后续开放日的基金份额净值为依据计算赎回金额。若出现上述第4项所述情形，按基金合同的相关条款处理。基金份额持有人在申请赎回时可事先选择将当日可能未获受理部分予以撤销。在暂停赎回的情况消除时，基金管理人应及时恢复赎回业务的办理并公告。</w:t>
      </w:r>
    </w:p>
    <w:p w14:paraId="7DE242E8" w14:textId="77777777" w:rsidR="00FB4D29" w:rsidRDefault="00CF4592">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（十）巨额赎回的情形及处理方式</w:t>
      </w:r>
    </w:p>
    <w:p w14:paraId="6C2DB74A"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1、巨额赎回的认定</w:t>
      </w:r>
    </w:p>
    <w:p w14:paraId="30DD7936"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若本基金单个开放日内的基金份额净赎回申请（赎回申请份额总数加上基金转换中转出申请份额总数后扣除申购申请份额总数及基金转换中转入申请份额总数后的余额）超过前一开放日的基金总份额的10%，即认为是发生了巨额赎回。</w:t>
      </w:r>
    </w:p>
    <w:p w14:paraId="3B7FD2AD"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2、巨额赎回的处理方式</w:t>
      </w:r>
    </w:p>
    <w:p w14:paraId="31C20A52"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当基金出现巨额赎回时，基金管理人可以根据基金当时的资产组合状况决定全额赎回或部分延期赎回。</w:t>
      </w:r>
    </w:p>
    <w:p w14:paraId="7C12AC99"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（1）全额赎回：当基金管理人认为有能力支付投资人的全部赎回申请时，按正常赎回程序执行。</w:t>
      </w:r>
    </w:p>
    <w:p w14:paraId="73746E5A" w14:textId="768556D1"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2）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10%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w:t>
      </w:r>
      <w:r w:rsidR="008C4112" w:rsidRPr="00F65CDF">
        <w:rPr>
          <w:rFonts w:hint="eastAsia"/>
          <w:bCs/>
          <w:sz w:val="24"/>
        </w:rPr>
        <w:t>该类</w:t>
      </w:r>
      <w:r>
        <w:rPr>
          <w:rFonts w:ascii="宋体" w:hAnsi="宋体"/>
          <w:sz w:val="24"/>
        </w:rPr>
        <w:t>基金份额净值为基础计算赎回金额，以此类推，直到全部赎回为止。如投资人在提交赎回申请时未作明确选择，投资人未能赎回部分作自动延期赎回处理。</w:t>
      </w:r>
    </w:p>
    <w:p w14:paraId="54BA6DCD" w14:textId="73ED1456"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发生巨额赎回且单个基金份额持有人的赎回申请超过上一日基金总份额20%的情形下，基金管理人有权采取如下措施：对于基金份额持有人当日超过20%的赎回申请，可以对其赎回申请延期办理。如基金份额持有人在当日选择取消赎回，则其当日未获受理的部分赎回申请将被撤销。</w:t>
      </w:r>
    </w:p>
    <w:p w14:paraId="0F133C19" w14:textId="69322A5D"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（3）暂停赎回：连续2个开放日以上（含本数）发生巨额赎回，如基金管理人认为有必要，可暂停接受基金的赎回申请；已经接受的赎回申请可以延缓支付赎回款项，但不得超过20个工作日，并应当在</w:t>
      </w:r>
      <w:r w:rsidR="003246BF">
        <w:rPr>
          <w:rFonts w:ascii="宋体" w:hAnsi="宋体"/>
          <w:sz w:val="24"/>
        </w:rPr>
        <w:t>规定媒介</w:t>
      </w:r>
      <w:r>
        <w:rPr>
          <w:rFonts w:ascii="宋体" w:hAnsi="宋体"/>
          <w:sz w:val="24"/>
        </w:rPr>
        <w:t>上进行公告。</w:t>
      </w:r>
    </w:p>
    <w:p w14:paraId="6FF550C3"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3、巨额赎回的公告</w:t>
      </w:r>
    </w:p>
    <w:p w14:paraId="31284632" w14:textId="44902D31"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当发生上述巨额赎回并延期办理时，基金管理人应当通过邮寄、传真、刊登公告或者通知销售机构代为告知等方式在3个交易日内通知基金份额持有人，说明有关处理方法，并在2日内在</w:t>
      </w:r>
      <w:r w:rsidR="003246BF">
        <w:rPr>
          <w:rFonts w:ascii="宋体" w:hAnsi="宋体"/>
          <w:sz w:val="24"/>
        </w:rPr>
        <w:t>规定媒介</w:t>
      </w:r>
      <w:r>
        <w:rPr>
          <w:rFonts w:ascii="宋体" w:hAnsi="宋体"/>
          <w:sz w:val="24"/>
        </w:rPr>
        <w:t>上刊登公告。</w:t>
      </w:r>
    </w:p>
    <w:p w14:paraId="7119C1A8" w14:textId="77777777" w:rsidR="00FB4D29" w:rsidRDefault="00CF4592">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（十一）暂停申购或赎回的公告和重新开放申购或赎回的公告</w:t>
      </w:r>
    </w:p>
    <w:p w14:paraId="04272D8A" w14:textId="6A2290DB"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1、发生上述暂停申购或赎回情况的，基金管理人应在规定期限内在</w:t>
      </w:r>
      <w:r w:rsidR="003246BF">
        <w:rPr>
          <w:rFonts w:ascii="宋体" w:hAnsi="宋体"/>
          <w:sz w:val="24"/>
        </w:rPr>
        <w:t>规定媒介</w:t>
      </w:r>
      <w:r>
        <w:rPr>
          <w:rFonts w:ascii="宋体" w:hAnsi="宋体"/>
          <w:sz w:val="24"/>
        </w:rPr>
        <w:t>上刊登暂停公告。</w:t>
      </w:r>
    </w:p>
    <w:p w14:paraId="6E0AC2FF" w14:textId="4B1C1C84"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2、暂停结束，基金重新开放申购或赎回时，基金管理人应依照《信息披露办法》的有关规定，不迟于重新开放日，在</w:t>
      </w:r>
      <w:r w:rsidR="003246BF">
        <w:rPr>
          <w:rFonts w:ascii="宋体" w:hAnsi="宋体"/>
          <w:sz w:val="24"/>
        </w:rPr>
        <w:t>规定媒介</w:t>
      </w:r>
      <w:r>
        <w:rPr>
          <w:rFonts w:ascii="宋体" w:hAnsi="宋体"/>
          <w:sz w:val="24"/>
        </w:rPr>
        <w:t>上刊登基金重新开放申购或赎回公告，并公布最近一个开放日</w:t>
      </w:r>
      <w:r w:rsidR="005B2C26" w:rsidRPr="005B2C26">
        <w:rPr>
          <w:rFonts w:ascii="宋体" w:hAnsi="宋体" w:hint="eastAsia"/>
          <w:sz w:val="24"/>
        </w:rPr>
        <w:t>各类基金份额</w:t>
      </w:r>
      <w:r>
        <w:rPr>
          <w:rFonts w:ascii="宋体" w:hAnsi="宋体"/>
          <w:sz w:val="24"/>
        </w:rPr>
        <w:t>的基金份额净值。</w:t>
      </w:r>
    </w:p>
    <w:p w14:paraId="2DE7B5DC" w14:textId="73A9F4B6" w:rsidR="00FB4D29" w:rsidRDefault="00CF4592">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（十二）基金的非交易过户</w:t>
      </w:r>
    </w:p>
    <w:p w14:paraId="2D389144"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基金的非交易过户是指基金登记机构受理继承、捐赠和司法强制执行等情形而</w:t>
      </w:r>
      <w:r>
        <w:rPr>
          <w:rFonts w:ascii="宋体" w:hAnsi="宋体"/>
          <w:sz w:val="24"/>
        </w:rPr>
        <w:lastRenderedPageBreak/>
        <w:t>产生的非交易过户以及登记机构认可、符合法律法规的其它非交易过户。无论在上述何种情况下，接受划转的主体必须是依法可以持有本基金基金份额的投资人。</w:t>
      </w:r>
    </w:p>
    <w:p w14:paraId="6E299719"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4C96792A" w14:textId="79AE62A3" w:rsidR="00FB4D29" w:rsidRDefault="00CF4592">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（十三）基金的转托管</w:t>
      </w:r>
    </w:p>
    <w:p w14:paraId="43B32D6E"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基金份额持有人可办理已持有基金份额在不同销售机构之间的转托管，基金销售机构可以按照规定的标准收取转托管费。</w:t>
      </w:r>
    </w:p>
    <w:p w14:paraId="4BE2A163" w14:textId="3A3E8C7C" w:rsidR="00FB4D29" w:rsidRDefault="00CF4592">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（十四）定期定额投资计划</w:t>
      </w:r>
    </w:p>
    <w:p w14:paraId="5056374B"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16941A68" w14:textId="3229EA52"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本基金2018年3月2日刊登公告自2018年3月5日起开通</w:t>
      </w:r>
      <w:r w:rsidR="005B2C26" w:rsidRPr="005B2C26">
        <w:rPr>
          <w:rFonts w:ascii="宋体" w:hAnsi="宋体" w:hint="eastAsia"/>
          <w:sz w:val="24"/>
        </w:rPr>
        <w:t>A类基金份额的</w:t>
      </w:r>
      <w:r>
        <w:rPr>
          <w:rFonts w:ascii="宋体" w:hAnsi="宋体"/>
          <w:sz w:val="24"/>
        </w:rPr>
        <w:t>定期定额投资计划业务，</w:t>
      </w:r>
      <w:r w:rsidR="005B2C26" w:rsidRPr="005B2C26">
        <w:rPr>
          <w:rFonts w:ascii="宋体" w:hAnsi="宋体" w:hint="eastAsia"/>
          <w:sz w:val="24"/>
        </w:rPr>
        <w:t>本基金</w:t>
      </w:r>
      <w:r w:rsidR="00105925" w:rsidRPr="005B2C26">
        <w:rPr>
          <w:rFonts w:ascii="宋体" w:hAnsi="宋体" w:hint="eastAsia"/>
          <w:sz w:val="24"/>
        </w:rPr>
        <w:t>202</w:t>
      </w:r>
      <w:r w:rsidR="00105925">
        <w:rPr>
          <w:rFonts w:ascii="宋体" w:hAnsi="宋体"/>
          <w:sz w:val="24"/>
        </w:rPr>
        <w:t>3</w:t>
      </w:r>
      <w:r w:rsidR="005B2C26" w:rsidRPr="005B2C26">
        <w:rPr>
          <w:rFonts w:ascii="宋体" w:hAnsi="宋体" w:hint="eastAsia"/>
          <w:sz w:val="24"/>
        </w:rPr>
        <w:t>年</w:t>
      </w:r>
      <w:r w:rsidR="00105925">
        <w:rPr>
          <w:rFonts w:ascii="宋体" w:hAnsi="宋体"/>
          <w:sz w:val="24"/>
        </w:rPr>
        <w:t>3</w:t>
      </w:r>
      <w:r w:rsidR="005B2C26" w:rsidRPr="005B2C26">
        <w:rPr>
          <w:rFonts w:ascii="宋体" w:hAnsi="宋体" w:hint="eastAsia"/>
          <w:sz w:val="24"/>
        </w:rPr>
        <w:t>月</w:t>
      </w:r>
      <w:r w:rsidR="00105925">
        <w:rPr>
          <w:rFonts w:ascii="宋体" w:hAnsi="宋体"/>
          <w:sz w:val="24"/>
        </w:rPr>
        <w:t>29</w:t>
      </w:r>
      <w:r w:rsidR="005B2C26" w:rsidRPr="005B2C26">
        <w:rPr>
          <w:rFonts w:ascii="宋体" w:hAnsi="宋体" w:hint="eastAsia"/>
          <w:sz w:val="24"/>
        </w:rPr>
        <w:t>日刊登公告自</w:t>
      </w:r>
      <w:r w:rsidR="00105925" w:rsidRPr="005B2C26">
        <w:rPr>
          <w:rFonts w:ascii="宋体" w:hAnsi="宋体" w:hint="eastAsia"/>
          <w:sz w:val="24"/>
        </w:rPr>
        <w:t>202</w:t>
      </w:r>
      <w:r w:rsidR="00105925">
        <w:rPr>
          <w:rFonts w:ascii="宋体" w:hAnsi="宋体"/>
          <w:sz w:val="24"/>
        </w:rPr>
        <w:t>3</w:t>
      </w:r>
      <w:r w:rsidR="005B2C26" w:rsidRPr="005B2C26">
        <w:rPr>
          <w:rFonts w:ascii="宋体" w:hAnsi="宋体" w:hint="eastAsia"/>
          <w:sz w:val="24"/>
        </w:rPr>
        <w:t>年</w:t>
      </w:r>
      <w:r w:rsidR="00105925">
        <w:rPr>
          <w:rFonts w:ascii="宋体" w:hAnsi="宋体"/>
          <w:sz w:val="24"/>
        </w:rPr>
        <w:t>3</w:t>
      </w:r>
      <w:r w:rsidR="005B2C26" w:rsidRPr="005B2C26">
        <w:rPr>
          <w:rFonts w:ascii="宋体" w:hAnsi="宋体" w:hint="eastAsia"/>
          <w:sz w:val="24"/>
        </w:rPr>
        <w:t>月</w:t>
      </w:r>
      <w:r w:rsidR="00105925">
        <w:rPr>
          <w:rFonts w:ascii="宋体" w:hAnsi="宋体"/>
          <w:sz w:val="24"/>
        </w:rPr>
        <w:t>29</w:t>
      </w:r>
      <w:r w:rsidR="005B2C26" w:rsidRPr="005B2C26">
        <w:rPr>
          <w:rFonts w:ascii="宋体" w:hAnsi="宋体" w:hint="eastAsia"/>
          <w:sz w:val="24"/>
        </w:rPr>
        <w:t>日起增设C类基金份额并开通C类基金份额的定期定额投资计划业务，</w:t>
      </w:r>
      <w:r>
        <w:rPr>
          <w:rFonts w:ascii="宋体" w:hAnsi="宋体"/>
          <w:sz w:val="24"/>
        </w:rPr>
        <w:t>具体开通销售机构名单和业务规则参见相关公告。</w:t>
      </w:r>
    </w:p>
    <w:p w14:paraId="4AC5B94F" w14:textId="547B9A43" w:rsidR="00FB4D29" w:rsidRDefault="00CF4592">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（十五）基金份额的冻结和解冻</w:t>
      </w:r>
    </w:p>
    <w:p w14:paraId="1E62E803"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登记机构只受理国家有权机关依法要求的基金份额的冻结与解冻，以及登记机构认可、符合法律法规的其他情况下的冻结与解冻。</w:t>
      </w:r>
    </w:p>
    <w:p w14:paraId="536B8C89" w14:textId="5546CE69" w:rsidR="00FB4D29" w:rsidRDefault="00CF4592">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（十六）基金份额的转让</w:t>
      </w:r>
    </w:p>
    <w:p w14:paraId="5FFB4E9E"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054EA81E" w14:textId="62C3E0D3" w:rsidR="00AF23D8" w:rsidRPr="006F43FF" w:rsidRDefault="00CF4592" w:rsidP="00AF23D8">
      <w:pPr>
        <w:autoSpaceDE w:val="0"/>
        <w:autoSpaceDN w:val="0"/>
        <w:adjustRightInd w:val="0"/>
        <w:snapToGrid w:val="0"/>
        <w:spacing w:line="360" w:lineRule="auto"/>
        <w:ind w:firstLineChars="200" w:firstLine="422"/>
        <w:jc w:val="left"/>
        <w:rPr>
          <w:rFonts w:ascii="宋体" w:hAnsi="宋体"/>
          <w:b/>
          <w:szCs w:val="24"/>
        </w:rPr>
      </w:pPr>
      <w:r w:rsidRPr="00BB248E">
        <w:rPr>
          <w:rFonts w:ascii="宋体" w:hAnsi="宋体" w:hint="eastAsia"/>
          <w:b/>
          <w:szCs w:val="24"/>
        </w:rPr>
        <w:t>（十七）</w:t>
      </w:r>
      <w:r w:rsidR="00AF23D8" w:rsidRPr="006F43FF">
        <w:rPr>
          <w:rFonts w:ascii="宋体" w:hAnsi="宋体" w:hint="eastAsia"/>
          <w:b/>
          <w:szCs w:val="24"/>
        </w:rPr>
        <w:t>实施侧袋机制期间本基金的申购与赎回</w:t>
      </w:r>
    </w:p>
    <w:p w14:paraId="35943D99" w14:textId="77777777" w:rsidR="00AF23D8" w:rsidRPr="004C032A" w:rsidRDefault="00AF23D8" w:rsidP="00AF23D8">
      <w:pPr>
        <w:autoSpaceDE w:val="0"/>
        <w:autoSpaceDN w:val="0"/>
        <w:adjustRightInd w:val="0"/>
        <w:snapToGrid w:val="0"/>
        <w:spacing w:line="360" w:lineRule="auto"/>
        <w:ind w:firstLineChars="200" w:firstLine="480"/>
        <w:jc w:val="left"/>
        <w:rPr>
          <w:rFonts w:ascii="宋体" w:hAnsi="宋体"/>
          <w:sz w:val="24"/>
          <w:szCs w:val="24"/>
        </w:rPr>
      </w:pPr>
      <w:r w:rsidRPr="006F43FF">
        <w:rPr>
          <w:rFonts w:ascii="宋体" w:hAnsi="宋体" w:hint="eastAsia"/>
          <w:sz w:val="24"/>
          <w:szCs w:val="24"/>
        </w:rPr>
        <w:t>本基金实施侧袋机制的，本基金的申购和赎回安排详见本招募说明书“侧袋机制”部分的规定或相关公告。</w:t>
      </w:r>
    </w:p>
    <w:p w14:paraId="4703DDFD" w14:textId="20C50B78" w:rsidR="00FB4D29" w:rsidRDefault="00AF23D8" w:rsidP="00AF23D8">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lastRenderedPageBreak/>
        <w:t>（</w:t>
      </w:r>
      <w:r>
        <w:rPr>
          <w:rFonts w:ascii="宋体" w:hAnsi="宋体" w:hint="eastAsia"/>
          <w:b/>
          <w:szCs w:val="24"/>
        </w:rPr>
        <w:t>十八</w:t>
      </w:r>
      <w:r w:rsidRPr="00BB248E">
        <w:rPr>
          <w:rFonts w:ascii="宋体" w:hAnsi="宋体" w:hint="eastAsia"/>
          <w:b/>
          <w:szCs w:val="24"/>
        </w:rPr>
        <w:t>）</w:t>
      </w:r>
      <w:r w:rsidR="00CF4592" w:rsidRPr="00BB248E">
        <w:rPr>
          <w:rFonts w:ascii="宋体" w:hAnsi="宋体" w:hint="eastAsia"/>
          <w:b/>
          <w:szCs w:val="24"/>
        </w:rPr>
        <w:t>其他业务</w:t>
      </w:r>
    </w:p>
    <w:p w14:paraId="7A67FD89"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不违反法律法规及中国证监会规定的前提下，基金管理人可在对基金份额持有人利益无实质性不利影响的情形下办理基金份额的质押业务或其他基金业务，基金管理人可制定相应的业务规则，并依照《信息披露办法》的有关规定进行公告。</w:t>
      </w:r>
    </w:p>
    <w:p w14:paraId="5B6FE2E4" w14:textId="77777777" w:rsidR="00AF2A34" w:rsidRDefault="00AF2A34" w:rsidP="00AF2A34">
      <w:pPr>
        <w:autoSpaceDE w:val="0"/>
        <w:autoSpaceDN w:val="0"/>
        <w:adjustRightInd w:val="0"/>
        <w:spacing w:line="360" w:lineRule="auto"/>
        <w:ind w:firstLineChars="200" w:firstLine="420"/>
        <w:rPr>
          <w:rFonts w:ascii="宋体" w:hAnsi="宋体"/>
          <w:szCs w:val="24"/>
        </w:rPr>
      </w:pPr>
    </w:p>
    <w:p w14:paraId="145A57E6" w14:textId="107ED091" w:rsidR="00FB4D29" w:rsidRDefault="00CF4592">
      <w:pPr>
        <w:pStyle w:val="1"/>
        <w:snapToGrid w:val="0"/>
        <w:spacing w:beforeLines="0" w:before="240" w:after="240"/>
        <w:rPr>
          <w:rFonts w:ascii="宋体" w:hAnsi="宋体"/>
          <w:szCs w:val="30"/>
        </w:rPr>
      </w:pPr>
      <w:r>
        <w:rPr>
          <w:rFonts w:ascii="宋体" w:hAnsi="宋体"/>
          <w:sz w:val="24"/>
        </w:rPr>
        <w:br w:type="page"/>
      </w:r>
      <w:bookmarkStart w:id="12" w:name="_Toc107476028"/>
      <w:r>
        <w:rPr>
          <w:rFonts w:ascii="Times New Roman" w:hAnsi="Times New Roman"/>
          <w:sz w:val="30"/>
        </w:rPr>
        <w:lastRenderedPageBreak/>
        <w:t>九、基金的转换</w:t>
      </w:r>
      <w:bookmarkEnd w:id="12"/>
    </w:p>
    <w:p w14:paraId="68EAC20F" w14:textId="77777777" w:rsidR="00FB4D29" w:rsidRDefault="00CF4592">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（一）基金转换</w:t>
      </w:r>
    </w:p>
    <w:p w14:paraId="1123B070"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转换是指开放式基金份额持有人将其持有某只基金的部分或全部份额转换为同一基金管理人管理的另一只开放式基金份额。基金转换只能在同一销售机构进行。转换的两只基金必须都是该销售机构代理的同一基金管理人管理的、在同一注册登记机构处注册登记的、同一收费模式的开放式基金。</w:t>
      </w:r>
    </w:p>
    <w:p w14:paraId="21347D40" w14:textId="77777777" w:rsidR="00FB4D29" w:rsidRDefault="00CF4592">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（二）转换业务办理时间</w:t>
      </w:r>
    </w:p>
    <w:p w14:paraId="1746DB02" w14:textId="1E081E19" w:rsidR="00BA1257" w:rsidRDefault="00CF4592">
      <w:pPr>
        <w:autoSpaceDE w:val="0"/>
        <w:autoSpaceDN w:val="0"/>
        <w:adjustRightInd w:val="0"/>
        <w:snapToGrid w:val="0"/>
        <w:spacing w:line="360" w:lineRule="auto"/>
        <w:ind w:firstLineChars="200" w:firstLine="480"/>
        <w:jc w:val="left"/>
        <w:rPr>
          <w:rFonts w:ascii="宋体" w:hAnsi="宋体"/>
          <w:sz w:val="24"/>
        </w:rPr>
      </w:pPr>
      <w:r>
        <w:rPr>
          <w:rFonts w:ascii="宋体" w:hAnsi="宋体"/>
          <w:sz w:val="24"/>
        </w:rPr>
        <w:t>本基金2018年5月15日刊登公告自2018年5月17日起开放</w:t>
      </w:r>
      <w:r w:rsidR="007F5718">
        <w:rPr>
          <w:rFonts w:ascii="宋体" w:hAnsi="宋体"/>
          <w:sz w:val="24"/>
        </w:rPr>
        <w:t>A</w:t>
      </w:r>
      <w:r w:rsidR="007F5718" w:rsidRPr="00BA1257">
        <w:rPr>
          <w:rFonts w:ascii="宋体" w:hAnsi="宋体" w:hint="eastAsia"/>
          <w:sz w:val="24"/>
        </w:rPr>
        <w:t>类基金份额</w:t>
      </w:r>
      <w:r w:rsidR="00754FB4">
        <w:rPr>
          <w:rFonts w:ascii="宋体" w:hAnsi="宋体" w:hint="eastAsia"/>
          <w:sz w:val="24"/>
        </w:rPr>
        <w:t>的</w:t>
      </w:r>
      <w:r>
        <w:rPr>
          <w:rFonts w:ascii="宋体" w:hAnsi="宋体"/>
          <w:sz w:val="24"/>
        </w:rPr>
        <w:t>日常转换业务。</w:t>
      </w:r>
      <w:r w:rsidR="00BA1257" w:rsidRPr="00BA1257">
        <w:rPr>
          <w:rFonts w:ascii="宋体" w:hAnsi="宋体" w:hint="eastAsia"/>
          <w:sz w:val="24"/>
        </w:rPr>
        <w:t>本基金</w:t>
      </w:r>
      <w:r w:rsidR="00305CD4" w:rsidRPr="00BA1257">
        <w:rPr>
          <w:rFonts w:ascii="宋体" w:hAnsi="宋体" w:hint="eastAsia"/>
          <w:sz w:val="24"/>
        </w:rPr>
        <w:t>202</w:t>
      </w:r>
      <w:r w:rsidR="00305CD4">
        <w:rPr>
          <w:rFonts w:ascii="宋体" w:hAnsi="宋体"/>
          <w:sz w:val="24"/>
        </w:rPr>
        <w:t>3</w:t>
      </w:r>
      <w:r w:rsidR="00BA1257" w:rsidRPr="00BA1257">
        <w:rPr>
          <w:rFonts w:ascii="宋体" w:hAnsi="宋体" w:hint="eastAsia"/>
          <w:sz w:val="24"/>
        </w:rPr>
        <w:t>年</w:t>
      </w:r>
      <w:r w:rsidR="00305CD4">
        <w:rPr>
          <w:rFonts w:ascii="宋体" w:hAnsi="宋体"/>
          <w:sz w:val="24"/>
        </w:rPr>
        <w:t>3</w:t>
      </w:r>
      <w:r w:rsidR="00BA1257" w:rsidRPr="00BA1257">
        <w:rPr>
          <w:rFonts w:ascii="宋体" w:hAnsi="宋体" w:hint="eastAsia"/>
          <w:sz w:val="24"/>
        </w:rPr>
        <w:t>月</w:t>
      </w:r>
      <w:r w:rsidR="00305CD4">
        <w:rPr>
          <w:rFonts w:ascii="宋体" w:hAnsi="宋体"/>
          <w:sz w:val="24"/>
        </w:rPr>
        <w:t>29</w:t>
      </w:r>
      <w:r w:rsidR="00BA1257" w:rsidRPr="00BA1257">
        <w:rPr>
          <w:rFonts w:ascii="宋体" w:hAnsi="宋体" w:hint="eastAsia"/>
          <w:sz w:val="24"/>
        </w:rPr>
        <w:t>日刊登公告自</w:t>
      </w:r>
      <w:r w:rsidR="00305CD4" w:rsidRPr="00BA1257">
        <w:rPr>
          <w:rFonts w:ascii="宋体" w:hAnsi="宋体" w:hint="eastAsia"/>
          <w:sz w:val="24"/>
        </w:rPr>
        <w:t>202</w:t>
      </w:r>
      <w:r w:rsidR="00305CD4">
        <w:rPr>
          <w:rFonts w:ascii="宋体" w:hAnsi="宋体"/>
          <w:sz w:val="24"/>
        </w:rPr>
        <w:t>3</w:t>
      </w:r>
      <w:r w:rsidR="00BA1257" w:rsidRPr="00BA1257">
        <w:rPr>
          <w:rFonts w:ascii="宋体" w:hAnsi="宋体" w:hint="eastAsia"/>
          <w:sz w:val="24"/>
        </w:rPr>
        <w:t>年</w:t>
      </w:r>
      <w:r w:rsidR="00305CD4">
        <w:rPr>
          <w:rFonts w:ascii="宋体" w:hAnsi="宋体"/>
          <w:sz w:val="24"/>
        </w:rPr>
        <w:t>3</w:t>
      </w:r>
      <w:r w:rsidR="00BA1257" w:rsidRPr="00BA1257">
        <w:rPr>
          <w:rFonts w:ascii="宋体" w:hAnsi="宋体" w:hint="eastAsia"/>
          <w:sz w:val="24"/>
        </w:rPr>
        <w:t>月</w:t>
      </w:r>
      <w:r w:rsidR="00305CD4">
        <w:rPr>
          <w:rFonts w:ascii="宋体" w:hAnsi="宋体"/>
          <w:sz w:val="24"/>
        </w:rPr>
        <w:t>29</w:t>
      </w:r>
      <w:r w:rsidR="00BA1257" w:rsidRPr="00BA1257">
        <w:rPr>
          <w:rFonts w:ascii="宋体" w:hAnsi="宋体" w:hint="eastAsia"/>
          <w:sz w:val="24"/>
        </w:rPr>
        <w:t>日起增设C类基金份额并开通C类基金份额的日常转换业务。</w:t>
      </w:r>
    </w:p>
    <w:p w14:paraId="75B5BB71" w14:textId="19BA5788"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办理基金间转换的时间为上海证券交易所、深圳证券交易所交易日</w:t>
      </w:r>
      <w:r w:rsidR="005E1652">
        <w:rPr>
          <w:rFonts w:ascii="宋体" w:hAnsi="宋体" w:hint="eastAsia"/>
          <w:bCs/>
          <w:sz w:val="24"/>
        </w:rPr>
        <w:t>（若该工作日为非港股通交易日，则本基金可不办理</w:t>
      </w:r>
      <w:r w:rsidR="00754FB4" w:rsidRPr="00754FB4">
        <w:rPr>
          <w:rFonts w:ascii="宋体" w:hAnsi="宋体" w:hint="eastAsia"/>
          <w:bCs/>
          <w:sz w:val="24"/>
        </w:rPr>
        <w:t>）</w:t>
      </w:r>
      <w:r>
        <w:rPr>
          <w:rFonts w:ascii="宋体" w:hAnsi="宋体"/>
          <w:sz w:val="24"/>
        </w:rPr>
        <w:t>。若出现新的证券交易市场或交易所交易时间更改或其它原因，基金管理人将视情况进行相应的调整并公告。</w:t>
      </w:r>
    </w:p>
    <w:p w14:paraId="57E4CAEC"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可在基金开放日申请办理基金转换业务，具体办理时间与基金申购、赎回业务办理时间相同。由于各销售机构的系统差异以及业务安排等原因，开展该业务的时间可能有所不同，投资人应以各销售机构公告的时间为准。</w:t>
      </w:r>
    </w:p>
    <w:p w14:paraId="7F4996B9"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本基金转换业务具体开通销售机构名单参见相关公告。</w:t>
      </w:r>
    </w:p>
    <w:p w14:paraId="452832FD" w14:textId="77777777" w:rsidR="00FB4D29" w:rsidRDefault="00CF4592">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（三）基金转换的程序</w:t>
      </w:r>
    </w:p>
    <w:p w14:paraId="3238F073"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1、申请方式：书面申请或销售机构公布的其他方式。</w:t>
      </w:r>
    </w:p>
    <w:p w14:paraId="4D6D2BC4"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2、基金转换申请的确认</w:t>
      </w:r>
    </w:p>
    <w:p w14:paraId="7034DCAF"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正常情况下，T日规定时间受理的申请，注册登记机构在T＋1日内为投资人对该交易的有效性进行确认，在T＋2日后(包括该日)投资人可向销售机构查询转换的确认情况。</w:t>
      </w:r>
    </w:p>
    <w:p w14:paraId="370327A7"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3、基金转换的注册登记</w:t>
      </w:r>
    </w:p>
    <w:p w14:paraId="0F14F1BC"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册登记机构以收到有效转换申请的当天作为转换申请日（T日）。投资人转换基金成功的，注册登记机构将在T＋1日对投资人T日的基金转换业务申请进行有效性确认，办理转出基金的权益扣除以及转入基金的权益登记，在T＋2日后（包括该日）投资人可向销售机构查询基金转换的成交情况，并有权转换或赎回该部分基金份额。</w:t>
      </w:r>
    </w:p>
    <w:p w14:paraId="318A7863" w14:textId="77777777" w:rsidR="00FB4D29" w:rsidRDefault="00CF4592">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（四）基金转换的数额限制</w:t>
      </w:r>
    </w:p>
    <w:p w14:paraId="2839458F"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基金转换以份额为单位进行申请，申请转换份额精确到小数点后两位，小数点后两位以后的部分四舍五入，误差部分归基金财产。</w:t>
      </w:r>
    </w:p>
    <w:p w14:paraId="382E3F63"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本基金遵循“份额转换”的原则，单笔转换份额不得低于1份。基金持有人可将其全部或部分基金份额转换成其它基金，单笔转换申请不受转入基金最低申购限额限制。</w:t>
      </w:r>
    </w:p>
    <w:p w14:paraId="61429AE5"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于各基金关于投资人在单个交易账户最低保留余额的规定，每个工作日投资人在单个交易账户保留的某基金基金份额余额少于该基金的最低保留余额时，若当日该账户同时有该基金的基金份额减少类业务（如赎回、转换出等）被确认，基金管理人有权将投资人在该账户保留的该基金基金份额一次性全部赎回。因此，如果某笔转换申请确认后转出基金的单个交易账户的基金份额余额少于转出基金的最低保留余额，则转出基金在该账户剩余的基金份额将被全部赎回。如果某笔转换申请确认后转入基金的单个交易账户的基金份额余额少于转入基金的最低保留余额且该账户当日有转入基金的基金份额减少类业务被确认，则转入基金在该账户剩余的基金份额（包括该部分转换入确认份额）将随即被强制赎回。</w:t>
      </w:r>
    </w:p>
    <w:p w14:paraId="533D2C8A" w14:textId="77777777" w:rsidR="00FB4D29" w:rsidRDefault="00CF4592">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（五）基金转换费用</w:t>
      </w:r>
    </w:p>
    <w:p w14:paraId="6CE292CE"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1、每笔基金转换视为一笔赎回和一笔申购，基金转换费用相应由转出基金的赎回费用及转出、转入基金的申购补差费用构成。</w:t>
      </w:r>
    </w:p>
    <w:p w14:paraId="4B26DF86"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2、转出基金的赎回费用</w:t>
      </w:r>
    </w:p>
    <w:p w14:paraId="2D59E6BB"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基金的赎回费用按照各基金最新的更新招募说明书及相关公告规定的赎回费率和计费方式收取，赎回费用按一定比例归入基金财产（收取标准遵循各基金最新的更新招募说明书相关规定），其余部分用于支付注册登记费等相关手续费。</w:t>
      </w:r>
    </w:p>
    <w:p w14:paraId="6CF55F9C"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3、前端收费模式下转出与转入基金的申购补差费用</w:t>
      </w:r>
    </w:p>
    <w:p w14:paraId="1C61CF0C"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从不收取申购费用的基金或前端申购费用低的基金向前端申购费用高的基金转换，收取前端申购补差费用；从前端申购费用高的基金向前端申购费用低的基金或不收取申购费用的基金转换，不收取前端申购补差费用。申购补差费用原则上按照转出确认金额对应的转入基金前端申购费率减去转出基金前端申购费率差额进行补差，若遇固定费用，则按实际产生补差费用收取。</w:t>
      </w:r>
    </w:p>
    <w:p w14:paraId="6F50BE12"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4、后端收费模式下转出与转入基金的申购补差费用</w:t>
      </w:r>
    </w:p>
    <w:p w14:paraId="0798BA05"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从不收取申购费用的基金或后端申购费用低的基金向后端申购费用高的基金转换，不收取后端申购补差费用，但转入的基金份额赎回的时候需全额收取转入基金</w:t>
      </w:r>
      <w:r>
        <w:rPr>
          <w:rFonts w:ascii="宋体" w:hAnsi="宋体"/>
          <w:sz w:val="24"/>
        </w:rPr>
        <w:lastRenderedPageBreak/>
        <w:t>的后端申购费；从后端申购费用高的基金向后端申购费用低的基金或不收取申购费用的基金转换，收取后端申购补差费用，且转入的基金份额赎回的时候需全额收取转入基金的后端申购费。后端申购补差费用按照转出份额持有时间对应分档的转出基金后端申购费率减去转入基金后端申购费率差额进行补差。</w:t>
      </w:r>
    </w:p>
    <w:p w14:paraId="09250080"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5、网上直销的申购补差费率优惠</w:t>
      </w:r>
    </w:p>
    <w:p w14:paraId="6B90E831"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为更好服务投资者，本基金管理人已开通基金网上直销业务，个人投资者可以通过“网上直销交易平台”办理基金转换业务，其中部分转换业务可享受转换费率优惠，优惠费率只适用于转出与转入基金申购补差费用，转出基金的赎回费用无优惠。可通过网上直销交易平台办理的转换业务范围及转换费率优惠的具体情况请参阅本基金管理人网站。</w:t>
      </w:r>
    </w:p>
    <w:p w14:paraId="31289AC2" w14:textId="6D59FCF5"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6、本基金管理人可以根据法律法规及基金合同的规定对上述转换费用收费方式和费率进行调整，并应于调整后的收费方式和费率实施前依照《信息披露办法》的有关规定在中国证监会</w:t>
      </w:r>
      <w:r w:rsidR="003246BF">
        <w:rPr>
          <w:rFonts w:ascii="宋体" w:hAnsi="宋体"/>
          <w:sz w:val="24"/>
        </w:rPr>
        <w:t>规定媒介</w:t>
      </w:r>
      <w:r>
        <w:rPr>
          <w:rFonts w:ascii="宋体" w:hAnsi="宋体"/>
          <w:sz w:val="24"/>
        </w:rPr>
        <w:t>上公告。</w:t>
      </w:r>
    </w:p>
    <w:p w14:paraId="7DC5E129" w14:textId="77777777" w:rsidR="00FB4D29" w:rsidRDefault="00CF4592">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（六）基金转换份额的计算公式</w:t>
      </w:r>
    </w:p>
    <w:p w14:paraId="2B5BD62F"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1、前端收费模式下基金转换份额的计算公式及举例</w:t>
      </w:r>
    </w:p>
    <w:p w14:paraId="7D349F50"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转出确认金额=转出的基金份额×转换申请当日转出基金的基金份额净值</w:t>
      </w:r>
    </w:p>
    <w:p w14:paraId="66D0C2E3"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转出基金的赎回费=转出确认金额×对应的转出基金的赎回费率</w:t>
      </w:r>
    </w:p>
    <w:p w14:paraId="71D15DFF"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转入确认金额=转出确认金额-转出基金的赎回费</w:t>
      </w:r>
    </w:p>
    <w:p w14:paraId="080FF02F"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转出与转入基金的申购补差费=转入确认金额×对应的转出与转入基金的申购补差费率/（1+对应的转出与转入基金的申购补差费率）</w:t>
      </w:r>
    </w:p>
    <w:p w14:paraId="667DE7F4"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（注：若转出基金申购费率不低于转入基金申购费率，转出与转入基金的申购补差费为零）</w:t>
      </w:r>
    </w:p>
    <w:p w14:paraId="07387447"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对于涉及固定费用的，转出与转入基金的申购补差费＝MAX（0，转出基金和转入基金申购费用之差）</w:t>
      </w:r>
    </w:p>
    <w:p w14:paraId="1BD18C34"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转入基金确认份额=（转入确认金额-转出与转入基金的申购补差费+A）/转换申请当日转入基金的基金份额净值</w:t>
      </w:r>
    </w:p>
    <w:p w14:paraId="50FC7A83"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其中：</w:t>
      </w:r>
    </w:p>
    <w:p w14:paraId="00F4C258"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A为货币市场基金转出的基金份额按比例结转的账户当前累计待支付收益（仅限转出基金为货币市场基金的情形，否则A为0）。</w:t>
      </w:r>
    </w:p>
    <w:p w14:paraId="48D059C6"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转入基金确认份额的计算精确到小数点后两位，小数点后两位以后的部分四舍</w:t>
      </w:r>
      <w:r>
        <w:rPr>
          <w:rFonts w:ascii="宋体" w:hAnsi="宋体"/>
          <w:sz w:val="24"/>
        </w:rPr>
        <w:lastRenderedPageBreak/>
        <w:t>五入，误差部分归基金财产。</w:t>
      </w:r>
    </w:p>
    <w:p w14:paraId="7C10D66C" w14:textId="447D7A3B"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例一：某投资者持有交银趋势前端收费模式的A类基金份额100,000份，持有期半年，转换申请当日交银趋势的A类基金份额净值为1.0100元，交银成长的</w:t>
      </w:r>
      <w:r w:rsidR="00A125FB">
        <w:rPr>
          <w:rFonts w:ascii="宋体" w:hAnsi="宋体" w:hint="eastAsia"/>
          <w:sz w:val="24"/>
        </w:rPr>
        <w:t>A类</w:t>
      </w:r>
      <w:r>
        <w:rPr>
          <w:rFonts w:ascii="宋体" w:hAnsi="宋体"/>
          <w:sz w:val="24"/>
        </w:rPr>
        <w:t>基金份额净值为2.2700元。若该投资者将100,000份交银趋势前端A类基金份额转换为交银成长前端</w:t>
      </w:r>
      <w:r w:rsidR="00A125FB">
        <w:rPr>
          <w:rFonts w:ascii="宋体" w:hAnsi="宋体" w:hint="eastAsia"/>
          <w:sz w:val="24"/>
        </w:rPr>
        <w:t>A类</w:t>
      </w:r>
      <w:r>
        <w:rPr>
          <w:rFonts w:ascii="宋体" w:hAnsi="宋体"/>
          <w:sz w:val="24"/>
        </w:rPr>
        <w:t>基金份额，则转入交银成长确认的基金份额为：</w:t>
      </w:r>
    </w:p>
    <w:p w14:paraId="2CFEDC34" w14:textId="4DDE3E0F"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转出确认金额=100,000×1.0100=101,000元</w:t>
      </w:r>
    </w:p>
    <w:p w14:paraId="4852912E"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转出基金的赎回费=101,000×0.5%=505元</w:t>
      </w:r>
    </w:p>
    <w:p w14:paraId="229866D5"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转入确认金额=101,000-505=100,495元</w:t>
      </w:r>
    </w:p>
    <w:p w14:paraId="4BADBA0B"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转出与转入基金的申购补差费=100,495×0/（1+0）=0元</w:t>
      </w:r>
    </w:p>
    <w:p w14:paraId="62C70878"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转入基金确认份额=（100,495-0）/2.2700=44,270.93份</w:t>
      </w:r>
    </w:p>
    <w:p w14:paraId="089CC095"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例二：某投资者持有交银增利A类基金份额1,000,000份，持有期一年半，转换申请当日交银增利A类基金份额的基金份额净值为1.0200元，交银趋势的A类基金份额净值为1.0100元。若该投资者将1,000,000份交银增利A类基金份额转换为交银趋势前端A类基金份额，则转入交银趋势确认的A类基金份额为：</w:t>
      </w:r>
    </w:p>
    <w:p w14:paraId="0094D792"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转出确认金额=1,000,000×1.0200=1,020,000元</w:t>
      </w:r>
    </w:p>
    <w:p w14:paraId="691E9B6F"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转出基金的赎回费=1,020,000×0.05%=510元</w:t>
      </w:r>
    </w:p>
    <w:p w14:paraId="563DCF49"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转入确认金额=1,020,000-510=1,019,490元</w:t>
      </w:r>
    </w:p>
    <w:p w14:paraId="1C460049"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转出与转入基金的申购补差费=1,019,490×0.5%/（1+0.5%）=5,072.09元</w:t>
      </w:r>
    </w:p>
    <w:p w14:paraId="44859F0D"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转入基金确认份额=（1,019,490-5,072.09）/1.0100=1,004,374.17份</w:t>
      </w:r>
    </w:p>
    <w:p w14:paraId="553387D8"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例三：某投资者持有交银增利C类基金份额100,000份，持有期一年半，转换申请当日交银增利C类基金份额净值为1.2500元，交银精选的基金份额净值为2.2700元。若该投资者将100,000份交银增利C类基金份额转换为交银精选前端基金份额，则转入交银精选确认的基金份额为：</w:t>
      </w:r>
    </w:p>
    <w:p w14:paraId="34EF464E"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转出确认金额=100,000×1.2500=125,000元</w:t>
      </w:r>
    </w:p>
    <w:p w14:paraId="5A68FA32"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转出基金的赎回费=0元</w:t>
      </w:r>
    </w:p>
    <w:p w14:paraId="08534488"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转入确认金额=125,000-0=125,000元</w:t>
      </w:r>
    </w:p>
    <w:p w14:paraId="7D78CC40"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转出与转入基金的申购补差费=125,000×1.5%/（1+1.5%）=1,847.29元</w:t>
      </w:r>
    </w:p>
    <w:p w14:paraId="1E40B1F5"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转入基金确认份额=（125,000-1,847.29）/2.2700=54,252.30份</w:t>
      </w:r>
    </w:p>
    <w:p w14:paraId="32F7BD7A"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例四：某投资者持有交银货币A级基金份额100,000份，该100,000份基金份额未结转的待支付收益为61.52元，转换申请当日交银增利A类基金份额净值为1.2700</w:t>
      </w:r>
      <w:r>
        <w:rPr>
          <w:rFonts w:ascii="宋体" w:hAnsi="宋体"/>
          <w:sz w:val="24"/>
        </w:rPr>
        <w:lastRenderedPageBreak/>
        <w:t>元，交银货币的基金份额净值为1.00元。若该投资者将100,000份交银货币A级基金份额转换为交银增利A类基金份额，则转入确认的交银增利A类基金份额为：</w:t>
      </w:r>
    </w:p>
    <w:p w14:paraId="652CB102"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转出确认金额=100,000×1.00=100,000元</w:t>
      </w:r>
    </w:p>
    <w:p w14:paraId="7E8F82B3"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转出基金的赎回费=0元</w:t>
      </w:r>
    </w:p>
    <w:p w14:paraId="6295F939"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转入确认金额=100,000-0=100,000元</w:t>
      </w:r>
    </w:p>
    <w:p w14:paraId="2E86E4A3"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转出与转入基金的申购补差费=100,000×0.8%/（1+0.8%）=793.65元</w:t>
      </w:r>
    </w:p>
    <w:p w14:paraId="07FE0E65"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转入基金确认份额=（100,000-793.65+61.52）/1.2700=78,163.68份</w:t>
      </w:r>
    </w:p>
    <w:p w14:paraId="387AEF9D"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2、后端收费模式下基金转换份额的计算公式及举例</w:t>
      </w:r>
    </w:p>
    <w:p w14:paraId="5F473958"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转出确认金额=转出的基金份额×转换申请当日转出基金的基金份额净值</w:t>
      </w:r>
    </w:p>
    <w:p w14:paraId="4A6FC09B"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转出基金的赎回费=转出确认金额×对应的转出基金的赎回费率</w:t>
      </w:r>
    </w:p>
    <w:p w14:paraId="3C3CD9C5"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转入确认金额=转出确认金额-转出基金的赎回费</w:t>
      </w:r>
    </w:p>
    <w:p w14:paraId="057B1DC8"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转出与转入基金的申购补差费=转入确认金额×对应的转出与转入基金的申购补差费率</w:t>
      </w:r>
    </w:p>
    <w:p w14:paraId="5F323282"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转入基金确认份额=（转入确认金额-转出与转入基金的申购补差费+A）/转换申请当日转入基金的基金份额净值</w:t>
      </w:r>
    </w:p>
    <w:p w14:paraId="23C88F8D"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其中：</w:t>
      </w:r>
    </w:p>
    <w:p w14:paraId="6037E465"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A为货币市场基金转出的基金份额按比例结转的账户当前累计待支付收益（仅限转出基金为货币市场基金的情形，否则A为0）。</w:t>
      </w:r>
    </w:p>
    <w:p w14:paraId="5B41DE2B"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转入基金确认份额的计算精确到小数点后两位，小数点后两位以后的部分四舍五入，误差部分归基金财产。</w:t>
      </w:r>
    </w:p>
    <w:p w14:paraId="08F4EB8B" w14:textId="3EE9D083"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例五：某投资者持有交银主题后端收费模式的A类基金份额100,000份，持有期一年半，转换申请当日交银主题的A类基金份额净值为1.2500元，交银稳健的基金份额净值为2.2700元。若该投资者将100,000份交银主题后端A类基金份额转换为交银稳健后端基金份额，则转入交银稳健确认的基金份额为：</w:t>
      </w:r>
    </w:p>
    <w:p w14:paraId="36FCF7C2"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转出确认金额=100,000×1.2500=125,000元</w:t>
      </w:r>
    </w:p>
    <w:p w14:paraId="21B99329"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转出基金的赎回费=125,000×0.2%=250元</w:t>
      </w:r>
    </w:p>
    <w:p w14:paraId="674F62E2"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转入确认金额=125,000-250=124,750元</w:t>
      </w:r>
    </w:p>
    <w:p w14:paraId="6B9173E1"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转出与转入基金的申购补差费=124,750×0=0元</w:t>
      </w:r>
    </w:p>
    <w:p w14:paraId="461781A3"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转入基金确认份额=（124,750-0）/2.2700=54,955.95份</w:t>
      </w:r>
    </w:p>
    <w:p w14:paraId="0ED530A5"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例六：某投资者持有交银先锋后端收费模式的A类基金份额100,000份，持有期</w:t>
      </w:r>
      <w:r>
        <w:rPr>
          <w:rFonts w:ascii="宋体" w:hAnsi="宋体"/>
          <w:sz w:val="24"/>
        </w:rPr>
        <w:lastRenderedPageBreak/>
        <w:t>一年半，转换申请当日交银先锋的A类基金份额净值为1.2500元，交银货币的基金份额净值为1.00元。若该投资者将100,000份交银先锋后端A类基金份额转换为交银货币，则转入交银货币的基金份额为：</w:t>
      </w:r>
    </w:p>
    <w:p w14:paraId="23B7E908"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转出确认金额=100,000×1.2500=125,000元</w:t>
      </w:r>
    </w:p>
    <w:p w14:paraId="6173AF7F"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转出基金的赎回费=125,000×0.2%=250元</w:t>
      </w:r>
    </w:p>
    <w:p w14:paraId="2E2081F1"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转入确认金额=125,000-250=124,750元</w:t>
      </w:r>
    </w:p>
    <w:p w14:paraId="3025B61F"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转出与转入基金的申购补差费=124,750×1.2%=1497元</w:t>
      </w:r>
    </w:p>
    <w:p w14:paraId="31C88640"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转入基金确认份额=（124,750-1497）/1.00=123,253.00份</w:t>
      </w:r>
    </w:p>
    <w:p w14:paraId="74D3078F"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例七：某投资者持有交银蓝筹后端收费模式的基金份额100,000份，持有期三年半，转换申请当日交银蓝筹的基金份额净值为0.8500元，交银增利B类基金份额的基金份额净值为1.0500。若该投资者将100,000份交银蓝筹后端基金份额转换为交银增利B类基金份额，则转入交银增利B类基金份额的基金份额为：</w:t>
      </w:r>
    </w:p>
    <w:p w14:paraId="5ED5EFA2"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转出确认金额=100,000×0.8500=85,000元</w:t>
      </w:r>
    </w:p>
    <w:p w14:paraId="50570F43"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转出基金的赎回费=85,000×0=0元</w:t>
      </w:r>
    </w:p>
    <w:p w14:paraId="36F16F62"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转入确认金额=85,000-0=85,000元</w:t>
      </w:r>
    </w:p>
    <w:p w14:paraId="674AC79C"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转出与转入基金的申购补差费=85,000×0.2%=170元</w:t>
      </w:r>
    </w:p>
    <w:p w14:paraId="3AD890AD"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转入基金确认份额=（85,000-170）/1.0500=80,790.48份</w:t>
      </w:r>
    </w:p>
    <w:p w14:paraId="213310FF"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例八：某投资者持有交银货币A级基金份额100,000份，该100,000份基金份额未结转的待支付收益为61.52元，转换申请当日交银增利B类基金份额净值为1.2700元，交银货币的基金份额净值为1.00元。若该投资者将100,000份交银货币A级基金份额转换为交银增利B类基金份额，则转入确认的交银增利B类基金份额为：</w:t>
      </w:r>
    </w:p>
    <w:p w14:paraId="3F1FB970"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转出确认金额=100,000×1.00=100,000元</w:t>
      </w:r>
    </w:p>
    <w:p w14:paraId="3F19DD5F"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转出基金的赎回费=0元</w:t>
      </w:r>
    </w:p>
    <w:p w14:paraId="5E4E5DA0"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转入确认金额=100,000-0=100,000元</w:t>
      </w:r>
    </w:p>
    <w:p w14:paraId="7F6AB457"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转出与转入基金的申购补差费=100,000×0=0元</w:t>
      </w:r>
    </w:p>
    <w:p w14:paraId="3B95590E"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转入基金确认份额=（100,000-0+61.52）/1.2700=78,788.60份</w:t>
      </w:r>
    </w:p>
    <w:p w14:paraId="6B8633D8" w14:textId="77777777" w:rsidR="00FB4D29" w:rsidRDefault="00CF4592">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（七）业务规则</w:t>
      </w:r>
    </w:p>
    <w:p w14:paraId="167FC36F"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转换只能在同一销售机构进行。转换的两只基金必须都是该销售机构销售的同一基金管理人管理的、在同一注册登记机构处注册登记的基金。投资人办理基金转换业务时，转出方的基金必须处于可赎回状态，转入方的基金必须处于可</w:t>
      </w:r>
      <w:r>
        <w:rPr>
          <w:rFonts w:ascii="宋体" w:hAnsi="宋体"/>
          <w:sz w:val="24"/>
        </w:rPr>
        <w:lastRenderedPageBreak/>
        <w:t>申购状态。</w:t>
      </w:r>
    </w:p>
    <w:p w14:paraId="3E792469"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投资人只能在相同收费模式下进行基金转换。前端收费模式的开放式基金只能转换到前端收费模式的其他基金，后端收费模式的基金只能转换到后端收费模式的其他基金。交银货币、债券基金C类基金份额与其他基金之间的转换不受上述收费模式的限制。</w:t>
      </w:r>
    </w:p>
    <w:p w14:paraId="487694A1"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3、基金转换采取未知价法，即基金的转换价格以申请受理当日各转出、转入基金的基金份额净值为基础进行计算。（货币市场基金的基金份额净值为固定价1.00元）。</w:t>
      </w:r>
    </w:p>
    <w:p w14:paraId="0830BF15"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4、投资人申请转出其账户内货币市场基金的基金份额时，注册登记机构将自动结转该转出份额对应的待支付收益，该收益将一并计入转出金额并折算为转入基金的基金份额，但收益部分不收取转换费用。</w:t>
      </w:r>
    </w:p>
    <w:p w14:paraId="511F2CE5"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5、转换后，转入基金份额的持有时间将重新计算，即转入基金份额的持有期将自转入基金份额被确认日起重新开始计算。</w:t>
      </w:r>
    </w:p>
    <w:p w14:paraId="340A23BC" w14:textId="77777777" w:rsidR="00FB4D29" w:rsidRDefault="00CF4592">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（八）暂停基金转换</w:t>
      </w:r>
    </w:p>
    <w:p w14:paraId="0409B546"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转换视同为转出基金的赎回和转入基金的申购，因此有关转出基金和转入基金关于暂停或拒绝申购、暂停赎回的有关规定也一般适用于暂停基金转换。具体暂停或恢复基金转换的相关业务请详见届时本基金管理人发布的相关公告。</w:t>
      </w:r>
    </w:p>
    <w:p w14:paraId="037BE6F8"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单个开放日，基金净赎回申请份额（该基金赎回申请总份额加上基金转换中转出申请总份额扣除申购申请总份额及基金转换中转入申请总份额后的余额）超过上一日基金总份额的10%时，为巨额赎回。发生巨额赎回时，基金转出与基金赎回具有相同的优先级，本基金管理人可根据基金资产组合情况，决定全额转出或部分转出，并且对于基金转出和基金赎回，将采取相同的比例确认。在转出申请得到部分确认的情况下，未确认的转出申请将自动予以撤销，不再视为下一开放日的基金转换申请。</w:t>
      </w:r>
    </w:p>
    <w:p w14:paraId="10DA42F8" w14:textId="77777777" w:rsidR="00AF2A34" w:rsidRDefault="00AF2A34" w:rsidP="00AF2A34">
      <w:pPr>
        <w:autoSpaceDE w:val="0"/>
        <w:autoSpaceDN w:val="0"/>
        <w:adjustRightInd w:val="0"/>
        <w:spacing w:line="360" w:lineRule="auto"/>
        <w:ind w:firstLineChars="200" w:firstLine="420"/>
        <w:rPr>
          <w:rFonts w:ascii="宋体" w:hAnsi="宋体"/>
          <w:szCs w:val="24"/>
        </w:rPr>
      </w:pPr>
    </w:p>
    <w:p w14:paraId="33AD5FFF" w14:textId="2AF10C41" w:rsidR="00FB4D29" w:rsidRDefault="00CF4592">
      <w:pPr>
        <w:pStyle w:val="1"/>
        <w:snapToGrid w:val="0"/>
        <w:spacing w:beforeLines="0" w:before="240" w:after="240"/>
        <w:rPr>
          <w:rFonts w:ascii="宋体" w:hAnsi="宋体"/>
          <w:szCs w:val="30"/>
        </w:rPr>
      </w:pPr>
      <w:r>
        <w:rPr>
          <w:rFonts w:ascii="宋体" w:hAnsi="宋体"/>
          <w:sz w:val="24"/>
        </w:rPr>
        <w:br w:type="page"/>
      </w:r>
      <w:bookmarkStart w:id="13" w:name="_Toc107476029"/>
      <w:r>
        <w:rPr>
          <w:rFonts w:ascii="Times New Roman" w:hAnsi="Times New Roman"/>
          <w:sz w:val="30"/>
        </w:rPr>
        <w:lastRenderedPageBreak/>
        <w:t>十、基金的投资</w:t>
      </w:r>
      <w:bookmarkEnd w:id="13"/>
    </w:p>
    <w:p w14:paraId="1D487788" w14:textId="77777777" w:rsidR="00FB4D29" w:rsidRDefault="00CF4592">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（一）投资目标</w:t>
      </w:r>
    </w:p>
    <w:p w14:paraId="001E513C"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本基金在有效控制组合风险并保持良好流动性的前提下，把握市场发展趋势，通过专业化研究分析，重点投资具备充分成长空间和拥有持续成长性的上市公司，力争实现基金资产的长期稳定增值。</w:t>
      </w:r>
    </w:p>
    <w:p w14:paraId="261F2073" w14:textId="77777777" w:rsidR="00FB4D29" w:rsidRDefault="00CF4592">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（二）投资范围</w:t>
      </w:r>
    </w:p>
    <w:p w14:paraId="132C915B" w14:textId="60404860"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本基金的投资范围为具有良好流动性的金融工具，包括国内依法发行上市的股票（含创业板及其他经中国证监会核准</w:t>
      </w:r>
      <w:r w:rsidR="00123221">
        <w:rPr>
          <w:rFonts w:ascii="宋体" w:hAnsi="宋体" w:hint="eastAsia"/>
          <w:sz w:val="24"/>
        </w:rPr>
        <w:t>或注册</w:t>
      </w:r>
      <w:r>
        <w:rPr>
          <w:rFonts w:ascii="宋体" w:hAnsi="宋体"/>
          <w:sz w:val="24"/>
        </w:rPr>
        <w:t>上市的股票、存托凭证）、</w:t>
      </w:r>
      <w:r w:rsidR="00123221">
        <w:rPr>
          <w:rFonts w:ascii="宋体" w:hAnsi="宋体" w:hint="eastAsia"/>
          <w:sz w:val="24"/>
        </w:rPr>
        <w:t>港股通标的股票、</w:t>
      </w:r>
      <w:r>
        <w:rPr>
          <w:rFonts w:ascii="宋体" w:hAnsi="宋体"/>
          <w:sz w:val="24"/>
        </w:rPr>
        <w:t>债券（含国债、央行票据、金融债券、政府支持债券、政府支持机构债券、地方政府债券、企业债券、公司债券、可转换债券（含可分离交易可转换债券）、可交换公司债券、次级债券、中期票据、短期融资券、超短期融资券等）、货币市场工具、债券回购、同业存单、银行存款（含协议存款、定期存款及其他银行存款）、资产支持证券、股指期货以及法律法规或中国证监会允许基金投资的其他金融工具（但须符合中国证监会相关规定）。</w:t>
      </w:r>
    </w:p>
    <w:p w14:paraId="2FD10D0D"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如法律法规或监管机构以后允许基金投资其他品种，基金管理人在履行适当程序后，可以将其纳入投资范围。</w:t>
      </w:r>
    </w:p>
    <w:p w14:paraId="01EE8005" w14:textId="574DA372"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基金的投资组合比例为：股票资产（含存托凭证）占基金资产的</w:t>
      </w:r>
      <w:r w:rsidR="00DC21E1">
        <w:rPr>
          <w:rFonts w:ascii="宋体" w:hAnsi="宋体"/>
          <w:sz w:val="24"/>
        </w:rPr>
        <w:t>6</w:t>
      </w:r>
      <w:r>
        <w:rPr>
          <w:rFonts w:ascii="宋体" w:hAnsi="宋体"/>
          <w:sz w:val="24"/>
        </w:rPr>
        <w:t>0%-95%</w:t>
      </w:r>
      <w:r w:rsidR="00400284" w:rsidRPr="00400284">
        <w:rPr>
          <w:rFonts w:ascii="宋体" w:hAnsi="宋体" w:hint="eastAsia"/>
          <w:sz w:val="24"/>
        </w:rPr>
        <w:t>，其中投资于港股通标的股票的比例占股票资产的0%-50%</w:t>
      </w:r>
      <w:r>
        <w:rPr>
          <w:rFonts w:ascii="宋体" w:hAnsi="宋体"/>
          <w:sz w:val="24"/>
        </w:rPr>
        <w:t>；本基金投资于持续成长主题相关</w:t>
      </w:r>
      <w:r w:rsidR="00DE701B">
        <w:rPr>
          <w:rFonts w:hAnsi="宋体" w:hint="eastAsia"/>
          <w:bCs/>
          <w:sz w:val="24"/>
          <w:szCs w:val="24"/>
        </w:rPr>
        <w:t>股票</w:t>
      </w:r>
      <w:r>
        <w:rPr>
          <w:rFonts w:ascii="宋体" w:hAnsi="宋体"/>
          <w:sz w:val="24"/>
        </w:rPr>
        <w:t>的比例不低于非现金基金资产的80%；每个交易日日终在扣除股指期货合约需缴纳的交易保证金后，本基金保留的现金或者投资于到期日在一年以内的政府债券的比例合计不低于基金资产净值的5%，其中现金不包括结算备付金、存出保证金、应收申购款等。</w:t>
      </w:r>
    </w:p>
    <w:p w14:paraId="35B2008E"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如果法律法规或中国证监会变更投资品种的投资比例限制，基金管理人在履行适当程序后，可以调整上述投资品种的投资比例。</w:t>
      </w:r>
    </w:p>
    <w:p w14:paraId="08CC1F09" w14:textId="77777777" w:rsidR="00FB4D29" w:rsidRDefault="00CF4592">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（三）投资策略</w:t>
      </w:r>
    </w:p>
    <w:p w14:paraId="19CF3F6A"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通过定量与定性相结合的评价方法，评估其行业的持续成长性。通过对消费者需求变化趋势、产业结构变迁、全球技术创新和商业模式演化等多因素的分析和预测，得出各行业的相对投资价值与投资时机。除行业的持续成长性评估之外，本基金将基于对相关个股深入的基本面研究和细致的实地调研，结合交银施罗德企业成长性评价体系从行业前景、公司质量和成长性质量等方面对上市公司的持</w:t>
      </w:r>
      <w:r>
        <w:rPr>
          <w:rFonts w:ascii="宋体" w:hAnsi="宋体"/>
          <w:sz w:val="24"/>
        </w:rPr>
        <w:lastRenderedPageBreak/>
        <w:t>续成长性进行综合评价，精选个股，力争实现基金资产的长期稳定增值。</w:t>
      </w:r>
    </w:p>
    <w:p w14:paraId="3EC08041"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1、资产配置</w:t>
      </w:r>
    </w:p>
    <w:p w14:paraId="7A0500AC" w14:textId="1D258709"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本基金利用经交银施罗德研究团队修正后的投资时钟分析框架，通过“自上而下”的定性分析和定量分析相结合形成对不同资产市场表现的预测和判断，确定基金资产在</w:t>
      </w:r>
      <w:r w:rsidR="00400284" w:rsidRPr="00400284">
        <w:rPr>
          <w:rFonts w:ascii="宋体" w:hAnsi="宋体" w:hint="eastAsia"/>
          <w:sz w:val="24"/>
        </w:rPr>
        <w:t>沪深A股、港股</w:t>
      </w:r>
      <w:r>
        <w:rPr>
          <w:rFonts w:ascii="宋体" w:hAnsi="宋体"/>
          <w:sz w:val="24"/>
        </w:rPr>
        <w:t>、债券及货币市场工具等各类别资产间的分配比例，并随着各类证券风险收益特征的相对变化，在基金合同约定的范围内动态调整组合中各类资产的比例，以规避或控制市场风险，提高基金收益率。</w:t>
      </w:r>
    </w:p>
    <w:p w14:paraId="2CF7B621"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2、股票投资</w:t>
      </w:r>
    </w:p>
    <w:p w14:paraId="3612DC57"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的投资对象为具备充分成长空间和拥有持续成长性的公司。本基金将充分发挥研究团队自下而上的选股能力，基于对个股深入的基本面研究和细致的实地调研，精选股票构建投资组合。具体分以下两个层次。</w:t>
      </w:r>
    </w:p>
    <w:p w14:paraId="0C9BD2F8"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通过定量与定性相结合的评价方法，评估其行业地位和业绩持续成长性。本基金将结合中长期中国经济结构调整优化的方向，通过消费者需求变化趋势、产业结构变迁、全球技术创新和商业模式演化等多因素的分析和预测，确定宏观及行业经济变量的变动对不同行业的潜在影响，得出各行业的相对投资价值与投资时机。具体操作中，本基金从经济周期因素评估、行业政策因素评估和行业基本面指标评估（包括行业生命周期、行业发展趋势和发展空间、行业内竞争态势、行业收入及利润增长情况等）等方面评估持续成长性行业。</w:t>
      </w:r>
    </w:p>
    <w:p w14:paraId="50F93402"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在行业的持续成长性评估之外，本基金将基于对相关个股深入的基本面研究和细致的实地调研，结合交银施罗德企业成长性评价体系对企业的持续成长性进行综合评价。</w:t>
      </w:r>
    </w:p>
    <w:p w14:paraId="4A72B750" w14:textId="43BA16EC" w:rsidR="00400284" w:rsidRPr="00400284" w:rsidRDefault="00CF4592" w:rsidP="00400284">
      <w:pPr>
        <w:autoSpaceDE w:val="0"/>
        <w:autoSpaceDN w:val="0"/>
        <w:adjustRightInd w:val="0"/>
        <w:snapToGrid w:val="0"/>
        <w:spacing w:line="360" w:lineRule="auto"/>
        <w:ind w:firstLineChars="200" w:firstLine="480"/>
        <w:jc w:val="left"/>
        <w:rPr>
          <w:rFonts w:ascii="宋体" w:hAnsi="宋体"/>
          <w:sz w:val="24"/>
        </w:rPr>
      </w:pPr>
      <w:r>
        <w:rPr>
          <w:rFonts w:ascii="宋体" w:hAnsi="宋体"/>
          <w:sz w:val="24"/>
        </w:rPr>
        <w:t>本基金投资存托凭证的策略依照境内上市交易的股票投资策略执行。</w:t>
      </w:r>
    </w:p>
    <w:p w14:paraId="2DEF4205" w14:textId="77777777" w:rsidR="00400284" w:rsidRPr="00400284" w:rsidRDefault="00400284" w:rsidP="00400284">
      <w:pPr>
        <w:autoSpaceDE w:val="0"/>
        <w:autoSpaceDN w:val="0"/>
        <w:adjustRightInd w:val="0"/>
        <w:snapToGrid w:val="0"/>
        <w:spacing w:line="360" w:lineRule="auto"/>
        <w:ind w:firstLineChars="200" w:firstLine="480"/>
        <w:jc w:val="left"/>
        <w:rPr>
          <w:rFonts w:ascii="宋体" w:hAnsi="宋体"/>
          <w:sz w:val="24"/>
        </w:rPr>
      </w:pPr>
      <w:r w:rsidRPr="00400284">
        <w:rPr>
          <w:rFonts w:ascii="宋体" w:hAnsi="宋体" w:hint="eastAsia"/>
          <w:sz w:val="24"/>
        </w:rPr>
        <w:t>本基金可通过内地与香港股票市场交易互联互通机制投资于香港股票市场。本基金优先将基本面健康、业绩向上弹性较大、具有估值优势的港股纳入本基金的股票投资组合。</w:t>
      </w:r>
    </w:p>
    <w:p w14:paraId="49FE81DB" w14:textId="77777777" w:rsidR="00400284" w:rsidRDefault="00400284" w:rsidP="00400284">
      <w:pPr>
        <w:autoSpaceDE w:val="0"/>
        <w:autoSpaceDN w:val="0"/>
        <w:adjustRightInd w:val="0"/>
        <w:snapToGrid w:val="0"/>
        <w:spacing w:line="360" w:lineRule="auto"/>
        <w:ind w:firstLineChars="200" w:firstLine="480"/>
        <w:jc w:val="left"/>
        <w:rPr>
          <w:rFonts w:ascii="宋体" w:hAnsi="宋体"/>
          <w:sz w:val="24"/>
        </w:rPr>
      </w:pPr>
      <w:r w:rsidRPr="00400284">
        <w:rPr>
          <w:rFonts w:ascii="宋体" w:hAnsi="宋体" w:hint="eastAsia"/>
          <w:sz w:val="24"/>
        </w:rPr>
        <w:t>本基金可根据投资策略需要或不同配置地市场环境的变化，选择将部分基金资产投资于港股或选择不将基金资产投资于港股，基金资产并非必然投资港股。</w:t>
      </w:r>
    </w:p>
    <w:p w14:paraId="3D42125B" w14:textId="09E24F07" w:rsidR="00FB4D29" w:rsidRDefault="00CF4592" w:rsidP="0040028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本基金所指持续成长主题型公司为：</w:t>
      </w:r>
    </w:p>
    <w:p w14:paraId="2AC7131D"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 公司业务发展方向在技术上或商业模式上具有竞争优势，符合需求变化特征，契合消费需求变化趋势；</w:t>
      </w:r>
    </w:p>
    <w:p w14:paraId="32351927"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 公司拥有难以被竞争对手模仿的竞争优势，如在资源、技术、人才、资金、经营许可证、销售网络等方面的优势；</w:t>
      </w:r>
    </w:p>
    <w:p w14:paraId="3A12A9EF"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 公司治理结构完善、拥有良好管理团队，具备清晰的公司发展战略，企业经营具备持续成长潜力。</w:t>
      </w:r>
    </w:p>
    <w:p w14:paraId="790E1B93"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3、债券投资</w:t>
      </w:r>
    </w:p>
    <w:p w14:paraId="2D44C9DE"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本基金的债券投资采取主动的投资管理方式，获得与风险相匹配的投资收益，以实现在一定程度上规避股票市场的系统性风险和保证基金资产的流动性。</w:t>
      </w:r>
    </w:p>
    <w:p w14:paraId="4301200A" w14:textId="1ACC4EDB"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全球经济的框架下，本基金管理人对宏观经济运行趋势及其引致的财政货币政策变化作出判断，运用数量化工具，对未来市场利率趋势及市场信用环境变化作出预测，并综合考虑利率变化对不同债券品种的影响、收益率水平、信用风险的大小、流动性的好坏等因素，构造债券组合。在具体操作中，本基金运用久期管理策略、类属配置策略、收益率曲线配置策略、杠杆放大策略及信用债券、可转换债券投资等多种策略，</w:t>
      </w:r>
      <w:r w:rsidR="00400284">
        <w:rPr>
          <w:rFonts w:ascii="宋体" w:hAnsi="宋体" w:hint="eastAsia"/>
          <w:sz w:val="24"/>
        </w:rPr>
        <w:t>以期</w:t>
      </w:r>
      <w:r>
        <w:rPr>
          <w:rFonts w:ascii="宋体" w:hAnsi="宋体"/>
          <w:sz w:val="24"/>
        </w:rPr>
        <w:t>获取债券市场的长期稳定收益。</w:t>
      </w:r>
    </w:p>
    <w:p w14:paraId="1D370A09"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（1）久期管理策略</w:t>
      </w:r>
    </w:p>
    <w:p w14:paraId="6388AC0C"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全球经济的框架下，本基金管理人对宏观经济运行趋势及其引致的财政货币政策变化做出判断，密切跟踪CPI、PPI、汇率、M2等利率敏感指标，运用数量化工具，对未来市场利率趋势进行分析与预测，并据此确定合理的债券组合目标久期。</w:t>
      </w:r>
    </w:p>
    <w:p w14:paraId="0D3D2BB8"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（2）类属配置策略</w:t>
      </w:r>
    </w:p>
    <w:p w14:paraId="7EC2DFC5"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定性和定量地分析不同类属债券类资产的信用风险、流动性风险及其经风险调整后的收益率水平或盈利能力，通过比较或合理预期不同类属债券类资产的风险与收益率变化，确定并动态地调整不同类属债券类资产间的配置比例。在控制信用风险和流动性风险为主的基金总体风险水平的前提下，谋求更高的经风险调整后的稳定收益。</w:t>
      </w:r>
    </w:p>
    <w:p w14:paraId="150F9609"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（3）收益率曲线配置策略</w:t>
      </w:r>
    </w:p>
    <w:p w14:paraId="11FB885A"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本基金将通过预期收益率曲线形态变化来调整投资组合的头寸。在考察收益率曲线的基础上，将确定采用子弹策略、哑铃策略或梯形策略等，以从收益率曲线的形变中获利。</w:t>
      </w:r>
    </w:p>
    <w:p w14:paraId="79AA9732"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（4）杠杆放大策略</w:t>
      </w:r>
    </w:p>
    <w:p w14:paraId="20774357"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当回购利率低于债券收益率时，本基金将通过正回购融入资金并投资于信用债券等可投资标的，从而获取收益率超出回购资金成本（即回购利率）的套利价值。</w:t>
      </w:r>
    </w:p>
    <w:p w14:paraId="1A5F22EB"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（5）信用债券投资策略</w:t>
      </w:r>
    </w:p>
    <w:p w14:paraId="4ECB61B2"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本基金通过交银施罗德的信用债券信用评级指标体系，对信用债券进行信用评级，并在信用评级的基础上，建立本基金的信用债券池。基金经理从信用债券池中精选债券构建信用债券投资组合。</w:t>
      </w:r>
    </w:p>
    <w:p w14:paraId="6B6FB8B6" w14:textId="4CE1E5E8"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（6）可转换债券</w:t>
      </w:r>
      <w:r w:rsidR="00943A96" w:rsidRPr="00143DCA">
        <w:rPr>
          <w:rFonts w:ascii="Times New Roman" w:hAnsi="Times New Roman" w:hint="eastAsia"/>
          <w:bCs/>
          <w:sz w:val="24"/>
        </w:rPr>
        <w:t>与可交换公司债券</w:t>
      </w:r>
      <w:r>
        <w:rPr>
          <w:rFonts w:ascii="宋体" w:hAnsi="宋体"/>
          <w:sz w:val="24"/>
        </w:rPr>
        <w:t>投资策略</w:t>
      </w:r>
    </w:p>
    <w:p w14:paraId="380E1029" w14:textId="2A1E9F46"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本基金对于可转换债券</w:t>
      </w:r>
      <w:r w:rsidR="00943A96" w:rsidRPr="00143DCA">
        <w:rPr>
          <w:rFonts w:ascii="Times New Roman" w:hAnsi="Times New Roman" w:hint="eastAsia"/>
          <w:bCs/>
          <w:sz w:val="24"/>
        </w:rPr>
        <w:t>与可交换公司债券</w:t>
      </w:r>
      <w:r>
        <w:rPr>
          <w:rFonts w:ascii="宋体" w:hAnsi="宋体"/>
          <w:sz w:val="24"/>
        </w:rPr>
        <w:t>股性的研究将完全依托于公司投研团队对标的股票的研究，在此基础上利用可转换债券</w:t>
      </w:r>
      <w:r w:rsidR="00943A96" w:rsidRPr="00143DCA">
        <w:rPr>
          <w:rFonts w:ascii="Times New Roman" w:hAnsi="Times New Roman" w:hint="eastAsia"/>
          <w:bCs/>
          <w:sz w:val="24"/>
        </w:rPr>
        <w:t>与可交换公司债券</w:t>
      </w:r>
      <w:r>
        <w:rPr>
          <w:rFonts w:ascii="宋体" w:hAnsi="宋体"/>
          <w:sz w:val="24"/>
        </w:rPr>
        <w:t>定价模型，充分考虑转债发行后目标转债标的股票股价波动率可能出现的变化，对目标转债的股性进行合理定价。通过对标的转债股性与债性的合理定价，力求寻找出被市场低估的品种，构建本基金可转换债券</w:t>
      </w:r>
      <w:r w:rsidR="00943A96" w:rsidRPr="00143DCA">
        <w:rPr>
          <w:rFonts w:ascii="Times New Roman" w:hAnsi="Times New Roman" w:hint="eastAsia"/>
          <w:bCs/>
          <w:sz w:val="24"/>
        </w:rPr>
        <w:t>与可交换公司债券</w:t>
      </w:r>
      <w:r>
        <w:rPr>
          <w:rFonts w:ascii="宋体" w:hAnsi="宋体"/>
          <w:sz w:val="24"/>
        </w:rPr>
        <w:t>的投资组合。</w:t>
      </w:r>
    </w:p>
    <w:p w14:paraId="38EF80A9" w14:textId="3CA14833" w:rsidR="00FB4D29" w:rsidRDefault="00CF4592" w:rsidP="0040028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4、资产支持证券投资</w:t>
      </w:r>
    </w:p>
    <w:p w14:paraId="5727AD4F"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将通过宏观经济、提前偿还率、资产池结构及资产池资产所在行业景气变化等因素的研究，预测资产池未来现金流变化；研究标的证券发行条款，预测提前偿还率变化对标的证券的久期与收益率的影响，同时密切关注流动性对标的证券收益率的影响。综合运用久期管理、收益率曲线、个券选择和把握市场交易机会等积极策略，在严格控制风险的情况下，通过信用研究和流动性管理，选择风险调整后的收益高的品种进行投资，以期获得长期稳定收益。</w:t>
      </w:r>
    </w:p>
    <w:p w14:paraId="28308857" w14:textId="125BA2EC" w:rsidR="00FB4D29" w:rsidRDefault="0040028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w:t>
      </w:r>
      <w:r w:rsidR="00CF4592">
        <w:rPr>
          <w:rFonts w:ascii="宋体" w:hAnsi="宋体"/>
          <w:sz w:val="24"/>
        </w:rPr>
        <w:t>、股指期货投资</w:t>
      </w:r>
    </w:p>
    <w:p w14:paraId="68EB46DF"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参与股指期货投资将根据风险管理的原则，以套期保值为主要目的。本基金将在风险可控的前提下，本着谨慎原则，参与股指期货的投资，以管理投资组合的系统性风险，改善组合的风险收益特性。套期保值将主要采用流动性好、交易活跃的期货合约。本基金在进行股指期货投资时，将通过对证券市场和期货市场运行趋势的研究，并结合股指期货的定价模型寻求其合理的估值水平。</w:t>
      </w:r>
    </w:p>
    <w:p w14:paraId="250ACDFA"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针对股指期货交易制订严格的授权管理制度和投资决策流程，确保研究分析、投资决策、交易执行及风险控制各环节的独立运作，并明确相关岗位职责。此外，基金管理人建立股指期货交易决策部门或小组，并授权特定的管理人员负责股指期货的投资审批事项。</w:t>
      </w:r>
    </w:p>
    <w:p w14:paraId="2A8CB80E" w14:textId="77777777" w:rsidR="00FB4D29" w:rsidRDefault="00CF4592">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（四）投资限制</w:t>
      </w:r>
    </w:p>
    <w:p w14:paraId="737DA875"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1、组合限制</w:t>
      </w:r>
    </w:p>
    <w:p w14:paraId="36B47343"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基金的投资组合应遵循以下限制：</w:t>
      </w:r>
    </w:p>
    <w:p w14:paraId="43B69467" w14:textId="620F8E06"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（1）股票资产（含存托凭证）占基金资产的</w:t>
      </w:r>
      <w:r w:rsidR="00DC21E1">
        <w:rPr>
          <w:rFonts w:ascii="宋体" w:hAnsi="宋体"/>
          <w:sz w:val="24"/>
        </w:rPr>
        <w:t>60</w:t>
      </w:r>
      <w:r>
        <w:rPr>
          <w:rFonts w:ascii="宋体" w:hAnsi="宋体"/>
          <w:sz w:val="24"/>
        </w:rPr>
        <w:t>%-95%</w:t>
      </w:r>
      <w:r w:rsidR="00400284" w:rsidRPr="00400284">
        <w:rPr>
          <w:rFonts w:ascii="宋体" w:hAnsi="宋体" w:hint="eastAsia"/>
          <w:sz w:val="24"/>
        </w:rPr>
        <w:t>，其中投资于港股通标的股票的比例占股票资产的0%-50%</w:t>
      </w:r>
      <w:r>
        <w:rPr>
          <w:rFonts w:ascii="宋体" w:hAnsi="宋体"/>
          <w:sz w:val="24"/>
        </w:rPr>
        <w:t>；本基金投资于持续成长主题相关</w:t>
      </w:r>
      <w:r w:rsidR="00DE701B">
        <w:rPr>
          <w:rFonts w:hAnsi="宋体" w:hint="eastAsia"/>
          <w:bCs/>
          <w:sz w:val="24"/>
          <w:szCs w:val="24"/>
        </w:rPr>
        <w:t>股票</w:t>
      </w:r>
      <w:r>
        <w:rPr>
          <w:rFonts w:ascii="宋体" w:hAnsi="宋体"/>
          <w:sz w:val="24"/>
        </w:rPr>
        <w:t>的比例不低于非现金基金资产的80%；</w:t>
      </w:r>
    </w:p>
    <w:p w14:paraId="4E67FCB3"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（2）每个交易日日终在扣除股指期货合约需缴纳的交易保证金后，保持不低于基金资产净值5%的现金或者到期日在一年以内的政府债券，其中现金不包括结算备付金、存出保证金、应收申购款等；</w:t>
      </w:r>
    </w:p>
    <w:p w14:paraId="06562B3C" w14:textId="0B55C7F2"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（3）本基金持有一家公司发行的证券</w:t>
      </w:r>
      <w:r w:rsidR="00400284" w:rsidRPr="00DA3E3E">
        <w:rPr>
          <w:rFonts w:hint="eastAsia"/>
          <w:bCs/>
          <w:sz w:val="24"/>
        </w:rPr>
        <w:t>（同一家公司在内地和香港同时上市的</w:t>
      </w:r>
      <w:r w:rsidR="00400284" w:rsidRPr="00F82365">
        <w:rPr>
          <w:rFonts w:ascii="宋体" w:hAnsi="宋体"/>
          <w:sz w:val="24"/>
        </w:rPr>
        <w:t>A+H</w:t>
      </w:r>
      <w:r w:rsidR="00400284" w:rsidRPr="00F82365">
        <w:rPr>
          <w:rFonts w:ascii="宋体" w:hAnsi="宋体" w:hint="eastAsia"/>
          <w:sz w:val="24"/>
        </w:rPr>
        <w:t>股合计计算）</w:t>
      </w:r>
      <w:r>
        <w:rPr>
          <w:rFonts w:ascii="宋体" w:hAnsi="宋体"/>
          <w:sz w:val="24"/>
        </w:rPr>
        <w:t>，其市值不超过基金资产净值的10%；</w:t>
      </w:r>
    </w:p>
    <w:p w14:paraId="32C545DC" w14:textId="0A5E846F"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（4）本基金管理人管理的全部基金持有一家公司发行的证券</w:t>
      </w:r>
      <w:r w:rsidR="00400284" w:rsidRPr="00400284">
        <w:rPr>
          <w:rFonts w:ascii="宋体" w:hAnsi="宋体" w:hint="eastAsia"/>
          <w:sz w:val="24"/>
        </w:rPr>
        <w:t>（同一家公司在内地和香港同时上市的A+H股合计计算）</w:t>
      </w:r>
      <w:r>
        <w:rPr>
          <w:rFonts w:ascii="宋体" w:hAnsi="宋体"/>
          <w:sz w:val="24"/>
        </w:rPr>
        <w:t>，不超过该证券的10%</w:t>
      </w:r>
      <w:r w:rsidR="00D4701B" w:rsidRPr="00DA3E3E">
        <w:rPr>
          <w:rFonts w:hint="eastAsia"/>
          <w:bCs/>
          <w:sz w:val="24"/>
        </w:rPr>
        <w:t>，完全按照有关指数的构成比例进行证券投资的基金品种可以不受此条款规定的比例限制</w:t>
      </w:r>
      <w:r>
        <w:rPr>
          <w:rFonts w:ascii="宋体" w:hAnsi="宋体"/>
          <w:sz w:val="24"/>
        </w:rPr>
        <w:t>；</w:t>
      </w:r>
    </w:p>
    <w:p w14:paraId="1922118F" w14:textId="0578131B" w:rsidR="00FB4D29" w:rsidRDefault="00CF4592" w:rsidP="00D4701B">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本基金管理人管理的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公司可流通股票的30%；</w:t>
      </w:r>
      <w:r w:rsidR="00CC5849" w:rsidRPr="00CC5849">
        <w:rPr>
          <w:rFonts w:ascii="宋体" w:hAnsi="宋体" w:hint="eastAsia"/>
          <w:bCs/>
          <w:sz w:val="24"/>
        </w:rPr>
        <w:t>完全按照有关指数的构成比例进行证券投资的开放式基金以及中国证监会认定的特殊投资组合可不受前述比例限制</w:t>
      </w:r>
      <w:r w:rsidR="00CC5849">
        <w:rPr>
          <w:rFonts w:ascii="宋体" w:hAnsi="宋体" w:hint="eastAsia"/>
          <w:bCs/>
          <w:sz w:val="24"/>
        </w:rPr>
        <w:t>；</w:t>
      </w:r>
    </w:p>
    <w:p w14:paraId="4B0859D0" w14:textId="6A81AB4D"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sidR="00D4701B">
        <w:rPr>
          <w:rFonts w:ascii="宋体" w:hAnsi="宋体"/>
          <w:sz w:val="24"/>
        </w:rPr>
        <w:t>6</w:t>
      </w:r>
      <w:r>
        <w:rPr>
          <w:rFonts w:ascii="宋体" w:hAnsi="宋体"/>
          <w:sz w:val="24"/>
        </w:rPr>
        <w:t>）本基金主动投资于流动性受限资产的市值合计不得超过本基金资产净值的15%；因证券市场波动、上市公司股票停牌、基金规模变动等基金管理人之外的因素致使基金不符合该比例限制的，基金管理人不得主动新增流动性受限资产的投资；</w:t>
      </w:r>
    </w:p>
    <w:p w14:paraId="1A6A699D" w14:textId="0B95A788"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sidR="00D4701B">
        <w:rPr>
          <w:rFonts w:ascii="宋体" w:hAnsi="宋体" w:hint="eastAsia"/>
          <w:sz w:val="24"/>
        </w:rPr>
        <w:t>7</w:t>
      </w:r>
      <w:r>
        <w:rPr>
          <w:rFonts w:ascii="宋体" w:hAnsi="宋体"/>
          <w:sz w:val="24"/>
        </w:rPr>
        <w:t>）本基金与私募类证券资管产品及中国证监会认定的其他主体为交易对手开展逆回购交易的，可接受质押品的资质要求应当与基金合同约定的投资范围保持一致；</w:t>
      </w:r>
    </w:p>
    <w:p w14:paraId="7F6278D5" w14:textId="0748B7DE"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sidR="00D4701B">
        <w:rPr>
          <w:rFonts w:ascii="宋体" w:hAnsi="宋体"/>
          <w:sz w:val="24"/>
        </w:rPr>
        <w:t>8</w:t>
      </w:r>
      <w:r>
        <w:rPr>
          <w:rFonts w:ascii="宋体" w:hAnsi="宋体"/>
          <w:sz w:val="24"/>
        </w:rPr>
        <w:t>）本基金投资于同一原始权益人的各类资产支持证券的比例，不得超过基金资产净值的10%；</w:t>
      </w:r>
    </w:p>
    <w:p w14:paraId="7FC28A8C" w14:textId="0BC2809D"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sidR="00D4701B">
        <w:rPr>
          <w:rFonts w:ascii="宋体" w:hAnsi="宋体"/>
          <w:sz w:val="24"/>
        </w:rPr>
        <w:t>9</w:t>
      </w:r>
      <w:r>
        <w:rPr>
          <w:rFonts w:ascii="宋体" w:hAnsi="宋体"/>
          <w:sz w:val="24"/>
        </w:rPr>
        <w:t>）本基金持有的全部资产支持证券，其市值不得超过基金资产净值的20%；</w:t>
      </w:r>
    </w:p>
    <w:p w14:paraId="654A10C6" w14:textId="3FCCCD05"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w:t>
      </w:r>
      <w:r w:rsidR="00D4701B">
        <w:rPr>
          <w:rFonts w:ascii="宋体" w:hAnsi="宋体"/>
          <w:sz w:val="24"/>
        </w:rPr>
        <w:t>0</w:t>
      </w:r>
      <w:r>
        <w:rPr>
          <w:rFonts w:ascii="宋体" w:hAnsi="宋体"/>
          <w:sz w:val="24"/>
        </w:rPr>
        <w:t>）本基金持有的同一（指同一信用级别）资产支持证券的比例，不得超过该资产支持证券规模的10%；</w:t>
      </w:r>
    </w:p>
    <w:p w14:paraId="657255C4" w14:textId="2EE20552"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w:t>
      </w:r>
      <w:r w:rsidR="00D4701B">
        <w:rPr>
          <w:rFonts w:ascii="宋体" w:hAnsi="宋体"/>
          <w:sz w:val="24"/>
        </w:rPr>
        <w:t>1</w:t>
      </w:r>
      <w:r>
        <w:rPr>
          <w:rFonts w:ascii="宋体" w:hAnsi="宋体"/>
          <w:sz w:val="24"/>
        </w:rPr>
        <w:t>）本基金管理人管理的全部基金投资于同一原始权益人的各类资产支持证券，不得超过其各类资产支持证券合计规模的10%；</w:t>
      </w:r>
    </w:p>
    <w:p w14:paraId="6E51383C" w14:textId="2FF2DFB9"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（1</w:t>
      </w:r>
      <w:r w:rsidR="00D4701B">
        <w:rPr>
          <w:rFonts w:ascii="宋体" w:hAnsi="宋体"/>
          <w:sz w:val="24"/>
        </w:rPr>
        <w:t>2</w:t>
      </w:r>
      <w:r>
        <w:rPr>
          <w:rFonts w:ascii="宋体" w:hAnsi="宋体"/>
          <w:sz w:val="24"/>
        </w:rPr>
        <w:t>）本基金应投资于信用级别评级为BBB以上（含BBB）的资产支持证券。基金持有资产支持证券期间，如果其信用等级下降、不再符合投资标准，应在评级报告发布之日起3个月内予以全部卖出；</w:t>
      </w:r>
    </w:p>
    <w:p w14:paraId="3CE7558D" w14:textId="137D9A3F"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sidR="00D4701B">
        <w:rPr>
          <w:rFonts w:ascii="宋体" w:hAnsi="宋体"/>
          <w:sz w:val="24"/>
        </w:rPr>
        <w:t>13</w:t>
      </w:r>
      <w:r>
        <w:rPr>
          <w:rFonts w:ascii="宋体" w:hAnsi="宋体"/>
          <w:sz w:val="24"/>
        </w:rPr>
        <w:t>）基金财产参与股票发行申购，本基金所申报的金额不超过本基金的总资产，本基金所申报的股票数量不超过拟发行股票公司本次发行股票的总量；</w:t>
      </w:r>
    </w:p>
    <w:p w14:paraId="11C9D087" w14:textId="549314CA"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sidR="00D4701B">
        <w:rPr>
          <w:rFonts w:ascii="宋体" w:hAnsi="宋体"/>
          <w:sz w:val="24"/>
        </w:rPr>
        <w:t>14</w:t>
      </w:r>
      <w:r>
        <w:rPr>
          <w:rFonts w:ascii="宋体" w:hAnsi="宋体"/>
          <w:sz w:val="24"/>
        </w:rPr>
        <w:t>）本基金进入全国银行间同业市场进行债券回购的资金余额不得超过基金资产净值的40%，本基金在全国银行间同业市场中的债券回购最长期限为1年，债券回购到期后不得展期；</w:t>
      </w:r>
    </w:p>
    <w:p w14:paraId="06517768" w14:textId="2991622D"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sidR="00D4701B">
        <w:rPr>
          <w:rFonts w:ascii="宋体" w:hAnsi="宋体"/>
          <w:sz w:val="24"/>
        </w:rPr>
        <w:t>15</w:t>
      </w:r>
      <w:r>
        <w:rPr>
          <w:rFonts w:ascii="宋体" w:hAnsi="宋体"/>
          <w:sz w:val="24"/>
        </w:rPr>
        <w:t>）本基金若投资股指期货，则遵循以下投资比例限制：</w:t>
      </w:r>
    </w:p>
    <w:p w14:paraId="7E5E7245"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1）本基金在任何交易日日终，持有的买入股指期货合约价值，不得超过基金资产净值的10%；</w:t>
      </w:r>
    </w:p>
    <w:p w14:paraId="0852C8B1" w14:textId="49701530"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本基金在任何交易日日终，持有的买入期货合约价值与有价证券市值之和，不得超过基金资产净值的95%。其中，有价证券指股票、债券（不含到期日在一年以内的政府债券）、资产支持证券、买入返售金融资产（不含质押式回购）等；</w:t>
      </w:r>
    </w:p>
    <w:p w14:paraId="6AE9D915"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3）本基金在任何交易日日终，持有的卖出期货合约价值不得超过基金持有的股票总市值的20%；</w:t>
      </w:r>
    </w:p>
    <w:p w14:paraId="2839EFF8"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4）本基金所持有的股票市值和买入、卖出股指期货合约价值，合计（轧差计算）应当符合基金合同关于股票投资比例的有关约定；</w:t>
      </w:r>
    </w:p>
    <w:p w14:paraId="51B7C1F4"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5）本基金在任何交易日内交易（不包括平仓）的股指期货合约的成交金额不得超过上一交易日基金资产净值的20%；</w:t>
      </w:r>
    </w:p>
    <w:p w14:paraId="119884B6" w14:textId="6BE9BF28"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sidR="00D4701B">
        <w:rPr>
          <w:rFonts w:ascii="宋体" w:hAnsi="宋体"/>
          <w:sz w:val="24"/>
        </w:rPr>
        <w:t>16</w:t>
      </w:r>
      <w:r>
        <w:rPr>
          <w:rFonts w:ascii="宋体" w:hAnsi="宋体"/>
          <w:sz w:val="24"/>
        </w:rPr>
        <w:t>）本基金的基金资产总值不得超过基金资产净值的140%；</w:t>
      </w:r>
    </w:p>
    <w:p w14:paraId="2327F024" w14:textId="015750E1"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sidR="00D4701B">
        <w:rPr>
          <w:rFonts w:ascii="宋体" w:hAnsi="宋体"/>
          <w:sz w:val="24"/>
        </w:rPr>
        <w:t>17</w:t>
      </w:r>
      <w:r>
        <w:rPr>
          <w:rFonts w:ascii="宋体" w:hAnsi="宋体"/>
          <w:sz w:val="24"/>
        </w:rPr>
        <w:t>）本基金投资流通受限证券，基金管理人应事先根据中国证监会相关规定，与基金托管人在基金托管协议中明确基金投资流通受限证券的比例，根据比例进行投资。基金管理人应制订严格的投资决策流程和风险控制制度，防范流动性风险、法律风险和操作风险等各种风险；</w:t>
      </w:r>
    </w:p>
    <w:p w14:paraId="4E346D7E" w14:textId="0DC67838"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sidR="00D4701B">
        <w:rPr>
          <w:rFonts w:ascii="宋体" w:hAnsi="宋体"/>
          <w:sz w:val="24"/>
        </w:rPr>
        <w:t>18</w:t>
      </w:r>
      <w:r>
        <w:rPr>
          <w:rFonts w:ascii="宋体" w:hAnsi="宋体"/>
          <w:sz w:val="24"/>
        </w:rPr>
        <w:t>）本基金投资存托凭证的比例限制依照境内上市交易的股票执行；</w:t>
      </w:r>
    </w:p>
    <w:p w14:paraId="4C596180" w14:textId="11FEC3D4"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sidR="00D4701B">
        <w:rPr>
          <w:rFonts w:ascii="宋体" w:hAnsi="宋体"/>
          <w:sz w:val="24"/>
        </w:rPr>
        <w:t>19</w:t>
      </w:r>
      <w:r>
        <w:rPr>
          <w:rFonts w:ascii="宋体" w:hAnsi="宋体"/>
          <w:sz w:val="24"/>
        </w:rPr>
        <w:t>）法律法规及中国证监会规定的和《基金合同》约定的其他投资限制。</w:t>
      </w:r>
    </w:p>
    <w:p w14:paraId="1BFE4677" w14:textId="7B68DF1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除上述第（2）项、第（</w:t>
      </w:r>
      <w:r w:rsidR="00D4701B">
        <w:rPr>
          <w:rFonts w:ascii="宋体" w:hAnsi="宋体" w:hint="eastAsia"/>
          <w:sz w:val="24"/>
        </w:rPr>
        <w:t>6</w:t>
      </w:r>
      <w:r>
        <w:rPr>
          <w:rFonts w:ascii="宋体" w:hAnsi="宋体"/>
          <w:sz w:val="24"/>
        </w:rPr>
        <w:t>）项、第（</w:t>
      </w:r>
      <w:r w:rsidR="00D4701B">
        <w:rPr>
          <w:rFonts w:ascii="宋体" w:hAnsi="宋体"/>
          <w:sz w:val="24"/>
        </w:rPr>
        <w:t>7</w:t>
      </w:r>
      <w:r>
        <w:rPr>
          <w:rFonts w:ascii="宋体" w:hAnsi="宋体"/>
          <w:sz w:val="24"/>
        </w:rPr>
        <w:t>）项、第（1</w:t>
      </w:r>
      <w:r w:rsidR="00D4701B">
        <w:rPr>
          <w:rFonts w:ascii="宋体" w:hAnsi="宋体"/>
          <w:sz w:val="24"/>
        </w:rPr>
        <w:t>2</w:t>
      </w:r>
      <w:r>
        <w:rPr>
          <w:rFonts w:ascii="宋体" w:hAnsi="宋体"/>
          <w:sz w:val="24"/>
        </w:rPr>
        <w:t>）项以外，因证券、期货市场波动、证券发行人合并或基金规模变动等基金管理人之外的因素致使基金投资</w:t>
      </w:r>
      <w:r>
        <w:rPr>
          <w:rFonts w:ascii="宋体" w:hAnsi="宋体"/>
          <w:sz w:val="24"/>
        </w:rPr>
        <w:lastRenderedPageBreak/>
        <w:t>比例不符合上述规定投资比例的，基金管理人应当在10个交易日内进行调整，但中国证监会规定的特殊情形除外。法律法规另有规定的，从其规定。</w:t>
      </w:r>
    </w:p>
    <w:p w14:paraId="04E20A57"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14:paraId="6EB36D8A"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法律法规对上述投资组合比例限制进行变更的，以变更后的规定为准。法律法规或监管部门取消上述限制，如适用于本基金，基金管理人在履行适当程序后，则本基金投资不再受相关限制。</w:t>
      </w:r>
    </w:p>
    <w:p w14:paraId="747E4157"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2、禁止行为</w:t>
      </w:r>
    </w:p>
    <w:p w14:paraId="2A9D8A56"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为维护基金份额持有人的合法权益，基金财产不得用于下列投资或者活动：</w:t>
      </w:r>
    </w:p>
    <w:p w14:paraId="78D0D616"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（1）承销证券；</w:t>
      </w:r>
    </w:p>
    <w:p w14:paraId="7EB209D1"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（2）违反规定向他人贷款或者提供担保；</w:t>
      </w:r>
    </w:p>
    <w:p w14:paraId="0F2F92A3"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（3）从事承担无限责任的投资；</w:t>
      </w:r>
    </w:p>
    <w:p w14:paraId="2F19267F"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（4）买卖其他基金份额，但是中国证监会另有规定的除外；</w:t>
      </w:r>
    </w:p>
    <w:p w14:paraId="72E6A136"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（5）向其基金管理人、基金托管人出资；</w:t>
      </w:r>
    </w:p>
    <w:p w14:paraId="14C394F9"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（6）从事内幕交易、操纵证券交易价格及其他不正当的证券交易活动；</w:t>
      </w:r>
    </w:p>
    <w:p w14:paraId="2E36CDC7"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（7）法律、行政法规和中国证监会规定禁止的其他活动。</w:t>
      </w:r>
    </w:p>
    <w:p w14:paraId="0781236A"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如法律、行政法规或监管部门取消上述禁止性规定，如适用于本基金，基金管理人在履行适当程序后，本基金可不受上述规定的限制。</w:t>
      </w:r>
    </w:p>
    <w:p w14:paraId="00104FDE" w14:textId="77777777" w:rsidR="00745075" w:rsidRPr="00745075" w:rsidRDefault="00CF4592" w:rsidP="00745075">
      <w:pPr>
        <w:autoSpaceDE w:val="0"/>
        <w:autoSpaceDN w:val="0"/>
        <w:adjustRightInd w:val="0"/>
        <w:snapToGrid w:val="0"/>
        <w:spacing w:line="360" w:lineRule="auto"/>
        <w:ind w:firstLineChars="200" w:firstLine="480"/>
        <w:jc w:val="left"/>
        <w:rPr>
          <w:rFonts w:ascii="宋体" w:hAnsi="宋体"/>
          <w:sz w:val="24"/>
        </w:rPr>
      </w:pPr>
      <w:r>
        <w:rPr>
          <w:rFonts w:ascii="宋体" w:hAnsi="宋体"/>
          <w:sz w:val="24"/>
        </w:rPr>
        <w:t>3、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00383E01" w14:textId="0CD4964C" w:rsidR="00FB4D29" w:rsidRDefault="00745075" w:rsidP="00745075">
      <w:pPr>
        <w:autoSpaceDE w:val="0"/>
        <w:autoSpaceDN w:val="0"/>
        <w:adjustRightInd w:val="0"/>
        <w:snapToGrid w:val="0"/>
        <w:spacing w:line="360" w:lineRule="auto"/>
        <w:ind w:firstLineChars="200" w:firstLine="480"/>
        <w:jc w:val="left"/>
        <w:rPr>
          <w:rFonts w:ascii="宋体" w:hAnsi="宋体"/>
          <w:szCs w:val="24"/>
        </w:rPr>
      </w:pPr>
      <w:r w:rsidRPr="00745075">
        <w:rPr>
          <w:rFonts w:ascii="宋体" w:hAnsi="宋体" w:hint="eastAsia"/>
          <w:sz w:val="24"/>
        </w:rPr>
        <w:t>如法律、行政法规或监管部门取消上述规定，如适用于本基金，基金管理人在履行适当程序后，本基金可不受上述规定的限制。</w:t>
      </w:r>
    </w:p>
    <w:p w14:paraId="08AF4B16" w14:textId="77777777" w:rsidR="00FB4D29" w:rsidRDefault="00CF4592">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（五）业绩比较基准</w:t>
      </w:r>
    </w:p>
    <w:p w14:paraId="47E0509A" w14:textId="6764BACB" w:rsidR="00FB4D29" w:rsidRDefault="0074507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70</w:t>
      </w:r>
      <w:r w:rsidR="00CF4592">
        <w:rPr>
          <w:rFonts w:ascii="宋体" w:hAnsi="宋体"/>
          <w:sz w:val="24"/>
        </w:rPr>
        <w:t>%×沪深300指数收益率</w:t>
      </w:r>
      <w:r w:rsidRPr="00745075">
        <w:rPr>
          <w:rFonts w:ascii="宋体" w:hAnsi="宋体" w:hint="eastAsia"/>
          <w:sz w:val="24"/>
        </w:rPr>
        <w:t>+</w:t>
      </w:r>
      <w:r w:rsidR="00DF2A8D">
        <w:rPr>
          <w:rFonts w:ascii="宋体" w:hAnsi="宋体"/>
          <w:sz w:val="24"/>
        </w:rPr>
        <w:t>10</w:t>
      </w:r>
      <w:r w:rsidRPr="00745075">
        <w:rPr>
          <w:rFonts w:ascii="宋体" w:hAnsi="宋体" w:hint="eastAsia"/>
          <w:sz w:val="24"/>
        </w:rPr>
        <w:t>%×恒生指数收益率</w:t>
      </w:r>
      <w:r w:rsidR="00CF4592">
        <w:rPr>
          <w:rFonts w:ascii="宋体" w:hAnsi="宋体"/>
          <w:sz w:val="24"/>
        </w:rPr>
        <w:t>+2</w:t>
      </w:r>
      <w:r w:rsidR="00DF2A8D">
        <w:rPr>
          <w:rFonts w:ascii="宋体" w:hAnsi="宋体"/>
          <w:sz w:val="24"/>
        </w:rPr>
        <w:t>0</w:t>
      </w:r>
      <w:r w:rsidR="00CF4592">
        <w:rPr>
          <w:rFonts w:ascii="宋体" w:hAnsi="宋体"/>
          <w:sz w:val="24"/>
        </w:rPr>
        <w:t>%×中证综合债券指数收益</w:t>
      </w:r>
      <w:r w:rsidR="00CF4592">
        <w:rPr>
          <w:rFonts w:ascii="宋体" w:hAnsi="宋体"/>
          <w:sz w:val="24"/>
        </w:rPr>
        <w:lastRenderedPageBreak/>
        <w:t>率</w:t>
      </w:r>
    </w:p>
    <w:p w14:paraId="03810259" w14:textId="153B128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沪深300指数是沪深证券交易所第一次联合发布的反映A股市场整体走势的指数，由中证指数有限公司编制和维护，是在上海和深圳证券市场中选取300只A股作为样本编制而成。该指数样本对沪深市场的覆盖度高，具有良好的市场代表性，投资者可以方便地从报纸、互联网等财经媒体中获取。沪深300指数引进国际指数编制和管理的经验，编制方法清晰透明，具有独立性和良好的市场流动性；与市场整体表现具有较高的相关度，且指数历史表现强于市场平均收益水平，适合作为本基金</w:t>
      </w:r>
      <w:r w:rsidR="00F264C9" w:rsidRPr="00F264C9">
        <w:rPr>
          <w:rFonts w:ascii="宋体" w:hAnsi="宋体" w:hint="eastAsia"/>
          <w:sz w:val="24"/>
        </w:rPr>
        <w:t>A股资产</w:t>
      </w:r>
      <w:r>
        <w:rPr>
          <w:rFonts w:ascii="宋体" w:hAnsi="宋体"/>
          <w:sz w:val="24"/>
        </w:rPr>
        <w:t>投资的业绩比较基准。</w:t>
      </w:r>
    </w:p>
    <w:p w14:paraId="3F48688D" w14:textId="77777777" w:rsidR="00296AB6" w:rsidRDefault="00296AB6" w:rsidP="00296AB6">
      <w:pPr>
        <w:spacing w:line="360" w:lineRule="auto"/>
        <w:ind w:firstLineChars="200" w:firstLine="480"/>
        <w:rPr>
          <w:sz w:val="24"/>
        </w:rPr>
      </w:pPr>
      <w:r>
        <w:rPr>
          <w:rFonts w:hint="eastAsia"/>
          <w:sz w:val="24"/>
        </w:rPr>
        <w:t>恒生指数是由恒生指数服务有限公司编制，以香港股票市场中的</w:t>
      </w:r>
      <w:r>
        <w:rPr>
          <w:rFonts w:hint="eastAsia"/>
          <w:sz w:val="24"/>
        </w:rPr>
        <w:t>50</w:t>
      </w:r>
      <w:r>
        <w:rPr>
          <w:rFonts w:hint="eastAsia"/>
          <w:sz w:val="24"/>
        </w:rPr>
        <w:t>家上市股票为成份股样本，以其发行量为权数的加权平均股价指数，是反映香港股市价幅趋势最有影响的一种股价指数。</w:t>
      </w:r>
    </w:p>
    <w:p w14:paraId="0743D5CB"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中证综合债券指数是综合反映银行间债券市场和沪深交易所债券市场国债、金融债、企业债、央行票据及短期融资券整体走势的跨市场债券指数，该指数旨在更全面地反映我国债券市场的整体价格变动趋势，具有较强的市场代表性。根据本基金的投资范围和投资比例，选用上述业绩比较基准能够客观、合理地反映本基金的风险收益特征。</w:t>
      </w:r>
    </w:p>
    <w:p w14:paraId="506D8ED5" w14:textId="126B5E5F"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如果上述基准指数停止计算编制或更改名称，或者今后法律法规发生变化，又或者市场推出更具权威、且更能够表征本基金风险收益特征的指数，则本基金管理人可与本基金托管人协商一致</w:t>
      </w:r>
      <w:r w:rsidR="00296AB6" w:rsidRPr="00035652">
        <w:rPr>
          <w:rFonts w:hint="eastAsia"/>
          <w:bCs/>
          <w:sz w:val="24"/>
        </w:rPr>
        <w:t>并按照监管部门要求履行适当程序</w:t>
      </w:r>
      <w:r>
        <w:rPr>
          <w:rFonts w:ascii="宋体" w:hAnsi="宋体"/>
          <w:sz w:val="24"/>
        </w:rPr>
        <w:t>后，调整或变更本基金的业绩比较基准并及时公告，无需召开基金份额持有人大会。</w:t>
      </w:r>
    </w:p>
    <w:p w14:paraId="160D632A" w14:textId="77777777" w:rsidR="00FB4D29" w:rsidRDefault="00CF4592">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（六）风险收益特征</w:t>
      </w:r>
    </w:p>
    <w:p w14:paraId="111D5FF7" w14:textId="1642833D" w:rsidR="00296AB6" w:rsidRPr="00F82365" w:rsidRDefault="00CF4592" w:rsidP="00F82365">
      <w:pPr>
        <w:autoSpaceDE w:val="0"/>
        <w:autoSpaceDN w:val="0"/>
        <w:adjustRightInd w:val="0"/>
        <w:snapToGrid w:val="0"/>
        <w:spacing w:line="360" w:lineRule="auto"/>
        <w:ind w:firstLineChars="200" w:firstLine="480"/>
        <w:jc w:val="left"/>
        <w:rPr>
          <w:rFonts w:ascii="宋体" w:hAnsi="宋体"/>
          <w:sz w:val="24"/>
        </w:rPr>
      </w:pPr>
      <w:r>
        <w:rPr>
          <w:rFonts w:ascii="宋体" w:hAnsi="宋体"/>
          <w:sz w:val="24"/>
        </w:rPr>
        <w:t>本基金是一只混合型基金，其</w:t>
      </w:r>
      <w:r w:rsidR="00B41CD1">
        <w:rPr>
          <w:rFonts w:ascii="宋体" w:hAnsi="宋体" w:hint="eastAsia"/>
          <w:sz w:val="24"/>
        </w:rPr>
        <w:t>预期</w:t>
      </w:r>
      <w:r>
        <w:rPr>
          <w:rFonts w:ascii="宋体" w:hAnsi="宋体"/>
          <w:sz w:val="24"/>
        </w:rPr>
        <w:t>风险和预期收益</w:t>
      </w:r>
      <w:r w:rsidR="00F264C9">
        <w:rPr>
          <w:rFonts w:ascii="宋体" w:hAnsi="宋体" w:hint="eastAsia"/>
          <w:sz w:val="24"/>
        </w:rPr>
        <w:t>理论上</w:t>
      </w:r>
      <w:r>
        <w:rPr>
          <w:rFonts w:ascii="宋体" w:hAnsi="宋体"/>
          <w:sz w:val="24"/>
        </w:rPr>
        <w:t>高于债券型基金和货币市场基金，低于股票型基金。</w:t>
      </w:r>
    </w:p>
    <w:p w14:paraId="524BC955" w14:textId="77777777" w:rsidR="00296AB6" w:rsidRDefault="00296AB6" w:rsidP="00296AB6">
      <w:pPr>
        <w:autoSpaceDE w:val="0"/>
        <w:autoSpaceDN w:val="0"/>
        <w:adjustRightInd w:val="0"/>
        <w:snapToGrid w:val="0"/>
        <w:spacing w:line="360" w:lineRule="auto"/>
        <w:ind w:firstLineChars="200" w:firstLine="480"/>
        <w:jc w:val="left"/>
        <w:rPr>
          <w:rFonts w:ascii="宋体" w:hAnsi="宋体"/>
          <w:sz w:val="24"/>
        </w:rPr>
      </w:pPr>
      <w:r>
        <w:rPr>
          <w:rFonts w:ascii="宋体" w:hAnsi="宋体" w:hint="eastAsia"/>
          <w:sz w:val="24"/>
        </w:rPr>
        <w:t>本基金可投资港股通标的股票，会面临港股通机制下因投资环境、投资标的、市场制度以及交易规则等差异带来的特有风险。</w:t>
      </w:r>
    </w:p>
    <w:p w14:paraId="52995C41" w14:textId="77777777" w:rsidR="00FB4D29" w:rsidRDefault="00CF4592">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（七）基金管理人代表基金行使股东及债权人权利的处理原则及方法</w:t>
      </w:r>
    </w:p>
    <w:p w14:paraId="6074F92F"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1、基金管理人按照国家有关规定代表基金独立行使股东及债权人权利，保护基金份额持有人的利益；</w:t>
      </w:r>
    </w:p>
    <w:p w14:paraId="02887C89"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2、不谋求对上市公司的控股，不参与所投资上市公司的经营管理；</w:t>
      </w:r>
    </w:p>
    <w:p w14:paraId="491E3BEE"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3、有利于基金财产的安全与增值；</w:t>
      </w:r>
    </w:p>
    <w:p w14:paraId="27EE0117"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4、不通过关联交易为自身、雇员、授权代理人或任何存在利害关系的第三人牟取任何不当利益。</w:t>
      </w:r>
    </w:p>
    <w:p w14:paraId="70ACA1D9" w14:textId="77777777" w:rsidR="00FB4D29" w:rsidRDefault="00CF4592">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（八）投资决策依据和投资流程</w:t>
      </w:r>
    </w:p>
    <w:p w14:paraId="29CA0183"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1、投资决策依据</w:t>
      </w:r>
    </w:p>
    <w:p w14:paraId="45A8C5D9"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（1）国家有关法律法规和基金合同的有关规定；</w:t>
      </w:r>
    </w:p>
    <w:p w14:paraId="76BAE5B4"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（2）公司投资及风险控制政策；</w:t>
      </w:r>
    </w:p>
    <w:p w14:paraId="7B0B1C5A"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（3）宏观经济发展态势、证券市场运行环境和走势，以及上市公司的基本面；</w:t>
      </w:r>
    </w:p>
    <w:p w14:paraId="744BB389"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（4）投资对象的预期收益和预期风险的匹配关系，本基金将在承担适度风险的范围内，选择收益风险配比最佳的品种进行投资。</w:t>
      </w:r>
    </w:p>
    <w:p w14:paraId="17337EF1"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2、投资决策机制</w:t>
      </w:r>
    </w:p>
    <w:p w14:paraId="2D9993E2"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采用投资决策委员会领导下的基金经理负责制。投资决策委员会的主要职责是对基金的资产配置提出指导性意见，审批重大单项投资决定，审视投资组合风险状况等。投资总监是投资决策委员会的执行代表。</w:t>
      </w:r>
    </w:p>
    <w:p w14:paraId="77CAFEA5"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基金经理的主要职责是在投资决策委员会确定的资产配置范围内构建和调整投资组合，并向中央交易室下达投资指令。</w:t>
      </w:r>
    </w:p>
    <w:p w14:paraId="4197ECF6"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中央交易室负责交易执行和一线监控。通过严格的交易制度和实时的一线监控功能，保证基金经理的投资指令在合法、合规的前提下得到高效的执行。</w:t>
      </w:r>
    </w:p>
    <w:p w14:paraId="7C6A7E4B"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3、投资管理流程</w:t>
      </w:r>
    </w:p>
    <w:p w14:paraId="1C7BF6CA"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决策委员会是本基金的最高决策机构，投资决策委员会定期就投资管理业务的重大问题进行讨论。基金经理、分析师、交易员在投资管理过程中既密切合作，又责任明确，在各自职责内按照业务程序独立工作并合理地相互制衡。具体的投资管理程序如下：</w:t>
      </w:r>
    </w:p>
    <w:p w14:paraId="5AB75A74"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（1）研究部宏观分析师、策略分析师、行业分析师、信用分析师、数量分析师各自独立完成相应的研究报告，为投资决策提供依据；</w:t>
      </w:r>
    </w:p>
    <w:p w14:paraId="47160163"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（2）投资决策委员会每月召开投资决策会议，对资产配置比例提出指导性意见，并讨论股票、债券的投资重点等；</w:t>
      </w:r>
    </w:p>
    <w:p w14:paraId="3240065C"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经理根据投资决策委员会决议，依据宏观分析师、策略分析师的宏观经济分析和策略建议、行业分析师的行业分析和个股研究、信用分析师的债券市场研究和券种选择、数量分析师的定量投资策略研究，结合本基金产品定位及风险</w:t>
      </w:r>
      <w:r>
        <w:rPr>
          <w:rFonts w:ascii="宋体" w:hAnsi="宋体"/>
          <w:sz w:val="24"/>
        </w:rPr>
        <w:lastRenderedPageBreak/>
        <w:t>控制的要求，在权限范围内制定具体的投资组合方案；</w:t>
      </w:r>
    </w:p>
    <w:p w14:paraId="5D40D7A1"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（4）基金经理根据基金投资组合方案，向中央交易室下达交易指令；</w:t>
      </w:r>
    </w:p>
    <w:p w14:paraId="1B9D1E06"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（5）交易指令通过风控系统的自动合规核查后，由中央交易室执行，中央交易室对交易情况及时反馈；</w:t>
      </w:r>
    </w:p>
    <w:p w14:paraId="75957A2F"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（6）基金经理对每日交易执行情况进行回顾，并审视基金投资组合的变动情况；</w:t>
      </w:r>
    </w:p>
    <w:p w14:paraId="027D4B26"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（7）风险管理部定期完成有关投资风险监控报告，量化投资部定期完成基金业绩评估报告。</w:t>
      </w:r>
    </w:p>
    <w:p w14:paraId="1BB89DD7"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投资决策委员会有权根据市场变化和实际情况的需要，对上述投资管理程序作出调整。</w:t>
      </w:r>
    </w:p>
    <w:p w14:paraId="02A1D075" w14:textId="77777777" w:rsidR="005F25D8" w:rsidRPr="00F82365" w:rsidRDefault="00CF4592" w:rsidP="005F25D8">
      <w:pPr>
        <w:pStyle w:val="af5"/>
        <w:ind w:rightChars="-85" w:right="-178" w:firstLineChars="200" w:firstLine="422"/>
        <w:rPr>
          <w:rFonts w:ascii="宋体" w:hAnsi="宋体"/>
          <w:b/>
        </w:rPr>
      </w:pPr>
      <w:r w:rsidRPr="00BB248E">
        <w:rPr>
          <w:rFonts w:ascii="宋体" w:hAnsi="宋体" w:hint="eastAsia"/>
          <w:b/>
        </w:rPr>
        <w:t>（九）</w:t>
      </w:r>
      <w:r w:rsidR="005F25D8" w:rsidRPr="00F82365">
        <w:rPr>
          <w:rFonts w:ascii="宋体" w:hAnsi="宋体" w:hint="eastAsia"/>
          <w:b/>
        </w:rPr>
        <w:t>侧袋机制的实施和投资运作安排</w:t>
      </w:r>
    </w:p>
    <w:p w14:paraId="14C6CC6F" w14:textId="77777777" w:rsidR="005F25D8" w:rsidRPr="00512E00" w:rsidRDefault="005F25D8" w:rsidP="005F25D8">
      <w:pPr>
        <w:pStyle w:val="af5"/>
        <w:ind w:rightChars="-85" w:right="-178" w:firstLineChars="200" w:firstLine="480"/>
        <w:rPr>
          <w:rFonts w:ascii="宋体" w:hAnsi="宋体"/>
          <w:sz w:val="24"/>
          <w:szCs w:val="21"/>
        </w:rPr>
      </w:pPr>
      <w:r w:rsidRPr="00512E00">
        <w:rPr>
          <w:rFonts w:ascii="宋体" w:hAnsi="宋体" w:hint="eastAsia"/>
          <w:sz w:val="24"/>
          <w:szCs w:val="21"/>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14:paraId="299D6D15" w14:textId="77777777" w:rsidR="005F25D8" w:rsidRPr="00512E00" w:rsidRDefault="005F25D8" w:rsidP="005F25D8">
      <w:pPr>
        <w:pStyle w:val="af5"/>
        <w:ind w:rightChars="-85" w:right="-178" w:firstLineChars="200" w:firstLine="480"/>
        <w:rPr>
          <w:rFonts w:ascii="宋体" w:hAnsi="宋体"/>
          <w:sz w:val="24"/>
          <w:szCs w:val="21"/>
        </w:rPr>
      </w:pPr>
      <w:r w:rsidRPr="00512E00">
        <w:rPr>
          <w:rFonts w:ascii="宋体" w:hAnsi="宋体" w:hint="eastAsia"/>
          <w:sz w:val="24"/>
          <w:szCs w:val="21"/>
        </w:rPr>
        <w:t>侧袋机制实施期间，本部分约定的投资组合比例、投资策略、组合限制、业绩比较基准、风险收益特征等约定仅适用于主袋账户。</w:t>
      </w:r>
    </w:p>
    <w:p w14:paraId="176E964C" w14:textId="77777777" w:rsidR="005F25D8" w:rsidRPr="00512E00" w:rsidRDefault="005F25D8" w:rsidP="005F25D8">
      <w:pPr>
        <w:pStyle w:val="af5"/>
        <w:ind w:rightChars="-85" w:right="-178" w:firstLineChars="200" w:firstLine="480"/>
        <w:rPr>
          <w:rFonts w:ascii="宋体" w:hAnsi="宋体"/>
          <w:sz w:val="24"/>
          <w:szCs w:val="21"/>
        </w:rPr>
      </w:pPr>
      <w:r w:rsidRPr="00512E00">
        <w:rPr>
          <w:rFonts w:ascii="宋体" w:hAnsi="宋体" w:hint="eastAsia"/>
          <w:sz w:val="24"/>
          <w:szCs w:val="21"/>
        </w:rPr>
        <w:t>侧袋账户的实施条件、实施程序、运作安排、投资安排、特定资产的处置变现和支付等对投资者权益有重大影响的事项详见招募说明书</w:t>
      </w:r>
      <w:r w:rsidRPr="00AE04F7">
        <w:rPr>
          <w:rFonts w:hAnsi="宋体" w:hint="eastAsia"/>
          <w:sz w:val="24"/>
        </w:rPr>
        <w:t>“侧袋机制”部分</w:t>
      </w:r>
      <w:r w:rsidRPr="00512E00">
        <w:rPr>
          <w:rFonts w:ascii="宋体" w:hAnsi="宋体" w:hint="eastAsia"/>
          <w:sz w:val="24"/>
          <w:szCs w:val="21"/>
        </w:rPr>
        <w:t>的规定。</w:t>
      </w:r>
    </w:p>
    <w:p w14:paraId="148BFAF5" w14:textId="6C2274CA" w:rsidR="00FB4D29" w:rsidRDefault="005F25D8" w:rsidP="005F25D8">
      <w:pPr>
        <w:autoSpaceDE w:val="0"/>
        <w:autoSpaceDN w:val="0"/>
        <w:adjustRightInd w:val="0"/>
        <w:snapToGrid w:val="0"/>
        <w:spacing w:line="360" w:lineRule="auto"/>
        <w:ind w:firstLineChars="200" w:firstLine="422"/>
        <w:jc w:val="left"/>
        <w:rPr>
          <w:rFonts w:ascii="宋体" w:hAnsi="宋体"/>
          <w:szCs w:val="24"/>
        </w:rPr>
      </w:pPr>
      <w:r w:rsidRPr="00F82365">
        <w:rPr>
          <w:rFonts w:ascii="宋体" w:hAnsi="宋体" w:hint="eastAsia"/>
          <w:b/>
          <w:szCs w:val="24"/>
        </w:rPr>
        <w:t>（十）</w:t>
      </w:r>
      <w:r w:rsidR="00CF4592" w:rsidRPr="00BB248E">
        <w:rPr>
          <w:rFonts w:ascii="宋体" w:hAnsi="宋体" w:hint="eastAsia"/>
          <w:b/>
          <w:szCs w:val="24"/>
        </w:rPr>
        <w:t>基金投资组合报告</w:t>
      </w:r>
    </w:p>
    <w:p w14:paraId="592735CF"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基金管理人的董事会及董事保证本报告所载资料不存在虚假记载、误导性陈述或重大遗漏，并对其内容的真实性、准确性和完整性承担个别及连带责任。</w:t>
      </w:r>
    </w:p>
    <w:p w14:paraId="504837DD" w14:textId="45A6022B"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本基金托管人中国工商银行股份有限公司根据基金合同规定，于2022年04月20日复核了本报告中的财务指标、净值表现和投资组合报告等内容，保证复核内容不存在虚假记载、误导性陈述或者重大遗漏。</w:t>
      </w:r>
    </w:p>
    <w:p w14:paraId="7D94082D"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本报告期为2022年01月01日起至03月31日。本报告财务资料未经审计师审计。</w:t>
      </w:r>
    </w:p>
    <w:p w14:paraId="330A9FF5"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1、报告期末基金资产组合情况</w:t>
      </w:r>
    </w:p>
    <w:tbl>
      <w:tblPr>
        <w:tblW w:w="5000" w:type="pct"/>
        <w:tblCellMar>
          <w:left w:w="0" w:type="dxa"/>
          <w:right w:w="0" w:type="dxa"/>
        </w:tblCellMar>
        <w:tblLook w:val="0000" w:firstRow="0" w:lastRow="0" w:firstColumn="0" w:lastColumn="0" w:noHBand="0" w:noVBand="0"/>
      </w:tblPr>
      <w:tblGrid>
        <w:gridCol w:w="1006"/>
        <w:gridCol w:w="3018"/>
        <w:gridCol w:w="3017"/>
        <w:gridCol w:w="1609"/>
      </w:tblGrid>
      <w:tr w:rsidR="00FB4D29" w14:paraId="14D78925" w14:textId="77777777">
        <w:trPr>
          <w:cantSplit/>
          <w:trHeight w:val="375"/>
        </w:trPr>
        <w:tc>
          <w:tcPr>
            <w:tcW w:w="250" w:type="pct"/>
            <w:tcBorders>
              <w:top w:val="single" w:sz="4" w:space="0" w:color="auto"/>
              <w:left w:val="single" w:sz="4" w:space="0" w:color="auto"/>
              <w:bottom w:val="single" w:sz="4" w:space="0" w:color="auto"/>
              <w:right w:val="single" w:sz="4" w:space="0" w:color="auto"/>
            </w:tcBorders>
            <w:shd w:val="clear" w:color="auto" w:fill="D9D9D9"/>
            <w:vAlign w:val="center"/>
          </w:tcPr>
          <w:p w14:paraId="39A74C5A" w14:textId="77777777" w:rsidR="00FB4D29" w:rsidRDefault="00CF4592">
            <w:pPr>
              <w:widowControl/>
              <w:snapToGrid w:val="0"/>
              <w:jc w:val="center"/>
              <w:rPr>
                <w:rFonts w:ascii="宋体" w:hAnsi="宋体"/>
                <w:color w:val="000000"/>
                <w:kern w:val="0"/>
                <w:sz w:val="25"/>
                <w:szCs w:val="24"/>
              </w:rPr>
            </w:pPr>
            <w:r>
              <w:rPr>
                <w:rFonts w:ascii="Times New Roman" w:hAnsi="Times New Roman"/>
                <w:color w:val="000000"/>
                <w:kern w:val="0"/>
                <w:sz w:val="25"/>
                <w:szCs w:val="24"/>
              </w:rPr>
              <w:t>序号</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14:paraId="6228E412" w14:textId="77777777" w:rsidR="00FB4D29" w:rsidRDefault="00CF4592">
            <w:pPr>
              <w:widowControl/>
              <w:snapToGrid w:val="0"/>
              <w:jc w:val="center"/>
              <w:rPr>
                <w:rFonts w:ascii="宋体" w:hAnsi="宋体"/>
                <w:color w:val="000000"/>
                <w:kern w:val="0"/>
                <w:sz w:val="25"/>
                <w:szCs w:val="24"/>
              </w:rPr>
            </w:pPr>
            <w:r>
              <w:rPr>
                <w:rFonts w:ascii="Times New Roman" w:hAnsi="Times New Roman"/>
                <w:color w:val="000000"/>
                <w:kern w:val="0"/>
                <w:sz w:val="25"/>
                <w:szCs w:val="24"/>
              </w:rPr>
              <w:t>项目</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14:paraId="55C27C66" w14:textId="77777777" w:rsidR="00FB4D29" w:rsidRDefault="00CF4592">
            <w:pPr>
              <w:widowControl/>
              <w:snapToGrid w:val="0"/>
              <w:jc w:val="center"/>
              <w:rPr>
                <w:rFonts w:ascii="宋体" w:hAnsi="宋体"/>
                <w:color w:val="000000"/>
                <w:kern w:val="0"/>
                <w:sz w:val="25"/>
                <w:szCs w:val="24"/>
              </w:rPr>
            </w:pPr>
            <w:r>
              <w:rPr>
                <w:rFonts w:ascii="Times New Roman" w:hAnsi="Times New Roman"/>
                <w:color w:val="000000"/>
                <w:kern w:val="0"/>
                <w:sz w:val="25"/>
                <w:szCs w:val="24"/>
              </w:rPr>
              <w:t>金额（元）</w:t>
            </w:r>
          </w:p>
        </w:tc>
        <w:tc>
          <w:tcPr>
            <w:tcW w:w="400" w:type="pct"/>
            <w:tcBorders>
              <w:top w:val="single" w:sz="4" w:space="0" w:color="auto"/>
              <w:left w:val="single" w:sz="4" w:space="0" w:color="auto"/>
              <w:bottom w:val="single" w:sz="4" w:space="0" w:color="auto"/>
              <w:right w:val="single" w:sz="4" w:space="0" w:color="auto"/>
            </w:tcBorders>
            <w:shd w:val="clear" w:color="auto" w:fill="D9D9D9"/>
            <w:vAlign w:val="center"/>
          </w:tcPr>
          <w:p w14:paraId="212B4A8B" w14:textId="77777777" w:rsidR="00FB4D29" w:rsidRDefault="00CF4592">
            <w:pPr>
              <w:widowControl/>
              <w:snapToGrid w:val="0"/>
              <w:jc w:val="center"/>
              <w:rPr>
                <w:rFonts w:ascii="宋体" w:hAnsi="宋体"/>
                <w:color w:val="000000"/>
                <w:kern w:val="0"/>
                <w:sz w:val="25"/>
                <w:szCs w:val="24"/>
              </w:rPr>
            </w:pPr>
            <w:r>
              <w:rPr>
                <w:rFonts w:ascii="Times New Roman" w:hAnsi="Times New Roman"/>
                <w:color w:val="000000"/>
                <w:kern w:val="0"/>
                <w:sz w:val="25"/>
                <w:szCs w:val="24"/>
              </w:rPr>
              <w:t>占基金总资产的比例（</w:t>
            </w:r>
            <w:r>
              <w:rPr>
                <w:rFonts w:ascii="Times New Roman" w:hAnsi="Times New Roman"/>
                <w:color w:val="000000"/>
                <w:kern w:val="0"/>
                <w:sz w:val="25"/>
                <w:szCs w:val="24"/>
              </w:rPr>
              <w:t>%</w:t>
            </w:r>
            <w:r>
              <w:rPr>
                <w:rFonts w:ascii="Times New Roman" w:hAnsi="Times New Roman"/>
                <w:color w:val="000000"/>
                <w:kern w:val="0"/>
                <w:sz w:val="25"/>
                <w:szCs w:val="24"/>
              </w:rPr>
              <w:t>）</w:t>
            </w:r>
          </w:p>
        </w:tc>
      </w:tr>
      <w:tr w:rsidR="00FB4D29" w14:paraId="4106A59B"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2BB51155" w14:textId="77777777" w:rsidR="00FB4D29" w:rsidRDefault="00CF4592">
            <w:pPr>
              <w:widowControl/>
              <w:snapToGrid w:val="0"/>
              <w:jc w:val="center"/>
              <w:rPr>
                <w:rFonts w:ascii="宋体" w:hAnsi="宋体"/>
                <w:color w:val="000000"/>
                <w:kern w:val="0"/>
                <w:sz w:val="25"/>
                <w:szCs w:val="24"/>
              </w:rPr>
            </w:pPr>
            <w:r>
              <w:rPr>
                <w:rFonts w:ascii="Times New Roman" w:hAnsi="Times New Roman"/>
                <w:color w:val="000000"/>
                <w:kern w:val="0"/>
                <w:sz w:val="25"/>
                <w:szCs w:val="24"/>
              </w:rPr>
              <w:t>1</w:t>
            </w:r>
          </w:p>
        </w:tc>
        <w:tc>
          <w:tcPr>
            <w:tcW w:w="750" w:type="pct"/>
            <w:tcBorders>
              <w:top w:val="single" w:sz="4" w:space="0" w:color="auto"/>
              <w:left w:val="single" w:sz="4" w:space="0" w:color="auto"/>
              <w:bottom w:val="single" w:sz="4" w:space="0" w:color="auto"/>
              <w:right w:val="single" w:sz="4" w:space="0" w:color="auto"/>
            </w:tcBorders>
            <w:vAlign w:val="center"/>
          </w:tcPr>
          <w:p w14:paraId="5C66A8E4"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权益投资</w:t>
            </w:r>
          </w:p>
        </w:tc>
        <w:tc>
          <w:tcPr>
            <w:tcW w:w="750" w:type="pct"/>
            <w:tcBorders>
              <w:top w:val="single" w:sz="4" w:space="0" w:color="auto"/>
              <w:left w:val="single" w:sz="4" w:space="0" w:color="auto"/>
              <w:bottom w:val="single" w:sz="4" w:space="0" w:color="auto"/>
              <w:right w:val="single" w:sz="4" w:space="0" w:color="auto"/>
            </w:tcBorders>
            <w:vAlign w:val="center"/>
          </w:tcPr>
          <w:p w14:paraId="696A29D0" w14:textId="77777777" w:rsidR="00FB4D29" w:rsidRDefault="00CF4592">
            <w:pPr>
              <w:widowControl/>
              <w:snapToGrid w:val="0"/>
              <w:jc w:val="right"/>
              <w:rPr>
                <w:rFonts w:ascii="宋体" w:hAnsi="宋体"/>
                <w:color w:val="000000"/>
                <w:kern w:val="0"/>
                <w:sz w:val="25"/>
                <w:szCs w:val="24"/>
              </w:rPr>
            </w:pPr>
            <w:r>
              <w:rPr>
                <w:rFonts w:ascii="Times New Roman" w:hAnsi="Times New Roman"/>
                <w:color w:val="000000"/>
                <w:kern w:val="0"/>
                <w:sz w:val="25"/>
                <w:szCs w:val="24"/>
              </w:rPr>
              <w:t>2,595,059,742.58</w:t>
            </w:r>
          </w:p>
        </w:tc>
        <w:tc>
          <w:tcPr>
            <w:tcW w:w="400" w:type="pct"/>
            <w:tcBorders>
              <w:top w:val="single" w:sz="4" w:space="0" w:color="auto"/>
              <w:left w:val="single" w:sz="4" w:space="0" w:color="auto"/>
              <w:bottom w:val="single" w:sz="4" w:space="0" w:color="auto"/>
              <w:right w:val="single" w:sz="4" w:space="0" w:color="auto"/>
            </w:tcBorders>
            <w:vAlign w:val="center"/>
          </w:tcPr>
          <w:p w14:paraId="28D2FB7D" w14:textId="77777777" w:rsidR="00FB4D29" w:rsidRDefault="00CF4592">
            <w:pPr>
              <w:widowControl/>
              <w:snapToGrid w:val="0"/>
              <w:jc w:val="right"/>
              <w:rPr>
                <w:rFonts w:ascii="宋体" w:hAnsi="宋体"/>
                <w:color w:val="000000"/>
                <w:kern w:val="0"/>
                <w:sz w:val="25"/>
                <w:szCs w:val="24"/>
              </w:rPr>
            </w:pPr>
            <w:r>
              <w:rPr>
                <w:rFonts w:ascii="Times New Roman" w:hAnsi="Times New Roman"/>
                <w:color w:val="000000"/>
                <w:kern w:val="0"/>
                <w:sz w:val="25"/>
                <w:szCs w:val="24"/>
              </w:rPr>
              <w:t>91.34</w:t>
            </w:r>
          </w:p>
        </w:tc>
      </w:tr>
      <w:tr w:rsidR="00FB4D29" w14:paraId="00DDBF86"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370BF1D1" w14:textId="77777777" w:rsidR="00FB4D29" w:rsidRDefault="00CF4592">
            <w:pPr>
              <w:widowControl/>
              <w:snapToGrid w:val="0"/>
              <w:jc w:val="center"/>
              <w:rPr>
                <w:rFonts w:ascii="宋体" w:hAnsi="宋体"/>
                <w:color w:val="000000"/>
                <w:kern w:val="0"/>
                <w:sz w:val="25"/>
                <w:szCs w:val="24"/>
              </w:rPr>
            </w:pPr>
            <w:r>
              <w:rPr>
                <w:rFonts w:ascii="Times New Roman" w:hAnsi="Times New Roman"/>
                <w:color w:val="000000"/>
                <w:kern w:val="0"/>
                <w:sz w:val="25"/>
                <w:szCs w:val="24"/>
              </w:rPr>
              <w:t xml:space="preserve">　</w:t>
            </w:r>
          </w:p>
        </w:tc>
        <w:tc>
          <w:tcPr>
            <w:tcW w:w="750" w:type="pct"/>
            <w:tcBorders>
              <w:top w:val="single" w:sz="4" w:space="0" w:color="auto"/>
              <w:left w:val="single" w:sz="4" w:space="0" w:color="auto"/>
              <w:bottom w:val="single" w:sz="4" w:space="0" w:color="auto"/>
              <w:right w:val="single" w:sz="4" w:space="0" w:color="auto"/>
            </w:tcBorders>
            <w:vAlign w:val="center"/>
          </w:tcPr>
          <w:p w14:paraId="6048B5D7"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其中：股票</w:t>
            </w:r>
          </w:p>
        </w:tc>
        <w:tc>
          <w:tcPr>
            <w:tcW w:w="750" w:type="pct"/>
            <w:tcBorders>
              <w:top w:val="single" w:sz="4" w:space="0" w:color="auto"/>
              <w:left w:val="single" w:sz="4" w:space="0" w:color="auto"/>
              <w:bottom w:val="single" w:sz="4" w:space="0" w:color="auto"/>
              <w:right w:val="single" w:sz="4" w:space="0" w:color="auto"/>
            </w:tcBorders>
            <w:vAlign w:val="center"/>
          </w:tcPr>
          <w:p w14:paraId="6074EDEB" w14:textId="77777777" w:rsidR="00FB4D29" w:rsidRDefault="00CF4592">
            <w:pPr>
              <w:widowControl/>
              <w:snapToGrid w:val="0"/>
              <w:jc w:val="right"/>
              <w:rPr>
                <w:rFonts w:ascii="宋体" w:hAnsi="宋体"/>
                <w:color w:val="000000"/>
                <w:kern w:val="0"/>
                <w:sz w:val="25"/>
                <w:szCs w:val="24"/>
              </w:rPr>
            </w:pPr>
            <w:r>
              <w:rPr>
                <w:rFonts w:ascii="Times New Roman" w:hAnsi="Times New Roman"/>
                <w:color w:val="000000"/>
                <w:kern w:val="0"/>
                <w:sz w:val="25"/>
                <w:szCs w:val="24"/>
              </w:rPr>
              <w:t>2,595,059,742.58</w:t>
            </w:r>
          </w:p>
        </w:tc>
        <w:tc>
          <w:tcPr>
            <w:tcW w:w="400" w:type="pct"/>
            <w:tcBorders>
              <w:top w:val="single" w:sz="4" w:space="0" w:color="auto"/>
              <w:left w:val="single" w:sz="4" w:space="0" w:color="auto"/>
              <w:bottom w:val="single" w:sz="4" w:space="0" w:color="auto"/>
              <w:right w:val="single" w:sz="4" w:space="0" w:color="auto"/>
            </w:tcBorders>
            <w:vAlign w:val="center"/>
          </w:tcPr>
          <w:p w14:paraId="00D83108" w14:textId="77777777" w:rsidR="00FB4D29" w:rsidRDefault="00CF4592">
            <w:pPr>
              <w:widowControl/>
              <w:snapToGrid w:val="0"/>
              <w:jc w:val="right"/>
              <w:rPr>
                <w:rFonts w:ascii="宋体" w:hAnsi="宋体"/>
                <w:color w:val="000000"/>
                <w:kern w:val="0"/>
                <w:sz w:val="25"/>
                <w:szCs w:val="24"/>
              </w:rPr>
            </w:pPr>
            <w:r>
              <w:rPr>
                <w:rFonts w:ascii="Times New Roman" w:hAnsi="Times New Roman"/>
                <w:color w:val="000000"/>
                <w:kern w:val="0"/>
                <w:sz w:val="25"/>
                <w:szCs w:val="24"/>
              </w:rPr>
              <w:t>91.34</w:t>
            </w:r>
          </w:p>
        </w:tc>
      </w:tr>
      <w:tr w:rsidR="00FB4D29" w14:paraId="4C9DA536"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56093353" w14:textId="77777777" w:rsidR="00FB4D29" w:rsidRDefault="00CF4592">
            <w:pPr>
              <w:widowControl/>
              <w:snapToGrid w:val="0"/>
              <w:jc w:val="center"/>
              <w:rPr>
                <w:rFonts w:ascii="宋体" w:hAnsi="宋体"/>
                <w:color w:val="000000"/>
                <w:kern w:val="0"/>
                <w:sz w:val="25"/>
                <w:szCs w:val="24"/>
              </w:rPr>
            </w:pPr>
            <w:r>
              <w:rPr>
                <w:rFonts w:ascii="Times New Roman" w:hAnsi="Times New Roman"/>
                <w:color w:val="000000"/>
                <w:kern w:val="0"/>
                <w:sz w:val="25"/>
                <w:szCs w:val="24"/>
              </w:rPr>
              <w:t>2</w:t>
            </w:r>
          </w:p>
        </w:tc>
        <w:tc>
          <w:tcPr>
            <w:tcW w:w="750" w:type="pct"/>
            <w:tcBorders>
              <w:top w:val="single" w:sz="4" w:space="0" w:color="auto"/>
              <w:left w:val="single" w:sz="4" w:space="0" w:color="auto"/>
              <w:bottom w:val="single" w:sz="4" w:space="0" w:color="auto"/>
              <w:right w:val="single" w:sz="4" w:space="0" w:color="auto"/>
            </w:tcBorders>
            <w:vAlign w:val="center"/>
          </w:tcPr>
          <w:p w14:paraId="3A02CC9B"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基金投资</w:t>
            </w:r>
          </w:p>
        </w:tc>
        <w:tc>
          <w:tcPr>
            <w:tcW w:w="750" w:type="pct"/>
            <w:tcBorders>
              <w:top w:val="single" w:sz="4" w:space="0" w:color="auto"/>
              <w:left w:val="single" w:sz="4" w:space="0" w:color="auto"/>
              <w:bottom w:val="single" w:sz="4" w:space="0" w:color="auto"/>
              <w:right w:val="single" w:sz="4" w:space="0" w:color="auto"/>
            </w:tcBorders>
            <w:vAlign w:val="center"/>
          </w:tcPr>
          <w:p w14:paraId="1870328C" w14:textId="77777777" w:rsidR="00FB4D29" w:rsidRDefault="00CF4592">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14:paraId="234FEF57" w14:textId="77777777" w:rsidR="00FB4D29" w:rsidRDefault="00CF4592">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FB4D29" w14:paraId="04F57811"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56D7E2D4" w14:textId="77777777" w:rsidR="00FB4D29" w:rsidRDefault="00CF4592">
            <w:pPr>
              <w:widowControl/>
              <w:snapToGrid w:val="0"/>
              <w:jc w:val="center"/>
              <w:rPr>
                <w:rFonts w:ascii="宋体" w:hAnsi="宋体"/>
                <w:color w:val="000000"/>
                <w:kern w:val="0"/>
                <w:sz w:val="25"/>
                <w:szCs w:val="24"/>
              </w:rPr>
            </w:pPr>
            <w:r>
              <w:rPr>
                <w:rFonts w:ascii="Times New Roman" w:hAnsi="Times New Roman"/>
                <w:color w:val="000000"/>
                <w:kern w:val="0"/>
                <w:sz w:val="25"/>
                <w:szCs w:val="24"/>
              </w:rPr>
              <w:lastRenderedPageBreak/>
              <w:t>3</w:t>
            </w:r>
          </w:p>
        </w:tc>
        <w:tc>
          <w:tcPr>
            <w:tcW w:w="750" w:type="pct"/>
            <w:tcBorders>
              <w:top w:val="single" w:sz="4" w:space="0" w:color="auto"/>
              <w:left w:val="single" w:sz="4" w:space="0" w:color="auto"/>
              <w:bottom w:val="single" w:sz="4" w:space="0" w:color="auto"/>
              <w:right w:val="single" w:sz="4" w:space="0" w:color="auto"/>
            </w:tcBorders>
            <w:vAlign w:val="center"/>
          </w:tcPr>
          <w:p w14:paraId="3325D388"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固定收益投资</w:t>
            </w:r>
          </w:p>
        </w:tc>
        <w:tc>
          <w:tcPr>
            <w:tcW w:w="750" w:type="pct"/>
            <w:tcBorders>
              <w:top w:val="single" w:sz="4" w:space="0" w:color="auto"/>
              <w:left w:val="single" w:sz="4" w:space="0" w:color="auto"/>
              <w:bottom w:val="single" w:sz="4" w:space="0" w:color="auto"/>
              <w:right w:val="single" w:sz="4" w:space="0" w:color="auto"/>
            </w:tcBorders>
            <w:vAlign w:val="center"/>
          </w:tcPr>
          <w:p w14:paraId="4D30CD31" w14:textId="77777777" w:rsidR="00FB4D29" w:rsidRDefault="00CF4592">
            <w:pPr>
              <w:widowControl/>
              <w:snapToGrid w:val="0"/>
              <w:jc w:val="right"/>
              <w:rPr>
                <w:rFonts w:ascii="宋体" w:hAnsi="宋体"/>
                <w:color w:val="000000"/>
                <w:kern w:val="0"/>
                <w:sz w:val="25"/>
                <w:szCs w:val="24"/>
              </w:rPr>
            </w:pPr>
            <w:r>
              <w:rPr>
                <w:rFonts w:ascii="Times New Roman" w:hAnsi="Times New Roman"/>
                <w:color w:val="000000"/>
                <w:kern w:val="0"/>
                <w:sz w:val="25"/>
                <w:szCs w:val="24"/>
              </w:rPr>
              <w:t>91,728,317.98</w:t>
            </w:r>
          </w:p>
        </w:tc>
        <w:tc>
          <w:tcPr>
            <w:tcW w:w="400" w:type="pct"/>
            <w:tcBorders>
              <w:top w:val="single" w:sz="4" w:space="0" w:color="auto"/>
              <w:left w:val="single" w:sz="4" w:space="0" w:color="auto"/>
              <w:bottom w:val="single" w:sz="4" w:space="0" w:color="auto"/>
              <w:right w:val="single" w:sz="4" w:space="0" w:color="auto"/>
            </w:tcBorders>
            <w:vAlign w:val="center"/>
          </w:tcPr>
          <w:p w14:paraId="643CA0E6" w14:textId="77777777" w:rsidR="00FB4D29" w:rsidRDefault="00CF4592">
            <w:pPr>
              <w:widowControl/>
              <w:snapToGrid w:val="0"/>
              <w:jc w:val="right"/>
              <w:rPr>
                <w:rFonts w:ascii="宋体" w:hAnsi="宋体"/>
                <w:color w:val="000000"/>
                <w:kern w:val="0"/>
                <w:sz w:val="25"/>
                <w:szCs w:val="24"/>
              </w:rPr>
            </w:pPr>
            <w:r>
              <w:rPr>
                <w:rFonts w:ascii="Times New Roman" w:hAnsi="Times New Roman"/>
                <w:color w:val="000000"/>
                <w:kern w:val="0"/>
                <w:sz w:val="25"/>
                <w:szCs w:val="24"/>
              </w:rPr>
              <w:t>3.23</w:t>
            </w:r>
          </w:p>
        </w:tc>
      </w:tr>
      <w:tr w:rsidR="00FB4D29" w14:paraId="170F5E2F"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580BD5DA" w14:textId="77777777" w:rsidR="00FB4D29" w:rsidRDefault="00CF4592">
            <w:pPr>
              <w:widowControl/>
              <w:snapToGrid w:val="0"/>
              <w:jc w:val="center"/>
              <w:rPr>
                <w:rFonts w:ascii="宋体" w:hAnsi="宋体"/>
                <w:color w:val="000000"/>
                <w:kern w:val="0"/>
                <w:sz w:val="25"/>
                <w:szCs w:val="24"/>
              </w:rPr>
            </w:pPr>
            <w:r>
              <w:rPr>
                <w:rFonts w:ascii="Times New Roman" w:hAnsi="Times New Roman"/>
                <w:color w:val="000000"/>
                <w:kern w:val="0"/>
                <w:sz w:val="25"/>
                <w:szCs w:val="24"/>
              </w:rPr>
              <w:t xml:space="preserve">　</w:t>
            </w:r>
          </w:p>
        </w:tc>
        <w:tc>
          <w:tcPr>
            <w:tcW w:w="750" w:type="pct"/>
            <w:tcBorders>
              <w:top w:val="single" w:sz="4" w:space="0" w:color="auto"/>
              <w:left w:val="single" w:sz="4" w:space="0" w:color="auto"/>
              <w:bottom w:val="single" w:sz="4" w:space="0" w:color="auto"/>
              <w:right w:val="single" w:sz="4" w:space="0" w:color="auto"/>
            </w:tcBorders>
            <w:vAlign w:val="center"/>
          </w:tcPr>
          <w:p w14:paraId="5917F671"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其中：债券</w:t>
            </w:r>
          </w:p>
        </w:tc>
        <w:tc>
          <w:tcPr>
            <w:tcW w:w="750" w:type="pct"/>
            <w:tcBorders>
              <w:top w:val="single" w:sz="4" w:space="0" w:color="auto"/>
              <w:left w:val="single" w:sz="4" w:space="0" w:color="auto"/>
              <w:bottom w:val="single" w:sz="4" w:space="0" w:color="auto"/>
              <w:right w:val="single" w:sz="4" w:space="0" w:color="auto"/>
            </w:tcBorders>
            <w:vAlign w:val="center"/>
          </w:tcPr>
          <w:p w14:paraId="07563C9F" w14:textId="77777777" w:rsidR="00FB4D29" w:rsidRDefault="00CF4592">
            <w:pPr>
              <w:widowControl/>
              <w:snapToGrid w:val="0"/>
              <w:jc w:val="right"/>
              <w:rPr>
                <w:rFonts w:ascii="宋体" w:hAnsi="宋体"/>
                <w:color w:val="000000"/>
                <w:kern w:val="0"/>
                <w:sz w:val="25"/>
                <w:szCs w:val="24"/>
              </w:rPr>
            </w:pPr>
            <w:r>
              <w:rPr>
                <w:rFonts w:ascii="Times New Roman" w:hAnsi="Times New Roman"/>
                <w:color w:val="000000"/>
                <w:kern w:val="0"/>
                <w:sz w:val="25"/>
                <w:szCs w:val="24"/>
              </w:rPr>
              <w:t>91,728,317.98</w:t>
            </w:r>
          </w:p>
        </w:tc>
        <w:tc>
          <w:tcPr>
            <w:tcW w:w="400" w:type="pct"/>
            <w:tcBorders>
              <w:top w:val="single" w:sz="4" w:space="0" w:color="auto"/>
              <w:left w:val="single" w:sz="4" w:space="0" w:color="auto"/>
              <w:bottom w:val="single" w:sz="4" w:space="0" w:color="auto"/>
              <w:right w:val="single" w:sz="4" w:space="0" w:color="auto"/>
            </w:tcBorders>
            <w:vAlign w:val="center"/>
          </w:tcPr>
          <w:p w14:paraId="12606500" w14:textId="77777777" w:rsidR="00FB4D29" w:rsidRDefault="00CF4592">
            <w:pPr>
              <w:widowControl/>
              <w:snapToGrid w:val="0"/>
              <w:jc w:val="right"/>
              <w:rPr>
                <w:rFonts w:ascii="宋体" w:hAnsi="宋体"/>
                <w:color w:val="000000"/>
                <w:kern w:val="0"/>
                <w:sz w:val="25"/>
                <w:szCs w:val="24"/>
              </w:rPr>
            </w:pPr>
            <w:r>
              <w:rPr>
                <w:rFonts w:ascii="Times New Roman" w:hAnsi="Times New Roman"/>
                <w:color w:val="000000"/>
                <w:kern w:val="0"/>
                <w:sz w:val="25"/>
                <w:szCs w:val="24"/>
              </w:rPr>
              <w:t>3.23</w:t>
            </w:r>
          </w:p>
        </w:tc>
      </w:tr>
      <w:tr w:rsidR="00FB4D29" w14:paraId="07C39DD0"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439CF8DB" w14:textId="77777777" w:rsidR="00FB4D29" w:rsidRDefault="00CF4592">
            <w:pPr>
              <w:widowControl/>
              <w:snapToGrid w:val="0"/>
              <w:jc w:val="center"/>
              <w:rPr>
                <w:rFonts w:ascii="宋体" w:hAnsi="宋体"/>
                <w:color w:val="000000"/>
                <w:kern w:val="0"/>
                <w:sz w:val="25"/>
                <w:szCs w:val="24"/>
              </w:rPr>
            </w:pPr>
            <w:r>
              <w:rPr>
                <w:rFonts w:ascii="Times New Roman" w:hAnsi="Times New Roman"/>
                <w:color w:val="000000"/>
                <w:kern w:val="0"/>
                <w:sz w:val="25"/>
                <w:szCs w:val="24"/>
              </w:rPr>
              <w:t xml:space="preserve">　</w:t>
            </w:r>
          </w:p>
        </w:tc>
        <w:tc>
          <w:tcPr>
            <w:tcW w:w="750" w:type="pct"/>
            <w:tcBorders>
              <w:top w:val="single" w:sz="4" w:space="0" w:color="auto"/>
              <w:left w:val="single" w:sz="4" w:space="0" w:color="auto"/>
              <w:bottom w:val="single" w:sz="4" w:space="0" w:color="auto"/>
              <w:right w:val="single" w:sz="4" w:space="0" w:color="auto"/>
            </w:tcBorders>
            <w:vAlign w:val="center"/>
          </w:tcPr>
          <w:p w14:paraId="7803C3D8"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资产支持证券</w:t>
            </w:r>
          </w:p>
        </w:tc>
        <w:tc>
          <w:tcPr>
            <w:tcW w:w="750" w:type="pct"/>
            <w:tcBorders>
              <w:top w:val="single" w:sz="4" w:space="0" w:color="auto"/>
              <w:left w:val="single" w:sz="4" w:space="0" w:color="auto"/>
              <w:bottom w:val="single" w:sz="4" w:space="0" w:color="auto"/>
              <w:right w:val="single" w:sz="4" w:space="0" w:color="auto"/>
            </w:tcBorders>
            <w:vAlign w:val="center"/>
          </w:tcPr>
          <w:p w14:paraId="437D30F3" w14:textId="77777777" w:rsidR="00FB4D29" w:rsidRDefault="00CF4592">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14:paraId="34CBC14E" w14:textId="77777777" w:rsidR="00FB4D29" w:rsidRDefault="00CF4592">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FB4D29" w14:paraId="6FEA1A5B"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7689EB2F" w14:textId="77777777" w:rsidR="00FB4D29" w:rsidRDefault="00CF4592">
            <w:pPr>
              <w:widowControl/>
              <w:snapToGrid w:val="0"/>
              <w:jc w:val="center"/>
              <w:rPr>
                <w:rFonts w:ascii="宋体" w:hAnsi="宋体"/>
                <w:color w:val="000000"/>
                <w:kern w:val="0"/>
                <w:sz w:val="25"/>
                <w:szCs w:val="24"/>
              </w:rPr>
            </w:pPr>
            <w:r>
              <w:rPr>
                <w:rFonts w:ascii="Times New Roman" w:hAnsi="Times New Roman"/>
                <w:color w:val="000000"/>
                <w:kern w:val="0"/>
                <w:sz w:val="25"/>
                <w:szCs w:val="24"/>
              </w:rPr>
              <w:t>4</w:t>
            </w:r>
          </w:p>
        </w:tc>
        <w:tc>
          <w:tcPr>
            <w:tcW w:w="750" w:type="pct"/>
            <w:tcBorders>
              <w:top w:val="single" w:sz="4" w:space="0" w:color="auto"/>
              <w:left w:val="single" w:sz="4" w:space="0" w:color="auto"/>
              <w:bottom w:val="single" w:sz="4" w:space="0" w:color="auto"/>
              <w:right w:val="single" w:sz="4" w:space="0" w:color="auto"/>
            </w:tcBorders>
            <w:vAlign w:val="center"/>
          </w:tcPr>
          <w:p w14:paraId="241053E0"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贵金属投资</w:t>
            </w:r>
          </w:p>
        </w:tc>
        <w:tc>
          <w:tcPr>
            <w:tcW w:w="750" w:type="pct"/>
            <w:tcBorders>
              <w:top w:val="single" w:sz="4" w:space="0" w:color="auto"/>
              <w:left w:val="single" w:sz="4" w:space="0" w:color="auto"/>
              <w:bottom w:val="single" w:sz="4" w:space="0" w:color="auto"/>
              <w:right w:val="single" w:sz="4" w:space="0" w:color="auto"/>
            </w:tcBorders>
            <w:vAlign w:val="center"/>
          </w:tcPr>
          <w:p w14:paraId="216E7E23" w14:textId="77777777" w:rsidR="00FB4D29" w:rsidRDefault="00CF4592">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14:paraId="26E9BC50" w14:textId="77777777" w:rsidR="00FB4D29" w:rsidRDefault="00CF4592">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FB4D29" w14:paraId="10AA67D7"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03021856" w14:textId="77777777" w:rsidR="00FB4D29" w:rsidRDefault="00CF4592">
            <w:pPr>
              <w:widowControl/>
              <w:snapToGrid w:val="0"/>
              <w:jc w:val="center"/>
              <w:rPr>
                <w:rFonts w:ascii="宋体" w:hAnsi="宋体"/>
                <w:color w:val="000000"/>
                <w:kern w:val="0"/>
                <w:sz w:val="25"/>
                <w:szCs w:val="24"/>
              </w:rPr>
            </w:pPr>
            <w:r>
              <w:rPr>
                <w:rFonts w:ascii="Times New Roman" w:hAnsi="Times New Roman"/>
                <w:color w:val="000000"/>
                <w:kern w:val="0"/>
                <w:sz w:val="25"/>
                <w:szCs w:val="24"/>
              </w:rPr>
              <w:t>5</w:t>
            </w:r>
          </w:p>
        </w:tc>
        <w:tc>
          <w:tcPr>
            <w:tcW w:w="750" w:type="pct"/>
            <w:tcBorders>
              <w:top w:val="single" w:sz="4" w:space="0" w:color="auto"/>
              <w:left w:val="single" w:sz="4" w:space="0" w:color="auto"/>
              <w:bottom w:val="single" w:sz="4" w:space="0" w:color="auto"/>
              <w:right w:val="single" w:sz="4" w:space="0" w:color="auto"/>
            </w:tcBorders>
            <w:vAlign w:val="center"/>
          </w:tcPr>
          <w:p w14:paraId="026C57B7"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金融衍生品投资</w:t>
            </w:r>
          </w:p>
        </w:tc>
        <w:tc>
          <w:tcPr>
            <w:tcW w:w="750" w:type="pct"/>
            <w:tcBorders>
              <w:top w:val="single" w:sz="4" w:space="0" w:color="auto"/>
              <w:left w:val="single" w:sz="4" w:space="0" w:color="auto"/>
              <w:bottom w:val="single" w:sz="4" w:space="0" w:color="auto"/>
              <w:right w:val="single" w:sz="4" w:space="0" w:color="auto"/>
            </w:tcBorders>
            <w:vAlign w:val="center"/>
          </w:tcPr>
          <w:p w14:paraId="116DAB01" w14:textId="77777777" w:rsidR="00FB4D29" w:rsidRDefault="00CF4592">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14:paraId="3745ED39" w14:textId="77777777" w:rsidR="00FB4D29" w:rsidRDefault="00CF4592">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FB4D29" w14:paraId="49B36369"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745E52FB" w14:textId="77777777" w:rsidR="00FB4D29" w:rsidRDefault="00CF4592">
            <w:pPr>
              <w:widowControl/>
              <w:snapToGrid w:val="0"/>
              <w:jc w:val="center"/>
              <w:rPr>
                <w:rFonts w:ascii="宋体" w:hAnsi="宋体"/>
                <w:color w:val="000000"/>
                <w:kern w:val="0"/>
                <w:sz w:val="25"/>
                <w:szCs w:val="24"/>
              </w:rPr>
            </w:pPr>
            <w:r>
              <w:rPr>
                <w:rFonts w:ascii="Times New Roman" w:hAnsi="Times New Roman"/>
                <w:color w:val="000000"/>
                <w:kern w:val="0"/>
                <w:sz w:val="25"/>
                <w:szCs w:val="24"/>
              </w:rPr>
              <w:t>6</w:t>
            </w:r>
          </w:p>
        </w:tc>
        <w:tc>
          <w:tcPr>
            <w:tcW w:w="750" w:type="pct"/>
            <w:tcBorders>
              <w:top w:val="single" w:sz="4" w:space="0" w:color="auto"/>
              <w:left w:val="single" w:sz="4" w:space="0" w:color="auto"/>
              <w:bottom w:val="single" w:sz="4" w:space="0" w:color="auto"/>
              <w:right w:val="single" w:sz="4" w:space="0" w:color="auto"/>
            </w:tcBorders>
            <w:vAlign w:val="center"/>
          </w:tcPr>
          <w:p w14:paraId="61A26A02"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买入返售金融资产</w:t>
            </w:r>
          </w:p>
        </w:tc>
        <w:tc>
          <w:tcPr>
            <w:tcW w:w="750" w:type="pct"/>
            <w:tcBorders>
              <w:top w:val="single" w:sz="4" w:space="0" w:color="auto"/>
              <w:left w:val="single" w:sz="4" w:space="0" w:color="auto"/>
              <w:bottom w:val="single" w:sz="4" w:space="0" w:color="auto"/>
              <w:right w:val="single" w:sz="4" w:space="0" w:color="auto"/>
            </w:tcBorders>
            <w:vAlign w:val="center"/>
          </w:tcPr>
          <w:p w14:paraId="2EC9AE43" w14:textId="77777777" w:rsidR="00FB4D29" w:rsidRDefault="00CF4592">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14:paraId="0A2F0A86" w14:textId="77777777" w:rsidR="00FB4D29" w:rsidRDefault="00CF4592">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FB4D29" w14:paraId="39198EC1"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01F99DD9" w14:textId="77777777" w:rsidR="00FB4D29" w:rsidRDefault="00CF4592">
            <w:pPr>
              <w:widowControl/>
              <w:snapToGrid w:val="0"/>
              <w:jc w:val="center"/>
              <w:rPr>
                <w:rFonts w:ascii="宋体" w:hAnsi="宋体"/>
                <w:color w:val="000000"/>
                <w:kern w:val="0"/>
                <w:sz w:val="25"/>
                <w:szCs w:val="24"/>
              </w:rPr>
            </w:pPr>
            <w:r>
              <w:rPr>
                <w:rFonts w:ascii="Times New Roman" w:hAnsi="Times New Roman"/>
                <w:color w:val="000000"/>
                <w:kern w:val="0"/>
                <w:sz w:val="25"/>
                <w:szCs w:val="24"/>
              </w:rPr>
              <w:t xml:space="preserve">　</w:t>
            </w:r>
          </w:p>
        </w:tc>
        <w:tc>
          <w:tcPr>
            <w:tcW w:w="750" w:type="pct"/>
            <w:tcBorders>
              <w:top w:val="single" w:sz="4" w:space="0" w:color="auto"/>
              <w:left w:val="single" w:sz="4" w:space="0" w:color="auto"/>
              <w:bottom w:val="single" w:sz="4" w:space="0" w:color="auto"/>
              <w:right w:val="single" w:sz="4" w:space="0" w:color="auto"/>
            </w:tcBorders>
            <w:vAlign w:val="center"/>
          </w:tcPr>
          <w:p w14:paraId="6029341E"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其中：买断式回购的买入返售金融资产</w:t>
            </w:r>
          </w:p>
        </w:tc>
        <w:tc>
          <w:tcPr>
            <w:tcW w:w="750" w:type="pct"/>
            <w:tcBorders>
              <w:top w:val="single" w:sz="4" w:space="0" w:color="auto"/>
              <w:left w:val="single" w:sz="4" w:space="0" w:color="auto"/>
              <w:bottom w:val="single" w:sz="4" w:space="0" w:color="auto"/>
              <w:right w:val="single" w:sz="4" w:space="0" w:color="auto"/>
            </w:tcBorders>
            <w:vAlign w:val="center"/>
          </w:tcPr>
          <w:p w14:paraId="27C15C23" w14:textId="77777777" w:rsidR="00FB4D29" w:rsidRDefault="00CF4592">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14:paraId="3FF87126" w14:textId="77777777" w:rsidR="00FB4D29" w:rsidRDefault="00CF4592">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FB4D29" w14:paraId="5692F21B"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248654B0" w14:textId="77777777" w:rsidR="00FB4D29" w:rsidRDefault="00CF4592">
            <w:pPr>
              <w:widowControl/>
              <w:snapToGrid w:val="0"/>
              <w:jc w:val="center"/>
              <w:rPr>
                <w:rFonts w:ascii="宋体" w:hAnsi="宋体"/>
                <w:color w:val="000000"/>
                <w:kern w:val="0"/>
                <w:sz w:val="25"/>
                <w:szCs w:val="24"/>
              </w:rPr>
            </w:pPr>
            <w:r>
              <w:rPr>
                <w:rFonts w:ascii="Times New Roman" w:hAnsi="Times New Roman"/>
                <w:color w:val="000000"/>
                <w:kern w:val="0"/>
                <w:sz w:val="25"/>
                <w:szCs w:val="24"/>
              </w:rPr>
              <w:t>7</w:t>
            </w:r>
          </w:p>
        </w:tc>
        <w:tc>
          <w:tcPr>
            <w:tcW w:w="750" w:type="pct"/>
            <w:tcBorders>
              <w:top w:val="single" w:sz="4" w:space="0" w:color="auto"/>
              <w:left w:val="single" w:sz="4" w:space="0" w:color="auto"/>
              <w:bottom w:val="single" w:sz="4" w:space="0" w:color="auto"/>
              <w:right w:val="single" w:sz="4" w:space="0" w:color="auto"/>
            </w:tcBorders>
            <w:vAlign w:val="center"/>
          </w:tcPr>
          <w:p w14:paraId="506B9DDB"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银行存款和结算备付金合计</w:t>
            </w:r>
          </w:p>
        </w:tc>
        <w:tc>
          <w:tcPr>
            <w:tcW w:w="750" w:type="pct"/>
            <w:tcBorders>
              <w:top w:val="single" w:sz="4" w:space="0" w:color="auto"/>
              <w:left w:val="single" w:sz="4" w:space="0" w:color="auto"/>
              <w:bottom w:val="single" w:sz="4" w:space="0" w:color="auto"/>
              <w:right w:val="single" w:sz="4" w:space="0" w:color="auto"/>
            </w:tcBorders>
            <w:vAlign w:val="center"/>
          </w:tcPr>
          <w:p w14:paraId="4B93C40F" w14:textId="77777777" w:rsidR="00FB4D29" w:rsidRDefault="00CF4592">
            <w:pPr>
              <w:widowControl/>
              <w:snapToGrid w:val="0"/>
              <w:jc w:val="right"/>
              <w:rPr>
                <w:rFonts w:ascii="宋体" w:hAnsi="宋体"/>
                <w:color w:val="000000"/>
                <w:kern w:val="0"/>
                <w:sz w:val="25"/>
                <w:szCs w:val="24"/>
              </w:rPr>
            </w:pPr>
            <w:r>
              <w:rPr>
                <w:rFonts w:ascii="Times New Roman" w:hAnsi="Times New Roman"/>
                <w:color w:val="000000"/>
                <w:kern w:val="0"/>
                <w:sz w:val="25"/>
                <w:szCs w:val="24"/>
              </w:rPr>
              <w:t>120,656,777.57</w:t>
            </w:r>
          </w:p>
        </w:tc>
        <w:tc>
          <w:tcPr>
            <w:tcW w:w="400" w:type="pct"/>
            <w:tcBorders>
              <w:top w:val="single" w:sz="4" w:space="0" w:color="auto"/>
              <w:left w:val="single" w:sz="4" w:space="0" w:color="auto"/>
              <w:bottom w:val="single" w:sz="4" w:space="0" w:color="auto"/>
              <w:right w:val="single" w:sz="4" w:space="0" w:color="auto"/>
            </w:tcBorders>
            <w:vAlign w:val="center"/>
          </w:tcPr>
          <w:p w14:paraId="7ED543B2" w14:textId="77777777" w:rsidR="00FB4D29" w:rsidRDefault="00CF4592">
            <w:pPr>
              <w:widowControl/>
              <w:snapToGrid w:val="0"/>
              <w:jc w:val="right"/>
              <w:rPr>
                <w:rFonts w:ascii="宋体" w:hAnsi="宋体"/>
                <w:color w:val="000000"/>
                <w:kern w:val="0"/>
                <w:sz w:val="25"/>
                <w:szCs w:val="24"/>
              </w:rPr>
            </w:pPr>
            <w:r>
              <w:rPr>
                <w:rFonts w:ascii="Times New Roman" w:hAnsi="Times New Roman"/>
                <w:color w:val="000000"/>
                <w:kern w:val="0"/>
                <w:sz w:val="25"/>
                <w:szCs w:val="24"/>
              </w:rPr>
              <w:t>4.25</w:t>
            </w:r>
          </w:p>
        </w:tc>
      </w:tr>
      <w:tr w:rsidR="00FB4D29" w14:paraId="7FCA2F4F"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5E5EEC1E" w14:textId="77777777" w:rsidR="00FB4D29" w:rsidRDefault="00CF4592">
            <w:pPr>
              <w:widowControl/>
              <w:snapToGrid w:val="0"/>
              <w:jc w:val="center"/>
              <w:rPr>
                <w:rFonts w:ascii="宋体" w:hAnsi="宋体"/>
                <w:color w:val="000000"/>
                <w:kern w:val="0"/>
                <w:sz w:val="25"/>
                <w:szCs w:val="24"/>
              </w:rPr>
            </w:pPr>
            <w:r>
              <w:rPr>
                <w:rFonts w:ascii="Times New Roman" w:hAnsi="Times New Roman"/>
                <w:color w:val="000000"/>
                <w:kern w:val="0"/>
                <w:sz w:val="25"/>
                <w:szCs w:val="24"/>
              </w:rPr>
              <w:t>8</w:t>
            </w:r>
          </w:p>
        </w:tc>
        <w:tc>
          <w:tcPr>
            <w:tcW w:w="750" w:type="pct"/>
            <w:tcBorders>
              <w:top w:val="single" w:sz="4" w:space="0" w:color="auto"/>
              <w:left w:val="single" w:sz="4" w:space="0" w:color="auto"/>
              <w:bottom w:val="single" w:sz="4" w:space="0" w:color="auto"/>
              <w:right w:val="single" w:sz="4" w:space="0" w:color="auto"/>
            </w:tcBorders>
            <w:vAlign w:val="center"/>
          </w:tcPr>
          <w:p w14:paraId="7A9533D4"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其他资产</w:t>
            </w:r>
          </w:p>
        </w:tc>
        <w:tc>
          <w:tcPr>
            <w:tcW w:w="750" w:type="pct"/>
            <w:tcBorders>
              <w:top w:val="single" w:sz="4" w:space="0" w:color="auto"/>
              <w:left w:val="single" w:sz="4" w:space="0" w:color="auto"/>
              <w:bottom w:val="single" w:sz="4" w:space="0" w:color="auto"/>
              <w:right w:val="single" w:sz="4" w:space="0" w:color="auto"/>
            </w:tcBorders>
            <w:vAlign w:val="center"/>
          </w:tcPr>
          <w:p w14:paraId="48F252A9" w14:textId="77777777" w:rsidR="00FB4D29" w:rsidRDefault="00CF4592">
            <w:pPr>
              <w:widowControl/>
              <w:snapToGrid w:val="0"/>
              <w:jc w:val="right"/>
              <w:rPr>
                <w:rFonts w:ascii="宋体" w:hAnsi="宋体"/>
                <w:color w:val="000000"/>
                <w:kern w:val="0"/>
                <w:sz w:val="25"/>
                <w:szCs w:val="24"/>
              </w:rPr>
            </w:pPr>
            <w:r>
              <w:rPr>
                <w:rFonts w:ascii="Times New Roman" w:hAnsi="Times New Roman"/>
                <w:color w:val="000000"/>
                <w:kern w:val="0"/>
                <w:sz w:val="25"/>
                <w:szCs w:val="24"/>
              </w:rPr>
              <w:t>33,540,322.07</w:t>
            </w:r>
          </w:p>
        </w:tc>
        <w:tc>
          <w:tcPr>
            <w:tcW w:w="400" w:type="pct"/>
            <w:tcBorders>
              <w:top w:val="single" w:sz="4" w:space="0" w:color="auto"/>
              <w:left w:val="single" w:sz="4" w:space="0" w:color="auto"/>
              <w:bottom w:val="single" w:sz="4" w:space="0" w:color="auto"/>
              <w:right w:val="single" w:sz="4" w:space="0" w:color="auto"/>
            </w:tcBorders>
            <w:vAlign w:val="center"/>
          </w:tcPr>
          <w:p w14:paraId="135A06F9" w14:textId="77777777" w:rsidR="00FB4D29" w:rsidRDefault="00CF4592">
            <w:pPr>
              <w:widowControl/>
              <w:snapToGrid w:val="0"/>
              <w:jc w:val="right"/>
              <w:rPr>
                <w:rFonts w:ascii="宋体" w:hAnsi="宋体"/>
                <w:color w:val="000000"/>
                <w:kern w:val="0"/>
                <w:sz w:val="25"/>
                <w:szCs w:val="24"/>
              </w:rPr>
            </w:pPr>
            <w:r>
              <w:rPr>
                <w:rFonts w:ascii="Times New Roman" w:hAnsi="Times New Roman"/>
                <w:color w:val="000000"/>
                <w:kern w:val="0"/>
                <w:sz w:val="25"/>
                <w:szCs w:val="24"/>
              </w:rPr>
              <w:t>1.18</w:t>
            </w:r>
          </w:p>
        </w:tc>
      </w:tr>
      <w:tr w:rsidR="00FB4D29" w14:paraId="64FADDBE"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0A85D407" w14:textId="77777777" w:rsidR="00FB4D29" w:rsidRDefault="00CF4592">
            <w:pPr>
              <w:widowControl/>
              <w:snapToGrid w:val="0"/>
              <w:jc w:val="center"/>
              <w:rPr>
                <w:rFonts w:ascii="宋体" w:hAnsi="宋体"/>
                <w:color w:val="000000"/>
                <w:kern w:val="0"/>
                <w:sz w:val="25"/>
                <w:szCs w:val="24"/>
              </w:rPr>
            </w:pPr>
            <w:r>
              <w:rPr>
                <w:rFonts w:ascii="Times New Roman" w:hAnsi="Times New Roman"/>
                <w:color w:val="000000"/>
                <w:kern w:val="0"/>
                <w:sz w:val="25"/>
                <w:szCs w:val="24"/>
              </w:rPr>
              <w:t>9</w:t>
            </w:r>
          </w:p>
        </w:tc>
        <w:tc>
          <w:tcPr>
            <w:tcW w:w="750" w:type="pct"/>
            <w:tcBorders>
              <w:top w:val="single" w:sz="4" w:space="0" w:color="auto"/>
              <w:left w:val="single" w:sz="4" w:space="0" w:color="auto"/>
              <w:bottom w:val="single" w:sz="4" w:space="0" w:color="auto"/>
              <w:right w:val="single" w:sz="4" w:space="0" w:color="auto"/>
            </w:tcBorders>
            <w:vAlign w:val="center"/>
          </w:tcPr>
          <w:p w14:paraId="4B23BA6D"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合计</w:t>
            </w:r>
          </w:p>
        </w:tc>
        <w:tc>
          <w:tcPr>
            <w:tcW w:w="750" w:type="pct"/>
            <w:tcBorders>
              <w:top w:val="single" w:sz="4" w:space="0" w:color="auto"/>
              <w:left w:val="single" w:sz="4" w:space="0" w:color="auto"/>
              <w:bottom w:val="single" w:sz="4" w:space="0" w:color="auto"/>
              <w:right w:val="single" w:sz="4" w:space="0" w:color="auto"/>
            </w:tcBorders>
            <w:vAlign w:val="center"/>
          </w:tcPr>
          <w:p w14:paraId="34B3D60B" w14:textId="77777777" w:rsidR="00FB4D29" w:rsidRDefault="00CF4592">
            <w:pPr>
              <w:widowControl/>
              <w:snapToGrid w:val="0"/>
              <w:jc w:val="right"/>
              <w:rPr>
                <w:rFonts w:ascii="宋体" w:hAnsi="宋体"/>
                <w:color w:val="000000"/>
                <w:kern w:val="0"/>
                <w:sz w:val="25"/>
                <w:szCs w:val="24"/>
              </w:rPr>
            </w:pPr>
            <w:r>
              <w:rPr>
                <w:rFonts w:ascii="Times New Roman" w:hAnsi="Times New Roman"/>
                <w:color w:val="000000"/>
                <w:kern w:val="0"/>
                <w:sz w:val="25"/>
                <w:szCs w:val="24"/>
              </w:rPr>
              <w:t>2,840,985,160.20</w:t>
            </w:r>
          </w:p>
        </w:tc>
        <w:tc>
          <w:tcPr>
            <w:tcW w:w="400" w:type="pct"/>
            <w:tcBorders>
              <w:top w:val="single" w:sz="4" w:space="0" w:color="auto"/>
              <w:left w:val="single" w:sz="4" w:space="0" w:color="auto"/>
              <w:bottom w:val="single" w:sz="4" w:space="0" w:color="auto"/>
              <w:right w:val="single" w:sz="4" w:space="0" w:color="auto"/>
            </w:tcBorders>
            <w:vAlign w:val="center"/>
          </w:tcPr>
          <w:p w14:paraId="722733CB" w14:textId="77777777" w:rsidR="00FB4D29" w:rsidRDefault="00CF4592">
            <w:pPr>
              <w:widowControl/>
              <w:snapToGrid w:val="0"/>
              <w:jc w:val="right"/>
              <w:rPr>
                <w:rFonts w:ascii="宋体" w:hAnsi="宋体"/>
                <w:color w:val="000000"/>
                <w:kern w:val="0"/>
                <w:sz w:val="25"/>
                <w:szCs w:val="24"/>
              </w:rPr>
            </w:pPr>
            <w:r>
              <w:rPr>
                <w:rFonts w:ascii="Times New Roman" w:hAnsi="Times New Roman"/>
                <w:color w:val="000000"/>
                <w:kern w:val="0"/>
                <w:sz w:val="25"/>
                <w:szCs w:val="24"/>
              </w:rPr>
              <w:t>100.00</w:t>
            </w:r>
          </w:p>
        </w:tc>
      </w:tr>
    </w:tbl>
    <w:p w14:paraId="0719AA8D"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2、报告期末按行业分类的股票投资组合</w:t>
      </w:r>
    </w:p>
    <w:p w14:paraId="7EB0A59B"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2.1 报告期末按行业分类的境内股票投资组合</w:t>
      </w:r>
    </w:p>
    <w:tbl>
      <w:tblPr>
        <w:tblW w:w="5000" w:type="pct"/>
        <w:tblCellMar>
          <w:left w:w="0" w:type="dxa"/>
          <w:right w:w="0" w:type="dxa"/>
        </w:tblCellMar>
        <w:tblLook w:val="0000" w:firstRow="0" w:lastRow="0" w:firstColumn="0" w:lastColumn="0" w:noHBand="0" w:noVBand="0"/>
      </w:tblPr>
      <w:tblGrid>
        <w:gridCol w:w="1006"/>
        <w:gridCol w:w="3018"/>
        <w:gridCol w:w="3017"/>
        <w:gridCol w:w="1609"/>
      </w:tblGrid>
      <w:tr w:rsidR="00FB4D29" w14:paraId="00F73F62" w14:textId="77777777">
        <w:trPr>
          <w:cantSplit/>
          <w:trHeight w:val="375"/>
        </w:trPr>
        <w:tc>
          <w:tcPr>
            <w:tcW w:w="250" w:type="pct"/>
            <w:tcBorders>
              <w:top w:val="single" w:sz="4" w:space="0" w:color="auto"/>
              <w:left w:val="single" w:sz="4" w:space="0" w:color="auto"/>
              <w:bottom w:val="single" w:sz="4" w:space="0" w:color="auto"/>
              <w:right w:val="single" w:sz="4" w:space="0" w:color="auto"/>
            </w:tcBorders>
            <w:shd w:val="clear" w:color="auto" w:fill="D9D9D9"/>
            <w:vAlign w:val="center"/>
          </w:tcPr>
          <w:p w14:paraId="59CE28F6" w14:textId="77777777" w:rsidR="00FB4D29" w:rsidRDefault="00CF4592">
            <w:pPr>
              <w:widowControl/>
              <w:snapToGrid w:val="0"/>
              <w:jc w:val="center"/>
              <w:rPr>
                <w:rFonts w:ascii="宋体" w:hAnsi="宋体"/>
                <w:color w:val="000000"/>
                <w:kern w:val="0"/>
                <w:sz w:val="25"/>
                <w:szCs w:val="24"/>
              </w:rPr>
            </w:pPr>
            <w:r>
              <w:rPr>
                <w:rFonts w:ascii="Times New Roman" w:hAnsi="Times New Roman"/>
                <w:color w:val="000000"/>
                <w:kern w:val="0"/>
                <w:sz w:val="25"/>
                <w:szCs w:val="24"/>
              </w:rPr>
              <w:t>代码</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14:paraId="550656BC" w14:textId="77777777" w:rsidR="00FB4D29" w:rsidRDefault="00CF4592">
            <w:pPr>
              <w:widowControl/>
              <w:snapToGrid w:val="0"/>
              <w:jc w:val="center"/>
              <w:rPr>
                <w:rFonts w:ascii="宋体" w:hAnsi="宋体"/>
                <w:color w:val="000000"/>
                <w:kern w:val="0"/>
                <w:sz w:val="25"/>
                <w:szCs w:val="24"/>
              </w:rPr>
            </w:pPr>
            <w:r>
              <w:rPr>
                <w:rFonts w:ascii="Times New Roman" w:hAnsi="Times New Roman"/>
                <w:color w:val="000000"/>
                <w:kern w:val="0"/>
                <w:sz w:val="25"/>
                <w:szCs w:val="24"/>
              </w:rPr>
              <w:t>行业类别</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14:paraId="6F3A3D51" w14:textId="77777777" w:rsidR="00FB4D29" w:rsidRDefault="00CF4592">
            <w:pPr>
              <w:widowControl/>
              <w:snapToGrid w:val="0"/>
              <w:jc w:val="center"/>
              <w:rPr>
                <w:rFonts w:ascii="宋体" w:hAnsi="宋体"/>
                <w:color w:val="000000"/>
                <w:kern w:val="0"/>
                <w:sz w:val="25"/>
                <w:szCs w:val="24"/>
              </w:rPr>
            </w:pPr>
            <w:r>
              <w:rPr>
                <w:rFonts w:ascii="Times New Roman" w:hAnsi="Times New Roman"/>
                <w:color w:val="000000"/>
                <w:kern w:val="0"/>
                <w:sz w:val="25"/>
                <w:szCs w:val="24"/>
              </w:rPr>
              <w:t>公允价值（元）</w:t>
            </w:r>
          </w:p>
        </w:tc>
        <w:tc>
          <w:tcPr>
            <w:tcW w:w="400" w:type="pct"/>
            <w:tcBorders>
              <w:top w:val="single" w:sz="4" w:space="0" w:color="auto"/>
              <w:left w:val="single" w:sz="4" w:space="0" w:color="auto"/>
              <w:bottom w:val="single" w:sz="4" w:space="0" w:color="auto"/>
              <w:right w:val="single" w:sz="4" w:space="0" w:color="auto"/>
            </w:tcBorders>
            <w:shd w:val="clear" w:color="auto" w:fill="D9D9D9"/>
            <w:vAlign w:val="center"/>
          </w:tcPr>
          <w:p w14:paraId="284F3028" w14:textId="77777777" w:rsidR="00FB4D29" w:rsidRDefault="00CF4592">
            <w:pPr>
              <w:widowControl/>
              <w:snapToGrid w:val="0"/>
              <w:jc w:val="center"/>
              <w:rPr>
                <w:rFonts w:ascii="宋体" w:hAnsi="宋体"/>
                <w:color w:val="000000"/>
                <w:kern w:val="0"/>
                <w:sz w:val="25"/>
                <w:szCs w:val="24"/>
              </w:rPr>
            </w:pPr>
            <w:r>
              <w:rPr>
                <w:rFonts w:ascii="Times New Roman" w:hAnsi="Times New Roman"/>
                <w:color w:val="000000"/>
                <w:kern w:val="0"/>
                <w:sz w:val="25"/>
                <w:szCs w:val="24"/>
              </w:rPr>
              <w:t>占基金资产净值比例（</w:t>
            </w:r>
            <w:r>
              <w:rPr>
                <w:rFonts w:ascii="Times New Roman" w:hAnsi="Times New Roman"/>
                <w:color w:val="000000"/>
                <w:kern w:val="0"/>
                <w:sz w:val="25"/>
                <w:szCs w:val="24"/>
              </w:rPr>
              <w:t>%</w:t>
            </w:r>
            <w:r>
              <w:rPr>
                <w:rFonts w:ascii="Times New Roman" w:hAnsi="Times New Roman"/>
                <w:color w:val="000000"/>
                <w:kern w:val="0"/>
                <w:sz w:val="25"/>
                <w:szCs w:val="24"/>
              </w:rPr>
              <w:t>）</w:t>
            </w:r>
          </w:p>
        </w:tc>
      </w:tr>
      <w:tr w:rsidR="00FB4D29" w14:paraId="5A496A76"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284745B4" w14:textId="77777777" w:rsidR="00FB4D29" w:rsidRDefault="00CF4592">
            <w:pPr>
              <w:widowControl/>
              <w:snapToGrid w:val="0"/>
              <w:jc w:val="center"/>
              <w:rPr>
                <w:rFonts w:ascii="宋体" w:hAnsi="宋体"/>
                <w:color w:val="000000"/>
                <w:kern w:val="0"/>
                <w:sz w:val="25"/>
                <w:szCs w:val="24"/>
              </w:rPr>
            </w:pPr>
            <w:r>
              <w:rPr>
                <w:rFonts w:ascii="Times New Roman" w:hAnsi="Times New Roman"/>
                <w:color w:val="000000"/>
                <w:kern w:val="0"/>
                <w:sz w:val="25"/>
                <w:szCs w:val="24"/>
              </w:rPr>
              <w:t>A</w:t>
            </w:r>
          </w:p>
        </w:tc>
        <w:tc>
          <w:tcPr>
            <w:tcW w:w="750" w:type="pct"/>
            <w:tcBorders>
              <w:top w:val="single" w:sz="4" w:space="0" w:color="auto"/>
              <w:left w:val="single" w:sz="4" w:space="0" w:color="auto"/>
              <w:bottom w:val="single" w:sz="4" w:space="0" w:color="auto"/>
              <w:right w:val="single" w:sz="4" w:space="0" w:color="auto"/>
            </w:tcBorders>
            <w:vAlign w:val="center"/>
          </w:tcPr>
          <w:p w14:paraId="5149DF96"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农、林、牧、渔业</w:t>
            </w:r>
          </w:p>
        </w:tc>
        <w:tc>
          <w:tcPr>
            <w:tcW w:w="750" w:type="pct"/>
            <w:tcBorders>
              <w:top w:val="single" w:sz="4" w:space="0" w:color="auto"/>
              <w:left w:val="single" w:sz="4" w:space="0" w:color="auto"/>
              <w:bottom w:val="single" w:sz="4" w:space="0" w:color="auto"/>
              <w:right w:val="single" w:sz="4" w:space="0" w:color="auto"/>
            </w:tcBorders>
            <w:vAlign w:val="center"/>
          </w:tcPr>
          <w:p w14:paraId="1A1350A1" w14:textId="77777777" w:rsidR="00FB4D29" w:rsidRDefault="00CF4592">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14:paraId="7208E516" w14:textId="77777777" w:rsidR="00FB4D29" w:rsidRDefault="00CF4592">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FB4D29" w14:paraId="0815150E"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4D86193E" w14:textId="77777777" w:rsidR="00FB4D29" w:rsidRDefault="00CF4592">
            <w:pPr>
              <w:widowControl/>
              <w:snapToGrid w:val="0"/>
              <w:jc w:val="center"/>
              <w:rPr>
                <w:rFonts w:ascii="宋体" w:hAnsi="宋体"/>
                <w:color w:val="000000"/>
                <w:kern w:val="0"/>
                <w:sz w:val="25"/>
                <w:szCs w:val="24"/>
              </w:rPr>
            </w:pPr>
            <w:r>
              <w:rPr>
                <w:rFonts w:ascii="Times New Roman" w:hAnsi="Times New Roman"/>
                <w:color w:val="000000"/>
                <w:kern w:val="0"/>
                <w:sz w:val="25"/>
                <w:szCs w:val="24"/>
              </w:rPr>
              <w:t>B</w:t>
            </w:r>
          </w:p>
        </w:tc>
        <w:tc>
          <w:tcPr>
            <w:tcW w:w="750" w:type="pct"/>
            <w:tcBorders>
              <w:top w:val="single" w:sz="4" w:space="0" w:color="auto"/>
              <w:left w:val="single" w:sz="4" w:space="0" w:color="auto"/>
              <w:bottom w:val="single" w:sz="4" w:space="0" w:color="auto"/>
              <w:right w:val="single" w:sz="4" w:space="0" w:color="auto"/>
            </w:tcBorders>
            <w:vAlign w:val="center"/>
          </w:tcPr>
          <w:p w14:paraId="2C833A57"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采矿业</w:t>
            </w:r>
          </w:p>
        </w:tc>
        <w:tc>
          <w:tcPr>
            <w:tcW w:w="750" w:type="pct"/>
            <w:tcBorders>
              <w:top w:val="single" w:sz="4" w:space="0" w:color="auto"/>
              <w:left w:val="single" w:sz="4" w:space="0" w:color="auto"/>
              <w:bottom w:val="single" w:sz="4" w:space="0" w:color="auto"/>
              <w:right w:val="single" w:sz="4" w:space="0" w:color="auto"/>
            </w:tcBorders>
            <w:vAlign w:val="center"/>
          </w:tcPr>
          <w:p w14:paraId="4161D4C7" w14:textId="77777777" w:rsidR="00FB4D29" w:rsidRDefault="00CF4592">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14:paraId="612CA078" w14:textId="77777777" w:rsidR="00FB4D29" w:rsidRDefault="00CF4592">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FB4D29" w14:paraId="1604FB4A"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2BD57E6C" w14:textId="77777777" w:rsidR="00FB4D29" w:rsidRDefault="00CF4592">
            <w:pPr>
              <w:widowControl/>
              <w:snapToGrid w:val="0"/>
              <w:jc w:val="center"/>
              <w:rPr>
                <w:rFonts w:ascii="宋体" w:hAnsi="宋体"/>
                <w:color w:val="000000"/>
                <w:kern w:val="0"/>
                <w:sz w:val="25"/>
                <w:szCs w:val="24"/>
              </w:rPr>
            </w:pPr>
            <w:r>
              <w:rPr>
                <w:rFonts w:ascii="Times New Roman" w:hAnsi="Times New Roman"/>
                <w:color w:val="000000"/>
                <w:kern w:val="0"/>
                <w:sz w:val="25"/>
                <w:szCs w:val="24"/>
              </w:rPr>
              <w:t>C</w:t>
            </w:r>
          </w:p>
        </w:tc>
        <w:tc>
          <w:tcPr>
            <w:tcW w:w="750" w:type="pct"/>
            <w:tcBorders>
              <w:top w:val="single" w:sz="4" w:space="0" w:color="auto"/>
              <w:left w:val="single" w:sz="4" w:space="0" w:color="auto"/>
              <w:bottom w:val="single" w:sz="4" w:space="0" w:color="auto"/>
              <w:right w:val="single" w:sz="4" w:space="0" w:color="auto"/>
            </w:tcBorders>
            <w:vAlign w:val="center"/>
          </w:tcPr>
          <w:p w14:paraId="385FC1E3"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制造业</w:t>
            </w:r>
          </w:p>
        </w:tc>
        <w:tc>
          <w:tcPr>
            <w:tcW w:w="750" w:type="pct"/>
            <w:tcBorders>
              <w:top w:val="single" w:sz="4" w:space="0" w:color="auto"/>
              <w:left w:val="single" w:sz="4" w:space="0" w:color="auto"/>
              <w:bottom w:val="single" w:sz="4" w:space="0" w:color="auto"/>
              <w:right w:val="single" w:sz="4" w:space="0" w:color="auto"/>
            </w:tcBorders>
            <w:vAlign w:val="center"/>
          </w:tcPr>
          <w:p w14:paraId="4C9DF456" w14:textId="77777777" w:rsidR="00FB4D29" w:rsidRDefault="00CF4592">
            <w:pPr>
              <w:widowControl/>
              <w:snapToGrid w:val="0"/>
              <w:jc w:val="right"/>
              <w:rPr>
                <w:rFonts w:ascii="宋体" w:hAnsi="宋体"/>
                <w:color w:val="000000"/>
                <w:kern w:val="0"/>
                <w:sz w:val="25"/>
                <w:szCs w:val="24"/>
              </w:rPr>
            </w:pPr>
            <w:r>
              <w:rPr>
                <w:rFonts w:ascii="Times New Roman" w:hAnsi="Times New Roman"/>
                <w:color w:val="000000"/>
                <w:kern w:val="0"/>
                <w:sz w:val="25"/>
                <w:szCs w:val="24"/>
              </w:rPr>
              <w:t>1,670,365,761.45</w:t>
            </w:r>
          </w:p>
        </w:tc>
        <w:tc>
          <w:tcPr>
            <w:tcW w:w="400" w:type="pct"/>
            <w:tcBorders>
              <w:top w:val="single" w:sz="4" w:space="0" w:color="auto"/>
              <w:left w:val="single" w:sz="4" w:space="0" w:color="auto"/>
              <w:bottom w:val="single" w:sz="4" w:space="0" w:color="auto"/>
              <w:right w:val="single" w:sz="4" w:space="0" w:color="auto"/>
            </w:tcBorders>
            <w:vAlign w:val="center"/>
          </w:tcPr>
          <w:p w14:paraId="62B35D09" w14:textId="77777777" w:rsidR="00FB4D29" w:rsidRDefault="00CF4592">
            <w:pPr>
              <w:widowControl/>
              <w:snapToGrid w:val="0"/>
              <w:jc w:val="right"/>
              <w:rPr>
                <w:rFonts w:ascii="宋体" w:hAnsi="宋体"/>
                <w:color w:val="000000"/>
                <w:kern w:val="0"/>
                <w:sz w:val="25"/>
                <w:szCs w:val="24"/>
              </w:rPr>
            </w:pPr>
            <w:r>
              <w:rPr>
                <w:rFonts w:ascii="Times New Roman" w:hAnsi="Times New Roman"/>
                <w:color w:val="000000"/>
                <w:kern w:val="0"/>
                <w:sz w:val="25"/>
                <w:szCs w:val="24"/>
              </w:rPr>
              <w:t>59.29</w:t>
            </w:r>
          </w:p>
        </w:tc>
      </w:tr>
      <w:tr w:rsidR="00FB4D29" w14:paraId="43C10AF5"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5828F144" w14:textId="77777777" w:rsidR="00FB4D29" w:rsidRDefault="00CF4592">
            <w:pPr>
              <w:widowControl/>
              <w:snapToGrid w:val="0"/>
              <w:jc w:val="center"/>
              <w:rPr>
                <w:rFonts w:ascii="宋体" w:hAnsi="宋体"/>
                <w:color w:val="000000"/>
                <w:kern w:val="0"/>
                <w:sz w:val="25"/>
                <w:szCs w:val="24"/>
              </w:rPr>
            </w:pPr>
            <w:r>
              <w:rPr>
                <w:rFonts w:ascii="Times New Roman" w:hAnsi="Times New Roman"/>
                <w:color w:val="000000"/>
                <w:kern w:val="0"/>
                <w:sz w:val="25"/>
                <w:szCs w:val="24"/>
              </w:rPr>
              <w:t>D</w:t>
            </w:r>
          </w:p>
        </w:tc>
        <w:tc>
          <w:tcPr>
            <w:tcW w:w="750" w:type="pct"/>
            <w:tcBorders>
              <w:top w:val="single" w:sz="4" w:space="0" w:color="auto"/>
              <w:left w:val="single" w:sz="4" w:space="0" w:color="auto"/>
              <w:bottom w:val="single" w:sz="4" w:space="0" w:color="auto"/>
              <w:right w:val="single" w:sz="4" w:space="0" w:color="auto"/>
            </w:tcBorders>
            <w:vAlign w:val="center"/>
          </w:tcPr>
          <w:p w14:paraId="35BC9E10"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电力、热力、燃气及水生产和供应业</w:t>
            </w:r>
          </w:p>
        </w:tc>
        <w:tc>
          <w:tcPr>
            <w:tcW w:w="750" w:type="pct"/>
            <w:tcBorders>
              <w:top w:val="single" w:sz="4" w:space="0" w:color="auto"/>
              <w:left w:val="single" w:sz="4" w:space="0" w:color="auto"/>
              <w:bottom w:val="single" w:sz="4" w:space="0" w:color="auto"/>
              <w:right w:val="single" w:sz="4" w:space="0" w:color="auto"/>
            </w:tcBorders>
            <w:vAlign w:val="center"/>
          </w:tcPr>
          <w:p w14:paraId="200895EB" w14:textId="77777777" w:rsidR="00FB4D29" w:rsidRDefault="00CF4592">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14:paraId="046C2481" w14:textId="77777777" w:rsidR="00FB4D29" w:rsidRDefault="00CF4592">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FB4D29" w14:paraId="25688A42"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5FCE2547" w14:textId="77777777" w:rsidR="00FB4D29" w:rsidRDefault="00CF4592">
            <w:pPr>
              <w:widowControl/>
              <w:snapToGrid w:val="0"/>
              <w:jc w:val="center"/>
              <w:rPr>
                <w:rFonts w:ascii="宋体" w:hAnsi="宋体"/>
                <w:color w:val="000000"/>
                <w:kern w:val="0"/>
                <w:sz w:val="25"/>
                <w:szCs w:val="24"/>
              </w:rPr>
            </w:pPr>
            <w:r>
              <w:rPr>
                <w:rFonts w:ascii="Times New Roman" w:hAnsi="Times New Roman"/>
                <w:color w:val="000000"/>
                <w:kern w:val="0"/>
                <w:sz w:val="25"/>
                <w:szCs w:val="24"/>
              </w:rPr>
              <w:t>E</w:t>
            </w:r>
          </w:p>
        </w:tc>
        <w:tc>
          <w:tcPr>
            <w:tcW w:w="750" w:type="pct"/>
            <w:tcBorders>
              <w:top w:val="single" w:sz="4" w:space="0" w:color="auto"/>
              <w:left w:val="single" w:sz="4" w:space="0" w:color="auto"/>
              <w:bottom w:val="single" w:sz="4" w:space="0" w:color="auto"/>
              <w:right w:val="single" w:sz="4" w:space="0" w:color="auto"/>
            </w:tcBorders>
            <w:vAlign w:val="center"/>
          </w:tcPr>
          <w:p w14:paraId="0279118D"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建筑业</w:t>
            </w:r>
          </w:p>
        </w:tc>
        <w:tc>
          <w:tcPr>
            <w:tcW w:w="750" w:type="pct"/>
            <w:tcBorders>
              <w:top w:val="single" w:sz="4" w:space="0" w:color="auto"/>
              <w:left w:val="single" w:sz="4" w:space="0" w:color="auto"/>
              <w:bottom w:val="single" w:sz="4" w:space="0" w:color="auto"/>
              <w:right w:val="single" w:sz="4" w:space="0" w:color="auto"/>
            </w:tcBorders>
            <w:vAlign w:val="center"/>
          </w:tcPr>
          <w:p w14:paraId="79A31241" w14:textId="77777777" w:rsidR="00FB4D29" w:rsidRDefault="00CF4592">
            <w:pPr>
              <w:widowControl/>
              <w:snapToGrid w:val="0"/>
              <w:jc w:val="right"/>
              <w:rPr>
                <w:rFonts w:ascii="宋体" w:hAnsi="宋体"/>
                <w:color w:val="000000"/>
                <w:kern w:val="0"/>
                <w:sz w:val="25"/>
                <w:szCs w:val="24"/>
              </w:rPr>
            </w:pPr>
            <w:r>
              <w:rPr>
                <w:rFonts w:ascii="Times New Roman" w:hAnsi="Times New Roman"/>
                <w:color w:val="000000"/>
                <w:kern w:val="0"/>
                <w:sz w:val="25"/>
                <w:szCs w:val="24"/>
              </w:rPr>
              <w:t>50,165,392.97</w:t>
            </w:r>
          </w:p>
        </w:tc>
        <w:tc>
          <w:tcPr>
            <w:tcW w:w="400" w:type="pct"/>
            <w:tcBorders>
              <w:top w:val="single" w:sz="4" w:space="0" w:color="auto"/>
              <w:left w:val="single" w:sz="4" w:space="0" w:color="auto"/>
              <w:bottom w:val="single" w:sz="4" w:space="0" w:color="auto"/>
              <w:right w:val="single" w:sz="4" w:space="0" w:color="auto"/>
            </w:tcBorders>
            <w:vAlign w:val="center"/>
          </w:tcPr>
          <w:p w14:paraId="00004520" w14:textId="77777777" w:rsidR="00FB4D29" w:rsidRDefault="00CF4592">
            <w:pPr>
              <w:widowControl/>
              <w:snapToGrid w:val="0"/>
              <w:jc w:val="right"/>
              <w:rPr>
                <w:rFonts w:ascii="宋体" w:hAnsi="宋体"/>
                <w:color w:val="000000"/>
                <w:kern w:val="0"/>
                <w:sz w:val="25"/>
                <w:szCs w:val="24"/>
              </w:rPr>
            </w:pPr>
            <w:r>
              <w:rPr>
                <w:rFonts w:ascii="Times New Roman" w:hAnsi="Times New Roman"/>
                <w:color w:val="000000"/>
                <w:kern w:val="0"/>
                <w:sz w:val="25"/>
                <w:szCs w:val="24"/>
              </w:rPr>
              <w:t>1.78</w:t>
            </w:r>
          </w:p>
        </w:tc>
      </w:tr>
      <w:tr w:rsidR="00FB4D29" w14:paraId="2459B7AF"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368CD135" w14:textId="77777777" w:rsidR="00FB4D29" w:rsidRDefault="00CF4592">
            <w:pPr>
              <w:widowControl/>
              <w:snapToGrid w:val="0"/>
              <w:jc w:val="center"/>
              <w:rPr>
                <w:rFonts w:ascii="宋体" w:hAnsi="宋体"/>
                <w:color w:val="000000"/>
                <w:kern w:val="0"/>
                <w:sz w:val="25"/>
                <w:szCs w:val="24"/>
              </w:rPr>
            </w:pPr>
            <w:r>
              <w:rPr>
                <w:rFonts w:ascii="Times New Roman" w:hAnsi="Times New Roman"/>
                <w:color w:val="000000"/>
                <w:kern w:val="0"/>
                <w:sz w:val="25"/>
                <w:szCs w:val="24"/>
              </w:rPr>
              <w:t>F</w:t>
            </w:r>
          </w:p>
        </w:tc>
        <w:tc>
          <w:tcPr>
            <w:tcW w:w="750" w:type="pct"/>
            <w:tcBorders>
              <w:top w:val="single" w:sz="4" w:space="0" w:color="auto"/>
              <w:left w:val="single" w:sz="4" w:space="0" w:color="auto"/>
              <w:bottom w:val="single" w:sz="4" w:space="0" w:color="auto"/>
              <w:right w:val="single" w:sz="4" w:space="0" w:color="auto"/>
            </w:tcBorders>
            <w:vAlign w:val="center"/>
          </w:tcPr>
          <w:p w14:paraId="5342AD9A"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批发和零售业</w:t>
            </w:r>
          </w:p>
        </w:tc>
        <w:tc>
          <w:tcPr>
            <w:tcW w:w="750" w:type="pct"/>
            <w:tcBorders>
              <w:top w:val="single" w:sz="4" w:space="0" w:color="auto"/>
              <w:left w:val="single" w:sz="4" w:space="0" w:color="auto"/>
              <w:bottom w:val="single" w:sz="4" w:space="0" w:color="auto"/>
              <w:right w:val="single" w:sz="4" w:space="0" w:color="auto"/>
            </w:tcBorders>
            <w:vAlign w:val="center"/>
          </w:tcPr>
          <w:p w14:paraId="400AD47F" w14:textId="77777777" w:rsidR="00FB4D29" w:rsidRDefault="00CF4592">
            <w:pPr>
              <w:widowControl/>
              <w:snapToGrid w:val="0"/>
              <w:jc w:val="right"/>
              <w:rPr>
                <w:rFonts w:ascii="宋体" w:hAnsi="宋体"/>
                <w:color w:val="000000"/>
                <w:kern w:val="0"/>
                <w:sz w:val="25"/>
                <w:szCs w:val="24"/>
              </w:rPr>
            </w:pPr>
            <w:r>
              <w:rPr>
                <w:rFonts w:ascii="Times New Roman" w:hAnsi="Times New Roman"/>
                <w:color w:val="000000"/>
                <w:kern w:val="0"/>
                <w:sz w:val="25"/>
                <w:szCs w:val="24"/>
              </w:rPr>
              <w:t>62,243.28</w:t>
            </w:r>
          </w:p>
        </w:tc>
        <w:tc>
          <w:tcPr>
            <w:tcW w:w="400" w:type="pct"/>
            <w:tcBorders>
              <w:top w:val="single" w:sz="4" w:space="0" w:color="auto"/>
              <w:left w:val="single" w:sz="4" w:space="0" w:color="auto"/>
              <w:bottom w:val="single" w:sz="4" w:space="0" w:color="auto"/>
              <w:right w:val="single" w:sz="4" w:space="0" w:color="auto"/>
            </w:tcBorders>
            <w:vAlign w:val="center"/>
          </w:tcPr>
          <w:p w14:paraId="7A86E706" w14:textId="77777777" w:rsidR="00FB4D29" w:rsidRDefault="00CF4592">
            <w:pPr>
              <w:widowControl/>
              <w:snapToGrid w:val="0"/>
              <w:jc w:val="right"/>
              <w:rPr>
                <w:rFonts w:ascii="宋体" w:hAnsi="宋体"/>
                <w:color w:val="000000"/>
                <w:kern w:val="0"/>
                <w:sz w:val="25"/>
                <w:szCs w:val="24"/>
              </w:rPr>
            </w:pPr>
            <w:r>
              <w:rPr>
                <w:rFonts w:ascii="Times New Roman" w:hAnsi="Times New Roman"/>
                <w:color w:val="000000"/>
                <w:kern w:val="0"/>
                <w:sz w:val="25"/>
                <w:szCs w:val="24"/>
              </w:rPr>
              <w:t>0.00</w:t>
            </w:r>
          </w:p>
        </w:tc>
      </w:tr>
      <w:tr w:rsidR="00FB4D29" w14:paraId="2BDF1FD3"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20E87AA2" w14:textId="77777777" w:rsidR="00FB4D29" w:rsidRDefault="00CF4592">
            <w:pPr>
              <w:widowControl/>
              <w:snapToGrid w:val="0"/>
              <w:jc w:val="center"/>
              <w:rPr>
                <w:rFonts w:ascii="宋体" w:hAnsi="宋体"/>
                <w:color w:val="000000"/>
                <w:kern w:val="0"/>
                <w:sz w:val="25"/>
                <w:szCs w:val="24"/>
              </w:rPr>
            </w:pPr>
            <w:r>
              <w:rPr>
                <w:rFonts w:ascii="Times New Roman" w:hAnsi="Times New Roman"/>
                <w:color w:val="000000"/>
                <w:kern w:val="0"/>
                <w:sz w:val="25"/>
                <w:szCs w:val="24"/>
              </w:rPr>
              <w:t>G</w:t>
            </w:r>
          </w:p>
        </w:tc>
        <w:tc>
          <w:tcPr>
            <w:tcW w:w="750" w:type="pct"/>
            <w:tcBorders>
              <w:top w:val="single" w:sz="4" w:space="0" w:color="auto"/>
              <w:left w:val="single" w:sz="4" w:space="0" w:color="auto"/>
              <w:bottom w:val="single" w:sz="4" w:space="0" w:color="auto"/>
              <w:right w:val="single" w:sz="4" w:space="0" w:color="auto"/>
            </w:tcBorders>
            <w:vAlign w:val="center"/>
          </w:tcPr>
          <w:p w14:paraId="11B56C53"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交通运输、仓储和邮政业</w:t>
            </w:r>
          </w:p>
        </w:tc>
        <w:tc>
          <w:tcPr>
            <w:tcW w:w="750" w:type="pct"/>
            <w:tcBorders>
              <w:top w:val="single" w:sz="4" w:space="0" w:color="auto"/>
              <w:left w:val="single" w:sz="4" w:space="0" w:color="auto"/>
              <w:bottom w:val="single" w:sz="4" w:space="0" w:color="auto"/>
              <w:right w:val="single" w:sz="4" w:space="0" w:color="auto"/>
            </w:tcBorders>
            <w:vAlign w:val="center"/>
          </w:tcPr>
          <w:p w14:paraId="78096CF6" w14:textId="77777777" w:rsidR="00FB4D29" w:rsidRDefault="00CF4592">
            <w:pPr>
              <w:widowControl/>
              <w:snapToGrid w:val="0"/>
              <w:jc w:val="right"/>
              <w:rPr>
                <w:rFonts w:ascii="宋体" w:hAnsi="宋体"/>
                <w:color w:val="000000"/>
                <w:kern w:val="0"/>
                <w:sz w:val="25"/>
                <w:szCs w:val="24"/>
              </w:rPr>
            </w:pPr>
            <w:r>
              <w:rPr>
                <w:rFonts w:ascii="Times New Roman" w:hAnsi="Times New Roman"/>
                <w:color w:val="000000"/>
                <w:kern w:val="0"/>
                <w:sz w:val="25"/>
                <w:szCs w:val="24"/>
              </w:rPr>
              <w:t>16,541.00</w:t>
            </w:r>
          </w:p>
        </w:tc>
        <w:tc>
          <w:tcPr>
            <w:tcW w:w="400" w:type="pct"/>
            <w:tcBorders>
              <w:top w:val="single" w:sz="4" w:space="0" w:color="auto"/>
              <w:left w:val="single" w:sz="4" w:space="0" w:color="auto"/>
              <w:bottom w:val="single" w:sz="4" w:space="0" w:color="auto"/>
              <w:right w:val="single" w:sz="4" w:space="0" w:color="auto"/>
            </w:tcBorders>
            <w:vAlign w:val="center"/>
          </w:tcPr>
          <w:p w14:paraId="1CA61E25" w14:textId="77777777" w:rsidR="00FB4D29" w:rsidRDefault="00CF4592">
            <w:pPr>
              <w:widowControl/>
              <w:snapToGrid w:val="0"/>
              <w:jc w:val="right"/>
              <w:rPr>
                <w:rFonts w:ascii="宋体" w:hAnsi="宋体"/>
                <w:color w:val="000000"/>
                <w:kern w:val="0"/>
                <w:sz w:val="25"/>
                <w:szCs w:val="24"/>
              </w:rPr>
            </w:pPr>
            <w:r>
              <w:rPr>
                <w:rFonts w:ascii="Times New Roman" w:hAnsi="Times New Roman"/>
                <w:color w:val="000000"/>
                <w:kern w:val="0"/>
                <w:sz w:val="25"/>
                <w:szCs w:val="24"/>
              </w:rPr>
              <w:t>0.00</w:t>
            </w:r>
          </w:p>
        </w:tc>
      </w:tr>
      <w:tr w:rsidR="00FB4D29" w14:paraId="619DF0EC"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29D4A5D7" w14:textId="77777777" w:rsidR="00FB4D29" w:rsidRDefault="00CF4592">
            <w:pPr>
              <w:widowControl/>
              <w:snapToGrid w:val="0"/>
              <w:jc w:val="center"/>
              <w:rPr>
                <w:rFonts w:ascii="宋体" w:hAnsi="宋体"/>
                <w:color w:val="000000"/>
                <w:kern w:val="0"/>
                <w:sz w:val="25"/>
                <w:szCs w:val="24"/>
              </w:rPr>
            </w:pPr>
            <w:r>
              <w:rPr>
                <w:rFonts w:ascii="Times New Roman" w:hAnsi="Times New Roman"/>
                <w:color w:val="000000"/>
                <w:kern w:val="0"/>
                <w:sz w:val="25"/>
                <w:szCs w:val="24"/>
              </w:rPr>
              <w:t>H</w:t>
            </w:r>
          </w:p>
        </w:tc>
        <w:tc>
          <w:tcPr>
            <w:tcW w:w="750" w:type="pct"/>
            <w:tcBorders>
              <w:top w:val="single" w:sz="4" w:space="0" w:color="auto"/>
              <w:left w:val="single" w:sz="4" w:space="0" w:color="auto"/>
              <w:bottom w:val="single" w:sz="4" w:space="0" w:color="auto"/>
              <w:right w:val="single" w:sz="4" w:space="0" w:color="auto"/>
            </w:tcBorders>
            <w:vAlign w:val="center"/>
          </w:tcPr>
          <w:p w14:paraId="5DEAE7D2"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住宿和餐饮业</w:t>
            </w:r>
          </w:p>
        </w:tc>
        <w:tc>
          <w:tcPr>
            <w:tcW w:w="750" w:type="pct"/>
            <w:tcBorders>
              <w:top w:val="single" w:sz="4" w:space="0" w:color="auto"/>
              <w:left w:val="single" w:sz="4" w:space="0" w:color="auto"/>
              <w:bottom w:val="single" w:sz="4" w:space="0" w:color="auto"/>
              <w:right w:val="single" w:sz="4" w:space="0" w:color="auto"/>
            </w:tcBorders>
            <w:vAlign w:val="center"/>
          </w:tcPr>
          <w:p w14:paraId="17CC3E68" w14:textId="77777777" w:rsidR="00FB4D29" w:rsidRDefault="00CF4592">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14:paraId="1182CA77" w14:textId="77777777" w:rsidR="00FB4D29" w:rsidRDefault="00CF4592">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FB4D29" w14:paraId="2D8B541B"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033088B2" w14:textId="77777777" w:rsidR="00FB4D29" w:rsidRDefault="00CF4592">
            <w:pPr>
              <w:widowControl/>
              <w:snapToGrid w:val="0"/>
              <w:jc w:val="center"/>
              <w:rPr>
                <w:rFonts w:ascii="宋体" w:hAnsi="宋体"/>
                <w:color w:val="000000"/>
                <w:kern w:val="0"/>
                <w:sz w:val="25"/>
                <w:szCs w:val="24"/>
              </w:rPr>
            </w:pPr>
            <w:r>
              <w:rPr>
                <w:rFonts w:ascii="Times New Roman" w:hAnsi="Times New Roman"/>
                <w:color w:val="000000"/>
                <w:kern w:val="0"/>
                <w:sz w:val="25"/>
                <w:szCs w:val="24"/>
              </w:rPr>
              <w:t>I</w:t>
            </w:r>
          </w:p>
        </w:tc>
        <w:tc>
          <w:tcPr>
            <w:tcW w:w="750" w:type="pct"/>
            <w:tcBorders>
              <w:top w:val="single" w:sz="4" w:space="0" w:color="auto"/>
              <w:left w:val="single" w:sz="4" w:space="0" w:color="auto"/>
              <w:bottom w:val="single" w:sz="4" w:space="0" w:color="auto"/>
              <w:right w:val="single" w:sz="4" w:space="0" w:color="auto"/>
            </w:tcBorders>
            <w:vAlign w:val="center"/>
          </w:tcPr>
          <w:p w14:paraId="77F8CAE9"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信息传输、软件和信息技术服务业</w:t>
            </w:r>
          </w:p>
        </w:tc>
        <w:tc>
          <w:tcPr>
            <w:tcW w:w="750" w:type="pct"/>
            <w:tcBorders>
              <w:top w:val="single" w:sz="4" w:space="0" w:color="auto"/>
              <w:left w:val="single" w:sz="4" w:space="0" w:color="auto"/>
              <w:bottom w:val="single" w:sz="4" w:space="0" w:color="auto"/>
              <w:right w:val="single" w:sz="4" w:space="0" w:color="auto"/>
            </w:tcBorders>
            <w:vAlign w:val="center"/>
          </w:tcPr>
          <w:p w14:paraId="1E8D39F8" w14:textId="77777777" w:rsidR="00FB4D29" w:rsidRDefault="00CF4592">
            <w:pPr>
              <w:widowControl/>
              <w:snapToGrid w:val="0"/>
              <w:jc w:val="right"/>
              <w:rPr>
                <w:rFonts w:ascii="宋体" w:hAnsi="宋体"/>
                <w:color w:val="000000"/>
                <w:kern w:val="0"/>
                <w:sz w:val="25"/>
                <w:szCs w:val="24"/>
              </w:rPr>
            </w:pPr>
            <w:r>
              <w:rPr>
                <w:rFonts w:ascii="Times New Roman" w:hAnsi="Times New Roman"/>
                <w:color w:val="000000"/>
                <w:kern w:val="0"/>
                <w:sz w:val="25"/>
                <w:szCs w:val="24"/>
              </w:rPr>
              <w:t>23,016.42</w:t>
            </w:r>
          </w:p>
        </w:tc>
        <w:tc>
          <w:tcPr>
            <w:tcW w:w="400" w:type="pct"/>
            <w:tcBorders>
              <w:top w:val="single" w:sz="4" w:space="0" w:color="auto"/>
              <w:left w:val="single" w:sz="4" w:space="0" w:color="auto"/>
              <w:bottom w:val="single" w:sz="4" w:space="0" w:color="auto"/>
              <w:right w:val="single" w:sz="4" w:space="0" w:color="auto"/>
            </w:tcBorders>
            <w:vAlign w:val="center"/>
          </w:tcPr>
          <w:p w14:paraId="2AF5AA19" w14:textId="77777777" w:rsidR="00FB4D29" w:rsidRDefault="00CF4592">
            <w:pPr>
              <w:widowControl/>
              <w:snapToGrid w:val="0"/>
              <w:jc w:val="right"/>
              <w:rPr>
                <w:rFonts w:ascii="宋体" w:hAnsi="宋体"/>
                <w:color w:val="000000"/>
                <w:kern w:val="0"/>
                <w:sz w:val="25"/>
                <w:szCs w:val="24"/>
              </w:rPr>
            </w:pPr>
            <w:r>
              <w:rPr>
                <w:rFonts w:ascii="Times New Roman" w:hAnsi="Times New Roman"/>
                <w:color w:val="000000"/>
                <w:kern w:val="0"/>
                <w:sz w:val="25"/>
                <w:szCs w:val="24"/>
              </w:rPr>
              <w:t>0.00</w:t>
            </w:r>
          </w:p>
        </w:tc>
      </w:tr>
      <w:tr w:rsidR="00FB4D29" w14:paraId="5A32A900"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55264D2D" w14:textId="77777777" w:rsidR="00FB4D29" w:rsidRDefault="00CF4592">
            <w:pPr>
              <w:widowControl/>
              <w:snapToGrid w:val="0"/>
              <w:jc w:val="center"/>
              <w:rPr>
                <w:rFonts w:ascii="宋体" w:hAnsi="宋体"/>
                <w:color w:val="000000"/>
                <w:kern w:val="0"/>
                <w:sz w:val="25"/>
                <w:szCs w:val="24"/>
              </w:rPr>
            </w:pPr>
            <w:r>
              <w:rPr>
                <w:rFonts w:ascii="Times New Roman" w:hAnsi="Times New Roman"/>
                <w:color w:val="000000"/>
                <w:kern w:val="0"/>
                <w:sz w:val="25"/>
                <w:szCs w:val="24"/>
              </w:rPr>
              <w:t>J</w:t>
            </w:r>
          </w:p>
        </w:tc>
        <w:tc>
          <w:tcPr>
            <w:tcW w:w="750" w:type="pct"/>
            <w:tcBorders>
              <w:top w:val="single" w:sz="4" w:space="0" w:color="auto"/>
              <w:left w:val="single" w:sz="4" w:space="0" w:color="auto"/>
              <w:bottom w:val="single" w:sz="4" w:space="0" w:color="auto"/>
              <w:right w:val="single" w:sz="4" w:space="0" w:color="auto"/>
            </w:tcBorders>
            <w:vAlign w:val="center"/>
          </w:tcPr>
          <w:p w14:paraId="396B881F"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金融业</w:t>
            </w:r>
          </w:p>
        </w:tc>
        <w:tc>
          <w:tcPr>
            <w:tcW w:w="750" w:type="pct"/>
            <w:tcBorders>
              <w:top w:val="single" w:sz="4" w:space="0" w:color="auto"/>
              <w:left w:val="single" w:sz="4" w:space="0" w:color="auto"/>
              <w:bottom w:val="single" w:sz="4" w:space="0" w:color="auto"/>
              <w:right w:val="single" w:sz="4" w:space="0" w:color="auto"/>
            </w:tcBorders>
            <w:vAlign w:val="center"/>
          </w:tcPr>
          <w:p w14:paraId="6D51DFC1" w14:textId="77777777" w:rsidR="00FB4D29" w:rsidRDefault="00CF4592">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14:paraId="7901EECA" w14:textId="77777777" w:rsidR="00FB4D29" w:rsidRDefault="00CF4592">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FB4D29" w14:paraId="1999CD72"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648A5B4F" w14:textId="77777777" w:rsidR="00FB4D29" w:rsidRDefault="00CF4592">
            <w:pPr>
              <w:widowControl/>
              <w:snapToGrid w:val="0"/>
              <w:jc w:val="center"/>
              <w:rPr>
                <w:rFonts w:ascii="宋体" w:hAnsi="宋体"/>
                <w:color w:val="000000"/>
                <w:kern w:val="0"/>
                <w:sz w:val="25"/>
                <w:szCs w:val="24"/>
              </w:rPr>
            </w:pPr>
            <w:r>
              <w:rPr>
                <w:rFonts w:ascii="Times New Roman" w:hAnsi="Times New Roman"/>
                <w:color w:val="000000"/>
                <w:kern w:val="0"/>
                <w:sz w:val="25"/>
                <w:szCs w:val="24"/>
              </w:rPr>
              <w:t>K</w:t>
            </w:r>
          </w:p>
        </w:tc>
        <w:tc>
          <w:tcPr>
            <w:tcW w:w="750" w:type="pct"/>
            <w:tcBorders>
              <w:top w:val="single" w:sz="4" w:space="0" w:color="auto"/>
              <w:left w:val="single" w:sz="4" w:space="0" w:color="auto"/>
              <w:bottom w:val="single" w:sz="4" w:space="0" w:color="auto"/>
              <w:right w:val="single" w:sz="4" w:space="0" w:color="auto"/>
            </w:tcBorders>
            <w:vAlign w:val="center"/>
          </w:tcPr>
          <w:p w14:paraId="2ADDDEA3"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房地产业</w:t>
            </w:r>
          </w:p>
        </w:tc>
        <w:tc>
          <w:tcPr>
            <w:tcW w:w="750" w:type="pct"/>
            <w:tcBorders>
              <w:top w:val="single" w:sz="4" w:space="0" w:color="auto"/>
              <w:left w:val="single" w:sz="4" w:space="0" w:color="auto"/>
              <w:bottom w:val="single" w:sz="4" w:space="0" w:color="auto"/>
              <w:right w:val="single" w:sz="4" w:space="0" w:color="auto"/>
            </w:tcBorders>
            <w:vAlign w:val="center"/>
          </w:tcPr>
          <w:p w14:paraId="1CB2CD23" w14:textId="77777777" w:rsidR="00FB4D29" w:rsidRDefault="00CF4592">
            <w:pPr>
              <w:widowControl/>
              <w:snapToGrid w:val="0"/>
              <w:jc w:val="right"/>
              <w:rPr>
                <w:rFonts w:ascii="宋体" w:hAnsi="宋体"/>
                <w:color w:val="000000"/>
                <w:kern w:val="0"/>
                <w:sz w:val="25"/>
                <w:szCs w:val="24"/>
              </w:rPr>
            </w:pPr>
            <w:r>
              <w:rPr>
                <w:rFonts w:ascii="Times New Roman" w:hAnsi="Times New Roman"/>
                <w:color w:val="000000"/>
                <w:kern w:val="0"/>
                <w:sz w:val="25"/>
                <w:szCs w:val="24"/>
              </w:rPr>
              <w:t>357,827,954.84</w:t>
            </w:r>
          </w:p>
        </w:tc>
        <w:tc>
          <w:tcPr>
            <w:tcW w:w="400" w:type="pct"/>
            <w:tcBorders>
              <w:top w:val="single" w:sz="4" w:space="0" w:color="auto"/>
              <w:left w:val="single" w:sz="4" w:space="0" w:color="auto"/>
              <w:bottom w:val="single" w:sz="4" w:space="0" w:color="auto"/>
              <w:right w:val="single" w:sz="4" w:space="0" w:color="auto"/>
            </w:tcBorders>
            <w:vAlign w:val="center"/>
          </w:tcPr>
          <w:p w14:paraId="12747ADB" w14:textId="77777777" w:rsidR="00FB4D29" w:rsidRDefault="00CF4592">
            <w:pPr>
              <w:widowControl/>
              <w:snapToGrid w:val="0"/>
              <w:jc w:val="right"/>
              <w:rPr>
                <w:rFonts w:ascii="宋体" w:hAnsi="宋体"/>
                <w:color w:val="000000"/>
                <w:kern w:val="0"/>
                <w:sz w:val="25"/>
                <w:szCs w:val="24"/>
              </w:rPr>
            </w:pPr>
            <w:r>
              <w:rPr>
                <w:rFonts w:ascii="Times New Roman" w:hAnsi="Times New Roman"/>
                <w:color w:val="000000"/>
                <w:kern w:val="0"/>
                <w:sz w:val="25"/>
                <w:szCs w:val="24"/>
              </w:rPr>
              <w:t>12.70</w:t>
            </w:r>
          </w:p>
        </w:tc>
      </w:tr>
      <w:tr w:rsidR="00FB4D29" w14:paraId="48AF3050"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3C6B567F" w14:textId="77777777" w:rsidR="00FB4D29" w:rsidRDefault="00CF4592">
            <w:pPr>
              <w:widowControl/>
              <w:snapToGrid w:val="0"/>
              <w:jc w:val="center"/>
              <w:rPr>
                <w:rFonts w:ascii="宋体" w:hAnsi="宋体"/>
                <w:color w:val="000000"/>
                <w:kern w:val="0"/>
                <w:sz w:val="25"/>
                <w:szCs w:val="24"/>
              </w:rPr>
            </w:pPr>
            <w:r>
              <w:rPr>
                <w:rFonts w:ascii="Times New Roman" w:hAnsi="Times New Roman"/>
                <w:color w:val="000000"/>
                <w:kern w:val="0"/>
                <w:sz w:val="25"/>
                <w:szCs w:val="24"/>
              </w:rPr>
              <w:t>L</w:t>
            </w:r>
          </w:p>
        </w:tc>
        <w:tc>
          <w:tcPr>
            <w:tcW w:w="750" w:type="pct"/>
            <w:tcBorders>
              <w:top w:val="single" w:sz="4" w:space="0" w:color="auto"/>
              <w:left w:val="single" w:sz="4" w:space="0" w:color="auto"/>
              <w:bottom w:val="single" w:sz="4" w:space="0" w:color="auto"/>
              <w:right w:val="single" w:sz="4" w:space="0" w:color="auto"/>
            </w:tcBorders>
            <w:vAlign w:val="center"/>
          </w:tcPr>
          <w:p w14:paraId="7CE215EF"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租赁和商务服务业</w:t>
            </w:r>
          </w:p>
        </w:tc>
        <w:tc>
          <w:tcPr>
            <w:tcW w:w="750" w:type="pct"/>
            <w:tcBorders>
              <w:top w:val="single" w:sz="4" w:space="0" w:color="auto"/>
              <w:left w:val="single" w:sz="4" w:space="0" w:color="auto"/>
              <w:bottom w:val="single" w:sz="4" w:space="0" w:color="auto"/>
              <w:right w:val="single" w:sz="4" w:space="0" w:color="auto"/>
            </w:tcBorders>
            <w:vAlign w:val="center"/>
          </w:tcPr>
          <w:p w14:paraId="08705CD3" w14:textId="77777777" w:rsidR="00FB4D29" w:rsidRDefault="00CF4592">
            <w:pPr>
              <w:widowControl/>
              <w:snapToGrid w:val="0"/>
              <w:jc w:val="right"/>
              <w:rPr>
                <w:rFonts w:ascii="宋体" w:hAnsi="宋体"/>
                <w:color w:val="000000"/>
                <w:kern w:val="0"/>
                <w:sz w:val="25"/>
                <w:szCs w:val="24"/>
              </w:rPr>
            </w:pPr>
            <w:r>
              <w:rPr>
                <w:rFonts w:ascii="Times New Roman" w:hAnsi="Times New Roman"/>
                <w:color w:val="000000"/>
                <w:kern w:val="0"/>
                <w:sz w:val="25"/>
                <w:szCs w:val="24"/>
              </w:rPr>
              <w:t>199,467.84</w:t>
            </w:r>
          </w:p>
        </w:tc>
        <w:tc>
          <w:tcPr>
            <w:tcW w:w="400" w:type="pct"/>
            <w:tcBorders>
              <w:top w:val="single" w:sz="4" w:space="0" w:color="auto"/>
              <w:left w:val="single" w:sz="4" w:space="0" w:color="auto"/>
              <w:bottom w:val="single" w:sz="4" w:space="0" w:color="auto"/>
              <w:right w:val="single" w:sz="4" w:space="0" w:color="auto"/>
            </w:tcBorders>
            <w:vAlign w:val="center"/>
          </w:tcPr>
          <w:p w14:paraId="59A5CCD0" w14:textId="77777777" w:rsidR="00FB4D29" w:rsidRDefault="00CF4592">
            <w:pPr>
              <w:widowControl/>
              <w:snapToGrid w:val="0"/>
              <w:jc w:val="right"/>
              <w:rPr>
                <w:rFonts w:ascii="宋体" w:hAnsi="宋体"/>
                <w:color w:val="000000"/>
                <w:kern w:val="0"/>
                <w:sz w:val="25"/>
                <w:szCs w:val="24"/>
              </w:rPr>
            </w:pPr>
            <w:r>
              <w:rPr>
                <w:rFonts w:ascii="Times New Roman" w:hAnsi="Times New Roman"/>
                <w:color w:val="000000"/>
                <w:kern w:val="0"/>
                <w:sz w:val="25"/>
                <w:szCs w:val="24"/>
              </w:rPr>
              <w:t>0.01</w:t>
            </w:r>
          </w:p>
        </w:tc>
      </w:tr>
      <w:tr w:rsidR="00FB4D29" w14:paraId="668587E4"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03DD445C" w14:textId="77777777" w:rsidR="00FB4D29" w:rsidRDefault="00CF4592">
            <w:pPr>
              <w:widowControl/>
              <w:snapToGrid w:val="0"/>
              <w:jc w:val="center"/>
              <w:rPr>
                <w:rFonts w:ascii="宋体" w:hAnsi="宋体"/>
                <w:color w:val="000000"/>
                <w:kern w:val="0"/>
                <w:sz w:val="25"/>
                <w:szCs w:val="24"/>
              </w:rPr>
            </w:pPr>
            <w:r>
              <w:rPr>
                <w:rFonts w:ascii="Times New Roman" w:hAnsi="Times New Roman"/>
                <w:color w:val="000000"/>
                <w:kern w:val="0"/>
                <w:sz w:val="25"/>
                <w:szCs w:val="24"/>
              </w:rPr>
              <w:t>M</w:t>
            </w:r>
          </w:p>
        </w:tc>
        <w:tc>
          <w:tcPr>
            <w:tcW w:w="750" w:type="pct"/>
            <w:tcBorders>
              <w:top w:val="single" w:sz="4" w:space="0" w:color="auto"/>
              <w:left w:val="single" w:sz="4" w:space="0" w:color="auto"/>
              <w:bottom w:val="single" w:sz="4" w:space="0" w:color="auto"/>
              <w:right w:val="single" w:sz="4" w:space="0" w:color="auto"/>
            </w:tcBorders>
            <w:vAlign w:val="center"/>
          </w:tcPr>
          <w:p w14:paraId="5A9421FC"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科学研究和技术服务业</w:t>
            </w:r>
          </w:p>
        </w:tc>
        <w:tc>
          <w:tcPr>
            <w:tcW w:w="750" w:type="pct"/>
            <w:tcBorders>
              <w:top w:val="single" w:sz="4" w:space="0" w:color="auto"/>
              <w:left w:val="single" w:sz="4" w:space="0" w:color="auto"/>
              <w:bottom w:val="single" w:sz="4" w:space="0" w:color="auto"/>
              <w:right w:val="single" w:sz="4" w:space="0" w:color="auto"/>
            </w:tcBorders>
            <w:vAlign w:val="center"/>
          </w:tcPr>
          <w:p w14:paraId="7FE8B2F5" w14:textId="77777777" w:rsidR="00FB4D29" w:rsidRDefault="00CF4592">
            <w:pPr>
              <w:widowControl/>
              <w:snapToGrid w:val="0"/>
              <w:jc w:val="right"/>
              <w:rPr>
                <w:rFonts w:ascii="宋体" w:hAnsi="宋体"/>
                <w:color w:val="000000"/>
                <w:kern w:val="0"/>
                <w:sz w:val="25"/>
                <w:szCs w:val="24"/>
              </w:rPr>
            </w:pPr>
            <w:r>
              <w:rPr>
                <w:rFonts w:ascii="Times New Roman" w:hAnsi="Times New Roman"/>
                <w:color w:val="000000"/>
                <w:kern w:val="0"/>
                <w:sz w:val="25"/>
                <w:szCs w:val="24"/>
              </w:rPr>
              <w:t>184,003,768.16</w:t>
            </w:r>
          </w:p>
        </w:tc>
        <w:tc>
          <w:tcPr>
            <w:tcW w:w="400" w:type="pct"/>
            <w:tcBorders>
              <w:top w:val="single" w:sz="4" w:space="0" w:color="auto"/>
              <w:left w:val="single" w:sz="4" w:space="0" w:color="auto"/>
              <w:bottom w:val="single" w:sz="4" w:space="0" w:color="auto"/>
              <w:right w:val="single" w:sz="4" w:space="0" w:color="auto"/>
            </w:tcBorders>
            <w:vAlign w:val="center"/>
          </w:tcPr>
          <w:p w14:paraId="1D266F38" w14:textId="77777777" w:rsidR="00FB4D29" w:rsidRDefault="00CF4592">
            <w:pPr>
              <w:widowControl/>
              <w:snapToGrid w:val="0"/>
              <w:jc w:val="right"/>
              <w:rPr>
                <w:rFonts w:ascii="宋体" w:hAnsi="宋体"/>
                <w:color w:val="000000"/>
                <w:kern w:val="0"/>
                <w:sz w:val="25"/>
                <w:szCs w:val="24"/>
              </w:rPr>
            </w:pPr>
            <w:r>
              <w:rPr>
                <w:rFonts w:ascii="Times New Roman" w:hAnsi="Times New Roman"/>
                <w:color w:val="000000"/>
                <w:kern w:val="0"/>
                <w:sz w:val="25"/>
                <w:szCs w:val="24"/>
              </w:rPr>
              <w:t>6.53</w:t>
            </w:r>
          </w:p>
        </w:tc>
      </w:tr>
      <w:tr w:rsidR="00FB4D29" w14:paraId="690B7931"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2BBB19C9" w14:textId="77777777" w:rsidR="00FB4D29" w:rsidRDefault="00CF4592">
            <w:pPr>
              <w:widowControl/>
              <w:snapToGrid w:val="0"/>
              <w:jc w:val="center"/>
              <w:rPr>
                <w:rFonts w:ascii="宋体" w:hAnsi="宋体"/>
                <w:color w:val="000000"/>
                <w:kern w:val="0"/>
                <w:sz w:val="25"/>
                <w:szCs w:val="24"/>
              </w:rPr>
            </w:pPr>
            <w:r>
              <w:rPr>
                <w:rFonts w:ascii="Times New Roman" w:hAnsi="Times New Roman"/>
                <w:color w:val="000000"/>
                <w:kern w:val="0"/>
                <w:sz w:val="25"/>
                <w:szCs w:val="24"/>
              </w:rPr>
              <w:t>N</w:t>
            </w:r>
          </w:p>
        </w:tc>
        <w:tc>
          <w:tcPr>
            <w:tcW w:w="750" w:type="pct"/>
            <w:tcBorders>
              <w:top w:val="single" w:sz="4" w:space="0" w:color="auto"/>
              <w:left w:val="single" w:sz="4" w:space="0" w:color="auto"/>
              <w:bottom w:val="single" w:sz="4" w:space="0" w:color="auto"/>
              <w:right w:val="single" w:sz="4" w:space="0" w:color="auto"/>
            </w:tcBorders>
            <w:vAlign w:val="center"/>
          </w:tcPr>
          <w:p w14:paraId="43D8F356"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水利、环境和公共设施管理业</w:t>
            </w:r>
          </w:p>
        </w:tc>
        <w:tc>
          <w:tcPr>
            <w:tcW w:w="750" w:type="pct"/>
            <w:tcBorders>
              <w:top w:val="single" w:sz="4" w:space="0" w:color="auto"/>
              <w:left w:val="single" w:sz="4" w:space="0" w:color="auto"/>
              <w:bottom w:val="single" w:sz="4" w:space="0" w:color="auto"/>
              <w:right w:val="single" w:sz="4" w:space="0" w:color="auto"/>
            </w:tcBorders>
            <w:vAlign w:val="center"/>
          </w:tcPr>
          <w:p w14:paraId="74FBF05F" w14:textId="77777777" w:rsidR="00FB4D29" w:rsidRDefault="00CF4592">
            <w:pPr>
              <w:widowControl/>
              <w:snapToGrid w:val="0"/>
              <w:jc w:val="right"/>
              <w:rPr>
                <w:rFonts w:ascii="宋体" w:hAnsi="宋体"/>
                <w:color w:val="000000"/>
                <w:kern w:val="0"/>
                <w:sz w:val="25"/>
                <w:szCs w:val="24"/>
              </w:rPr>
            </w:pPr>
            <w:r>
              <w:rPr>
                <w:rFonts w:ascii="Times New Roman" w:hAnsi="Times New Roman"/>
                <w:color w:val="000000"/>
                <w:kern w:val="0"/>
                <w:sz w:val="25"/>
                <w:szCs w:val="24"/>
              </w:rPr>
              <w:t>10,171,059.00</w:t>
            </w:r>
          </w:p>
        </w:tc>
        <w:tc>
          <w:tcPr>
            <w:tcW w:w="400" w:type="pct"/>
            <w:tcBorders>
              <w:top w:val="single" w:sz="4" w:space="0" w:color="auto"/>
              <w:left w:val="single" w:sz="4" w:space="0" w:color="auto"/>
              <w:bottom w:val="single" w:sz="4" w:space="0" w:color="auto"/>
              <w:right w:val="single" w:sz="4" w:space="0" w:color="auto"/>
            </w:tcBorders>
            <w:vAlign w:val="center"/>
          </w:tcPr>
          <w:p w14:paraId="00416D51" w14:textId="77777777" w:rsidR="00FB4D29" w:rsidRDefault="00CF4592">
            <w:pPr>
              <w:widowControl/>
              <w:snapToGrid w:val="0"/>
              <w:jc w:val="right"/>
              <w:rPr>
                <w:rFonts w:ascii="宋体" w:hAnsi="宋体"/>
                <w:color w:val="000000"/>
                <w:kern w:val="0"/>
                <w:sz w:val="25"/>
                <w:szCs w:val="24"/>
              </w:rPr>
            </w:pPr>
            <w:r>
              <w:rPr>
                <w:rFonts w:ascii="Times New Roman" w:hAnsi="Times New Roman"/>
                <w:color w:val="000000"/>
                <w:kern w:val="0"/>
                <w:sz w:val="25"/>
                <w:szCs w:val="24"/>
              </w:rPr>
              <w:t>0.36</w:t>
            </w:r>
          </w:p>
        </w:tc>
      </w:tr>
      <w:tr w:rsidR="00FB4D29" w14:paraId="322D2B15"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7835328D" w14:textId="77777777" w:rsidR="00FB4D29" w:rsidRDefault="00CF4592">
            <w:pPr>
              <w:widowControl/>
              <w:snapToGrid w:val="0"/>
              <w:jc w:val="center"/>
              <w:rPr>
                <w:rFonts w:ascii="宋体" w:hAnsi="宋体"/>
                <w:color w:val="000000"/>
                <w:kern w:val="0"/>
                <w:sz w:val="25"/>
                <w:szCs w:val="24"/>
              </w:rPr>
            </w:pPr>
            <w:r>
              <w:rPr>
                <w:rFonts w:ascii="Times New Roman" w:hAnsi="Times New Roman"/>
                <w:color w:val="000000"/>
                <w:kern w:val="0"/>
                <w:sz w:val="25"/>
                <w:szCs w:val="24"/>
              </w:rPr>
              <w:t>O</w:t>
            </w:r>
          </w:p>
        </w:tc>
        <w:tc>
          <w:tcPr>
            <w:tcW w:w="750" w:type="pct"/>
            <w:tcBorders>
              <w:top w:val="single" w:sz="4" w:space="0" w:color="auto"/>
              <w:left w:val="single" w:sz="4" w:space="0" w:color="auto"/>
              <w:bottom w:val="single" w:sz="4" w:space="0" w:color="auto"/>
              <w:right w:val="single" w:sz="4" w:space="0" w:color="auto"/>
            </w:tcBorders>
            <w:vAlign w:val="center"/>
          </w:tcPr>
          <w:p w14:paraId="2BE14D13"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居民服务、修理和其他服务业</w:t>
            </w:r>
          </w:p>
        </w:tc>
        <w:tc>
          <w:tcPr>
            <w:tcW w:w="750" w:type="pct"/>
            <w:tcBorders>
              <w:top w:val="single" w:sz="4" w:space="0" w:color="auto"/>
              <w:left w:val="single" w:sz="4" w:space="0" w:color="auto"/>
              <w:bottom w:val="single" w:sz="4" w:space="0" w:color="auto"/>
              <w:right w:val="single" w:sz="4" w:space="0" w:color="auto"/>
            </w:tcBorders>
            <w:vAlign w:val="center"/>
          </w:tcPr>
          <w:p w14:paraId="7D56A37F" w14:textId="77777777" w:rsidR="00FB4D29" w:rsidRDefault="00CF4592">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14:paraId="7FCB37EB" w14:textId="77777777" w:rsidR="00FB4D29" w:rsidRDefault="00CF4592">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FB4D29" w14:paraId="73F06FD1"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09DA9016" w14:textId="77777777" w:rsidR="00FB4D29" w:rsidRDefault="00CF4592">
            <w:pPr>
              <w:widowControl/>
              <w:snapToGrid w:val="0"/>
              <w:jc w:val="center"/>
              <w:rPr>
                <w:rFonts w:ascii="宋体" w:hAnsi="宋体"/>
                <w:color w:val="000000"/>
                <w:kern w:val="0"/>
                <w:sz w:val="25"/>
                <w:szCs w:val="24"/>
              </w:rPr>
            </w:pPr>
            <w:r>
              <w:rPr>
                <w:rFonts w:ascii="Times New Roman" w:hAnsi="Times New Roman"/>
                <w:color w:val="000000"/>
                <w:kern w:val="0"/>
                <w:sz w:val="25"/>
                <w:szCs w:val="24"/>
              </w:rPr>
              <w:t>P</w:t>
            </w:r>
          </w:p>
        </w:tc>
        <w:tc>
          <w:tcPr>
            <w:tcW w:w="750" w:type="pct"/>
            <w:tcBorders>
              <w:top w:val="single" w:sz="4" w:space="0" w:color="auto"/>
              <w:left w:val="single" w:sz="4" w:space="0" w:color="auto"/>
              <w:bottom w:val="single" w:sz="4" w:space="0" w:color="auto"/>
              <w:right w:val="single" w:sz="4" w:space="0" w:color="auto"/>
            </w:tcBorders>
            <w:vAlign w:val="center"/>
          </w:tcPr>
          <w:p w14:paraId="20D64C19"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教育</w:t>
            </w:r>
          </w:p>
        </w:tc>
        <w:tc>
          <w:tcPr>
            <w:tcW w:w="750" w:type="pct"/>
            <w:tcBorders>
              <w:top w:val="single" w:sz="4" w:space="0" w:color="auto"/>
              <w:left w:val="single" w:sz="4" w:space="0" w:color="auto"/>
              <w:bottom w:val="single" w:sz="4" w:space="0" w:color="auto"/>
              <w:right w:val="single" w:sz="4" w:space="0" w:color="auto"/>
            </w:tcBorders>
            <w:vAlign w:val="center"/>
          </w:tcPr>
          <w:p w14:paraId="58322616" w14:textId="77777777" w:rsidR="00FB4D29" w:rsidRDefault="00CF4592">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14:paraId="16EBED04" w14:textId="77777777" w:rsidR="00FB4D29" w:rsidRDefault="00CF4592">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FB4D29" w14:paraId="4EDC3A65"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69FE9C0F" w14:textId="77777777" w:rsidR="00FB4D29" w:rsidRDefault="00CF4592">
            <w:pPr>
              <w:widowControl/>
              <w:snapToGrid w:val="0"/>
              <w:jc w:val="center"/>
              <w:rPr>
                <w:rFonts w:ascii="宋体" w:hAnsi="宋体"/>
                <w:color w:val="000000"/>
                <w:kern w:val="0"/>
                <w:sz w:val="25"/>
                <w:szCs w:val="24"/>
              </w:rPr>
            </w:pPr>
            <w:r>
              <w:rPr>
                <w:rFonts w:ascii="Times New Roman" w:hAnsi="Times New Roman"/>
                <w:color w:val="000000"/>
                <w:kern w:val="0"/>
                <w:sz w:val="25"/>
                <w:szCs w:val="24"/>
              </w:rPr>
              <w:t>Q</w:t>
            </w:r>
          </w:p>
        </w:tc>
        <w:tc>
          <w:tcPr>
            <w:tcW w:w="750" w:type="pct"/>
            <w:tcBorders>
              <w:top w:val="single" w:sz="4" w:space="0" w:color="auto"/>
              <w:left w:val="single" w:sz="4" w:space="0" w:color="auto"/>
              <w:bottom w:val="single" w:sz="4" w:space="0" w:color="auto"/>
              <w:right w:val="single" w:sz="4" w:space="0" w:color="auto"/>
            </w:tcBorders>
            <w:vAlign w:val="center"/>
          </w:tcPr>
          <w:p w14:paraId="67B5E475"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卫生和社会工作</w:t>
            </w:r>
          </w:p>
        </w:tc>
        <w:tc>
          <w:tcPr>
            <w:tcW w:w="750" w:type="pct"/>
            <w:tcBorders>
              <w:top w:val="single" w:sz="4" w:space="0" w:color="auto"/>
              <w:left w:val="single" w:sz="4" w:space="0" w:color="auto"/>
              <w:bottom w:val="single" w:sz="4" w:space="0" w:color="auto"/>
              <w:right w:val="single" w:sz="4" w:space="0" w:color="auto"/>
            </w:tcBorders>
            <w:vAlign w:val="center"/>
          </w:tcPr>
          <w:p w14:paraId="480A43C1" w14:textId="77777777" w:rsidR="00FB4D29" w:rsidRDefault="00CF4592">
            <w:pPr>
              <w:widowControl/>
              <w:snapToGrid w:val="0"/>
              <w:jc w:val="right"/>
              <w:rPr>
                <w:rFonts w:ascii="宋体" w:hAnsi="宋体"/>
                <w:color w:val="000000"/>
                <w:kern w:val="0"/>
                <w:sz w:val="25"/>
                <w:szCs w:val="24"/>
              </w:rPr>
            </w:pPr>
            <w:r>
              <w:rPr>
                <w:rFonts w:ascii="Times New Roman" w:hAnsi="Times New Roman"/>
                <w:color w:val="000000"/>
                <w:kern w:val="0"/>
                <w:sz w:val="25"/>
                <w:szCs w:val="24"/>
              </w:rPr>
              <w:t>322,224,537.62</w:t>
            </w:r>
          </w:p>
        </w:tc>
        <w:tc>
          <w:tcPr>
            <w:tcW w:w="400" w:type="pct"/>
            <w:tcBorders>
              <w:top w:val="single" w:sz="4" w:space="0" w:color="auto"/>
              <w:left w:val="single" w:sz="4" w:space="0" w:color="auto"/>
              <w:bottom w:val="single" w:sz="4" w:space="0" w:color="auto"/>
              <w:right w:val="single" w:sz="4" w:space="0" w:color="auto"/>
            </w:tcBorders>
            <w:vAlign w:val="center"/>
          </w:tcPr>
          <w:p w14:paraId="4CD6287E" w14:textId="77777777" w:rsidR="00FB4D29" w:rsidRDefault="00CF4592">
            <w:pPr>
              <w:widowControl/>
              <w:snapToGrid w:val="0"/>
              <w:jc w:val="right"/>
              <w:rPr>
                <w:rFonts w:ascii="宋体" w:hAnsi="宋体"/>
                <w:color w:val="000000"/>
                <w:kern w:val="0"/>
                <w:sz w:val="25"/>
                <w:szCs w:val="24"/>
              </w:rPr>
            </w:pPr>
            <w:r>
              <w:rPr>
                <w:rFonts w:ascii="Times New Roman" w:hAnsi="Times New Roman"/>
                <w:color w:val="000000"/>
                <w:kern w:val="0"/>
                <w:sz w:val="25"/>
                <w:szCs w:val="24"/>
              </w:rPr>
              <w:t>11.44</w:t>
            </w:r>
          </w:p>
        </w:tc>
      </w:tr>
      <w:tr w:rsidR="00FB4D29" w14:paraId="060E87CC"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71B91F9D" w14:textId="77777777" w:rsidR="00FB4D29" w:rsidRDefault="00CF4592">
            <w:pPr>
              <w:widowControl/>
              <w:snapToGrid w:val="0"/>
              <w:jc w:val="center"/>
              <w:rPr>
                <w:rFonts w:ascii="宋体" w:hAnsi="宋体"/>
                <w:color w:val="000000"/>
                <w:kern w:val="0"/>
                <w:sz w:val="25"/>
                <w:szCs w:val="24"/>
              </w:rPr>
            </w:pPr>
            <w:r>
              <w:rPr>
                <w:rFonts w:ascii="Times New Roman" w:hAnsi="Times New Roman"/>
                <w:color w:val="000000"/>
                <w:kern w:val="0"/>
                <w:sz w:val="25"/>
                <w:szCs w:val="24"/>
              </w:rPr>
              <w:t>R</w:t>
            </w:r>
          </w:p>
        </w:tc>
        <w:tc>
          <w:tcPr>
            <w:tcW w:w="750" w:type="pct"/>
            <w:tcBorders>
              <w:top w:val="single" w:sz="4" w:space="0" w:color="auto"/>
              <w:left w:val="single" w:sz="4" w:space="0" w:color="auto"/>
              <w:bottom w:val="single" w:sz="4" w:space="0" w:color="auto"/>
              <w:right w:val="single" w:sz="4" w:space="0" w:color="auto"/>
            </w:tcBorders>
            <w:vAlign w:val="center"/>
          </w:tcPr>
          <w:p w14:paraId="65FEAB97"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文化、体育和娱乐业</w:t>
            </w:r>
          </w:p>
        </w:tc>
        <w:tc>
          <w:tcPr>
            <w:tcW w:w="750" w:type="pct"/>
            <w:tcBorders>
              <w:top w:val="single" w:sz="4" w:space="0" w:color="auto"/>
              <w:left w:val="single" w:sz="4" w:space="0" w:color="auto"/>
              <w:bottom w:val="single" w:sz="4" w:space="0" w:color="auto"/>
              <w:right w:val="single" w:sz="4" w:space="0" w:color="auto"/>
            </w:tcBorders>
            <w:vAlign w:val="center"/>
          </w:tcPr>
          <w:p w14:paraId="7609ACE0" w14:textId="77777777" w:rsidR="00FB4D29" w:rsidRDefault="00CF4592">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14:paraId="6C39F23A" w14:textId="77777777" w:rsidR="00FB4D29" w:rsidRDefault="00CF4592">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FB4D29" w14:paraId="5DCED449"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767C3FCC" w14:textId="77777777" w:rsidR="00FB4D29" w:rsidRDefault="00CF4592">
            <w:pPr>
              <w:widowControl/>
              <w:snapToGrid w:val="0"/>
              <w:jc w:val="center"/>
              <w:rPr>
                <w:rFonts w:ascii="宋体" w:hAnsi="宋体"/>
                <w:color w:val="000000"/>
                <w:kern w:val="0"/>
                <w:sz w:val="25"/>
                <w:szCs w:val="24"/>
              </w:rPr>
            </w:pPr>
            <w:r>
              <w:rPr>
                <w:rFonts w:ascii="Times New Roman" w:hAnsi="Times New Roman"/>
                <w:color w:val="000000"/>
                <w:kern w:val="0"/>
                <w:sz w:val="25"/>
                <w:szCs w:val="24"/>
              </w:rPr>
              <w:lastRenderedPageBreak/>
              <w:t>S</w:t>
            </w:r>
          </w:p>
        </w:tc>
        <w:tc>
          <w:tcPr>
            <w:tcW w:w="750" w:type="pct"/>
            <w:tcBorders>
              <w:top w:val="single" w:sz="4" w:space="0" w:color="auto"/>
              <w:left w:val="single" w:sz="4" w:space="0" w:color="auto"/>
              <w:bottom w:val="single" w:sz="4" w:space="0" w:color="auto"/>
              <w:right w:val="single" w:sz="4" w:space="0" w:color="auto"/>
            </w:tcBorders>
            <w:vAlign w:val="center"/>
          </w:tcPr>
          <w:p w14:paraId="17A87923"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综合</w:t>
            </w:r>
          </w:p>
        </w:tc>
        <w:tc>
          <w:tcPr>
            <w:tcW w:w="750" w:type="pct"/>
            <w:tcBorders>
              <w:top w:val="single" w:sz="4" w:space="0" w:color="auto"/>
              <w:left w:val="single" w:sz="4" w:space="0" w:color="auto"/>
              <w:bottom w:val="single" w:sz="4" w:space="0" w:color="auto"/>
              <w:right w:val="single" w:sz="4" w:space="0" w:color="auto"/>
            </w:tcBorders>
            <w:vAlign w:val="center"/>
          </w:tcPr>
          <w:p w14:paraId="353BE94A" w14:textId="77777777" w:rsidR="00FB4D29" w:rsidRDefault="00CF4592">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14:paraId="567190DA" w14:textId="77777777" w:rsidR="00FB4D29" w:rsidRDefault="00CF4592">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FB4D29" w14:paraId="5B6938C6"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62B2CD3C" w14:textId="77777777" w:rsidR="00FB4D29" w:rsidRDefault="00CF4592">
            <w:pPr>
              <w:widowControl/>
              <w:snapToGrid w:val="0"/>
              <w:jc w:val="center"/>
              <w:rPr>
                <w:rFonts w:ascii="宋体" w:hAnsi="宋体"/>
                <w:color w:val="000000"/>
                <w:kern w:val="0"/>
                <w:sz w:val="25"/>
                <w:szCs w:val="24"/>
              </w:rPr>
            </w:pPr>
            <w:r>
              <w:rPr>
                <w:rFonts w:ascii="Times New Roman" w:hAnsi="Times New Roman"/>
                <w:color w:val="000000"/>
                <w:kern w:val="0"/>
                <w:sz w:val="25"/>
                <w:szCs w:val="24"/>
              </w:rPr>
              <w:t xml:space="preserve">　</w:t>
            </w:r>
          </w:p>
        </w:tc>
        <w:tc>
          <w:tcPr>
            <w:tcW w:w="750" w:type="pct"/>
            <w:tcBorders>
              <w:top w:val="single" w:sz="4" w:space="0" w:color="auto"/>
              <w:left w:val="single" w:sz="4" w:space="0" w:color="auto"/>
              <w:bottom w:val="single" w:sz="4" w:space="0" w:color="auto"/>
              <w:right w:val="single" w:sz="4" w:space="0" w:color="auto"/>
            </w:tcBorders>
            <w:vAlign w:val="center"/>
          </w:tcPr>
          <w:p w14:paraId="0078530A"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合计</w:t>
            </w:r>
          </w:p>
        </w:tc>
        <w:tc>
          <w:tcPr>
            <w:tcW w:w="750" w:type="pct"/>
            <w:tcBorders>
              <w:top w:val="single" w:sz="4" w:space="0" w:color="auto"/>
              <w:left w:val="single" w:sz="4" w:space="0" w:color="auto"/>
              <w:bottom w:val="single" w:sz="4" w:space="0" w:color="auto"/>
              <w:right w:val="single" w:sz="4" w:space="0" w:color="auto"/>
            </w:tcBorders>
            <w:vAlign w:val="center"/>
          </w:tcPr>
          <w:p w14:paraId="23164AC0" w14:textId="77777777" w:rsidR="00FB4D29" w:rsidRDefault="00CF4592">
            <w:pPr>
              <w:widowControl/>
              <w:snapToGrid w:val="0"/>
              <w:jc w:val="right"/>
              <w:rPr>
                <w:rFonts w:ascii="宋体" w:hAnsi="宋体"/>
                <w:color w:val="000000"/>
                <w:kern w:val="0"/>
                <w:sz w:val="25"/>
                <w:szCs w:val="24"/>
              </w:rPr>
            </w:pPr>
            <w:r>
              <w:rPr>
                <w:rFonts w:ascii="Times New Roman" w:hAnsi="Times New Roman"/>
                <w:color w:val="000000"/>
                <w:kern w:val="0"/>
                <w:sz w:val="25"/>
                <w:szCs w:val="24"/>
              </w:rPr>
              <w:t>2,595,059,742.58</w:t>
            </w:r>
          </w:p>
        </w:tc>
        <w:tc>
          <w:tcPr>
            <w:tcW w:w="400" w:type="pct"/>
            <w:tcBorders>
              <w:top w:val="single" w:sz="4" w:space="0" w:color="auto"/>
              <w:left w:val="single" w:sz="4" w:space="0" w:color="auto"/>
              <w:bottom w:val="single" w:sz="4" w:space="0" w:color="auto"/>
              <w:right w:val="single" w:sz="4" w:space="0" w:color="auto"/>
            </w:tcBorders>
            <w:vAlign w:val="center"/>
          </w:tcPr>
          <w:p w14:paraId="293E705C" w14:textId="77777777" w:rsidR="00FB4D29" w:rsidRDefault="00CF4592">
            <w:pPr>
              <w:widowControl/>
              <w:snapToGrid w:val="0"/>
              <w:jc w:val="right"/>
              <w:rPr>
                <w:rFonts w:ascii="宋体" w:hAnsi="宋体"/>
                <w:color w:val="000000"/>
                <w:kern w:val="0"/>
                <w:sz w:val="25"/>
                <w:szCs w:val="24"/>
              </w:rPr>
            </w:pPr>
            <w:r>
              <w:rPr>
                <w:rFonts w:ascii="Times New Roman" w:hAnsi="Times New Roman"/>
                <w:color w:val="000000"/>
                <w:kern w:val="0"/>
                <w:sz w:val="25"/>
                <w:szCs w:val="24"/>
              </w:rPr>
              <w:t>92.11</w:t>
            </w:r>
          </w:p>
        </w:tc>
      </w:tr>
    </w:tbl>
    <w:p w14:paraId="6EB3E0BA"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2.2 报告期末按行业分类的港股通投资股票投资组合</w:t>
      </w:r>
    </w:p>
    <w:p w14:paraId="05C12B2C"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无。</w:t>
      </w:r>
    </w:p>
    <w:p w14:paraId="5EA1E42A"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3、期末按公允价值占基金资产净值比例大小排序的股票投资明细</w:t>
      </w:r>
    </w:p>
    <w:p w14:paraId="03BB0D68"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3.1 报告期末按公允价值占基金资产净值比例大小排序的前十名股票投资明细</w:t>
      </w:r>
    </w:p>
    <w:tbl>
      <w:tblPr>
        <w:tblW w:w="5000" w:type="pct"/>
        <w:tblCellMar>
          <w:left w:w="0" w:type="dxa"/>
          <w:right w:w="0" w:type="dxa"/>
        </w:tblCellMar>
        <w:tblLook w:val="0000" w:firstRow="0" w:lastRow="0" w:firstColumn="0" w:lastColumn="0" w:noHBand="0" w:noVBand="0"/>
      </w:tblPr>
      <w:tblGrid>
        <w:gridCol w:w="540"/>
        <w:gridCol w:w="1622"/>
        <w:gridCol w:w="1622"/>
        <w:gridCol w:w="1622"/>
        <w:gridCol w:w="1622"/>
        <w:gridCol w:w="1622"/>
      </w:tblGrid>
      <w:tr w:rsidR="00FB4D29" w14:paraId="3ACD1558" w14:textId="77777777">
        <w:trPr>
          <w:cantSplit/>
          <w:trHeight w:val="375"/>
        </w:trPr>
        <w:tc>
          <w:tcPr>
            <w:tcW w:w="250" w:type="pct"/>
            <w:tcBorders>
              <w:top w:val="single" w:sz="4" w:space="0" w:color="auto"/>
              <w:left w:val="single" w:sz="4" w:space="0" w:color="auto"/>
              <w:bottom w:val="single" w:sz="4" w:space="0" w:color="auto"/>
              <w:right w:val="single" w:sz="4" w:space="0" w:color="auto"/>
            </w:tcBorders>
            <w:shd w:val="clear" w:color="auto" w:fill="D9D9D9"/>
            <w:vAlign w:val="center"/>
          </w:tcPr>
          <w:p w14:paraId="39FE02B5" w14:textId="77777777" w:rsidR="00FB4D29" w:rsidRDefault="00CF4592">
            <w:pPr>
              <w:widowControl/>
              <w:snapToGrid w:val="0"/>
              <w:jc w:val="center"/>
              <w:rPr>
                <w:rFonts w:ascii="宋体" w:hAnsi="宋体"/>
                <w:color w:val="000000"/>
                <w:kern w:val="0"/>
                <w:sz w:val="25"/>
                <w:szCs w:val="24"/>
              </w:rPr>
            </w:pPr>
            <w:r>
              <w:rPr>
                <w:rFonts w:ascii="Times New Roman" w:hAnsi="Times New Roman"/>
                <w:color w:val="000000"/>
                <w:kern w:val="0"/>
                <w:sz w:val="25"/>
                <w:szCs w:val="24"/>
              </w:rPr>
              <w:t>序号</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14:paraId="60BAAEDF" w14:textId="77777777" w:rsidR="00FB4D29" w:rsidRDefault="00CF4592">
            <w:pPr>
              <w:widowControl/>
              <w:snapToGrid w:val="0"/>
              <w:jc w:val="center"/>
              <w:rPr>
                <w:rFonts w:ascii="宋体" w:hAnsi="宋体"/>
                <w:color w:val="000000"/>
                <w:kern w:val="0"/>
                <w:sz w:val="25"/>
                <w:szCs w:val="24"/>
              </w:rPr>
            </w:pPr>
            <w:r>
              <w:rPr>
                <w:rFonts w:ascii="Times New Roman" w:hAnsi="Times New Roman"/>
                <w:color w:val="000000"/>
                <w:kern w:val="0"/>
                <w:sz w:val="25"/>
                <w:szCs w:val="24"/>
              </w:rPr>
              <w:t>股票代码</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14:paraId="74D38809" w14:textId="77777777" w:rsidR="00FB4D29" w:rsidRDefault="00CF4592">
            <w:pPr>
              <w:widowControl/>
              <w:snapToGrid w:val="0"/>
              <w:jc w:val="center"/>
              <w:rPr>
                <w:rFonts w:ascii="宋体" w:hAnsi="宋体"/>
                <w:color w:val="000000"/>
                <w:kern w:val="0"/>
                <w:sz w:val="25"/>
                <w:szCs w:val="24"/>
              </w:rPr>
            </w:pPr>
            <w:r>
              <w:rPr>
                <w:rFonts w:ascii="Times New Roman" w:hAnsi="Times New Roman"/>
                <w:color w:val="000000"/>
                <w:kern w:val="0"/>
                <w:sz w:val="25"/>
                <w:szCs w:val="24"/>
              </w:rPr>
              <w:t>股票名称</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14:paraId="7216B81A" w14:textId="77777777" w:rsidR="00FB4D29" w:rsidRDefault="00CF4592">
            <w:pPr>
              <w:widowControl/>
              <w:snapToGrid w:val="0"/>
              <w:jc w:val="center"/>
              <w:rPr>
                <w:rFonts w:ascii="宋体" w:hAnsi="宋体"/>
                <w:color w:val="000000"/>
                <w:kern w:val="0"/>
                <w:sz w:val="25"/>
                <w:szCs w:val="24"/>
              </w:rPr>
            </w:pPr>
            <w:r>
              <w:rPr>
                <w:rFonts w:ascii="Times New Roman" w:hAnsi="Times New Roman"/>
                <w:color w:val="000000"/>
                <w:kern w:val="0"/>
                <w:sz w:val="25"/>
                <w:szCs w:val="24"/>
              </w:rPr>
              <w:t>数量（股）</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14:paraId="6CA1C0F1" w14:textId="77777777" w:rsidR="00FB4D29" w:rsidRDefault="00CF4592">
            <w:pPr>
              <w:widowControl/>
              <w:snapToGrid w:val="0"/>
              <w:jc w:val="center"/>
              <w:rPr>
                <w:rFonts w:ascii="宋体" w:hAnsi="宋体"/>
                <w:color w:val="000000"/>
                <w:kern w:val="0"/>
                <w:sz w:val="25"/>
                <w:szCs w:val="24"/>
              </w:rPr>
            </w:pPr>
            <w:r>
              <w:rPr>
                <w:rFonts w:ascii="Times New Roman" w:hAnsi="Times New Roman"/>
                <w:color w:val="000000"/>
                <w:kern w:val="0"/>
                <w:sz w:val="25"/>
                <w:szCs w:val="24"/>
              </w:rPr>
              <w:t>公允价值（元）</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14:paraId="1473D55D" w14:textId="77777777" w:rsidR="00FB4D29" w:rsidRDefault="00CF4592">
            <w:pPr>
              <w:widowControl/>
              <w:snapToGrid w:val="0"/>
              <w:jc w:val="center"/>
              <w:rPr>
                <w:rFonts w:ascii="宋体" w:hAnsi="宋体"/>
                <w:color w:val="000000"/>
                <w:kern w:val="0"/>
                <w:sz w:val="25"/>
                <w:szCs w:val="24"/>
              </w:rPr>
            </w:pPr>
            <w:r>
              <w:rPr>
                <w:rFonts w:ascii="Times New Roman" w:hAnsi="Times New Roman"/>
                <w:color w:val="000000"/>
                <w:kern w:val="0"/>
                <w:sz w:val="25"/>
                <w:szCs w:val="24"/>
              </w:rPr>
              <w:t>占基金资产净值比例（</w:t>
            </w:r>
            <w:r>
              <w:rPr>
                <w:rFonts w:ascii="Times New Roman" w:hAnsi="Times New Roman"/>
                <w:color w:val="000000"/>
                <w:kern w:val="0"/>
                <w:sz w:val="25"/>
                <w:szCs w:val="24"/>
              </w:rPr>
              <w:t>%</w:t>
            </w:r>
            <w:r>
              <w:rPr>
                <w:rFonts w:ascii="Times New Roman" w:hAnsi="Times New Roman"/>
                <w:color w:val="000000"/>
                <w:kern w:val="0"/>
                <w:sz w:val="25"/>
                <w:szCs w:val="24"/>
              </w:rPr>
              <w:t>）</w:t>
            </w:r>
          </w:p>
        </w:tc>
      </w:tr>
      <w:tr w:rsidR="00FB4D29" w14:paraId="278DF61D"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68B8B286" w14:textId="77777777" w:rsidR="00FB4D29" w:rsidRDefault="00CF4592">
            <w:pPr>
              <w:widowControl/>
              <w:snapToGrid w:val="0"/>
              <w:jc w:val="center"/>
              <w:rPr>
                <w:rFonts w:ascii="宋体" w:hAnsi="宋体"/>
                <w:color w:val="000000"/>
                <w:kern w:val="0"/>
                <w:sz w:val="25"/>
                <w:szCs w:val="24"/>
              </w:rPr>
            </w:pPr>
            <w:r>
              <w:rPr>
                <w:rFonts w:ascii="Times New Roman" w:hAnsi="Times New Roman"/>
                <w:color w:val="000000"/>
                <w:kern w:val="0"/>
                <w:sz w:val="25"/>
                <w:szCs w:val="24"/>
              </w:rPr>
              <w:t>1</w:t>
            </w:r>
          </w:p>
        </w:tc>
        <w:tc>
          <w:tcPr>
            <w:tcW w:w="750" w:type="pct"/>
            <w:tcBorders>
              <w:top w:val="single" w:sz="4" w:space="0" w:color="auto"/>
              <w:left w:val="single" w:sz="4" w:space="0" w:color="auto"/>
              <w:bottom w:val="single" w:sz="4" w:space="0" w:color="auto"/>
              <w:right w:val="single" w:sz="4" w:space="0" w:color="auto"/>
            </w:tcBorders>
            <w:vAlign w:val="center"/>
          </w:tcPr>
          <w:p w14:paraId="10A5AB8E" w14:textId="77777777" w:rsidR="00FB4D29" w:rsidRDefault="00CF4592">
            <w:pPr>
              <w:widowControl/>
              <w:snapToGrid w:val="0"/>
              <w:jc w:val="center"/>
              <w:rPr>
                <w:rFonts w:ascii="宋体" w:hAnsi="宋体"/>
                <w:color w:val="000000"/>
                <w:kern w:val="0"/>
                <w:sz w:val="25"/>
                <w:szCs w:val="24"/>
              </w:rPr>
            </w:pPr>
            <w:r>
              <w:rPr>
                <w:rFonts w:ascii="Times New Roman" w:hAnsi="Times New Roman"/>
                <w:color w:val="000000"/>
                <w:kern w:val="0"/>
                <w:sz w:val="25"/>
                <w:szCs w:val="24"/>
              </w:rPr>
              <w:t>600048</w:t>
            </w:r>
          </w:p>
        </w:tc>
        <w:tc>
          <w:tcPr>
            <w:tcW w:w="750" w:type="pct"/>
            <w:tcBorders>
              <w:top w:val="single" w:sz="4" w:space="0" w:color="auto"/>
              <w:left w:val="single" w:sz="4" w:space="0" w:color="auto"/>
              <w:bottom w:val="single" w:sz="4" w:space="0" w:color="auto"/>
              <w:right w:val="single" w:sz="4" w:space="0" w:color="auto"/>
            </w:tcBorders>
            <w:vAlign w:val="center"/>
          </w:tcPr>
          <w:p w14:paraId="3EB31724" w14:textId="77777777" w:rsidR="00FB4D29" w:rsidRDefault="00CF4592">
            <w:pPr>
              <w:widowControl/>
              <w:snapToGrid w:val="0"/>
              <w:jc w:val="center"/>
              <w:rPr>
                <w:rFonts w:ascii="宋体" w:hAnsi="宋体"/>
                <w:color w:val="000000"/>
                <w:kern w:val="0"/>
                <w:sz w:val="25"/>
                <w:szCs w:val="24"/>
              </w:rPr>
            </w:pPr>
            <w:r>
              <w:rPr>
                <w:rFonts w:ascii="Times New Roman" w:hAnsi="Times New Roman"/>
                <w:color w:val="000000"/>
                <w:kern w:val="0"/>
                <w:sz w:val="25"/>
                <w:szCs w:val="24"/>
              </w:rPr>
              <w:t>保利发展</w:t>
            </w:r>
          </w:p>
        </w:tc>
        <w:tc>
          <w:tcPr>
            <w:tcW w:w="750" w:type="pct"/>
            <w:tcBorders>
              <w:top w:val="single" w:sz="4" w:space="0" w:color="auto"/>
              <w:left w:val="single" w:sz="4" w:space="0" w:color="auto"/>
              <w:bottom w:val="single" w:sz="4" w:space="0" w:color="auto"/>
              <w:right w:val="single" w:sz="4" w:space="0" w:color="auto"/>
            </w:tcBorders>
            <w:vAlign w:val="center"/>
          </w:tcPr>
          <w:p w14:paraId="778B8E86" w14:textId="77777777" w:rsidR="00FB4D29" w:rsidRDefault="00CF4592">
            <w:pPr>
              <w:widowControl/>
              <w:snapToGrid w:val="0"/>
              <w:jc w:val="right"/>
              <w:rPr>
                <w:rFonts w:ascii="宋体" w:hAnsi="宋体"/>
                <w:color w:val="000000"/>
                <w:kern w:val="0"/>
                <w:sz w:val="25"/>
                <w:szCs w:val="24"/>
              </w:rPr>
            </w:pPr>
            <w:r>
              <w:rPr>
                <w:rFonts w:ascii="Times New Roman" w:hAnsi="Times New Roman"/>
                <w:color w:val="000000"/>
                <w:kern w:val="0"/>
                <w:sz w:val="25"/>
                <w:szCs w:val="24"/>
              </w:rPr>
              <w:t>12,326,778</w:t>
            </w:r>
          </w:p>
        </w:tc>
        <w:tc>
          <w:tcPr>
            <w:tcW w:w="750" w:type="pct"/>
            <w:tcBorders>
              <w:top w:val="single" w:sz="4" w:space="0" w:color="auto"/>
              <w:left w:val="single" w:sz="4" w:space="0" w:color="auto"/>
              <w:bottom w:val="single" w:sz="4" w:space="0" w:color="auto"/>
              <w:right w:val="single" w:sz="4" w:space="0" w:color="auto"/>
            </w:tcBorders>
            <w:vAlign w:val="center"/>
          </w:tcPr>
          <w:p w14:paraId="3FE7B1B3" w14:textId="77777777" w:rsidR="00FB4D29" w:rsidRDefault="00CF4592">
            <w:pPr>
              <w:widowControl/>
              <w:snapToGrid w:val="0"/>
              <w:jc w:val="right"/>
              <w:rPr>
                <w:rFonts w:ascii="宋体" w:hAnsi="宋体"/>
                <w:color w:val="000000"/>
                <w:kern w:val="0"/>
                <w:sz w:val="25"/>
                <w:szCs w:val="24"/>
              </w:rPr>
            </w:pPr>
            <w:r>
              <w:rPr>
                <w:rFonts w:ascii="Times New Roman" w:hAnsi="Times New Roman"/>
                <w:color w:val="000000"/>
                <w:kern w:val="0"/>
                <w:sz w:val="25"/>
                <w:szCs w:val="24"/>
              </w:rPr>
              <w:t>218,183,970.60</w:t>
            </w:r>
          </w:p>
        </w:tc>
        <w:tc>
          <w:tcPr>
            <w:tcW w:w="750" w:type="pct"/>
            <w:tcBorders>
              <w:top w:val="single" w:sz="4" w:space="0" w:color="auto"/>
              <w:left w:val="single" w:sz="4" w:space="0" w:color="auto"/>
              <w:bottom w:val="single" w:sz="4" w:space="0" w:color="auto"/>
              <w:right w:val="single" w:sz="4" w:space="0" w:color="auto"/>
            </w:tcBorders>
            <w:vAlign w:val="center"/>
          </w:tcPr>
          <w:p w14:paraId="36990628" w14:textId="77777777" w:rsidR="00FB4D29" w:rsidRDefault="00CF4592">
            <w:pPr>
              <w:widowControl/>
              <w:snapToGrid w:val="0"/>
              <w:jc w:val="right"/>
              <w:rPr>
                <w:rFonts w:ascii="宋体" w:hAnsi="宋体"/>
                <w:color w:val="000000"/>
                <w:kern w:val="0"/>
                <w:sz w:val="25"/>
                <w:szCs w:val="24"/>
              </w:rPr>
            </w:pPr>
            <w:r>
              <w:rPr>
                <w:rFonts w:ascii="Times New Roman" w:hAnsi="Times New Roman"/>
                <w:color w:val="000000"/>
                <w:kern w:val="0"/>
                <w:sz w:val="25"/>
                <w:szCs w:val="24"/>
              </w:rPr>
              <w:t>7.74</w:t>
            </w:r>
          </w:p>
        </w:tc>
      </w:tr>
      <w:tr w:rsidR="00FB4D29" w14:paraId="0F5143AC"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0C277840" w14:textId="77777777" w:rsidR="00FB4D29" w:rsidRDefault="00CF4592">
            <w:pPr>
              <w:widowControl/>
              <w:snapToGrid w:val="0"/>
              <w:jc w:val="center"/>
              <w:rPr>
                <w:rFonts w:ascii="宋体" w:hAnsi="宋体"/>
                <w:color w:val="000000"/>
                <w:kern w:val="0"/>
                <w:sz w:val="25"/>
                <w:szCs w:val="24"/>
              </w:rPr>
            </w:pPr>
            <w:r>
              <w:rPr>
                <w:rFonts w:ascii="Times New Roman" w:hAnsi="Times New Roman"/>
                <w:color w:val="000000"/>
                <w:kern w:val="0"/>
                <w:sz w:val="25"/>
                <w:szCs w:val="24"/>
              </w:rPr>
              <w:t>2</w:t>
            </w:r>
          </w:p>
        </w:tc>
        <w:tc>
          <w:tcPr>
            <w:tcW w:w="750" w:type="pct"/>
            <w:tcBorders>
              <w:top w:val="single" w:sz="4" w:space="0" w:color="auto"/>
              <w:left w:val="single" w:sz="4" w:space="0" w:color="auto"/>
              <w:bottom w:val="single" w:sz="4" w:space="0" w:color="auto"/>
              <w:right w:val="single" w:sz="4" w:space="0" w:color="auto"/>
            </w:tcBorders>
            <w:vAlign w:val="center"/>
          </w:tcPr>
          <w:p w14:paraId="613CEE30" w14:textId="77777777" w:rsidR="00FB4D29" w:rsidRDefault="00CF4592">
            <w:pPr>
              <w:widowControl/>
              <w:snapToGrid w:val="0"/>
              <w:jc w:val="center"/>
              <w:rPr>
                <w:rFonts w:ascii="宋体" w:hAnsi="宋体"/>
                <w:color w:val="000000"/>
                <w:kern w:val="0"/>
                <w:sz w:val="25"/>
                <w:szCs w:val="24"/>
              </w:rPr>
            </w:pPr>
            <w:r>
              <w:rPr>
                <w:rFonts w:ascii="Times New Roman" w:hAnsi="Times New Roman"/>
                <w:color w:val="000000"/>
                <w:kern w:val="0"/>
                <w:sz w:val="25"/>
                <w:szCs w:val="24"/>
              </w:rPr>
              <w:t>300896</w:t>
            </w:r>
          </w:p>
        </w:tc>
        <w:tc>
          <w:tcPr>
            <w:tcW w:w="750" w:type="pct"/>
            <w:tcBorders>
              <w:top w:val="single" w:sz="4" w:space="0" w:color="auto"/>
              <w:left w:val="single" w:sz="4" w:space="0" w:color="auto"/>
              <w:bottom w:val="single" w:sz="4" w:space="0" w:color="auto"/>
              <w:right w:val="single" w:sz="4" w:space="0" w:color="auto"/>
            </w:tcBorders>
            <w:vAlign w:val="center"/>
          </w:tcPr>
          <w:p w14:paraId="798A9774" w14:textId="77777777" w:rsidR="00FB4D29" w:rsidRDefault="00CF4592">
            <w:pPr>
              <w:widowControl/>
              <w:snapToGrid w:val="0"/>
              <w:jc w:val="center"/>
              <w:rPr>
                <w:rFonts w:ascii="宋体" w:hAnsi="宋体"/>
                <w:color w:val="000000"/>
                <w:kern w:val="0"/>
                <w:sz w:val="25"/>
                <w:szCs w:val="24"/>
              </w:rPr>
            </w:pPr>
            <w:r>
              <w:rPr>
                <w:rFonts w:ascii="Times New Roman" w:hAnsi="Times New Roman"/>
                <w:color w:val="000000"/>
                <w:kern w:val="0"/>
                <w:sz w:val="25"/>
                <w:szCs w:val="24"/>
              </w:rPr>
              <w:t>爱美客</w:t>
            </w:r>
          </w:p>
        </w:tc>
        <w:tc>
          <w:tcPr>
            <w:tcW w:w="750" w:type="pct"/>
            <w:tcBorders>
              <w:top w:val="single" w:sz="4" w:space="0" w:color="auto"/>
              <w:left w:val="single" w:sz="4" w:space="0" w:color="auto"/>
              <w:bottom w:val="single" w:sz="4" w:space="0" w:color="auto"/>
              <w:right w:val="single" w:sz="4" w:space="0" w:color="auto"/>
            </w:tcBorders>
            <w:vAlign w:val="center"/>
          </w:tcPr>
          <w:p w14:paraId="54E12C2F" w14:textId="77777777" w:rsidR="00FB4D29" w:rsidRDefault="00CF4592">
            <w:pPr>
              <w:widowControl/>
              <w:snapToGrid w:val="0"/>
              <w:jc w:val="right"/>
              <w:rPr>
                <w:rFonts w:ascii="宋体" w:hAnsi="宋体"/>
                <w:color w:val="000000"/>
                <w:kern w:val="0"/>
                <w:sz w:val="25"/>
                <w:szCs w:val="24"/>
              </w:rPr>
            </w:pPr>
            <w:r>
              <w:rPr>
                <w:rFonts w:ascii="Times New Roman" w:hAnsi="Times New Roman"/>
                <w:color w:val="000000"/>
                <w:kern w:val="0"/>
                <w:sz w:val="25"/>
                <w:szCs w:val="24"/>
              </w:rPr>
              <w:t>426,506</w:t>
            </w:r>
          </w:p>
        </w:tc>
        <w:tc>
          <w:tcPr>
            <w:tcW w:w="750" w:type="pct"/>
            <w:tcBorders>
              <w:top w:val="single" w:sz="4" w:space="0" w:color="auto"/>
              <w:left w:val="single" w:sz="4" w:space="0" w:color="auto"/>
              <w:bottom w:val="single" w:sz="4" w:space="0" w:color="auto"/>
              <w:right w:val="single" w:sz="4" w:space="0" w:color="auto"/>
            </w:tcBorders>
            <w:vAlign w:val="center"/>
          </w:tcPr>
          <w:p w14:paraId="5D68E868" w14:textId="77777777" w:rsidR="00FB4D29" w:rsidRDefault="00CF4592">
            <w:pPr>
              <w:widowControl/>
              <w:snapToGrid w:val="0"/>
              <w:jc w:val="right"/>
              <w:rPr>
                <w:rFonts w:ascii="宋体" w:hAnsi="宋体"/>
                <w:color w:val="000000"/>
                <w:kern w:val="0"/>
                <w:sz w:val="25"/>
                <w:szCs w:val="24"/>
              </w:rPr>
            </w:pPr>
            <w:r>
              <w:rPr>
                <w:rFonts w:ascii="Times New Roman" w:hAnsi="Times New Roman"/>
                <w:color w:val="000000"/>
                <w:kern w:val="0"/>
                <w:sz w:val="25"/>
                <w:szCs w:val="24"/>
              </w:rPr>
              <w:t>202,590,350.00</w:t>
            </w:r>
          </w:p>
        </w:tc>
        <w:tc>
          <w:tcPr>
            <w:tcW w:w="750" w:type="pct"/>
            <w:tcBorders>
              <w:top w:val="single" w:sz="4" w:space="0" w:color="auto"/>
              <w:left w:val="single" w:sz="4" w:space="0" w:color="auto"/>
              <w:bottom w:val="single" w:sz="4" w:space="0" w:color="auto"/>
              <w:right w:val="single" w:sz="4" w:space="0" w:color="auto"/>
            </w:tcBorders>
            <w:vAlign w:val="center"/>
          </w:tcPr>
          <w:p w14:paraId="1CA8B5C0" w14:textId="77777777" w:rsidR="00FB4D29" w:rsidRDefault="00CF4592">
            <w:pPr>
              <w:widowControl/>
              <w:snapToGrid w:val="0"/>
              <w:jc w:val="right"/>
              <w:rPr>
                <w:rFonts w:ascii="宋体" w:hAnsi="宋体"/>
                <w:color w:val="000000"/>
                <w:kern w:val="0"/>
                <w:sz w:val="25"/>
                <w:szCs w:val="24"/>
              </w:rPr>
            </w:pPr>
            <w:r>
              <w:rPr>
                <w:rFonts w:ascii="Times New Roman" w:hAnsi="Times New Roman"/>
                <w:color w:val="000000"/>
                <w:kern w:val="0"/>
                <w:sz w:val="25"/>
                <w:szCs w:val="24"/>
              </w:rPr>
              <w:t>7.19</w:t>
            </w:r>
          </w:p>
        </w:tc>
      </w:tr>
      <w:tr w:rsidR="00FB4D29" w14:paraId="738F605D"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3B9DC473" w14:textId="77777777" w:rsidR="00FB4D29" w:rsidRDefault="00CF4592">
            <w:pPr>
              <w:widowControl/>
              <w:snapToGrid w:val="0"/>
              <w:jc w:val="center"/>
              <w:rPr>
                <w:rFonts w:ascii="宋体" w:hAnsi="宋体"/>
                <w:color w:val="000000"/>
                <w:kern w:val="0"/>
                <w:sz w:val="25"/>
                <w:szCs w:val="24"/>
              </w:rPr>
            </w:pPr>
            <w:r>
              <w:rPr>
                <w:rFonts w:ascii="Times New Roman" w:hAnsi="Times New Roman"/>
                <w:color w:val="000000"/>
                <w:kern w:val="0"/>
                <w:sz w:val="25"/>
                <w:szCs w:val="24"/>
              </w:rPr>
              <w:t>3</w:t>
            </w:r>
          </w:p>
        </w:tc>
        <w:tc>
          <w:tcPr>
            <w:tcW w:w="750" w:type="pct"/>
            <w:tcBorders>
              <w:top w:val="single" w:sz="4" w:space="0" w:color="auto"/>
              <w:left w:val="single" w:sz="4" w:space="0" w:color="auto"/>
              <w:bottom w:val="single" w:sz="4" w:space="0" w:color="auto"/>
              <w:right w:val="single" w:sz="4" w:space="0" w:color="auto"/>
            </w:tcBorders>
            <w:vAlign w:val="center"/>
          </w:tcPr>
          <w:p w14:paraId="2E8634A3" w14:textId="77777777" w:rsidR="00FB4D29" w:rsidRDefault="00CF4592">
            <w:pPr>
              <w:widowControl/>
              <w:snapToGrid w:val="0"/>
              <w:jc w:val="center"/>
              <w:rPr>
                <w:rFonts w:ascii="宋体" w:hAnsi="宋体"/>
                <w:color w:val="000000"/>
                <w:kern w:val="0"/>
                <w:sz w:val="25"/>
                <w:szCs w:val="24"/>
              </w:rPr>
            </w:pPr>
            <w:r>
              <w:rPr>
                <w:rFonts w:ascii="Times New Roman" w:hAnsi="Times New Roman"/>
                <w:color w:val="000000"/>
                <w:kern w:val="0"/>
                <w:sz w:val="25"/>
                <w:szCs w:val="24"/>
              </w:rPr>
              <w:t>300750</w:t>
            </w:r>
          </w:p>
        </w:tc>
        <w:tc>
          <w:tcPr>
            <w:tcW w:w="750" w:type="pct"/>
            <w:tcBorders>
              <w:top w:val="single" w:sz="4" w:space="0" w:color="auto"/>
              <w:left w:val="single" w:sz="4" w:space="0" w:color="auto"/>
              <w:bottom w:val="single" w:sz="4" w:space="0" w:color="auto"/>
              <w:right w:val="single" w:sz="4" w:space="0" w:color="auto"/>
            </w:tcBorders>
            <w:vAlign w:val="center"/>
          </w:tcPr>
          <w:p w14:paraId="6D9E2847" w14:textId="77777777" w:rsidR="00FB4D29" w:rsidRDefault="00CF4592">
            <w:pPr>
              <w:widowControl/>
              <w:snapToGrid w:val="0"/>
              <w:jc w:val="center"/>
              <w:rPr>
                <w:rFonts w:ascii="宋体" w:hAnsi="宋体"/>
                <w:color w:val="000000"/>
                <w:kern w:val="0"/>
                <w:sz w:val="25"/>
                <w:szCs w:val="24"/>
              </w:rPr>
            </w:pPr>
            <w:r>
              <w:rPr>
                <w:rFonts w:ascii="Times New Roman" w:hAnsi="Times New Roman"/>
                <w:color w:val="000000"/>
                <w:kern w:val="0"/>
                <w:sz w:val="25"/>
                <w:szCs w:val="24"/>
              </w:rPr>
              <w:t>宁德时代</w:t>
            </w:r>
          </w:p>
        </w:tc>
        <w:tc>
          <w:tcPr>
            <w:tcW w:w="750" w:type="pct"/>
            <w:tcBorders>
              <w:top w:val="single" w:sz="4" w:space="0" w:color="auto"/>
              <w:left w:val="single" w:sz="4" w:space="0" w:color="auto"/>
              <w:bottom w:val="single" w:sz="4" w:space="0" w:color="auto"/>
              <w:right w:val="single" w:sz="4" w:space="0" w:color="auto"/>
            </w:tcBorders>
            <w:vAlign w:val="center"/>
          </w:tcPr>
          <w:p w14:paraId="677C2E8A" w14:textId="77777777" w:rsidR="00FB4D29" w:rsidRDefault="00CF4592">
            <w:pPr>
              <w:widowControl/>
              <w:snapToGrid w:val="0"/>
              <w:jc w:val="right"/>
              <w:rPr>
                <w:rFonts w:ascii="宋体" w:hAnsi="宋体"/>
                <w:color w:val="000000"/>
                <w:kern w:val="0"/>
                <w:sz w:val="25"/>
                <w:szCs w:val="24"/>
              </w:rPr>
            </w:pPr>
            <w:r>
              <w:rPr>
                <w:rFonts w:ascii="Times New Roman" w:hAnsi="Times New Roman"/>
                <w:color w:val="000000"/>
                <w:kern w:val="0"/>
                <w:sz w:val="25"/>
                <w:szCs w:val="24"/>
              </w:rPr>
              <w:t>390,306</w:t>
            </w:r>
          </w:p>
        </w:tc>
        <w:tc>
          <w:tcPr>
            <w:tcW w:w="750" w:type="pct"/>
            <w:tcBorders>
              <w:top w:val="single" w:sz="4" w:space="0" w:color="auto"/>
              <w:left w:val="single" w:sz="4" w:space="0" w:color="auto"/>
              <w:bottom w:val="single" w:sz="4" w:space="0" w:color="auto"/>
              <w:right w:val="single" w:sz="4" w:space="0" w:color="auto"/>
            </w:tcBorders>
            <w:vAlign w:val="center"/>
          </w:tcPr>
          <w:p w14:paraId="221262FD" w14:textId="77777777" w:rsidR="00FB4D29" w:rsidRDefault="00CF4592">
            <w:pPr>
              <w:widowControl/>
              <w:snapToGrid w:val="0"/>
              <w:jc w:val="right"/>
              <w:rPr>
                <w:rFonts w:ascii="宋体" w:hAnsi="宋体"/>
                <w:color w:val="000000"/>
                <w:kern w:val="0"/>
                <w:sz w:val="25"/>
                <w:szCs w:val="24"/>
              </w:rPr>
            </w:pPr>
            <w:r>
              <w:rPr>
                <w:rFonts w:ascii="Times New Roman" w:hAnsi="Times New Roman"/>
                <w:color w:val="000000"/>
                <w:kern w:val="0"/>
                <w:sz w:val="25"/>
                <w:szCs w:val="24"/>
              </w:rPr>
              <w:t>199,953,763.80</w:t>
            </w:r>
          </w:p>
        </w:tc>
        <w:tc>
          <w:tcPr>
            <w:tcW w:w="750" w:type="pct"/>
            <w:tcBorders>
              <w:top w:val="single" w:sz="4" w:space="0" w:color="auto"/>
              <w:left w:val="single" w:sz="4" w:space="0" w:color="auto"/>
              <w:bottom w:val="single" w:sz="4" w:space="0" w:color="auto"/>
              <w:right w:val="single" w:sz="4" w:space="0" w:color="auto"/>
            </w:tcBorders>
            <w:vAlign w:val="center"/>
          </w:tcPr>
          <w:p w14:paraId="366C4B3E" w14:textId="77777777" w:rsidR="00FB4D29" w:rsidRDefault="00CF4592">
            <w:pPr>
              <w:widowControl/>
              <w:snapToGrid w:val="0"/>
              <w:jc w:val="right"/>
              <w:rPr>
                <w:rFonts w:ascii="宋体" w:hAnsi="宋体"/>
                <w:color w:val="000000"/>
                <w:kern w:val="0"/>
                <w:sz w:val="25"/>
                <w:szCs w:val="24"/>
              </w:rPr>
            </w:pPr>
            <w:r>
              <w:rPr>
                <w:rFonts w:ascii="Times New Roman" w:hAnsi="Times New Roman"/>
                <w:color w:val="000000"/>
                <w:kern w:val="0"/>
                <w:sz w:val="25"/>
                <w:szCs w:val="24"/>
              </w:rPr>
              <w:t>7.10</w:t>
            </w:r>
          </w:p>
        </w:tc>
      </w:tr>
      <w:tr w:rsidR="00FB4D29" w14:paraId="7E3687EC"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5E70BDA1" w14:textId="77777777" w:rsidR="00FB4D29" w:rsidRDefault="00CF4592">
            <w:pPr>
              <w:widowControl/>
              <w:snapToGrid w:val="0"/>
              <w:jc w:val="center"/>
              <w:rPr>
                <w:rFonts w:ascii="宋体" w:hAnsi="宋体"/>
                <w:color w:val="000000"/>
                <w:kern w:val="0"/>
                <w:sz w:val="25"/>
                <w:szCs w:val="24"/>
              </w:rPr>
            </w:pPr>
            <w:r>
              <w:rPr>
                <w:rFonts w:ascii="Times New Roman" w:hAnsi="Times New Roman"/>
                <w:color w:val="000000"/>
                <w:kern w:val="0"/>
                <w:sz w:val="25"/>
                <w:szCs w:val="24"/>
              </w:rPr>
              <w:t>4</w:t>
            </w:r>
          </w:p>
        </w:tc>
        <w:tc>
          <w:tcPr>
            <w:tcW w:w="750" w:type="pct"/>
            <w:tcBorders>
              <w:top w:val="single" w:sz="4" w:space="0" w:color="auto"/>
              <w:left w:val="single" w:sz="4" w:space="0" w:color="auto"/>
              <w:bottom w:val="single" w:sz="4" w:space="0" w:color="auto"/>
              <w:right w:val="single" w:sz="4" w:space="0" w:color="auto"/>
            </w:tcBorders>
            <w:vAlign w:val="center"/>
          </w:tcPr>
          <w:p w14:paraId="2627AE6B" w14:textId="77777777" w:rsidR="00FB4D29" w:rsidRDefault="00CF4592">
            <w:pPr>
              <w:widowControl/>
              <w:snapToGrid w:val="0"/>
              <w:jc w:val="center"/>
              <w:rPr>
                <w:rFonts w:ascii="宋体" w:hAnsi="宋体"/>
                <w:color w:val="000000"/>
                <w:kern w:val="0"/>
                <w:sz w:val="25"/>
                <w:szCs w:val="24"/>
              </w:rPr>
            </w:pPr>
            <w:r>
              <w:rPr>
                <w:rFonts w:ascii="Times New Roman" w:hAnsi="Times New Roman"/>
                <w:color w:val="000000"/>
                <w:kern w:val="0"/>
                <w:sz w:val="25"/>
                <w:szCs w:val="24"/>
              </w:rPr>
              <w:t>603259</w:t>
            </w:r>
          </w:p>
        </w:tc>
        <w:tc>
          <w:tcPr>
            <w:tcW w:w="750" w:type="pct"/>
            <w:tcBorders>
              <w:top w:val="single" w:sz="4" w:space="0" w:color="auto"/>
              <w:left w:val="single" w:sz="4" w:space="0" w:color="auto"/>
              <w:bottom w:val="single" w:sz="4" w:space="0" w:color="auto"/>
              <w:right w:val="single" w:sz="4" w:space="0" w:color="auto"/>
            </w:tcBorders>
            <w:vAlign w:val="center"/>
          </w:tcPr>
          <w:p w14:paraId="5B5B0C0C" w14:textId="77777777" w:rsidR="00FB4D29" w:rsidRDefault="00CF4592">
            <w:pPr>
              <w:widowControl/>
              <w:snapToGrid w:val="0"/>
              <w:jc w:val="center"/>
              <w:rPr>
                <w:rFonts w:ascii="宋体" w:hAnsi="宋体"/>
                <w:color w:val="000000"/>
                <w:kern w:val="0"/>
                <w:sz w:val="25"/>
                <w:szCs w:val="24"/>
              </w:rPr>
            </w:pPr>
            <w:r>
              <w:rPr>
                <w:rFonts w:ascii="Times New Roman" w:hAnsi="Times New Roman"/>
                <w:color w:val="000000"/>
                <w:kern w:val="0"/>
                <w:sz w:val="25"/>
                <w:szCs w:val="24"/>
              </w:rPr>
              <w:t>药明康德</w:t>
            </w:r>
          </w:p>
        </w:tc>
        <w:tc>
          <w:tcPr>
            <w:tcW w:w="750" w:type="pct"/>
            <w:tcBorders>
              <w:top w:val="single" w:sz="4" w:space="0" w:color="auto"/>
              <w:left w:val="single" w:sz="4" w:space="0" w:color="auto"/>
              <w:bottom w:val="single" w:sz="4" w:space="0" w:color="auto"/>
              <w:right w:val="single" w:sz="4" w:space="0" w:color="auto"/>
            </w:tcBorders>
            <w:vAlign w:val="center"/>
          </w:tcPr>
          <w:p w14:paraId="4EEA05A5" w14:textId="77777777" w:rsidR="00FB4D29" w:rsidRDefault="00CF4592">
            <w:pPr>
              <w:widowControl/>
              <w:snapToGrid w:val="0"/>
              <w:jc w:val="right"/>
              <w:rPr>
                <w:rFonts w:ascii="宋体" w:hAnsi="宋体"/>
                <w:color w:val="000000"/>
                <w:kern w:val="0"/>
                <w:sz w:val="25"/>
                <w:szCs w:val="24"/>
              </w:rPr>
            </w:pPr>
            <w:r>
              <w:rPr>
                <w:rFonts w:ascii="Times New Roman" w:hAnsi="Times New Roman"/>
                <w:color w:val="000000"/>
                <w:kern w:val="0"/>
                <w:sz w:val="25"/>
                <w:szCs w:val="24"/>
              </w:rPr>
              <w:t>1,636,923</w:t>
            </w:r>
          </w:p>
        </w:tc>
        <w:tc>
          <w:tcPr>
            <w:tcW w:w="750" w:type="pct"/>
            <w:tcBorders>
              <w:top w:val="single" w:sz="4" w:space="0" w:color="auto"/>
              <w:left w:val="single" w:sz="4" w:space="0" w:color="auto"/>
              <w:bottom w:val="single" w:sz="4" w:space="0" w:color="auto"/>
              <w:right w:val="single" w:sz="4" w:space="0" w:color="auto"/>
            </w:tcBorders>
            <w:vAlign w:val="center"/>
          </w:tcPr>
          <w:p w14:paraId="02E76A41" w14:textId="77777777" w:rsidR="00FB4D29" w:rsidRDefault="00CF4592">
            <w:pPr>
              <w:widowControl/>
              <w:snapToGrid w:val="0"/>
              <w:jc w:val="right"/>
              <w:rPr>
                <w:rFonts w:ascii="宋体" w:hAnsi="宋体"/>
                <w:color w:val="000000"/>
                <w:kern w:val="0"/>
                <w:sz w:val="25"/>
                <w:szCs w:val="24"/>
              </w:rPr>
            </w:pPr>
            <w:r>
              <w:rPr>
                <w:rFonts w:ascii="Times New Roman" w:hAnsi="Times New Roman"/>
                <w:color w:val="000000"/>
                <w:kern w:val="0"/>
                <w:sz w:val="25"/>
                <w:szCs w:val="24"/>
              </w:rPr>
              <w:t>183,957,406.74</w:t>
            </w:r>
          </w:p>
        </w:tc>
        <w:tc>
          <w:tcPr>
            <w:tcW w:w="750" w:type="pct"/>
            <w:tcBorders>
              <w:top w:val="single" w:sz="4" w:space="0" w:color="auto"/>
              <w:left w:val="single" w:sz="4" w:space="0" w:color="auto"/>
              <w:bottom w:val="single" w:sz="4" w:space="0" w:color="auto"/>
              <w:right w:val="single" w:sz="4" w:space="0" w:color="auto"/>
            </w:tcBorders>
            <w:vAlign w:val="center"/>
          </w:tcPr>
          <w:p w14:paraId="02E3F4E4" w14:textId="77777777" w:rsidR="00FB4D29" w:rsidRDefault="00CF4592">
            <w:pPr>
              <w:widowControl/>
              <w:snapToGrid w:val="0"/>
              <w:jc w:val="right"/>
              <w:rPr>
                <w:rFonts w:ascii="宋体" w:hAnsi="宋体"/>
                <w:color w:val="000000"/>
                <w:kern w:val="0"/>
                <w:sz w:val="25"/>
                <w:szCs w:val="24"/>
              </w:rPr>
            </w:pPr>
            <w:r>
              <w:rPr>
                <w:rFonts w:ascii="Times New Roman" w:hAnsi="Times New Roman"/>
                <w:color w:val="000000"/>
                <w:kern w:val="0"/>
                <w:sz w:val="25"/>
                <w:szCs w:val="24"/>
              </w:rPr>
              <w:t>6.53</w:t>
            </w:r>
          </w:p>
        </w:tc>
      </w:tr>
      <w:tr w:rsidR="00FB4D29" w14:paraId="2EA115B7"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0D09694F" w14:textId="77777777" w:rsidR="00FB4D29" w:rsidRDefault="00CF4592">
            <w:pPr>
              <w:widowControl/>
              <w:snapToGrid w:val="0"/>
              <w:jc w:val="center"/>
              <w:rPr>
                <w:rFonts w:ascii="宋体" w:hAnsi="宋体"/>
                <w:color w:val="000000"/>
                <w:kern w:val="0"/>
                <w:sz w:val="25"/>
                <w:szCs w:val="24"/>
              </w:rPr>
            </w:pPr>
            <w:r>
              <w:rPr>
                <w:rFonts w:ascii="Times New Roman" w:hAnsi="Times New Roman"/>
                <w:color w:val="000000"/>
                <w:kern w:val="0"/>
                <w:sz w:val="25"/>
                <w:szCs w:val="24"/>
              </w:rPr>
              <w:t>5</w:t>
            </w:r>
          </w:p>
        </w:tc>
        <w:tc>
          <w:tcPr>
            <w:tcW w:w="750" w:type="pct"/>
            <w:tcBorders>
              <w:top w:val="single" w:sz="4" w:space="0" w:color="auto"/>
              <w:left w:val="single" w:sz="4" w:space="0" w:color="auto"/>
              <w:bottom w:val="single" w:sz="4" w:space="0" w:color="auto"/>
              <w:right w:val="single" w:sz="4" w:space="0" w:color="auto"/>
            </w:tcBorders>
            <w:vAlign w:val="center"/>
          </w:tcPr>
          <w:p w14:paraId="3D19C25B" w14:textId="77777777" w:rsidR="00FB4D29" w:rsidRDefault="00CF4592">
            <w:pPr>
              <w:widowControl/>
              <w:snapToGrid w:val="0"/>
              <w:jc w:val="center"/>
              <w:rPr>
                <w:rFonts w:ascii="宋体" w:hAnsi="宋体"/>
                <w:color w:val="000000"/>
                <w:kern w:val="0"/>
                <w:sz w:val="25"/>
                <w:szCs w:val="24"/>
              </w:rPr>
            </w:pPr>
            <w:r>
              <w:rPr>
                <w:rFonts w:ascii="Times New Roman" w:hAnsi="Times New Roman"/>
                <w:color w:val="000000"/>
                <w:kern w:val="0"/>
                <w:sz w:val="25"/>
                <w:szCs w:val="24"/>
              </w:rPr>
              <w:t>300015</w:t>
            </w:r>
          </w:p>
        </w:tc>
        <w:tc>
          <w:tcPr>
            <w:tcW w:w="750" w:type="pct"/>
            <w:tcBorders>
              <w:top w:val="single" w:sz="4" w:space="0" w:color="auto"/>
              <w:left w:val="single" w:sz="4" w:space="0" w:color="auto"/>
              <w:bottom w:val="single" w:sz="4" w:space="0" w:color="auto"/>
              <w:right w:val="single" w:sz="4" w:space="0" w:color="auto"/>
            </w:tcBorders>
            <w:vAlign w:val="center"/>
          </w:tcPr>
          <w:p w14:paraId="204201EA" w14:textId="77777777" w:rsidR="00FB4D29" w:rsidRDefault="00CF4592">
            <w:pPr>
              <w:widowControl/>
              <w:snapToGrid w:val="0"/>
              <w:jc w:val="center"/>
              <w:rPr>
                <w:rFonts w:ascii="宋体" w:hAnsi="宋体"/>
                <w:color w:val="000000"/>
                <w:kern w:val="0"/>
                <w:sz w:val="25"/>
                <w:szCs w:val="24"/>
              </w:rPr>
            </w:pPr>
            <w:r>
              <w:rPr>
                <w:rFonts w:ascii="Times New Roman" w:hAnsi="Times New Roman"/>
                <w:color w:val="000000"/>
                <w:kern w:val="0"/>
                <w:sz w:val="25"/>
                <w:szCs w:val="24"/>
              </w:rPr>
              <w:t>爱尔眼科</w:t>
            </w:r>
          </w:p>
        </w:tc>
        <w:tc>
          <w:tcPr>
            <w:tcW w:w="750" w:type="pct"/>
            <w:tcBorders>
              <w:top w:val="single" w:sz="4" w:space="0" w:color="auto"/>
              <w:left w:val="single" w:sz="4" w:space="0" w:color="auto"/>
              <w:bottom w:val="single" w:sz="4" w:space="0" w:color="auto"/>
              <w:right w:val="single" w:sz="4" w:space="0" w:color="auto"/>
            </w:tcBorders>
            <w:vAlign w:val="center"/>
          </w:tcPr>
          <w:p w14:paraId="1F503438" w14:textId="77777777" w:rsidR="00FB4D29" w:rsidRDefault="00CF4592">
            <w:pPr>
              <w:widowControl/>
              <w:snapToGrid w:val="0"/>
              <w:jc w:val="right"/>
              <w:rPr>
                <w:rFonts w:ascii="宋体" w:hAnsi="宋体"/>
                <w:color w:val="000000"/>
                <w:kern w:val="0"/>
                <w:sz w:val="25"/>
                <w:szCs w:val="24"/>
              </w:rPr>
            </w:pPr>
            <w:r>
              <w:rPr>
                <w:rFonts w:ascii="Times New Roman" w:hAnsi="Times New Roman"/>
                <w:color w:val="000000"/>
                <w:kern w:val="0"/>
                <w:sz w:val="25"/>
                <w:szCs w:val="24"/>
              </w:rPr>
              <w:t>5,326,824</w:t>
            </w:r>
          </w:p>
        </w:tc>
        <w:tc>
          <w:tcPr>
            <w:tcW w:w="750" w:type="pct"/>
            <w:tcBorders>
              <w:top w:val="single" w:sz="4" w:space="0" w:color="auto"/>
              <w:left w:val="single" w:sz="4" w:space="0" w:color="auto"/>
              <w:bottom w:val="single" w:sz="4" w:space="0" w:color="auto"/>
              <w:right w:val="single" w:sz="4" w:space="0" w:color="auto"/>
            </w:tcBorders>
            <w:vAlign w:val="center"/>
          </w:tcPr>
          <w:p w14:paraId="62F00363" w14:textId="77777777" w:rsidR="00FB4D29" w:rsidRDefault="00CF4592">
            <w:pPr>
              <w:widowControl/>
              <w:snapToGrid w:val="0"/>
              <w:jc w:val="right"/>
              <w:rPr>
                <w:rFonts w:ascii="宋体" w:hAnsi="宋体"/>
                <w:color w:val="000000"/>
                <w:kern w:val="0"/>
                <w:sz w:val="25"/>
                <w:szCs w:val="24"/>
              </w:rPr>
            </w:pPr>
            <w:r>
              <w:rPr>
                <w:rFonts w:ascii="Times New Roman" w:hAnsi="Times New Roman"/>
                <w:color w:val="000000"/>
                <w:kern w:val="0"/>
                <w:sz w:val="25"/>
                <w:szCs w:val="24"/>
              </w:rPr>
              <w:t>168,061,297.20</w:t>
            </w:r>
          </w:p>
        </w:tc>
        <w:tc>
          <w:tcPr>
            <w:tcW w:w="750" w:type="pct"/>
            <w:tcBorders>
              <w:top w:val="single" w:sz="4" w:space="0" w:color="auto"/>
              <w:left w:val="single" w:sz="4" w:space="0" w:color="auto"/>
              <w:bottom w:val="single" w:sz="4" w:space="0" w:color="auto"/>
              <w:right w:val="single" w:sz="4" w:space="0" w:color="auto"/>
            </w:tcBorders>
            <w:vAlign w:val="center"/>
          </w:tcPr>
          <w:p w14:paraId="2CBECBE7" w14:textId="77777777" w:rsidR="00FB4D29" w:rsidRDefault="00CF4592">
            <w:pPr>
              <w:widowControl/>
              <w:snapToGrid w:val="0"/>
              <w:jc w:val="right"/>
              <w:rPr>
                <w:rFonts w:ascii="宋体" w:hAnsi="宋体"/>
                <w:color w:val="000000"/>
                <w:kern w:val="0"/>
                <w:sz w:val="25"/>
                <w:szCs w:val="24"/>
              </w:rPr>
            </w:pPr>
            <w:r>
              <w:rPr>
                <w:rFonts w:ascii="Times New Roman" w:hAnsi="Times New Roman"/>
                <w:color w:val="000000"/>
                <w:kern w:val="0"/>
                <w:sz w:val="25"/>
                <w:szCs w:val="24"/>
              </w:rPr>
              <w:t>5.96</w:t>
            </w:r>
          </w:p>
        </w:tc>
      </w:tr>
      <w:tr w:rsidR="00FB4D29" w14:paraId="120EA63C"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74CADB2E" w14:textId="77777777" w:rsidR="00FB4D29" w:rsidRDefault="00CF4592">
            <w:pPr>
              <w:widowControl/>
              <w:snapToGrid w:val="0"/>
              <w:jc w:val="center"/>
              <w:rPr>
                <w:rFonts w:ascii="宋体" w:hAnsi="宋体"/>
                <w:color w:val="000000"/>
                <w:kern w:val="0"/>
                <w:sz w:val="25"/>
                <w:szCs w:val="24"/>
              </w:rPr>
            </w:pPr>
            <w:r>
              <w:rPr>
                <w:rFonts w:ascii="Times New Roman" w:hAnsi="Times New Roman"/>
                <w:color w:val="000000"/>
                <w:kern w:val="0"/>
                <w:sz w:val="25"/>
                <w:szCs w:val="24"/>
              </w:rPr>
              <w:t>6</w:t>
            </w:r>
          </w:p>
        </w:tc>
        <w:tc>
          <w:tcPr>
            <w:tcW w:w="750" w:type="pct"/>
            <w:tcBorders>
              <w:top w:val="single" w:sz="4" w:space="0" w:color="auto"/>
              <w:left w:val="single" w:sz="4" w:space="0" w:color="auto"/>
              <w:bottom w:val="single" w:sz="4" w:space="0" w:color="auto"/>
              <w:right w:val="single" w:sz="4" w:space="0" w:color="auto"/>
            </w:tcBorders>
            <w:vAlign w:val="center"/>
          </w:tcPr>
          <w:p w14:paraId="25475B6A" w14:textId="77777777" w:rsidR="00FB4D29" w:rsidRDefault="00CF4592">
            <w:pPr>
              <w:widowControl/>
              <w:snapToGrid w:val="0"/>
              <w:jc w:val="center"/>
              <w:rPr>
                <w:rFonts w:ascii="宋体" w:hAnsi="宋体"/>
                <w:color w:val="000000"/>
                <w:kern w:val="0"/>
                <w:sz w:val="25"/>
                <w:szCs w:val="24"/>
              </w:rPr>
            </w:pPr>
            <w:r>
              <w:rPr>
                <w:rFonts w:ascii="Times New Roman" w:hAnsi="Times New Roman"/>
                <w:color w:val="000000"/>
                <w:kern w:val="0"/>
                <w:sz w:val="25"/>
                <w:szCs w:val="24"/>
              </w:rPr>
              <w:t>002812</w:t>
            </w:r>
          </w:p>
        </w:tc>
        <w:tc>
          <w:tcPr>
            <w:tcW w:w="750" w:type="pct"/>
            <w:tcBorders>
              <w:top w:val="single" w:sz="4" w:space="0" w:color="auto"/>
              <w:left w:val="single" w:sz="4" w:space="0" w:color="auto"/>
              <w:bottom w:val="single" w:sz="4" w:space="0" w:color="auto"/>
              <w:right w:val="single" w:sz="4" w:space="0" w:color="auto"/>
            </w:tcBorders>
            <w:vAlign w:val="center"/>
          </w:tcPr>
          <w:p w14:paraId="3D8AB3F8" w14:textId="77777777" w:rsidR="00FB4D29" w:rsidRDefault="00CF4592">
            <w:pPr>
              <w:widowControl/>
              <w:snapToGrid w:val="0"/>
              <w:jc w:val="center"/>
              <w:rPr>
                <w:rFonts w:ascii="宋体" w:hAnsi="宋体"/>
                <w:color w:val="000000"/>
                <w:kern w:val="0"/>
                <w:sz w:val="25"/>
                <w:szCs w:val="24"/>
              </w:rPr>
            </w:pPr>
            <w:r>
              <w:rPr>
                <w:rFonts w:ascii="Times New Roman" w:hAnsi="Times New Roman"/>
                <w:color w:val="000000"/>
                <w:kern w:val="0"/>
                <w:sz w:val="25"/>
                <w:szCs w:val="24"/>
              </w:rPr>
              <w:t>恩捷股份</w:t>
            </w:r>
          </w:p>
        </w:tc>
        <w:tc>
          <w:tcPr>
            <w:tcW w:w="750" w:type="pct"/>
            <w:tcBorders>
              <w:top w:val="single" w:sz="4" w:space="0" w:color="auto"/>
              <w:left w:val="single" w:sz="4" w:space="0" w:color="auto"/>
              <w:bottom w:val="single" w:sz="4" w:space="0" w:color="auto"/>
              <w:right w:val="single" w:sz="4" w:space="0" w:color="auto"/>
            </w:tcBorders>
            <w:vAlign w:val="center"/>
          </w:tcPr>
          <w:p w14:paraId="0D270F5B" w14:textId="77777777" w:rsidR="00FB4D29" w:rsidRDefault="00CF4592">
            <w:pPr>
              <w:widowControl/>
              <w:snapToGrid w:val="0"/>
              <w:jc w:val="right"/>
              <w:rPr>
                <w:rFonts w:ascii="宋体" w:hAnsi="宋体"/>
                <w:color w:val="000000"/>
                <w:kern w:val="0"/>
                <w:sz w:val="25"/>
                <w:szCs w:val="24"/>
              </w:rPr>
            </w:pPr>
            <w:r>
              <w:rPr>
                <w:rFonts w:ascii="Times New Roman" w:hAnsi="Times New Roman"/>
                <w:color w:val="000000"/>
                <w:kern w:val="0"/>
                <w:sz w:val="25"/>
                <w:szCs w:val="24"/>
              </w:rPr>
              <w:t>669,513</w:t>
            </w:r>
          </w:p>
        </w:tc>
        <w:tc>
          <w:tcPr>
            <w:tcW w:w="750" w:type="pct"/>
            <w:tcBorders>
              <w:top w:val="single" w:sz="4" w:space="0" w:color="auto"/>
              <w:left w:val="single" w:sz="4" w:space="0" w:color="auto"/>
              <w:bottom w:val="single" w:sz="4" w:space="0" w:color="auto"/>
              <w:right w:val="single" w:sz="4" w:space="0" w:color="auto"/>
            </w:tcBorders>
            <w:vAlign w:val="center"/>
          </w:tcPr>
          <w:p w14:paraId="2E84DCDE" w14:textId="77777777" w:rsidR="00FB4D29" w:rsidRDefault="00CF4592">
            <w:pPr>
              <w:widowControl/>
              <w:snapToGrid w:val="0"/>
              <w:jc w:val="right"/>
              <w:rPr>
                <w:rFonts w:ascii="宋体" w:hAnsi="宋体"/>
                <w:color w:val="000000"/>
                <w:kern w:val="0"/>
                <w:sz w:val="25"/>
                <w:szCs w:val="24"/>
              </w:rPr>
            </w:pPr>
            <w:r>
              <w:rPr>
                <w:rFonts w:ascii="Times New Roman" w:hAnsi="Times New Roman"/>
                <w:color w:val="000000"/>
                <w:kern w:val="0"/>
                <w:sz w:val="25"/>
                <w:szCs w:val="24"/>
              </w:rPr>
              <w:t>147,292,860.00</w:t>
            </w:r>
          </w:p>
        </w:tc>
        <w:tc>
          <w:tcPr>
            <w:tcW w:w="750" w:type="pct"/>
            <w:tcBorders>
              <w:top w:val="single" w:sz="4" w:space="0" w:color="auto"/>
              <w:left w:val="single" w:sz="4" w:space="0" w:color="auto"/>
              <w:bottom w:val="single" w:sz="4" w:space="0" w:color="auto"/>
              <w:right w:val="single" w:sz="4" w:space="0" w:color="auto"/>
            </w:tcBorders>
            <w:vAlign w:val="center"/>
          </w:tcPr>
          <w:p w14:paraId="3A19FD13" w14:textId="77777777" w:rsidR="00FB4D29" w:rsidRDefault="00CF4592">
            <w:pPr>
              <w:widowControl/>
              <w:snapToGrid w:val="0"/>
              <w:jc w:val="right"/>
              <w:rPr>
                <w:rFonts w:ascii="宋体" w:hAnsi="宋体"/>
                <w:color w:val="000000"/>
                <w:kern w:val="0"/>
                <w:sz w:val="25"/>
                <w:szCs w:val="24"/>
              </w:rPr>
            </w:pPr>
            <w:r>
              <w:rPr>
                <w:rFonts w:ascii="Times New Roman" w:hAnsi="Times New Roman"/>
                <w:color w:val="000000"/>
                <w:kern w:val="0"/>
                <w:sz w:val="25"/>
                <w:szCs w:val="24"/>
              </w:rPr>
              <w:t>5.23</w:t>
            </w:r>
          </w:p>
        </w:tc>
      </w:tr>
      <w:tr w:rsidR="00FB4D29" w14:paraId="30C5273B"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570C0797" w14:textId="77777777" w:rsidR="00FB4D29" w:rsidRDefault="00CF4592">
            <w:pPr>
              <w:widowControl/>
              <w:snapToGrid w:val="0"/>
              <w:jc w:val="center"/>
              <w:rPr>
                <w:rFonts w:ascii="宋体" w:hAnsi="宋体"/>
                <w:color w:val="000000"/>
                <w:kern w:val="0"/>
                <w:sz w:val="25"/>
                <w:szCs w:val="24"/>
              </w:rPr>
            </w:pPr>
            <w:r>
              <w:rPr>
                <w:rFonts w:ascii="Times New Roman" w:hAnsi="Times New Roman"/>
                <w:color w:val="000000"/>
                <w:kern w:val="0"/>
                <w:sz w:val="25"/>
                <w:szCs w:val="24"/>
              </w:rPr>
              <w:t>7</w:t>
            </w:r>
          </w:p>
        </w:tc>
        <w:tc>
          <w:tcPr>
            <w:tcW w:w="750" w:type="pct"/>
            <w:tcBorders>
              <w:top w:val="single" w:sz="4" w:space="0" w:color="auto"/>
              <w:left w:val="single" w:sz="4" w:space="0" w:color="auto"/>
              <w:bottom w:val="single" w:sz="4" w:space="0" w:color="auto"/>
              <w:right w:val="single" w:sz="4" w:space="0" w:color="auto"/>
            </w:tcBorders>
            <w:vAlign w:val="center"/>
          </w:tcPr>
          <w:p w14:paraId="038C03C0" w14:textId="77777777" w:rsidR="00FB4D29" w:rsidRDefault="00CF4592">
            <w:pPr>
              <w:widowControl/>
              <w:snapToGrid w:val="0"/>
              <w:jc w:val="center"/>
              <w:rPr>
                <w:rFonts w:ascii="宋体" w:hAnsi="宋体"/>
                <w:color w:val="000000"/>
                <w:kern w:val="0"/>
                <w:sz w:val="25"/>
                <w:szCs w:val="24"/>
              </w:rPr>
            </w:pPr>
            <w:r>
              <w:rPr>
                <w:rFonts w:ascii="Times New Roman" w:hAnsi="Times New Roman"/>
                <w:color w:val="000000"/>
                <w:kern w:val="0"/>
                <w:sz w:val="25"/>
                <w:szCs w:val="24"/>
              </w:rPr>
              <w:t>001979</w:t>
            </w:r>
          </w:p>
        </w:tc>
        <w:tc>
          <w:tcPr>
            <w:tcW w:w="750" w:type="pct"/>
            <w:tcBorders>
              <w:top w:val="single" w:sz="4" w:space="0" w:color="auto"/>
              <w:left w:val="single" w:sz="4" w:space="0" w:color="auto"/>
              <w:bottom w:val="single" w:sz="4" w:space="0" w:color="auto"/>
              <w:right w:val="single" w:sz="4" w:space="0" w:color="auto"/>
            </w:tcBorders>
            <w:vAlign w:val="center"/>
          </w:tcPr>
          <w:p w14:paraId="2D7892B3" w14:textId="77777777" w:rsidR="00FB4D29" w:rsidRDefault="00CF4592">
            <w:pPr>
              <w:widowControl/>
              <w:snapToGrid w:val="0"/>
              <w:jc w:val="center"/>
              <w:rPr>
                <w:rFonts w:ascii="宋体" w:hAnsi="宋体"/>
                <w:color w:val="000000"/>
                <w:kern w:val="0"/>
                <w:sz w:val="25"/>
                <w:szCs w:val="24"/>
              </w:rPr>
            </w:pPr>
            <w:r>
              <w:rPr>
                <w:rFonts w:ascii="Times New Roman" w:hAnsi="Times New Roman"/>
                <w:color w:val="000000"/>
                <w:kern w:val="0"/>
                <w:sz w:val="25"/>
                <w:szCs w:val="24"/>
              </w:rPr>
              <w:t>招商蛇口</w:t>
            </w:r>
          </w:p>
        </w:tc>
        <w:tc>
          <w:tcPr>
            <w:tcW w:w="750" w:type="pct"/>
            <w:tcBorders>
              <w:top w:val="single" w:sz="4" w:space="0" w:color="auto"/>
              <w:left w:val="single" w:sz="4" w:space="0" w:color="auto"/>
              <w:bottom w:val="single" w:sz="4" w:space="0" w:color="auto"/>
              <w:right w:val="single" w:sz="4" w:space="0" w:color="auto"/>
            </w:tcBorders>
            <w:vAlign w:val="center"/>
          </w:tcPr>
          <w:p w14:paraId="05A0AE7A" w14:textId="77777777" w:rsidR="00FB4D29" w:rsidRDefault="00CF4592">
            <w:pPr>
              <w:widowControl/>
              <w:snapToGrid w:val="0"/>
              <w:jc w:val="right"/>
              <w:rPr>
                <w:rFonts w:ascii="宋体" w:hAnsi="宋体"/>
                <w:color w:val="000000"/>
                <w:kern w:val="0"/>
                <w:sz w:val="25"/>
                <w:szCs w:val="24"/>
              </w:rPr>
            </w:pPr>
            <w:r>
              <w:rPr>
                <w:rFonts w:ascii="Times New Roman" w:hAnsi="Times New Roman"/>
                <w:color w:val="000000"/>
                <w:kern w:val="0"/>
                <w:sz w:val="25"/>
                <w:szCs w:val="24"/>
              </w:rPr>
              <w:t>8,391,714</w:t>
            </w:r>
          </w:p>
        </w:tc>
        <w:tc>
          <w:tcPr>
            <w:tcW w:w="750" w:type="pct"/>
            <w:tcBorders>
              <w:top w:val="single" w:sz="4" w:space="0" w:color="auto"/>
              <w:left w:val="single" w:sz="4" w:space="0" w:color="auto"/>
              <w:bottom w:val="single" w:sz="4" w:space="0" w:color="auto"/>
              <w:right w:val="single" w:sz="4" w:space="0" w:color="auto"/>
            </w:tcBorders>
            <w:vAlign w:val="center"/>
          </w:tcPr>
          <w:p w14:paraId="005242CF" w14:textId="77777777" w:rsidR="00FB4D29" w:rsidRDefault="00CF4592">
            <w:pPr>
              <w:widowControl/>
              <w:snapToGrid w:val="0"/>
              <w:jc w:val="right"/>
              <w:rPr>
                <w:rFonts w:ascii="宋体" w:hAnsi="宋体"/>
                <w:color w:val="000000"/>
                <w:kern w:val="0"/>
                <w:sz w:val="25"/>
                <w:szCs w:val="24"/>
              </w:rPr>
            </w:pPr>
            <w:r>
              <w:rPr>
                <w:rFonts w:ascii="Times New Roman" w:hAnsi="Times New Roman"/>
                <w:color w:val="000000"/>
                <w:kern w:val="0"/>
                <w:sz w:val="25"/>
                <w:szCs w:val="24"/>
              </w:rPr>
              <w:t>127,218,384.24</w:t>
            </w:r>
          </w:p>
        </w:tc>
        <w:tc>
          <w:tcPr>
            <w:tcW w:w="750" w:type="pct"/>
            <w:tcBorders>
              <w:top w:val="single" w:sz="4" w:space="0" w:color="auto"/>
              <w:left w:val="single" w:sz="4" w:space="0" w:color="auto"/>
              <w:bottom w:val="single" w:sz="4" w:space="0" w:color="auto"/>
              <w:right w:val="single" w:sz="4" w:space="0" w:color="auto"/>
            </w:tcBorders>
            <w:vAlign w:val="center"/>
          </w:tcPr>
          <w:p w14:paraId="6ED9B36C" w14:textId="77777777" w:rsidR="00FB4D29" w:rsidRDefault="00CF4592">
            <w:pPr>
              <w:widowControl/>
              <w:snapToGrid w:val="0"/>
              <w:jc w:val="right"/>
              <w:rPr>
                <w:rFonts w:ascii="宋体" w:hAnsi="宋体"/>
                <w:color w:val="000000"/>
                <w:kern w:val="0"/>
                <w:sz w:val="25"/>
                <w:szCs w:val="24"/>
              </w:rPr>
            </w:pPr>
            <w:r>
              <w:rPr>
                <w:rFonts w:ascii="Times New Roman" w:hAnsi="Times New Roman"/>
                <w:color w:val="000000"/>
                <w:kern w:val="0"/>
                <w:sz w:val="25"/>
                <w:szCs w:val="24"/>
              </w:rPr>
              <w:t>4.52</w:t>
            </w:r>
          </w:p>
        </w:tc>
      </w:tr>
      <w:tr w:rsidR="00FB4D29" w14:paraId="280C32DC"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167EC100" w14:textId="77777777" w:rsidR="00FB4D29" w:rsidRDefault="00CF4592">
            <w:pPr>
              <w:widowControl/>
              <w:snapToGrid w:val="0"/>
              <w:jc w:val="center"/>
              <w:rPr>
                <w:rFonts w:ascii="宋体" w:hAnsi="宋体"/>
                <w:color w:val="000000"/>
                <w:kern w:val="0"/>
                <w:sz w:val="25"/>
                <w:szCs w:val="24"/>
              </w:rPr>
            </w:pPr>
            <w:r>
              <w:rPr>
                <w:rFonts w:ascii="Times New Roman" w:hAnsi="Times New Roman"/>
                <w:color w:val="000000"/>
                <w:kern w:val="0"/>
                <w:sz w:val="25"/>
                <w:szCs w:val="24"/>
              </w:rPr>
              <w:t>8</w:t>
            </w:r>
          </w:p>
        </w:tc>
        <w:tc>
          <w:tcPr>
            <w:tcW w:w="750" w:type="pct"/>
            <w:tcBorders>
              <w:top w:val="single" w:sz="4" w:space="0" w:color="auto"/>
              <w:left w:val="single" w:sz="4" w:space="0" w:color="auto"/>
              <w:bottom w:val="single" w:sz="4" w:space="0" w:color="auto"/>
              <w:right w:val="single" w:sz="4" w:space="0" w:color="auto"/>
            </w:tcBorders>
            <w:vAlign w:val="center"/>
          </w:tcPr>
          <w:p w14:paraId="17BEEA2E" w14:textId="77777777" w:rsidR="00FB4D29" w:rsidRDefault="00CF4592">
            <w:pPr>
              <w:widowControl/>
              <w:snapToGrid w:val="0"/>
              <w:jc w:val="center"/>
              <w:rPr>
                <w:rFonts w:ascii="宋体" w:hAnsi="宋体"/>
                <w:color w:val="000000"/>
                <w:kern w:val="0"/>
                <w:sz w:val="25"/>
                <w:szCs w:val="24"/>
              </w:rPr>
            </w:pPr>
            <w:r>
              <w:rPr>
                <w:rFonts w:ascii="Times New Roman" w:hAnsi="Times New Roman"/>
                <w:color w:val="000000"/>
                <w:kern w:val="0"/>
                <w:sz w:val="25"/>
                <w:szCs w:val="24"/>
              </w:rPr>
              <w:t>000661</w:t>
            </w:r>
          </w:p>
        </w:tc>
        <w:tc>
          <w:tcPr>
            <w:tcW w:w="750" w:type="pct"/>
            <w:tcBorders>
              <w:top w:val="single" w:sz="4" w:space="0" w:color="auto"/>
              <w:left w:val="single" w:sz="4" w:space="0" w:color="auto"/>
              <w:bottom w:val="single" w:sz="4" w:space="0" w:color="auto"/>
              <w:right w:val="single" w:sz="4" w:space="0" w:color="auto"/>
            </w:tcBorders>
            <w:vAlign w:val="center"/>
          </w:tcPr>
          <w:p w14:paraId="122A9DA3" w14:textId="77777777" w:rsidR="00FB4D29" w:rsidRDefault="00CF4592">
            <w:pPr>
              <w:widowControl/>
              <w:snapToGrid w:val="0"/>
              <w:jc w:val="center"/>
              <w:rPr>
                <w:rFonts w:ascii="宋体" w:hAnsi="宋体"/>
                <w:color w:val="000000"/>
                <w:kern w:val="0"/>
                <w:sz w:val="25"/>
                <w:szCs w:val="24"/>
              </w:rPr>
            </w:pPr>
            <w:r>
              <w:rPr>
                <w:rFonts w:ascii="Times New Roman" w:hAnsi="Times New Roman"/>
                <w:color w:val="000000"/>
                <w:kern w:val="0"/>
                <w:sz w:val="25"/>
                <w:szCs w:val="24"/>
              </w:rPr>
              <w:t>长春高新</w:t>
            </w:r>
          </w:p>
        </w:tc>
        <w:tc>
          <w:tcPr>
            <w:tcW w:w="750" w:type="pct"/>
            <w:tcBorders>
              <w:top w:val="single" w:sz="4" w:space="0" w:color="auto"/>
              <w:left w:val="single" w:sz="4" w:space="0" w:color="auto"/>
              <w:bottom w:val="single" w:sz="4" w:space="0" w:color="auto"/>
              <w:right w:val="single" w:sz="4" w:space="0" w:color="auto"/>
            </w:tcBorders>
            <w:vAlign w:val="center"/>
          </w:tcPr>
          <w:p w14:paraId="07EE2F2A" w14:textId="77777777" w:rsidR="00FB4D29" w:rsidRDefault="00CF4592">
            <w:pPr>
              <w:widowControl/>
              <w:snapToGrid w:val="0"/>
              <w:jc w:val="right"/>
              <w:rPr>
                <w:rFonts w:ascii="宋体" w:hAnsi="宋体"/>
                <w:color w:val="000000"/>
                <w:kern w:val="0"/>
                <w:sz w:val="25"/>
                <w:szCs w:val="24"/>
              </w:rPr>
            </w:pPr>
            <w:r>
              <w:rPr>
                <w:rFonts w:ascii="Times New Roman" w:hAnsi="Times New Roman"/>
                <w:color w:val="000000"/>
                <w:kern w:val="0"/>
                <w:sz w:val="25"/>
                <w:szCs w:val="24"/>
              </w:rPr>
              <w:t>731,669</w:t>
            </w:r>
          </w:p>
        </w:tc>
        <w:tc>
          <w:tcPr>
            <w:tcW w:w="750" w:type="pct"/>
            <w:tcBorders>
              <w:top w:val="single" w:sz="4" w:space="0" w:color="auto"/>
              <w:left w:val="single" w:sz="4" w:space="0" w:color="auto"/>
              <w:bottom w:val="single" w:sz="4" w:space="0" w:color="auto"/>
              <w:right w:val="single" w:sz="4" w:space="0" w:color="auto"/>
            </w:tcBorders>
            <w:vAlign w:val="center"/>
          </w:tcPr>
          <w:p w14:paraId="57941388" w14:textId="77777777" w:rsidR="00FB4D29" w:rsidRDefault="00CF4592">
            <w:pPr>
              <w:widowControl/>
              <w:snapToGrid w:val="0"/>
              <w:jc w:val="right"/>
              <w:rPr>
                <w:rFonts w:ascii="宋体" w:hAnsi="宋体"/>
                <w:color w:val="000000"/>
                <w:kern w:val="0"/>
                <w:sz w:val="25"/>
                <w:szCs w:val="24"/>
              </w:rPr>
            </w:pPr>
            <w:r>
              <w:rPr>
                <w:rFonts w:ascii="Times New Roman" w:hAnsi="Times New Roman"/>
                <w:color w:val="000000"/>
                <w:kern w:val="0"/>
                <w:sz w:val="25"/>
                <w:szCs w:val="24"/>
              </w:rPr>
              <w:t>122,810,641.65</w:t>
            </w:r>
          </w:p>
        </w:tc>
        <w:tc>
          <w:tcPr>
            <w:tcW w:w="750" w:type="pct"/>
            <w:tcBorders>
              <w:top w:val="single" w:sz="4" w:space="0" w:color="auto"/>
              <w:left w:val="single" w:sz="4" w:space="0" w:color="auto"/>
              <w:bottom w:val="single" w:sz="4" w:space="0" w:color="auto"/>
              <w:right w:val="single" w:sz="4" w:space="0" w:color="auto"/>
            </w:tcBorders>
            <w:vAlign w:val="center"/>
          </w:tcPr>
          <w:p w14:paraId="66BE27DD" w14:textId="77777777" w:rsidR="00FB4D29" w:rsidRDefault="00CF4592">
            <w:pPr>
              <w:widowControl/>
              <w:snapToGrid w:val="0"/>
              <w:jc w:val="right"/>
              <w:rPr>
                <w:rFonts w:ascii="宋体" w:hAnsi="宋体"/>
                <w:color w:val="000000"/>
                <w:kern w:val="0"/>
                <w:sz w:val="25"/>
                <w:szCs w:val="24"/>
              </w:rPr>
            </w:pPr>
            <w:r>
              <w:rPr>
                <w:rFonts w:ascii="Times New Roman" w:hAnsi="Times New Roman"/>
                <w:color w:val="000000"/>
                <w:kern w:val="0"/>
                <w:sz w:val="25"/>
                <w:szCs w:val="24"/>
              </w:rPr>
              <w:t>4.36</w:t>
            </w:r>
          </w:p>
        </w:tc>
      </w:tr>
      <w:tr w:rsidR="00FB4D29" w14:paraId="2B42A041"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7707F923" w14:textId="77777777" w:rsidR="00FB4D29" w:rsidRDefault="00CF4592">
            <w:pPr>
              <w:widowControl/>
              <w:snapToGrid w:val="0"/>
              <w:jc w:val="center"/>
              <w:rPr>
                <w:rFonts w:ascii="宋体" w:hAnsi="宋体"/>
                <w:color w:val="000000"/>
                <w:kern w:val="0"/>
                <w:sz w:val="25"/>
                <w:szCs w:val="24"/>
              </w:rPr>
            </w:pPr>
            <w:r>
              <w:rPr>
                <w:rFonts w:ascii="Times New Roman" w:hAnsi="Times New Roman"/>
                <w:color w:val="000000"/>
                <w:kern w:val="0"/>
                <w:sz w:val="25"/>
                <w:szCs w:val="24"/>
              </w:rPr>
              <w:t>9</w:t>
            </w:r>
          </w:p>
        </w:tc>
        <w:tc>
          <w:tcPr>
            <w:tcW w:w="750" w:type="pct"/>
            <w:tcBorders>
              <w:top w:val="single" w:sz="4" w:space="0" w:color="auto"/>
              <w:left w:val="single" w:sz="4" w:space="0" w:color="auto"/>
              <w:bottom w:val="single" w:sz="4" w:space="0" w:color="auto"/>
              <w:right w:val="single" w:sz="4" w:space="0" w:color="auto"/>
            </w:tcBorders>
            <w:vAlign w:val="center"/>
          </w:tcPr>
          <w:p w14:paraId="07ED9E0B" w14:textId="77777777" w:rsidR="00FB4D29" w:rsidRDefault="00CF4592">
            <w:pPr>
              <w:widowControl/>
              <w:snapToGrid w:val="0"/>
              <w:jc w:val="center"/>
              <w:rPr>
                <w:rFonts w:ascii="宋体" w:hAnsi="宋体"/>
                <w:color w:val="000000"/>
                <w:kern w:val="0"/>
                <w:sz w:val="25"/>
                <w:szCs w:val="24"/>
              </w:rPr>
            </w:pPr>
            <w:r>
              <w:rPr>
                <w:rFonts w:ascii="Times New Roman" w:hAnsi="Times New Roman"/>
                <w:color w:val="000000"/>
                <w:kern w:val="0"/>
                <w:sz w:val="25"/>
                <w:szCs w:val="24"/>
              </w:rPr>
              <w:t>688357</w:t>
            </w:r>
          </w:p>
        </w:tc>
        <w:tc>
          <w:tcPr>
            <w:tcW w:w="750" w:type="pct"/>
            <w:tcBorders>
              <w:top w:val="single" w:sz="4" w:space="0" w:color="auto"/>
              <w:left w:val="single" w:sz="4" w:space="0" w:color="auto"/>
              <w:bottom w:val="single" w:sz="4" w:space="0" w:color="auto"/>
              <w:right w:val="single" w:sz="4" w:space="0" w:color="auto"/>
            </w:tcBorders>
            <w:vAlign w:val="center"/>
          </w:tcPr>
          <w:p w14:paraId="41D4B5E2" w14:textId="77777777" w:rsidR="00FB4D29" w:rsidRDefault="00CF4592">
            <w:pPr>
              <w:widowControl/>
              <w:snapToGrid w:val="0"/>
              <w:jc w:val="center"/>
              <w:rPr>
                <w:rFonts w:ascii="宋体" w:hAnsi="宋体"/>
                <w:color w:val="000000"/>
                <w:kern w:val="0"/>
                <w:sz w:val="25"/>
                <w:szCs w:val="24"/>
              </w:rPr>
            </w:pPr>
            <w:r>
              <w:rPr>
                <w:rFonts w:ascii="Times New Roman" w:hAnsi="Times New Roman"/>
                <w:color w:val="000000"/>
                <w:kern w:val="0"/>
                <w:sz w:val="25"/>
                <w:szCs w:val="24"/>
              </w:rPr>
              <w:t>建龙微纳</w:t>
            </w:r>
          </w:p>
        </w:tc>
        <w:tc>
          <w:tcPr>
            <w:tcW w:w="750" w:type="pct"/>
            <w:tcBorders>
              <w:top w:val="single" w:sz="4" w:space="0" w:color="auto"/>
              <w:left w:val="single" w:sz="4" w:space="0" w:color="auto"/>
              <w:bottom w:val="single" w:sz="4" w:space="0" w:color="auto"/>
              <w:right w:val="single" w:sz="4" w:space="0" w:color="auto"/>
            </w:tcBorders>
            <w:vAlign w:val="center"/>
          </w:tcPr>
          <w:p w14:paraId="1852672F" w14:textId="77777777" w:rsidR="00FB4D29" w:rsidRDefault="00CF4592">
            <w:pPr>
              <w:widowControl/>
              <w:snapToGrid w:val="0"/>
              <w:jc w:val="right"/>
              <w:rPr>
                <w:rFonts w:ascii="宋体" w:hAnsi="宋体"/>
                <w:color w:val="000000"/>
                <w:kern w:val="0"/>
                <w:sz w:val="25"/>
                <w:szCs w:val="24"/>
              </w:rPr>
            </w:pPr>
            <w:r>
              <w:rPr>
                <w:rFonts w:ascii="Times New Roman" w:hAnsi="Times New Roman"/>
                <w:color w:val="000000"/>
                <w:kern w:val="0"/>
                <w:sz w:val="25"/>
                <w:szCs w:val="24"/>
              </w:rPr>
              <w:t>815,649</w:t>
            </w:r>
          </w:p>
        </w:tc>
        <w:tc>
          <w:tcPr>
            <w:tcW w:w="750" w:type="pct"/>
            <w:tcBorders>
              <w:top w:val="single" w:sz="4" w:space="0" w:color="auto"/>
              <w:left w:val="single" w:sz="4" w:space="0" w:color="auto"/>
              <w:bottom w:val="single" w:sz="4" w:space="0" w:color="auto"/>
              <w:right w:val="single" w:sz="4" w:space="0" w:color="auto"/>
            </w:tcBorders>
            <w:vAlign w:val="center"/>
          </w:tcPr>
          <w:p w14:paraId="2C4D45E0" w14:textId="77777777" w:rsidR="00FB4D29" w:rsidRDefault="00CF4592">
            <w:pPr>
              <w:widowControl/>
              <w:snapToGrid w:val="0"/>
              <w:jc w:val="right"/>
              <w:rPr>
                <w:rFonts w:ascii="宋体" w:hAnsi="宋体"/>
                <w:color w:val="000000"/>
                <w:kern w:val="0"/>
                <w:sz w:val="25"/>
                <w:szCs w:val="24"/>
              </w:rPr>
            </w:pPr>
            <w:r>
              <w:rPr>
                <w:rFonts w:ascii="Times New Roman" w:hAnsi="Times New Roman"/>
                <w:color w:val="000000"/>
                <w:kern w:val="0"/>
                <w:sz w:val="25"/>
                <w:szCs w:val="24"/>
              </w:rPr>
              <w:t>100,406,391.90</w:t>
            </w:r>
          </w:p>
        </w:tc>
        <w:tc>
          <w:tcPr>
            <w:tcW w:w="750" w:type="pct"/>
            <w:tcBorders>
              <w:top w:val="single" w:sz="4" w:space="0" w:color="auto"/>
              <w:left w:val="single" w:sz="4" w:space="0" w:color="auto"/>
              <w:bottom w:val="single" w:sz="4" w:space="0" w:color="auto"/>
              <w:right w:val="single" w:sz="4" w:space="0" w:color="auto"/>
            </w:tcBorders>
            <w:vAlign w:val="center"/>
          </w:tcPr>
          <w:p w14:paraId="2B7E6703" w14:textId="77777777" w:rsidR="00FB4D29" w:rsidRDefault="00CF4592">
            <w:pPr>
              <w:widowControl/>
              <w:snapToGrid w:val="0"/>
              <w:jc w:val="right"/>
              <w:rPr>
                <w:rFonts w:ascii="宋体" w:hAnsi="宋体"/>
                <w:color w:val="000000"/>
                <w:kern w:val="0"/>
                <w:sz w:val="25"/>
                <w:szCs w:val="24"/>
              </w:rPr>
            </w:pPr>
            <w:r>
              <w:rPr>
                <w:rFonts w:ascii="Times New Roman" w:hAnsi="Times New Roman"/>
                <w:color w:val="000000"/>
                <w:kern w:val="0"/>
                <w:sz w:val="25"/>
                <w:szCs w:val="24"/>
              </w:rPr>
              <w:t>3.56</w:t>
            </w:r>
          </w:p>
        </w:tc>
      </w:tr>
      <w:tr w:rsidR="00FB4D29" w14:paraId="5918AC45"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360AA000" w14:textId="77777777" w:rsidR="00FB4D29" w:rsidRDefault="00CF4592">
            <w:pPr>
              <w:widowControl/>
              <w:snapToGrid w:val="0"/>
              <w:jc w:val="center"/>
              <w:rPr>
                <w:rFonts w:ascii="宋体" w:hAnsi="宋体"/>
                <w:color w:val="000000"/>
                <w:kern w:val="0"/>
                <w:sz w:val="25"/>
                <w:szCs w:val="24"/>
              </w:rPr>
            </w:pPr>
            <w:r>
              <w:rPr>
                <w:rFonts w:ascii="Times New Roman" w:hAnsi="Times New Roman"/>
                <w:color w:val="000000"/>
                <w:kern w:val="0"/>
                <w:sz w:val="25"/>
                <w:szCs w:val="24"/>
              </w:rPr>
              <w:t>10</w:t>
            </w:r>
          </w:p>
        </w:tc>
        <w:tc>
          <w:tcPr>
            <w:tcW w:w="750" w:type="pct"/>
            <w:tcBorders>
              <w:top w:val="single" w:sz="4" w:space="0" w:color="auto"/>
              <w:left w:val="single" w:sz="4" w:space="0" w:color="auto"/>
              <w:bottom w:val="single" w:sz="4" w:space="0" w:color="auto"/>
              <w:right w:val="single" w:sz="4" w:space="0" w:color="auto"/>
            </w:tcBorders>
            <w:vAlign w:val="center"/>
          </w:tcPr>
          <w:p w14:paraId="50A8F74A" w14:textId="77777777" w:rsidR="00FB4D29" w:rsidRDefault="00CF4592">
            <w:pPr>
              <w:widowControl/>
              <w:snapToGrid w:val="0"/>
              <w:jc w:val="center"/>
              <w:rPr>
                <w:rFonts w:ascii="宋体" w:hAnsi="宋体"/>
                <w:color w:val="000000"/>
                <w:kern w:val="0"/>
                <w:sz w:val="25"/>
                <w:szCs w:val="24"/>
              </w:rPr>
            </w:pPr>
            <w:r>
              <w:rPr>
                <w:rFonts w:ascii="Times New Roman" w:hAnsi="Times New Roman"/>
                <w:color w:val="000000"/>
                <w:kern w:val="0"/>
                <w:sz w:val="25"/>
                <w:szCs w:val="24"/>
              </w:rPr>
              <w:t>002050</w:t>
            </w:r>
          </w:p>
        </w:tc>
        <w:tc>
          <w:tcPr>
            <w:tcW w:w="750" w:type="pct"/>
            <w:tcBorders>
              <w:top w:val="single" w:sz="4" w:space="0" w:color="auto"/>
              <w:left w:val="single" w:sz="4" w:space="0" w:color="auto"/>
              <w:bottom w:val="single" w:sz="4" w:space="0" w:color="auto"/>
              <w:right w:val="single" w:sz="4" w:space="0" w:color="auto"/>
            </w:tcBorders>
            <w:vAlign w:val="center"/>
          </w:tcPr>
          <w:p w14:paraId="7D23C32C" w14:textId="77777777" w:rsidR="00FB4D29" w:rsidRDefault="00CF4592">
            <w:pPr>
              <w:widowControl/>
              <w:snapToGrid w:val="0"/>
              <w:jc w:val="center"/>
              <w:rPr>
                <w:rFonts w:ascii="宋体" w:hAnsi="宋体"/>
                <w:color w:val="000000"/>
                <w:kern w:val="0"/>
                <w:sz w:val="25"/>
                <w:szCs w:val="24"/>
              </w:rPr>
            </w:pPr>
            <w:r>
              <w:rPr>
                <w:rFonts w:ascii="Times New Roman" w:hAnsi="Times New Roman"/>
                <w:color w:val="000000"/>
                <w:kern w:val="0"/>
                <w:sz w:val="25"/>
                <w:szCs w:val="24"/>
              </w:rPr>
              <w:t>三花智控</w:t>
            </w:r>
          </w:p>
        </w:tc>
        <w:tc>
          <w:tcPr>
            <w:tcW w:w="750" w:type="pct"/>
            <w:tcBorders>
              <w:top w:val="single" w:sz="4" w:space="0" w:color="auto"/>
              <w:left w:val="single" w:sz="4" w:space="0" w:color="auto"/>
              <w:bottom w:val="single" w:sz="4" w:space="0" w:color="auto"/>
              <w:right w:val="single" w:sz="4" w:space="0" w:color="auto"/>
            </w:tcBorders>
            <w:vAlign w:val="center"/>
          </w:tcPr>
          <w:p w14:paraId="60036166" w14:textId="77777777" w:rsidR="00FB4D29" w:rsidRDefault="00CF4592">
            <w:pPr>
              <w:widowControl/>
              <w:snapToGrid w:val="0"/>
              <w:jc w:val="right"/>
              <w:rPr>
                <w:rFonts w:ascii="宋体" w:hAnsi="宋体"/>
                <w:color w:val="000000"/>
                <w:kern w:val="0"/>
                <w:sz w:val="25"/>
                <w:szCs w:val="24"/>
              </w:rPr>
            </w:pPr>
            <w:r>
              <w:rPr>
                <w:rFonts w:ascii="Times New Roman" w:hAnsi="Times New Roman"/>
                <w:color w:val="000000"/>
                <w:kern w:val="0"/>
                <w:sz w:val="25"/>
                <w:szCs w:val="24"/>
              </w:rPr>
              <w:t>5,815,147</w:t>
            </w:r>
          </w:p>
        </w:tc>
        <w:tc>
          <w:tcPr>
            <w:tcW w:w="750" w:type="pct"/>
            <w:tcBorders>
              <w:top w:val="single" w:sz="4" w:space="0" w:color="auto"/>
              <w:left w:val="single" w:sz="4" w:space="0" w:color="auto"/>
              <w:bottom w:val="single" w:sz="4" w:space="0" w:color="auto"/>
              <w:right w:val="single" w:sz="4" w:space="0" w:color="auto"/>
            </w:tcBorders>
            <w:vAlign w:val="center"/>
          </w:tcPr>
          <w:p w14:paraId="7CBC6DFA" w14:textId="77777777" w:rsidR="00FB4D29" w:rsidRDefault="00CF4592">
            <w:pPr>
              <w:widowControl/>
              <w:snapToGrid w:val="0"/>
              <w:jc w:val="right"/>
              <w:rPr>
                <w:rFonts w:ascii="宋体" w:hAnsi="宋体"/>
                <w:color w:val="000000"/>
                <w:kern w:val="0"/>
                <w:sz w:val="25"/>
                <w:szCs w:val="24"/>
              </w:rPr>
            </w:pPr>
            <w:r>
              <w:rPr>
                <w:rFonts w:ascii="Times New Roman" w:hAnsi="Times New Roman"/>
                <w:color w:val="000000"/>
                <w:kern w:val="0"/>
                <w:sz w:val="25"/>
                <w:szCs w:val="24"/>
              </w:rPr>
              <w:t>96,647,743.14</w:t>
            </w:r>
          </w:p>
        </w:tc>
        <w:tc>
          <w:tcPr>
            <w:tcW w:w="750" w:type="pct"/>
            <w:tcBorders>
              <w:top w:val="single" w:sz="4" w:space="0" w:color="auto"/>
              <w:left w:val="single" w:sz="4" w:space="0" w:color="auto"/>
              <w:bottom w:val="single" w:sz="4" w:space="0" w:color="auto"/>
              <w:right w:val="single" w:sz="4" w:space="0" w:color="auto"/>
            </w:tcBorders>
            <w:vAlign w:val="center"/>
          </w:tcPr>
          <w:p w14:paraId="63D40D8C" w14:textId="77777777" w:rsidR="00FB4D29" w:rsidRDefault="00CF4592">
            <w:pPr>
              <w:widowControl/>
              <w:snapToGrid w:val="0"/>
              <w:jc w:val="right"/>
              <w:rPr>
                <w:rFonts w:ascii="宋体" w:hAnsi="宋体"/>
                <w:color w:val="000000"/>
                <w:kern w:val="0"/>
                <w:sz w:val="25"/>
                <w:szCs w:val="24"/>
              </w:rPr>
            </w:pPr>
            <w:r>
              <w:rPr>
                <w:rFonts w:ascii="Times New Roman" w:hAnsi="Times New Roman"/>
                <w:color w:val="000000"/>
                <w:kern w:val="0"/>
                <w:sz w:val="25"/>
                <w:szCs w:val="24"/>
              </w:rPr>
              <w:t>3.43</w:t>
            </w:r>
          </w:p>
        </w:tc>
      </w:tr>
    </w:tbl>
    <w:p w14:paraId="2295A8F0"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4、报告期末按债券品种分类的债券投资组合</w:t>
      </w:r>
    </w:p>
    <w:tbl>
      <w:tblPr>
        <w:tblW w:w="5000" w:type="pct"/>
        <w:tblCellMar>
          <w:left w:w="0" w:type="dxa"/>
          <w:right w:w="0" w:type="dxa"/>
        </w:tblCellMar>
        <w:tblLook w:val="0000" w:firstRow="0" w:lastRow="0" w:firstColumn="0" w:lastColumn="0" w:noHBand="0" w:noVBand="0"/>
      </w:tblPr>
      <w:tblGrid>
        <w:gridCol w:w="1006"/>
        <w:gridCol w:w="3018"/>
        <w:gridCol w:w="3017"/>
        <w:gridCol w:w="1609"/>
      </w:tblGrid>
      <w:tr w:rsidR="00FB4D29" w14:paraId="3D6B8DBF" w14:textId="77777777">
        <w:trPr>
          <w:cantSplit/>
          <w:trHeight w:val="375"/>
        </w:trPr>
        <w:tc>
          <w:tcPr>
            <w:tcW w:w="250" w:type="pct"/>
            <w:tcBorders>
              <w:top w:val="single" w:sz="4" w:space="0" w:color="auto"/>
              <w:left w:val="single" w:sz="4" w:space="0" w:color="auto"/>
              <w:bottom w:val="single" w:sz="4" w:space="0" w:color="auto"/>
              <w:right w:val="single" w:sz="4" w:space="0" w:color="auto"/>
            </w:tcBorders>
            <w:shd w:val="clear" w:color="auto" w:fill="D9D9D9"/>
            <w:vAlign w:val="center"/>
          </w:tcPr>
          <w:p w14:paraId="627EB8CE" w14:textId="77777777" w:rsidR="00FB4D29" w:rsidRDefault="00CF4592">
            <w:pPr>
              <w:widowControl/>
              <w:snapToGrid w:val="0"/>
              <w:jc w:val="center"/>
              <w:rPr>
                <w:rFonts w:ascii="宋体" w:hAnsi="宋体"/>
                <w:color w:val="000000"/>
                <w:kern w:val="0"/>
                <w:sz w:val="25"/>
                <w:szCs w:val="24"/>
              </w:rPr>
            </w:pPr>
            <w:r>
              <w:rPr>
                <w:rFonts w:ascii="Times New Roman" w:hAnsi="Times New Roman"/>
                <w:color w:val="000000"/>
                <w:kern w:val="0"/>
                <w:sz w:val="25"/>
                <w:szCs w:val="24"/>
              </w:rPr>
              <w:t>序号</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14:paraId="3284AAD3" w14:textId="77777777" w:rsidR="00FB4D29" w:rsidRDefault="00CF4592">
            <w:pPr>
              <w:widowControl/>
              <w:snapToGrid w:val="0"/>
              <w:jc w:val="center"/>
              <w:rPr>
                <w:rFonts w:ascii="宋体" w:hAnsi="宋体"/>
                <w:color w:val="000000"/>
                <w:kern w:val="0"/>
                <w:sz w:val="25"/>
                <w:szCs w:val="24"/>
              </w:rPr>
            </w:pPr>
            <w:r>
              <w:rPr>
                <w:rFonts w:ascii="Times New Roman" w:hAnsi="Times New Roman"/>
                <w:color w:val="000000"/>
                <w:kern w:val="0"/>
                <w:sz w:val="25"/>
                <w:szCs w:val="24"/>
              </w:rPr>
              <w:t>债券品种</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14:paraId="269A4163" w14:textId="77777777" w:rsidR="00FB4D29" w:rsidRDefault="00CF4592">
            <w:pPr>
              <w:widowControl/>
              <w:snapToGrid w:val="0"/>
              <w:jc w:val="center"/>
              <w:rPr>
                <w:rFonts w:ascii="宋体" w:hAnsi="宋体"/>
                <w:color w:val="000000"/>
                <w:kern w:val="0"/>
                <w:sz w:val="25"/>
                <w:szCs w:val="24"/>
              </w:rPr>
            </w:pPr>
            <w:r>
              <w:rPr>
                <w:rFonts w:ascii="Times New Roman" w:hAnsi="Times New Roman"/>
                <w:color w:val="000000"/>
                <w:kern w:val="0"/>
                <w:sz w:val="25"/>
                <w:szCs w:val="24"/>
              </w:rPr>
              <w:t>公允价值（元）</w:t>
            </w:r>
          </w:p>
        </w:tc>
        <w:tc>
          <w:tcPr>
            <w:tcW w:w="400" w:type="pct"/>
            <w:tcBorders>
              <w:top w:val="single" w:sz="4" w:space="0" w:color="auto"/>
              <w:left w:val="single" w:sz="4" w:space="0" w:color="auto"/>
              <w:bottom w:val="single" w:sz="4" w:space="0" w:color="auto"/>
              <w:right w:val="single" w:sz="4" w:space="0" w:color="auto"/>
            </w:tcBorders>
            <w:shd w:val="clear" w:color="auto" w:fill="D9D9D9"/>
            <w:vAlign w:val="center"/>
          </w:tcPr>
          <w:p w14:paraId="06CB398D" w14:textId="77777777" w:rsidR="00FB4D29" w:rsidRDefault="00CF4592">
            <w:pPr>
              <w:widowControl/>
              <w:snapToGrid w:val="0"/>
              <w:jc w:val="center"/>
              <w:rPr>
                <w:rFonts w:ascii="宋体" w:hAnsi="宋体"/>
                <w:color w:val="000000"/>
                <w:kern w:val="0"/>
                <w:sz w:val="25"/>
                <w:szCs w:val="24"/>
              </w:rPr>
            </w:pPr>
            <w:r>
              <w:rPr>
                <w:rFonts w:ascii="Times New Roman" w:hAnsi="Times New Roman"/>
                <w:color w:val="000000"/>
                <w:kern w:val="0"/>
                <w:sz w:val="25"/>
                <w:szCs w:val="24"/>
              </w:rPr>
              <w:t>占基金资产净值比例（</w:t>
            </w:r>
            <w:r>
              <w:rPr>
                <w:rFonts w:ascii="Times New Roman" w:hAnsi="Times New Roman"/>
                <w:color w:val="000000"/>
                <w:kern w:val="0"/>
                <w:sz w:val="25"/>
                <w:szCs w:val="24"/>
              </w:rPr>
              <w:t>%</w:t>
            </w:r>
            <w:r>
              <w:rPr>
                <w:rFonts w:ascii="Times New Roman" w:hAnsi="Times New Roman"/>
                <w:color w:val="000000"/>
                <w:kern w:val="0"/>
                <w:sz w:val="25"/>
                <w:szCs w:val="24"/>
              </w:rPr>
              <w:t>）</w:t>
            </w:r>
          </w:p>
        </w:tc>
      </w:tr>
      <w:tr w:rsidR="00FB4D29" w14:paraId="034BC06A"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6229A2B7" w14:textId="77777777" w:rsidR="00FB4D29" w:rsidRDefault="00CF4592">
            <w:pPr>
              <w:widowControl/>
              <w:snapToGrid w:val="0"/>
              <w:jc w:val="center"/>
              <w:rPr>
                <w:rFonts w:ascii="宋体" w:hAnsi="宋体"/>
                <w:color w:val="000000"/>
                <w:kern w:val="0"/>
                <w:sz w:val="25"/>
                <w:szCs w:val="24"/>
              </w:rPr>
            </w:pPr>
            <w:r>
              <w:rPr>
                <w:rFonts w:ascii="Times New Roman" w:hAnsi="Times New Roman"/>
                <w:color w:val="000000"/>
                <w:kern w:val="0"/>
                <w:sz w:val="25"/>
                <w:szCs w:val="24"/>
              </w:rPr>
              <w:t>1</w:t>
            </w:r>
          </w:p>
        </w:tc>
        <w:tc>
          <w:tcPr>
            <w:tcW w:w="750" w:type="pct"/>
            <w:tcBorders>
              <w:top w:val="single" w:sz="4" w:space="0" w:color="auto"/>
              <w:left w:val="single" w:sz="4" w:space="0" w:color="auto"/>
              <w:bottom w:val="single" w:sz="4" w:space="0" w:color="auto"/>
              <w:right w:val="single" w:sz="4" w:space="0" w:color="auto"/>
            </w:tcBorders>
            <w:vAlign w:val="center"/>
          </w:tcPr>
          <w:p w14:paraId="72542783"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国家债券</w:t>
            </w:r>
          </w:p>
        </w:tc>
        <w:tc>
          <w:tcPr>
            <w:tcW w:w="750" w:type="pct"/>
            <w:tcBorders>
              <w:top w:val="single" w:sz="4" w:space="0" w:color="auto"/>
              <w:left w:val="single" w:sz="4" w:space="0" w:color="auto"/>
              <w:bottom w:val="single" w:sz="4" w:space="0" w:color="auto"/>
              <w:right w:val="single" w:sz="4" w:space="0" w:color="auto"/>
            </w:tcBorders>
            <w:vAlign w:val="center"/>
          </w:tcPr>
          <w:p w14:paraId="217CAF0C" w14:textId="77777777" w:rsidR="00FB4D29" w:rsidRDefault="00CF4592">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14:paraId="47542CE9" w14:textId="77777777" w:rsidR="00FB4D29" w:rsidRDefault="00CF4592">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FB4D29" w14:paraId="4466CFE2"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0C2146DA" w14:textId="77777777" w:rsidR="00FB4D29" w:rsidRDefault="00CF4592">
            <w:pPr>
              <w:widowControl/>
              <w:snapToGrid w:val="0"/>
              <w:jc w:val="center"/>
              <w:rPr>
                <w:rFonts w:ascii="宋体" w:hAnsi="宋体"/>
                <w:color w:val="000000"/>
                <w:kern w:val="0"/>
                <w:sz w:val="25"/>
                <w:szCs w:val="24"/>
              </w:rPr>
            </w:pPr>
            <w:r>
              <w:rPr>
                <w:rFonts w:ascii="Times New Roman" w:hAnsi="Times New Roman"/>
                <w:color w:val="000000"/>
                <w:kern w:val="0"/>
                <w:sz w:val="25"/>
                <w:szCs w:val="24"/>
              </w:rPr>
              <w:t>2</w:t>
            </w:r>
          </w:p>
        </w:tc>
        <w:tc>
          <w:tcPr>
            <w:tcW w:w="750" w:type="pct"/>
            <w:tcBorders>
              <w:top w:val="single" w:sz="4" w:space="0" w:color="auto"/>
              <w:left w:val="single" w:sz="4" w:space="0" w:color="auto"/>
              <w:bottom w:val="single" w:sz="4" w:space="0" w:color="auto"/>
              <w:right w:val="single" w:sz="4" w:space="0" w:color="auto"/>
            </w:tcBorders>
            <w:vAlign w:val="center"/>
          </w:tcPr>
          <w:p w14:paraId="73A7D058"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央行票据</w:t>
            </w:r>
          </w:p>
        </w:tc>
        <w:tc>
          <w:tcPr>
            <w:tcW w:w="750" w:type="pct"/>
            <w:tcBorders>
              <w:top w:val="single" w:sz="4" w:space="0" w:color="auto"/>
              <w:left w:val="single" w:sz="4" w:space="0" w:color="auto"/>
              <w:bottom w:val="single" w:sz="4" w:space="0" w:color="auto"/>
              <w:right w:val="single" w:sz="4" w:space="0" w:color="auto"/>
            </w:tcBorders>
            <w:vAlign w:val="center"/>
          </w:tcPr>
          <w:p w14:paraId="07F0A4D1" w14:textId="77777777" w:rsidR="00FB4D29" w:rsidRDefault="00CF4592">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14:paraId="35EF9D00" w14:textId="77777777" w:rsidR="00FB4D29" w:rsidRDefault="00CF4592">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FB4D29" w14:paraId="77469A96"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3741E47F" w14:textId="77777777" w:rsidR="00FB4D29" w:rsidRDefault="00CF4592">
            <w:pPr>
              <w:widowControl/>
              <w:snapToGrid w:val="0"/>
              <w:jc w:val="center"/>
              <w:rPr>
                <w:rFonts w:ascii="宋体" w:hAnsi="宋体"/>
                <w:color w:val="000000"/>
                <w:kern w:val="0"/>
                <w:sz w:val="25"/>
                <w:szCs w:val="24"/>
              </w:rPr>
            </w:pPr>
            <w:r>
              <w:rPr>
                <w:rFonts w:ascii="Times New Roman" w:hAnsi="Times New Roman"/>
                <w:color w:val="000000"/>
                <w:kern w:val="0"/>
                <w:sz w:val="25"/>
                <w:szCs w:val="24"/>
              </w:rPr>
              <w:t>3</w:t>
            </w:r>
          </w:p>
        </w:tc>
        <w:tc>
          <w:tcPr>
            <w:tcW w:w="750" w:type="pct"/>
            <w:tcBorders>
              <w:top w:val="single" w:sz="4" w:space="0" w:color="auto"/>
              <w:left w:val="single" w:sz="4" w:space="0" w:color="auto"/>
              <w:bottom w:val="single" w:sz="4" w:space="0" w:color="auto"/>
              <w:right w:val="single" w:sz="4" w:space="0" w:color="auto"/>
            </w:tcBorders>
            <w:vAlign w:val="center"/>
          </w:tcPr>
          <w:p w14:paraId="75E7BC57"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金融债券</w:t>
            </w:r>
          </w:p>
        </w:tc>
        <w:tc>
          <w:tcPr>
            <w:tcW w:w="750" w:type="pct"/>
            <w:tcBorders>
              <w:top w:val="single" w:sz="4" w:space="0" w:color="auto"/>
              <w:left w:val="single" w:sz="4" w:space="0" w:color="auto"/>
              <w:bottom w:val="single" w:sz="4" w:space="0" w:color="auto"/>
              <w:right w:val="single" w:sz="4" w:space="0" w:color="auto"/>
            </w:tcBorders>
            <w:vAlign w:val="center"/>
          </w:tcPr>
          <w:p w14:paraId="56315E80" w14:textId="77777777" w:rsidR="00FB4D29" w:rsidRDefault="00CF4592">
            <w:pPr>
              <w:widowControl/>
              <w:snapToGrid w:val="0"/>
              <w:jc w:val="right"/>
              <w:rPr>
                <w:rFonts w:ascii="宋体" w:hAnsi="宋体"/>
                <w:color w:val="000000"/>
                <w:kern w:val="0"/>
                <w:sz w:val="25"/>
                <w:szCs w:val="24"/>
              </w:rPr>
            </w:pPr>
            <w:r>
              <w:rPr>
                <w:rFonts w:ascii="Times New Roman" w:hAnsi="Times New Roman"/>
                <w:color w:val="000000"/>
                <w:kern w:val="0"/>
                <w:sz w:val="25"/>
                <w:szCs w:val="24"/>
              </w:rPr>
              <w:t>90,945,290.40</w:t>
            </w:r>
          </w:p>
        </w:tc>
        <w:tc>
          <w:tcPr>
            <w:tcW w:w="400" w:type="pct"/>
            <w:tcBorders>
              <w:top w:val="single" w:sz="4" w:space="0" w:color="auto"/>
              <w:left w:val="single" w:sz="4" w:space="0" w:color="auto"/>
              <w:bottom w:val="single" w:sz="4" w:space="0" w:color="auto"/>
              <w:right w:val="single" w:sz="4" w:space="0" w:color="auto"/>
            </w:tcBorders>
            <w:vAlign w:val="center"/>
          </w:tcPr>
          <w:p w14:paraId="3F0328F2" w14:textId="77777777" w:rsidR="00FB4D29" w:rsidRDefault="00CF4592">
            <w:pPr>
              <w:widowControl/>
              <w:snapToGrid w:val="0"/>
              <w:jc w:val="right"/>
              <w:rPr>
                <w:rFonts w:ascii="宋体" w:hAnsi="宋体"/>
                <w:color w:val="000000"/>
                <w:kern w:val="0"/>
                <w:sz w:val="25"/>
                <w:szCs w:val="24"/>
              </w:rPr>
            </w:pPr>
            <w:r>
              <w:rPr>
                <w:rFonts w:ascii="Times New Roman" w:hAnsi="Times New Roman"/>
                <w:color w:val="000000"/>
                <w:kern w:val="0"/>
                <w:sz w:val="25"/>
                <w:szCs w:val="24"/>
              </w:rPr>
              <w:t>3.23</w:t>
            </w:r>
          </w:p>
        </w:tc>
      </w:tr>
      <w:tr w:rsidR="00FB4D29" w14:paraId="357283D3"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6AA5620D" w14:textId="77777777" w:rsidR="00FB4D29" w:rsidRDefault="00CF4592">
            <w:pPr>
              <w:widowControl/>
              <w:snapToGrid w:val="0"/>
              <w:jc w:val="center"/>
              <w:rPr>
                <w:rFonts w:ascii="宋体" w:hAnsi="宋体"/>
                <w:color w:val="000000"/>
                <w:kern w:val="0"/>
                <w:sz w:val="25"/>
                <w:szCs w:val="24"/>
              </w:rPr>
            </w:pPr>
            <w:r>
              <w:rPr>
                <w:rFonts w:ascii="Times New Roman" w:hAnsi="Times New Roman"/>
                <w:color w:val="000000"/>
                <w:kern w:val="0"/>
                <w:sz w:val="25"/>
                <w:szCs w:val="24"/>
              </w:rPr>
              <w:t xml:space="preserve">　</w:t>
            </w:r>
          </w:p>
        </w:tc>
        <w:tc>
          <w:tcPr>
            <w:tcW w:w="750" w:type="pct"/>
            <w:tcBorders>
              <w:top w:val="single" w:sz="4" w:space="0" w:color="auto"/>
              <w:left w:val="single" w:sz="4" w:space="0" w:color="auto"/>
              <w:bottom w:val="single" w:sz="4" w:space="0" w:color="auto"/>
              <w:right w:val="single" w:sz="4" w:space="0" w:color="auto"/>
            </w:tcBorders>
            <w:vAlign w:val="center"/>
          </w:tcPr>
          <w:p w14:paraId="65AF8CC6"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其中：政策性金融债</w:t>
            </w:r>
          </w:p>
        </w:tc>
        <w:tc>
          <w:tcPr>
            <w:tcW w:w="750" w:type="pct"/>
            <w:tcBorders>
              <w:top w:val="single" w:sz="4" w:space="0" w:color="auto"/>
              <w:left w:val="single" w:sz="4" w:space="0" w:color="auto"/>
              <w:bottom w:val="single" w:sz="4" w:space="0" w:color="auto"/>
              <w:right w:val="single" w:sz="4" w:space="0" w:color="auto"/>
            </w:tcBorders>
            <w:vAlign w:val="center"/>
          </w:tcPr>
          <w:p w14:paraId="1AB87208" w14:textId="77777777" w:rsidR="00FB4D29" w:rsidRDefault="00CF4592">
            <w:pPr>
              <w:widowControl/>
              <w:snapToGrid w:val="0"/>
              <w:jc w:val="right"/>
              <w:rPr>
                <w:rFonts w:ascii="宋体" w:hAnsi="宋体"/>
                <w:color w:val="000000"/>
                <w:kern w:val="0"/>
                <w:sz w:val="25"/>
                <w:szCs w:val="24"/>
              </w:rPr>
            </w:pPr>
            <w:r>
              <w:rPr>
                <w:rFonts w:ascii="Times New Roman" w:hAnsi="Times New Roman"/>
                <w:color w:val="000000"/>
                <w:kern w:val="0"/>
                <w:sz w:val="25"/>
                <w:szCs w:val="24"/>
              </w:rPr>
              <w:t>90,945,290.40</w:t>
            </w:r>
          </w:p>
        </w:tc>
        <w:tc>
          <w:tcPr>
            <w:tcW w:w="400" w:type="pct"/>
            <w:tcBorders>
              <w:top w:val="single" w:sz="4" w:space="0" w:color="auto"/>
              <w:left w:val="single" w:sz="4" w:space="0" w:color="auto"/>
              <w:bottom w:val="single" w:sz="4" w:space="0" w:color="auto"/>
              <w:right w:val="single" w:sz="4" w:space="0" w:color="auto"/>
            </w:tcBorders>
            <w:vAlign w:val="center"/>
          </w:tcPr>
          <w:p w14:paraId="30FB582D" w14:textId="77777777" w:rsidR="00FB4D29" w:rsidRDefault="00CF4592">
            <w:pPr>
              <w:widowControl/>
              <w:snapToGrid w:val="0"/>
              <w:jc w:val="right"/>
              <w:rPr>
                <w:rFonts w:ascii="宋体" w:hAnsi="宋体"/>
                <w:color w:val="000000"/>
                <w:kern w:val="0"/>
                <w:sz w:val="25"/>
                <w:szCs w:val="24"/>
              </w:rPr>
            </w:pPr>
            <w:r>
              <w:rPr>
                <w:rFonts w:ascii="Times New Roman" w:hAnsi="Times New Roman"/>
                <w:color w:val="000000"/>
                <w:kern w:val="0"/>
                <w:sz w:val="25"/>
                <w:szCs w:val="24"/>
              </w:rPr>
              <w:t>3.23</w:t>
            </w:r>
          </w:p>
        </w:tc>
      </w:tr>
      <w:tr w:rsidR="00FB4D29" w14:paraId="010591E2"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05380874" w14:textId="77777777" w:rsidR="00FB4D29" w:rsidRDefault="00CF4592">
            <w:pPr>
              <w:widowControl/>
              <w:snapToGrid w:val="0"/>
              <w:jc w:val="center"/>
              <w:rPr>
                <w:rFonts w:ascii="宋体" w:hAnsi="宋体"/>
                <w:color w:val="000000"/>
                <w:kern w:val="0"/>
                <w:sz w:val="25"/>
                <w:szCs w:val="24"/>
              </w:rPr>
            </w:pPr>
            <w:r>
              <w:rPr>
                <w:rFonts w:ascii="Times New Roman" w:hAnsi="Times New Roman"/>
                <w:color w:val="000000"/>
                <w:kern w:val="0"/>
                <w:sz w:val="25"/>
                <w:szCs w:val="24"/>
              </w:rPr>
              <w:t>4</w:t>
            </w:r>
          </w:p>
        </w:tc>
        <w:tc>
          <w:tcPr>
            <w:tcW w:w="750" w:type="pct"/>
            <w:tcBorders>
              <w:top w:val="single" w:sz="4" w:space="0" w:color="auto"/>
              <w:left w:val="single" w:sz="4" w:space="0" w:color="auto"/>
              <w:bottom w:val="single" w:sz="4" w:space="0" w:color="auto"/>
              <w:right w:val="single" w:sz="4" w:space="0" w:color="auto"/>
            </w:tcBorders>
            <w:vAlign w:val="center"/>
          </w:tcPr>
          <w:p w14:paraId="51A8F29A"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企业债券</w:t>
            </w:r>
          </w:p>
        </w:tc>
        <w:tc>
          <w:tcPr>
            <w:tcW w:w="750" w:type="pct"/>
            <w:tcBorders>
              <w:top w:val="single" w:sz="4" w:space="0" w:color="auto"/>
              <w:left w:val="single" w:sz="4" w:space="0" w:color="auto"/>
              <w:bottom w:val="single" w:sz="4" w:space="0" w:color="auto"/>
              <w:right w:val="single" w:sz="4" w:space="0" w:color="auto"/>
            </w:tcBorders>
            <w:vAlign w:val="center"/>
          </w:tcPr>
          <w:p w14:paraId="596FDB14" w14:textId="77777777" w:rsidR="00FB4D29" w:rsidRDefault="00CF4592">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14:paraId="33348601" w14:textId="77777777" w:rsidR="00FB4D29" w:rsidRDefault="00CF4592">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FB4D29" w14:paraId="17FDC9BB"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4DBA4372" w14:textId="77777777" w:rsidR="00FB4D29" w:rsidRDefault="00CF4592">
            <w:pPr>
              <w:widowControl/>
              <w:snapToGrid w:val="0"/>
              <w:jc w:val="center"/>
              <w:rPr>
                <w:rFonts w:ascii="宋体" w:hAnsi="宋体"/>
                <w:color w:val="000000"/>
                <w:kern w:val="0"/>
                <w:sz w:val="25"/>
                <w:szCs w:val="24"/>
              </w:rPr>
            </w:pPr>
            <w:r>
              <w:rPr>
                <w:rFonts w:ascii="Times New Roman" w:hAnsi="Times New Roman"/>
                <w:color w:val="000000"/>
                <w:kern w:val="0"/>
                <w:sz w:val="25"/>
                <w:szCs w:val="24"/>
              </w:rPr>
              <w:t>5</w:t>
            </w:r>
          </w:p>
        </w:tc>
        <w:tc>
          <w:tcPr>
            <w:tcW w:w="750" w:type="pct"/>
            <w:tcBorders>
              <w:top w:val="single" w:sz="4" w:space="0" w:color="auto"/>
              <w:left w:val="single" w:sz="4" w:space="0" w:color="auto"/>
              <w:bottom w:val="single" w:sz="4" w:space="0" w:color="auto"/>
              <w:right w:val="single" w:sz="4" w:space="0" w:color="auto"/>
            </w:tcBorders>
            <w:vAlign w:val="center"/>
          </w:tcPr>
          <w:p w14:paraId="7DBA5D07"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企业短期融资券</w:t>
            </w:r>
          </w:p>
        </w:tc>
        <w:tc>
          <w:tcPr>
            <w:tcW w:w="750" w:type="pct"/>
            <w:tcBorders>
              <w:top w:val="single" w:sz="4" w:space="0" w:color="auto"/>
              <w:left w:val="single" w:sz="4" w:space="0" w:color="auto"/>
              <w:bottom w:val="single" w:sz="4" w:space="0" w:color="auto"/>
              <w:right w:val="single" w:sz="4" w:space="0" w:color="auto"/>
            </w:tcBorders>
            <w:vAlign w:val="center"/>
          </w:tcPr>
          <w:p w14:paraId="718FE16E" w14:textId="77777777" w:rsidR="00FB4D29" w:rsidRDefault="00CF4592">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14:paraId="37C83DF6" w14:textId="77777777" w:rsidR="00FB4D29" w:rsidRDefault="00CF4592">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FB4D29" w14:paraId="73817407"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7E30C9B8" w14:textId="77777777" w:rsidR="00FB4D29" w:rsidRDefault="00CF4592">
            <w:pPr>
              <w:widowControl/>
              <w:snapToGrid w:val="0"/>
              <w:jc w:val="center"/>
              <w:rPr>
                <w:rFonts w:ascii="宋体" w:hAnsi="宋体"/>
                <w:color w:val="000000"/>
                <w:kern w:val="0"/>
                <w:sz w:val="25"/>
                <w:szCs w:val="24"/>
              </w:rPr>
            </w:pPr>
            <w:r>
              <w:rPr>
                <w:rFonts w:ascii="Times New Roman" w:hAnsi="Times New Roman"/>
                <w:color w:val="000000"/>
                <w:kern w:val="0"/>
                <w:sz w:val="25"/>
                <w:szCs w:val="24"/>
              </w:rPr>
              <w:t>6</w:t>
            </w:r>
          </w:p>
        </w:tc>
        <w:tc>
          <w:tcPr>
            <w:tcW w:w="750" w:type="pct"/>
            <w:tcBorders>
              <w:top w:val="single" w:sz="4" w:space="0" w:color="auto"/>
              <w:left w:val="single" w:sz="4" w:space="0" w:color="auto"/>
              <w:bottom w:val="single" w:sz="4" w:space="0" w:color="auto"/>
              <w:right w:val="single" w:sz="4" w:space="0" w:color="auto"/>
            </w:tcBorders>
            <w:vAlign w:val="center"/>
          </w:tcPr>
          <w:p w14:paraId="30B7A04A"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中期票据</w:t>
            </w:r>
          </w:p>
        </w:tc>
        <w:tc>
          <w:tcPr>
            <w:tcW w:w="750" w:type="pct"/>
            <w:tcBorders>
              <w:top w:val="single" w:sz="4" w:space="0" w:color="auto"/>
              <w:left w:val="single" w:sz="4" w:space="0" w:color="auto"/>
              <w:bottom w:val="single" w:sz="4" w:space="0" w:color="auto"/>
              <w:right w:val="single" w:sz="4" w:space="0" w:color="auto"/>
            </w:tcBorders>
            <w:vAlign w:val="center"/>
          </w:tcPr>
          <w:p w14:paraId="0F8D07E2" w14:textId="77777777" w:rsidR="00FB4D29" w:rsidRDefault="00CF4592">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14:paraId="30742A24" w14:textId="77777777" w:rsidR="00FB4D29" w:rsidRDefault="00CF4592">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FB4D29" w14:paraId="138A8F10"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484D1F49" w14:textId="77777777" w:rsidR="00FB4D29" w:rsidRDefault="00CF4592">
            <w:pPr>
              <w:widowControl/>
              <w:snapToGrid w:val="0"/>
              <w:jc w:val="center"/>
              <w:rPr>
                <w:rFonts w:ascii="宋体" w:hAnsi="宋体"/>
                <w:color w:val="000000"/>
                <w:kern w:val="0"/>
                <w:sz w:val="25"/>
                <w:szCs w:val="24"/>
              </w:rPr>
            </w:pPr>
            <w:r>
              <w:rPr>
                <w:rFonts w:ascii="Times New Roman" w:hAnsi="Times New Roman"/>
                <w:color w:val="000000"/>
                <w:kern w:val="0"/>
                <w:sz w:val="25"/>
                <w:szCs w:val="24"/>
              </w:rPr>
              <w:t>7</w:t>
            </w:r>
          </w:p>
        </w:tc>
        <w:tc>
          <w:tcPr>
            <w:tcW w:w="750" w:type="pct"/>
            <w:tcBorders>
              <w:top w:val="single" w:sz="4" w:space="0" w:color="auto"/>
              <w:left w:val="single" w:sz="4" w:space="0" w:color="auto"/>
              <w:bottom w:val="single" w:sz="4" w:space="0" w:color="auto"/>
              <w:right w:val="single" w:sz="4" w:space="0" w:color="auto"/>
            </w:tcBorders>
            <w:vAlign w:val="center"/>
          </w:tcPr>
          <w:p w14:paraId="51B61F57"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可转债（可交换债）</w:t>
            </w:r>
          </w:p>
        </w:tc>
        <w:tc>
          <w:tcPr>
            <w:tcW w:w="750" w:type="pct"/>
            <w:tcBorders>
              <w:top w:val="single" w:sz="4" w:space="0" w:color="auto"/>
              <w:left w:val="single" w:sz="4" w:space="0" w:color="auto"/>
              <w:bottom w:val="single" w:sz="4" w:space="0" w:color="auto"/>
              <w:right w:val="single" w:sz="4" w:space="0" w:color="auto"/>
            </w:tcBorders>
            <w:vAlign w:val="center"/>
          </w:tcPr>
          <w:p w14:paraId="52DD350E" w14:textId="77777777" w:rsidR="00FB4D29" w:rsidRDefault="00CF4592">
            <w:pPr>
              <w:widowControl/>
              <w:snapToGrid w:val="0"/>
              <w:jc w:val="right"/>
              <w:rPr>
                <w:rFonts w:ascii="宋体" w:hAnsi="宋体"/>
                <w:color w:val="000000"/>
                <w:kern w:val="0"/>
                <w:sz w:val="25"/>
                <w:szCs w:val="24"/>
              </w:rPr>
            </w:pPr>
            <w:r>
              <w:rPr>
                <w:rFonts w:ascii="Times New Roman" w:hAnsi="Times New Roman"/>
                <w:color w:val="000000"/>
                <w:kern w:val="0"/>
                <w:sz w:val="25"/>
                <w:szCs w:val="24"/>
              </w:rPr>
              <w:t>783,027.58</w:t>
            </w:r>
          </w:p>
        </w:tc>
        <w:tc>
          <w:tcPr>
            <w:tcW w:w="400" w:type="pct"/>
            <w:tcBorders>
              <w:top w:val="single" w:sz="4" w:space="0" w:color="auto"/>
              <w:left w:val="single" w:sz="4" w:space="0" w:color="auto"/>
              <w:bottom w:val="single" w:sz="4" w:space="0" w:color="auto"/>
              <w:right w:val="single" w:sz="4" w:space="0" w:color="auto"/>
            </w:tcBorders>
            <w:vAlign w:val="center"/>
          </w:tcPr>
          <w:p w14:paraId="0B493BDF" w14:textId="77777777" w:rsidR="00FB4D29" w:rsidRDefault="00CF4592">
            <w:pPr>
              <w:widowControl/>
              <w:snapToGrid w:val="0"/>
              <w:jc w:val="right"/>
              <w:rPr>
                <w:rFonts w:ascii="宋体" w:hAnsi="宋体"/>
                <w:color w:val="000000"/>
                <w:kern w:val="0"/>
                <w:sz w:val="25"/>
                <w:szCs w:val="24"/>
              </w:rPr>
            </w:pPr>
            <w:r>
              <w:rPr>
                <w:rFonts w:ascii="Times New Roman" w:hAnsi="Times New Roman"/>
                <w:color w:val="000000"/>
                <w:kern w:val="0"/>
                <w:sz w:val="25"/>
                <w:szCs w:val="24"/>
              </w:rPr>
              <w:t>0.03</w:t>
            </w:r>
          </w:p>
        </w:tc>
      </w:tr>
      <w:tr w:rsidR="00FB4D29" w14:paraId="0CE23AC4"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459F235E" w14:textId="77777777" w:rsidR="00FB4D29" w:rsidRDefault="00CF4592">
            <w:pPr>
              <w:widowControl/>
              <w:snapToGrid w:val="0"/>
              <w:jc w:val="center"/>
              <w:rPr>
                <w:rFonts w:ascii="宋体" w:hAnsi="宋体"/>
                <w:color w:val="000000"/>
                <w:kern w:val="0"/>
                <w:sz w:val="25"/>
                <w:szCs w:val="24"/>
              </w:rPr>
            </w:pPr>
            <w:r>
              <w:rPr>
                <w:rFonts w:ascii="Times New Roman" w:hAnsi="Times New Roman"/>
                <w:color w:val="000000"/>
                <w:kern w:val="0"/>
                <w:sz w:val="25"/>
                <w:szCs w:val="24"/>
              </w:rPr>
              <w:t>8</w:t>
            </w:r>
          </w:p>
        </w:tc>
        <w:tc>
          <w:tcPr>
            <w:tcW w:w="750" w:type="pct"/>
            <w:tcBorders>
              <w:top w:val="single" w:sz="4" w:space="0" w:color="auto"/>
              <w:left w:val="single" w:sz="4" w:space="0" w:color="auto"/>
              <w:bottom w:val="single" w:sz="4" w:space="0" w:color="auto"/>
              <w:right w:val="single" w:sz="4" w:space="0" w:color="auto"/>
            </w:tcBorders>
            <w:vAlign w:val="center"/>
          </w:tcPr>
          <w:p w14:paraId="051C9CBA"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同业存单</w:t>
            </w:r>
          </w:p>
        </w:tc>
        <w:tc>
          <w:tcPr>
            <w:tcW w:w="750" w:type="pct"/>
            <w:tcBorders>
              <w:top w:val="single" w:sz="4" w:space="0" w:color="auto"/>
              <w:left w:val="single" w:sz="4" w:space="0" w:color="auto"/>
              <w:bottom w:val="single" w:sz="4" w:space="0" w:color="auto"/>
              <w:right w:val="single" w:sz="4" w:space="0" w:color="auto"/>
            </w:tcBorders>
            <w:vAlign w:val="center"/>
          </w:tcPr>
          <w:p w14:paraId="35B53B4D" w14:textId="77777777" w:rsidR="00FB4D29" w:rsidRDefault="00CF4592">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14:paraId="04B0C780" w14:textId="77777777" w:rsidR="00FB4D29" w:rsidRDefault="00CF4592">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FB4D29" w14:paraId="7933474F"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5DF52CB2" w14:textId="77777777" w:rsidR="00FB4D29" w:rsidRDefault="00CF4592">
            <w:pPr>
              <w:widowControl/>
              <w:snapToGrid w:val="0"/>
              <w:jc w:val="center"/>
              <w:rPr>
                <w:rFonts w:ascii="宋体" w:hAnsi="宋体"/>
                <w:color w:val="000000"/>
                <w:kern w:val="0"/>
                <w:sz w:val="25"/>
                <w:szCs w:val="24"/>
              </w:rPr>
            </w:pPr>
            <w:r>
              <w:rPr>
                <w:rFonts w:ascii="Times New Roman" w:hAnsi="Times New Roman"/>
                <w:color w:val="000000"/>
                <w:kern w:val="0"/>
                <w:sz w:val="25"/>
                <w:szCs w:val="24"/>
              </w:rPr>
              <w:t>9</w:t>
            </w:r>
          </w:p>
        </w:tc>
        <w:tc>
          <w:tcPr>
            <w:tcW w:w="750" w:type="pct"/>
            <w:tcBorders>
              <w:top w:val="single" w:sz="4" w:space="0" w:color="auto"/>
              <w:left w:val="single" w:sz="4" w:space="0" w:color="auto"/>
              <w:bottom w:val="single" w:sz="4" w:space="0" w:color="auto"/>
              <w:right w:val="single" w:sz="4" w:space="0" w:color="auto"/>
            </w:tcBorders>
            <w:vAlign w:val="center"/>
          </w:tcPr>
          <w:p w14:paraId="21C08B0C"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其他</w:t>
            </w:r>
          </w:p>
        </w:tc>
        <w:tc>
          <w:tcPr>
            <w:tcW w:w="750" w:type="pct"/>
            <w:tcBorders>
              <w:top w:val="single" w:sz="4" w:space="0" w:color="auto"/>
              <w:left w:val="single" w:sz="4" w:space="0" w:color="auto"/>
              <w:bottom w:val="single" w:sz="4" w:space="0" w:color="auto"/>
              <w:right w:val="single" w:sz="4" w:space="0" w:color="auto"/>
            </w:tcBorders>
            <w:vAlign w:val="center"/>
          </w:tcPr>
          <w:p w14:paraId="72A311CA" w14:textId="77777777" w:rsidR="00FB4D29" w:rsidRDefault="00CF4592">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14:paraId="74EE68B1" w14:textId="77777777" w:rsidR="00FB4D29" w:rsidRDefault="00CF4592">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FB4D29" w14:paraId="3FC46EFC"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3F438907" w14:textId="77777777" w:rsidR="00FB4D29" w:rsidRDefault="00CF4592">
            <w:pPr>
              <w:widowControl/>
              <w:snapToGrid w:val="0"/>
              <w:jc w:val="center"/>
              <w:rPr>
                <w:rFonts w:ascii="宋体" w:hAnsi="宋体"/>
                <w:color w:val="000000"/>
                <w:kern w:val="0"/>
                <w:sz w:val="25"/>
                <w:szCs w:val="24"/>
              </w:rPr>
            </w:pPr>
            <w:r>
              <w:rPr>
                <w:rFonts w:ascii="Times New Roman" w:hAnsi="Times New Roman"/>
                <w:color w:val="000000"/>
                <w:kern w:val="0"/>
                <w:sz w:val="25"/>
                <w:szCs w:val="24"/>
              </w:rPr>
              <w:t>10</w:t>
            </w:r>
          </w:p>
        </w:tc>
        <w:tc>
          <w:tcPr>
            <w:tcW w:w="750" w:type="pct"/>
            <w:tcBorders>
              <w:top w:val="single" w:sz="4" w:space="0" w:color="auto"/>
              <w:left w:val="single" w:sz="4" w:space="0" w:color="auto"/>
              <w:bottom w:val="single" w:sz="4" w:space="0" w:color="auto"/>
              <w:right w:val="single" w:sz="4" w:space="0" w:color="auto"/>
            </w:tcBorders>
            <w:vAlign w:val="center"/>
          </w:tcPr>
          <w:p w14:paraId="1CEC979A"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合计</w:t>
            </w:r>
          </w:p>
        </w:tc>
        <w:tc>
          <w:tcPr>
            <w:tcW w:w="750" w:type="pct"/>
            <w:tcBorders>
              <w:top w:val="single" w:sz="4" w:space="0" w:color="auto"/>
              <w:left w:val="single" w:sz="4" w:space="0" w:color="auto"/>
              <w:bottom w:val="single" w:sz="4" w:space="0" w:color="auto"/>
              <w:right w:val="single" w:sz="4" w:space="0" w:color="auto"/>
            </w:tcBorders>
            <w:vAlign w:val="center"/>
          </w:tcPr>
          <w:p w14:paraId="3B80C26B" w14:textId="77777777" w:rsidR="00FB4D29" w:rsidRDefault="00CF4592">
            <w:pPr>
              <w:widowControl/>
              <w:snapToGrid w:val="0"/>
              <w:jc w:val="right"/>
              <w:rPr>
                <w:rFonts w:ascii="宋体" w:hAnsi="宋体"/>
                <w:color w:val="000000"/>
                <w:kern w:val="0"/>
                <w:sz w:val="25"/>
                <w:szCs w:val="24"/>
              </w:rPr>
            </w:pPr>
            <w:r>
              <w:rPr>
                <w:rFonts w:ascii="Times New Roman" w:hAnsi="Times New Roman"/>
                <w:color w:val="000000"/>
                <w:kern w:val="0"/>
                <w:sz w:val="25"/>
                <w:szCs w:val="24"/>
              </w:rPr>
              <w:t>91,728,317.98</w:t>
            </w:r>
          </w:p>
        </w:tc>
        <w:tc>
          <w:tcPr>
            <w:tcW w:w="400" w:type="pct"/>
            <w:tcBorders>
              <w:top w:val="single" w:sz="4" w:space="0" w:color="auto"/>
              <w:left w:val="single" w:sz="4" w:space="0" w:color="auto"/>
              <w:bottom w:val="single" w:sz="4" w:space="0" w:color="auto"/>
              <w:right w:val="single" w:sz="4" w:space="0" w:color="auto"/>
            </w:tcBorders>
            <w:vAlign w:val="center"/>
          </w:tcPr>
          <w:p w14:paraId="55AF43AF" w14:textId="77777777" w:rsidR="00FB4D29" w:rsidRDefault="00CF4592">
            <w:pPr>
              <w:widowControl/>
              <w:snapToGrid w:val="0"/>
              <w:jc w:val="right"/>
              <w:rPr>
                <w:rFonts w:ascii="宋体" w:hAnsi="宋体"/>
                <w:color w:val="000000"/>
                <w:kern w:val="0"/>
                <w:sz w:val="25"/>
                <w:szCs w:val="24"/>
              </w:rPr>
            </w:pPr>
            <w:r>
              <w:rPr>
                <w:rFonts w:ascii="Times New Roman" w:hAnsi="Times New Roman"/>
                <w:color w:val="000000"/>
                <w:kern w:val="0"/>
                <w:sz w:val="25"/>
                <w:szCs w:val="24"/>
              </w:rPr>
              <w:t>3.26</w:t>
            </w:r>
          </w:p>
        </w:tc>
      </w:tr>
    </w:tbl>
    <w:p w14:paraId="6DE28E4A"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5、报告期末按公允价值占基金资产净值比例大小排序的前五名债券投资明细</w:t>
      </w:r>
    </w:p>
    <w:tbl>
      <w:tblPr>
        <w:tblW w:w="5000" w:type="pct"/>
        <w:tblCellMar>
          <w:left w:w="0" w:type="dxa"/>
          <w:right w:w="0" w:type="dxa"/>
        </w:tblCellMar>
        <w:tblLook w:val="0000" w:firstRow="0" w:lastRow="0" w:firstColumn="0" w:lastColumn="0" w:noHBand="0" w:noVBand="0"/>
      </w:tblPr>
      <w:tblGrid>
        <w:gridCol w:w="540"/>
        <w:gridCol w:w="1622"/>
        <w:gridCol w:w="1622"/>
        <w:gridCol w:w="1622"/>
        <w:gridCol w:w="1622"/>
        <w:gridCol w:w="1622"/>
      </w:tblGrid>
      <w:tr w:rsidR="00FB4D29" w14:paraId="7CC2C8B6" w14:textId="77777777">
        <w:trPr>
          <w:cantSplit/>
          <w:trHeight w:val="375"/>
        </w:trPr>
        <w:tc>
          <w:tcPr>
            <w:tcW w:w="250" w:type="pct"/>
            <w:tcBorders>
              <w:top w:val="single" w:sz="4" w:space="0" w:color="auto"/>
              <w:left w:val="single" w:sz="4" w:space="0" w:color="auto"/>
              <w:bottom w:val="single" w:sz="4" w:space="0" w:color="auto"/>
              <w:right w:val="single" w:sz="4" w:space="0" w:color="auto"/>
            </w:tcBorders>
            <w:shd w:val="clear" w:color="auto" w:fill="D9D9D9"/>
            <w:vAlign w:val="center"/>
          </w:tcPr>
          <w:p w14:paraId="2779976F" w14:textId="77777777" w:rsidR="00FB4D29" w:rsidRDefault="00CF4592">
            <w:pPr>
              <w:widowControl/>
              <w:snapToGrid w:val="0"/>
              <w:jc w:val="center"/>
              <w:rPr>
                <w:rFonts w:ascii="宋体" w:hAnsi="宋体"/>
                <w:color w:val="000000"/>
                <w:kern w:val="0"/>
                <w:sz w:val="25"/>
                <w:szCs w:val="24"/>
              </w:rPr>
            </w:pPr>
            <w:r>
              <w:rPr>
                <w:rFonts w:ascii="Times New Roman" w:hAnsi="Times New Roman"/>
                <w:color w:val="000000"/>
                <w:kern w:val="0"/>
                <w:sz w:val="25"/>
                <w:szCs w:val="24"/>
              </w:rPr>
              <w:t>序号</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14:paraId="7EB33C30" w14:textId="77777777" w:rsidR="00FB4D29" w:rsidRDefault="00CF4592">
            <w:pPr>
              <w:widowControl/>
              <w:snapToGrid w:val="0"/>
              <w:jc w:val="center"/>
              <w:rPr>
                <w:rFonts w:ascii="宋体" w:hAnsi="宋体"/>
                <w:color w:val="000000"/>
                <w:kern w:val="0"/>
                <w:sz w:val="25"/>
                <w:szCs w:val="24"/>
              </w:rPr>
            </w:pPr>
            <w:r>
              <w:rPr>
                <w:rFonts w:ascii="Times New Roman" w:hAnsi="Times New Roman"/>
                <w:color w:val="000000"/>
                <w:kern w:val="0"/>
                <w:sz w:val="25"/>
                <w:szCs w:val="24"/>
              </w:rPr>
              <w:t>债券代码</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14:paraId="3D18E67D" w14:textId="77777777" w:rsidR="00FB4D29" w:rsidRDefault="00CF4592">
            <w:pPr>
              <w:widowControl/>
              <w:snapToGrid w:val="0"/>
              <w:jc w:val="center"/>
              <w:rPr>
                <w:rFonts w:ascii="宋体" w:hAnsi="宋体"/>
                <w:color w:val="000000"/>
                <w:kern w:val="0"/>
                <w:sz w:val="25"/>
                <w:szCs w:val="24"/>
              </w:rPr>
            </w:pPr>
            <w:r>
              <w:rPr>
                <w:rFonts w:ascii="Times New Roman" w:hAnsi="Times New Roman"/>
                <w:color w:val="000000"/>
                <w:kern w:val="0"/>
                <w:sz w:val="25"/>
                <w:szCs w:val="24"/>
              </w:rPr>
              <w:t>债券名称</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14:paraId="7F4F165C" w14:textId="77777777" w:rsidR="00FB4D29" w:rsidRDefault="00CF4592">
            <w:pPr>
              <w:widowControl/>
              <w:snapToGrid w:val="0"/>
              <w:jc w:val="center"/>
              <w:rPr>
                <w:rFonts w:ascii="宋体" w:hAnsi="宋体"/>
                <w:color w:val="000000"/>
                <w:kern w:val="0"/>
                <w:sz w:val="25"/>
                <w:szCs w:val="24"/>
              </w:rPr>
            </w:pPr>
            <w:r>
              <w:rPr>
                <w:rFonts w:ascii="Times New Roman" w:hAnsi="Times New Roman"/>
                <w:color w:val="000000"/>
                <w:kern w:val="0"/>
                <w:sz w:val="25"/>
                <w:szCs w:val="24"/>
              </w:rPr>
              <w:t>数量（张）</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14:paraId="1819B62B" w14:textId="77777777" w:rsidR="00FB4D29" w:rsidRDefault="00CF4592">
            <w:pPr>
              <w:widowControl/>
              <w:snapToGrid w:val="0"/>
              <w:jc w:val="center"/>
              <w:rPr>
                <w:rFonts w:ascii="宋体" w:hAnsi="宋体"/>
                <w:color w:val="000000"/>
                <w:kern w:val="0"/>
                <w:sz w:val="25"/>
                <w:szCs w:val="24"/>
              </w:rPr>
            </w:pPr>
            <w:r>
              <w:rPr>
                <w:rFonts w:ascii="Times New Roman" w:hAnsi="Times New Roman"/>
                <w:color w:val="000000"/>
                <w:kern w:val="0"/>
                <w:sz w:val="25"/>
                <w:szCs w:val="24"/>
              </w:rPr>
              <w:t>公允价值（元）</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14:paraId="2D6E5515" w14:textId="77777777" w:rsidR="00FB4D29" w:rsidRDefault="00CF4592">
            <w:pPr>
              <w:widowControl/>
              <w:snapToGrid w:val="0"/>
              <w:jc w:val="center"/>
              <w:rPr>
                <w:rFonts w:ascii="宋体" w:hAnsi="宋体"/>
                <w:color w:val="000000"/>
                <w:kern w:val="0"/>
                <w:sz w:val="25"/>
                <w:szCs w:val="24"/>
              </w:rPr>
            </w:pPr>
            <w:r>
              <w:rPr>
                <w:rFonts w:ascii="Times New Roman" w:hAnsi="Times New Roman"/>
                <w:color w:val="000000"/>
                <w:kern w:val="0"/>
                <w:sz w:val="25"/>
                <w:szCs w:val="24"/>
              </w:rPr>
              <w:t>占基金资产净值比例（</w:t>
            </w:r>
            <w:r>
              <w:rPr>
                <w:rFonts w:ascii="Times New Roman" w:hAnsi="Times New Roman"/>
                <w:color w:val="000000"/>
                <w:kern w:val="0"/>
                <w:sz w:val="25"/>
                <w:szCs w:val="24"/>
              </w:rPr>
              <w:t>%</w:t>
            </w:r>
            <w:r>
              <w:rPr>
                <w:rFonts w:ascii="Times New Roman" w:hAnsi="Times New Roman"/>
                <w:color w:val="000000"/>
                <w:kern w:val="0"/>
                <w:sz w:val="25"/>
                <w:szCs w:val="24"/>
              </w:rPr>
              <w:t>）</w:t>
            </w:r>
          </w:p>
        </w:tc>
      </w:tr>
      <w:tr w:rsidR="00FB4D29" w14:paraId="032EC189"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579AF643" w14:textId="77777777" w:rsidR="00FB4D29" w:rsidRDefault="00CF4592">
            <w:pPr>
              <w:widowControl/>
              <w:snapToGrid w:val="0"/>
              <w:jc w:val="center"/>
              <w:rPr>
                <w:rFonts w:ascii="宋体" w:hAnsi="宋体"/>
                <w:color w:val="000000"/>
                <w:kern w:val="0"/>
                <w:sz w:val="25"/>
                <w:szCs w:val="24"/>
              </w:rPr>
            </w:pPr>
            <w:r>
              <w:rPr>
                <w:rFonts w:ascii="Times New Roman" w:hAnsi="Times New Roman"/>
                <w:color w:val="000000"/>
                <w:kern w:val="0"/>
                <w:sz w:val="25"/>
                <w:szCs w:val="24"/>
              </w:rPr>
              <w:t>1</w:t>
            </w:r>
          </w:p>
        </w:tc>
        <w:tc>
          <w:tcPr>
            <w:tcW w:w="750" w:type="pct"/>
            <w:tcBorders>
              <w:top w:val="single" w:sz="4" w:space="0" w:color="auto"/>
              <w:left w:val="single" w:sz="4" w:space="0" w:color="auto"/>
              <w:bottom w:val="single" w:sz="4" w:space="0" w:color="auto"/>
              <w:right w:val="single" w:sz="4" w:space="0" w:color="auto"/>
            </w:tcBorders>
            <w:vAlign w:val="center"/>
          </w:tcPr>
          <w:p w14:paraId="6EE643D3" w14:textId="77777777" w:rsidR="00FB4D29" w:rsidRDefault="00CF4592">
            <w:pPr>
              <w:widowControl/>
              <w:snapToGrid w:val="0"/>
              <w:jc w:val="center"/>
              <w:rPr>
                <w:rFonts w:ascii="宋体" w:hAnsi="宋体"/>
                <w:color w:val="000000"/>
                <w:kern w:val="0"/>
                <w:sz w:val="25"/>
                <w:szCs w:val="24"/>
              </w:rPr>
            </w:pPr>
            <w:r>
              <w:rPr>
                <w:rFonts w:ascii="Times New Roman" w:hAnsi="Times New Roman"/>
                <w:color w:val="000000"/>
                <w:kern w:val="0"/>
                <w:sz w:val="25"/>
                <w:szCs w:val="24"/>
              </w:rPr>
              <w:t>210308</w:t>
            </w:r>
          </w:p>
        </w:tc>
        <w:tc>
          <w:tcPr>
            <w:tcW w:w="750" w:type="pct"/>
            <w:tcBorders>
              <w:top w:val="single" w:sz="4" w:space="0" w:color="auto"/>
              <w:left w:val="single" w:sz="4" w:space="0" w:color="auto"/>
              <w:bottom w:val="single" w:sz="4" w:space="0" w:color="auto"/>
              <w:right w:val="single" w:sz="4" w:space="0" w:color="auto"/>
            </w:tcBorders>
            <w:vAlign w:val="center"/>
          </w:tcPr>
          <w:p w14:paraId="12C4ED8A" w14:textId="77777777" w:rsidR="00FB4D29" w:rsidRDefault="00CF4592">
            <w:pPr>
              <w:widowControl/>
              <w:snapToGrid w:val="0"/>
              <w:jc w:val="center"/>
              <w:rPr>
                <w:rFonts w:ascii="宋体" w:hAnsi="宋体"/>
                <w:color w:val="000000"/>
                <w:kern w:val="0"/>
                <w:sz w:val="25"/>
                <w:szCs w:val="24"/>
              </w:rPr>
            </w:pPr>
            <w:r>
              <w:rPr>
                <w:rFonts w:ascii="Times New Roman" w:hAnsi="Times New Roman"/>
                <w:color w:val="000000"/>
                <w:kern w:val="0"/>
                <w:sz w:val="25"/>
                <w:szCs w:val="24"/>
              </w:rPr>
              <w:t>21</w:t>
            </w:r>
            <w:r>
              <w:rPr>
                <w:rFonts w:ascii="Times New Roman" w:hAnsi="Times New Roman"/>
                <w:color w:val="000000"/>
                <w:kern w:val="0"/>
                <w:sz w:val="25"/>
                <w:szCs w:val="24"/>
              </w:rPr>
              <w:t>进出</w:t>
            </w:r>
            <w:r>
              <w:rPr>
                <w:rFonts w:ascii="Times New Roman" w:hAnsi="Times New Roman"/>
                <w:color w:val="000000"/>
                <w:kern w:val="0"/>
                <w:sz w:val="25"/>
                <w:szCs w:val="24"/>
              </w:rPr>
              <w:t>08</w:t>
            </w:r>
          </w:p>
        </w:tc>
        <w:tc>
          <w:tcPr>
            <w:tcW w:w="750" w:type="pct"/>
            <w:tcBorders>
              <w:top w:val="single" w:sz="4" w:space="0" w:color="auto"/>
              <w:left w:val="single" w:sz="4" w:space="0" w:color="auto"/>
              <w:bottom w:val="single" w:sz="4" w:space="0" w:color="auto"/>
              <w:right w:val="single" w:sz="4" w:space="0" w:color="auto"/>
            </w:tcBorders>
            <w:vAlign w:val="center"/>
          </w:tcPr>
          <w:p w14:paraId="27D99296" w14:textId="77777777" w:rsidR="00FB4D29" w:rsidRDefault="00CF4592">
            <w:pPr>
              <w:widowControl/>
              <w:snapToGrid w:val="0"/>
              <w:jc w:val="right"/>
              <w:rPr>
                <w:rFonts w:ascii="宋体" w:hAnsi="宋体"/>
                <w:color w:val="000000"/>
                <w:kern w:val="0"/>
                <w:sz w:val="25"/>
                <w:szCs w:val="24"/>
              </w:rPr>
            </w:pPr>
            <w:r>
              <w:rPr>
                <w:rFonts w:ascii="Times New Roman" w:hAnsi="Times New Roman"/>
                <w:color w:val="000000"/>
                <w:kern w:val="0"/>
                <w:sz w:val="25"/>
                <w:szCs w:val="24"/>
              </w:rPr>
              <w:t>500,000</w:t>
            </w:r>
          </w:p>
        </w:tc>
        <w:tc>
          <w:tcPr>
            <w:tcW w:w="750" w:type="pct"/>
            <w:tcBorders>
              <w:top w:val="single" w:sz="4" w:space="0" w:color="auto"/>
              <w:left w:val="single" w:sz="4" w:space="0" w:color="auto"/>
              <w:bottom w:val="single" w:sz="4" w:space="0" w:color="auto"/>
              <w:right w:val="single" w:sz="4" w:space="0" w:color="auto"/>
            </w:tcBorders>
            <w:vAlign w:val="center"/>
          </w:tcPr>
          <w:p w14:paraId="60D95AF5" w14:textId="77777777" w:rsidR="00FB4D29" w:rsidRDefault="00CF4592">
            <w:pPr>
              <w:widowControl/>
              <w:snapToGrid w:val="0"/>
              <w:jc w:val="right"/>
              <w:rPr>
                <w:rFonts w:ascii="宋体" w:hAnsi="宋体"/>
                <w:color w:val="000000"/>
                <w:kern w:val="0"/>
                <w:sz w:val="25"/>
                <w:szCs w:val="24"/>
              </w:rPr>
            </w:pPr>
            <w:r>
              <w:rPr>
                <w:rFonts w:ascii="Times New Roman" w:hAnsi="Times New Roman"/>
                <w:color w:val="000000"/>
                <w:kern w:val="0"/>
                <w:sz w:val="25"/>
                <w:szCs w:val="24"/>
              </w:rPr>
              <w:t>50,259,164.38</w:t>
            </w:r>
          </w:p>
        </w:tc>
        <w:tc>
          <w:tcPr>
            <w:tcW w:w="750" w:type="pct"/>
            <w:tcBorders>
              <w:top w:val="single" w:sz="4" w:space="0" w:color="auto"/>
              <w:left w:val="single" w:sz="4" w:space="0" w:color="auto"/>
              <w:bottom w:val="single" w:sz="4" w:space="0" w:color="auto"/>
              <w:right w:val="single" w:sz="4" w:space="0" w:color="auto"/>
            </w:tcBorders>
            <w:vAlign w:val="center"/>
          </w:tcPr>
          <w:p w14:paraId="0D835A60" w14:textId="77777777" w:rsidR="00FB4D29" w:rsidRDefault="00CF4592">
            <w:pPr>
              <w:widowControl/>
              <w:snapToGrid w:val="0"/>
              <w:jc w:val="right"/>
              <w:rPr>
                <w:rFonts w:ascii="宋体" w:hAnsi="宋体"/>
                <w:color w:val="000000"/>
                <w:kern w:val="0"/>
                <w:sz w:val="25"/>
                <w:szCs w:val="24"/>
              </w:rPr>
            </w:pPr>
            <w:r>
              <w:rPr>
                <w:rFonts w:ascii="Times New Roman" w:hAnsi="Times New Roman"/>
                <w:color w:val="000000"/>
                <w:kern w:val="0"/>
                <w:sz w:val="25"/>
                <w:szCs w:val="24"/>
              </w:rPr>
              <w:t>1.78</w:t>
            </w:r>
          </w:p>
        </w:tc>
      </w:tr>
      <w:tr w:rsidR="00FB4D29" w14:paraId="67EA3111"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33C36223" w14:textId="77777777" w:rsidR="00FB4D29" w:rsidRDefault="00CF4592">
            <w:pPr>
              <w:widowControl/>
              <w:snapToGrid w:val="0"/>
              <w:jc w:val="center"/>
              <w:rPr>
                <w:rFonts w:ascii="宋体" w:hAnsi="宋体"/>
                <w:color w:val="000000"/>
                <w:kern w:val="0"/>
                <w:sz w:val="25"/>
                <w:szCs w:val="24"/>
              </w:rPr>
            </w:pPr>
            <w:r>
              <w:rPr>
                <w:rFonts w:ascii="Times New Roman" w:hAnsi="Times New Roman"/>
                <w:color w:val="000000"/>
                <w:kern w:val="0"/>
                <w:sz w:val="25"/>
                <w:szCs w:val="24"/>
              </w:rPr>
              <w:lastRenderedPageBreak/>
              <w:t>2</w:t>
            </w:r>
          </w:p>
        </w:tc>
        <w:tc>
          <w:tcPr>
            <w:tcW w:w="750" w:type="pct"/>
            <w:tcBorders>
              <w:top w:val="single" w:sz="4" w:space="0" w:color="auto"/>
              <w:left w:val="single" w:sz="4" w:space="0" w:color="auto"/>
              <w:bottom w:val="single" w:sz="4" w:space="0" w:color="auto"/>
              <w:right w:val="single" w:sz="4" w:space="0" w:color="auto"/>
            </w:tcBorders>
            <w:vAlign w:val="center"/>
          </w:tcPr>
          <w:p w14:paraId="6998A97D" w14:textId="77777777" w:rsidR="00FB4D29" w:rsidRDefault="00CF4592">
            <w:pPr>
              <w:widowControl/>
              <w:snapToGrid w:val="0"/>
              <w:jc w:val="center"/>
              <w:rPr>
                <w:rFonts w:ascii="宋体" w:hAnsi="宋体"/>
                <w:color w:val="000000"/>
                <w:kern w:val="0"/>
                <w:sz w:val="25"/>
                <w:szCs w:val="24"/>
              </w:rPr>
            </w:pPr>
            <w:r>
              <w:rPr>
                <w:rFonts w:ascii="Times New Roman" w:hAnsi="Times New Roman"/>
                <w:color w:val="000000"/>
                <w:kern w:val="0"/>
                <w:sz w:val="25"/>
                <w:szCs w:val="24"/>
              </w:rPr>
              <w:t>210304</w:t>
            </w:r>
          </w:p>
        </w:tc>
        <w:tc>
          <w:tcPr>
            <w:tcW w:w="750" w:type="pct"/>
            <w:tcBorders>
              <w:top w:val="single" w:sz="4" w:space="0" w:color="auto"/>
              <w:left w:val="single" w:sz="4" w:space="0" w:color="auto"/>
              <w:bottom w:val="single" w:sz="4" w:space="0" w:color="auto"/>
              <w:right w:val="single" w:sz="4" w:space="0" w:color="auto"/>
            </w:tcBorders>
            <w:vAlign w:val="center"/>
          </w:tcPr>
          <w:p w14:paraId="20AB09E9" w14:textId="77777777" w:rsidR="00FB4D29" w:rsidRDefault="00CF4592">
            <w:pPr>
              <w:widowControl/>
              <w:snapToGrid w:val="0"/>
              <w:jc w:val="center"/>
              <w:rPr>
                <w:rFonts w:ascii="宋体" w:hAnsi="宋体"/>
                <w:color w:val="000000"/>
                <w:kern w:val="0"/>
                <w:sz w:val="25"/>
                <w:szCs w:val="24"/>
              </w:rPr>
            </w:pPr>
            <w:r>
              <w:rPr>
                <w:rFonts w:ascii="Times New Roman" w:hAnsi="Times New Roman"/>
                <w:color w:val="000000"/>
                <w:kern w:val="0"/>
                <w:sz w:val="25"/>
                <w:szCs w:val="24"/>
              </w:rPr>
              <w:t>21</w:t>
            </w:r>
            <w:r>
              <w:rPr>
                <w:rFonts w:ascii="Times New Roman" w:hAnsi="Times New Roman"/>
                <w:color w:val="000000"/>
                <w:kern w:val="0"/>
                <w:sz w:val="25"/>
                <w:szCs w:val="24"/>
              </w:rPr>
              <w:t>进出</w:t>
            </w:r>
            <w:r>
              <w:rPr>
                <w:rFonts w:ascii="Times New Roman" w:hAnsi="Times New Roman"/>
                <w:color w:val="000000"/>
                <w:kern w:val="0"/>
                <w:sz w:val="25"/>
                <w:szCs w:val="24"/>
              </w:rPr>
              <w:t>04</w:t>
            </w:r>
          </w:p>
        </w:tc>
        <w:tc>
          <w:tcPr>
            <w:tcW w:w="750" w:type="pct"/>
            <w:tcBorders>
              <w:top w:val="single" w:sz="4" w:space="0" w:color="auto"/>
              <w:left w:val="single" w:sz="4" w:space="0" w:color="auto"/>
              <w:bottom w:val="single" w:sz="4" w:space="0" w:color="auto"/>
              <w:right w:val="single" w:sz="4" w:space="0" w:color="auto"/>
            </w:tcBorders>
            <w:vAlign w:val="center"/>
          </w:tcPr>
          <w:p w14:paraId="5CA7FFE4" w14:textId="77777777" w:rsidR="00FB4D29" w:rsidRDefault="00CF4592">
            <w:pPr>
              <w:widowControl/>
              <w:snapToGrid w:val="0"/>
              <w:jc w:val="right"/>
              <w:rPr>
                <w:rFonts w:ascii="宋体" w:hAnsi="宋体"/>
                <w:color w:val="000000"/>
                <w:kern w:val="0"/>
                <w:sz w:val="25"/>
                <w:szCs w:val="24"/>
              </w:rPr>
            </w:pPr>
            <w:r>
              <w:rPr>
                <w:rFonts w:ascii="Times New Roman" w:hAnsi="Times New Roman"/>
                <w:color w:val="000000"/>
                <w:kern w:val="0"/>
                <w:sz w:val="25"/>
                <w:szCs w:val="24"/>
              </w:rPr>
              <w:t>200,000</w:t>
            </w:r>
          </w:p>
        </w:tc>
        <w:tc>
          <w:tcPr>
            <w:tcW w:w="750" w:type="pct"/>
            <w:tcBorders>
              <w:top w:val="single" w:sz="4" w:space="0" w:color="auto"/>
              <w:left w:val="single" w:sz="4" w:space="0" w:color="auto"/>
              <w:bottom w:val="single" w:sz="4" w:space="0" w:color="auto"/>
              <w:right w:val="single" w:sz="4" w:space="0" w:color="auto"/>
            </w:tcBorders>
            <w:vAlign w:val="center"/>
          </w:tcPr>
          <w:p w14:paraId="3410BC46" w14:textId="77777777" w:rsidR="00FB4D29" w:rsidRDefault="00CF4592">
            <w:pPr>
              <w:widowControl/>
              <w:snapToGrid w:val="0"/>
              <w:jc w:val="right"/>
              <w:rPr>
                <w:rFonts w:ascii="宋体" w:hAnsi="宋体"/>
                <w:color w:val="000000"/>
                <w:kern w:val="0"/>
                <w:sz w:val="25"/>
                <w:szCs w:val="24"/>
              </w:rPr>
            </w:pPr>
            <w:r>
              <w:rPr>
                <w:rFonts w:ascii="Times New Roman" w:hAnsi="Times New Roman"/>
                <w:color w:val="000000"/>
                <w:kern w:val="0"/>
                <w:sz w:val="25"/>
                <w:szCs w:val="24"/>
              </w:rPr>
              <w:t>20,409,753.42</w:t>
            </w:r>
          </w:p>
        </w:tc>
        <w:tc>
          <w:tcPr>
            <w:tcW w:w="750" w:type="pct"/>
            <w:tcBorders>
              <w:top w:val="single" w:sz="4" w:space="0" w:color="auto"/>
              <w:left w:val="single" w:sz="4" w:space="0" w:color="auto"/>
              <w:bottom w:val="single" w:sz="4" w:space="0" w:color="auto"/>
              <w:right w:val="single" w:sz="4" w:space="0" w:color="auto"/>
            </w:tcBorders>
            <w:vAlign w:val="center"/>
          </w:tcPr>
          <w:p w14:paraId="0113993C" w14:textId="77777777" w:rsidR="00FB4D29" w:rsidRDefault="00CF4592">
            <w:pPr>
              <w:widowControl/>
              <w:snapToGrid w:val="0"/>
              <w:jc w:val="right"/>
              <w:rPr>
                <w:rFonts w:ascii="宋体" w:hAnsi="宋体"/>
                <w:color w:val="000000"/>
                <w:kern w:val="0"/>
                <w:sz w:val="25"/>
                <w:szCs w:val="24"/>
              </w:rPr>
            </w:pPr>
            <w:r>
              <w:rPr>
                <w:rFonts w:ascii="Times New Roman" w:hAnsi="Times New Roman"/>
                <w:color w:val="000000"/>
                <w:kern w:val="0"/>
                <w:sz w:val="25"/>
                <w:szCs w:val="24"/>
              </w:rPr>
              <w:t>0.72</w:t>
            </w:r>
          </w:p>
        </w:tc>
      </w:tr>
      <w:tr w:rsidR="00FB4D29" w14:paraId="3DE7C87C"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1E6941B4" w14:textId="77777777" w:rsidR="00FB4D29" w:rsidRDefault="00CF4592">
            <w:pPr>
              <w:widowControl/>
              <w:snapToGrid w:val="0"/>
              <w:jc w:val="center"/>
              <w:rPr>
                <w:rFonts w:ascii="宋体" w:hAnsi="宋体"/>
                <w:color w:val="000000"/>
                <w:kern w:val="0"/>
                <w:sz w:val="25"/>
                <w:szCs w:val="24"/>
              </w:rPr>
            </w:pPr>
            <w:r>
              <w:rPr>
                <w:rFonts w:ascii="Times New Roman" w:hAnsi="Times New Roman"/>
                <w:color w:val="000000"/>
                <w:kern w:val="0"/>
                <w:sz w:val="25"/>
                <w:szCs w:val="24"/>
              </w:rPr>
              <w:t>3</w:t>
            </w:r>
          </w:p>
        </w:tc>
        <w:tc>
          <w:tcPr>
            <w:tcW w:w="750" w:type="pct"/>
            <w:tcBorders>
              <w:top w:val="single" w:sz="4" w:space="0" w:color="auto"/>
              <w:left w:val="single" w:sz="4" w:space="0" w:color="auto"/>
              <w:bottom w:val="single" w:sz="4" w:space="0" w:color="auto"/>
              <w:right w:val="single" w:sz="4" w:space="0" w:color="auto"/>
            </w:tcBorders>
            <w:vAlign w:val="center"/>
          </w:tcPr>
          <w:p w14:paraId="470A643E" w14:textId="77777777" w:rsidR="00FB4D29" w:rsidRDefault="00CF4592">
            <w:pPr>
              <w:widowControl/>
              <w:snapToGrid w:val="0"/>
              <w:jc w:val="center"/>
              <w:rPr>
                <w:rFonts w:ascii="宋体" w:hAnsi="宋体"/>
                <w:color w:val="000000"/>
                <w:kern w:val="0"/>
                <w:sz w:val="25"/>
                <w:szCs w:val="24"/>
              </w:rPr>
            </w:pPr>
            <w:r>
              <w:rPr>
                <w:rFonts w:ascii="Times New Roman" w:hAnsi="Times New Roman"/>
                <w:color w:val="000000"/>
                <w:kern w:val="0"/>
                <w:sz w:val="25"/>
                <w:szCs w:val="24"/>
              </w:rPr>
              <w:t>210211</w:t>
            </w:r>
          </w:p>
        </w:tc>
        <w:tc>
          <w:tcPr>
            <w:tcW w:w="750" w:type="pct"/>
            <w:tcBorders>
              <w:top w:val="single" w:sz="4" w:space="0" w:color="auto"/>
              <w:left w:val="single" w:sz="4" w:space="0" w:color="auto"/>
              <w:bottom w:val="single" w:sz="4" w:space="0" w:color="auto"/>
              <w:right w:val="single" w:sz="4" w:space="0" w:color="auto"/>
            </w:tcBorders>
            <w:vAlign w:val="center"/>
          </w:tcPr>
          <w:p w14:paraId="74B46DCB" w14:textId="77777777" w:rsidR="00FB4D29" w:rsidRDefault="00CF4592">
            <w:pPr>
              <w:widowControl/>
              <w:snapToGrid w:val="0"/>
              <w:jc w:val="center"/>
              <w:rPr>
                <w:rFonts w:ascii="宋体" w:hAnsi="宋体"/>
                <w:color w:val="000000"/>
                <w:kern w:val="0"/>
                <w:sz w:val="25"/>
                <w:szCs w:val="24"/>
              </w:rPr>
            </w:pPr>
            <w:r>
              <w:rPr>
                <w:rFonts w:ascii="Times New Roman" w:hAnsi="Times New Roman"/>
                <w:color w:val="000000"/>
                <w:kern w:val="0"/>
                <w:sz w:val="25"/>
                <w:szCs w:val="24"/>
              </w:rPr>
              <w:t>21</w:t>
            </w:r>
            <w:r>
              <w:rPr>
                <w:rFonts w:ascii="Times New Roman" w:hAnsi="Times New Roman"/>
                <w:color w:val="000000"/>
                <w:kern w:val="0"/>
                <w:sz w:val="25"/>
                <w:szCs w:val="24"/>
              </w:rPr>
              <w:t>国开</w:t>
            </w:r>
            <w:r>
              <w:rPr>
                <w:rFonts w:ascii="Times New Roman" w:hAnsi="Times New Roman"/>
                <w:color w:val="000000"/>
                <w:kern w:val="0"/>
                <w:sz w:val="25"/>
                <w:szCs w:val="24"/>
              </w:rPr>
              <w:t>11</w:t>
            </w:r>
          </w:p>
        </w:tc>
        <w:tc>
          <w:tcPr>
            <w:tcW w:w="750" w:type="pct"/>
            <w:tcBorders>
              <w:top w:val="single" w:sz="4" w:space="0" w:color="auto"/>
              <w:left w:val="single" w:sz="4" w:space="0" w:color="auto"/>
              <w:bottom w:val="single" w:sz="4" w:space="0" w:color="auto"/>
              <w:right w:val="single" w:sz="4" w:space="0" w:color="auto"/>
            </w:tcBorders>
            <w:vAlign w:val="center"/>
          </w:tcPr>
          <w:p w14:paraId="48E50BB1" w14:textId="77777777" w:rsidR="00FB4D29" w:rsidRDefault="00CF4592">
            <w:pPr>
              <w:widowControl/>
              <w:snapToGrid w:val="0"/>
              <w:jc w:val="right"/>
              <w:rPr>
                <w:rFonts w:ascii="宋体" w:hAnsi="宋体"/>
                <w:color w:val="000000"/>
                <w:kern w:val="0"/>
                <w:sz w:val="25"/>
                <w:szCs w:val="24"/>
              </w:rPr>
            </w:pPr>
            <w:r>
              <w:rPr>
                <w:rFonts w:ascii="Times New Roman" w:hAnsi="Times New Roman"/>
                <w:color w:val="000000"/>
                <w:kern w:val="0"/>
                <w:sz w:val="25"/>
                <w:szCs w:val="24"/>
              </w:rPr>
              <w:t>200,000</w:t>
            </w:r>
          </w:p>
        </w:tc>
        <w:tc>
          <w:tcPr>
            <w:tcW w:w="750" w:type="pct"/>
            <w:tcBorders>
              <w:top w:val="single" w:sz="4" w:space="0" w:color="auto"/>
              <w:left w:val="single" w:sz="4" w:space="0" w:color="auto"/>
              <w:bottom w:val="single" w:sz="4" w:space="0" w:color="auto"/>
              <w:right w:val="single" w:sz="4" w:space="0" w:color="auto"/>
            </w:tcBorders>
            <w:vAlign w:val="center"/>
          </w:tcPr>
          <w:p w14:paraId="15FE6463" w14:textId="77777777" w:rsidR="00FB4D29" w:rsidRDefault="00CF4592">
            <w:pPr>
              <w:widowControl/>
              <w:snapToGrid w:val="0"/>
              <w:jc w:val="right"/>
              <w:rPr>
                <w:rFonts w:ascii="宋体" w:hAnsi="宋体"/>
                <w:color w:val="000000"/>
                <w:kern w:val="0"/>
                <w:sz w:val="25"/>
                <w:szCs w:val="24"/>
              </w:rPr>
            </w:pPr>
            <w:r>
              <w:rPr>
                <w:rFonts w:ascii="Times New Roman" w:hAnsi="Times New Roman"/>
                <w:color w:val="000000"/>
                <w:kern w:val="0"/>
                <w:sz w:val="25"/>
                <w:szCs w:val="24"/>
              </w:rPr>
              <w:t>20,276,372.60</w:t>
            </w:r>
          </w:p>
        </w:tc>
        <w:tc>
          <w:tcPr>
            <w:tcW w:w="750" w:type="pct"/>
            <w:tcBorders>
              <w:top w:val="single" w:sz="4" w:space="0" w:color="auto"/>
              <w:left w:val="single" w:sz="4" w:space="0" w:color="auto"/>
              <w:bottom w:val="single" w:sz="4" w:space="0" w:color="auto"/>
              <w:right w:val="single" w:sz="4" w:space="0" w:color="auto"/>
            </w:tcBorders>
            <w:vAlign w:val="center"/>
          </w:tcPr>
          <w:p w14:paraId="5B5DF0B2" w14:textId="77777777" w:rsidR="00FB4D29" w:rsidRDefault="00CF4592">
            <w:pPr>
              <w:widowControl/>
              <w:snapToGrid w:val="0"/>
              <w:jc w:val="right"/>
              <w:rPr>
                <w:rFonts w:ascii="宋体" w:hAnsi="宋体"/>
                <w:color w:val="000000"/>
                <w:kern w:val="0"/>
                <w:sz w:val="25"/>
                <w:szCs w:val="24"/>
              </w:rPr>
            </w:pPr>
            <w:r>
              <w:rPr>
                <w:rFonts w:ascii="Times New Roman" w:hAnsi="Times New Roman"/>
                <w:color w:val="000000"/>
                <w:kern w:val="0"/>
                <w:sz w:val="25"/>
                <w:szCs w:val="24"/>
              </w:rPr>
              <w:t>0.72</w:t>
            </w:r>
          </w:p>
        </w:tc>
      </w:tr>
      <w:tr w:rsidR="00FB4D29" w14:paraId="57F74FE1"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00032580" w14:textId="77777777" w:rsidR="00FB4D29" w:rsidRDefault="00CF4592">
            <w:pPr>
              <w:widowControl/>
              <w:snapToGrid w:val="0"/>
              <w:jc w:val="center"/>
              <w:rPr>
                <w:rFonts w:ascii="宋体" w:hAnsi="宋体"/>
                <w:color w:val="000000"/>
                <w:kern w:val="0"/>
                <w:sz w:val="25"/>
                <w:szCs w:val="24"/>
              </w:rPr>
            </w:pPr>
            <w:r>
              <w:rPr>
                <w:rFonts w:ascii="Times New Roman" w:hAnsi="Times New Roman"/>
                <w:color w:val="000000"/>
                <w:kern w:val="0"/>
                <w:sz w:val="25"/>
                <w:szCs w:val="24"/>
              </w:rPr>
              <w:t>4</w:t>
            </w:r>
          </w:p>
        </w:tc>
        <w:tc>
          <w:tcPr>
            <w:tcW w:w="750" w:type="pct"/>
            <w:tcBorders>
              <w:top w:val="single" w:sz="4" w:space="0" w:color="auto"/>
              <w:left w:val="single" w:sz="4" w:space="0" w:color="auto"/>
              <w:bottom w:val="single" w:sz="4" w:space="0" w:color="auto"/>
              <w:right w:val="single" w:sz="4" w:space="0" w:color="auto"/>
            </w:tcBorders>
            <w:vAlign w:val="center"/>
          </w:tcPr>
          <w:p w14:paraId="13C25AEC" w14:textId="77777777" w:rsidR="00FB4D29" w:rsidRDefault="00CF4592">
            <w:pPr>
              <w:widowControl/>
              <w:snapToGrid w:val="0"/>
              <w:jc w:val="center"/>
              <w:rPr>
                <w:rFonts w:ascii="宋体" w:hAnsi="宋体"/>
                <w:color w:val="000000"/>
                <w:kern w:val="0"/>
                <w:sz w:val="25"/>
                <w:szCs w:val="24"/>
              </w:rPr>
            </w:pPr>
            <w:r>
              <w:rPr>
                <w:rFonts w:ascii="Times New Roman" w:hAnsi="Times New Roman"/>
                <w:color w:val="000000"/>
                <w:kern w:val="0"/>
                <w:sz w:val="25"/>
                <w:szCs w:val="24"/>
              </w:rPr>
              <w:t>113641</w:t>
            </w:r>
          </w:p>
        </w:tc>
        <w:tc>
          <w:tcPr>
            <w:tcW w:w="750" w:type="pct"/>
            <w:tcBorders>
              <w:top w:val="single" w:sz="4" w:space="0" w:color="auto"/>
              <w:left w:val="single" w:sz="4" w:space="0" w:color="auto"/>
              <w:bottom w:val="single" w:sz="4" w:space="0" w:color="auto"/>
              <w:right w:val="single" w:sz="4" w:space="0" w:color="auto"/>
            </w:tcBorders>
            <w:vAlign w:val="center"/>
          </w:tcPr>
          <w:p w14:paraId="2226C4CA" w14:textId="77777777" w:rsidR="00FB4D29" w:rsidRDefault="00CF4592">
            <w:pPr>
              <w:widowControl/>
              <w:snapToGrid w:val="0"/>
              <w:jc w:val="center"/>
              <w:rPr>
                <w:rFonts w:ascii="宋体" w:hAnsi="宋体"/>
                <w:color w:val="000000"/>
                <w:kern w:val="0"/>
                <w:sz w:val="25"/>
                <w:szCs w:val="24"/>
              </w:rPr>
            </w:pPr>
            <w:r>
              <w:rPr>
                <w:rFonts w:ascii="Times New Roman" w:hAnsi="Times New Roman"/>
                <w:color w:val="000000"/>
                <w:kern w:val="0"/>
                <w:sz w:val="25"/>
                <w:szCs w:val="24"/>
              </w:rPr>
              <w:t>华友转债</w:t>
            </w:r>
          </w:p>
        </w:tc>
        <w:tc>
          <w:tcPr>
            <w:tcW w:w="750" w:type="pct"/>
            <w:tcBorders>
              <w:top w:val="single" w:sz="4" w:space="0" w:color="auto"/>
              <w:left w:val="single" w:sz="4" w:space="0" w:color="auto"/>
              <w:bottom w:val="single" w:sz="4" w:space="0" w:color="auto"/>
              <w:right w:val="single" w:sz="4" w:space="0" w:color="auto"/>
            </w:tcBorders>
            <w:vAlign w:val="center"/>
          </w:tcPr>
          <w:p w14:paraId="44582B66" w14:textId="77777777" w:rsidR="00FB4D29" w:rsidRDefault="00CF4592">
            <w:pPr>
              <w:widowControl/>
              <w:snapToGrid w:val="0"/>
              <w:jc w:val="right"/>
              <w:rPr>
                <w:rFonts w:ascii="宋体" w:hAnsi="宋体"/>
                <w:color w:val="000000"/>
                <w:kern w:val="0"/>
                <w:sz w:val="25"/>
                <w:szCs w:val="24"/>
              </w:rPr>
            </w:pPr>
            <w:r>
              <w:rPr>
                <w:rFonts w:ascii="Times New Roman" w:hAnsi="Times New Roman"/>
                <w:color w:val="000000"/>
                <w:kern w:val="0"/>
                <w:sz w:val="25"/>
                <w:szCs w:val="24"/>
              </w:rPr>
              <w:t>6,500</w:t>
            </w:r>
          </w:p>
        </w:tc>
        <w:tc>
          <w:tcPr>
            <w:tcW w:w="750" w:type="pct"/>
            <w:tcBorders>
              <w:top w:val="single" w:sz="4" w:space="0" w:color="auto"/>
              <w:left w:val="single" w:sz="4" w:space="0" w:color="auto"/>
              <w:bottom w:val="single" w:sz="4" w:space="0" w:color="auto"/>
              <w:right w:val="single" w:sz="4" w:space="0" w:color="auto"/>
            </w:tcBorders>
            <w:vAlign w:val="center"/>
          </w:tcPr>
          <w:p w14:paraId="0585B81F" w14:textId="77777777" w:rsidR="00FB4D29" w:rsidRDefault="00CF4592">
            <w:pPr>
              <w:widowControl/>
              <w:snapToGrid w:val="0"/>
              <w:jc w:val="right"/>
              <w:rPr>
                <w:rFonts w:ascii="宋体" w:hAnsi="宋体"/>
                <w:color w:val="000000"/>
                <w:kern w:val="0"/>
                <w:sz w:val="25"/>
                <w:szCs w:val="24"/>
              </w:rPr>
            </w:pPr>
            <w:r>
              <w:rPr>
                <w:rFonts w:ascii="Times New Roman" w:hAnsi="Times New Roman"/>
                <w:color w:val="000000"/>
                <w:kern w:val="0"/>
                <w:sz w:val="25"/>
                <w:szCs w:val="24"/>
              </w:rPr>
              <w:t>783,027.58</w:t>
            </w:r>
          </w:p>
        </w:tc>
        <w:tc>
          <w:tcPr>
            <w:tcW w:w="750" w:type="pct"/>
            <w:tcBorders>
              <w:top w:val="single" w:sz="4" w:space="0" w:color="auto"/>
              <w:left w:val="single" w:sz="4" w:space="0" w:color="auto"/>
              <w:bottom w:val="single" w:sz="4" w:space="0" w:color="auto"/>
              <w:right w:val="single" w:sz="4" w:space="0" w:color="auto"/>
            </w:tcBorders>
            <w:vAlign w:val="center"/>
          </w:tcPr>
          <w:p w14:paraId="75F520C6" w14:textId="77777777" w:rsidR="00FB4D29" w:rsidRDefault="00CF4592">
            <w:pPr>
              <w:widowControl/>
              <w:snapToGrid w:val="0"/>
              <w:jc w:val="right"/>
              <w:rPr>
                <w:rFonts w:ascii="宋体" w:hAnsi="宋体"/>
                <w:color w:val="000000"/>
                <w:kern w:val="0"/>
                <w:sz w:val="25"/>
                <w:szCs w:val="24"/>
              </w:rPr>
            </w:pPr>
            <w:r>
              <w:rPr>
                <w:rFonts w:ascii="Times New Roman" w:hAnsi="Times New Roman"/>
                <w:color w:val="000000"/>
                <w:kern w:val="0"/>
                <w:sz w:val="25"/>
                <w:szCs w:val="24"/>
              </w:rPr>
              <w:t>0.03</w:t>
            </w:r>
          </w:p>
        </w:tc>
      </w:tr>
    </w:tbl>
    <w:p w14:paraId="45C03FA2"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6、报告期末按公允价值占基金资产净值比例大小排序的前十名资产支持证券投资明细</w:t>
      </w:r>
    </w:p>
    <w:p w14:paraId="7B55FBF8"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无。</w:t>
      </w:r>
    </w:p>
    <w:p w14:paraId="2CB05C4B"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7、报告期末按公允价值占基金资产净值比例大小排序的前五名贵金属投资明细</w:t>
      </w:r>
    </w:p>
    <w:p w14:paraId="04D18530"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无。</w:t>
      </w:r>
    </w:p>
    <w:p w14:paraId="74EF310A"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8、报告期末按公允价值占基金资产净值比例大小排序的前五名权证投资明细</w:t>
      </w:r>
    </w:p>
    <w:p w14:paraId="17394C17"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无。</w:t>
      </w:r>
    </w:p>
    <w:p w14:paraId="0C28C0C9"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9、报告期末本基金投资的股指期货交易情况说明</w:t>
      </w:r>
    </w:p>
    <w:p w14:paraId="12789BDD"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9.1 报告期末本基金投资的股指期货持仓和损益明细</w:t>
      </w:r>
    </w:p>
    <w:p w14:paraId="380033A5"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无。</w:t>
      </w:r>
    </w:p>
    <w:p w14:paraId="7ACA09EB"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9.2 本基金投资股指期货的投资政策</w:t>
      </w:r>
    </w:p>
    <w:p w14:paraId="33EB796D"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无。</w:t>
      </w:r>
    </w:p>
    <w:p w14:paraId="6B9E2A94"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10、报告期末本基金投资的国债期货交易情况说明</w:t>
      </w:r>
    </w:p>
    <w:p w14:paraId="2DD463C2"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10.1 本期国债期货投资政策</w:t>
      </w:r>
    </w:p>
    <w:p w14:paraId="4803C3D8"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无。</w:t>
      </w:r>
    </w:p>
    <w:p w14:paraId="537D226A"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10.2 报告期末本基金投资的国债期货持仓和损益明细</w:t>
      </w:r>
    </w:p>
    <w:p w14:paraId="029E1A66"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无。</w:t>
      </w:r>
    </w:p>
    <w:p w14:paraId="06675F06"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10.3 本期国债期货投资评价</w:t>
      </w:r>
    </w:p>
    <w:p w14:paraId="46B523DA"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无。</w:t>
      </w:r>
    </w:p>
    <w:p w14:paraId="2E2D3548"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11、投资组合报告附注</w:t>
      </w:r>
    </w:p>
    <w:p w14:paraId="1761E692"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11.1 本基金投资的前十名证券的发行主体本期是否出现被监管部门立案调查，或在报告编制日前一年内受到公开谴责、处罚的情形</w:t>
      </w:r>
    </w:p>
    <w:p w14:paraId="21D73998"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报告期内本基金投资的前十名证券的发行主体未被监管部门立案调查，在本报告编制日前一年内本基金投资的前十名证券的发行主体未受到公开谴责和处罚。</w:t>
      </w:r>
    </w:p>
    <w:p w14:paraId="58C94BCB"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11.2 基金投资的前十名股票是否超出基金合同规定的备选股票库</w:t>
      </w:r>
    </w:p>
    <w:p w14:paraId="3D6D80D7"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本基金投资的前十名股票中，没有超出基金合同规定的备选股票库之外的股票。</w:t>
      </w:r>
    </w:p>
    <w:p w14:paraId="2CF486A2"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11.3 其他资产构成</w:t>
      </w:r>
    </w:p>
    <w:tbl>
      <w:tblPr>
        <w:tblW w:w="5000" w:type="pct"/>
        <w:tblCellMar>
          <w:left w:w="0" w:type="dxa"/>
          <w:right w:w="0" w:type="dxa"/>
        </w:tblCellMar>
        <w:tblLook w:val="0000" w:firstRow="0" w:lastRow="0" w:firstColumn="0" w:lastColumn="0" w:noHBand="0" w:noVBand="0"/>
      </w:tblPr>
      <w:tblGrid>
        <w:gridCol w:w="1544"/>
        <w:gridCol w:w="4634"/>
        <w:gridCol w:w="2472"/>
      </w:tblGrid>
      <w:tr w:rsidR="00FB4D29" w14:paraId="3918CA8D" w14:textId="77777777">
        <w:trPr>
          <w:cantSplit/>
          <w:trHeight w:val="375"/>
        </w:trPr>
        <w:tc>
          <w:tcPr>
            <w:tcW w:w="250" w:type="pct"/>
            <w:tcBorders>
              <w:top w:val="single" w:sz="4" w:space="0" w:color="auto"/>
              <w:left w:val="single" w:sz="4" w:space="0" w:color="auto"/>
              <w:bottom w:val="single" w:sz="4" w:space="0" w:color="auto"/>
              <w:right w:val="single" w:sz="4" w:space="0" w:color="auto"/>
            </w:tcBorders>
            <w:shd w:val="clear" w:color="auto" w:fill="D9D9D9"/>
            <w:vAlign w:val="center"/>
          </w:tcPr>
          <w:p w14:paraId="3BDDB61D" w14:textId="77777777" w:rsidR="00FB4D29" w:rsidRDefault="00CF4592">
            <w:pPr>
              <w:widowControl/>
              <w:snapToGrid w:val="0"/>
              <w:jc w:val="center"/>
              <w:rPr>
                <w:rFonts w:ascii="宋体" w:hAnsi="宋体"/>
                <w:color w:val="000000"/>
                <w:kern w:val="0"/>
                <w:sz w:val="25"/>
                <w:szCs w:val="24"/>
              </w:rPr>
            </w:pPr>
            <w:r>
              <w:rPr>
                <w:rFonts w:ascii="Times New Roman" w:hAnsi="Times New Roman"/>
                <w:color w:val="000000"/>
                <w:kern w:val="0"/>
                <w:sz w:val="25"/>
                <w:szCs w:val="24"/>
              </w:rPr>
              <w:t>序号</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14:paraId="43A05864" w14:textId="77777777" w:rsidR="00FB4D29" w:rsidRDefault="00CF4592">
            <w:pPr>
              <w:widowControl/>
              <w:snapToGrid w:val="0"/>
              <w:jc w:val="center"/>
              <w:rPr>
                <w:rFonts w:ascii="宋体" w:hAnsi="宋体"/>
                <w:color w:val="000000"/>
                <w:kern w:val="0"/>
                <w:sz w:val="25"/>
                <w:szCs w:val="24"/>
              </w:rPr>
            </w:pPr>
            <w:r>
              <w:rPr>
                <w:rFonts w:ascii="Times New Roman" w:hAnsi="Times New Roman"/>
                <w:color w:val="000000"/>
                <w:kern w:val="0"/>
                <w:sz w:val="25"/>
                <w:szCs w:val="24"/>
              </w:rPr>
              <w:t>名称</w:t>
            </w:r>
          </w:p>
        </w:tc>
        <w:tc>
          <w:tcPr>
            <w:tcW w:w="400" w:type="pct"/>
            <w:tcBorders>
              <w:top w:val="single" w:sz="4" w:space="0" w:color="auto"/>
              <w:left w:val="single" w:sz="4" w:space="0" w:color="auto"/>
              <w:bottom w:val="single" w:sz="4" w:space="0" w:color="auto"/>
              <w:right w:val="single" w:sz="4" w:space="0" w:color="auto"/>
            </w:tcBorders>
            <w:shd w:val="clear" w:color="auto" w:fill="D9D9D9"/>
            <w:vAlign w:val="center"/>
          </w:tcPr>
          <w:p w14:paraId="796BD6B5" w14:textId="77777777" w:rsidR="00FB4D29" w:rsidRDefault="00CF4592">
            <w:pPr>
              <w:widowControl/>
              <w:snapToGrid w:val="0"/>
              <w:jc w:val="center"/>
              <w:rPr>
                <w:rFonts w:ascii="宋体" w:hAnsi="宋体"/>
                <w:color w:val="000000"/>
                <w:kern w:val="0"/>
                <w:sz w:val="25"/>
                <w:szCs w:val="24"/>
              </w:rPr>
            </w:pPr>
            <w:r>
              <w:rPr>
                <w:rFonts w:ascii="Times New Roman" w:hAnsi="Times New Roman"/>
                <w:color w:val="000000"/>
                <w:kern w:val="0"/>
                <w:sz w:val="25"/>
                <w:szCs w:val="24"/>
              </w:rPr>
              <w:t>金额（元）</w:t>
            </w:r>
          </w:p>
        </w:tc>
      </w:tr>
      <w:tr w:rsidR="00FB4D29" w14:paraId="3B553226"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071F532D" w14:textId="77777777" w:rsidR="00FB4D29" w:rsidRDefault="00CF4592">
            <w:pPr>
              <w:widowControl/>
              <w:snapToGrid w:val="0"/>
              <w:jc w:val="center"/>
              <w:rPr>
                <w:rFonts w:ascii="宋体" w:hAnsi="宋体"/>
                <w:color w:val="000000"/>
                <w:kern w:val="0"/>
                <w:sz w:val="25"/>
                <w:szCs w:val="24"/>
              </w:rPr>
            </w:pPr>
            <w:r>
              <w:rPr>
                <w:rFonts w:ascii="Times New Roman" w:hAnsi="Times New Roman"/>
                <w:color w:val="000000"/>
                <w:kern w:val="0"/>
                <w:sz w:val="25"/>
                <w:szCs w:val="24"/>
              </w:rPr>
              <w:t>1</w:t>
            </w:r>
          </w:p>
        </w:tc>
        <w:tc>
          <w:tcPr>
            <w:tcW w:w="750" w:type="pct"/>
            <w:tcBorders>
              <w:top w:val="single" w:sz="4" w:space="0" w:color="auto"/>
              <w:left w:val="single" w:sz="4" w:space="0" w:color="auto"/>
              <w:bottom w:val="single" w:sz="4" w:space="0" w:color="auto"/>
              <w:right w:val="single" w:sz="4" w:space="0" w:color="auto"/>
            </w:tcBorders>
            <w:vAlign w:val="center"/>
          </w:tcPr>
          <w:p w14:paraId="57C6918E"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存出保证金</w:t>
            </w:r>
          </w:p>
        </w:tc>
        <w:tc>
          <w:tcPr>
            <w:tcW w:w="400" w:type="pct"/>
            <w:tcBorders>
              <w:top w:val="single" w:sz="4" w:space="0" w:color="auto"/>
              <w:left w:val="single" w:sz="4" w:space="0" w:color="auto"/>
              <w:bottom w:val="single" w:sz="4" w:space="0" w:color="auto"/>
              <w:right w:val="single" w:sz="4" w:space="0" w:color="auto"/>
            </w:tcBorders>
            <w:vAlign w:val="center"/>
          </w:tcPr>
          <w:p w14:paraId="77CAD4DE" w14:textId="77777777" w:rsidR="00FB4D29" w:rsidRDefault="00CF4592">
            <w:pPr>
              <w:widowControl/>
              <w:snapToGrid w:val="0"/>
              <w:jc w:val="right"/>
              <w:rPr>
                <w:rFonts w:ascii="宋体" w:hAnsi="宋体"/>
                <w:color w:val="000000"/>
                <w:kern w:val="0"/>
                <w:sz w:val="25"/>
                <w:szCs w:val="24"/>
              </w:rPr>
            </w:pPr>
            <w:r>
              <w:rPr>
                <w:rFonts w:ascii="Times New Roman" w:hAnsi="Times New Roman"/>
                <w:color w:val="000000"/>
                <w:kern w:val="0"/>
                <w:sz w:val="25"/>
                <w:szCs w:val="24"/>
              </w:rPr>
              <w:t>885,174.49</w:t>
            </w:r>
          </w:p>
        </w:tc>
      </w:tr>
      <w:tr w:rsidR="00FB4D29" w14:paraId="012595F3"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4E71AC0D" w14:textId="77777777" w:rsidR="00FB4D29" w:rsidRDefault="00CF4592">
            <w:pPr>
              <w:widowControl/>
              <w:snapToGrid w:val="0"/>
              <w:jc w:val="center"/>
              <w:rPr>
                <w:rFonts w:ascii="宋体" w:hAnsi="宋体"/>
                <w:color w:val="000000"/>
                <w:kern w:val="0"/>
                <w:sz w:val="25"/>
                <w:szCs w:val="24"/>
              </w:rPr>
            </w:pPr>
            <w:r>
              <w:rPr>
                <w:rFonts w:ascii="Times New Roman" w:hAnsi="Times New Roman"/>
                <w:color w:val="000000"/>
                <w:kern w:val="0"/>
                <w:sz w:val="25"/>
                <w:szCs w:val="24"/>
              </w:rPr>
              <w:t>2</w:t>
            </w:r>
          </w:p>
        </w:tc>
        <w:tc>
          <w:tcPr>
            <w:tcW w:w="750" w:type="pct"/>
            <w:tcBorders>
              <w:top w:val="single" w:sz="4" w:space="0" w:color="auto"/>
              <w:left w:val="single" w:sz="4" w:space="0" w:color="auto"/>
              <w:bottom w:val="single" w:sz="4" w:space="0" w:color="auto"/>
              <w:right w:val="single" w:sz="4" w:space="0" w:color="auto"/>
            </w:tcBorders>
            <w:vAlign w:val="center"/>
          </w:tcPr>
          <w:p w14:paraId="79E25D2A"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应收证券清算款</w:t>
            </w:r>
          </w:p>
        </w:tc>
        <w:tc>
          <w:tcPr>
            <w:tcW w:w="400" w:type="pct"/>
            <w:tcBorders>
              <w:top w:val="single" w:sz="4" w:space="0" w:color="auto"/>
              <w:left w:val="single" w:sz="4" w:space="0" w:color="auto"/>
              <w:bottom w:val="single" w:sz="4" w:space="0" w:color="auto"/>
              <w:right w:val="single" w:sz="4" w:space="0" w:color="auto"/>
            </w:tcBorders>
            <w:vAlign w:val="center"/>
          </w:tcPr>
          <w:p w14:paraId="7C1D0A6B" w14:textId="77777777" w:rsidR="00FB4D29" w:rsidRDefault="00CF4592">
            <w:pPr>
              <w:widowControl/>
              <w:snapToGrid w:val="0"/>
              <w:jc w:val="right"/>
              <w:rPr>
                <w:rFonts w:ascii="宋体" w:hAnsi="宋体"/>
                <w:color w:val="000000"/>
                <w:kern w:val="0"/>
                <w:sz w:val="25"/>
                <w:szCs w:val="24"/>
              </w:rPr>
            </w:pPr>
            <w:r>
              <w:rPr>
                <w:rFonts w:ascii="Times New Roman" w:hAnsi="Times New Roman"/>
                <w:color w:val="000000"/>
                <w:kern w:val="0"/>
                <w:sz w:val="25"/>
                <w:szCs w:val="24"/>
              </w:rPr>
              <w:t>31,465,549.76</w:t>
            </w:r>
          </w:p>
        </w:tc>
      </w:tr>
      <w:tr w:rsidR="00FB4D29" w14:paraId="23A1EC82"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19F62E1F" w14:textId="77777777" w:rsidR="00FB4D29" w:rsidRDefault="00CF4592">
            <w:pPr>
              <w:widowControl/>
              <w:snapToGrid w:val="0"/>
              <w:jc w:val="center"/>
              <w:rPr>
                <w:rFonts w:ascii="宋体" w:hAnsi="宋体"/>
                <w:color w:val="000000"/>
                <w:kern w:val="0"/>
                <w:sz w:val="25"/>
                <w:szCs w:val="24"/>
              </w:rPr>
            </w:pPr>
            <w:r>
              <w:rPr>
                <w:rFonts w:ascii="Times New Roman" w:hAnsi="Times New Roman"/>
                <w:color w:val="000000"/>
                <w:kern w:val="0"/>
                <w:sz w:val="25"/>
                <w:szCs w:val="24"/>
              </w:rPr>
              <w:t>3</w:t>
            </w:r>
          </w:p>
        </w:tc>
        <w:tc>
          <w:tcPr>
            <w:tcW w:w="750" w:type="pct"/>
            <w:tcBorders>
              <w:top w:val="single" w:sz="4" w:space="0" w:color="auto"/>
              <w:left w:val="single" w:sz="4" w:space="0" w:color="auto"/>
              <w:bottom w:val="single" w:sz="4" w:space="0" w:color="auto"/>
              <w:right w:val="single" w:sz="4" w:space="0" w:color="auto"/>
            </w:tcBorders>
            <w:vAlign w:val="center"/>
          </w:tcPr>
          <w:p w14:paraId="14542080"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应收股利</w:t>
            </w:r>
          </w:p>
        </w:tc>
        <w:tc>
          <w:tcPr>
            <w:tcW w:w="400" w:type="pct"/>
            <w:tcBorders>
              <w:top w:val="single" w:sz="4" w:space="0" w:color="auto"/>
              <w:left w:val="single" w:sz="4" w:space="0" w:color="auto"/>
              <w:bottom w:val="single" w:sz="4" w:space="0" w:color="auto"/>
              <w:right w:val="single" w:sz="4" w:space="0" w:color="auto"/>
            </w:tcBorders>
            <w:vAlign w:val="center"/>
          </w:tcPr>
          <w:p w14:paraId="7A6F872E" w14:textId="77777777" w:rsidR="00FB4D29" w:rsidRDefault="00CF4592">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FB4D29" w14:paraId="5560338C"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15FAEB9B" w14:textId="77777777" w:rsidR="00FB4D29" w:rsidRDefault="00CF4592">
            <w:pPr>
              <w:widowControl/>
              <w:snapToGrid w:val="0"/>
              <w:jc w:val="center"/>
              <w:rPr>
                <w:rFonts w:ascii="宋体" w:hAnsi="宋体"/>
                <w:color w:val="000000"/>
                <w:kern w:val="0"/>
                <w:sz w:val="25"/>
                <w:szCs w:val="24"/>
              </w:rPr>
            </w:pPr>
            <w:r>
              <w:rPr>
                <w:rFonts w:ascii="Times New Roman" w:hAnsi="Times New Roman"/>
                <w:color w:val="000000"/>
                <w:kern w:val="0"/>
                <w:sz w:val="25"/>
                <w:szCs w:val="24"/>
              </w:rPr>
              <w:t>4</w:t>
            </w:r>
          </w:p>
        </w:tc>
        <w:tc>
          <w:tcPr>
            <w:tcW w:w="750" w:type="pct"/>
            <w:tcBorders>
              <w:top w:val="single" w:sz="4" w:space="0" w:color="auto"/>
              <w:left w:val="single" w:sz="4" w:space="0" w:color="auto"/>
              <w:bottom w:val="single" w:sz="4" w:space="0" w:color="auto"/>
              <w:right w:val="single" w:sz="4" w:space="0" w:color="auto"/>
            </w:tcBorders>
            <w:vAlign w:val="center"/>
          </w:tcPr>
          <w:p w14:paraId="562D4B82"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应收利息</w:t>
            </w:r>
          </w:p>
        </w:tc>
        <w:tc>
          <w:tcPr>
            <w:tcW w:w="400" w:type="pct"/>
            <w:tcBorders>
              <w:top w:val="single" w:sz="4" w:space="0" w:color="auto"/>
              <w:left w:val="single" w:sz="4" w:space="0" w:color="auto"/>
              <w:bottom w:val="single" w:sz="4" w:space="0" w:color="auto"/>
              <w:right w:val="single" w:sz="4" w:space="0" w:color="auto"/>
            </w:tcBorders>
            <w:vAlign w:val="center"/>
          </w:tcPr>
          <w:p w14:paraId="22B6AEE4" w14:textId="77777777" w:rsidR="00FB4D29" w:rsidRDefault="00CF4592">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FB4D29" w14:paraId="48AF1540"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66A67014" w14:textId="77777777" w:rsidR="00FB4D29" w:rsidRDefault="00CF4592">
            <w:pPr>
              <w:widowControl/>
              <w:snapToGrid w:val="0"/>
              <w:jc w:val="center"/>
              <w:rPr>
                <w:rFonts w:ascii="宋体" w:hAnsi="宋体"/>
                <w:color w:val="000000"/>
                <w:kern w:val="0"/>
                <w:sz w:val="25"/>
                <w:szCs w:val="24"/>
              </w:rPr>
            </w:pPr>
            <w:r>
              <w:rPr>
                <w:rFonts w:ascii="Times New Roman" w:hAnsi="Times New Roman"/>
                <w:color w:val="000000"/>
                <w:kern w:val="0"/>
                <w:sz w:val="25"/>
                <w:szCs w:val="24"/>
              </w:rPr>
              <w:t>5</w:t>
            </w:r>
          </w:p>
        </w:tc>
        <w:tc>
          <w:tcPr>
            <w:tcW w:w="750" w:type="pct"/>
            <w:tcBorders>
              <w:top w:val="single" w:sz="4" w:space="0" w:color="auto"/>
              <w:left w:val="single" w:sz="4" w:space="0" w:color="auto"/>
              <w:bottom w:val="single" w:sz="4" w:space="0" w:color="auto"/>
              <w:right w:val="single" w:sz="4" w:space="0" w:color="auto"/>
            </w:tcBorders>
            <w:vAlign w:val="center"/>
          </w:tcPr>
          <w:p w14:paraId="1A269086"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应收申购款</w:t>
            </w:r>
          </w:p>
        </w:tc>
        <w:tc>
          <w:tcPr>
            <w:tcW w:w="400" w:type="pct"/>
            <w:tcBorders>
              <w:top w:val="single" w:sz="4" w:space="0" w:color="auto"/>
              <w:left w:val="single" w:sz="4" w:space="0" w:color="auto"/>
              <w:bottom w:val="single" w:sz="4" w:space="0" w:color="auto"/>
              <w:right w:val="single" w:sz="4" w:space="0" w:color="auto"/>
            </w:tcBorders>
            <w:vAlign w:val="center"/>
          </w:tcPr>
          <w:p w14:paraId="548335AD" w14:textId="77777777" w:rsidR="00FB4D29" w:rsidRDefault="00CF4592">
            <w:pPr>
              <w:widowControl/>
              <w:snapToGrid w:val="0"/>
              <w:jc w:val="right"/>
              <w:rPr>
                <w:rFonts w:ascii="宋体" w:hAnsi="宋体"/>
                <w:color w:val="000000"/>
                <w:kern w:val="0"/>
                <w:sz w:val="25"/>
                <w:szCs w:val="24"/>
              </w:rPr>
            </w:pPr>
            <w:r>
              <w:rPr>
                <w:rFonts w:ascii="Times New Roman" w:hAnsi="Times New Roman"/>
                <w:color w:val="000000"/>
                <w:kern w:val="0"/>
                <w:sz w:val="25"/>
                <w:szCs w:val="24"/>
              </w:rPr>
              <w:t>1,185,886.70</w:t>
            </w:r>
          </w:p>
        </w:tc>
      </w:tr>
      <w:tr w:rsidR="00FB4D29" w14:paraId="610F6AEA"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7FCF0533" w14:textId="77777777" w:rsidR="00FB4D29" w:rsidRDefault="00CF4592">
            <w:pPr>
              <w:widowControl/>
              <w:snapToGrid w:val="0"/>
              <w:jc w:val="center"/>
              <w:rPr>
                <w:rFonts w:ascii="宋体" w:hAnsi="宋体"/>
                <w:color w:val="000000"/>
                <w:kern w:val="0"/>
                <w:sz w:val="25"/>
                <w:szCs w:val="24"/>
              </w:rPr>
            </w:pPr>
            <w:r>
              <w:rPr>
                <w:rFonts w:ascii="Times New Roman" w:hAnsi="Times New Roman"/>
                <w:color w:val="000000"/>
                <w:kern w:val="0"/>
                <w:sz w:val="25"/>
                <w:szCs w:val="24"/>
              </w:rPr>
              <w:t>6</w:t>
            </w:r>
          </w:p>
        </w:tc>
        <w:tc>
          <w:tcPr>
            <w:tcW w:w="750" w:type="pct"/>
            <w:tcBorders>
              <w:top w:val="single" w:sz="4" w:space="0" w:color="auto"/>
              <w:left w:val="single" w:sz="4" w:space="0" w:color="auto"/>
              <w:bottom w:val="single" w:sz="4" w:space="0" w:color="auto"/>
              <w:right w:val="single" w:sz="4" w:space="0" w:color="auto"/>
            </w:tcBorders>
            <w:vAlign w:val="center"/>
          </w:tcPr>
          <w:p w14:paraId="44076445"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其他应收款</w:t>
            </w:r>
          </w:p>
        </w:tc>
        <w:tc>
          <w:tcPr>
            <w:tcW w:w="400" w:type="pct"/>
            <w:tcBorders>
              <w:top w:val="single" w:sz="4" w:space="0" w:color="auto"/>
              <w:left w:val="single" w:sz="4" w:space="0" w:color="auto"/>
              <w:bottom w:val="single" w:sz="4" w:space="0" w:color="auto"/>
              <w:right w:val="single" w:sz="4" w:space="0" w:color="auto"/>
            </w:tcBorders>
            <w:vAlign w:val="center"/>
          </w:tcPr>
          <w:p w14:paraId="6A9E96E3" w14:textId="77777777" w:rsidR="00FB4D29" w:rsidRDefault="00CF4592">
            <w:pPr>
              <w:widowControl/>
              <w:snapToGrid w:val="0"/>
              <w:jc w:val="right"/>
              <w:rPr>
                <w:rFonts w:ascii="宋体" w:hAnsi="宋体"/>
                <w:color w:val="000000"/>
                <w:kern w:val="0"/>
                <w:sz w:val="25"/>
                <w:szCs w:val="24"/>
              </w:rPr>
            </w:pPr>
            <w:r>
              <w:rPr>
                <w:rFonts w:ascii="Times New Roman" w:hAnsi="Times New Roman"/>
                <w:color w:val="000000"/>
                <w:kern w:val="0"/>
                <w:sz w:val="25"/>
                <w:szCs w:val="24"/>
              </w:rPr>
              <w:t>3,711.12</w:t>
            </w:r>
          </w:p>
        </w:tc>
      </w:tr>
      <w:tr w:rsidR="00FB4D29" w14:paraId="19461956"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278574CB" w14:textId="77777777" w:rsidR="00FB4D29" w:rsidRDefault="00CF4592">
            <w:pPr>
              <w:widowControl/>
              <w:snapToGrid w:val="0"/>
              <w:jc w:val="center"/>
              <w:rPr>
                <w:rFonts w:ascii="宋体" w:hAnsi="宋体"/>
                <w:color w:val="000000"/>
                <w:kern w:val="0"/>
                <w:sz w:val="25"/>
                <w:szCs w:val="24"/>
              </w:rPr>
            </w:pPr>
            <w:r>
              <w:rPr>
                <w:rFonts w:ascii="Times New Roman" w:hAnsi="Times New Roman"/>
                <w:color w:val="000000"/>
                <w:kern w:val="0"/>
                <w:sz w:val="25"/>
                <w:szCs w:val="24"/>
              </w:rPr>
              <w:t>7</w:t>
            </w:r>
          </w:p>
        </w:tc>
        <w:tc>
          <w:tcPr>
            <w:tcW w:w="750" w:type="pct"/>
            <w:tcBorders>
              <w:top w:val="single" w:sz="4" w:space="0" w:color="auto"/>
              <w:left w:val="single" w:sz="4" w:space="0" w:color="auto"/>
              <w:bottom w:val="single" w:sz="4" w:space="0" w:color="auto"/>
              <w:right w:val="single" w:sz="4" w:space="0" w:color="auto"/>
            </w:tcBorders>
            <w:vAlign w:val="center"/>
          </w:tcPr>
          <w:p w14:paraId="45DE44CC"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其他</w:t>
            </w:r>
          </w:p>
        </w:tc>
        <w:tc>
          <w:tcPr>
            <w:tcW w:w="400" w:type="pct"/>
            <w:tcBorders>
              <w:top w:val="single" w:sz="4" w:space="0" w:color="auto"/>
              <w:left w:val="single" w:sz="4" w:space="0" w:color="auto"/>
              <w:bottom w:val="single" w:sz="4" w:space="0" w:color="auto"/>
              <w:right w:val="single" w:sz="4" w:space="0" w:color="auto"/>
            </w:tcBorders>
            <w:vAlign w:val="center"/>
          </w:tcPr>
          <w:p w14:paraId="7B0210A9" w14:textId="77777777" w:rsidR="00FB4D29" w:rsidRDefault="00CF4592">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FB4D29" w14:paraId="0D0F4C8A"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3146A81F" w14:textId="77777777" w:rsidR="00FB4D29" w:rsidRDefault="00CF4592">
            <w:pPr>
              <w:widowControl/>
              <w:snapToGrid w:val="0"/>
              <w:jc w:val="center"/>
              <w:rPr>
                <w:rFonts w:ascii="宋体" w:hAnsi="宋体"/>
                <w:color w:val="000000"/>
                <w:kern w:val="0"/>
                <w:sz w:val="25"/>
                <w:szCs w:val="24"/>
              </w:rPr>
            </w:pPr>
            <w:r>
              <w:rPr>
                <w:rFonts w:ascii="Times New Roman" w:hAnsi="Times New Roman"/>
                <w:color w:val="000000"/>
                <w:kern w:val="0"/>
                <w:sz w:val="25"/>
                <w:szCs w:val="24"/>
              </w:rPr>
              <w:t>8</w:t>
            </w:r>
          </w:p>
        </w:tc>
        <w:tc>
          <w:tcPr>
            <w:tcW w:w="750" w:type="pct"/>
            <w:tcBorders>
              <w:top w:val="single" w:sz="4" w:space="0" w:color="auto"/>
              <w:left w:val="single" w:sz="4" w:space="0" w:color="auto"/>
              <w:bottom w:val="single" w:sz="4" w:space="0" w:color="auto"/>
              <w:right w:val="single" w:sz="4" w:space="0" w:color="auto"/>
            </w:tcBorders>
            <w:vAlign w:val="center"/>
          </w:tcPr>
          <w:p w14:paraId="7EAC89B8"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合计</w:t>
            </w:r>
          </w:p>
        </w:tc>
        <w:tc>
          <w:tcPr>
            <w:tcW w:w="400" w:type="pct"/>
            <w:tcBorders>
              <w:top w:val="single" w:sz="4" w:space="0" w:color="auto"/>
              <w:left w:val="single" w:sz="4" w:space="0" w:color="auto"/>
              <w:bottom w:val="single" w:sz="4" w:space="0" w:color="auto"/>
              <w:right w:val="single" w:sz="4" w:space="0" w:color="auto"/>
            </w:tcBorders>
            <w:vAlign w:val="center"/>
          </w:tcPr>
          <w:p w14:paraId="3C2C5D97" w14:textId="77777777" w:rsidR="00FB4D29" w:rsidRDefault="00CF4592">
            <w:pPr>
              <w:widowControl/>
              <w:snapToGrid w:val="0"/>
              <w:jc w:val="right"/>
              <w:rPr>
                <w:rFonts w:ascii="宋体" w:hAnsi="宋体"/>
                <w:color w:val="000000"/>
                <w:kern w:val="0"/>
                <w:sz w:val="25"/>
                <w:szCs w:val="24"/>
              </w:rPr>
            </w:pPr>
            <w:r>
              <w:rPr>
                <w:rFonts w:ascii="Times New Roman" w:hAnsi="Times New Roman"/>
                <w:color w:val="000000"/>
                <w:kern w:val="0"/>
                <w:sz w:val="25"/>
                <w:szCs w:val="24"/>
              </w:rPr>
              <w:t>33,540,322.07</w:t>
            </w:r>
          </w:p>
        </w:tc>
      </w:tr>
    </w:tbl>
    <w:p w14:paraId="1EF80614"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11.4 报告期末持有的处于转股期的可转换债券明细</w:t>
      </w:r>
    </w:p>
    <w:p w14:paraId="2C0DECBB"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无。</w:t>
      </w:r>
    </w:p>
    <w:p w14:paraId="2D3F9601"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11.5 报告期末前十名股票中存在流通受限情况的说明</w:t>
      </w:r>
    </w:p>
    <w:p w14:paraId="7B6A768E"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无。</w:t>
      </w:r>
    </w:p>
    <w:p w14:paraId="3E532FC1"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11.6 投资组合报告附注的其他文字描述部分</w:t>
      </w:r>
    </w:p>
    <w:p w14:paraId="185BD6DB"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由于四舍五入的原因，分项之和与合计项之间可能存在尾差。</w:t>
      </w:r>
    </w:p>
    <w:p w14:paraId="164E5DF0" w14:textId="77777777" w:rsidR="00FB4D29" w:rsidRDefault="00FB4D29">
      <w:pPr>
        <w:autoSpaceDE w:val="0"/>
        <w:autoSpaceDN w:val="0"/>
        <w:adjustRightInd w:val="0"/>
        <w:snapToGrid w:val="0"/>
        <w:spacing w:line="360" w:lineRule="auto"/>
        <w:ind w:firstLineChars="200" w:firstLine="420"/>
        <w:jc w:val="left"/>
        <w:rPr>
          <w:rFonts w:ascii="宋体" w:hAnsi="宋体"/>
          <w:szCs w:val="24"/>
        </w:rPr>
      </w:pPr>
    </w:p>
    <w:p w14:paraId="6E7D6734" w14:textId="77777777" w:rsidR="00AF2A34" w:rsidRDefault="00AF2A34" w:rsidP="00AF2A34">
      <w:pPr>
        <w:autoSpaceDE w:val="0"/>
        <w:autoSpaceDN w:val="0"/>
        <w:adjustRightInd w:val="0"/>
        <w:spacing w:line="360" w:lineRule="auto"/>
        <w:ind w:firstLineChars="200" w:firstLine="420"/>
        <w:rPr>
          <w:rFonts w:ascii="宋体" w:hAnsi="宋体"/>
          <w:szCs w:val="24"/>
        </w:rPr>
      </w:pPr>
    </w:p>
    <w:p w14:paraId="763A52AF" w14:textId="0CADFD12" w:rsidR="00FB4D29" w:rsidRDefault="00CF4592">
      <w:pPr>
        <w:pStyle w:val="1"/>
        <w:snapToGrid w:val="0"/>
        <w:spacing w:beforeLines="0" w:before="240" w:after="240"/>
        <w:rPr>
          <w:rFonts w:ascii="宋体" w:hAnsi="宋体"/>
          <w:szCs w:val="30"/>
        </w:rPr>
      </w:pPr>
      <w:r>
        <w:rPr>
          <w:rFonts w:ascii="宋体" w:hAnsi="宋体"/>
          <w:sz w:val="24"/>
        </w:rPr>
        <w:br w:type="page"/>
      </w:r>
      <w:bookmarkStart w:id="14" w:name="_Toc107476030"/>
      <w:r>
        <w:rPr>
          <w:rFonts w:ascii="Times New Roman" w:hAnsi="Times New Roman"/>
          <w:sz w:val="30"/>
        </w:rPr>
        <w:lastRenderedPageBreak/>
        <w:t>十一、基金的业绩</w:t>
      </w:r>
      <w:bookmarkEnd w:id="14"/>
    </w:p>
    <w:p w14:paraId="36830B92"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基金业绩截止日为2022年03月31日，所载财务数据未经审计师审计。</w:t>
      </w:r>
    </w:p>
    <w:p w14:paraId="5C5FAD97"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依照恪尽职守、诚实信用、谨慎勤勉的原则管理和运用基金财产，但不保证基金一定盈利，也不保证最低收益。基金的过往业绩并不代表其未来表现。投资有风险，投资人在做出投资决策前应仔细阅读本基金的招募说明书。</w:t>
      </w:r>
    </w:p>
    <w:p w14:paraId="5D93539E" w14:textId="26C46884"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w:t>
      </w:r>
      <w:r w:rsidR="00D43F60">
        <w:rPr>
          <w:rFonts w:ascii="宋体" w:hAnsi="宋体" w:hint="eastAsia"/>
          <w:sz w:val="24"/>
        </w:rPr>
        <w:t>A类</w:t>
      </w:r>
      <w:r>
        <w:rPr>
          <w:rFonts w:ascii="宋体" w:hAnsi="宋体"/>
          <w:sz w:val="24"/>
        </w:rPr>
        <w:t>基金份额净值增长率及其与同期业绩比较基准收益率的比较</w:t>
      </w:r>
    </w:p>
    <w:tbl>
      <w:tblPr>
        <w:tblW w:w="5000" w:type="pct"/>
        <w:tblCellMar>
          <w:left w:w="0" w:type="dxa"/>
          <w:right w:w="0" w:type="dxa"/>
        </w:tblCellMar>
        <w:tblLook w:val="0000" w:firstRow="0" w:lastRow="0" w:firstColumn="0" w:lastColumn="0" w:noHBand="0" w:noVBand="0"/>
      </w:tblPr>
      <w:tblGrid>
        <w:gridCol w:w="1297"/>
        <w:gridCol w:w="1297"/>
        <w:gridCol w:w="1297"/>
        <w:gridCol w:w="1298"/>
        <w:gridCol w:w="1298"/>
        <w:gridCol w:w="1298"/>
        <w:gridCol w:w="865"/>
      </w:tblGrid>
      <w:tr w:rsidR="00FB4D29" w14:paraId="24D5B193" w14:textId="77777777">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14:paraId="77FBC576" w14:textId="77777777" w:rsidR="00FB4D29" w:rsidRDefault="00CF4592">
            <w:pPr>
              <w:widowControl/>
              <w:snapToGrid w:val="0"/>
              <w:jc w:val="center"/>
              <w:rPr>
                <w:rFonts w:ascii="宋体" w:hAnsi="宋体"/>
                <w:color w:val="000000"/>
                <w:kern w:val="0"/>
                <w:sz w:val="25"/>
                <w:szCs w:val="24"/>
              </w:rPr>
            </w:pPr>
            <w:r>
              <w:rPr>
                <w:rFonts w:ascii="Times New Roman" w:hAnsi="Times New Roman"/>
                <w:color w:val="000000"/>
                <w:kern w:val="0"/>
                <w:sz w:val="25"/>
                <w:szCs w:val="24"/>
              </w:rPr>
              <w:t>阶段</w:t>
            </w:r>
          </w:p>
        </w:tc>
        <w:tc>
          <w:tcPr>
            <w:tcW w:w="750" w:type="pct"/>
            <w:tcBorders>
              <w:top w:val="single" w:sz="4" w:space="0" w:color="auto"/>
              <w:left w:val="single" w:sz="4" w:space="0" w:color="auto"/>
              <w:bottom w:val="single" w:sz="4" w:space="0" w:color="auto"/>
              <w:right w:val="single" w:sz="4" w:space="0" w:color="auto"/>
            </w:tcBorders>
            <w:vAlign w:val="center"/>
          </w:tcPr>
          <w:p w14:paraId="10D343BF" w14:textId="77777777" w:rsidR="00FB4D29" w:rsidRDefault="00CF4592">
            <w:pPr>
              <w:widowControl/>
              <w:snapToGrid w:val="0"/>
              <w:jc w:val="center"/>
              <w:rPr>
                <w:rFonts w:ascii="宋体" w:hAnsi="宋体"/>
                <w:color w:val="000000"/>
                <w:kern w:val="0"/>
                <w:sz w:val="25"/>
                <w:szCs w:val="24"/>
              </w:rPr>
            </w:pPr>
            <w:r>
              <w:rPr>
                <w:rFonts w:ascii="Times New Roman" w:hAnsi="Times New Roman"/>
                <w:color w:val="000000"/>
                <w:kern w:val="0"/>
                <w:sz w:val="25"/>
                <w:szCs w:val="24"/>
              </w:rPr>
              <w:t>净值增长率</w:t>
            </w:r>
            <w:r>
              <w:rPr>
                <w:rFonts w:ascii="Times New Roman" w:hAnsi="Times New Roman"/>
                <w:color w:val="000000"/>
                <w:kern w:val="0"/>
                <w:sz w:val="25"/>
                <w:szCs w:val="24"/>
              </w:rPr>
              <w:t>①</w:t>
            </w:r>
          </w:p>
        </w:tc>
        <w:tc>
          <w:tcPr>
            <w:tcW w:w="750" w:type="pct"/>
            <w:tcBorders>
              <w:top w:val="single" w:sz="4" w:space="0" w:color="auto"/>
              <w:left w:val="single" w:sz="4" w:space="0" w:color="auto"/>
              <w:bottom w:val="single" w:sz="4" w:space="0" w:color="auto"/>
              <w:right w:val="single" w:sz="4" w:space="0" w:color="auto"/>
            </w:tcBorders>
            <w:vAlign w:val="center"/>
          </w:tcPr>
          <w:p w14:paraId="13DA9DE1" w14:textId="77777777" w:rsidR="00FB4D29" w:rsidRDefault="00CF4592">
            <w:pPr>
              <w:widowControl/>
              <w:snapToGrid w:val="0"/>
              <w:jc w:val="center"/>
              <w:rPr>
                <w:rFonts w:ascii="宋体" w:hAnsi="宋体"/>
                <w:color w:val="000000"/>
                <w:kern w:val="0"/>
                <w:sz w:val="25"/>
                <w:szCs w:val="24"/>
              </w:rPr>
            </w:pPr>
            <w:r>
              <w:rPr>
                <w:rFonts w:ascii="Times New Roman" w:hAnsi="Times New Roman"/>
                <w:color w:val="000000"/>
                <w:kern w:val="0"/>
                <w:sz w:val="25"/>
                <w:szCs w:val="24"/>
              </w:rPr>
              <w:t>净值增长率标准差</w:t>
            </w:r>
            <w:r>
              <w:rPr>
                <w:rFonts w:ascii="Times New Roman" w:hAnsi="Times New Roman"/>
                <w:color w:val="000000"/>
                <w:kern w:val="0"/>
                <w:sz w:val="25"/>
                <w:szCs w:val="24"/>
              </w:rPr>
              <w:t>②</w:t>
            </w:r>
          </w:p>
        </w:tc>
        <w:tc>
          <w:tcPr>
            <w:tcW w:w="750" w:type="pct"/>
            <w:tcBorders>
              <w:top w:val="single" w:sz="4" w:space="0" w:color="auto"/>
              <w:left w:val="single" w:sz="4" w:space="0" w:color="auto"/>
              <w:bottom w:val="single" w:sz="4" w:space="0" w:color="auto"/>
              <w:right w:val="single" w:sz="4" w:space="0" w:color="auto"/>
            </w:tcBorders>
            <w:vAlign w:val="center"/>
          </w:tcPr>
          <w:p w14:paraId="44E769A6" w14:textId="77777777" w:rsidR="00FB4D29" w:rsidRDefault="00CF4592">
            <w:pPr>
              <w:widowControl/>
              <w:snapToGrid w:val="0"/>
              <w:jc w:val="center"/>
              <w:rPr>
                <w:rFonts w:ascii="宋体" w:hAnsi="宋体"/>
                <w:color w:val="000000"/>
                <w:kern w:val="0"/>
                <w:sz w:val="25"/>
                <w:szCs w:val="24"/>
              </w:rPr>
            </w:pPr>
            <w:r>
              <w:rPr>
                <w:rFonts w:ascii="Times New Roman" w:hAnsi="Times New Roman"/>
                <w:color w:val="000000"/>
                <w:kern w:val="0"/>
                <w:sz w:val="25"/>
                <w:szCs w:val="24"/>
              </w:rPr>
              <w:t>业绩比较基准收益率</w:t>
            </w:r>
            <w:r>
              <w:rPr>
                <w:rFonts w:ascii="Times New Roman" w:hAnsi="Times New Roman"/>
                <w:color w:val="000000"/>
                <w:kern w:val="0"/>
                <w:sz w:val="25"/>
                <w:szCs w:val="24"/>
              </w:rPr>
              <w:t>③</w:t>
            </w:r>
          </w:p>
        </w:tc>
        <w:tc>
          <w:tcPr>
            <w:tcW w:w="750" w:type="pct"/>
            <w:tcBorders>
              <w:top w:val="single" w:sz="4" w:space="0" w:color="auto"/>
              <w:left w:val="single" w:sz="4" w:space="0" w:color="auto"/>
              <w:bottom w:val="single" w:sz="4" w:space="0" w:color="auto"/>
              <w:right w:val="single" w:sz="4" w:space="0" w:color="auto"/>
            </w:tcBorders>
            <w:vAlign w:val="center"/>
          </w:tcPr>
          <w:p w14:paraId="7CCCE5E2" w14:textId="77777777" w:rsidR="00FB4D29" w:rsidRDefault="00CF4592">
            <w:pPr>
              <w:widowControl/>
              <w:snapToGrid w:val="0"/>
              <w:jc w:val="center"/>
              <w:rPr>
                <w:rFonts w:ascii="宋体" w:hAnsi="宋体"/>
                <w:color w:val="000000"/>
                <w:kern w:val="0"/>
                <w:sz w:val="25"/>
                <w:szCs w:val="24"/>
              </w:rPr>
            </w:pPr>
            <w:r>
              <w:rPr>
                <w:rFonts w:ascii="Times New Roman" w:hAnsi="Times New Roman"/>
                <w:color w:val="000000"/>
                <w:kern w:val="0"/>
                <w:sz w:val="25"/>
                <w:szCs w:val="24"/>
              </w:rPr>
              <w:t>业绩比较基准收益率标准差</w:t>
            </w:r>
            <w:r>
              <w:rPr>
                <w:rFonts w:ascii="Times New Roman" w:hAnsi="Times New Roman"/>
                <w:color w:val="000000"/>
                <w:kern w:val="0"/>
                <w:sz w:val="25"/>
                <w:szCs w:val="24"/>
              </w:rPr>
              <w:t>④</w:t>
            </w:r>
          </w:p>
        </w:tc>
        <w:tc>
          <w:tcPr>
            <w:tcW w:w="750" w:type="pct"/>
            <w:tcBorders>
              <w:top w:val="single" w:sz="4" w:space="0" w:color="auto"/>
              <w:left w:val="single" w:sz="4" w:space="0" w:color="auto"/>
              <w:bottom w:val="single" w:sz="4" w:space="0" w:color="auto"/>
              <w:right w:val="single" w:sz="4" w:space="0" w:color="auto"/>
            </w:tcBorders>
            <w:vAlign w:val="center"/>
          </w:tcPr>
          <w:p w14:paraId="5B9C1479" w14:textId="77777777" w:rsidR="00FB4D29" w:rsidRDefault="00CF4592">
            <w:pPr>
              <w:widowControl/>
              <w:snapToGrid w:val="0"/>
              <w:jc w:val="center"/>
              <w:rPr>
                <w:rFonts w:ascii="宋体" w:hAnsi="宋体"/>
                <w:color w:val="000000"/>
                <w:kern w:val="0"/>
                <w:sz w:val="25"/>
                <w:szCs w:val="24"/>
              </w:rPr>
            </w:pPr>
            <w:r>
              <w:rPr>
                <w:rFonts w:ascii="Times New Roman" w:hAnsi="Times New Roman"/>
                <w:color w:val="000000"/>
                <w:kern w:val="0"/>
                <w:sz w:val="25"/>
                <w:szCs w:val="24"/>
              </w:rPr>
              <w:t>①-③</w:t>
            </w:r>
          </w:p>
        </w:tc>
        <w:tc>
          <w:tcPr>
            <w:tcW w:w="750" w:type="pct"/>
            <w:tcBorders>
              <w:top w:val="single" w:sz="4" w:space="0" w:color="auto"/>
              <w:left w:val="single" w:sz="4" w:space="0" w:color="auto"/>
              <w:bottom w:val="single" w:sz="4" w:space="0" w:color="auto"/>
              <w:right w:val="single" w:sz="4" w:space="0" w:color="auto"/>
            </w:tcBorders>
            <w:vAlign w:val="center"/>
          </w:tcPr>
          <w:p w14:paraId="0DCA4C16" w14:textId="77777777" w:rsidR="00FB4D29" w:rsidRDefault="00CF4592">
            <w:pPr>
              <w:widowControl/>
              <w:snapToGrid w:val="0"/>
              <w:jc w:val="center"/>
              <w:rPr>
                <w:rFonts w:ascii="宋体" w:hAnsi="宋体"/>
                <w:color w:val="000000"/>
                <w:kern w:val="0"/>
                <w:sz w:val="25"/>
                <w:szCs w:val="24"/>
              </w:rPr>
            </w:pPr>
            <w:r>
              <w:rPr>
                <w:rFonts w:ascii="Times New Roman" w:hAnsi="Times New Roman"/>
                <w:color w:val="000000"/>
                <w:kern w:val="0"/>
                <w:sz w:val="25"/>
                <w:szCs w:val="24"/>
              </w:rPr>
              <w:t>②-④</w:t>
            </w:r>
          </w:p>
        </w:tc>
      </w:tr>
      <w:tr w:rsidR="00FB4D29" w14:paraId="1A8AA789" w14:textId="77777777">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14:paraId="350A161E"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过去三个月</w:t>
            </w:r>
          </w:p>
        </w:tc>
        <w:tc>
          <w:tcPr>
            <w:tcW w:w="750" w:type="pct"/>
            <w:tcBorders>
              <w:top w:val="single" w:sz="4" w:space="0" w:color="auto"/>
              <w:left w:val="single" w:sz="4" w:space="0" w:color="auto"/>
              <w:bottom w:val="single" w:sz="4" w:space="0" w:color="auto"/>
              <w:right w:val="single" w:sz="4" w:space="0" w:color="auto"/>
            </w:tcBorders>
            <w:vAlign w:val="center"/>
          </w:tcPr>
          <w:p w14:paraId="5EFF3BD6"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-13.82%</w:t>
            </w:r>
          </w:p>
        </w:tc>
        <w:tc>
          <w:tcPr>
            <w:tcW w:w="750" w:type="pct"/>
            <w:tcBorders>
              <w:top w:val="single" w:sz="4" w:space="0" w:color="auto"/>
              <w:left w:val="single" w:sz="4" w:space="0" w:color="auto"/>
              <w:bottom w:val="single" w:sz="4" w:space="0" w:color="auto"/>
              <w:right w:val="single" w:sz="4" w:space="0" w:color="auto"/>
            </w:tcBorders>
            <w:vAlign w:val="center"/>
          </w:tcPr>
          <w:p w14:paraId="00A770C4"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1.72%</w:t>
            </w:r>
          </w:p>
        </w:tc>
        <w:tc>
          <w:tcPr>
            <w:tcW w:w="750" w:type="pct"/>
            <w:tcBorders>
              <w:top w:val="single" w:sz="4" w:space="0" w:color="auto"/>
              <w:left w:val="single" w:sz="4" w:space="0" w:color="auto"/>
              <w:bottom w:val="single" w:sz="4" w:space="0" w:color="auto"/>
              <w:right w:val="single" w:sz="4" w:space="0" w:color="auto"/>
            </w:tcBorders>
            <w:vAlign w:val="center"/>
          </w:tcPr>
          <w:p w14:paraId="329DB185"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-10.83%</w:t>
            </w:r>
          </w:p>
        </w:tc>
        <w:tc>
          <w:tcPr>
            <w:tcW w:w="750" w:type="pct"/>
            <w:tcBorders>
              <w:top w:val="single" w:sz="4" w:space="0" w:color="auto"/>
              <w:left w:val="single" w:sz="4" w:space="0" w:color="auto"/>
              <w:bottom w:val="single" w:sz="4" w:space="0" w:color="auto"/>
              <w:right w:val="single" w:sz="4" w:space="0" w:color="auto"/>
            </w:tcBorders>
            <w:vAlign w:val="center"/>
          </w:tcPr>
          <w:p w14:paraId="66B01C7F"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1.10%</w:t>
            </w:r>
          </w:p>
        </w:tc>
        <w:tc>
          <w:tcPr>
            <w:tcW w:w="750" w:type="pct"/>
            <w:tcBorders>
              <w:top w:val="single" w:sz="4" w:space="0" w:color="auto"/>
              <w:left w:val="single" w:sz="4" w:space="0" w:color="auto"/>
              <w:bottom w:val="single" w:sz="4" w:space="0" w:color="auto"/>
              <w:right w:val="single" w:sz="4" w:space="0" w:color="auto"/>
            </w:tcBorders>
            <w:vAlign w:val="center"/>
          </w:tcPr>
          <w:p w14:paraId="0D423009"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-2.99%</w:t>
            </w:r>
          </w:p>
        </w:tc>
        <w:tc>
          <w:tcPr>
            <w:tcW w:w="750" w:type="pct"/>
            <w:tcBorders>
              <w:top w:val="single" w:sz="4" w:space="0" w:color="auto"/>
              <w:left w:val="single" w:sz="4" w:space="0" w:color="auto"/>
              <w:bottom w:val="single" w:sz="4" w:space="0" w:color="auto"/>
              <w:right w:val="single" w:sz="4" w:space="0" w:color="auto"/>
            </w:tcBorders>
            <w:vAlign w:val="center"/>
          </w:tcPr>
          <w:p w14:paraId="3F3976AD"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0.62%</w:t>
            </w:r>
          </w:p>
        </w:tc>
      </w:tr>
      <w:tr w:rsidR="00FB4D29" w14:paraId="492AF394" w14:textId="77777777">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14:paraId="544A00B2"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2021</w:t>
            </w:r>
            <w:r>
              <w:rPr>
                <w:rFonts w:ascii="Times New Roman" w:hAnsi="Times New Roman"/>
                <w:color w:val="000000"/>
                <w:kern w:val="0"/>
                <w:sz w:val="25"/>
                <w:szCs w:val="24"/>
              </w:rPr>
              <w:t>年度</w:t>
            </w:r>
          </w:p>
        </w:tc>
        <w:tc>
          <w:tcPr>
            <w:tcW w:w="750" w:type="pct"/>
            <w:tcBorders>
              <w:top w:val="single" w:sz="4" w:space="0" w:color="auto"/>
              <w:left w:val="single" w:sz="4" w:space="0" w:color="auto"/>
              <w:bottom w:val="single" w:sz="4" w:space="0" w:color="auto"/>
              <w:right w:val="single" w:sz="4" w:space="0" w:color="auto"/>
            </w:tcBorders>
            <w:vAlign w:val="center"/>
          </w:tcPr>
          <w:p w14:paraId="360982E8"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23.00%</w:t>
            </w:r>
          </w:p>
        </w:tc>
        <w:tc>
          <w:tcPr>
            <w:tcW w:w="750" w:type="pct"/>
            <w:tcBorders>
              <w:top w:val="single" w:sz="4" w:space="0" w:color="auto"/>
              <w:left w:val="single" w:sz="4" w:space="0" w:color="auto"/>
              <w:bottom w:val="single" w:sz="4" w:space="0" w:color="auto"/>
              <w:right w:val="single" w:sz="4" w:space="0" w:color="auto"/>
            </w:tcBorders>
            <w:vAlign w:val="center"/>
          </w:tcPr>
          <w:p w14:paraId="25EFDABF"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1.10%</w:t>
            </w:r>
          </w:p>
        </w:tc>
        <w:tc>
          <w:tcPr>
            <w:tcW w:w="750" w:type="pct"/>
            <w:tcBorders>
              <w:top w:val="single" w:sz="4" w:space="0" w:color="auto"/>
              <w:left w:val="single" w:sz="4" w:space="0" w:color="auto"/>
              <w:bottom w:val="single" w:sz="4" w:space="0" w:color="auto"/>
              <w:right w:val="single" w:sz="4" w:space="0" w:color="auto"/>
            </w:tcBorders>
            <w:vAlign w:val="center"/>
          </w:tcPr>
          <w:p w14:paraId="7DA78A67"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-2.39%</w:t>
            </w:r>
          </w:p>
        </w:tc>
        <w:tc>
          <w:tcPr>
            <w:tcW w:w="750" w:type="pct"/>
            <w:tcBorders>
              <w:top w:val="single" w:sz="4" w:space="0" w:color="auto"/>
              <w:left w:val="single" w:sz="4" w:space="0" w:color="auto"/>
              <w:bottom w:val="single" w:sz="4" w:space="0" w:color="auto"/>
              <w:right w:val="single" w:sz="4" w:space="0" w:color="auto"/>
            </w:tcBorders>
            <w:vAlign w:val="center"/>
          </w:tcPr>
          <w:p w14:paraId="1F759A64"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0.88%</w:t>
            </w:r>
          </w:p>
        </w:tc>
        <w:tc>
          <w:tcPr>
            <w:tcW w:w="750" w:type="pct"/>
            <w:tcBorders>
              <w:top w:val="single" w:sz="4" w:space="0" w:color="auto"/>
              <w:left w:val="single" w:sz="4" w:space="0" w:color="auto"/>
              <w:bottom w:val="single" w:sz="4" w:space="0" w:color="auto"/>
              <w:right w:val="single" w:sz="4" w:space="0" w:color="auto"/>
            </w:tcBorders>
            <w:vAlign w:val="center"/>
          </w:tcPr>
          <w:p w14:paraId="7DB0A34D"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25.39%</w:t>
            </w:r>
          </w:p>
        </w:tc>
        <w:tc>
          <w:tcPr>
            <w:tcW w:w="750" w:type="pct"/>
            <w:tcBorders>
              <w:top w:val="single" w:sz="4" w:space="0" w:color="auto"/>
              <w:left w:val="single" w:sz="4" w:space="0" w:color="auto"/>
              <w:bottom w:val="single" w:sz="4" w:space="0" w:color="auto"/>
              <w:right w:val="single" w:sz="4" w:space="0" w:color="auto"/>
            </w:tcBorders>
            <w:vAlign w:val="center"/>
          </w:tcPr>
          <w:p w14:paraId="7C75AAEB"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0.22%</w:t>
            </w:r>
          </w:p>
        </w:tc>
      </w:tr>
      <w:tr w:rsidR="00FB4D29" w14:paraId="73C89EF8" w14:textId="77777777">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14:paraId="0FCF5880"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2020</w:t>
            </w:r>
            <w:r>
              <w:rPr>
                <w:rFonts w:ascii="Times New Roman" w:hAnsi="Times New Roman"/>
                <w:color w:val="000000"/>
                <w:kern w:val="0"/>
                <w:sz w:val="25"/>
                <w:szCs w:val="24"/>
              </w:rPr>
              <w:t>年度</w:t>
            </w:r>
          </w:p>
        </w:tc>
        <w:tc>
          <w:tcPr>
            <w:tcW w:w="750" w:type="pct"/>
            <w:tcBorders>
              <w:top w:val="single" w:sz="4" w:space="0" w:color="auto"/>
              <w:left w:val="single" w:sz="4" w:space="0" w:color="auto"/>
              <w:bottom w:val="single" w:sz="4" w:space="0" w:color="auto"/>
              <w:right w:val="single" w:sz="4" w:space="0" w:color="auto"/>
            </w:tcBorders>
            <w:vAlign w:val="center"/>
          </w:tcPr>
          <w:p w14:paraId="2082D0E9"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40.43%</w:t>
            </w:r>
          </w:p>
        </w:tc>
        <w:tc>
          <w:tcPr>
            <w:tcW w:w="750" w:type="pct"/>
            <w:tcBorders>
              <w:top w:val="single" w:sz="4" w:space="0" w:color="auto"/>
              <w:left w:val="single" w:sz="4" w:space="0" w:color="auto"/>
              <w:bottom w:val="single" w:sz="4" w:space="0" w:color="auto"/>
              <w:right w:val="single" w:sz="4" w:space="0" w:color="auto"/>
            </w:tcBorders>
            <w:vAlign w:val="center"/>
          </w:tcPr>
          <w:p w14:paraId="55954D24"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1.28%</w:t>
            </w:r>
          </w:p>
        </w:tc>
        <w:tc>
          <w:tcPr>
            <w:tcW w:w="750" w:type="pct"/>
            <w:tcBorders>
              <w:top w:val="single" w:sz="4" w:space="0" w:color="auto"/>
              <w:left w:val="single" w:sz="4" w:space="0" w:color="auto"/>
              <w:bottom w:val="single" w:sz="4" w:space="0" w:color="auto"/>
              <w:right w:val="single" w:sz="4" w:space="0" w:color="auto"/>
            </w:tcBorders>
            <w:vAlign w:val="center"/>
          </w:tcPr>
          <w:p w14:paraId="5BBD3764"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21.26%</w:t>
            </w:r>
          </w:p>
        </w:tc>
        <w:tc>
          <w:tcPr>
            <w:tcW w:w="750" w:type="pct"/>
            <w:tcBorders>
              <w:top w:val="single" w:sz="4" w:space="0" w:color="auto"/>
              <w:left w:val="single" w:sz="4" w:space="0" w:color="auto"/>
              <w:bottom w:val="single" w:sz="4" w:space="0" w:color="auto"/>
              <w:right w:val="single" w:sz="4" w:space="0" w:color="auto"/>
            </w:tcBorders>
            <w:vAlign w:val="center"/>
          </w:tcPr>
          <w:p w14:paraId="0502E4F4"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1.07%</w:t>
            </w:r>
          </w:p>
        </w:tc>
        <w:tc>
          <w:tcPr>
            <w:tcW w:w="750" w:type="pct"/>
            <w:tcBorders>
              <w:top w:val="single" w:sz="4" w:space="0" w:color="auto"/>
              <w:left w:val="single" w:sz="4" w:space="0" w:color="auto"/>
              <w:bottom w:val="single" w:sz="4" w:space="0" w:color="auto"/>
              <w:right w:val="single" w:sz="4" w:space="0" w:color="auto"/>
            </w:tcBorders>
            <w:vAlign w:val="center"/>
          </w:tcPr>
          <w:p w14:paraId="5B160E26"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19.17%</w:t>
            </w:r>
          </w:p>
        </w:tc>
        <w:tc>
          <w:tcPr>
            <w:tcW w:w="750" w:type="pct"/>
            <w:tcBorders>
              <w:top w:val="single" w:sz="4" w:space="0" w:color="auto"/>
              <w:left w:val="single" w:sz="4" w:space="0" w:color="auto"/>
              <w:bottom w:val="single" w:sz="4" w:space="0" w:color="auto"/>
              <w:right w:val="single" w:sz="4" w:space="0" w:color="auto"/>
            </w:tcBorders>
            <w:vAlign w:val="center"/>
          </w:tcPr>
          <w:p w14:paraId="7829B9C4"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0.21%</w:t>
            </w:r>
          </w:p>
        </w:tc>
      </w:tr>
      <w:tr w:rsidR="00FB4D29" w14:paraId="497EB825" w14:textId="77777777">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14:paraId="72877937"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2019</w:t>
            </w:r>
            <w:r>
              <w:rPr>
                <w:rFonts w:ascii="Times New Roman" w:hAnsi="Times New Roman"/>
                <w:color w:val="000000"/>
                <w:kern w:val="0"/>
                <w:sz w:val="25"/>
                <w:szCs w:val="24"/>
              </w:rPr>
              <w:t>年度</w:t>
            </w:r>
          </w:p>
        </w:tc>
        <w:tc>
          <w:tcPr>
            <w:tcW w:w="750" w:type="pct"/>
            <w:tcBorders>
              <w:top w:val="single" w:sz="4" w:space="0" w:color="auto"/>
              <w:left w:val="single" w:sz="4" w:space="0" w:color="auto"/>
              <w:bottom w:val="single" w:sz="4" w:space="0" w:color="auto"/>
              <w:right w:val="single" w:sz="4" w:space="0" w:color="auto"/>
            </w:tcBorders>
            <w:vAlign w:val="center"/>
          </w:tcPr>
          <w:p w14:paraId="52422D30"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50.61%</w:t>
            </w:r>
          </w:p>
        </w:tc>
        <w:tc>
          <w:tcPr>
            <w:tcW w:w="750" w:type="pct"/>
            <w:tcBorders>
              <w:top w:val="single" w:sz="4" w:space="0" w:color="auto"/>
              <w:left w:val="single" w:sz="4" w:space="0" w:color="auto"/>
              <w:bottom w:val="single" w:sz="4" w:space="0" w:color="auto"/>
              <w:right w:val="single" w:sz="4" w:space="0" w:color="auto"/>
            </w:tcBorders>
            <w:vAlign w:val="center"/>
          </w:tcPr>
          <w:p w14:paraId="4FCC6E2B"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1.34%</w:t>
            </w:r>
          </w:p>
        </w:tc>
        <w:tc>
          <w:tcPr>
            <w:tcW w:w="750" w:type="pct"/>
            <w:tcBorders>
              <w:top w:val="single" w:sz="4" w:space="0" w:color="auto"/>
              <w:left w:val="single" w:sz="4" w:space="0" w:color="auto"/>
              <w:bottom w:val="single" w:sz="4" w:space="0" w:color="auto"/>
              <w:right w:val="single" w:sz="4" w:space="0" w:color="auto"/>
            </w:tcBorders>
            <w:vAlign w:val="center"/>
          </w:tcPr>
          <w:p w14:paraId="70AB3864"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27.90%</w:t>
            </w:r>
          </w:p>
        </w:tc>
        <w:tc>
          <w:tcPr>
            <w:tcW w:w="750" w:type="pct"/>
            <w:tcBorders>
              <w:top w:val="single" w:sz="4" w:space="0" w:color="auto"/>
              <w:left w:val="single" w:sz="4" w:space="0" w:color="auto"/>
              <w:bottom w:val="single" w:sz="4" w:space="0" w:color="auto"/>
              <w:right w:val="single" w:sz="4" w:space="0" w:color="auto"/>
            </w:tcBorders>
            <w:vAlign w:val="center"/>
          </w:tcPr>
          <w:p w14:paraId="739F4D2F"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0.93%</w:t>
            </w:r>
          </w:p>
        </w:tc>
        <w:tc>
          <w:tcPr>
            <w:tcW w:w="750" w:type="pct"/>
            <w:tcBorders>
              <w:top w:val="single" w:sz="4" w:space="0" w:color="auto"/>
              <w:left w:val="single" w:sz="4" w:space="0" w:color="auto"/>
              <w:bottom w:val="single" w:sz="4" w:space="0" w:color="auto"/>
              <w:right w:val="single" w:sz="4" w:space="0" w:color="auto"/>
            </w:tcBorders>
            <w:vAlign w:val="center"/>
          </w:tcPr>
          <w:p w14:paraId="416103D4"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22.71%</w:t>
            </w:r>
          </w:p>
        </w:tc>
        <w:tc>
          <w:tcPr>
            <w:tcW w:w="750" w:type="pct"/>
            <w:tcBorders>
              <w:top w:val="single" w:sz="4" w:space="0" w:color="auto"/>
              <w:left w:val="single" w:sz="4" w:space="0" w:color="auto"/>
              <w:bottom w:val="single" w:sz="4" w:space="0" w:color="auto"/>
              <w:right w:val="single" w:sz="4" w:space="0" w:color="auto"/>
            </w:tcBorders>
            <w:vAlign w:val="center"/>
          </w:tcPr>
          <w:p w14:paraId="41DCAA51"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0.41%</w:t>
            </w:r>
          </w:p>
        </w:tc>
      </w:tr>
      <w:tr w:rsidR="00FB4D29" w14:paraId="484D2765" w14:textId="77777777">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14:paraId="1D6B51AA"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2018</w:t>
            </w:r>
            <w:r>
              <w:rPr>
                <w:rFonts w:ascii="Times New Roman" w:hAnsi="Times New Roman"/>
                <w:color w:val="000000"/>
                <w:kern w:val="0"/>
                <w:sz w:val="25"/>
                <w:szCs w:val="24"/>
              </w:rPr>
              <w:t>年度（自基金合同生效日起至</w:t>
            </w:r>
            <w:r>
              <w:rPr>
                <w:rFonts w:ascii="Times New Roman" w:hAnsi="Times New Roman"/>
                <w:color w:val="000000"/>
                <w:kern w:val="0"/>
                <w:sz w:val="25"/>
                <w:szCs w:val="24"/>
              </w:rPr>
              <w:t>2018</w:t>
            </w:r>
            <w:r>
              <w:rPr>
                <w:rFonts w:ascii="Times New Roman" w:hAnsi="Times New Roman"/>
                <w:color w:val="000000"/>
                <w:kern w:val="0"/>
                <w:sz w:val="25"/>
                <w:szCs w:val="24"/>
              </w:rPr>
              <w:t>年</w:t>
            </w:r>
            <w:r>
              <w:rPr>
                <w:rFonts w:ascii="Times New Roman" w:hAnsi="Times New Roman"/>
                <w:color w:val="000000"/>
                <w:kern w:val="0"/>
                <w:sz w:val="25"/>
                <w:szCs w:val="24"/>
              </w:rPr>
              <w:t>12</w:t>
            </w:r>
            <w:r>
              <w:rPr>
                <w:rFonts w:ascii="Times New Roman" w:hAnsi="Times New Roman"/>
                <w:color w:val="000000"/>
                <w:kern w:val="0"/>
                <w:sz w:val="25"/>
                <w:szCs w:val="24"/>
              </w:rPr>
              <w:t>月</w:t>
            </w:r>
            <w:r>
              <w:rPr>
                <w:rFonts w:ascii="Times New Roman" w:hAnsi="Times New Roman"/>
                <w:color w:val="000000"/>
                <w:kern w:val="0"/>
                <w:sz w:val="25"/>
                <w:szCs w:val="24"/>
              </w:rPr>
              <w:t>31</w:t>
            </w:r>
            <w:r>
              <w:rPr>
                <w:rFonts w:ascii="Times New Roman" w:hAnsi="Times New Roman"/>
                <w:color w:val="000000"/>
                <w:kern w:val="0"/>
                <w:sz w:val="25"/>
                <w:szCs w:val="24"/>
              </w:rPr>
              <w:t>日）</w:t>
            </w:r>
          </w:p>
        </w:tc>
        <w:tc>
          <w:tcPr>
            <w:tcW w:w="750" w:type="pct"/>
            <w:tcBorders>
              <w:top w:val="single" w:sz="4" w:space="0" w:color="auto"/>
              <w:left w:val="single" w:sz="4" w:space="0" w:color="auto"/>
              <w:bottom w:val="single" w:sz="4" w:space="0" w:color="auto"/>
              <w:right w:val="single" w:sz="4" w:space="0" w:color="auto"/>
            </w:tcBorders>
            <w:vAlign w:val="center"/>
          </w:tcPr>
          <w:p w14:paraId="3928A1A7"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-3.49%</w:t>
            </w:r>
          </w:p>
        </w:tc>
        <w:tc>
          <w:tcPr>
            <w:tcW w:w="750" w:type="pct"/>
            <w:tcBorders>
              <w:top w:val="single" w:sz="4" w:space="0" w:color="auto"/>
              <w:left w:val="single" w:sz="4" w:space="0" w:color="auto"/>
              <w:bottom w:val="single" w:sz="4" w:space="0" w:color="auto"/>
              <w:right w:val="single" w:sz="4" w:space="0" w:color="auto"/>
            </w:tcBorders>
            <w:vAlign w:val="center"/>
          </w:tcPr>
          <w:p w14:paraId="66CE54AA"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1.28%</w:t>
            </w:r>
          </w:p>
        </w:tc>
        <w:tc>
          <w:tcPr>
            <w:tcW w:w="750" w:type="pct"/>
            <w:tcBorders>
              <w:top w:val="single" w:sz="4" w:space="0" w:color="auto"/>
              <w:left w:val="single" w:sz="4" w:space="0" w:color="auto"/>
              <w:bottom w:val="single" w:sz="4" w:space="0" w:color="auto"/>
              <w:right w:val="single" w:sz="4" w:space="0" w:color="auto"/>
            </w:tcBorders>
            <w:vAlign w:val="center"/>
          </w:tcPr>
          <w:p w14:paraId="1492E529"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-20.32%</w:t>
            </w:r>
          </w:p>
        </w:tc>
        <w:tc>
          <w:tcPr>
            <w:tcW w:w="750" w:type="pct"/>
            <w:tcBorders>
              <w:top w:val="single" w:sz="4" w:space="0" w:color="auto"/>
              <w:left w:val="single" w:sz="4" w:space="0" w:color="auto"/>
              <w:bottom w:val="single" w:sz="4" w:space="0" w:color="auto"/>
              <w:right w:val="single" w:sz="4" w:space="0" w:color="auto"/>
            </w:tcBorders>
            <w:vAlign w:val="center"/>
          </w:tcPr>
          <w:p w14:paraId="626E22D8"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1.01%</w:t>
            </w:r>
          </w:p>
        </w:tc>
        <w:tc>
          <w:tcPr>
            <w:tcW w:w="750" w:type="pct"/>
            <w:tcBorders>
              <w:top w:val="single" w:sz="4" w:space="0" w:color="auto"/>
              <w:left w:val="single" w:sz="4" w:space="0" w:color="auto"/>
              <w:bottom w:val="single" w:sz="4" w:space="0" w:color="auto"/>
              <w:right w:val="single" w:sz="4" w:space="0" w:color="auto"/>
            </w:tcBorders>
            <w:vAlign w:val="center"/>
          </w:tcPr>
          <w:p w14:paraId="363BA737"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16.83%</w:t>
            </w:r>
          </w:p>
        </w:tc>
        <w:tc>
          <w:tcPr>
            <w:tcW w:w="750" w:type="pct"/>
            <w:tcBorders>
              <w:top w:val="single" w:sz="4" w:space="0" w:color="auto"/>
              <w:left w:val="single" w:sz="4" w:space="0" w:color="auto"/>
              <w:bottom w:val="single" w:sz="4" w:space="0" w:color="auto"/>
              <w:right w:val="single" w:sz="4" w:space="0" w:color="auto"/>
            </w:tcBorders>
            <w:vAlign w:val="center"/>
          </w:tcPr>
          <w:p w14:paraId="298AAE4A"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0.27%</w:t>
            </w:r>
          </w:p>
        </w:tc>
      </w:tr>
    </w:tbl>
    <w:p w14:paraId="52ED37B7" w14:textId="36FAAB4C"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2、自基金合同生效以来</w:t>
      </w:r>
      <w:r w:rsidR="00D43F60">
        <w:rPr>
          <w:rFonts w:ascii="宋体" w:hAnsi="宋体" w:hint="eastAsia"/>
          <w:sz w:val="24"/>
        </w:rPr>
        <w:t>A类</w:t>
      </w:r>
      <w:r>
        <w:rPr>
          <w:rFonts w:ascii="宋体" w:hAnsi="宋体"/>
          <w:sz w:val="24"/>
        </w:rPr>
        <w:t>基金份额累计净值增长率变动及其与同期业绩比较基准收益率变动的比较</w:t>
      </w:r>
    </w:p>
    <w:p w14:paraId="717F4224" w14:textId="77777777" w:rsidR="00FB4D29" w:rsidRDefault="00CF4592">
      <w:pPr>
        <w:autoSpaceDE w:val="0"/>
        <w:autoSpaceDN w:val="0"/>
        <w:adjustRightInd w:val="0"/>
        <w:snapToGrid w:val="0"/>
        <w:spacing w:line="360" w:lineRule="auto"/>
        <w:ind w:firstLineChars="200" w:firstLine="480"/>
        <w:jc w:val="center"/>
        <w:rPr>
          <w:rFonts w:ascii="宋体" w:hAnsi="宋体"/>
          <w:szCs w:val="24"/>
        </w:rPr>
      </w:pPr>
      <w:r>
        <w:rPr>
          <w:rFonts w:ascii="宋体" w:hAnsi="宋体"/>
          <w:sz w:val="24"/>
        </w:rPr>
        <w:t>交银施罗德持续成长主题混合型证券投资基金</w:t>
      </w:r>
    </w:p>
    <w:p w14:paraId="3A19570A" w14:textId="375A9344" w:rsidR="00FB4D29" w:rsidRDefault="00D43F60">
      <w:pPr>
        <w:autoSpaceDE w:val="0"/>
        <w:autoSpaceDN w:val="0"/>
        <w:adjustRightInd w:val="0"/>
        <w:snapToGrid w:val="0"/>
        <w:spacing w:line="360" w:lineRule="auto"/>
        <w:ind w:firstLineChars="200" w:firstLine="480"/>
        <w:jc w:val="center"/>
        <w:rPr>
          <w:rFonts w:ascii="宋体" w:hAnsi="宋体"/>
          <w:szCs w:val="24"/>
        </w:rPr>
      </w:pPr>
      <w:r>
        <w:rPr>
          <w:rFonts w:ascii="宋体" w:hAnsi="宋体" w:hint="eastAsia"/>
          <w:sz w:val="24"/>
        </w:rPr>
        <w:t>A类基金</w:t>
      </w:r>
      <w:r w:rsidR="00CF4592">
        <w:rPr>
          <w:rFonts w:ascii="宋体" w:hAnsi="宋体"/>
          <w:sz w:val="24"/>
        </w:rPr>
        <w:t>份额累计净值增长率与业绩比较基准收益率历史走势对比图</w:t>
      </w:r>
    </w:p>
    <w:p w14:paraId="792CED20" w14:textId="77777777" w:rsidR="00FB4D29" w:rsidRDefault="00CF4592">
      <w:pPr>
        <w:autoSpaceDE w:val="0"/>
        <w:autoSpaceDN w:val="0"/>
        <w:adjustRightInd w:val="0"/>
        <w:snapToGrid w:val="0"/>
        <w:spacing w:line="360" w:lineRule="auto"/>
        <w:ind w:firstLineChars="200" w:firstLine="480"/>
        <w:jc w:val="center"/>
        <w:rPr>
          <w:rFonts w:ascii="宋体" w:hAnsi="宋体"/>
          <w:szCs w:val="24"/>
        </w:rPr>
      </w:pPr>
      <w:r>
        <w:rPr>
          <w:rFonts w:ascii="宋体" w:hAnsi="宋体"/>
          <w:sz w:val="24"/>
        </w:rPr>
        <w:t>（2018年1月12日至2022年03月31日）</w:t>
      </w:r>
    </w:p>
    <w:p w14:paraId="4B91E44D" w14:textId="009F6421" w:rsidR="00FB4D29" w:rsidRDefault="00B97145">
      <w:pPr>
        <w:autoSpaceDE w:val="0"/>
        <w:autoSpaceDN w:val="0"/>
        <w:adjustRightInd w:val="0"/>
        <w:snapToGrid w:val="0"/>
        <w:spacing w:line="360" w:lineRule="auto"/>
        <w:ind w:firstLineChars="200" w:firstLine="480"/>
        <w:jc w:val="left"/>
        <w:rPr>
          <w:rFonts w:ascii="宋体" w:hAnsi="宋体"/>
          <w:szCs w:val="24"/>
        </w:rPr>
      </w:pPr>
      <w:r>
        <w:rPr>
          <w:rFonts w:ascii="宋体" w:hAnsi="宋体"/>
          <w:noProof/>
          <w:kern w:val="0"/>
          <w:sz w:val="24"/>
        </w:rPr>
        <w:lastRenderedPageBreak/>
        <w:drawing>
          <wp:inline distT="0" distB="0" distL="0" distR="0" wp14:anchorId="1DD13216" wp14:editId="7B3D7ADD">
            <wp:extent cx="5584190" cy="3422650"/>
            <wp:effectExtent l="0" t="0" r="0" b="6350"/>
            <wp:docPr id="3" name="图片 2" descr="1521256610242020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52125661024202082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84190" cy="3422650"/>
                    </a:xfrm>
                    <a:prstGeom prst="rect">
                      <a:avLst/>
                    </a:prstGeom>
                    <a:noFill/>
                    <a:ln>
                      <a:noFill/>
                    </a:ln>
                  </pic:spPr>
                </pic:pic>
              </a:graphicData>
            </a:graphic>
          </wp:inline>
        </w:drawing>
      </w:r>
    </w:p>
    <w:p w14:paraId="36F04B98"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注：本基金建仓期为自基金合同生效日起的6个月。截至建仓期结束，本基金各项资产配置比例符合基金合同及招募说明书有关投资比例的约定。</w:t>
      </w:r>
    </w:p>
    <w:p w14:paraId="635464FC" w14:textId="77777777" w:rsidR="00AF2A34" w:rsidRDefault="00AF2A34" w:rsidP="00AF2A34">
      <w:pPr>
        <w:autoSpaceDE w:val="0"/>
        <w:autoSpaceDN w:val="0"/>
        <w:adjustRightInd w:val="0"/>
        <w:spacing w:line="360" w:lineRule="auto"/>
        <w:ind w:firstLineChars="200" w:firstLine="420"/>
        <w:rPr>
          <w:rFonts w:ascii="宋体" w:hAnsi="宋体"/>
          <w:szCs w:val="24"/>
        </w:rPr>
      </w:pPr>
    </w:p>
    <w:p w14:paraId="3E722252" w14:textId="43793A47" w:rsidR="00FB4D29" w:rsidRDefault="00CF4592">
      <w:pPr>
        <w:pStyle w:val="1"/>
        <w:snapToGrid w:val="0"/>
        <w:spacing w:beforeLines="0" w:before="240" w:after="240"/>
        <w:rPr>
          <w:rFonts w:ascii="宋体" w:hAnsi="宋体"/>
          <w:szCs w:val="30"/>
        </w:rPr>
      </w:pPr>
      <w:r>
        <w:rPr>
          <w:rFonts w:ascii="宋体" w:hAnsi="宋体"/>
          <w:sz w:val="24"/>
        </w:rPr>
        <w:br w:type="page"/>
      </w:r>
      <w:bookmarkStart w:id="15" w:name="_Toc107476031"/>
      <w:r>
        <w:rPr>
          <w:rFonts w:ascii="Times New Roman" w:hAnsi="Times New Roman"/>
          <w:sz w:val="30"/>
        </w:rPr>
        <w:lastRenderedPageBreak/>
        <w:t>十二、基金的财产</w:t>
      </w:r>
      <w:bookmarkEnd w:id="15"/>
    </w:p>
    <w:p w14:paraId="3B9B8832" w14:textId="77777777" w:rsidR="00FB4D29" w:rsidRDefault="00CF4592">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（一）基金资产总值</w:t>
      </w:r>
    </w:p>
    <w:p w14:paraId="58C4A8ED" w14:textId="3952D802"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基金资产总值是指基金拥有的各类有价证券、股指期货合约、银行存款本息、基金应收</w:t>
      </w:r>
      <w:r w:rsidR="00750621" w:rsidRPr="00750621">
        <w:rPr>
          <w:rFonts w:ascii="宋体" w:hAnsi="宋体" w:hint="eastAsia"/>
          <w:sz w:val="24"/>
        </w:rPr>
        <w:t>款项</w:t>
      </w:r>
      <w:r>
        <w:rPr>
          <w:rFonts w:ascii="宋体" w:hAnsi="宋体"/>
          <w:sz w:val="24"/>
        </w:rPr>
        <w:t>及其他资产的价值总和。</w:t>
      </w:r>
    </w:p>
    <w:p w14:paraId="0B915FDF" w14:textId="77777777" w:rsidR="00FB4D29" w:rsidRDefault="00CF4592">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（二）基金资产净值</w:t>
      </w:r>
    </w:p>
    <w:p w14:paraId="6317A455"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基金资产净值是指基金资产总值减去基金负债后的价值。</w:t>
      </w:r>
    </w:p>
    <w:p w14:paraId="1D08452C" w14:textId="77777777" w:rsidR="00FB4D29" w:rsidRDefault="00CF4592">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（三）基金财产的账户</w:t>
      </w:r>
    </w:p>
    <w:p w14:paraId="615258DD"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托管人根据相关法律法规、规范性文件为本基金开立资金账户、证券账户以及投资所需的其他专用账户，协助开立股指期货业务相关账户及交易编码。开立的基金专用账户与基金管理人、基金托管人、基金销售机构和基金登记机构自有的财产账户以及其他基金财产账户相独立。</w:t>
      </w:r>
    </w:p>
    <w:p w14:paraId="2F27F2BF" w14:textId="77777777" w:rsidR="00FB4D29" w:rsidRDefault="00CF4592">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（四）基金财产的保管和处分</w:t>
      </w:r>
    </w:p>
    <w:p w14:paraId="2A9868C6"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33F8302C"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非因基金财产本身承担的债务，不得对基金财产强制执行。</w:t>
      </w:r>
    </w:p>
    <w:p w14:paraId="52B7FDB0" w14:textId="77777777" w:rsidR="00AF2A34" w:rsidRDefault="00AF2A34" w:rsidP="00AF2A34">
      <w:pPr>
        <w:autoSpaceDE w:val="0"/>
        <w:autoSpaceDN w:val="0"/>
        <w:adjustRightInd w:val="0"/>
        <w:spacing w:line="360" w:lineRule="auto"/>
        <w:ind w:firstLineChars="200" w:firstLine="420"/>
        <w:rPr>
          <w:rFonts w:ascii="宋体" w:hAnsi="宋体"/>
          <w:szCs w:val="24"/>
        </w:rPr>
      </w:pPr>
    </w:p>
    <w:p w14:paraId="2D89AABD" w14:textId="3A358F35" w:rsidR="00FB4D29" w:rsidRDefault="00CF4592">
      <w:pPr>
        <w:pStyle w:val="1"/>
        <w:snapToGrid w:val="0"/>
        <w:spacing w:beforeLines="0" w:before="240" w:after="240"/>
        <w:rPr>
          <w:rFonts w:ascii="宋体" w:hAnsi="宋体"/>
          <w:szCs w:val="30"/>
        </w:rPr>
      </w:pPr>
      <w:r>
        <w:rPr>
          <w:rFonts w:ascii="宋体" w:hAnsi="宋体"/>
          <w:sz w:val="24"/>
        </w:rPr>
        <w:br w:type="page"/>
      </w:r>
      <w:bookmarkStart w:id="16" w:name="_Toc107476032"/>
      <w:r>
        <w:rPr>
          <w:rFonts w:ascii="Times New Roman" w:hAnsi="Times New Roman"/>
          <w:sz w:val="30"/>
        </w:rPr>
        <w:lastRenderedPageBreak/>
        <w:t>十三、基金资产的估值</w:t>
      </w:r>
      <w:bookmarkEnd w:id="16"/>
    </w:p>
    <w:p w14:paraId="1567E85C" w14:textId="77777777" w:rsidR="00FB4D29" w:rsidRDefault="00CF4592">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（一）估值日</w:t>
      </w:r>
    </w:p>
    <w:p w14:paraId="4E49C0C7"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本基金的估值日为本基金相关的证券交易场所的交易日以及国家法律法规规定需要对外披露基金净值的非交易日。</w:t>
      </w:r>
    </w:p>
    <w:p w14:paraId="7E756456" w14:textId="77777777" w:rsidR="00FB4D29" w:rsidRDefault="00CF4592">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（二）估值对象</w:t>
      </w:r>
    </w:p>
    <w:p w14:paraId="78973378"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基金所拥有的股票、债券、衍生工具和其它投资等持续以公允价值计量的金融资产及负债。</w:t>
      </w:r>
    </w:p>
    <w:p w14:paraId="3FB43AD0" w14:textId="77777777" w:rsidR="00750621" w:rsidRPr="00F82365" w:rsidRDefault="00CF4592" w:rsidP="00750621">
      <w:pPr>
        <w:spacing w:line="360" w:lineRule="auto"/>
        <w:ind w:firstLineChars="200" w:firstLine="422"/>
        <w:rPr>
          <w:rFonts w:ascii="宋体" w:hAnsi="宋体"/>
          <w:b/>
          <w:szCs w:val="24"/>
        </w:rPr>
      </w:pPr>
      <w:r w:rsidRPr="00BB248E">
        <w:rPr>
          <w:rFonts w:ascii="宋体" w:hAnsi="宋体" w:hint="eastAsia"/>
          <w:b/>
          <w:szCs w:val="24"/>
        </w:rPr>
        <w:t>（三）</w:t>
      </w:r>
      <w:r w:rsidR="00750621" w:rsidRPr="00F82365">
        <w:rPr>
          <w:rFonts w:ascii="宋体" w:hAnsi="宋体" w:hint="eastAsia"/>
          <w:b/>
          <w:szCs w:val="24"/>
        </w:rPr>
        <w:t>估值原则</w:t>
      </w:r>
    </w:p>
    <w:p w14:paraId="00410799" w14:textId="77777777" w:rsidR="00750621" w:rsidRPr="0069261E" w:rsidRDefault="00750621" w:rsidP="00750621">
      <w:pPr>
        <w:spacing w:line="360" w:lineRule="auto"/>
        <w:ind w:firstLineChars="200" w:firstLine="480"/>
        <w:rPr>
          <w:bCs/>
          <w:sz w:val="24"/>
        </w:rPr>
      </w:pPr>
      <w:r w:rsidRPr="0069261E">
        <w:rPr>
          <w:rFonts w:hint="eastAsia"/>
          <w:bCs/>
          <w:sz w:val="24"/>
        </w:rPr>
        <w:t>基金管理人在确定相关金融资产和金融负债的公允价值时，应符合《企业会计准则》、监管部门有关规定。</w:t>
      </w:r>
    </w:p>
    <w:p w14:paraId="59CD1760" w14:textId="5C9B605D" w:rsidR="00750621" w:rsidRPr="0069261E" w:rsidRDefault="00750621" w:rsidP="00750621">
      <w:pPr>
        <w:spacing w:line="360" w:lineRule="auto"/>
        <w:ind w:firstLineChars="200" w:firstLine="480"/>
        <w:rPr>
          <w:bCs/>
          <w:sz w:val="24"/>
        </w:rPr>
      </w:pPr>
      <w:r>
        <w:rPr>
          <w:bCs/>
          <w:sz w:val="24"/>
        </w:rPr>
        <w:t>1</w:t>
      </w:r>
      <w:r>
        <w:rPr>
          <w:rFonts w:hint="eastAsia"/>
          <w:bCs/>
          <w:sz w:val="24"/>
        </w:rPr>
        <w:t>、</w:t>
      </w:r>
      <w:r w:rsidRPr="0069261E">
        <w:rPr>
          <w:rFonts w:hint="eastAsia"/>
          <w:bCs/>
          <w:sz w:val="24"/>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2C06B0D1" w14:textId="77777777" w:rsidR="00750621" w:rsidRPr="0069261E" w:rsidRDefault="00750621" w:rsidP="00750621">
      <w:pPr>
        <w:spacing w:line="360" w:lineRule="auto"/>
        <w:ind w:firstLineChars="200" w:firstLine="480"/>
        <w:rPr>
          <w:bCs/>
          <w:sz w:val="24"/>
        </w:rPr>
      </w:pPr>
      <w:r w:rsidRPr="0069261E">
        <w:rPr>
          <w:rFonts w:hint="eastAsia"/>
          <w:bCs/>
          <w:sz w:val="24"/>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17BA1C38" w14:textId="2B80605B" w:rsidR="00750621" w:rsidRPr="0069261E" w:rsidRDefault="00750621" w:rsidP="00750621">
      <w:pPr>
        <w:spacing w:line="360" w:lineRule="auto"/>
        <w:ind w:firstLineChars="200" w:firstLine="480"/>
        <w:rPr>
          <w:bCs/>
          <w:sz w:val="24"/>
        </w:rPr>
      </w:pPr>
      <w:r>
        <w:rPr>
          <w:rFonts w:hint="eastAsia"/>
          <w:bCs/>
          <w:sz w:val="24"/>
        </w:rPr>
        <w:t>2</w:t>
      </w:r>
      <w:r>
        <w:rPr>
          <w:rFonts w:hint="eastAsia"/>
          <w:bCs/>
          <w:sz w:val="24"/>
        </w:rPr>
        <w:t>、</w:t>
      </w:r>
      <w:r w:rsidRPr="0069261E">
        <w:rPr>
          <w:rFonts w:hint="eastAsia"/>
          <w:bCs/>
          <w:sz w:val="24"/>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59D93F19" w14:textId="7995B097" w:rsidR="00750621" w:rsidRPr="0069261E" w:rsidRDefault="00750621" w:rsidP="00750621">
      <w:pPr>
        <w:spacing w:line="360" w:lineRule="auto"/>
        <w:ind w:firstLineChars="200" w:firstLine="480"/>
        <w:rPr>
          <w:bCs/>
          <w:sz w:val="24"/>
        </w:rPr>
      </w:pPr>
      <w:r>
        <w:rPr>
          <w:rFonts w:hint="eastAsia"/>
          <w:bCs/>
          <w:sz w:val="24"/>
        </w:rPr>
        <w:t>3</w:t>
      </w:r>
      <w:r>
        <w:rPr>
          <w:rFonts w:hint="eastAsia"/>
          <w:bCs/>
          <w:sz w:val="24"/>
        </w:rPr>
        <w:t>、</w:t>
      </w:r>
      <w:r w:rsidRPr="0069261E">
        <w:rPr>
          <w:rFonts w:hint="eastAsia"/>
          <w:bCs/>
          <w:sz w:val="24"/>
        </w:rPr>
        <w:t>如经济环境发生重大变化或证券发行人发生影响证券价格的重大事件，使潜在估值调整对前一估值日的基金资产净值的影响在</w:t>
      </w:r>
      <w:r w:rsidRPr="0069261E">
        <w:rPr>
          <w:rFonts w:hint="eastAsia"/>
          <w:bCs/>
          <w:sz w:val="24"/>
        </w:rPr>
        <w:t>0.25%</w:t>
      </w:r>
      <w:r w:rsidRPr="0069261E">
        <w:rPr>
          <w:rFonts w:hint="eastAsia"/>
          <w:bCs/>
          <w:sz w:val="24"/>
        </w:rPr>
        <w:t>以上的，应对估值进行调整并确定公允价值。</w:t>
      </w:r>
    </w:p>
    <w:p w14:paraId="5B9E8917" w14:textId="11E90B89" w:rsidR="00FB4D29" w:rsidRPr="00F82365" w:rsidRDefault="00D5329B" w:rsidP="00750621">
      <w:pPr>
        <w:autoSpaceDE w:val="0"/>
        <w:autoSpaceDN w:val="0"/>
        <w:adjustRightInd w:val="0"/>
        <w:snapToGrid w:val="0"/>
        <w:spacing w:line="360" w:lineRule="auto"/>
        <w:ind w:firstLineChars="200" w:firstLine="422"/>
        <w:jc w:val="left"/>
        <w:rPr>
          <w:rFonts w:ascii="宋体" w:hAnsi="宋体"/>
          <w:b/>
          <w:szCs w:val="24"/>
        </w:rPr>
      </w:pPr>
      <w:r>
        <w:rPr>
          <w:rFonts w:ascii="宋体" w:hAnsi="宋体" w:hint="eastAsia"/>
          <w:b/>
          <w:szCs w:val="24"/>
        </w:rPr>
        <w:t>（四</w:t>
      </w:r>
      <w:r w:rsidRPr="00BB248E">
        <w:rPr>
          <w:rFonts w:ascii="宋体" w:hAnsi="宋体" w:hint="eastAsia"/>
          <w:b/>
          <w:szCs w:val="24"/>
        </w:rPr>
        <w:t>）</w:t>
      </w:r>
      <w:r w:rsidR="00CF4592" w:rsidRPr="00BB248E">
        <w:rPr>
          <w:rFonts w:ascii="宋体" w:hAnsi="宋体" w:hint="eastAsia"/>
          <w:b/>
          <w:szCs w:val="24"/>
        </w:rPr>
        <w:t>估值方法</w:t>
      </w:r>
    </w:p>
    <w:p w14:paraId="6BFE12FE"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1、证券交易所上市的有价证券的估值</w:t>
      </w:r>
    </w:p>
    <w:p w14:paraId="0D2B79BC" w14:textId="7B33A86D"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（1）交易所上市的有价证券（包括股票</w:t>
      </w:r>
      <w:r w:rsidR="005D04FD">
        <w:rPr>
          <w:rFonts w:ascii="宋体" w:hAnsi="宋体" w:hint="eastAsia"/>
          <w:sz w:val="24"/>
        </w:rPr>
        <w:t>等</w:t>
      </w:r>
      <w:r>
        <w:rPr>
          <w:rFonts w:ascii="宋体" w:hAnsi="宋体"/>
          <w:sz w:val="24"/>
        </w:rPr>
        <w:t>），以其估值日在证券交易所挂牌的</w:t>
      </w:r>
      <w:r>
        <w:rPr>
          <w:rFonts w:ascii="宋体" w:hAnsi="宋体"/>
          <w:sz w:val="24"/>
        </w:rPr>
        <w:lastRenderedPageBreak/>
        <w:t>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57E9E4A8" w14:textId="45571430"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（2）交易所市场上市交易或挂牌转让的固定收益品种（另有规定的除外），选取</w:t>
      </w:r>
      <w:r w:rsidR="00922FF4">
        <w:rPr>
          <w:rFonts w:hint="eastAsia"/>
          <w:bCs/>
          <w:sz w:val="24"/>
          <w:szCs w:val="24"/>
        </w:rPr>
        <w:t>估值日</w:t>
      </w:r>
      <w:r>
        <w:rPr>
          <w:rFonts w:ascii="宋体" w:hAnsi="宋体"/>
          <w:sz w:val="24"/>
        </w:rPr>
        <w:t>第三方估值机构提供的相应品种当日的估值净价进行估值；</w:t>
      </w:r>
    </w:p>
    <w:p w14:paraId="42F5E62F" w14:textId="5B0248D3"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（3）交易所市场上市交易的可转换债券，按估值日收盘价减去可转换债券收盘价中所含债券</w:t>
      </w:r>
      <w:r w:rsidR="00922FF4">
        <w:rPr>
          <w:rFonts w:hint="eastAsia"/>
          <w:bCs/>
          <w:sz w:val="24"/>
        </w:rPr>
        <w:t>（税后）</w:t>
      </w:r>
      <w:r>
        <w:rPr>
          <w:rFonts w:ascii="宋体" w:hAnsi="宋体"/>
          <w:sz w:val="24"/>
        </w:rPr>
        <w:t>应收利息后得到的净价进行估值；</w:t>
      </w:r>
      <w:r w:rsidR="00922FF4">
        <w:rPr>
          <w:rFonts w:hint="eastAsia"/>
          <w:bCs/>
          <w:sz w:val="24"/>
        </w:rPr>
        <w:t>估值日没有交易的，且最近交易日后经济环境未发生重大变化，按最近交易日债券收盘价减去可转换债券收盘价中所含债券（税后）应收利息后得到的净价进行估值。如最近交易日后经济环境发生了重大变化的，可参考类似投资品种现行市价及重大变化因素，调整最近交易市价，确定公允价格；</w:t>
      </w:r>
    </w:p>
    <w:p w14:paraId="3924D466" w14:textId="16F07AFB" w:rsidR="00922FF4" w:rsidRPr="00922FF4" w:rsidRDefault="00CF4592" w:rsidP="00922FF4">
      <w:pPr>
        <w:autoSpaceDE w:val="0"/>
        <w:autoSpaceDN w:val="0"/>
        <w:adjustRightInd w:val="0"/>
        <w:snapToGrid w:val="0"/>
        <w:spacing w:line="360" w:lineRule="auto"/>
        <w:ind w:firstLineChars="200" w:firstLine="480"/>
        <w:jc w:val="left"/>
        <w:rPr>
          <w:rFonts w:ascii="宋体" w:hAnsi="宋体"/>
          <w:sz w:val="24"/>
        </w:rPr>
      </w:pPr>
      <w:r>
        <w:rPr>
          <w:rFonts w:ascii="宋体" w:hAnsi="宋体"/>
          <w:sz w:val="24"/>
        </w:rPr>
        <w:t>（4）交易所</w:t>
      </w:r>
      <w:r w:rsidR="00922FF4" w:rsidRPr="00922FF4">
        <w:rPr>
          <w:rFonts w:ascii="宋体" w:hAnsi="宋体" w:hint="eastAsia"/>
          <w:sz w:val="24"/>
        </w:rPr>
        <w:t>上市实行全价交易的债券（可转债除外），选取第三方估值机构提供的估值全价减去估值全价中所含的债券（税后）应收利息得到的净价进行估值；</w:t>
      </w:r>
    </w:p>
    <w:p w14:paraId="54F51463" w14:textId="77777777" w:rsidR="00922FF4" w:rsidRPr="00922FF4" w:rsidRDefault="00922FF4" w:rsidP="00922FF4">
      <w:pPr>
        <w:autoSpaceDE w:val="0"/>
        <w:autoSpaceDN w:val="0"/>
        <w:adjustRightInd w:val="0"/>
        <w:snapToGrid w:val="0"/>
        <w:spacing w:line="360" w:lineRule="auto"/>
        <w:ind w:firstLineChars="200" w:firstLine="480"/>
        <w:jc w:val="left"/>
        <w:rPr>
          <w:rFonts w:ascii="宋体" w:hAnsi="宋体"/>
          <w:sz w:val="24"/>
        </w:rPr>
      </w:pPr>
      <w:r w:rsidRPr="00922FF4">
        <w:rPr>
          <w:rFonts w:ascii="宋体" w:hAnsi="宋体" w:hint="eastAsia"/>
          <w:sz w:val="24"/>
        </w:rPr>
        <w:t>（5）交易所上市不存在活跃市场的有价证券，采用估值技术确定公允价值。交易所市场挂牌转让的资产支持证券，采用估值技术确定公允价值；</w:t>
      </w:r>
    </w:p>
    <w:p w14:paraId="6FF5B64F" w14:textId="77777777" w:rsidR="00922FF4" w:rsidRDefault="00922FF4">
      <w:pPr>
        <w:autoSpaceDE w:val="0"/>
        <w:autoSpaceDN w:val="0"/>
        <w:adjustRightInd w:val="0"/>
        <w:snapToGrid w:val="0"/>
        <w:spacing w:line="360" w:lineRule="auto"/>
        <w:ind w:firstLineChars="200" w:firstLine="480"/>
        <w:jc w:val="left"/>
        <w:rPr>
          <w:rFonts w:ascii="宋体" w:hAnsi="宋体"/>
          <w:sz w:val="24"/>
        </w:rPr>
      </w:pPr>
      <w:r w:rsidRPr="00922FF4">
        <w:rPr>
          <w:rFonts w:ascii="宋体" w:hAnsi="宋体" w:hint="eastAsia"/>
          <w:sz w:val="24"/>
        </w:rPr>
        <w:t>（6）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14:paraId="1E5D7E75"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2、证券交易所发行未上市期间的有价证券应区分如下情况处理：</w:t>
      </w:r>
    </w:p>
    <w:p w14:paraId="03C90894" w14:textId="5D0E4D14"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（1）送股、转增股、配股和公开增发的新股，按估值日在证券交易所挂牌的同一股票的估值方法估值；</w:t>
      </w:r>
      <w:r w:rsidR="00922FF4">
        <w:rPr>
          <w:bCs/>
          <w:sz w:val="24"/>
        </w:rPr>
        <w:t>该日无交易的，以最近一日的市价（收盘价）估值；</w:t>
      </w:r>
    </w:p>
    <w:p w14:paraId="525AC079" w14:textId="0633715C"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（2）首次公开发行未上市的股票和</w:t>
      </w:r>
      <w:r w:rsidR="00922FF4">
        <w:rPr>
          <w:rFonts w:hint="eastAsia"/>
          <w:bCs/>
          <w:sz w:val="24"/>
          <w:szCs w:val="24"/>
        </w:rPr>
        <w:t>债券</w:t>
      </w:r>
      <w:r>
        <w:rPr>
          <w:rFonts w:ascii="宋体" w:hAnsi="宋体"/>
          <w:sz w:val="24"/>
        </w:rPr>
        <w:t>，采用估值技术确定公允价值</w:t>
      </w:r>
      <w:r w:rsidR="00922FF4" w:rsidRPr="00922FF4">
        <w:rPr>
          <w:rFonts w:ascii="宋体" w:hAnsi="宋体" w:hint="eastAsia"/>
          <w:sz w:val="24"/>
        </w:rPr>
        <w:t>，在估值技术难以可靠计量公允价值的情况下，按成本估值</w:t>
      </w:r>
      <w:r>
        <w:rPr>
          <w:rFonts w:ascii="宋体" w:hAnsi="宋体"/>
          <w:sz w:val="24"/>
        </w:rPr>
        <w:t>；</w:t>
      </w:r>
    </w:p>
    <w:p w14:paraId="141665E6" w14:textId="77777777" w:rsidR="00922FF4" w:rsidRDefault="00CF4592" w:rsidP="00922FF4">
      <w:pPr>
        <w:autoSpaceDE w:val="0"/>
        <w:autoSpaceDN w:val="0"/>
        <w:adjustRightInd w:val="0"/>
        <w:snapToGrid w:val="0"/>
        <w:spacing w:line="360" w:lineRule="auto"/>
        <w:ind w:firstLineChars="200" w:firstLine="480"/>
        <w:jc w:val="left"/>
        <w:rPr>
          <w:rFonts w:ascii="宋体" w:hAnsi="宋体"/>
          <w:sz w:val="24"/>
        </w:rPr>
      </w:pPr>
      <w:r>
        <w:rPr>
          <w:rFonts w:ascii="宋体" w:hAnsi="宋体"/>
          <w:sz w:val="24"/>
        </w:rPr>
        <w:t>（3）</w:t>
      </w:r>
      <w:r w:rsidR="00922FF4" w:rsidRPr="00922FF4">
        <w:rPr>
          <w:rFonts w:ascii="宋体" w:hAnsi="宋体" w:hint="eastAsia"/>
          <w:sz w:val="24"/>
        </w:rPr>
        <w:t>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w:t>
      </w:r>
      <w:r w:rsidR="00922FF4" w:rsidRPr="00922FF4">
        <w:rPr>
          <w:rFonts w:ascii="宋体" w:hAnsi="宋体" w:hint="eastAsia"/>
          <w:sz w:val="24"/>
        </w:rPr>
        <w:lastRenderedPageBreak/>
        <w:t>构或行业协会有关规定确定公允价值。</w:t>
      </w:r>
    </w:p>
    <w:p w14:paraId="2364F217" w14:textId="34F02032" w:rsidR="00FB4D29" w:rsidRDefault="00CF4592" w:rsidP="00922FF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w:t>
      </w:r>
      <w:r w:rsidR="00922FF4" w:rsidRPr="00922FF4">
        <w:rPr>
          <w:rFonts w:ascii="宋体" w:hAnsi="宋体" w:hint="eastAsia"/>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期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72A81E37"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4、本基金投资股指期货合约，一般以估值当日结算价进行估值，估值当日无结算价的，且最近交易日后经济环境未发生重大变化的，采用最近交易日结算价估值。</w:t>
      </w:r>
    </w:p>
    <w:p w14:paraId="1DCB6B35" w14:textId="77777777" w:rsidR="00922FF4" w:rsidRPr="00922FF4" w:rsidRDefault="00CF4592" w:rsidP="00922FF4">
      <w:pPr>
        <w:autoSpaceDE w:val="0"/>
        <w:autoSpaceDN w:val="0"/>
        <w:adjustRightInd w:val="0"/>
        <w:snapToGrid w:val="0"/>
        <w:spacing w:line="360" w:lineRule="auto"/>
        <w:ind w:firstLineChars="200" w:firstLine="480"/>
        <w:jc w:val="left"/>
        <w:rPr>
          <w:rFonts w:ascii="宋体" w:hAnsi="宋体"/>
          <w:sz w:val="24"/>
        </w:rPr>
      </w:pPr>
      <w:r>
        <w:rPr>
          <w:rFonts w:ascii="宋体" w:hAnsi="宋体"/>
          <w:sz w:val="24"/>
        </w:rPr>
        <w:t>5、</w:t>
      </w:r>
      <w:r w:rsidR="00922FF4" w:rsidRPr="00922FF4">
        <w:rPr>
          <w:rFonts w:ascii="宋体" w:hAnsi="宋体" w:hint="eastAsia"/>
          <w:sz w:val="24"/>
        </w:rPr>
        <w:t>同一证券同时在两个或两个以上市场交易的，按证券所处的市场分别估值。</w:t>
      </w:r>
    </w:p>
    <w:p w14:paraId="1FDC9950" w14:textId="77777777" w:rsidR="00922FF4" w:rsidRPr="00922FF4" w:rsidRDefault="00922FF4" w:rsidP="00922FF4">
      <w:pPr>
        <w:autoSpaceDE w:val="0"/>
        <w:autoSpaceDN w:val="0"/>
        <w:adjustRightInd w:val="0"/>
        <w:snapToGrid w:val="0"/>
        <w:spacing w:line="360" w:lineRule="auto"/>
        <w:ind w:firstLineChars="200" w:firstLine="480"/>
        <w:jc w:val="left"/>
        <w:rPr>
          <w:rFonts w:ascii="宋体" w:hAnsi="宋体"/>
          <w:sz w:val="24"/>
        </w:rPr>
      </w:pPr>
      <w:r w:rsidRPr="00922FF4">
        <w:rPr>
          <w:rFonts w:ascii="宋体" w:hAnsi="宋体" w:hint="eastAsia"/>
          <w:sz w:val="24"/>
        </w:rPr>
        <w:t>估值计算中涉及港币对人民币汇率的，将依据下列信息提供机构所提供的汇率为基准：当日中国人民银行或其授权机构公布的人民币汇率中间价。</w:t>
      </w:r>
    </w:p>
    <w:p w14:paraId="6CF2495B" w14:textId="77777777" w:rsidR="00922FF4" w:rsidRPr="00922FF4" w:rsidRDefault="00922FF4" w:rsidP="00922FF4">
      <w:pPr>
        <w:autoSpaceDE w:val="0"/>
        <w:autoSpaceDN w:val="0"/>
        <w:adjustRightInd w:val="0"/>
        <w:snapToGrid w:val="0"/>
        <w:spacing w:line="360" w:lineRule="auto"/>
        <w:ind w:firstLineChars="200" w:firstLine="480"/>
        <w:jc w:val="left"/>
        <w:rPr>
          <w:rFonts w:ascii="宋体" w:hAnsi="宋体"/>
          <w:sz w:val="24"/>
        </w:rPr>
      </w:pPr>
      <w:r w:rsidRPr="00922FF4">
        <w:rPr>
          <w:rFonts w:ascii="宋体" w:hAnsi="宋体" w:hint="eastAsia"/>
          <w:sz w:val="24"/>
        </w:rPr>
        <w:t>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1D33A746" w14:textId="0937F1BE" w:rsidR="00FB4D29" w:rsidRDefault="00922FF4" w:rsidP="000E2B98">
      <w:pPr>
        <w:autoSpaceDE w:val="0"/>
        <w:autoSpaceDN w:val="0"/>
        <w:adjustRightInd w:val="0"/>
        <w:snapToGrid w:val="0"/>
        <w:spacing w:line="360" w:lineRule="auto"/>
        <w:ind w:firstLineChars="200" w:firstLine="480"/>
        <w:jc w:val="left"/>
        <w:rPr>
          <w:rFonts w:ascii="宋体" w:hAnsi="宋体"/>
          <w:szCs w:val="24"/>
        </w:rPr>
      </w:pPr>
      <w:r w:rsidRPr="00922FF4">
        <w:rPr>
          <w:rFonts w:ascii="宋体" w:hAnsi="宋体" w:hint="eastAsia"/>
          <w:sz w:val="24"/>
        </w:rPr>
        <w:t>6、</w:t>
      </w:r>
      <w:r w:rsidR="00CF4592">
        <w:rPr>
          <w:rFonts w:ascii="宋体" w:hAnsi="宋体"/>
          <w:sz w:val="24"/>
        </w:rPr>
        <w:t>摆动定价机制：</w:t>
      </w:r>
      <w:r>
        <w:rPr>
          <w:rFonts w:ascii="宋体" w:hAnsi="宋体" w:hint="eastAsia"/>
          <w:sz w:val="24"/>
        </w:rPr>
        <w:t>当</w:t>
      </w:r>
      <w:r w:rsidR="00CF4592">
        <w:rPr>
          <w:rFonts w:ascii="宋体" w:hAnsi="宋体"/>
          <w:sz w:val="24"/>
        </w:rPr>
        <w:t>发生大额申购或赎回情形时，基金管理人可以对本基金采用摆动定价机制，以确保基金估值的公平性。</w:t>
      </w:r>
    </w:p>
    <w:p w14:paraId="61A4D96E" w14:textId="4241C08B" w:rsidR="00FB4D29" w:rsidRDefault="000E2B98">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w:t>
      </w:r>
      <w:r w:rsidR="00CF4592">
        <w:rPr>
          <w:rFonts w:ascii="宋体" w:hAnsi="宋体"/>
          <w:sz w:val="24"/>
        </w:rPr>
        <w:t>、本基金投资存托凭证的估值核算依照境内上市交易的股票执行。</w:t>
      </w:r>
    </w:p>
    <w:p w14:paraId="34C18A58" w14:textId="529683C1" w:rsidR="000E2B98" w:rsidRPr="000E2B98" w:rsidRDefault="000E2B98" w:rsidP="000E2B98">
      <w:pPr>
        <w:autoSpaceDE w:val="0"/>
        <w:autoSpaceDN w:val="0"/>
        <w:adjustRightInd w:val="0"/>
        <w:snapToGrid w:val="0"/>
        <w:spacing w:line="360" w:lineRule="auto"/>
        <w:ind w:firstLineChars="200" w:firstLine="480"/>
        <w:jc w:val="left"/>
        <w:rPr>
          <w:rFonts w:ascii="宋体" w:hAnsi="宋体"/>
          <w:sz w:val="24"/>
        </w:rPr>
      </w:pPr>
      <w:r>
        <w:rPr>
          <w:rFonts w:ascii="宋体" w:hAnsi="宋体" w:hint="eastAsia"/>
          <w:sz w:val="24"/>
        </w:rPr>
        <w:t>8、</w:t>
      </w:r>
      <w:r w:rsidRPr="000E2B98">
        <w:rPr>
          <w:rFonts w:ascii="宋体" w:hAnsi="宋体" w:hint="eastAsia"/>
          <w:sz w:val="24"/>
        </w:rPr>
        <w:t>如有确凿证据表明按上述方法进行估值不能客观反映其公允价值的，基金管理人可根据具体情况与基金托管人商定后，按最能反映公允价值的方法估值。</w:t>
      </w:r>
    </w:p>
    <w:p w14:paraId="0C364939" w14:textId="45BD9419" w:rsidR="00FB4D29" w:rsidRDefault="00922FF4" w:rsidP="000E2B98">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w:t>
      </w:r>
      <w:r w:rsidR="00CF4592">
        <w:rPr>
          <w:rFonts w:ascii="宋体" w:hAnsi="宋体"/>
          <w:sz w:val="24"/>
        </w:rPr>
        <w:t>、相关法律法规以及监管部门有强制规定的，从其规定。如有新增事项，按</w:t>
      </w:r>
      <w:r w:rsidRPr="00922FF4">
        <w:rPr>
          <w:rFonts w:ascii="宋体" w:hAnsi="宋体" w:hint="eastAsia"/>
          <w:sz w:val="24"/>
        </w:rPr>
        <w:t>国家</w:t>
      </w:r>
      <w:r w:rsidR="00CF4592">
        <w:rPr>
          <w:rFonts w:ascii="宋体" w:hAnsi="宋体"/>
          <w:sz w:val="24"/>
        </w:rPr>
        <w:t>最新规定估值。</w:t>
      </w:r>
    </w:p>
    <w:p w14:paraId="19A3D7A4"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3D947071" w14:textId="14E74E3D"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根据有关法律法规，基金资产净值计算和基金会计核算的义务由基金管理人承</w:t>
      </w:r>
      <w:r>
        <w:rPr>
          <w:rFonts w:ascii="宋体" w:hAnsi="宋体"/>
          <w:sz w:val="24"/>
        </w:rPr>
        <w:lastRenderedPageBreak/>
        <w:t>担。本基金的基金会计责任方由基金管理人担任，因此，就与本基金有关的会计问题，如经相关各方在平等基础上充分讨论后，仍无法达成一致的意见，按照基金管理人对基金净值</w:t>
      </w:r>
      <w:r w:rsidR="00827B93">
        <w:rPr>
          <w:rFonts w:ascii="宋体" w:hAnsi="宋体" w:hint="eastAsia"/>
          <w:sz w:val="24"/>
        </w:rPr>
        <w:t>信息</w:t>
      </w:r>
      <w:r>
        <w:rPr>
          <w:rFonts w:ascii="宋体" w:hAnsi="宋体"/>
          <w:sz w:val="24"/>
        </w:rPr>
        <w:t>的计算结果对外予以公布。</w:t>
      </w:r>
    </w:p>
    <w:p w14:paraId="02AA6BEE" w14:textId="08B134C2" w:rsidR="00FB4D29" w:rsidRDefault="00CF4592">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w:t>
      </w:r>
      <w:r w:rsidR="00922FF4">
        <w:rPr>
          <w:rFonts w:ascii="宋体" w:hAnsi="宋体" w:hint="eastAsia"/>
          <w:b/>
          <w:szCs w:val="24"/>
        </w:rPr>
        <w:t>五</w:t>
      </w:r>
      <w:r w:rsidRPr="00BB248E">
        <w:rPr>
          <w:rFonts w:ascii="宋体" w:hAnsi="宋体" w:hint="eastAsia"/>
          <w:b/>
          <w:szCs w:val="24"/>
        </w:rPr>
        <w:t>）估值程序</w:t>
      </w:r>
    </w:p>
    <w:p w14:paraId="5EFB4ADF" w14:textId="36C07A2F"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w:t>
      </w:r>
      <w:r w:rsidR="00922FF4">
        <w:rPr>
          <w:rFonts w:hint="eastAsia"/>
          <w:bCs/>
          <w:sz w:val="24"/>
        </w:rPr>
        <w:t>各类</w:t>
      </w:r>
      <w:r w:rsidR="00922FF4" w:rsidRPr="00035652">
        <w:rPr>
          <w:bCs/>
          <w:sz w:val="24"/>
        </w:rPr>
        <w:t>基金份额</w:t>
      </w:r>
      <w:r w:rsidR="00922FF4">
        <w:rPr>
          <w:rFonts w:hint="eastAsia"/>
          <w:bCs/>
          <w:sz w:val="24"/>
        </w:rPr>
        <w:t>的</w:t>
      </w:r>
      <w:r>
        <w:rPr>
          <w:rFonts w:ascii="宋体" w:hAnsi="宋体"/>
          <w:sz w:val="24"/>
        </w:rPr>
        <w:t>基金份额净值是按照每个工作日闭市后，</w:t>
      </w:r>
      <w:r w:rsidR="00922FF4">
        <w:rPr>
          <w:rFonts w:hint="eastAsia"/>
          <w:bCs/>
          <w:sz w:val="24"/>
        </w:rPr>
        <w:t>该类基金份额的</w:t>
      </w:r>
      <w:r>
        <w:rPr>
          <w:rFonts w:ascii="宋体" w:hAnsi="宋体"/>
          <w:sz w:val="24"/>
        </w:rPr>
        <w:t>基金资产净值除以当日</w:t>
      </w:r>
      <w:r w:rsidR="00922FF4">
        <w:rPr>
          <w:rFonts w:hint="eastAsia"/>
          <w:bCs/>
          <w:sz w:val="24"/>
        </w:rPr>
        <w:t>该类</w:t>
      </w:r>
      <w:r>
        <w:rPr>
          <w:rFonts w:ascii="宋体" w:hAnsi="宋体"/>
          <w:sz w:val="24"/>
        </w:rPr>
        <w:t>基金份额的余额数量计算，精确到0.0001元，小数点后第五位四舍五入。</w:t>
      </w:r>
      <w:r w:rsidR="00922FF4" w:rsidRPr="0081623D">
        <w:rPr>
          <w:rFonts w:hint="eastAsia"/>
          <w:bCs/>
          <w:sz w:val="24"/>
        </w:rPr>
        <w:t>基金管理人可以设立大额赎回情形下的净值精度应急调整机制，具体可参见相关公告。</w:t>
      </w:r>
      <w:r>
        <w:rPr>
          <w:rFonts w:ascii="宋体" w:hAnsi="宋体"/>
          <w:sz w:val="24"/>
        </w:rPr>
        <w:t>国家另有规定的，从其规定。</w:t>
      </w:r>
    </w:p>
    <w:p w14:paraId="69743CCE" w14:textId="1141AB9B"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基金管理人于每个工作日计算</w:t>
      </w:r>
      <w:r w:rsidR="00922FF4">
        <w:rPr>
          <w:rFonts w:hint="eastAsia"/>
          <w:bCs/>
          <w:sz w:val="24"/>
        </w:rPr>
        <w:t>各类基金份额的</w:t>
      </w:r>
      <w:r>
        <w:rPr>
          <w:rFonts w:ascii="宋体" w:hAnsi="宋体"/>
          <w:sz w:val="24"/>
        </w:rPr>
        <w:t>基金资产净值及基金份额净值，并按规定公告。如遇特殊情况，经</w:t>
      </w:r>
      <w:r w:rsidR="00827B93">
        <w:rPr>
          <w:rFonts w:hint="eastAsia"/>
          <w:bCs/>
          <w:sz w:val="24"/>
        </w:rPr>
        <w:t>履行适当</w:t>
      </w:r>
      <w:r w:rsidR="00827B93">
        <w:rPr>
          <w:bCs/>
          <w:sz w:val="24"/>
        </w:rPr>
        <w:t>程序</w:t>
      </w:r>
      <w:r>
        <w:rPr>
          <w:rFonts w:ascii="宋体" w:hAnsi="宋体"/>
          <w:sz w:val="24"/>
        </w:rPr>
        <w:t>，可以适当延迟计算或公告。</w:t>
      </w:r>
    </w:p>
    <w:p w14:paraId="2B4D9BFB" w14:textId="4CCACEBB"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2、基金管理人应每个工作日对基金资产估值，但基金管理人根据法律法规或基金合同的规定暂停估值时除外。基金管理人每个工作日对基金资产估值后，将</w:t>
      </w:r>
      <w:r w:rsidR="00022220">
        <w:rPr>
          <w:rFonts w:ascii="宋体" w:hAnsi="宋体" w:hint="eastAsia"/>
          <w:sz w:val="24"/>
        </w:rPr>
        <w:t>各类</w:t>
      </w:r>
      <w:r>
        <w:rPr>
          <w:rFonts w:ascii="宋体" w:hAnsi="宋体"/>
          <w:sz w:val="24"/>
        </w:rPr>
        <w:t>基金份额净值结果发送基金托管人，经基金托管人复核无误后，由基金管理人依据基金合同的约定和相关法律法规的规定对外公布。</w:t>
      </w:r>
    </w:p>
    <w:p w14:paraId="5B65AA4C" w14:textId="1F610478" w:rsidR="00FB4D29" w:rsidRDefault="00CF4592">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w:t>
      </w:r>
      <w:r w:rsidR="00922FF4">
        <w:rPr>
          <w:rFonts w:ascii="宋体" w:hAnsi="宋体" w:hint="eastAsia"/>
          <w:b/>
          <w:szCs w:val="24"/>
        </w:rPr>
        <w:t>六</w:t>
      </w:r>
      <w:r w:rsidRPr="00BB248E">
        <w:rPr>
          <w:rFonts w:ascii="宋体" w:hAnsi="宋体" w:hint="eastAsia"/>
          <w:b/>
          <w:szCs w:val="24"/>
        </w:rPr>
        <w:t>）估值错误的处理</w:t>
      </w:r>
    </w:p>
    <w:p w14:paraId="664315B3"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基金管理人和基金托管人将采取必要、适当、合理的措施确保基金资产估值的准确性、及时性。当基金份额净值小数点后第4位以内（含第4位） 发生估值错误时，视为基金份额净值错误。</w:t>
      </w:r>
    </w:p>
    <w:p w14:paraId="36A46A0A"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由于一方当事人提供的信息错误，另一方当事人在采取了必要合理的措施后仍不能发现该错误，进而导致基金资产净值计算错误造成投资人或基金的损失，以及由此造成以后交易日基金资产净值计算顺延错误而引起的投资人或基金的损失，由提供错误信息的当事人一方负责赔偿。</w:t>
      </w:r>
    </w:p>
    <w:p w14:paraId="5C84DEB1"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基金合同的当事人应按照以下约定处理：</w:t>
      </w:r>
    </w:p>
    <w:p w14:paraId="70601D11"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1、估值错误类型</w:t>
      </w:r>
    </w:p>
    <w:p w14:paraId="3247FD2D"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运作过程中，如果由于基金管理人或基金托管人、或登记机构、或销售机构、或投资人自身的过错造成估值错误，导致其他当事人遭受损失的，过错的责任人应当对由于该估值错误遭受损失当事人（“受损方”） 的直接损失按下述“估值错误处理原则”给予赔偿，承担赔偿责任。</w:t>
      </w:r>
    </w:p>
    <w:p w14:paraId="0EC885B0"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上述估值错误的主要类型包括但不限于：资料申报差错、数据传输差错、数据计算差错、系统故障差错、下达指令差错等。</w:t>
      </w:r>
    </w:p>
    <w:p w14:paraId="3DBD585A"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对于因技术原因引起的差错，若系同行业现有技术水平无法预见、无法避免、无法抗拒，则属不可抗力。</w:t>
      </w:r>
    </w:p>
    <w:p w14:paraId="23F33D01"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由于不可抗力原因造成投资人的交易资料灭失或被错误处理或造成其他错误等，因不可抗力原因出现估值错误的当事人不对其他当事人承担赔偿责任，但因该估值错误取得不当得利的当事人仍应负有返还不当得利的义务。</w:t>
      </w:r>
    </w:p>
    <w:p w14:paraId="45780DB4"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2、估值错误处理原则</w:t>
      </w:r>
    </w:p>
    <w:p w14:paraId="29B29107"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42727CD4"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（2）估值错误的责任方对有关当事人的直接损失负责，不对间接损失负责，并且仅对估值错误的有关直接当事人负责，不对第三方负责。</w:t>
      </w:r>
    </w:p>
    <w:p w14:paraId="3D2BAF33"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4FED1DBB"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（4）估值错误调整采用尽量恢复至假设未发生估值错误的正确情形的方式。</w:t>
      </w:r>
    </w:p>
    <w:p w14:paraId="569A5F7B"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（5）按法律法规规定的其他原则处理估值错误。</w:t>
      </w:r>
    </w:p>
    <w:p w14:paraId="7B4DD5A2"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3、估值错误处理程序</w:t>
      </w:r>
    </w:p>
    <w:p w14:paraId="7409B3E4"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估值错误被发现后，有关的当事人应当及时进行处理，处理的程序如下：</w:t>
      </w:r>
    </w:p>
    <w:p w14:paraId="33471E66"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（1）查明估值错误发生的原因，列明所有的当事人，并根据估值错误发生的原因确定估值错误的责任方；</w:t>
      </w:r>
    </w:p>
    <w:p w14:paraId="4A661089"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（2）根据估值错误处理原则或当事人协商的方法对因估值错误造成的损失进行评估；</w:t>
      </w:r>
    </w:p>
    <w:p w14:paraId="48953DAC"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（3）根据估值错误处理原则或当事人协商的方法由估值错误的责任方进行更</w:t>
      </w:r>
      <w:r>
        <w:rPr>
          <w:rFonts w:ascii="宋体" w:hAnsi="宋体"/>
          <w:sz w:val="24"/>
        </w:rPr>
        <w:lastRenderedPageBreak/>
        <w:t>正和赔偿损失；</w:t>
      </w:r>
    </w:p>
    <w:p w14:paraId="206BCA86"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（4）根据估值错误处理的方法，需要修改基金登记机构交易数据的，由基金登记机构进行更正，并就估值错误的更正向有关当事人进行确认。</w:t>
      </w:r>
    </w:p>
    <w:p w14:paraId="624544C1"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4、基金份额净值估值错误处理的方法如下：</w:t>
      </w:r>
    </w:p>
    <w:p w14:paraId="166B844C"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（1）基金份额净值计算出现错误时，基金管理人应当立即予以纠正，通报基金托管人，并采取合理的措施防止损失进一步扩大。</w:t>
      </w:r>
    </w:p>
    <w:p w14:paraId="35BF0577"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（2）错误偏差达到基金份额净值的0.25%时，基金管理人应当通报基金托管人并报中国证监会备案；错误偏差达到基金份额净值的0.5%时，基金管理人应当公告并报中国证监会备案。</w:t>
      </w:r>
    </w:p>
    <w:p w14:paraId="7C41865C"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（3）前述内容如法律法规或监管机关另有规定的，从其规定处理。</w:t>
      </w:r>
    </w:p>
    <w:p w14:paraId="78CC7958" w14:textId="67F53B0B" w:rsidR="00FB4D29" w:rsidRDefault="00CF4592">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w:t>
      </w:r>
      <w:r w:rsidR="00922FF4">
        <w:rPr>
          <w:rFonts w:ascii="宋体" w:hAnsi="宋体" w:hint="eastAsia"/>
          <w:b/>
          <w:szCs w:val="24"/>
        </w:rPr>
        <w:t>七</w:t>
      </w:r>
      <w:r w:rsidRPr="00BB248E">
        <w:rPr>
          <w:rFonts w:ascii="宋体" w:hAnsi="宋体" w:hint="eastAsia"/>
          <w:b/>
          <w:szCs w:val="24"/>
        </w:rPr>
        <w:t>）暂停估值的情形</w:t>
      </w:r>
    </w:p>
    <w:p w14:paraId="575823F9"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1、基金投资所涉及的证券、期货交易市场遇法定节假日或因其他原因暂停营业时；</w:t>
      </w:r>
    </w:p>
    <w:p w14:paraId="6B68DCCC"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2、因不可抗力致使基金管理人、基金托管人无法准确评估基金资产价值时；</w:t>
      </w:r>
    </w:p>
    <w:p w14:paraId="30EB7A0B" w14:textId="45E711D4"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3、当</w:t>
      </w:r>
      <w:r w:rsidR="00922FF4">
        <w:rPr>
          <w:rFonts w:hint="eastAsia"/>
          <w:bCs/>
          <w:sz w:val="24"/>
        </w:rPr>
        <w:t>特定资产占</w:t>
      </w:r>
      <w:r>
        <w:rPr>
          <w:rFonts w:ascii="宋体" w:hAnsi="宋体"/>
          <w:sz w:val="24"/>
        </w:rPr>
        <w:t>前一估值日基金资产净值50%以上的，经与基金托管人协商一致的，基金</w:t>
      </w:r>
      <w:r w:rsidR="00922FF4">
        <w:rPr>
          <w:rFonts w:ascii="宋体" w:hAnsi="宋体" w:hint="eastAsia"/>
          <w:sz w:val="24"/>
        </w:rPr>
        <w:t>管理人</w:t>
      </w:r>
      <w:r>
        <w:rPr>
          <w:rFonts w:ascii="宋体" w:hAnsi="宋体"/>
          <w:sz w:val="24"/>
        </w:rPr>
        <w:t>应当暂停估值；</w:t>
      </w:r>
    </w:p>
    <w:p w14:paraId="54B5BC41" w14:textId="04DF647A"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4、法律法规</w:t>
      </w:r>
      <w:r w:rsidR="00922FF4">
        <w:rPr>
          <w:rFonts w:ascii="宋体" w:hAnsi="宋体" w:hint="eastAsia"/>
          <w:sz w:val="24"/>
        </w:rPr>
        <w:t>、</w:t>
      </w:r>
      <w:r>
        <w:rPr>
          <w:rFonts w:ascii="宋体" w:hAnsi="宋体"/>
          <w:sz w:val="24"/>
        </w:rPr>
        <w:t>中国证监会和基金合同</w:t>
      </w:r>
      <w:r w:rsidR="00922FF4">
        <w:rPr>
          <w:rFonts w:ascii="宋体" w:hAnsi="宋体" w:hint="eastAsia"/>
          <w:sz w:val="24"/>
        </w:rPr>
        <w:t>认</w:t>
      </w:r>
      <w:r>
        <w:rPr>
          <w:rFonts w:ascii="宋体" w:hAnsi="宋体"/>
          <w:sz w:val="24"/>
        </w:rPr>
        <w:t>定的其它情形。</w:t>
      </w:r>
    </w:p>
    <w:p w14:paraId="5B03F5A9" w14:textId="091E46BC" w:rsidR="00FB4D29" w:rsidRDefault="00CF4592">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w:t>
      </w:r>
      <w:r w:rsidR="00922FF4">
        <w:rPr>
          <w:rFonts w:ascii="宋体" w:hAnsi="宋体" w:hint="eastAsia"/>
          <w:b/>
          <w:szCs w:val="24"/>
        </w:rPr>
        <w:t>八</w:t>
      </w:r>
      <w:r w:rsidRPr="00BB248E">
        <w:rPr>
          <w:rFonts w:ascii="宋体" w:hAnsi="宋体" w:hint="eastAsia"/>
          <w:b/>
          <w:szCs w:val="24"/>
        </w:rPr>
        <w:t>）基金净值的确认</w:t>
      </w:r>
    </w:p>
    <w:p w14:paraId="41F42B63" w14:textId="698C466D" w:rsidR="00FB4D29" w:rsidRDefault="001401E3">
      <w:pPr>
        <w:autoSpaceDE w:val="0"/>
        <w:autoSpaceDN w:val="0"/>
        <w:adjustRightInd w:val="0"/>
        <w:snapToGrid w:val="0"/>
        <w:spacing w:line="360" w:lineRule="auto"/>
        <w:ind w:firstLineChars="200" w:firstLine="480"/>
        <w:jc w:val="left"/>
        <w:rPr>
          <w:rFonts w:ascii="宋体" w:hAnsi="宋体"/>
          <w:szCs w:val="24"/>
        </w:rPr>
      </w:pPr>
      <w:r w:rsidRPr="001401E3">
        <w:rPr>
          <w:rFonts w:ascii="宋体" w:hAnsi="宋体" w:hint="eastAsia"/>
          <w:sz w:val="24"/>
        </w:rPr>
        <w:t>各类基金份额的</w:t>
      </w:r>
      <w:r w:rsidR="00CF4592">
        <w:rPr>
          <w:rFonts w:ascii="宋体" w:hAnsi="宋体"/>
          <w:sz w:val="24"/>
        </w:rPr>
        <w:t>基金资产净值和基金份额净值由基金管理人负责计算，基金托管人负责进行复核。基金管理人应于每个开放日交易结束后计算当日</w:t>
      </w:r>
      <w:r>
        <w:rPr>
          <w:rFonts w:hint="eastAsia"/>
          <w:bCs/>
          <w:sz w:val="24"/>
        </w:rPr>
        <w:t>各类基金份额</w:t>
      </w:r>
      <w:r w:rsidR="00CF4592">
        <w:rPr>
          <w:rFonts w:ascii="宋体" w:hAnsi="宋体"/>
          <w:sz w:val="24"/>
        </w:rPr>
        <w:t>的基金资产净值和基金份额净值并发送给基金托管人。基金托管人对净值计算结果复核确认后发送给基金管理人，由基金管理人依据基金合同和相关法律法规的规定对基金净值予以公布。</w:t>
      </w:r>
    </w:p>
    <w:p w14:paraId="4F314A62" w14:textId="4576C347" w:rsidR="00FB4D29" w:rsidRDefault="00CF4592">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w:t>
      </w:r>
      <w:r w:rsidR="001401E3">
        <w:rPr>
          <w:rFonts w:ascii="宋体" w:hAnsi="宋体" w:hint="eastAsia"/>
          <w:b/>
          <w:szCs w:val="24"/>
        </w:rPr>
        <w:t>九</w:t>
      </w:r>
      <w:r w:rsidRPr="00BB248E">
        <w:rPr>
          <w:rFonts w:ascii="宋体" w:hAnsi="宋体" w:hint="eastAsia"/>
          <w:b/>
          <w:szCs w:val="24"/>
        </w:rPr>
        <w:t>）特殊情形的处理</w:t>
      </w:r>
    </w:p>
    <w:p w14:paraId="30FF6E24" w14:textId="782E420C"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1、基金管理人或基金托管人按估值方法的第</w:t>
      </w:r>
      <w:r w:rsidR="000E2B98">
        <w:rPr>
          <w:rFonts w:ascii="宋体" w:hAnsi="宋体"/>
          <w:sz w:val="24"/>
        </w:rPr>
        <w:t>8</w:t>
      </w:r>
      <w:r>
        <w:rPr>
          <w:rFonts w:ascii="宋体" w:hAnsi="宋体"/>
          <w:sz w:val="24"/>
        </w:rPr>
        <w:t>项进行估值时，所造成的误差不作为基金资产估值错误处理。</w:t>
      </w:r>
    </w:p>
    <w:p w14:paraId="52311B11" w14:textId="3D19D8E6" w:rsidR="00FB4D29" w:rsidRDefault="00CF4592">
      <w:pPr>
        <w:autoSpaceDE w:val="0"/>
        <w:autoSpaceDN w:val="0"/>
        <w:adjustRightInd w:val="0"/>
        <w:snapToGrid w:val="0"/>
        <w:spacing w:line="360" w:lineRule="auto"/>
        <w:ind w:firstLineChars="200" w:firstLine="480"/>
        <w:jc w:val="left"/>
        <w:rPr>
          <w:rFonts w:ascii="宋体" w:hAnsi="宋体"/>
          <w:sz w:val="24"/>
        </w:rPr>
      </w:pPr>
      <w:r>
        <w:rPr>
          <w:rFonts w:ascii="宋体" w:hAnsi="宋体"/>
          <w:sz w:val="24"/>
        </w:rPr>
        <w:t>2、由于不可抗力原因，或由于证券、期货交易所、证券经纪机构、期货公司及登记结算公司发送的数据错误等，基金管理人和基金托管人虽然已经采取必要、适当、合理的措施进行检查，但是未能发现该错误而造成的基金资产估值错误，基金管理人、基金托管人免除赔偿责任。但基金管理人、基金托管人应积极采取必要</w:t>
      </w:r>
      <w:r>
        <w:rPr>
          <w:rFonts w:ascii="宋体" w:hAnsi="宋体"/>
          <w:sz w:val="24"/>
        </w:rPr>
        <w:lastRenderedPageBreak/>
        <w:t>的措施减轻或消除由此造成的影响。</w:t>
      </w:r>
    </w:p>
    <w:p w14:paraId="36F27745" w14:textId="2B42A4C8" w:rsidR="001401E3" w:rsidRPr="00F82365" w:rsidRDefault="001401E3" w:rsidP="001401E3">
      <w:pPr>
        <w:autoSpaceDE w:val="0"/>
        <w:autoSpaceDN w:val="0"/>
        <w:adjustRightInd w:val="0"/>
        <w:snapToGrid w:val="0"/>
        <w:spacing w:line="360" w:lineRule="auto"/>
        <w:ind w:firstLineChars="200" w:firstLine="422"/>
        <w:jc w:val="left"/>
        <w:rPr>
          <w:rFonts w:ascii="宋体" w:hAnsi="宋体"/>
          <w:b/>
          <w:szCs w:val="24"/>
        </w:rPr>
      </w:pPr>
      <w:r w:rsidRPr="00BB248E">
        <w:rPr>
          <w:rFonts w:ascii="宋体" w:hAnsi="宋体" w:hint="eastAsia"/>
          <w:b/>
          <w:szCs w:val="24"/>
        </w:rPr>
        <w:t>（</w:t>
      </w:r>
      <w:r>
        <w:rPr>
          <w:rFonts w:ascii="宋体" w:hAnsi="宋体" w:hint="eastAsia"/>
          <w:b/>
          <w:szCs w:val="24"/>
        </w:rPr>
        <w:t>十</w:t>
      </w:r>
      <w:r w:rsidRPr="00BB248E">
        <w:rPr>
          <w:rFonts w:ascii="宋体" w:hAnsi="宋体" w:hint="eastAsia"/>
          <w:b/>
          <w:szCs w:val="24"/>
        </w:rPr>
        <w:t>）</w:t>
      </w:r>
      <w:r w:rsidRPr="00F82365">
        <w:rPr>
          <w:rFonts w:ascii="宋体" w:hAnsi="宋体" w:hint="eastAsia"/>
          <w:b/>
          <w:szCs w:val="24"/>
        </w:rPr>
        <w:t>实施侧袋机制期间的基金资产估值</w:t>
      </w:r>
    </w:p>
    <w:p w14:paraId="23A2BDD1" w14:textId="0ED662D8" w:rsidR="001401E3" w:rsidRPr="00F82365" w:rsidRDefault="001401E3" w:rsidP="001401E3">
      <w:pPr>
        <w:autoSpaceDE w:val="0"/>
        <w:autoSpaceDN w:val="0"/>
        <w:adjustRightInd w:val="0"/>
        <w:snapToGrid w:val="0"/>
        <w:spacing w:line="360" w:lineRule="auto"/>
        <w:ind w:firstLineChars="200" w:firstLine="480"/>
        <w:jc w:val="left"/>
        <w:rPr>
          <w:rFonts w:ascii="宋体" w:hAnsi="宋体"/>
          <w:sz w:val="24"/>
        </w:rPr>
      </w:pPr>
      <w:r w:rsidRPr="00F82365">
        <w:rPr>
          <w:rFonts w:ascii="宋体" w:hAnsi="宋体" w:hint="eastAsia"/>
          <w:sz w:val="24"/>
        </w:rPr>
        <w:t>本基金实施侧袋机制的，应根据本部分的约定对主袋账户资产进行估值并披露主袋账户的基金净值信息，暂停披露侧袋账户份额净值。</w:t>
      </w:r>
    </w:p>
    <w:p w14:paraId="5A36BA30" w14:textId="77777777" w:rsidR="00AF2A34" w:rsidRDefault="00AF2A34" w:rsidP="00AF2A34">
      <w:pPr>
        <w:autoSpaceDE w:val="0"/>
        <w:autoSpaceDN w:val="0"/>
        <w:adjustRightInd w:val="0"/>
        <w:spacing w:line="360" w:lineRule="auto"/>
        <w:ind w:firstLineChars="200" w:firstLine="420"/>
        <w:rPr>
          <w:rFonts w:ascii="宋体" w:hAnsi="宋体"/>
          <w:szCs w:val="24"/>
        </w:rPr>
      </w:pPr>
    </w:p>
    <w:p w14:paraId="27F8E41C" w14:textId="21A8BC99" w:rsidR="00FB4D29" w:rsidRDefault="00CF4592">
      <w:pPr>
        <w:pStyle w:val="1"/>
        <w:snapToGrid w:val="0"/>
        <w:spacing w:beforeLines="0" w:before="240" w:after="240"/>
        <w:rPr>
          <w:rFonts w:ascii="宋体" w:hAnsi="宋体"/>
          <w:szCs w:val="30"/>
        </w:rPr>
      </w:pPr>
      <w:r>
        <w:rPr>
          <w:rFonts w:ascii="宋体" w:hAnsi="宋体"/>
          <w:sz w:val="24"/>
        </w:rPr>
        <w:br w:type="page"/>
      </w:r>
      <w:bookmarkStart w:id="17" w:name="_Toc107476033"/>
      <w:r>
        <w:rPr>
          <w:rFonts w:ascii="Times New Roman" w:hAnsi="Times New Roman"/>
          <w:sz w:val="30"/>
        </w:rPr>
        <w:lastRenderedPageBreak/>
        <w:t>十四、基金收益与分配</w:t>
      </w:r>
      <w:bookmarkEnd w:id="17"/>
    </w:p>
    <w:p w14:paraId="1253C63D" w14:textId="77777777" w:rsidR="00FB4D29" w:rsidRDefault="00CF4592">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（一）基金利润的构成</w:t>
      </w:r>
    </w:p>
    <w:p w14:paraId="32E8D140"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基金利润指基金利息收入、投资收益、公允价值变动收益和其他收入扣除相关费用后的余额，基金已实现收益指基金利润减去公允价值变动收益后的余额。</w:t>
      </w:r>
    </w:p>
    <w:p w14:paraId="28B05BD8" w14:textId="77777777" w:rsidR="00FB4D29" w:rsidRDefault="00CF4592">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（二）基金可供分配利润</w:t>
      </w:r>
    </w:p>
    <w:p w14:paraId="10C02DE9"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基金可供分配利润指截至收益分配基准日基金未分配利润与未分配利润中已实现收益的孰低数。</w:t>
      </w:r>
    </w:p>
    <w:p w14:paraId="37ADFF37" w14:textId="77777777" w:rsidR="00FB4D29" w:rsidRDefault="00CF4592">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（三）基金收益分配原则</w:t>
      </w:r>
    </w:p>
    <w:p w14:paraId="2924A3F8" w14:textId="64AD9E82"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w:t>
      </w:r>
      <w:r w:rsidR="000E4EEC" w:rsidRPr="00D9352C">
        <w:rPr>
          <w:rFonts w:hint="eastAsia"/>
          <w:bCs/>
          <w:sz w:val="24"/>
        </w:rPr>
        <w:t>在符合有关基金分红条件的前提下，本基金管理人可以根据实际情况进行收益分配，具体分配方案以公告为准，</w:t>
      </w:r>
      <w:r>
        <w:rPr>
          <w:rFonts w:ascii="宋体" w:hAnsi="宋体"/>
          <w:sz w:val="24"/>
        </w:rPr>
        <w:t>若《基金合同》生效不满3个月可不进行收益分配；</w:t>
      </w:r>
    </w:p>
    <w:p w14:paraId="7DB32367" w14:textId="53A0541E"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2、本基金收益分配方式分两种：现金分红与红利再投资，投资者可选择现金红利或将现金红利自动转为</w:t>
      </w:r>
      <w:r w:rsidR="000E4EEC">
        <w:rPr>
          <w:rFonts w:hint="eastAsia"/>
          <w:bCs/>
          <w:sz w:val="24"/>
        </w:rPr>
        <w:t>相应类别的</w:t>
      </w:r>
      <w:r>
        <w:rPr>
          <w:rFonts w:ascii="宋体" w:hAnsi="宋体"/>
          <w:sz w:val="24"/>
        </w:rPr>
        <w:t>基金份额进行再投资；若投资者不选择，本基金默认的收益分配方式是现金分红；</w:t>
      </w:r>
      <w:r w:rsidR="000E4EEC" w:rsidRPr="000E4EEC">
        <w:rPr>
          <w:rFonts w:ascii="宋体" w:hAnsi="宋体" w:hint="eastAsia"/>
          <w:sz w:val="24"/>
        </w:rPr>
        <w:t>基金份额持有人可对其持有的A类基金份额和C类基金份额分别选择不同的收益分配方式；</w:t>
      </w:r>
    </w:p>
    <w:p w14:paraId="5C621D1A" w14:textId="7F13FE19"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3、基金收益分配后</w:t>
      </w:r>
      <w:r w:rsidR="000E4EEC">
        <w:rPr>
          <w:rFonts w:hint="eastAsia"/>
          <w:bCs/>
          <w:sz w:val="24"/>
        </w:rPr>
        <w:t>任一类</w:t>
      </w:r>
      <w:r>
        <w:rPr>
          <w:rFonts w:ascii="宋体" w:hAnsi="宋体"/>
          <w:sz w:val="24"/>
        </w:rPr>
        <w:t>基金份额净值不能低于面值，即基金收益分配基准日的</w:t>
      </w:r>
      <w:r w:rsidR="000E4EEC">
        <w:rPr>
          <w:rFonts w:hint="eastAsia"/>
          <w:bCs/>
          <w:sz w:val="24"/>
        </w:rPr>
        <w:t>任一类</w:t>
      </w:r>
      <w:r>
        <w:rPr>
          <w:rFonts w:ascii="宋体" w:hAnsi="宋体"/>
          <w:sz w:val="24"/>
        </w:rPr>
        <w:t>基金份额净值减去每单位</w:t>
      </w:r>
      <w:r w:rsidR="000E4EEC">
        <w:rPr>
          <w:rFonts w:hint="eastAsia"/>
          <w:bCs/>
          <w:sz w:val="24"/>
        </w:rPr>
        <w:t>该类</w:t>
      </w:r>
      <w:r>
        <w:rPr>
          <w:rFonts w:ascii="宋体" w:hAnsi="宋体"/>
          <w:sz w:val="24"/>
        </w:rPr>
        <w:t>基金份额收益分配金额后不能低于面值；</w:t>
      </w:r>
    </w:p>
    <w:p w14:paraId="3B0363DC" w14:textId="4FC9BCDF"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w:t>
      </w:r>
      <w:r w:rsidR="000E4EEC" w:rsidRPr="000E4EEC">
        <w:rPr>
          <w:rFonts w:ascii="宋体" w:hAnsi="宋体" w:hint="eastAsia"/>
          <w:sz w:val="24"/>
        </w:rPr>
        <w:t>由于本基金A类基金份额不收取销售服务费，C类基金份额收取销售服务费，各基金份额类别对应的可供分配利润将有所不同；本基金同一基金份额类别的</w:t>
      </w:r>
      <w:r>
        <w:rPr>
          <w:rFonts w:ascii="宋体" w:hAnsi="宋体"/>
          <w:sz w:val="24"/>
        </w:rPr>
        <w:t>每一基金份额享有同等分配权；</w:t>
      </w:r>
    </w:p>
    <w:p w14:paraId="0C1ABA9A"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5、法律法规或监管机关另有规定的，从其规定。</w:t>
      </w:r>
    </w:p>
    <w:p w14:paraId="78756AF3" w14:textId="77777777" w:rsidR="00FB4D29" w:rsidRDefault="00CF4592">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（四）收益分配方案</w:t>
      </w:r>
    </w:p>
    <w:p w14:paraId="4B94F7A5"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基金收益分配方案中应载明截止收益分配基准日的可供分配利润、基金收益分配对象、分配时间、分配数额及比例、分配方式等内容。</w:t>
      </w:r>
    </w:p>
    <w:p w14:paraId="2CED4916" w14:textId="77777777" w:rsidR="00FB4D29" w:rsidRDefault="00CF4592">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（五）收益分配方案的确定、公告与实施</w:t>
      </w:r>
    </w:p>
    <w:p w14:paraId="2619AA29" w14:textId="66AADB76"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本基金收益分配方案由基金管理人拟定，并由基金托管人复核，依照《信息披露办法》的有关规定在</w:t>
      </w:r>
      <w:r w:rsidR="003246BF">
        <w:rPr>
          <w:rFonts w:ascii="宋体" w:hAnsi="宋体"/>
          <w:sz w:val="24"/>
        </w:rPr>
        <w:t>规定媒介</w:t>
      </w:r>
      <w:r>
        <w:rPr>
          <w:rFonts w:ascii="宋体" w:hAnsi="宋体"/>
          <w:sz w:val="24"/>
        </w:rPr>
        <w:t>公告。</w:t>
      </w:r>
    </w:p>
    <w:p w14:paraId="41A1A037"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基金红利发放日距离收益分配基准日（即可供分配利润计算截止日）的时间不得超过15个工作日。</w:t>
      </w:r>
    </w:p>
    <w:p w14:paraId="708C3618"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法律法规或监管机关另有规定的，从其规定。</w:t>
      </w:r>
    </w:p>
    <w:p w14:paraId="4E0427EF" w14:textId="77777777" w:rsidR="00FB4D29" w:rsidRDefault="00CF4592">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lastRenderedPageBreak/>
        <w:t>（六）基金收益分配中发生的费用</w:t>
      </w:r>
    </w:p>
    <w:p w14:paraId="107CE759" w14:textId="3F9E5EE6"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基金收益分配时所发生的银行转账或其他手续费用由投资者自行承担。当投资者的现金红利小于一定金额，不足以支付银行转账或其他手续费用时，登记机构可将基金份额持有人的现金红利自动转为</w:t>
      </w:r>
      <w:r w:rsidR="000E4EEC">
        <w:rPr>
          <w:rFonts w:ascii="宋体" w:hAnsi="宋体" w:hint="eastAsia"/>
          <w:sz w:val="24"/>
        </w:rPr>
        <w:t>相应类别的</w:t>
      </w:r>
      <w:r>
        <w:rPr>
          <w:rFonts w:ascii="宋体" w:hAnsi="宋体"/>
          <w:sz w:val="24"/>
        </w:rPr>
        <w:t>基金份额。红利再投资的计算方法，依照《业务规则》执行。</w:t>
      </w:r>
    </w:p>
    <w:p w14:paraId="22C40DE9" w14:textId="77777777" w:rsidR="00FB4D29" w:rsidRDefault="00CF4592">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（七）收益分配方式的修改</w:t>
      </w:r>
    </w:p>
    <w:p w14:paraId="56566F8C"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投资人可至销售机构办理收益分配方式的修改，投资人对本基金不同的交易账户可设置不同的收益分配方式。</w:t>
      </w:r>
    </w:p>
    <w:p w14:paraId="197147D5" w14:textId="77777777" w:rsidR="001A7545" w:rsidRDefault="00CF4592" w:rsidP="001A7545">
      <w:pPr>
        <w:autoSpaceDE w:val="0"/>
        <w:autoSpaceDN w:val="0"/>
        <w:adjustRightInd w:val="0"/>
        <w:snapToGrid w:val="0"/>
        <w:spacing w:line="360" w:lineRule="auto"/>
        <w:ind w:firstLineChars="200" w:firstLine="480"/>
        <w:jc w:val="left"/>
        <w:rPr>
          <w:rFonts w:ascii="宋体" w:hAnsi="宋体"/>
          <w:sz w:val="24"/>
        </w:rPr>
      </w:pPr>
      <w:r>
        <w:rPr>
          <w:rFonts w:ascii="宋体" w:hAnsi="宋体"/>
          <w:sz w:val="24"/>
        </w:rPr>
        <w:t>投资人同一日多次申报收益分配方式变更的，按照《业务规则》执行，最终确认的收益分配方式以登记机构记录为准。</w:t>
      </w:r>
    </w:p>
    <w:p w14:paraId="4FE33D21" w14:textId="7F953077" w:rsidR="001A7545" w:rsidRPr="00F82365" w:rsidRDefault="001A7545" w:rsidP="001A7545">
      <w:pPr>
        <w:autoSpaceDE w:val="0"/>
        <w:autoSpaceDN w:val="0"/>
        <w:adjustRightInd w:val="0"/>
        <w:snapToGrid w:val="0"/>
        <w:spacing w:line="360" w:lineRule="auto"/>
        <w:ind w:firstLineChars="200" w:firstLine="422"/>
        <w:jc w:val="left"/>
        <w:rPr>
          <w:rFonts w:ascii="宋体" w:hAnsi="宋体"/>
          <w:b/>
          <w:szCs w:val="24"/>
        </w:rPr>
      </w:pPr>
      <w:r w:rsidRPr="00F82365">
        <w:rPr>
          <w:rFonts w:ascii="宋体" w:hAnsi="宋体" w:hint="eastAsia"/>
          <w:b/>
          <w:szCs w:val="24"/>
        </w:rPr>
        <w:t>（八）实施侧袋机制期间的收益分配</w:t>
      </w:r>
    </w:p>
    <w:p w14:paraId="4D0227C6" w14:textId="5BAD09A8" w:rsidR="00FB4D29" w:rsidRPr="001A7545" w:rsidRDefault="001A7545" w:rsidP="001A7545">
      <w:pPr>
        <w:autoSpaceDE w:val="0"/>
        <w:autoSpaceDN w:val="0"/>
        <w:adjustRightInd w:val="0"/>
        <w:snapToGrid w:val="0"/>
        <w:spacing w:line="360" w:lineRule="auto"/>
        <w:ind w:firstLineChars="200" w:firstLine="480"/>
        <w:jc w:val="left"/>
        <w:rPr>
          <w:rFonts w:ascii="宋体" w:hAnsi="宋体"/>
          <w:sz w:val="24"/>
        </w:rPr>
      </w:pPr>
      <w:r w:rsidRPr="001A7545">
        <w:rPr>
          <w:rFonts w:ascii="宋体" w:hAnsi="宋体" w:hint="eastAsia"/>
          <w:sz w:val="24"/>
        </w:rPr>
        <w:t>本基金实施侧袋机制的，侧袋账户不进行收益分配。</w:t>
      </w:r>
    </w:p>
    <w:p w14:paraId="6C1523C6" w14:textId="77777777" w:rsidR="000E4EEC" w:rsidRPr="000E4EEC" w:rsidRDefault="000E4EEC">
      <w:pPr>
        <w:autoSpaceDE w:val="0"/>
        <w:autoSpaceDN w:val="0"/>
        <w:adjustRightInd w:val="0"/>
        <w:snapToGrid w:val="0"/>
        <w:spacing w:line="360" w:lineRule="auto"/>
        <w:ind w:firstLineChars="200" w:firstLine="420"/>
        <w:jc w:val="left"/>
        <w:rPr>
          <w:rFonts w:ascii="宋体" w:hAnsi="宋体"/>
          <w:szCs w:val="24"/>
        </w:rPr>
      </w:pPr>
    </w:p>
    <w:p w14:paraId="1C21B2B0" w14:textId="77777777" w:rsidR="00AF2A34" w:rsidRDefault="00AF2A34" w:rsidP="00AF2A34">
      <w:pPr>
        <w:autoSpaceDE w:val="0"/>
        <w:autoSpaceDN w:val="0"/>
        <w:adjustRightInd w:val="0"/>
        <w:spacing w:line="360" w:lineRule="auto"/>
        <w:ind w:firstLineChars="200" w:firstLine="420"/>
        <w:rPr>
          <w:rFonts w:ascii="宋体" w:hAnsi="宋体"/>
          <w:szCs w:val="24"/>
        </w:rPr>
      </w:pPr>
    </w:p>
    <w:p w14:paraId="6FA8494E" w14:textId="43B22D23" w:rsidR="00FB4D29" w:rsidRDefault="00CF4592">
      <w:pPr>
        <w:pStyle w:val="1"/>
        <w:snapToGrid w:val="0"/>
        <w:spacing w:beforeLines="0" w:before="240" w:after="240"/>
        <w:rPr>
          <w:rFonts w:ascii="宋体" w:hAnsi="宋体"/>
          <w:szCs w:val="30"/>
        </w:rPr>
      </w:pPr>
      <w:r>
        <w:rPr>
          <w:rFonts w:ascii="宋体" w:hAnsi="宋体"/>
          <w:sz w:val="24"/>
        </w:rPr>
        <w:br w:type="page"/>
      </w:r>
      <w:bookmarkStart w:id="18" w:name="_Toc107476034"/>
      <w:r>
        <w:rPr>
          <w:rFonts w:ascii="Times New Roman" w:hAnsi="Times New Roman"/>
          <w:sz w:val="30"/>
        </w:rPr>
        <w:lastRenderedPageBreak/>
        <w:t>十五、基金的费用与税收</w:t>
      </w:r>
      <w:bookmarkEnd w:id="18"/>
    </w:p>
    <w:p w14:paraId="26112A4D" w14:textId="77777777" w:rsidR="00FB4D29" w:rsidRDefault="00CF4592">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（一）基金费用的种类</w:t>
      </w:r>
    </w:p>
    <w:p w14:paraId="7B909446"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1、基金管理人的管理费；</w:t>
      </w:r>
    </w:p>
    <w:p w14:paraId="74954C7E"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2、基金托管人的托管费；</w:t>
      </w:r>
    </w:p>
    <w:p w14:paraId="1EA482C6"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3、《基金合同》生效后与基金相关的信息披露费用；</w:t>
      </w:r>
    </w:p>
    <w:p w14:paraId="2839A94B"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4、《基金合同》生效后与基金相关的会计师费、律师费、仲裁费和诉讼费；</w:t>
      </w:r>
    </w:p>
    <w:p w14:paraId="47206109"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5、基金份额持有人大会费用；</w:t>
      </w:r>
    </w:p>
    <w:p w14:paraId="4037785A"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6、基金的证券、期货交易费用；</w:t>
      </w:r>
    </w:p>
    <w:p w14:paraId="2B10E59F"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7、基金的银行汇划费用；</w:t>
      </w:r>
    </w:p>
    <w:p w14:paraId="4245BED5"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8、基金的开户费用、账户维护费用；</w:t>
      </w:r>
    </w:p>
    <w:p w14:paraId="38F58D67" w14:textId="77777777" w:rsidR="000301A0" w:rsidRPr="000301A0" w:rsidRDefault="00CF4592" w:rsidP="000301A0">
      <w:pPr>
        <w:autoSpaceDE w:val="0"/>
        <w:autoSpaceDN w:val="0"/>
        <w:adjustRightInd w:val="0"/>
        <w:snapToGrid w:val="0"/>
        <w:spacing w:line="360" w:lineRule="auto"/>
        <w:ind w:firstLineChars="200" w:firstLine="480"/>
        <w:jc w:val="left"/>
        <w:rPr>
          <w:rFonts w:ascii="宋体" w:hAnsi="宋体"/>
          <w:sz w:val="24"/>
        </w:rPr>
      </w:pPr>
      <w:r>
        <w:rPr>
          <w:rFonts w:ascii="宋体" w:hAnsi="宋体"/>
          <w:sz w:val="24"/>
        </w:rPr>
        <w:t>9、</w:t>
      </w:r>
      <w:r w:rsidR="000301A0" w:rsidRPr="000301A0">
        <w:rPr>
          <w:rFonts w:ascii="宋体" w:hAnsi="宋体" w:hint="eastAsia"/>
          <w:sz w:val="24"/>
        </w:rPr>
        <w:t>因投资港股通标的股票而产生的各项合理费用；</w:t>
      </w:r>
    </w:p>
    <w:p w14:paraId="3F3E74D8" w14:textId="77777777" w:rsidR="000301A0" w:rsidRPr="000301A0" w:rsidRDefault="000301A0" w:rsidP="000301A0">
      <w:pPr>
        <w:autoSpaceDE w:val="0"/>
        <w:autoSpaceDN w:val="0"/>
        <w:adjustRightInd w:val="0"/>
        <w:snapToGrid w:val="0"/>
        <w:spacing w:line="360" w:lineRule="auto"/>
        <w:ind w:firstLineChars="200" w:firstLine="480"/>
        <w:jc w:val="left"/>
        <w:rPr>
          <w:rFonts w:ascii="宋体" w:hAnsi="宋体"/>
          <w:sz w:val="24"/>
        </w:rPr>
      </w:pPr>
      <w:r w:rsidRPr="000301A0">
        <w:rPr>
          <w:rFonts w:ascii="宋体" w:hAnsi="宋体" w:hint="eastAsia"/>
          <w:sz w:val="24"/>
        </w:rPr>
        <w:t>10、本基金从C类基金份额的基金财产中计提的销售服务费；</w:t>
      </w:r>
    </w:p>
    <w:p w14:paraId="08B6C274" w14:textId="5A1566CC" w:rsidR="00FB4D29" w:rsidRDefault="000301A0" w:rsidP="000301A0">
      <w:pPr>
        <w:autoSpaceDE w:val="0"/>
        <w:autoSpaceDN w:val="0"/>
        <w:adjustRightInd w:val="0"/>
        <w:snapToGrid w:val="0"/>
        <w:spacing w:line="360" w:lineRule="auto"/>
        <w:ind w:firstLineChars="200" w:firstLine="480"/>
        <w:jc w:val="left"/>
        <w:rPr>
          <w:rFonts w:ascii="宋体" w:hAnsi="宋体"/>
          <w:szCs w:val="24"/>
        </w:rPr>
      </w:pPr>
      <w:r w:rsidRPr="000301A0">
        <w:rPr>
          <w:rFonts w:ascii="宋体" w:hAnsi="宋体" w:hint="eastAsia"/>
          <w:sz w:val="24"/>
        </w:rPr>
        <w:t>11、</w:t>
      </w:r>
      <w:r w:rsidR="00CF4592">
        <w:rPr>
          <w:rFonts w:ascii="宋体" w:hAnsi="宋体"/>
          <w:sz w:val="24"/>
        </w:rPr>
        <w:t>按照国家有关规定和《基金合同》约定，可以在基金财产中列支的其他费用。</w:t>
      </w:r>
    </w:p>
    <w:p w14:paraId="664EA425" w14:textId="77777777" w:rsidR="00FB4D29" w:rsidRDefault="00CF4592">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（二）基金费用计提方法、计提标准和支付方式</w:t>
      </w:r>
    </w:p>
    <w:p w14:paraId="71FC0EA2"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1、与基金运作有关的费用</w:t>
      </w:r>
    </w:p>
    <w:p w14:paraId="6DCA4BF8"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（1）基金管理人的管理费</w:t>
      </w:r>
    </w:p>
    <w:p w14:paraId="04D15153"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基金管理费按基金资产净值的1.5%年费率计提。</w:t>
      </w:r>
    </w:p>
    <w:p w14:paraId="6D2983BD"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在通常情况下，基金管理费按前一日基金资产净值1.5%年费率计提。计算方法如下：</w:t>
      </w:r>
    </w:p>
    <w:p w14:paraId="6CAFD867"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H＝E×1.5%÷当年天数</w:t>
      </w:r>
    </w:p>
    <w:p w14:paraId="310DD33E"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H为每日应计提的基金管理费</w:t>
      </w:r>
    </w:p>
    <w:p w14:paraId="7A6DB3AF"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E为前一日的基金资产净值</w:t>
      </w:r>
    </w:p>
    <w:p w14:paraId="5D932953"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基金管理费每日计提，按月支付。由基金管理人向基金托管人发送基金管理费划付指令，经基金托管人复核后于次月首日起3个工作日内从基金资产中一次性支付给基金管理人。</w:t>
      </w:r>
    </w:p>
    <w:p w14:paraId="71A52C97"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若遇法定节假日、休息日或不可抗力致使无法按时支付的，顺延至最近可支付日支付。</w:t>
      </w:r>
    </w:p>
    <w:p w14:paraId="68AC9C15"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（2）基金托管人的托管费</w:t>
      </w:r>
    </w:p>
    <w:p w14:paraId="40ECBBF4"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基金托管费按基金资产净值的 0.25%年费率计提。</w:t>
      </w:r>
    </w:p>
    <w:p w14:paraId="54F34FD0"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在通常情况下，基金托管费按前一日基金资产净值的0.25%年费率计提。计算方法如下：</w:t>
      </w:r>
    </w:p>
    <w:p w14:paraId="1549C60B"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H＝E×0.25%÷当年天数</w:t>
      </w:r>
    </w:p>
    <w:p w14:paraId="4A3F418D"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H为每日应计提的基金托管费</w:t>
      </w:r>
    </w:p>
    <w:p w14:paraId="77C2A8D8"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E为前一日的基金资产净值</w:t>
      </w:r>
    </w:p>
    <w:p w14:paraId="01D45285"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基金托管费每日计提，按月支付。由基金管理人向基金托管人发送基金托管费划付指令，经基金托管人复核后于次月首日起3个工作日内从基金资产中一次性支付给基金托管人。</w:t>
      </w:r>
    </w:p>
    <w:p w14:paraId="496E6918"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若遇法定节假日、休息日或不可抗力致使无法按时支付的，顺延至最近可支付日支付。</w:t>
      </w:r>
    </w:p>
    <w:p w14:paraId="1017CD0B" w14:textId="77777777" w:rsidR="000301A0" w:rsidRPr="000301A0" w:rsidRDefault="00CF4592" w:rsidP="000301A0">
      <w:pPr>
        <w:autoSpaceDE w:val="0"/>
        <w:autoSpaceDN w:val="0"/>
        <w:adjustRightInd w:val="0"/>
        <w:snapToGrid w:val="0"/>
        <w:spacing w:line="360" w:lineRule="auto"/>
        <w:ind w:firstLineChars="200" w:firstLine="480"/>
        <w:jc w:val="left"/>
        <w:rPr>
          <w:rFonts w:ascii="宋体" w:hAnsi="宋体"/>
          <w:sz w:val="24"/>
        </w:rPr>
      </w:pPr>
      <w:r>
        <w:rPr>
          <w:rFonts w:ascii="宋体" w:hAnsi="宋体"/>
          <w:sz w:val="24"/>
        </w:rPr>
        <w:t>（3）</w:t>
      </w:r>
      <w:r w:rsidR="000301A0" w:rsidRPr="000301A0">
        <w:rPr>
          <w:rFonts w:ascii="宋体" w:hAnsi="宋体" w:hint="eastAsia"/>
          <w:sz w:val="24"/>
        </w:rPr>
        <w:t>C类基金份额的销售服务费</w:t>
      </w:r>
    </w:p>
    <w:p w14:paraId="7C21E640" w14:textId="77777777" w:rsidR="000301A0" w:rsidRPr="000301A0" w:rsidRDefault="000301A0" w:rsidP="000301A0">
      <w:pPr>
        <w:autoSpaceDE w:val="0"/>
        <w:autoSpaceDN w:val="0"/>
        <w:adjustRightInd w:val="0"/>
        <w:snapToGrid w:val="0"/>
        <w:spacing w:line="360" w:lineRule="auto"/>
        <w:ind w:firstLineChars="200" w:firstLine="480"/>
        <w:jc w:val="left"/>
        <w:rPr>
          <w:rFonts w:ascii="宋体" w:hAnsi="宋体"/>
          <w:sz w:val="24"/>
        </w:rPr>
      </w:pPr>
      <w:r w:rsidRPr="000301A0">
        <w:rPr>
          <w:rFonts w:ascii="宋体" w:hAnsi="宋体" w:hint="eastAsia"/>
          <w:sz w:val="24"/>
        </w:rPr>
        <w:t>本基金A类基金份额不收取销售服务费，C类基金份额的销售服务费按前一日C类基金资产净值的0.6%年费率计提。计算方法如下：</w:t>
      </w:r>
    </w:p>
    <w:p w14:paraId="3B8B1B7D" w14:textId="77777777" w:rsidR="000301A0" w:rsidRPr="000301A0" w:rsidRDefault="000301A0" w:rsidP="000301A0">
      <w:pPr>
        <w:autoSpaceDE w:val="0"/>
        <w:autoSpaceDN w:val="0"/>
        <w:adjustRightInd w:val="0"/>
        <w:snapToGrid w:val="0"/>
        <w:spacing w:line="360" w:lineRule="auto"/>
        <w:ind w:firstLineChars="200" w:firstLine="480"/>
        <w:jc w:val="left"/>
        <w:rPr>
          <w:rFonts w:ascii="宋体" w:hAnsi="宋体"/>
          <w:sz w:val="24"/>
        </w:rPr>
      </w:pPr>
      <w:r w:rsidRPr="000301A0">
        <w:rPr>
          <w:rFonts w:ascii="宋体" w:hAnsi="宋体" w:hint="eastAsia"/>
          <w:sz w:val="24"/>
        </w:rPr>
        <w:t>H＝E×0.6%÷当年天数</w:t>
      </w:r>
    </w:p>
    <w:p w14:paraId="62AA5629" w14:textId="77777777" w:rsidR="000301A0" w:rsidRPr="000301A0" w:rsidRDefault="000301A0" w:rsidP="000301A0">
      <w:pPr>
        <w:autoSpaceDE w:val="0"/>
        <w:autoSpaceDN w:val="0"/>
        <w:adjustRightInd w:val="0"/>
        <w:snapToGrid w:val="0"/>
        <w:spacing w:line="360" w:lineRule="auto"/>
        <w:ind w:firstLineChars="200" w:firstLine="480"/>
        <w:jc w:val="left"/>
        <w:rPr>
          <w:rFonts w:ascii="宋体" w:hAnsi="宋体"/>
          <w:sz w:val="24"/>
        </w:rPr>
      </w:pPr>
      <w:r w:rsidRPr="000301A0">
        <w:rPr>
          <w:rFonts w:ascii="宋体" w:hAnsi="宋体" w:hint="eastAsia"/>
          <w:sz w:val="24"/>
        </w:rPr>
        <w:t>H为C类基金份额每日应计提的销售服务费</w:t>
      </w:r>
    </w:p>
    <w:p w14:paraId="3BB8553C" w14:textId="77777777" w:rsidR="000301A0" w:rsidRPr="000301A0" w:rsidRDefault="000301A0" w:rsidP="000301A0">
      <w:pPr>
        <w:autoSpaceDE w:val="0"/>
        <w:autoSpaceDN w:val="0"/>
        <w:adjustRightInd w:val="0"/>
        <w:snapToGrid w:val="0"/>
        <w:spacing w:line="360" w:lineRule="auto"/>
        <w:ind w:firstLineChars="200" w:firstLine="480"/>
        <w:jc w:val="left"/>
        <w:rPr>
          <w:rFonts w:ascii="宋体" w:hAnsi="宋体"/>
          <w:sz w:val="24"/>
        </w:rPr>
      </w:pPr>
      <w:r w:rsidRPr="000301A0">
        <w:rPr>
          <w:rFonts w:ascii="宋体" w:hAnsi="宋体" w:hint="eastAsia"/>
          <w:sz w:val="24"/>
        </w:rPr>
        <w:t>E为C类基金份额前一日基金资产净值</w:t>
      </w:r>
    </w:p>
    <w:p w14:paraId="29AABFAE" w14:textId="260AFAE3" w:rsidR="000301A0" w:rsidRPr="000301A0" w:rsidRDefault="000301A0" w:rsidP="000301A0">
      <w:pPr>
        <w:autoSpaceDE w:val="0"/>
        <w:autoSpaceDN w:val="0"/>
        <w:adjustRightInd w:val="0"/>
        <w:snapToGrid w:val="0"/>
        <w:spacing w:line="360" w:lineRule="auto"/>
        <w:ind w:firstLineChars="200" w:firstLine="480"/>
        <w:jc w:val="left"/>
        <w:rPr>
          <w:rFonts w:ascii="宋体" w:hAnsi="宋体"/>
          <w:sz w:val="24"/>
        </w:rPr>
      </w:pPr>
      <w:r w:rsidRPr="000301A0">
        <w:rPr>
          <w:rFonts w:ascii="宋体" w:hAnsi="宋体" w:hint="eastAsia"/>
          <w:sz w:val="24"/>
        </w:rPr>
        <w:t>C类基金份额销售服务费每日计提，按月支付。由基金管理人向基金托管人发送基金托管费划付指令，经基金托管人复核后于次月首日起3个工作日内从基金财产中一次性支付给基金管理人，由基金管理人代付给销售机构</w:t>
      </w:r>
      <w:r w:rsidR="000E2B98">
        <w:rPr>
          <w:rFonts w:ascii="宋体" w:hAnsi="宋体" w:hint="eastAsia"/>
          <w:sz w:val="24"/>
        </w:rPr>
        <w:t>。</w:t>
      </w:r>
      <w:r w:rsidRPr="000301A0">
        <w:rPr>
          <w:rFonts w:ascii="宋体" w:hAnsi="宋体" w:hint="eastAsia"/>
          <w:sz w:val="24"/>
        </w:rPr>
        <w:t>若遇法定节假日、休息日或不可抗力致使无法按时支付的，顺延至最近可支付日支付。</w:t>
      </w:r>
    </w:p>
    <w:p w14:paraId="16884ABC" w14:textId="77777777" w:rsidR="000301A0" w:rsidRPr="000301A0" w:rsidRDefault="000301A0" w:rsidP="000301A0">
      <w:pPr>
        <w:autoSpaceDE w:val="0"/>
        <w:autoSpaceDN w:val="0"/>
        <w:adjustRightInd w:val="0"/>
        <w:snapToGrid w:val="0"/>
        <w:spacing w:line="360" w:lineRule="auto"/>
        <w:ind w:firstLineChars="200" w:firstLine="480"/>
        <w:jc w:val="left"/>
        <w:rPr>
          <w:rFonts w:ascii="宋体" w:hAnsi="宋体"/>
          <w:sz w:val="24"/>
        </w:rPr>
      </w:pPr>
      <w:r w:rsidRPr="000301A0">
        <w:rPr>
          <w:rFonts w:ascii="宋体" w:hAnsi="宋体" w:hint="eastAsia"/>
          <w:sz w:val="24"/>
        </w:rPr>
        <w:t>C类基金份额的销售服务费将专门用于本基金的市场推广、销售与基金份额持有人服务。</w:t>
      </w:r>
    </w:p>
    <w:p w14:paraId="2BC2A114" w14:textId="0805F91A" w:rsidR="00FB4D29" w:rsidRDefault="000301A0" w:rsidP="000301A0">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w:t>
      </w:r>
      <w:r w:rsidR="00CF4592">
        <w:rPr>
          <w:rFonts w:ascii="宋体" w:hAnsi="宋体"/>
          <w:sz w:val="24"/>
        </w:rPr>
        <w:t>上述“（一）基金费用的种类”中第3－9项</w:t>
      </w:r>
      <w:r w:rsidRPr="000301A0">
        <w:rPr>
          <w:rFonts w:ascii="宋体" w:hAnsi="宋体" w:hint="eastAsia"/>
          <w:sz w:val="24"/>
        </w:rPr>
        <w:t>、第11项</w:t>
      </w:r>
      <w:r w:rsidR="00CF4592">
        <w:rPr>
          <w:rFonts w:ascii="宋体" w:hAnsi="宋体"/>
          <w:sz w:val="24"/>
        </w:rPr>
        <w:t>费用，根据有关法规及相应协议规定，按费用实际支出金额列入当期费用，由基金托管人从基金财产中支付。</w:t>
      </w:r>
    </w:p>
    <w:p w14:paraId="64AA4133"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2、与基金销售有关的费用</w:t>
      </w:r>
    </w:p>
    <w:p w14:paraId="72941F8F"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（1）申购费</w:t>
      </w:r>
    </w:p>
    <w:p w14:paraId="378BAF94"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本基金申购费的费率水平、计算公式和收取方式详见“基金份额的申购与赎回”一章。</w:t>
      </w:r>
    </w:p>
    <w:p w14:paraId="04DB99B6"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（2）赎回费</w:t>
      </w:r>
    </w:p>
    <w:p w14:paraId="77A47F87"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本基金赎回费的费率水平、计算公式和收取方式详见“基金份额的申购与赎回”一章。</w:t>
      </w:r>
    </w:p>
    <w:p w14:paraId="7CBD68E2" w14:textId="77777777" w:rsidR="00FB4D29" w:rsidRDefault="00CF4592">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（三）不列入基金费用的项目</w:t>
      </w:r>
    </w:p>
    <w:p w14:paraId="096D9646"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下列费用不列入基金费用：</w:t>
      </w:r>
    </w:p>
    <w:p w14:paraId="4C2AABC2"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1、基金管理人和基金托管人因未履行或未完全履行义务导致的费用支出或基金财产的损失；</w:t>
      </w:r>
    </w:p>
    <w:p w14:paraId="1C0C1163"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2、基金管理人和基金托管人处理与基金运作无关的事项发生的费用；</w:t>
      </w:r>
    </w:p>
    <w:p w14:paraId="1603C9A0"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3、《基金合同》生效前的相关费用；</w:t>
      </w:r>
    </w:p>
    <w:p w14:paraId="2A5ABD9E"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4、其他根据相关法律法规及中国证监会的有关规定不得列入基金费用的项目。</w:t>
      </w:r>
    </w:p>
    <w:p w14:paraId="14B96301" w14:textId="77777777" w:rsidR="000301A0" w:rsidRPr="000301A0" w:rsidRDefault="00CF4592" w:rsidP="000301A0">
      <w:pPr>
        <w:autoSpaceDE w:val="0"/>
        <w:autoSpaceDN w:val="0"/>
        <w:adjustRightInd w:val="0"/>
        <w:snapToGrid w:val="0"/>
        <w:spacing w:line="360" w:lineRule="auto"/>
        <w:ind w:firstLineChars="200" w:firstLine="422"/>
        <w:jc w:val="left"/>
        <w:rPr>
          <w:rFonts w:ascii="宋体" w:hAnsi="宋体"/>
          <w:b/>
          <w:szCs w:val="24"/>
        </w:rPr>
      </w:pPr>
      <w:r w:rsidRPr="00BB248E">
        <w:rPr>
          <w:rFonts w:ascii="宋体" w:hAnsi="宋体" w:hint="eastAsia"/>
          <w:b/>
          <w:szCs w:val="24"/>
        </w:rPr>
        <w:t>（四）</w:t>
      </w:r>
      <w:r w:rsidR="000301A0" w:rsidRPr="000301A0">
        <w:rPr>
          <w:rFonts w:ascii="宋体" w:hAnsi="宋体" w:hint="eastAsia"/>
          <w:b/>
          <w:szCs w:val="24"/>
        </w:rPr>
        <w:t>实施侧袋机制期间的基金费用</w:t>
      </w:r>
    </w:p>
    <w:p w14:paraId="2717E17A" w14:textId="77777777" w:rsidR="000301A0" w:rsidRPr="00F82365" w:rsidRDefault="000301A0" w:rsidP="00F82365">
      <w:pPr>
        <w:autoSpaceDE w:val="0"/>
        <w:autoSpaceDN w:val="0"/>
        <w:adjustRightInd w:val="0"/>
        <w:snapToGrid w:val="0"/>
        <w:spacing w:line="360" w:lineRule="auto"/>
        <w:ind w:firstLineChars="200" w:firstLine="480"/>
        <w:jc w:val="left"/>
        <w:rPr>
          <w:rFonts w:ascii="宋体" w:hAnsi="宋体"/>
          <w:sz w:val="24"/>
        </w:rPr>
      </w:pPr>
      <w:r w:rsidRPr="00F82365">
        <w:rPr>
          <w:rFonts w:ascii="宋体" w:hAnsi="宋体" w:hint="eastAsia"/>
          <w:sz w:val="24"/>
        </w:rPr>
        <w:t>本基金实施侧袋机制的，与侧袋账户有关的费用可以从侧袋账户中列支，但应待侧袋账户资产变现后方可列支，有关费用可酌情收取或减免，但不得收取管理费，详见招募说明书“侧袋机制”部分的规定。</w:t>
      </w:r>
    </w:p>
    <w:p w14:paraId="223B47B8" w14:textId="40951F9D" w:rsidR="00FB4D29" w:rsidRDefault="000301A0" w:rsidP="00D20D4F">
      <w:pPr>
        <w:autoSpaceDE w:val="0"/>
        <w:autoSpaceDN w:val="0"/>
        <w:adjustRightInd w:val="0"/>
        <w:snapToGrid w:val="0"/>
        <w:spacing w:line="360" w:lineRule="auto"/>
        <w:ind w:firstLineChars="200" w:firstLine="422"/>
        <w:jc w:val="left"/>
        <w:rPr>
          <w:rFonts w:ascii="宋体" w:hAnsi="宋体"/>
          <w:szCs w:val="24"/>
        </w:rPr>
      </w:pPr>
      <w:r w:rsidRPr="000301A0">
        <w:rPr>
          <w:rFonts w:ascii="宋体" w:hAnsi="宋体" w:hint="eastAsia"/>
          <w:b/>
          <w:szCs w:val="24"/>
        </w:rPr>
        <w:t>（五）</w:t>
      </w:r>
      <w:r w:rsidR="00CF4592" w:rsidRPr="00BB248E">
        <w:rPr>
          <w:rFonts w:ascii="宋体" w:hAnsi="宋体" w:hint="eastAsia"/>
          <w:b/>
          <w:szCs w:val="24"/>
        </w:rPr>
        <w:t>基金税收</w:t>
      </w:r>
    </w:p>
    <w:p w14:paraId="573B166A"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本基金运作过程中涉及的各纳税主体，其纳税义务按国家税收法律、法规执行。</w:t>
      </w:r>
    </w:p>
    <w:p w14:paraId="28668D9A" w14:textId="77777777" w:rsidR="00AF2A34" w:rsidRDefault="00AF2A34" w:rsidP="00AF2A34">
      <w:pPr>
        <w:autoSpaceDE w:val="0"/>
        <w:autoSpaceDN w:val="0"/>
        <w:adjustRightInd w:val="0"/>
        <w:spacing w:line="360" w:lineRule="auto"/>
        <w:ind w:firstLineChars="200" w:firstLine="420"/>
        <w:rPr>
          <w:rFonts w:ascii="宋体" w:hAnsi="宋体"/>
          <w:szCs w:val="24"/>
        </w:rPr>
      </w:pPr>
    </w:p>
    <w:p w14:paraId="3FE0D0D2" w14:textId="33EA9B2F" w:rsidR="00FB4D29" w:rsidRDefault="00CF4592">
      <w:pPr>
        <w:pStyle w:val="1"/>
        <w:snapToGrid w:val="0"/>
        <w:spacing w:beforeLines="0" w:before="240" w:after="240"/>
        <w:rPr>
          <w:rFonts w:ascii="宋体" w:hAnsi="宋体"/>
          <w:szCs w:val="30"/>
        </w:rPr>
      </w:pPr>
      <w:r>
        <w:rPr>
          <w:rFonts w:ascii="宋体" w:hAnsi="宋体"/>
          <w:sz w:val="24"/>
        </w:rPr>
        <w:br w:type="page"/>
      </w:r>
      <w:bookmarkStart w:id="19" w:name="_Toc107476035"/>
      <w:r>
        <w:rPr>
          <w:rFonts w:ascii="Times New Roman" w:hAnsi="Times New Roman"/>
          <w:sz w:val="30"/>
        </w:rPr>
        <w:lastRenderedPageBreak/>
        <w:t>十六、基金的会计与审计</w:t>
      </w:r>
      <w:bookmarkEnd w:id="19"/>
    </w:p>
    <w:p w14:paraId="2EB7EFFE" w14:textId="77777777" w:rsidR="00FB4D29" w:rsidRDefault="00CF4592">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（一）基金会计政策</w:t>
      </w:r>
    </w:p>
    <w:p w14:paraId="617EA5BC"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1、基金管理人为本基金的基金会计责任方；</w:t>
      </w:r>
    </w:p>
    <w:p w14:paraId="52A8FB8E"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2、基金的会计年度为公历年度的1月1日至12月31日；</w:t>
      </w:r>
    </w:p>
    <w:p w14:paraId="37C763C2"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3、基金核算以人民币为记账本位币，以人民币元为记账单位；</w:t>
      </w:r>
    </w:p>
    <w:p w14:paraId="774AD5E6"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4、会计制度执行国家有关会计制度；</w:t>
      </w:r>
    </w:p>
    <w:p w14:paraId="0CFCE340"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5、本基金独立建账、独立核算；</w:t>
      </w:r>
    </w:p>
    <w:p w14:paraId="5CA6CA1E"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6、基金管理人及基金托管人各自保留完整的会计账目、凭证并进行日常的会计核算，按照有关规定编制基金会计报表；</w:t>
      </w:r>
    </w:p>
    <w:p w14:paraId="05A4BFC3"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7、基金托管人每月与基金管理人就基金的会计核算、报表编制等进行核对并以书面方式确认。</w:t>
      </w:r>
    </w:p>
    <w:p w14:paraId="1C5D4DAB" w14:textId="77777777" w:rsidR="00FB4D29" w:rsidRDefault="00CF4592">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（二）基金的年度审计</w:t>
      </w:r>
    </w:p>
    <w:p w14:paraId="42796AF1" w14:textId="16E4DAAF"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1、基金管理人聘请与基金管理人、基金托管人相互独立的</w:t>
      </w:r>
      <w:r w:rsidR="00BB2993">
        <w:rPr>
          <w:rFonts w:ascii="宋体" w:hAnsi="宋体" w:hint="eastAsia"/>
          <w:sz w:val="24"/>
        </w:rPr>
        <w:t>符合《中华人民共和国证券法》规定</w:t>
      </w:r>
      <w:r>
        <w:rPr>
          <w:rFonts w:ascii="宋体" w:hAnsi="宋体"/>
          <w:sz w:val="24"/>
        </w:rPr>
        <w:t>的会计师事务所及其注册会计师对本基金的年度财务报表进行审计。</w:t>
      </w:r>
    </w:p>
    <w:p w14:paraId="470886E0"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2、会计师事务所更换经办注册会计师，应事先征得基金管理人同意。</w:t>
      </w:r>
    </w:p>
    <w:p w14:paraId="2D2B2BB9" w14:textId="64A638C0"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3、基金管理人认为有充足理由更换会计师事务所，须通报基金托管人。更换会计师事务所需按照《信息披露办法》的有关规定在</w:t>
      </w:r>
      <w:r w:rsidR="003246BF">
        <w:rPr>
          <w:rFonts w:ascii="宋体" w:hAnsi="宋体"/>
          <w:sz w:val="24"/>
        </w:rPr>
        <w:t>规定媒介</w:t>
      </w:r>
      <w:r>
        <w:rPr>
          <w:rFonts w:ascii="宋体" w:hAnsi="宋体"/>
          <w:sz w:val="24"/>
        </w:rPr>
        <w:t>公告。</w:t>
      </w:r>
    </w:p>
    <w:p w14:paraId="5555E43C" w14:textId="77777777" w:rsidR="00AF2A34" w:rsidRDefault="00AF2A34" w:rsidP="00AF2A34">
      <w:pPr>
        <w:autoSpaceDE w:val="0"/>
        <w:autoSpaceDN w:val="0"/>
        <w:adjustRightInd w:val="0"/>
        <w:spacing w:line="360" w:lineRule="auto"/>
        <w:ind w:firstLineChars="200" w:firstLine="420"/>
        <w:rPr>
          <w:rFonts w:ascii="宋体" w:hAnsi="宋体"/>
          <w:szCs w:val="24"/>
        </w:rPr>
      </w:pPr>
    </w:p>
    <w:p w14:paraId="67421F0D" w14:textId="57DBFB09" w:rsidR="00FB4D29" w:rsidRDefault="00CF4592">
      <w:pPr>
        <w:pStyle w:val="1"/>
        <w:snapToGrid w:val="0"/>
        <w:spacing w:beforeLines="0" w:before="240" w:after="240"/>
        <w:rPr>
          <w:rFonts w:ascii="宋体" w:hAnsi="宋体"/>
          <w:szCs w:val="30"/>
        </w:rPr>
      </w:pPr>
      <w:r>
        <w:rPr>
          <w:rFonts w:ascii="宋体" w:hAnsi="宋体"/>
          <w:sz w:val="24"/>
        </w:rPr>
        <w:br w:type="page"/>
      </w:r>
      <w:bookmarkStart w:id="20" w:name="_Toc107476036"/>
      <w:r>
        <w:rPr>
          <w:rFonts w:ascii="Times New Roman" w:hAnsi="Times New Roman"/>
          <w:sz w:val="30"/>
        </w:rPr>
        <w:lastRenderedPageBreak/>
        <w:t>十七、基金的信息披露</w:t>
      </w:r>
      <w:bookmarkEnd w:id="20"/>
    </w:p>
    <w:p w14:paraId="6EAE13C1" w14:textId="77777777" w:rsidR="00FB4D29" w:rsidRDefault="00CF4592">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（一）本基金的信息披露应符合《基金法》、《运作办法》、《信息披露办法》、《流动性规定》、《基金合同》及其他有关规定。</w:t>
      </w:r>
    </w:p>
    <w:p w14:paraId="2738D1BE" w14:textId="77777777" w:rsidR="00FB4D29" w:rsidRDefault="00CF4592">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（二）信息披露义务人</w:t>
      </w:r>
    </w:p>
    <w:p w14:paraId="49D33EF7"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本基金信息披露义务人包括基金管理人、基金托管人、召集基金份额持有人大会的基金份额持有人等法律、行政法规和中国证监会规定的自然人、法人和非法人组织。</w:t>
      </w:r>
    </w:p>
    <w:p w14:paraId="48235482"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本基金信息披露义务人以保护基金份额持有人利益为根本出发点，按照法律法规和中国证监会的规定披露基金信息，并保证所披露信息的真实性、准确性、完整性、及时性、简明性和易得性。</w:t>
      </w:r>
    </w:p>
    <w:p w14:paraId="0E6DE3B5" w14:textId="46FA7DC5"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本基金信息披露义务人应当在中国证监会规定时间内，将应予披露的基金信息通过</w:t>
      </w:r>
      <w:r w:rsidR="00BB2993">
        <w:rPr>
          <w:rFonts w:ascii="宋体" w:hAnsi="宋体" w:hint="eastAsia"/>
          <w:sz w:val="24"/>
        </w:rPr>
        <w:t>符合</w:t>
      </w:r>
      <w:r>
        <w:rPr>
          <w:rFonts w:ascii="宋体" w:hAnsi="宋体"/>
          <w:sz w:val="24"/>
        </w:rPr>
        <w:t>中国证监会</w:t>
      </w:r>
      <w:r w:rsidR="00BB2993">
        <w:rPr>
          <w:rFonts w:ascii="宋体" w:hAnsi="宋体" w:hint="eastAsia"/>
          <w:sz w:val="24"/>
        </w:rPr>
        <w:t>规定条件</w:t>
      </w:r>
      <w:r>
        <w:rPr>
          <w:rFonts w:ascii="宋体" w:hAnsi="宋体"/>
          <w:sz w:val="24"/>
        </w:rPr>
        <w:t>的全国性报刊（以下简称“</w:t>
      </w:r>
      <w:r w:rsidR="003246BF">
        <w:rPr>
          <w:rFonts w:ascii="宋体" w:hAnsi="宋体"/>
          <w:sz w:val="24"/>
        </w:rPr>
        <w:t>规定报刊</w:t>
      </w:r>
      <w:r>
        <w:rPr>
          <w:rFonts w:ascii="宋体" w:hAnsi="宋体"/>
          <w:sz w:val="24"/>
        </w:rPr>
        <w:t>”）及</w:t>
      </w:r>
      <w:r w:rsidR="00BB2993" w:rsidRPr="00BB2993">
        <w:rPr>
          <w:rFonts w:ascii="宋体" w:hAnsi="宋体" w:hint="eastAsia"/>
          <w:sz w:val="24"/>
        </w:rPr>
        <w:t>《信息披露办法》规定的</w:t>
      </w:r>
      <w:r>
        <w:rPr>
          <w:rFonts w:ascii="宋体" w:hAnsi="宋体"/>
          <w:sz w:val="24"/>
        </w:rPr>
        <w:t>互联网网站（以下简称“</w:t>
      </w:r>
      <w:r w:rsidR="003246BF">
        <w:rPr>
          <w:rFonts w:ascii="宋体" w:hAnsi="宋体"/>
          <w:sz w:val="24"/>
        </w:rPr>
        <w:t>规定网站</w:t>
      </w:r>
      <w:r>
        <w:rPr>
          <w:rFonts w:ascii="宋体" w:hAnsi="宋体"/>
          <w:sz w:val="24"/>
        </w:rPr>
        <w:t>”）等媒介披露，并保证基金投资者能够按照《基金合同》约定的时间和方式查阅或者复制公开披露的信息资料。</w:t>
      </w:r>
    </w:p>
    <w:p w14:paraId="28C5607C" w14:textId="77777777" w:rsidR="00FB4D29" w:rsidRDefault="00CF4592">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（三）本基金信息披露义务人承诺公开披露的基金信息，不得有下列行为：</w:t>
      </w:r>
    </w:p>
    <w:p w14:paraId="371344B2"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1、虚假记载、误导性陈述或者重大遗漏；</w:t>
      </w:r>
    </w:p>
    <w:p w14:paraId="793F3DB9"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2、对证券投资业绩进行预测；</w:t>
      </w:r>
    </w:p>
    <w:p w14:paraId="0A2FD2FA"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3、违规承诺收益或者承担损失；</w:t>
      </w:r>
    </w:p>
    <w:p w14:paraId="67BD8288"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4、诋毁其他基金管理人、基金托管人或者基金销售机构；</w:t>
      </w:r>
    </w:p>
    <w:p w14:paraId="6C4580B5"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5、登载任何自然人、法人和非法人组织的祝贺性、恭维性或推荐性的文字；</w:t>
      </w:r>
    </w:p>
    <w:p w14:paraId="41678FC6"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6、中国证监会禁止的其他行为。</w:t>
      </w:r>
    </w:p>
    <w:p w14:paraId="3D0367B0" w14:textId="77777777" w:rsidR="00FB4D29" w:rsidRDefault="00CF4592">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（四）本基金公开披露的信息应采用中文文本。如同时采用外文文本的，基金信息披露义务人应保证不同文本的内容一致。不同文本之间发生歧义的，以中文文本为准。</w:t>
      </w:r>
    </w:p>
    <w:p w14:paraId="46AD8CB9"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本基金公开披露的信息采用阿拉伯数字；除特别说明外，货币单位为人民币元。</w:t>
      </w:r>
    </w:p>
    <w:p w14:paraId="0AFC817B" w14:textId="77777777" w:rsidR="00FB4D29" w:rsidRDefault="00CF4592">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（五）公开披露的基金信息</w:t>
      </w:r>
    </w:p>
    <w:p w14:paraId="14001138"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公开披露的基金信息包括：</w:t>
      </w:r>
    </w:p>
    <w:p w14:paraId="61A15A66"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1、基金招募说明书、《基金合同》、基金托管协议、基金产品资料概要</w:t>
      </w:r>
    </w:p>
    <w:p w14:paraId="0615D8B8"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（1）《基金合同》是界定《基金合同》当事人的各项权利、义务关系，明确基金份额持有人大会召开的规则及具体程序，说明基金产品的特性等涉及基金投资者</w:t>
      </w:r>
      <w:r>
        <w:rPr>
          <w:rFonts w:ascii="宋体" w:hAnsi="宋体"/>
          <w:sz w:val="24"/>
        </w:rPr>
        <w:lastRenderedPageBreak/>
        <w:t>重大利益的事项的法律文件。</w:t>
      </w:r>
    </w:p>
    <w:p w14:paraId="0F27C045" w14:textId="12B7C590"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招募说明书应当最大限度地披露影响基金投资者决策的全部事项，说明基金认购、申购和赎回安排、基金投资、基金产品特性、风险揭示、信息披露及基金份额持有人服务等内容。《基金合同》生效后，基金招募说明书的信息发生重大变更的，基金管理人应当在三个工作日内，更新基金招募说明书并登载在</w:t>
      </w:r>
      <w:r w:rsidR="003246BF">
        <w:rPr>
          <w:rFonts w:ascii="宋体" w:hAnsi="宋体"/>
          <w:sz w:val="24"/>
        </w:rPr>
        <w:t>规定网站</w:t>
      </w:r>
      <w:r>
        <w:rPr>
          <w:rFonts w:ascii="宋体" w:hAnsi="宋体"/>
          <w:sz w:val="24"/>
        </w:rPr>
        <w:t>上；基金招募说明书其他信息发生变更的，基金管理人至少每年更新一次。基金终止运作的，基金管理人不再更新基金招募说明书。</w:t>
      </w:r>
    </w:p>
    <w:p w14:paraId="0307DE1A"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（3）基金托管协议是界定基金托管人和基金管理人在基金财产保管及基金运作监督等活动中的权利、义务关系的法律文件。</w:t>
      </w:r>
    </w:p>
    <w:p w14:paraId="5FE0466A" w14:textId="2F22D45E"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产品资料概要是基金招募说明书的摘要文件，用于向投资者提供简明的基金概要信息。《基金合同》生效后，基金产品资料概要的信息发生重大变更的，基金管理人应当在三个工作日内，更新基金产品资料概要，并登载在</w:t>
      </w:r>
      <w:r w:rsidR="003246BF">
        <w:rPr>
          <w:rFonts w:ascii="宋体" w:hAnsi="宋体"/>
          <w:sz w:val="24"/>
        </w:rPr>
        <w:t>规定网站</w:t>
      </w:r>
      <w:r>
        <w:rPr>
          <w:rFonts w:ascii="宋体" w:hAnsi="宋体"/>
          <w:sz w:val="24"/>
        </w:rPr>
        <w:t>及基金销售机构网站或营业网点；基金产品资料概要其他信息发生变更的，基金管理人至少每年更新一次。基金终止运作的，基金管理人不再更新基金产品资料概要。</w:t>
      </w:r>
    </w:p>
    <w:p w14:paraId="39FA287A" w14:textId="51880ADC"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基金经中国证监会</w:t>
      </w:r>
      <w:r w:rsidR="00436F9A">
        <w:rPr>
          <w:rFonts w:hint="eastAsia"/>
          <w:bCs/>
          <w:sz w:val="24"/>
        </w:rPr>
        <w:t>准予变更</w:t>
      </w:r>
      <w:r>
        <w:rPr>
          <w:rFonts w:ascii="宋体" w:hAnsi="宋体"/>
          <w:sz w:val="24"/>
        </w:rPr>
        <w:t>注册后，基金管理人</w:t>
      </w:r>
      <w:r w:rsidR="00436F9A">
        <w:rPr>
          <w:rFonts w:hint="eastAsia"/>
          <w:bCs/>
          <w:sz w:val="24"/>
        </w:rPr>
        <w:t>按照《信息披露办法》的规定</w:t>
      </w:r>
      <w:r>
        <w:rPr>
          <w:rFonts w:ascii="宋体" w:hAnsi="宋体"/>
          <w:sz w:val="24"/>
        </w:rPr>
        <w:t>，将基金招募说明书</w:t>
      </w:r>
      <w:r w:rsidR="00436F9A" w:rsidRPr="00436F9A">
        <w:rPr>
          <w:rFonts w:ascii="宋体" w:hAnsi="宋体" w:hint="eastAsia"/>
          <w:sz w:val="24"/>
        </w:rPr>
        <w:t>、基金产品资料概要</w:t>
      </w:r>
      <w:r>
        <w:rPr>
          <w:rFonts w:ascii="宋体" w:hAnsi="宋体"/>
          <w:sz w:val="24"/>
        </w:rPr>
        <w:t>、《基金合同》</w:t>
      </w:r>
      <w:r w:rsidR="00436F9A" w:rsidRPr="003F5B17">
        <w:rPr>
          <w:rFonts w:hint="eastAsia"/>
          <w:bCs/>
          <w:sz w:val="24"/>
        </w:rPr>
        <w:t>和基金托管协议</w:t>
      </w:r>
      <w:r>
        <w:rPr>
          <w:rFonts w:ascii="宋体" w:hAnsi="宋体"/>
          <w:sz w:val="24"/>
        </w:rPr>
        <w:t>登载在</w:t>
      </w:r>
      <w:r w:rsidR="003246BF">
        <w:rPr>
          <w:rFonts w:ascii="宋体" w:hAnsi="宋体"/>
          <w:sz w:val="24"/>
        </w:rPr>
        <w:t>规定媒介</w:t>
      </w:r>
      <w:r>
        <w:rPr>
          <w:rFonts w:ascii="宋体" w:hAnsi="宋体"/>
          <w:sz w:val="24"/>
        </w:rPr>
        <w:t>上；基金管理人、基金托管人应当将《基金合同》、基金托管协议登载在网站上。</w:t>
      </w:r>
    </w:p>
    <w:p w14:paraId="03724306" w14:textId="2CA8C99F" w:rsidR="00FB4D29" w:rsidRDefault="00CF4592" w:rsidP="00BB2993">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2、基金净值信息</w:t>
      </w:r>
    </w:p>
    <w:p w14:paraId="5181F35A" w14:textId="624BA01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《基金合同》生效后，在开始办理基金份额申购或者赎回前，基金管理人应当至少每周在</w:t>
      </w:r>
      <w:r w:rsidR="003246BF">
        <w:rPr>
          <w:rFonts w:ascii="宋体" w:hAnsi="宋体"/>
          <w:sz w:val="24"/>
        </w:rPr>
        <w:t>规定网站</w:t>
      </w:r>
      <w:r w:rsidR="00BB2993">
        <w:rPr>
          <w:rFonts w:ascii="宋体" w:hAnsi="宋体" w:hint="eastAsia"/>
          <w:sz w:val="24"/>
        </w:rPr>
        <w:t>分别</w:t>
      </w:r>
      <w:r>
        <w:rPr>
          <w:rFonts w:ascii="宋体" w:hAnsi="宋体"/>
          <w:sz w:val="24"/>
        </w:rPr>
        <w:t>披露一次</w:t>
      </w:r>
      <w:r w:rsidR="00BB2993" w:rsidRPr="00BB2993">
        <w:rPr>
          <w:rFonts w:ascii="宋体" w:hAnsi="宋体" w:hint="eastAsia"/>
          <w:sz w:val="24"/>
        </w:rPr>
        <w:t>A类基金份额和C类基金份额所对应的</w:t>
      </w:r>
      <w:r>
        <w:rPr>
          <w:rFonts w:ascii="宋体" w:hAnsi="宋体"/>
          <w:sz w:val="24"/>
        </w:rPr>
        <w:t>基金份额净值和基金份额累计净值。</w:t>
      </w:r>
    </w:p>
    <w:p w14:paraId="0161AA0D" w14:textId="0A498F90"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在开始办理基金份额申购或者赎回后，基金管理人应当在不晚于每个开放日的次日，通过</w:t>
      </w:r>
      <w:r w:rsidR="003246BF">
        <w:rPr>
          <w:rFonts w:ascii="宋体" w:hAnsi="宋体"/>
          <w:sz w:val="24"/>
        </w:rPr>
        <w:t>规定网站</w:t>
      </w:r>
      <w:r>
        <w:rPr>
          <w:rFonts w:ascii="宋体" w:hAnsi="宋体"/>
          <w:sz w:val="24"/>
        </w:rPr>
        <w:t>、基金销售机构网站或者营业网点</w:t>
      </w:r>
      <w:r w:rsidR="007F19E0" w:rsidRPr="007F19E0">
        <w:rPr>
          <w:rFonts w:ascii="宋体" w:hAnsi="宋体" w:hint="eastAsia"/>
          <w:sz w:val="24"/>
        </w:rPr>
        <w:t>分别</w:t>
      </w:r>
      <w:r>
        <w:rPr>
          <w:rFonts w:ascii="宋体" w:hAnsi="宋体"/>
          <w:sz w:val="24"/>
        </w:rPr>
        <w:t>披露开放日的</w:t>
      </w:r>
      <w:r w:rsidR="00BB2993" w:rsidRPr="00BB2993">
        <w:rPr>
          <w:rFonts w:ascii="宋体" w:hAnsi="宋体" w:hint="eastAsia"/>
          <w:sz w:val="24"/>
        </w:rPr>
        <w:t>A类基金份额和C类基金份额所对应的</w:t>
      </w:r>
      <w:r>
        <w:rPr>
          <w:rFonts w:ascii="宋体" w:hAnsi="宋体"/>
          <w:sz w:val="24"/>
        </w:rPr>
        <w:t>基金份额净值和基金份额累计净值。</w:t>
      </w:r>
    </w:p>
    <w:p w14:paraId="1AC56CD9" w14:textId="43154ECB"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基金管理人应当在不晚于半年度和年度最后一日的次日，在</w:t>
      </w:r>
      <w:r w:rsidR="003246BF">
        <w:rPr>
          <w:rFonts w:ascii="宋体" w:hAnsi="宋体"/>
          <w:sz w:val="24"/>
        </w:rPr>
        <w:t>规定网站</w:t>
      </w:r>
      <w:r>
        <w:rPr>
          <w:rFonts w:ascii="宋体" w:hAnsi="宋体"/>
          <w:sz w:val="24"/>
        </w:rPr>
        <w:t>披露半年度和年度最后一日</w:t>
      </w:r>
      <w:r w:rsidR="00BB2993" w:rsidRPr="00BB2993">
        <w:rPr>
          <w:rFonts w:ascii="宋体" w:hAnsi="宋体" w:hint="eastAsia"/>
          <w:sz w:val="24"/>
        </w:rPr>
        <w:t>A类基金份额和C类基金份额所对应</w:t>
      </w:r>
      <w:r>
        <w:rPr>
          <w:rFonts w:ascii="宋体" w:hAnsi="宋体"/>
          <w:sz w:val="24"/>
        </w:rPr>
        <w:t>的基金份额净值和基金份额累计净值。</w:t>
      </w:r>
    </w:p>
    <w:p w14:paraId="22ED762F" w14:textId="237CA687" w:rsidR="00FB4D29" w:rsidRDefault="00BB2993">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w:t>
      </w:r>
      <w:r w:rsidR="00CF4592">
        <w:rPr>
          <w:rFonts w:ascii="宋体" w:hAnsi="宋体"/>
          <w:sz w:val="24"/>
        </w:rPr>
        <w:t>、基金份额申购、赎回价格</w:t>
      </w:r>
    </w:p>
    <w:p w14:paraId="0ADBB4A5"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基金管理人应当在《基金合同》、招募说明书等信息披露文件上载明基金份额申购、赎回价格的计算方式及有关申购、赎回费率，并保证投资者能够在基金销售机构网站或营业网点查阅或者复制前述信息资料。</w:t>
      </w:r>
    </w:p>
    <w:p w14:paraId="29ADC551" w14:textId="000D4849" w:rsidR="00FB4D29" w:rsidRDefault="00BB2993">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w:t>
      </w:r>
      <w:r w:rsidR="00CF4592">
        <w:rPr>
          <w:rFonts w:ascii="宋体" w:hAnsi="宋体"/>
          <w:sz w:val="24"/>
        </w:rPr>
        <w:t>、基金定期报告，包括基金年度报告、基金中期报告和基金季度报告</w:t>
      </w:r>
    </w:p>
    <w:p w14:paraId="0A778C6F" w14:textId="51238FB0"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基金管理人应当在每年结束之日起三个月内，编制完成基金年度报告，将年度报告登载在</w:t>
      </w:r>
      <w:r w:rsidR="003246BF">
        <w:rPr>
          <w:rFonts w:ascii="宋体" w:hAnsi="宋体"/>
          <w:sz w:val="24"/>
        </w:rPr>
        <w:t>规定网站</w:t>
      </w:r>
      <w:r>
        <w:rPr>
          <w:rFonts w:ascii="宋体" w:hAnsi="宋体"/>
          <w:sz w:val="24"/>
        </w:rPr>
        <w:t>上，并将年度报告提示性公告登载在</w:t>
      </w:r>
      <w:r w:rsidR="003246BF">
        <w:rPr>
          <w:rFonts w:ascii="宋体" w:hAnsi="宋体"/>
          <w:sz w:val="24"/>
        </w:rPr>
        <w:t>规定报刊</w:t>
      </w:r>
      <w:r>
        <w:rPr>
          <w:rFonts w:ascii="宋体" w:hAnsi="宋体"/>
          <w:sz w:val="24"/>
        </w:rPr>
        <w:t>上。基金年度报告中的财务会计报告应当经过</w:t>
      </w:r>
      <w:r w:rsidR="00BB2993" w:rsidRPr="00880201">
        <w:rPr>
          <w:rFonts w:hint="eastAsia"/>
          <w:bCs/>
          <w:sz w:val="24"/>
        </w:rPr>
        <w:t>符合《中华人民共和国证券法》规定</w:t>
      </w:r>
      <w:r>
        <w:rPr>
          <w:rFonts w:ascii="宋体" w:hAnsi="宋体"/>
          <w:sz w:val="24"/>
        </w:rPr>
        <w:t>的会计师事务所审计。</w:t>
      </w:r>
    </w:p>
    <w:p w14:paraId="27532B8C" w14:textId="71CC92FF"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基金管理人应当在上半年结束之日起两个月内，编制完成基金中期报告，将中期报告登载在</w:t>
      </w:r>
      <w:r w:rsidR="003246BF">
        <w:rPr>
          <w:rFonts w:ascii="宋体" w:hAnsi="宋体"/>
          <w:sz w:val="24"/>
        </w:rPr>
        <w:t>规定网站</w:t>
      </w:r>
      <w:r>
        <w:rPr>
          <w:rFonts w:ascii="宋体" w:hAnsi="宋体"/>
          <w:sz w:val="24"/>
        </w:rPr>
        <w:t>上，并将中期报告提示性公告登载在</w:t>
      </w:r>
      <w:r w:rsidR="003246BF">
        <w:rPr>
          <w:rFonts w:ascii="宋体" w:hAnsi="宋体"/>
          <w:sz w:val="24"/>
        </w:rPr>
        <w:t>规定报刊</w:t>
      </w:r>
      <w:r>
        <w:rPr>
          <w:rFonts w:ascii="宋体" w:hAnsi="宋体"/>
          <w:sz w:val="24"/>
        </w:rPr>
        <w:t>上。</w:t>
      </w:r>
    </w:p>
    <w:p w14:paraId="3CBA51F2" w14:textId="653FF4EB"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基金管理人应当在季度结束之日起15个工作日内，编制完成基金季度报告，将季度报告登载在</w:t>
      </w:r>
      <w:r w:rsidR="003246BF">
        <w:rPr>
          <w:rFonts w:ascii="宋体" w:hAnsi="宋体"/>
          <w:sz w:val="24"/>
        </w:rPr>
        <w:t>规定网站</w:t>
      </w:r>
      <w:r>
        <w:rPr>
          <w:rFonts w:ascii="宋体" w:hAnsi="宋体"/>
          <w:sz w:val="24"/>
        </w:rPr>
        <w:t>上，并将季度报告提示性公告登载在</w:t>
      </w:r>
      <w:r w:rsidR="003246BF">
        <w:rPr>
          <w:rFonts w:ascii="宋体" w:hAnsi="宋体"/>
          <w:sz w:val="24"/>
        </w:rPr>
        <w:t>规定报刊</w:t>
      </w:r>
      <w:r>
        <w:rPr>
          <w:rFonts w:ascii="宋体" w:hAnsi="宋体"/>
          <w:sz w:val="24"/>
        </w:rPr>
        <w:t>上。</w:t>
      </w:r>
    </w:p>
    <w:p w14:paraId="6E4833A2"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运作期间，如报告期内出现单一投资者持有基金份额达到或超过基金总份额20%的情形，为保障其他投资者的权益，基金管理人至少应当在定期报告“影响投资者决策的其他重要信息”项下披露该投资者的类别、报告期末持有份额及占比、报告期内持有份额变化情况及本基金的特有风险，中国证监会认定的特殊情形除外。</w:t>
      </w:r>
    </w:p>
    <w:p w14:paraId="62F1C2D0"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基金管理人应当在基金年度报告和中期报告中披露基金组合资产情况及其流动性风险分析等。</w:t>
      </w:r>
    </w:p>
    <w:p w14:paraId="6FCB943B" w14:textId="361557BD" w:rsidR="00FB4D29" w:rsidRDefault="00053F81">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w:t>
      </w:r>
      <w:r w:rsidR="00CF4592">
        <w:rPr>
          <w:rFonts w:ascii="宋体" w:hAnsi="宋体"/>
          <w:sz w:val="24"/>
        </w:rPr>
        <w:t>、临时报告</w:t>
      </w:r>
    </w:p>
    <w:p w14:paraId="70028022" w14:textId="365CEDE3"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本基金发生重大事件，有关信息披露义务人应当在2日内编制临时报告书，并登载在</w:t>
      </w:r>
      <w:r w:rsidR="003246BF">
        <w:rPr>
          <w:rFonts w:ascii="宋体" w:hAnsi="宋体"/>
          <w:sz w:val="24"/>
        </w:rPr>
        <w:t>规定报刊</w:t>
      </w:r>
      <w:r>
        <w:rPr>
          <w:rFonts w:ascii="宋体" w:hAnsi="宋体"/>
          <w:sz w:val="24"/>
        </w:rPr>
        <w:t>和</w:t>
      </w:r>
      <w:r w:rsidR="003246BF">
        <w:rPr>
          <w:rFonts w:ascii="宋体" w:hAnsi="宋体"/>
          <w:sz w:val="24"/>
        </w:rPr>
        <w:t>规定网站</w:t>
      </w:r>
      <w:r>
        <w:rPr>
          <w:rFonts w:ascii="宋体" w:hAnsi="宋体"/>
          <w:sz w:val="24"/>
        </w:rPr>
        <w:t>上。</w:t>
      </w:r>
    </w:p>
    <w:p w14:paraId="2AFA9D5A"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前款所称重大事件，是指可能对基金份额持有人权益或者基金份额的价格产生重大影响的下列事件：</w:t>
      </w:r>
    </w:p>
    <w:p w14:paraId="6B73490E"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（1）基金份额持有人大会的召开及决定的事项；</w:t>
      </w:r>
    </w:p>
    <w:p w14:paraId="40C6833D"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（2）《基金合同》终止、基金清算；</w:t>
      </w:r>
    </w:p>
    <w:p w14:paraId="1AA59D65"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（3）转换基金运作方式、基金合并；</w:t>
      </w:r>
    </w:p>
    <w:p w14:paraId="5E93E430"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（4）更换基金管理人、基金托管人、基金份额登记机构，基金改聘会计师事务所；</w:t>
      </w:r>
    </w:p>
    <w:p w14:paraId="6AA5DDA0"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（5）基金管理人委托基金服务机构代为办理基金的份额登记、核算、估值等</w:t>
      </w:r>
      <w:r>
        <w:rPr>
          <w:rFonts w:ascii="宋体" w:hAnsi="宋体"/>
          <w:sz w:val="24"/>
        </w:rPr>
        <w:lastRenderedPageBreak/>
        <w:t>事项，基金托管人委托基金服务机构代为办理基金的核算、估值、复核等事项；</w:t>
      </w:r>
    </w:p>
    <w:p w14:paraId="78343B4F"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（6）基金管理人、基金托管人的法定名称、住所发生变更；</w:t>
      </w:r>
    </w:p>
    <w:p w14:paraId="06D42D07"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（7）基金管理人变更持有百分之五以上股权的股东、基金管理人的实际控制人变更；</w:t>
      </w:r>
    </w:p>
    <w:p w14:paraId="14D02B9B"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（8）基金募集期延长或提前结束募集；</w:t>
      </w:r>
    </w:p>
    <w:p w14:paraId="1125866B"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（9）基金管理人的高级管理人员、基金经理和基金托管人专门基金托管部门负责人发生变动；</w:t>
      </w:r>
    </w:p>
    <w:p w14:paraId="67A277AF"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（10）基金管理人的董事在最近12个月内变更超过百分之五十，基金管理人、基金托管人专门基金托管部门的主要业务人员在最近12个月内变动超过百分之三十；</w:t>
      </w:r>
    </w:p>
    <w:p w14:paraId="5ED652FB"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（11）涉及基金财产、基金管理业务、基金托管业务的诉讼或仲裁；</w:t>
      </w:r>
    </w:p>
    <w:p w14:paraId="5F3A624A"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（12）基金管理人或其高级管理人员、基金经理因基金管理业务相关行为受到重大行政处罚、刑事处罚，基金托管人或其专门基金托管部门负责人因基金托管业务相关行为受到重大行政处罚、刑事处罚；</w:t>
      </w:r>
    </w:p>
    <w:p w14:paraId="5DD99B6E"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13）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14:paraId="002CB00B"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（14）基金收益分配事项；</w:t>
      </w:r>
    </w:p>
    <w:p w14:paraId="4D6A4ABF" w14:textId="4A4A9FEA"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（15）管理费、托管费、</w:t>
      </w:r>
      <w:r w:rsidR="00BB2993">
        <w:rPr>
          <w:rFonts w:ascii="宋体" w:hAnsi="宋体" w:hint="eastAsia"/>
          <w:sz w:val="24"/>
        </w:rPr>
        <w:t>销售服务费、</w:t>
      </w:r>
      <w:r>
        <w:rPr>
          <w:rFonts w:ascii="宋体" w:hAnsi="宋体"/>
          <w:sz w:val="24"/>
        </w:rPr>
        <w:t>申购费、赎回费等费用计提标准、计提方式和费率发生变更；</w:t>
      </w:r>
    </w:p>
    <w:p w14:paraId="01C25670" w14:textId="2748557E"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（16）</w:t>
      </w:r>
      <w:r w:rsidR="00BB2993">
        <w:rPr>
          <w:rFonts w:hint="eastAsia"/>
          <w:bCs/>
          <w:sz w:val="24"/>
        </w:rPr>
        <w:t>任一类</w:t>
      </w:r>
      <w:r>
        <w:rPr>
          <w:rFonts w:ascii="宋体" w:hAnsi="宋体"/>
          <w:sz w:val="24"/>
        </w:rPr>
        <w:t>基金份额净值计价错误达</w:t>
      </w:r>
      <w:r w:rsidR="00BB2993">
        <w:rPr>
          <w:rFonts w:hint="eastAsia"/>
          <w:bCs/>
          <w:sz w:val="24"/>
        </w:rPr>
        <w:t>该类</w:t>
      </w:r>
      <w:r>
        <w:rPr>
          <w:rFonts w:ascii="宋体" w:hAnsi="宋体"/>
          <w:sz w:val="24"/>
        </w:rPr>
        <w:t>基金份额净值百分之零点五；</w:t>
      </w:r>
    </w:p>
    <w:p w14:paraId="177AA868"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（17）本基金开始办理申购、赎回；</w:t>
      </w:r>
    </w:p>
    <w:p w14:paraId="579B6D95"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（18）本基金发生巨额赎回并延期办理；</w:t>
      </w:r>
    </w:p>
    <w:p w14:paraId="00C7C8C5"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（19）本基金连续发生巨额赎回并暂停接受赎回申请或延缓支付赎回款项；</w:t>
      </w:r>
    </w:p>
    <w:p w14:paraId="0B6DE6AA"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（20）本基金暂停接受申购、赎回申请或重新接受申购、赎回申请；</w:t>
      </w:r>
    </w:p>
    <w:p w14:paraId="1236CAF9"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（21）发生涉及基金申购、赎回事项调整或潜在影响投资者赎回等重大事项时；</w:t>
      </w:r>
    </w:p>
    <w:p w14:paraId="5B156ECF"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（22）基金管理人采用摆动定价机制进行估值；</w:t>
      </w:r>
    </w:p>
    <w:p w14:paraId="4AB26DFF" w14:textId="77777777" w:rsidR="00BB2993" w:rsidRPr="00BB2993" w:rsidRDefault="00CF4592" w:rsidP="00BB2993">
      <w:pPr>
        <w:autoSpaceDE w:val="0"/>
        <w:autoSpaceDN w:val="0"/>
        <w:adjustRightInd w:val="0"/>
        <w:snapToGrid w:val="0"/>
        <w:spacing w:line="360" w:lineRule="auto"/>
        <w:ind w:firstLineChars="200" w:firstLine="480"/>
        <w:jc w:val="left"/>
        <w:rPr>
          <w:rFonts w:ascii="宋体" w:hAnsi="宋体"/>
          <w:sz w:val="24"/>
        </w:rPr>
      </w:pPr>
      <w:r>
        <w:rPr>
          <w:rFonts w:ascii="宋体" w:hAnsi="宋体"/>
          <w:sz w:val="24"/>
        </w:rPr>
        <w:t>（23）</w:t>
      </w:r>
      <w:r w:rsidR="00BB2993" w:rsidRPr="00BB2993">
        <w:rPr>
          <w:rFonts w:ascii="宋体" w:hAnsi="宋体" w:hint="eastAsia"/>
          <w:sz w:val="24"/>
        </w:rPr>
        <w:t>本基金增加或调整基金份额类别；</w:t>
      </w:r>
    </w:p>
    <w:p w14:paraId="3A32BA1C" w14:textId="4ADC419D" w:rsidR="00BB2993" w:rsidRPr="00BB2993" w:rsidRDefault="00BB2993" w:rsidP="00BB2993">
      <w:pPr>
        <w:autoSpaceDE w:val="0"/>
        <w:autoSpaceDN w:val="0"/>
        <w:adjustRightInd w:val="0"/>
        <w:snapToGrid w:val="0"/>
        <w:spacing w:line="360" w:lineRule="auto"/>
        <w:ind w:firstLineChars="200" w:firstLine="480"/>
        <w:jc w:val="left"/>
        <w:rPr>
          <w:rFonts w:ascii="宋体" w:hAnsi="宋体"/>
          <w:sz w:val="24"/>
        </w:rPr>
      </w:pPr>
      <w:r>
        <w:rPr>
          <w:rFonts w:ascii="宋体" w:hAnsi="宋体" w:hint="eastAsia"/>
          <w:sz w:val="24"/>
        </w:rPr>
        <w:t>（2</w:t>
      </w:r>
      <w:r>
        <w:rPr>
          <w:rFonts w:ascii="宋体" w:hAnsi="宋体"/>
          <w:sz w:val="24"/>
        </w:rPr>
        <w:t>4</w:t>
      </w:r>
      <w:r>
        <w:rPr>
          <w:rFonts w:ascii="宋体" w:hAnsi="宋体" w:hint="eastAsia"/>
          <w:sz w:val="24"/>
        </w:rPr>
        <w:t>）</w:t>
      </w:r>
      <w:r w:rsidRPr="00BB2993">
        <w:rPr>
          <w:rFonts w:ascii="宋体" w:hAnsi="宋体" w:hint="eastAsia"/>
          <w:sz w:val="24"/>
        </w:rPr>
        <w:t>本基金推出新业务或服务；</w:t>
      </w:r>
    </w:p>
    <w:p w14:paraId="471AA248" w14:textId="4F8D50E9" w:rsidR="00BB2993" w:rsidRPr="00BB2993" w:rsidRDefault="00BB2993" w:rsidP="00BB2993">
      <w:pPr>
        <w:autoSpaceDE w:val="0"/>
        <w:autoSpaceDN w:val="0"/>
        <w:adjustRightInd w:val="0"/>
        <w:snapToGrid w:val="0"/>
        <w:spacing w:line="360" w:lineRule="auto"/>
        <w:ind w:firstLineChars="200" w:firstLine="480"/>
        <w:jc w:val="left"/>
        <w:rPr>
          <w:rFonts w:ascii="宋体" w:hAnsi="宋体"/>
          <w:sz w:val="24"/>
        </w:rPr>
      </w:pPr>
      <w:r>
        <w:rPr>
          <w:rFonts w:ascii="宋体" w:hAnsi="宋体" w:hint="eastAsia"/>
          <w:sz w:val="24"/>
        </w:rPr>
        <w:lastRenderedPageBreak/>
        <w:t>（2</w:t>
      </w:r>
      <w:r>
        <w:rPr>
          <w:rFonts w:ascii="宋体" w:hAnsi="宋体"/>
          <w:sz w:val="24"/>
        </w:rPr>
        <w:t>5</w:t>
      </w:r>
      <w:r>
        <w:rPr>
          <w:rFonts w:ascii="宋体" w:hAnsi="宋体" w:hint="eastAsia"/>
          <w:sz w:val="24"/>
        </w:rPr>
        <w:t>）</w:t>
      </w:r>
      <w:r w:rsidRPr="00BB2993">
        <w:rPr>
          <w:rFonts w:ascii="宋体" w:hAnsi="宋体" w:hint="eastAsia"/>
          <w:sz w:val="24"/>
        </w:rPr>
        <w:t>本基金连续30个工作日、40个工作日、45个工作日出现基金份额持有人数量不满200人或者基金资产净值低于5000万元情形的；</w:t>
      </w:r>
    </w:p>
    <w:p w14:paraId="6048F42B" w14:textId="31C52CB2" w:rsidR="00FB4D29" w:rsidRDefault="00BB2993" w:rsidP="00BB2993">
      <w:pPr>
        <w:autoSpaceDE w:val="0"/>
        <w:autoSpaceDN w:val="0"/>
        <w:adjustRightInd w:val="0"/>
        <w:snapToGrid w:val="0"/>
        <w:spacing w:line="360" w:lineRule="auto"/>
        <w:ind w:firstLineChars="200" w:firstLine="480"/>
        <w:jc w:val="left"/>
        <w:rPr>
          <w:rFonts w:ascii="宋体" w:hAnsi="宋体"/>
          <w:szCs w:val="24"/>
        </w:rPr>
      </w:pPr>
      <w:r>
        <w:rPr>
          <w:rFonts w:ascii="宋体" w:hAnsi="宋体" w:hint="eastAsia"/>
          <w:sz w:val="24"/>
        </w:rPr>
        <w:t>（2</w:t>
      </w:r>
      <w:r>
        <w:rPr>
          <w:rFonts w:ascii="宋体" w:hAnsi="宋体"/>
          <w:sz w:val="24"/>
        </w:rPr>
        <w:t>6</w:t>
      </w:r>
      <w:r>
        <w:rPr>
          <w:rFonts w:ascii="宋体" w:hAnsi="宋体" w:hint="eastAsia"/>
          <w:sz w:val="24"/>
        </w:rPr>
        <w:t>）</w:t>
      </w:r>
      <w:r w:rsidR="00CF4592">
        <w:rPr>
          <w:rFonts w:ascii="宋体" w:hAnsi="宋体"/>
          <w:sz w:val="24"/>
        </w:rPr>
        <w:t>基金信息披露义务人认为可能对基金份额持有人权益或者基金份额的价格产生重大影响的其他事项或中国证监会规定的其他事项。</w:t>
      </w:r>
    </w:p>
    <w:p w14:paraId="69CC0C9B" w14:textId="261F00BF" w:rsidR="00FB4D29" w:rsidRDefault="00053F81">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w:t>
      </w:r>
      <w:r w:rsidR="00CF4592">
        <w:rPr>
          <w:rFonts w:ascii="宋体" w:hAnsi="宋体"/>
          <w:sz w:val="24"/>
        </w:rPr>
        <w:t>、澄清公告</w:t>
      </w:r>
    </w:p>
    <w:p w14:paraId="540C813B"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基金合同》存续期限内，任何公共媒介中出现的或者在市场上流传的消息可能对基金份额价格产生误导性影响或者引起较大波动，以及可能损害基金份额持有人权益的，相关信息披露义务人知悉后应当立即对该消息进行公开澄清，并将有关情况立即报告中国证监会。</w:t>
      </w:r>
    </w:p>
    <w:p w14:paraId="7EC695FD" w14:textId="0E6C6CB7" w:rsidR="00FB4D29" w:rsidRDefault="00053F81">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w:t>
      </w:r>
      <w:r w:rsidR="00CF4592">
        <w:rPr>
          <w:rFonts w:ascii="宋体" w:hAnsi="宋体"/>
          <w:sz w:val="24"/>
        </w:rPr>
        <w:t>、基金份额持有人大会决议</w:t>
      </w:r>
    </w:p>
    <w:p w14:paraId="2374F7C8"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基金份额持有人大会决定的事项，应当依法报中国证监会备案，并予以公告。</w:t>
      </w:r>
    </w:p>
    <w:p w14:paraId="59528AA6"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基金份额持有人依法自行召集基金份额持有人大会，基金管理人、基金托管人对基金份额持有人大会决定的事项不依法履行信息披露义务的，召集人应当履行相关信息披露义务。</w:t>
      </w:r>
    </w:p>
    <w:p w14:paraId="12C03E89" w14:textId="70936D56" w:rsidR="00053F81" w:rsidRPr="00053F81" w:rsidRDefault="00053F81" w:rsidP="00053F81">
      <w:pPr>
        <w:autoSpaceDE w:val="0"/>
        <w:autoSpaceDN w:val="0"/>
        <w:adjustRightInd w:val="0"/>
        <w:snapToGrid w:val="0"/>
        <w:spacing w:line="360" w:lineRule="auto"/>
        <w:ind w:firstLineChars="200" w:firstLine="480"/>
        <w:jc w:val="left"/>
        <w:rPr>
          <w:rFonts w:ascii="宋体" w:hAnsi="宋体"/>
          <w:sz w:val="24"/>
        </w:rPr>
      </w:pPr>
      <w:r>
        <w:rPr>
          <w:rFonts w:ascii="宋体" w:hAnsi="宋体"/>
          <w:sz w:val="24"/>
        </w:rPr>
        <w:t>8</w:t>
      </w:r>
      <w:r w:rsidR="00CF4592">
        <w:rPr>
          <w:rFonts w:ascii="宋体" w:hAnsi="宋体"/>
          <w:sz w:val="24"/>
        </w:rPr>
        <w:t>、</w:t>
      </w:r>
      <w:r w:rsidRPr="00053F81">
        <w:rPr>
          <w:rFonts w:ascii="宋体" w:hAnsi="宋体" w:hint="eastAsia"/>
          <w:sz w:val="24"/>
        </w:rPr>
        <w:t>实施侧袋机制期间的信息披露</w:t>
      </w:r>
    </w:p>
    <w:p w14:paraId="6E64B750" w14:textId="77777777" w:rsidR="00053F81" w:rsidRDefault="00053F81" w:rsidP="00053F81">
      <w:pPr>
        <w:autoSpaceDE w:val="0"/>
        <w:autoSpaceDN w:val="0"/>
        <w:adjustRightInd w:val="0"/>
        <w:snapToGrid w:val="0"/>
        <w:spacing w:line="360" w:lineRule="auto"/>
        <w:ind w:firstLineChars="200" w:firstLine="480"/>
        <w:jc w:val="left"/>
        <w:rPr>
          <w:rFonts w:ascii="宋体" w:hAnsi="宋体"/>
          <w:sz w:val="24"/>
        </w:rPr>
      </w:pPr>
      <w:r w:rsidRPr="00053F81">
        <w:rPr>
          <w:rFonts w:ascii="宋体" w:hAnsi="宋体" w:hint="eastAsia"/>
          <w:sz w:val="24"/>
        </w:rPr>
        <w:t>本基金实施侧袋机制的，相关信息披露义务人应当根据法律法规、基金合同和招募说明书的规定进行信息披露，详见招募说明书“侧袋机制”部分的规定。</w:t>
      </w:r>
    </w:p>
    <w:p w14:paraId="4E9DD7B9" w14:textId="5D46562C" w:rsidR="00FB4D29" w:rsidRDefault="00053F81" w:rsidP="00053F81">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w:t>
      </w:r>
      <w:r>
        <w:rPr>
          <w:rFonts w:ascii="宋体" w:hAnsi="宋体" w:hint="eastAsia"/>
          <w:sz w:val="24"/>
        </w:rPr>
        <w:t>、</w:t>
      </w:r>
      <w:r w:rsidR="00CF4592">
        <w:rPr>
          <w:rFonts w:ascii="宋体" w:hAnsi="宋体"/>
          <w:sz w:val="24"/>
        </w:rPr>
        <w:t>清算报告</w:t>
      </w:r>
    </w:p>
    <w:p w14:paraId="1869B0BF" w14:textId="6D02DE2B"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基金合同终止的，基金管理人应当依法组织清算</w:t>
      </w:r>
      <w:r w:rsidR="00053F81">
        <w:rPr>
          <w:rFonts w:ascii="宋体" w:hAnsi="宋体" w:hint="eastAsia"/>
          <w:sz w:val="24"/>
        </w:rPr>
        <w:t>小</w:t>
      </w:r>
      <w:r>
        <w:rPr>
          <w:rFonts w:ascii="宋体" w:hAnsi="宋体"/>
          <w:sz w:val="24"/>
        </w:rPr>
        <w:t>组对基金财产进行清算并作出清算报告。清算报告应当经过</w:t>
      </w:r>
      <w:r w:rsidR="00053F81">
        <w:rPr>
          <w:rFonts w:hint="eastAsia"/>
          <w:bCs/>
          <w:sz w:val="24"/>
        </w:rPr>
        <w:t>符合《中华人民共和国证券法》规定</w:t>
      </w:r>
      <w:r>
        <w:rPr>
          <w:rFonts w:ascii="宋体" w:hAnsi="宋体"/>
          <w:sz w:val="24"/>
        </w:rPr>
        <w:t>的会计师事务所审计，并由律师事务所出具法律意见书。清算</w:t>
      </w:r>
      <w:r w:rsidR="00053F81">
        <w:rPr>
          <w:rFonts w:ascii="宋体" w:hAnsi="宋体" w:hint="eastAsia"/>
          <w:sz w:val="24"/>
        </w:rPr>
        <w:t>小</w:t>
      </w:r>
      <w:r>
        <w:rPr>
          <w:rFonts w:ascii="宋体" w:hAnsi="宋体"/>
          <w:sz w:val="24"/>
        </w:rPr>
        <w:t>组应当将清算报告登载在</w:t>
      </w:r>
      <w:r w:rsidR="003246BF">
        <w:rPr>
          <w:rFonts w:ascii="宋体" w:hAnsi="宋体"/>
          <w:sz w:val="24"/>
        </w:rPr>
        <w:t>规定网站</w:t>
      </w:r>
      <w:r>
        <w:rPr>
          <w:rFonts w:ascii="宋体" w:hAnsi="宋体"/>
          <w:sz w:val="24"/>
        </w:rPr>
        <w:t>上，并将清算报告提示性公告登载在</w:t>
      </w:r>
      <w:r w:rsidR="003246BF">
        <w:rPr>
          <w:rFonts w:ascii="宋体" w:hAnsi="宋体"/>
          <w:sz w:val="24"/>
        </w:rPr>
        <w:t>规定报刊</w:t>
      </w:r>
      <w:r>
        <w:rPr>
          <w:rFonts w:ascii="宋体" w:hAnsi="宋体"/>
          <w:sz w:val="24"/>
        </w:rPr>
        <w:t>上。</w:t>
      </w:r>
    </w:p>
    <w:p w14:paraId="18845E57" w14:textId="2211F61C" w:rsidR="004E4436" w:rsidRDefault="00053F81" w:rsidP="004E4436">
      <w:pPr>
        <w:spacing w:line="360" w:lineRule="auto"/>
        <w:ind w:firstLineChars="200" w:firstLine="480"/>
        <w:rPr>
          <w:bCs/>
          <w:sz w:val="24"/>
        </w:rPr>
      </w:pPr>
      <w:r>
        <w:rPr>
          <w:rFonts w:ascii="宋体" w:hAnsi="宋体"/>
          <w:sz w:val="24"/>
        </w:rPr>
        <w:t>10</w:t>
      </w:r>
      <w:r w:rsidR="00CF4592">
        <w:rPr>
          <w:rFonts w:ascii="宋体" w:hAnsi="宋体"/>
          <w:sz w:val="24"/>
        </w:rPr>
        <w:t>、</w:t>
      </w:r>
      <w:r w:rsidR="004E4436" w:rsidRPr="00035652">
        <w:rPr>
          <w:rFonts w:hint="eastAsia"/>
          <w:bCs/>
          <w:sz w:val="24"/>
        </w:rPr>
        <w:t>基金投资股指期货情况</w:t>
      </w:r>
    </w:p>
    <w:p w14:paraId="29AE4F61" w14:textId="49D9953C"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投资股指期货，基金管理人需按照法规要求在季度报告、中期报告、年度报告等定期报告和招募说明书（更新）等文件中披露股指期货交易情况，包括投资政策、持仓情况、损益情况、风险指标等，并充分揭示股指期货交易对基金总体风险的影响以及是否符合既定的投资政策和投资目标等。</w:t>
      </w:r>
    </w:p>
    <w:p w14:paraId="40B800A3" w14:textId="261B4599" w:rsidR="004E4436" w:rsidRDefault="00053F81">
      <w:pPr>
        <w:autoSpaceDE w:val="0"/>
        <w:autoSpaceDN w:val="0"/>
        <w:adjustRightInd w:val="0"/>
        <w:snapToGrid w:val="0"/>
        <w:spacing w:line="360" w:lineRule="auto"/>
        <w:ind w:firstLineChars="200" w:firstLine="480"/>
        <w:jc w:val="left"/>
        <w:rPr>
          <w:bCs/>
          <w:sz w:val="24"/>
        </w:rPr>
      </w:pPr>
      <w:r>
        <w:rPr>
          <w:rFonts w:ascii="宋体" w:hAnsi="宋体"/>
          <w:sz w:val="24"/>
        </w:rPr>
        <w:t>1</w:t>
      </w:r>
      <w:r w:rsidR="004E4436">
        <w:rPr>
          <w:rFonts w:ascii="宋体" w:hAnsi="宋体"/>
          <w:sz w:val="24"/>
        </w:rPr>
        <w:t>1</w:t>
      </w:r>
      <w:r w:rsidR="00CF4592">
        <w:rPr>
          <w:rFonts w:ascii="宋体" w:hAnsi="宋体"/>
          <w:sz w:val="24"/>
        </w:rPr>
        <w:t>、</w:t>
      </w:r>
      <w:r w:rsidR="004E4436" w:rsidRPr="00035652">
        <w:rPr>
          <w:rFonts w:hint="eastAsia"/>
          <w:bCs/>
          <w:sz w:val="24"/>
        </w:rPr>
        <w:t>基金投资资产支持证券情况</w:t>
      </w:r>
    </w:p>
    <w:p w14:paraId="1F27F45D" w14:textId="5D7A87C9"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本基金投资资产支持证券，基金管理人应在基金年度报告及中期报告中披露其持有的资产支持证券总额、资产支持证券市值占基金净资产的比例和报告期末所有</w:t>
      </w:r>
      <w:r>
        <w:rPr>
          <w:rFonts w:ascii="宋体" w:hAnsi="宋体"/>
          <w:sz w:val="24"/>
        </w:rPr>
        <w:lastRenderedPageBreak/>
        <w:t>的资产支持证券明细。基金管理人应在基金季度报告中披露其持有的资产支持证券总额、资产支持证券市值占基金净资产的比例和报告期末按市值占基金净资产比例大小排序的前10名资产支持证券明细。</w:t>
      </w:r>
    </w:p>
    <w:p w14:paraId="0E45DC80" w14:textId="7F49C59C" w:rsidR="004E4436" w:rsidRPr="000F062A" w:rsidRDefault="004E4436" w:rsidP="004E4436">
      <w:pPr>
        <w:spacing w:line="360" w:lineRule="auto"/>
        <w:ind w:firstLineChars="200" w:firstLine="480"/>
        <w:rPr>
          <w:bCs/>
          <w:sz w:val="24"/>
        </w:rPr>
      </w:pPr>
      <w:r>
        <w:rPr>
          <w:rFonts w:ascii="宋体" w:hAnsi="宋体"/>
          <w:sz w:val="24"/>
        </w:rPr>
        <w:t>12</w:t>
      </w:r>
      <w:r w:rsidR="00CF4592">
        <w:rPr>
          <w:rFonts w:ascii="宋体" w:hAnsi="宋体"/>
          <w:sz w:val="24"/>
        </w:rPr>
        <w:t>、</w:t>
      </w:r>
      <w:r w:rsidRPr="000F062A">
        <w:rPr>
          <w:rFonts w:hint="eastAsia"/>
          <w:bCs/>
          <w:sz w:val="24"/>
        </w:rPr>
        <w:t>基金投资港股通标的股票情况</w:t>
      </w:r>
    </w:p>
    <w:p w14:paraId="2928D40C" w14:textId="77777777" w:rsidR="004E4436" w:rsidRDefault="004E4436" w:rsidP="004E4436">
      <w:pPr>
        <w:spacing w:line="360" w:lineRule="auto"/>
        <w:ind w:firstLineChars="200" w:firstLine="480"/>
        <w:rPr>
          <w:bCs/>
          <w:sz w:val="24"/>
        </w:rPr>
      </w:pPr>
      <w:r w:rsidRPr="000F062A">
        <w:rPr>
          <w:rFonts w:hint="eastAsia"/>
          <w:bCs/>
          <w:sz w:val="24"/>
        </w:rPr>
        <w:t>基金应当在季度报告、中期报告、年度报告等定期报告和招募说明书（更新）等文件中披露港股通标的股票的投资情况。法律法规或中国证监会另有规定的，从其规定。</w:t>
      </w:r>
    </w:p>
    <w:p w14:paraId="7C924C11" w14:textId="45A08427" w:rsidR="00BD6AAF" w:rsidRPr="00F82365" w:rsidRDefault="004E4436">
      <w:pPr>
        <w:autoSpaceDE w:val="0"/>
        <w:autoSpaceDN w:val="0"/>
        <w:adjustRightInd w:val="0"/>
        <w:snapToGrid w:val="0"/>
        <w:spacing w:line="360" w:lineRule="auto"/>
        <w:ind w:firstLineChars="200" w:firstLine="480"/>
        <w:jc w:val="left"/>
        <w:rPr>
          <w:rFonts w:ascii="宋体" w:hAnsi="宋体"/>
          <w:sz w:val="24"/>
          <w:lang w:val="x-none"/>
        </w:rPr>
      </w:pPr>
      <w:r>
        <w:rPr>
          <w:rFonts w:ascii="宋体" w:hAnsi="宋体"/>
          <w:sz w:val="24"/>
        </w:rPr>
        <w:t>13</w:t>
      </w:r>
      <w:r>
        <w:rPr>
          <w:rFonts w:ascii="宋体" w:hAnsi="宋体" w:hint="eastAsia"/>
          <w:sz w:val="24"/>
        </w:rPr>
        <w:t>、</w:t>
      </w:r>
      <w:r w:rsidR="00BD6AAF" w:rsidRPr="00BD6AAF">
        <w:rPr>
          <w:rFonts w:ascii="宋体" w:hAnsi="宋体" w:hint="eastAsia"/>
          <w:sz w:val="24"/>
        </w:rPr>
        <w:t>基金投资非公开发行股票情况</w:t>
      </w:r>
    </w:p>
    <w:p w14:paraId="5AD64922" w14:textId="4C2EF95E"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基金管理人在本基金投资非公开发行股票后2个交易日内，在中国证监会</w:t>
      </w:r>
      <w:r w:rsidR="003246BF">
        <w:rPr>
          <w:rFonts w:ascii="宋体" w:hAnsi="宋体"/>
          <w:sz w:val="24"/>
        </w:rPr>
        <w:t>规定媒介</w:t>
      </w:r>
      <w:r>
        <w:rPr>
          <w:rFonts w:ascii="宋体" w:hAnsi="宋体"/>
          <w:sz w:val="24"/>
        </w:rPr>
        <w:t>披露所投资非公开发行股票的名称、数量、总成本、账面价值，以及总成本和账面价值占基金资产净值的比例、锁定期等信息。</w:t>
      </w:r>
    </w:p>
    <w:p w14:paraId="69C083C7"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14、中国证监会规定的其他信息。</w:t>
      </w:r>
    </w:p>
    <w:p w14:paraId="198C4EC0" w14:textId="77777777" w:rsidR="00FB4D29" w:rsidRDefault="00CF4592">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（六）信息披露事务管理</w:t>
      </w:r>
    </w:p>
    <w:p w14:paraId="36B5CCFB"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基金管理人、基金托管人应当建立健全信息披露管理制度，指定专门部门及高级管理人员负责管理信息披露事务。</w:t>
      </w:r>
    </w:p>
    <w:p w14:paraId="7785799E"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基金信息披露义务人公开披露基金信息，应当符合中国证监会相关基金信息披露内容与格式准则等法律法规规定。</w:t>
      </w:r>
    </w:p>
    <w:p w14:paraId="5697AAB1" w14:textId="4F72C7A4"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基金托管人应当按照相关法律法规、中国证监会的规定和《基金合同》的约定，对基金管理人编制的基金资产净值、</w:t>
      </w:r>
      <w:r w:rsidR="00BC10BF" w:rsidRPr="00E72BE8">
        <w:rPr>
          <w:rFonts w:hint="eastAsia"/>
          <w:bCs/>
          <w:sz w:val="24"/>
        </w:rPr>
        <w:t>各类</w:t>
      </w:r>
      <w:r>
        <w:rPr>
          <w:rFonts w:ascii="宋体" w:hAnsi="宋体"/>
          <w:sz w:val="24"/>
        </w:rPr>
        <w:t>基金份额净值、基金份额申购赎回价格、基金定期报告、更新的招募说明书、基金产品资料概要、基金清算报告等公开披露的相关基金信息进行复核、审查，并向基金管理人进行书面或电子确认。</w:t>
      </w:r>
    </w:p>
    <w:p w14:paraId="137C31BA" w14:textId="41216330"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基金管理人、基金托管人应当在</w:t>
      </w:r>
      <w:r w:rsidR="003246BF">
        <w:rPr>
          <w:rFonts w:ascii="宋体" w:hAnsi="宋体"/>
          <w:sz w:val="24"/>
        </w:rPr>
        <w:t>规定报刊</w:t>
      </w:r>
      <w:r>
        <w:rPr>
          <w:rFonts w:ascii="宋体" w:hAnsi="宋体"/>
          <w:sz w:val="24"/>
        </w:rPr>
        <w:t>中选择一家报刊披露本基金信息。基金管理人、基金托管人应当向中国证监会基金电子披露网站报送拟披露的基金信息，并保证相关报送信息的真实、准确、完整、及时。</w:t>
      </w:r>
    </w:p>
    <w:p w14:paraId="1E8C75DA" w14:textId="13C4B325"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基金管理人、基金托管人除依法在</w:t>
      </w:r>
      <w:r w:rsidR="003246BF">
        <w:rPr>
          <w:rFonts w:ascii="宋体" w:hAnsi="宋体"/>
          <w:sz w:val="24"/>
        </w:rPr>
        <w:t>规定媒介</w:t>
      </w:r>
      <w:r>
        <w:rPr>
          <w:rFonts w:ascii="宋体" w:hAnsi="宋体"/>
          <w:sz w:val="24"/>
        </w:rPr>
        <w:t>上披露信息外，还可以根据需要在其他公共媒介披露信息，但是其他公共媒介不得早于</w:t>
      </w:r>
      <w:r w:rsidR="003246BF">
        <w:rPr>
          <w:rFonts w:ascii="宋体" w:hAnsi="宋体"/>
          <w:sz w:val="24"/>
        </w:rPr>
        <w:t>规定媒介</w:t>
      </w:r>
      <w:r>
        <w:rPr>
          <w:rFonts w:ascii="宋体" w:hAnsi="宋体"/>
          <w:sz w:val="24"/>
        </w:rPr>
        <w:t>披露信息，并且在不同媒介上披露同一信息的内容应当一致。</w:t>
      </w:r>
    </w:p>
    <w:p w14:paraId="0D91F867"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为基金信息披露义务人公开披露的基金信息出具审计报告、法律意见书的专业机构，应当制作工作底稿，并将相关档案至少保存到《基金合同》终止后10年。</w:t>
      </w:r>
    </w:p>
    <w:p w14:paraId="33F3307B"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基金管理人、基金托管人除按法律法规要求披露信息外，也可着眼于为投资者</w:t>
      </w:r>
      <w:r>
        <w:rPr>
          <w:rFonts w:ascii="宋体" w:hAnsi="宋体"/>
          <w:sz w:val="24"/>
        </w:rPr>
        <w:lastRenderedPageBreak/>
        <w:t>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14:paraId="1397A6D8" w14:textId="77777777" w:rsidR="00FB4D29" w:rsidRDefault="00CF4592">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（七）信息披露文件的存放与查阅</w:t>
      </w:r>
    </w:p>
    <w:p w14:paraId="3BE85CDF" w14:textId="7C1957AC"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依法必须披露的信息发布后，基金管理人、基金托管人应当按照相关法律法规规定将信息置备于各自</w:t>
      </w:r>
      <w:r w:rsidR="00DA48E8">
        <w:rPr>
          <w:rFonts w:ascii="宋体" w:hAnsi="宋体" w:hint="eastAsia"/>
          <w:sz w:val="24"/>
        </w:rPr>
        <w:t>办公场所</w:t>
      </w:r>
      <w:r>
        <w:rPr>
          <w:rFonts w:ascii="宋体" w:hAnsi="宋体"/>
          <w:sz w:val="24"/>
        </w:rPr>
        <w:t>，供社会公众查阅、复制。</w:t>
      </w:r>
    </w:p>
    <w:p w14:paraId="5C3FBDE3" w14:textId="77777777" w:rsidR="00FB4D29" w:rsidRDefault="00CF4592">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（八）本基金信息披露事项以法律法规规定及本章节约定的内容为准。</w:t>
      </w:r>
    </w:p>
    <w:p w14:paraId="708B626E" w14:textId="77777777" w:rsidR="00AF2A34" w:rsidRDefault="00AF2A34" w:rsidP="00AF2A34">
      <w:pPr>
        <w:autoSpaceDE w:val="0"/>
        <w:autoSpaceDN w:val="0"/>
        <w:adjustRightInd w:val="0"/>
        <w:spacing w:line="360" w:lineRule="auto"/>
        <w:ind w:firstLineChars="200" w:firstLine="420"/>
        <w:rPr>
          <w:rFonts w:ascii="宋体" w:hAnsi="宋体"/>
          <w:szCs w:val="24"/>
        </w:rPr>
      </w:pPr>
    </w:p>
    <w:p w14:paraId="53AF163A" w14:textId="73455B64" w:rsidR="00404F1D" w:rsidRDefault="00CF4592">
      <w:pPr>
        <w:pStyle w:val="1"/>
        <w:snapToGrid w:val="0"/>
        <w:spacing w:beforeLines="0" w:before="240" w:after="240"/>
        <w:rPr>
          <w:rFonts w:ascii="Times New Roman" w:hAnsi="Times New Roman"/>
          <w:sz w:val="30"/>
        </w:rPr>
      </w:pPr>
      <w:r>
        <w:rPr>
          <w:rFonts w:ascii="宋体" w:hAnsi="宋体"/>
          <w:sz w:val="24"/>
        </w:rPr>
        <w:br w:type="page"/>
      </w:r>
      <w:bookmarkStart w:id="21" w:name="_Toc107476037"/>
      <w:r>
        <w:rPr>
          <w:rFonts w:ascii="Times New Roman" w:hAnsi="Times New Roman"/>
          <w:sz w:val="30"/>
        </w:rPr>
        <w:lastRenderedPageBreak/>
        <w:t>十八、</w:t>
      </w:r>
      <w:r w:rsidR="00404F1D">
        <w:rPr>
          <w:rFonts w:ascii="Times New Roman" w:hAnsi="Times New Roman" w:hint="eastAsia"/>
          <w:sz w:val="30"/>
        </w:rPr>
        <w:t>侧袋机制</w:t>
      </w:r>
      <w:bookmarkEnd w:id="21"/>
    </w:p>
    <w:p w14:paraId="6E96A797" w14:textId="77777777" w:rsidR="00404F1D" w:rsidRPr="00404F1D" w:rsidRDefault="00404F1D" w:rsidP="00404F1D">
      <w:pPr>
        <w:adjustRightInd w:val="0"/>
        <w:snapToGrid w:val="0"/>
        <w:spacing w:line="360" w:lineRule="auto"/>
        <w:ind w:firstLineChars="200" w:firstLine="482"/>
        <w:contextualSpacing/>
        <w:rPr>
          <w:rFonts w:ascii="Times New Roman" w:hAnsi="宋体"/>
          <w:b/>
          <w:bCs/>
          <w:sz w:val="24"/>
          <w:szCs w:val="24"/>
        </w:rPr>
      </w:pPr>
      <w:r w:rsidRPr="00404F1D">
        <w:rPr>
          <w:rFonts w:ascii="Times New Roman" w:hAnsi="宋体" w:hint="eastAsia"/>
          <w:b/>
          <w:bCs/>
          <w:sz w:val="24"/>
          <w:szCs w:val="24"/>
        </w:rPr>
        <w:t>（一）侧袋机制的实施条件</w:t>
      </w:r>
    </w:p>
    <w:p w14:paraId="24A8361B" w14:textId="77777777" w:rsidR="00404F1D" w:rsidRPr="00404F1D" w:rsidRDefault="00404F1D" w:rsidP="00404F1D">
      <w:pPr>
        <w:adjustRightInd w:val="0"/>
        <w:snapToGrid w:val="0"/>
        <w:spacing w:line="360" w:lineRule="auto"/>
        <w:ind w:firstLineChars="200" w:firstLine="480"/>
        <w:contextualSpacing/>
        <w:rPr>
          <w:rFonts w:ascii="Times New Roman" w:hAnsi="宋体"/>
          <w:bCs/>
          <w:sz w:val="24"/>
          <w:szCs w:val="24"/>
        </w:rPr>
      </w:pPr>
      <w:r w:rsidRPr="00404F1D">
        <w:rPr>
          <w:rFonts w:ascii="Times New Roman" w:hAnsi="宋体" w:hint="eastAsia"/>
          <w:bCs/>
          <w:sz w:val="24"/>
          <w:szCs w:val="24"/>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14:paraId="64307329" w14:textId="77777777" w:rsidR="00404F1D" w:rsidRPr="00404F1D" w:rsidRDefault="00404F1D" w:rsidP="00404F1D">
      <w:pPr>
        <w:adjustRightInd w:val="0"/>
        <w:snapToGrid w:val="0"/>
        <w:spacing w:line="360" w:lineRule="auto"/>
        <w:ind w:firstLineChars="200" w:firstLine="480"/>
        <w:contextualSpacing/>
        <w:rPr>
          <w:rFonts w:ascii="Times New Roman" w:hAnsi="宋体"/>
          <w:bCs/>
          <w:sz w:val="24"/>
          <w:szCs w:val="24"/>
        </w:rPr>
      </w:pPr>
      <w:r w:rsidRPr="00404F1D">
        <w:rPr>
          <w:rFonts w:ascii="Times New Roman" w:hAnsi="宋体" w:hint="eastAsia"/>
          <w:bCs/>
          <w:sz w:val="24"/>
          <w:szCs w:val="24"/>
        </w:rPr>
        <w:t>基金管理人应当在启用侧袋机制后及时发布临时公告，</w:t>
      </w:r>
      <w:bookmarkStart w:id="22" w:name="_Hlk45746268"/>
      <w:r w:rsidRPr="00404F1D">
        <w:rPr>
          <w:rFonts w:ascii="Times New Roman" w:hAnsi="宋体" w:hint="eastAsia"/>
          <w:bCs/>
          <w:sz w:val="24"/>
          <w:szCs w:val="24"/>
        </w:rPr>
        <w:t>并在</w:t>
      </w:r>
      <w:bookmarkStart w:id="23" w:name="_Hlk45746204"/>
      <w:r w:rsidRPr="00404F1D">
        <w:rPr>
          <w:rFonts w:ascii="Times New Roman" w:hAnsi="宋体" w:hint="eastAsia"/>
          <w:bCs/>
          <w:sz w:val="24"/>
          <w:szCs w:val="24"/>
        </w:rPr>
        <w:t>五个工作日内</w:t>
      </w:r>
      <w:bookmarkEnd w:id="22"/>
      <w:bookmarkEnd w:id="23"/>
      <w:r w:rsidRPr="00404F1D">
        <w:rPr>
          <w:rFonts w:ascii="Times New Roman" w:hAnsi="宋体" w:hint="eastAsia"/>
          <w:bCs/>
          <w:sz w:val="24"/>
          <w:szCs w:val="24"/>
        </w:rPr>
        <w:t>聘请</w:t>
      </w:r>
      <w:bookmarkStart w:id="24" w:name="_Hlk45746277"/>
      <w:r w:rsidRPr="00404F1D">
        <w:rPr>
          <w:rFonts w:ascii="Times New Roman" w:hAnsi="宋体" w:hint="eastAsia"/>
          <w:bCs/>
          <w:sz w:val="24"/>
          <w:szCs w:val="24"/>
        </w:rPr>
        <w:t>侧袋机制启用日发表意见且</w:t>
      </w:r>
      <w:bookmarkEnd w:id="24"/>
      <w:r w:rsidRPr="00404F1D">
        <w:rPr>
          <w:rFonts w:ascii="Times New Roman" w:hAnsi="宋体" w:hint="eastAsia"/>
          <w:bCs/>
          <w:sz w:val="24"/>
          <w:szCs w:val="24"/>
        </w:rPr>
        <w:t>符合《中华人民共和国证券法》规定的会计师事务所</w:t>
      </w:r>
      <w:bookmarkStart w:id="25" w:name="_Hlk45746299"/>
      <w:r w:rsidRPr="00404F1D">
        <w:rPr>
          <w:rFonts w:ascii="Times New Roman" w:hAnsi="宋体" w:hint="eastAsia"/>
          <w:bCs/>
          <w:sz w:val="24"/>
          <w:szCs w:val="24"/>
        </w:rPr>
        <w:t>进行审计并披露</w:t>
      </w:r>
      <w:bookmarkEnd w:id="25"/>
      <w:r w:rsidRPr="00404F1D">
        <w:rPr>
          <w:rFonts w:ascii="Times New Roman" w:hAnsi="宋体" w:hint="eastAsia"/>
          <w:bCs/>
          <w:sz w:val="24"/>
          <w:szCs w:val="24"/>
        </w:rPr>
        <w:t>专项审计意见。</w:t>
      </w:r>
    </w:p>
    <w:p w14:paraId="31BEE56E" w14:textId="77777777" w:rsidR="00404F1D" w:rsidRPr="00404F1D" w:rsidRDefault="00404F1D" w:rsidP="00404F1D">
      <w:pPr>
        <w:adjustRightInd w:val="0"/>
        <w:snapToGrid w:val="0"/>
        <w:spacing w:line="360" w:lineRule="auto"/>
        <w:ind w:firstLineChars="200" w:firstLine="482"/>
        <w:contextualSpacing/>
        <w:rPr>
          <w:rFonts w:ascii="Times New Roman" w:hAnsi="宋体"/>
          <w:b/>
          <w:bCs/>
          <w:sz w:val="24"/>
          <w:szCs w:val="24"/>
        </w:rPr>
      </w:pPr>
      <w:r w:rsidRPr="00404F1D">
        <w:rPr>
          <w:rFonts w:ascii="Times New Roman" w:hAnsi="宋体" w:hint="eastAsia"/>
          <w:b/>
          <w:bCs/>
          <w:sz w:val="24"/>
          <w:szCs w:val="24"/>
        </w:rPr>
        <w:t>（二）实施侧袋机制期间基金份额的申购与赎回</w:t>
      </w:r>
    </w:p>
    <w:p w14:paraId="03747845" w14:textId="77777777" w:rsidR="00404F1D" w:rsidRPr="00404F1D" w:rsidRDefault="00404F1D" w:rsidP="00404F1D">
      <w:pPr>
        <w:adjustRightInd w:val="0"/>
        <w:snapToGrid w:val="0"/>
        <w:spacing w:line="360" w:lineRule="auto"/>
        <w:ind w:firstLineChars="200" w:firstLine="480"/>
        <w:contextualSpacing/>
        <w:rPr>
          <w:rFonts w:ascii="Times New Roman" w:hAnsi="宋体"/>
          <w:bCs/>
          <w:sz w:val="24"/>
          <w:szCs w:val="24"/>
        </w:rPr>
      </w:pPr>
      <w:r w:rsidRPr="00404F1D">
        <w:rPr>
          <w:rFonts w:ascii="Times New Roman" w:hAnsi="宋体" w:hint="eastAsia"/>
          <w:bCs/>
          <w:sz w:val="24"/>
          <w:szCs w:val="24"/>
        </w:rPr>
        <w:t>1</w:t>
      </w:r>
      <w:r w:rsidRPr="00404F1D">
        <w:rPr>
          <w:rFonts w:ascii="Times New Roman" w:hAnsi="宋体" w:hint="eastAsia"/>
          <w:bCs/>
          <w:sz w:val="24"/>
          <w:szCs w:val="24"/>
        </w:rPr>
        <w:t>、启用侧袋机制当日，基金登记机构以基金份额持有人的原有账户份额为基础，确认相应侧袋账户基金份额持有人名册和份额；当日收到的申购申请，按照启用侧袋机制后的主袋账户份额办理；当日收到的赎回申请，仅办理主袋账户的赎回申请并支付赎回款项。</w:t>
      </w:r>
    </w:p>
    <w:p w14:paraId="2636913C" w14:textId="77777777" w:rsidR="00404F1D" w:rsidRPr="00404F1D" w:rsidRDefault="00404F1D" w:rsidP="00404F1D">
      <w:pPr>
        <w:adjustRightInd w:val="0"/>
        <w:snapToGrid w:val="0"/>
        <w:spacing w:line="360" w:lineRule="auto"/>
        <w:ind w:firstLineChars="200" w:firstLine="480"/>
        <w:contextualSpacing/>
        <w:rPr>
          <w:rFonts w:ascii="Times New Roman" w:hAnsi="宋体"/>
          <w:bCs/>
          <w:sz w:val="24"/>
          <w:szCs w:val="24"/>
        </w:rPr>
      </w:pPr>
      <w:r w:rsidRPr="00404F1D">
        <w:rPr>
          <w:rFonts w:ascii="Times New Roman" w:hAnsi="宋体"/>
          <w:bCs/>
          <w:sz w:val="24"/>
          <w:szCs w:val="24"/>
        </w:rPr>
        <w:t>2</w:t>
      </w:r>
      <w:r w:rsidRPr="00404F1D">
        <w:rPr>
          <w:rFonts w:ascii="Times New Roman" w:hAnsi="宋体" w:hint="eastAsia"/>
          <w:bCs/>
          <w:sz w:val="24"/>
          <w:szCs w:val="24"/>
        </w:rPr>
        <w:t>、实施侧袋机制期间，基金管理人不办理侧袋账户份额的申购、赎回和转换；同时，基金管理人按照基金合同和招募说明书的约定办理主袋账户份额的赎回，并根据主袋账户运作情况确定是否暂停申购。</w:t>
      </w:r>
    </w:p>
    <w:p w14:paraId="166E7E0C" w14:textId="77777777" w:rsidR="00404F1D" w:rsidRPr="00404F1D" w:rsidRDefault="00404F1D" w:rsidP="00404F1D">
      <w:pPr>
        <w:adjustRightInd w:val="0"/>
        <w:snapToGrid w:val="0"/>
        <w:spacing w:line="360" w:lineRule="auto"/>
        <w:ind w:firstLineChars="200" w:firstLine="480"/>
        <w:contextualSpacing/>
        <w:rPr>
          <w:rFonts w:ascii="Times New Roman" w:hAnsi="宋体"/>
          <w:bCs/>
          <w:sz w:val="24"/>
          <w:szCs w:val="24"/>
        </w:rPr>
      </w:pPr>
      <w:r w:rsidRPr="00404F1D">
        <w:rPr>
          <w:rFonts w:ascii="Times New Roman" w:hAnsi="宋体"/>
          <w:bCs/>
          <w:sz w:val="24"/>
          <w:szCs w:val="24"/>
        </w:rPr>
        <w:t>3</w:t>
      </w:r>
      <w:r w:rsidRPr="00404F1D">
        <w:rPr>
          <w:rFonts w:ascii="Times New Roman" w:hAnsi="宋体" w:hint="eastAsia"/>
          <w:bCs/>
          <w:sz w:val="24"/>
          <w:szCs w:val="24"/>
        </w:rPr>
        <w:t>、除基金管理人应按照主袋账户的份额净值办理主袋账户份额的申购和赎回外，本招募说明书“基金份额的申购与赎回”部分的申购、赎回规定适用于主袋账户份额。巨额赎回按照单个开放日内主袋账户份额净赎回申请超过前一开放日主袋账户总份额的</w:t>
      </w:r>
      <w:r w:rsidRPr="00404F1D">
        <w:rPr>
          <w:rFonts w:ascii="Times New Roman" w:hAnsi="宋体"/>
          <w:bCs/>
          <w:sz w:val="24"/>
          <w:szCs w:val="24"/>
        </w:rPr>
        <w:t>10</w:t>
      </w:r>
      <w:r w:rsidRPr="00404F1D">
        <w:rPr>
          <w:rFonts w:ascii="Times New Roman" w:hAnsi="宋体" w:hint="eastAsia"/>
          <w:bCs/>
          <w:sz w:val="24"/>
          <w:szCs w:val="24"/>
        </w:rPr>
        <w:t>%</w:t>
      </w:r>
      <w:r w:rsidRPr="00404F1D">
        <w:rPr>
          <w:rFonts w:ascii="Times New Roman" w:hAnsi="宋体" w:hint="eastAsia"/>
          <w:bCs/>
          <w:sz w:val="24"/>
          <w:szCs w:val="24"/>
        </w:rPr>
        <w:t>认定。</w:t>
      </w:r>
    </w:p>
    <w:p w14:paraId="27E63E45" w14:textId="77777777" w:rsidR="00404F1D" w:rsidRPr="00404F1D" w:rsidRDefault="00404F1D" w:rsidP="00404F1D">
      <w:pPr>
        <w:adjustRightInd w:val="0"/>
        <w:snapToGrid w:val="0"/>
        <w:spacing w:line="360" w:lineRule="auto"/>
        <w:ind w:firstLineChars="200" w:firstLine="482"/>
        <w:contextualSpacing/>
        <w:rPr>
          <w:rFonts w:ascii="Times New Roman" w:hAnsi="宋体"/>
          <w:b/>
          <w:bCs/>
          <w:sz w:val="24"/>
          <w:szCs w:val="24"/>
        </w:rPr>
      </w:pPr>
      <w:r w:rsidRPr="00404F1D">
        <w:rPr>
          <w:rFonts w:ascii="Times New Roman" w:hAnsi="宋体" w:hint="eastAsia"/>
          <w:b/>
          <w:bCs/>
          <w:sz w:val="24"/>
          <w:szCs w:val="24"/>
        </w:rPr>
        <w:t>（三）实施侧袋机制期间的基金投资</w:t>
      </w:r>
    </w:p>
    <w:p w14:paraId="46EFA17A" w14:textId="77777777" w:rsidR="00404F1D" w:rsidRPr="00404F1D" w:rsidRDefault="00404F1D" w:rsidP="00404F1D">
      <w:pPr>
        <w:adjustRightInd w:val="0"/>
        <w:snapToGrid w:val="0"/>
        <w:spacing w:line="360" w:lineRule="auto"/>
        <w:ind w:firstLineChars="200" w:firstLine="480"/>
        <w:contextualSpacing/>
        <w:rPr>
          <w:rFonts w:ascii="Times New Roman" w:hAnsi="宋体"/>
          <w:bCs/>
          <w:sz w:val="24"/>
          <w:szCs w:val="24"/>
        </w:rPr>
      </w:pPr>
      <w:r w:rsidRPr="00404F1D">
        <w:rPr>
          <w:rFonts w:ascii="Times New Roman" w:hAnsi="宋体" w:hint="eastAsia"/>
          <w:bCs/>
          <w:sz w:val="24"/>
          <w:szCs w:val="24"/>
        </w:rPr>
        <w:t>侧袋机制实施期间，招募说明书“基金的投资”部分约定的</w:t>
      </w:r>
      <w:r w:rsidRPr="00404F1D">
        <w:rPr>
          <w:rFonts w:ascii="Times New Roman" w:hAnsi="宋体"/>
          <w:bCs/>
          <w:sz w:val="24"/>
          <w:szCs w:val="24"/>
        </w:rPr>
        <w:t>投资组合比例</w:t>
      </w:r>
      <w:r w:rsidRPr="00404F1D">
        <w:rPr>
          <w:rFonts w:ascii="Times New Roman" w:hAnsi="宋体" w:hint="eastAsia"/>
          <w:bCs/>
          <w:sz w:val="24"/>
          <w:szCs w:val="24"/>
        </w:rPr>
        <w:t>、投资策略、</w:t>
      </w:r>
      <w:r w:rsidRPr="00404F1D">
        <w:rPr>
          <w:rFonts w:ascii="Times New Roman" w:hAnsi="宋体"/>
          <w:bCs/>
          <w:sz w:val="24"/>
          <w:szCs w:val="24"/>
        </w:rPr>
        <w:t>组合限制</w:t>
      </w:r>
      <w:r w:rsidRPr="00404F1D">
        <w:rPr>
          <w:rFonts w:ascii="Times New Roman" w:hAnsi="宋体" w:hint="eastAsia"/>
          <w:bCs/>
          <w:sz w:val="24"/>
          <w:szCs w:val="24"/>
        </w:rPr>
        <w:t>、业绩比较基准、风险收益特征等约定仅适用于主袋账户。基金管理人计算各项投资运作指标和基金业绩指标时仅需考虑主袋账户资产。</w:t>
      </w:r>
    </w:p>
    <w:p w14:paraId="721298F0" w14:textId="77777777" w:rsidR="00404F1D" w:rsidRPr="00404F1D" w:rsidRDefault="00404F1D" w:rsidP="00404F1D">
      <w:pPr>
        <w:adjustRightInd w:val="0"/>
        <w:snapToGrid w:val="0"/>
        <w:spacing w:line="360" w:lineRule="auto"/>
        <w:ind w:firstLineChars="200" w:firstLine="480"/>
        <w:contextualSpacing/>
        <w:rPr>
          <w:rFonts w:ascii="Times New Roman" w:hAnsi="宋体"/>
          <w:bCs/>
          <w:sz w:val="24"/>
          <w:szCs w:val="24"/>
        </w:rPr>
      </w:pPr>
      <w:r w:rsidRPr="00404F1D">
        <w:rPr>
          <w:rFonts w:ascii="Times New Roman" w:hAnsi="宋体" w:hint="eastAsia"/>
          <w:bCs/>
          <w:sz w:val="24"/>
          <w:szCs w:val="24"/>
        </w:rPr>
        <w:t>基金管理人原则上应当在侧袋</w:t>
      </w:r>
      <w:r w:rsidRPr="00404F1D">
        <w:rPr>
          <w:rFonts w:ascii="Times New Roman" w:hAnsi="宋体"/>
          <w:bCs/>
          <w:sz w:val="24"/>
          <w:szCs w:val="24"/>
        </w:rPr>
        <w:t>机制启用后</w:t>
      </w:r>
      <w:r w:rsidRPr="00404F1D">
        <w:rPr>
          <w:rFonts w:ascii="Times New Roman" w:hAnsi="宋体"/>
          <w:bCs/>
          <w:sz w:val="24"/>
          <w:szCs w:val="24"/>
        </w:rPr>
        <w:t>20</w:t>
      </w:r>
      <w:r w:rsidRPr="00404F1D">
        <w:rPr>
          <w:rFonts w:ascii="Times New Roman" w:hAnsi="宋体"/>
          <w:bCs/>
          <w:sz w:val="24"/>
          <w:szCs w:val="24"/>
        </w:rPr>
        <w:t>个交易日内完成对主袋账户投资组合的调整，</w:t>
      </w:r>
      <w:r w:rsidRPr="00404F1D">
        <w:rPr>
          <w:rFonts w:ascii="Times New Roman" w:hAnsi="宋体" w:hint="eastAsia"/>
          <w:bCs/>
          <w:sz w:val="24"/>
          <w:szCs w:val="24"/>
        </w:rPr>
        <w:t>因资产流动性受限等中国证监会规定的情形除外。</w:t>
      </w:r>
    </w:p>
    <w:p w14:paraId="4E82244D" w14:textId="77777777" w:rsidR="00404F1D" w:rsidRPr="00404F1D" w:rsidRDefault="00404F1D" w:rsidP="00404F1D">
      <w:pPr>
        <w:adjustRightInd w:val="0"/>
        <w:snapToGrid w:val="0"/>
        <w:spacing w:line="360" w:lineRule="auto"/>
        <w:ind w:firstLineChars="200" w:firstLine="480"/>
        <w:contextualSpacing/>
        <w:rPr>
          <w:rFonts w:ascii="Times New Roman" w:hAnsi="宋体"/>
          <w:bCs/>
          <w:sz w:val="24"/>
          <w:szCs w:val="24"/>
        </w:rPr>
      </w:pPr>
      <w:r w:rsidRPr="00404F1D">
        <w:rPr>
          <w:rFonts w:ascii="Times New Roman" w:hAnsi="宋体" w:hint="eastAsia"/>
          <w:bCs/>
          <w:sz w:val="24"/>
          <w:szCs w:val="24"/>
        </w:rPr>
        <w:t>基金管理人不得在侧袋账户中进行除特定资产处置变现以外的其他投资操作。</w:t>
      </w:r>
    </w:p>
    <w:p w14:paraId="71B77436" w14:textId="77777777" w:rsidR="00404F1D" w:rsidRPr="00404F1D" w:rsidRDefault="00404F1D" w:rsidP="00404F1D">
      <w:pPr>
        <w:adjustRightInd w:val="0"/>
        <w:snapToGrid w:val="0"/>
        <w:spacing w:line="360" w:lineRule="auto"/>
        <w:ind w:firstLineChars="200" w:firstLine="482"/>
        <w:contextualSpacing/>
        <w:rPr>
          <w:rFonts w:ascii="Times New Roman" w:hAnsi="宋体"/>
          <w:b/>
          <w:bCs/>
          <w:sz w:val="24"/>
          <w:szCs w:val="24"/>
        </w:rPr>
      </w:pPr>
      <w:r w:rsidRPr="00404F1D">
        <w:rPr>
          <w:rFonts w:ascii="Times New Roman" w:hAnsi="宋体" w:hint="eastAsia"/>
          <w:b/>
          <w:bCs/>
          <w:sz w:val="24"/>
          <w:szCs w:val="24"/>
        </w:rPr>
        <w:t>（四）实施侧袋机制期间的基金估值</w:t>
      </w:r>
    </w:p>
    <w:p w14:paraId="25F23E72" w14:textId="77777777" w:rsidR="00404F1D" w:rsidRPr="00404F1D" w:rsidRDefault="00404F1D" w:rsidP="00404F1D">
      <w:pPr>
        <w:adjustRightInd w:val="0"/>
        <w:snapToGrid w:val="0"/>
        <w:spacing w:line="360" w:lineRule="auto"/>
        <w:ind w:firstLineChars="200" w:firstLine="480"/>
        <w:contextualSpacing/>
        <w:rPr>
          <w:rFonts w:ascii="Times New Roman" w:hAnsi="宋体"/>
          <w:bCs/>
          <w:sz w:val="24"/>
          <w:szCs w:val="24"/>
        </w:rPr>
      </w:pPr>
      <w:r w:rsidRPr="00404F1D">
        <w:rPr>
          <w:rFonts w:ascii="Times New Roman" w:hAnsi="宋体" w:hint="eastAsia"/>
          <w:bCs/>
          <w:sz w:val="24"/>
          <w:szCs w:val="24"/>
        </w:rPr>
        <w:t>本基金实施侧袋机制的，基金管理人和基金托管人应对主袋账户资产进行估值</w:t>
      </w:r>
      <w:r w:rsidRPr="00404F1D">
        <w:rPr>
          <w:rFonts w:ascii="Times New Roman" w:hAnsi="宋体" w:hint="eastAsia"/>
          <w:bCs/>
          <w:sz w:val="24"/>
          <w:szCs w:val="24"/>
        </w:rPr>
        <w:lastRenderedPageBreak/>
        <w:t>并披露主袋账户的基金净值信息，暂停披露侧袋账户份额净值。侧袋账户的会计核算应符合《企业会计准则》的相关要求。</w:t>
      </w:r>
    </w:p>
    <w:p w14:paraId="59525495" w14:textId="77777777" w:rsidR="00404F1D" w:rsidRPr="00404F1D" w:rsidRDefault="00404F1D" w:rsidP="00404F1D">
      <w:pPr>
        <w:adjustRightInd w:val="0"/>
        <w:snapToGrid w:val="0"/>
        <w:spacing w:line="360" w:lineRule="auto"/>
        <w:ind w:firstLineChars="200" w:firstLine="482"/>
        <w:contextualSpacing/>
        <w:rPr>
          <w:rFonts w:ascii="Times New Roman" w:hAnsi="宋体"/>
          <w:b/>
          <w:bCs/>
          <w:sz w:val="24"/>
          <w:szCs w:val="24"/>
        </w:rPr>
      </w:pPr>
      <w:r w:rsidRPr="00404F1D">
        <w:rPr>
          <w:rFonts w:ascii="Times New Roman" w:hAnsi="宋体" w:hint="eastAsia"/>
          <w:b/>
          <w:bCs/>
          <w:sz w:val="24"/>
          <w:szCs w:val="24"/>
        </w:rPr>
        <w:t>（五）实施侧袋账户期间的基金费用</w:t>
      </w:r>
    </w:p>
    <w:p w14:paraId="4683C8AC" w14:textId="32AD4667" w:rsidR="00404F1D" w:rsidRPr="00404F1D" w:rsidRDefault="00404F1D" w:rsidP="00404F1D">
      <w:pPr>
        <w:adjustRightInd w:val="0"/>
        <w:snapToGrid w:val="0"/>
        <w:spacing w:line="360" w:lineRule="auto"/>
        <w:ind w:firstLineChars="200" w:firstLine="480"/>
        <w:contextualSpacing/>
        <w:rPr>
          <w:rFonts w:ascii="Times New Roman" w:hAnsi="宋体"/>
          <w:bCs/>
          <w:sz w:val="24"/>
          <w:szCs w:val="24"/>
        </w:rPr>
      </w:pPr>
      <w:r w:rsidRPr="00404F1D">
        <w:rPr>
          <w:rFonts w:ascii="Times New Roman" w:hAnsi="宋体" w:hint="eastAsia"/>
          <w:bCs/>
          <w:sz w:val="24"/>
          <w:szCs w:val="24"/>
        </w:rPr>
        <w:t>1</w:t>
      </w:r>
      <w:r w:rsidRPr="00404F1D">
        <w:rPr>
          <w:rFonts w:ascii="Times New Roman" w:hAnsi="宋体" w:hint="eastAsia"/>
          <w:bCs/>
          <w:sz w:val="24"/>
          <w:szCs w:val="24"/>
        </w:rPr>
        <w:t>、本基金实施侧袋机制的，管理费和托管费</w:t>
      </w:r>
      <w:r w:rsidR="004832C3">
        <w:rPr>
          <w:rFonts w:ascii="Times New Roman" w:hAnsi="宋体" w:hint="eastAsia"/>
          <w:bCs/>
          <w:sz w:val="24"/>
          <w:szCs w:val="24"/>
        </w:rPr>
        <w:t>等</w:t>
      </w:r>
      <w:r w:rsidRPr="00404F1D">
        <w:rPr>
          <w:rFonts w:ascii="Times New Roman" w:hAnsi="宋体" w:hint="eastAsia"/>
          <w:bCs/>
          <w:sz w:val="24"/>
          <w:szCs w:val="24"/>
        </w:rPr>
        <w:t>按主袋账户基金资产净值作为基数计提。</w:t>
      </w:r>
    </w:p>
    <w:p w14:paraId="48B64194" w14:textId="77777777" w:rsidR="00404F1D" w:rsidRPr="00404F1D" w:rsidRDefault="00404F1D" w:rsidP="00404F1D">
      <w:pPr>
        <w:adjustRightInd w:val="0"/>
        <w:snapToGrid w:val="0"/>
        <w:spacing w:line="360" w:lineRule="auto"/>
        <w:ind w:firstLineChars="200" w:firstLine="480"/>
        <w:contextualSpacing/>
        <w:rPr>
          <w:rFonts w:ascii="Times New Roman" w:hAnsi="宋体"/>
          <w:bCs/>
          <w:sz w:val="24"/>
          <w:szCs w:val="24"/>
        </w:rPr>
      </w:pPr>
      <w:r w:rsidRPr="00404F1D">
        <w:rPr>
          <w:rFonts w:ascii="Times New Roman" w:hAnsi="宋体"/>
          <w:bCs/>
          <w:sz w:val="24"/>
          <w:szCs w:val="24"/>
        </w:rPr>
        <w:t>2</w:t>
      </w:r>
      <w:r w:rsidRPr="00404F1D">
        <w:rPr>
          <w:rFonts w:ascii="Times New Roman" w:hAnsi="宋体" w:hint="eastAsia"/>
          <w:bCs/>
          <w:sz w:val="24"/>
          <w:szCs w:val="24"/>
        </w:rPr>
        <w:t>、与侧袋账户有关的费用可从侧袋账户中列支，但应待侧袋账户资产变现后方可列支，有关费用可酌情收取或减免，但不得收取管理费。</w:t>
      </w:r>
    </w:p>
    <w:p w14:paraId="12FEB577" w14:textId="77777777" w:rsidR="00404F1D" w:rsidRPr="00404F1D" w:rsidRDefault="00404F1D" w:rsidP="00404F1D">
      <w:pPr>
        <w:adjustRightInd w:val="0"/>
        <w:snapToGrid w:val="0"/>
        <w:spacing w:line="360" w:lineRule="auto"/>
        <w:ind w:firstLineChars="200" w:firstLine="482"/>
        <w:contextualSpacing/>
        <w:rPr>
          <w:rFonts w:ascii="Times New Roman" w:hAnsi="宋体"/>
          <w:b/>
          <w:bCs/>
          <w:sz w:val="24"/>
          <w:szCs w:val="24"/>
        </w:rPr>
      </w:pPr>
      <w:r w:rsidRPr="00404F1D">
        <w:rPr>
          <w:rFonts w:ascii="Times New Roman" w:hAnsi="宋体" w:hint="eastAsia"/>
          <w:b/>
          <w:bCs/>
          <w:sz w:val="24"/>
          <w:szCs w:val="24"/>
        </w:rPr>
        <w:t>（六）侧袋账户中特定资产的处置变现和支付</w:t>
      </w:r>
    </w:p>
    <w:p w14:paraId="508462E2" w14:textId="77777777" w:rsidR="00404F1D" w:rsidRPr="00404F1D" w:rsidRDefault="00404F1D" w:rsidP="00404F1D">
      <w:pPr>
        <w:adjustRightInd w:val="0"/>
        <w:snapToGrid w:val="0"/>
        <w:spacing w:line="360" w:lineRule="auto"/>
        <w:ind w:firstLineChars="200" w:firstLine="480"/>
        <w:contextualSpacing/>
        <w:rPr>
          <w:rFonts w:ascii="Times New Roman" w:hAnsi="宋体"/>
          <w:bCs/>
          <w:sz w:val="24"/>
          <w:szCs w:val="24"/>
        </w:rPr>
      </w:pPr>
      <w:r w:rsidRPr="00404F1D">
        <w:rPr>
          <w:rFonts w:ascii="Times New Roman" w:hAnsi="宋体" w:hint="eastAsia"/>
          <w:bCs/>
          <w:sz w:val="24"/>
          <w:szCs w:val="24"/>
        </w:rPr>
        <w:t>特定资产以可出售、可转让、恢复交易等方式恢复流动性后，基金管理人应当按照基金份额持有人利益最大化原则，采取将特定资产予以处置变现等方式，及时向侧袋账户份额持有人支付对应变现款项。</w:t>
      </w:r>
    </w:p>
    <w:p w14:paraId="01D24AFA" w14:textId="77777777" w:rsidR="00404F1D" w:rsidRPr="00404F1D" w:rsidRDefault="00404F1D" w:rsidP="00404F1D">
      <w:pPr>
        <w:adjustRightInd w:val="0"/>
        <w:snapToGrid w:val="0"/>
        <w:spacing w:line="360" w:lineRule="auto"/>
        <w:ind w:firstLineChars="200" w:firstLine="480"/>
        <w:contextualSpacing/>
        <w:rPr>
          <w:rFonts w:ascii="Times New Roman" w:hAnsi="宋体"/>
          <w:bCs/>
          <w:sz w:val="24"/>
          <w:szCs w:val="24"/>
        </w:rPr>
      </w:pPr>
      <w:r w:rsidRPr="00404F1D">
        <w:rPr>
          <w:rFonts w:ascii="Times New Roman" w:hAnsi="宋体" w:hint="eastAsia"/>
          <w:bCs/>
          <w:sz w:val="24"/>
          <w:szCs w:val="24"/>
        </w:rPr>
        <w:t>侧袋机制实施期间，无论侧袋账户资产是否全部完成变现，基金管理人都应当及时向侧袋账户全部份额持有人支付已变现部分对应的款项。若侧袋账户资产无法一次性完成处置变现，基金管理人在每次处置变现后均应按照相关法律法规要求及时发布临时公告。</w:t>
      </w:r>
    </w:p>
    <w:p w14:paraId="7B93083F" w14:textId="77777777" w:rsidR="00404F1D" w:rsidRPr="00404F1D" w:rsidRDefault="00404F1D" w:rsidP="00404F1D">
      <w:pPr>
        <w:adjustRightInd w:val="0"/>
        <w:snapToGrid w:val="0"/>
        <w:spacing w:line="360" w:lineRule="auto"/>
        <w:ind w:firstLineChars="200" w:firstLine="480"/>
        <w:contextualSpacing/>
        <w:rPr>
          <w:rFonts w:ascii="Times New Roman" w:hAnsi="宋体"/>
          <w:bCs/>
          <w:sz w:val="24"/>
          <w:szCs w:val="24"/>
        </w:rPr>
      </w:pPr>
      <w:r w:rsidRPr="00404F1D">
        <w:rPr>
          <w:rFonts w:ascii="Times New Roman" w:hAnsi="宋体" w:hint="eastAsia"/>
          <w:bCs/>
          <w:sz w:val="24"/>
          <w:szCs w:val="24"/>
        </w:rPr>
        <w:t>侧袋账户资产全部完成变现并终止侧袋机制后，基金管理人应及时聘请符合《中华人民共和国证券法》规定的会计师事务所进行审计并披露专项审计意见。</w:t>
      </w:r>
    </w:p>
    <w:p w14:paraId="52B05844" w14:textId="77777777" w:rsidR="00404F1D" w:rsidRPr="00404F1D" w:rsidRDefault="00404F1D" w:rsidP="00404F1D">
      <w:pPr>
        <w:adjustRightInd w:val="0"/>
        <w:snapToGrid w:val="0"/>
        <w:spacing w:line="360" w:lineRule="auto"/>
        <w:ind w:firstLineChars="200" w:firstLine="482"/>
        <w:contextualSpacing/>
        <w:rPr>
          <w:rFonts w:ascii="Times New Roman" w:hAnsi="宋体"/>
          <w:b/>
          <w:bCs/>
          <w:sz w:val="24"/>
          <w:szCs w:val="24"/>
        </w:rPr>
      </w:pPr>
      <w:r w:rsidRPr="00404F1D">
        <w:rPr>
          <w:rFonts w:ascii="Times New Roman" w:hAnsi="宋体" w:hint="eastAsia"/>
          <w:b/>
          <w:bCs/>
          <w:sz w:val="24"/>
          <w:szCs w:val="24"/>
        </w:rPr>
        <w:t>（七）侧袋机制的信息披露</w:t>
      </w:r>
    </w:p>
    <w:p w14:paraId="52371187" w14:textId="77777777" w:rsidR="00404F1D" w:rsidRPr="00404F1D" w:rsidRDefault="00404F1D" w:rsidP="00404F1D">
      <w:pPr>
        <w:adjustRightInd w:val="0"/>
        <w:snapToGrid w:val="0"/>
        <w:spacing w:line="360" w:lineRule="auto"/>
        <w:ind w:firstLineChars="200" w:firstLine="480"/>
        <w:contextualSpacing/>
        <w:rPr>
          <w:rFonts w:ascii="Times New Roman" w:hAnsi="宋体"/>
          <w:bCs/>
          <w:sz w:val="24"/>
          <w:szCs w:val="24"/>
        </w:rPr>
      </w:pPr>
      <w:r w:rsidRPr="00404F1D">
        <w:rPr>
          <w:rFonts w:ascii="Times New Roman" w:hAnsi="宋体" w:hint="eastAsia"/>
          <w:bCs/>
          <w:sz w:val="24"/>
          <w:szCs w:val="24"/>
        </w:rPr>
        <w:t>1</w:t>
      </w:r>
      <w:r w:rsidRPr="00404F1D">
        <w:rPr>
          <w:rFonts w:ascii="Times New Roman" w:hAnsi="宋体" w:hint="eastAsia"/>
          <w:bCs/>
          <w:sz w:val="24"/>
          <w:szCs w:val="24"/>
        </w:rPr>
        <w:t>、临时公告</w:t>
      </w:r>
    </w:p>
    <w:p w14:paraId="25A8464E" w14:textId="77777777" w:rsidR="00404F1D" w:rsidRPr="00404F1D" w:rsidRDefault="00404F1D" w:rsidP="00404F1D">
      <w:pPr>
        <w:adjustRightInd w:val="0"/>
        <w:snapToGrid w:val="0"/>
        <w:spacing w:line="360" w:lineRule="auto"/>
        <w:ind w:firstLineChars="200" w:firstLine="480"/>
        <w:contextualSpacing/>
        <w:rPr>
          <w:rFonts w:ascii="Times New Roman" w:hAnsi="宋体"/>
          <w:bCs/>
          <w:sz w:val="24"/>
          <w:szCs w:val="24"/>
        </w:rPr>
      </w:pPr>
      <w:r w:rsidRPr="00404F1D">
        <w:rPr>
          <w:rFonts w:ascii="Times New Roman" w:hAnsi="宋体" w:hint="eastAsia"/>
          <w:bCs/>
          <w:sz w:val="24"/>
          <w:szCs w:val="24"/>
        </w:rPr>
        <w:t>在启用侧袋机制、处置特定资产、终止侧袋机制以及发生其他可能对投资者利益产生重大影响的事项后基金管理人应及时发布临时公告。</w:t>
      </w:r>
    </w:p>
    <w:p w14:paraId="439DE525" w14:textId="77777777" w:rsidR="00404F1D" w:rsidRPr="00404F1D" w:rsidRDefault="00404F1D" w:rsidP="00404F1D">
      <w:pPr>
        <w:adjustRightInd w:val="0"/>
        <w:snapToGrid w:val="0"/>
        <w:spacing w:line="360" w:lineRule="auto"/>
        <w:ind w:firstLineChars="200" w:firstLine="480"/>
        <w:contextualSpacing/>
        <w:rPr>
          <w:rFonts w:ascii="Times New Roman" w:hAnsi="宋体"/>
          <w:bCs/>
          <w:sz w:val="24"/>
          <w:szCs w:val="24"/>
        </w:rPr>
      </w:pPr>
      <w:r w:rsidRPr="00404F1D">
        <w:rPr>
          <w:rFonts w:ascii="Times New Roman" w:hAnsi="宋体" w:hint="eastAsia"/>
          <w:bCs/>
          <w:sz w:val="24"/>
          <w:szCs w:val="24"/>
        </w:rPr>
        <w:t>2</w:t>
      </w:r>
      <w:r w:rsidRPr="00404F1D">
        <w:rPr>
          <w:rFonts w:ascii="Times New Roman" w:hAnsi="宋体" w:hint="eastAsia"/>
          <w:bCs/>
          <w:sz w:val="24"/>
          <w:szCs w:val="24"/>
        </w:rPr>
        <w:t>、基金净值信息</w:t>
      </w:r>
    </w:p>
    <w:p w14:paraId="1B6C88DF" w14:textId="77777777" w:rsidR="00404F1D" w:rsidRPr="00404F1D" w:rsidRDefault="00404F1D" w:rsidP="00404F1D">
      <w:pPr>
        <w:adjustRightInd w:val="0"/>
        <w:snapToGrid w:val="0"/>
        <w:spacing w:line="360" w:lineRule="auto"/>
        <w:ind w:firstLineChars="200" w:firstLine="480"/>
        <w:contextualSpacing/>
        <w:rPr>
          <w:rFonts w:ascii="Times New Roman" w:hAnsi="宋体"/>
          <w:bCs/>
          <w:sz w:val="24"/>
          <w:szCs w:val="24"/>
        </w:rPr>
      </w:pPr>
      <w:r w:rsidRPr="00404F1D">
        <w:rPr>
          <w:rFonts w:ascii="Times New Roman" w:hAnsi="宋体" w:hint="eastAsia"/>
          <w:bCs/>
          <w:sz w:val="24"/>
          <w:szCs w:val="24"/>
        </w:rPr>
        <w:t>基金管理人应按照招募说明书“基金的信息披露”部分规定的基金净值信息披露方式和频率披露主袋账户份额的基金净值信息。实施侧袋机制期间本基金暂停披露侧袋账户份额净值和累计净值。</w:t>
      </w:r>
    </w:p>
    <w:p w14:paraId="2DCB90FB" w14:textId="77777777" w:rsidR="00404F1D" w:rsidRPr="00404F1D" w:rsidRDefault="00404F1D" w:rsidP="00404F1D">
      <w:pPr>
        <w:adjustRightInd w:val="0"/>
        <w:snapToGrid w:val="0"/>
        <w:spacing w:line="360" w:lineRule="auto"/>
        <w:ind w:firstLineChars="200" w:firstLine="480"/>
        <w:contextualSpacing/>
        <w:rPr>
          <w:rFonts w:ascii="Times New Roman" w:hAnsi="宋体"/>
          <w:bCs/>
          <w:sz w:val="24"/>
          <w:szCs w:val="24"/>
        </w:rPr>
      </w:pPr>
      <w:r w:rsidRPr="00404F1D">
        <w:rPr>
          <w:rFonts w:ascii="Times New Roman" w:hAnsi="宋体" w:hint="eastAsia"/>
          <w:bCs/>
          <w:sz w:val="24"/>
          <w:szCs w:val="24"/>
        </w:rPr>
        <w:t>3</w:t>
      </w:r>
      <w:r w:rsidRPr="00404F1D">
        <w:rPr>
          <w:rFonts w:ascii="Times New Roman" w:hAnsi="宋体" w:hint="eastAsia"/>
          <w:bCs/>
          <w:sz w:val="24"/>
          <w:szCs w:val="24"/>
        </w:rPr>
        <w:t>、定期报告</w:t>
      </w:r>
    </w:p>
    <w:p w14:paraId="0A5414DB" w14:textId="5AD77633" w:rsidR="00404F1D" w:rsidRPr="00F82365" w:rsidRDefault="00404F1D" w:rsidP="00F82365">
      <w:pPr>
        <w:adjustRightInd w:val="0"/>
        <w:snapToGrid w:val="0"/>
        <w:spacing w:line="360" w:lineRule="auto"/>
        <w:ind w:firstLineChars="200" w:firstLine="480"/>
        <w:contextualSpacing/>
        <w:rPr>
          <w:rFonts w:ascii="Times New Roman" w:hAnsi="宋体"/>
          <w:bCs/>
          <w:sz w:val="24"/>
          <w:szCs w:val="24"/>
        </w:rPr>
      </w:pPr>
      <w:r w:rsidRPr="00404F1D">
        <w:rPr>
          <w:rFonts w:ascii="Times New Roman" w:hAnsi="宋体" w:hint="eastAsia"/>
          <w:bCs/>
          <w:sz w:val="24"/>
          <w:szCs w:val="24"/>
        </w:rPr>
        <w:t>侧袋机制实施期间，基金管理人应当在基金定期报告中披露报告期内侧袋账户相关信息，基金定期报告中的基金会计报表仅需针对主袋账户进行编制。</w:t>
      </w:r>
      <w:bookmarkStart w:id="26" w:name="_Hlk45747214"/>
      <w:r w:rsidRPr="00404F1D">
        <w:rPr>
          <w:rFonts w:ascii="Times New Roman" w:hAnsi="宋体" w:hint="eastAsia"/>
          <w:bCs/>
          <w:sz w:val="24"/>
          <w:szCs w:val="24"/>
        </w:rPr>
        <w:t>会计师事务所对基金年度报告进行审计时，应对报告期内基金侧袋机制运行相关的会计核算和年度报告披露等发表审计意见。</w:t>
      </w:r>
      <w:bookmarkEnd w:id="26"/>
    </w:p>
    <w:p w14:paraId="71E95303" w14:textId="3C555697" w:rsidR="00FB4D29" w:rsidRDefault="00AF2A34">
      <w:pPr>
        <w:pStyle w:val="1"/>
        <w:snapToGrid w:val="0"/>
        <w:spacing w:beforeLines="0" w:before="240" w:after="240"/>
        <w:rPr>
          <w:rFonts w:ascii="宋体" w:hAnsi="宋体"/>
          <w:szCs w:val="30"/>
        </w:rPr>
      </w:pPr>
      <w:r>
        <w:rPr>
          <w:rFonts w:ascii="Times New Roman" w:hAnsi="Times New Roman"/>
          <w:sz w:val="30"/>
        </w:rPr>
        <w:br w:type="page"/>
      </w:r>
      <w:bookmarkStart w:id="27" w:name="_Toc107476038"/>
      <w:r w:rsidR="00404F1D">
        <w:rPr>
          <w:rFonts w:ascii="Times New Roman" w:hAnsi="Times New Roman" w:hint="eastAsia"/>
          <w:sz w:val="30"/>
        </w:rPr>
        <w:lastRenderedPageBreak/>
        <w:t>十九、</w:t>
      </w:r>
      <w:r w:rsidR="00CF4592">
        <w:rPr>
          <w:rFonts w:ascii="Times New Roman" w:hAnsi="Times New Roman"/>
          <w:sz w:val="30"/>
        </w:rPr>
        <w:t>风险揭示</w:t>
      </w:r>
      <w:bookmarkEnd w:id="27"/>
    </w:p>
    <w:p w14:paraId="1F228324"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证券投资基金（以下简称“基金”）是一种长期投资工具，其主要功能是分散投资，降低投资单一证券所带来的个别风险。基金不同于银行储蓄和债券等能够提供固定收益预期的金融工具，投资人购买基金，既可能按其持有份额分享基金投资所产生的收益，也可能承担基金投资所带来的损失。</w:t>
      </w:r>
    </w:p>
    <w:p w14:paraId="0A0DC908"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在投资运作过程中可能面临各种风险，既包括市场风险，也包括基金自身的管理风险、技术风险和合规风险等。巨额赎回风险是开放式基金所特有的一种风险，即当单个开放日基金的净赎回申请（赎回申请份额总数加上基金转换中转出申请份额总数后扣除申购申请份额总数及基金转换中转入申请份额总数后的余额）超过上一开放日基金总份额的百分之十时，投资人将可能无法及时赎回持有的全部基金份额。</w:t>
      </w:r>
    </w:p>
    <w:p w14:paraId="4DE60049"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分为股票型基金、混合型基金、债券型基金、货币市场基金等不同类型，投资人投资不同类型的基金将获得不同的收益预期，也将承担不同程度的风险。一般来说，基金的收益预期越高，投资人承担的风险也越大。</w:t>
      </w:r>
    </w:p>
    <w:p w14:paraId="0BA5DC32"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应当认真阅读《基金合同》、《招募说明书》、基金产品资料概要等基金法律文件，了解基金的风险收益特征，并根据自身的投资目的、投资期限、投资经验、资产状况等判断基金是否和投资人的风险承受能力相适应。</w:t>
      </w:r>
    </w:p>
    <w:p w14:paraId="74FD1E50"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w:t>
      </w:r>
    </w:p>
    <w:p w14:paraId="2D80CD16"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因拆分、封转开、分红等行为导致基金份额净值变化，不会改变基金的风险收益特征，不会降低基金投资风险或提高基金投资收益。以1元初始面值开展基金募集或因拆分、封转开、分红等行为导致基金份额净值调整至1元初始面值或1元附近，在市场波动等因素的影响下，基金投资仍有可能出现亏损或基金净值仍有可能低于初始面值。</w:t>
      </w:r>
    </w:p>
    <w:p w14:paraId="41489FBB"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承诺以诚实信用、勤勉尽责的原则管理和运用基金资产，但不保证本基金一定盈利，也不保证最低收益。基金管理人管理的其他基金的业绩不构成对本基金业绩表现的保证。基金管理人提醒投资人基金投资的“买者自负”原则，在</w:t>
      </w:r>
      <w:r>
        <w:rPr>
          <w:rFonts w:ascii="宋体" w:hAnsi="宋体"/>
          <w:sz w:val="24"/>
        </w:rPr>
        <w:lastRenderedPageBreak/>
        <w:t>做出投资决策后，基金运营状况与基金净值变化引致的投资风险，由投资人自行负担。</w:t>
      </w:r>
    </w:p>
    <w:p w14:paraId="1A24A180"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基金份额持有人须了解并承受以下风险：</w:t>
      </w:r>
    </w:p>
    <w:p w14:paraId="0A5479CE" w14:textId="77777777" w:rsidR="00FB4D29" w:rsidRDefault="00CF4592">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（一）市场风险</w:t>
      </w:r>
    </w:p>
    <w:p w14:paraId="65D18031"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证券市场价格因受到经济因素、政治因素、投资心理和交易制度等各种因素的影响而引起的波动，将对基金收益水平产生潜在风险，主要包括：</w:t>
      </w:r>
    </w:p>
    <w:p w14:paraId="312FC606"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1、政策风险。因国家宏观政策（如货币政策、财政政策、行业政策、地区发展政策等）和证券市场监管政策发生变化，导致市场价格波动而产生风险。</w:t>
      </w:r>
    </w:p>
    <w:p w14:paraId="10CC8F14"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2、经济周期风险。证券市场受宏观经济运行的影响，而经济运行具有周期性的特点，宏观经济运行状况将对证券市场的收益水平产生影响，从而对基金收益造成影响。</w:t>
      </w:r>
    </w:p>
    <w:p w14:paraId="12999CE7"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利率风险。金融市场利率的波动会导致证券市场价格和收益率的变动。利率直接影响着债券的价格和收益率，影响着企业的融资成本和利润。基金投资于债券和债券回购，其收益水平会受到利率变化和货币市场供求状况的影响。</w:t>
      </w:r>
    </w:p>
    <w:p w14:paraId="2A250AF5"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上市公司经营风险。上市公司的经营状况受多种因素影响，如管理能力、财务状况、市场前景、行业竞争、人员素质等，这些都会导致企业的盈利发生变化。如果基金所投资的上市公司经营不善，其股票价格可能下跌，或者能够用于分配的利润减少，使基金投资收益下降。虽然基金可以通过投资多样化来分散这种非系统风险，但不能完全规避。</w:t>
      </w:r>
    </w:p>
    <w:p w14:paraId="6A2225F4"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5、购买力风险。基金投资的目的是基金资产的保值增值，如果发生通货膨胀，基金投资于证券所获得的收益可能会被通货膨胀抵消，从而使基金的实际收益下降，影响基金资产的保值增值。</w:t>
      </w:r>
    </w:p>
    <w:p w14:paraId="3B16F063" w14:textId="77777777" w:rsidR="00FB4D29" w:rsidRDefault="00CF4592">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（二）管理风险</w:t>
      </w:r>
    </w:p>
    <w:p w14:paraId="7A10CB45"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基金管理运作过程中基金管理人的知识、经验、判断、决策、技能等，会影响其对信息的占有和对经济形势、证券价格走势的判断，从而影响基金收益水平。因此，本基金的收益水平与基金管理人的管理水平、管理手段和管理技术等相关性较大，本基金可能因为基金管理人的因素而影响基金收益水平。</w:t>
      </w:r>
    </w:p>
    <w:p w14:paraId="715316F1" w14:textId="77777777" w:rsidR="00FB4D29" w:rsidRDefault="00CF4592">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（三）流动性风险</w:t>
      </w:r>
    </w:p>
    <w:p w14:paraId="1BA40594"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本基金属于开放式基金，在基金的所有开放日，基金管理人都有义务接受投资人的赎回。如果基金资产不能迅速转变成现金，或者变现为现金时使资金净值产生</w:t>
      </w:r>
      <w:r>
        <w:rPr>
          <w:rFonts w:ascii="宋体" w:hAnsi="宋体"/>
          <w:sz w:val="24"/>
        </w:rPr>
        <w:lastRenderedPageBreak/>
        <w:t>不利的影响，都会影响基金运作和收益水平。尤其是在发生巨额赎回时，如果基金资产变现能力差，可能会产生基金仓位调整的困难，导致流动性风险，可能影响基金份额净值。</w:t>
      </w:r>
    </w:p>
    <w:p w14:paraId="7E76B323"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1、本基金的申购、赎回安排</w:t>
      </w:r>
    </w:p>
    <w:p w14:paraId="2AC344A5" w14:textId="6999E319"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本基金采用开放方式运作，基金管理人在开放日办理基金份额的申购和赎回，具体办理时间为上海证券交易所、深圳证券交易所的正常交易日的交易时间</w:t>
      </w:r>
      <w:r w:rsidR="0021033E" w:rsidRPr="0021033E">
        <w:rPr>
          <w:rFonts w:ascii="宋体" w:hAnsi="宋体" w:hint="eastAsia"/>
          <w:sz w:val="24"/>
        </w:rPr>
        <w:t>（若该工作日为非港股通交易日，则本基金可不开放）</w:t>
      </w:r>
      <w:r>
        <w:rPr>
          <w:rFonts w:ascii="宋体" w:hAnsi="宋体"/>
          <w:sz w:val="24"/>
        </w:rPr>
        <w:t>，但基金管理人根据法律法规、中国证监会的要求或基金合同的规定公告暂停申购、赎回时除外。</w:t>
      </w:r>
    </w:p>
    <w:p w14:paraId="202D3C65"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2、投资市场、行业及资产的流动性风险评估</w:t>
      </w:r>
    </w:p>
    <w:p w14:paraId="0272A8FD" w14:textId="7764AB6C"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本基金的投资市场主要为证券交易所、全国银行间债券市场等流动性较好的规范型交易场所，主要投资对象为具有良好流动性的金融工具（包括国内依法发行上市的股票、</w:t>
      </w:r>
      <w:r w:rsidR="0021033E" w:rsidRPr="0021033E">
        <w:rPr>
          <w:rFonts w:ascii="宋体" w:hAnsi="宋体" w:hint="eastAsia"/>
          <w:sz w:val="24"/>
        </w:rPr>
        <w:t>港股通标的股票、</w:t>
      </w:r>
      <w:r>
        <w:rPr>
          <w:rFonts w:ascii="宋体" w:hAnsi="宋体"/>
          <w:sz w:val="24"/>
        </w:rPr>
        <w:t>债券和货币市场工具等），同时本基金基于分散投资的原则在行业和个券方面未有高集中度的特征，综合评估在正常市场环境下本基金的流动性风险适中。</w:t>
      </w:r>
    </w:p>
    <w:p w14:paraId="03C9B187"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3、巨额赎回情形下的流动性风险管理措施</w:t>
      </w:r>
    </w:p>
    <w:p w14:paraId="6BAC43B0"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若本基金单个开放日内的基金份额净赎回申请（赎回申请份额总数加上基金转换中转出申请份额总数后扣除申购申请份额总数及基金转换中转入申请份额总数后的余额）超过前一开放日的基金总份额的10%，即认为是发生了巨额赎回。</w:t>
      </w:r>
    </w:p>
    <w:p w14:paraId="4AAD97E3"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当基金出现巨额赎回时，基金管理人可以根据基金当时的资产组合状况决定全额赎回或部分延期赎回。</w:t>
      </w:r>
    </w:p>
    <w:p w14:paraId="00A8ABD2"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（1）全额赎回：当基金管理人认为有能力支付投资人的全部赎回申请时，按正常赎回程序执行。</w:t>
      </w:r>
    </w:p>
    <w:p w14:paraId="61D44E49" w14:textId="26EDF2CF"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10%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w:t>
      </w:r>
      <w:r>
        <w:rPr>
          <w:rFonts w:ascii="宋体" w:hAnsi="宋体"/>
          <w:sz w:val="24"/>
        </w:rPr>
        <w:lastRenderedPageBreak/>
        <w:t>以下一开放日的</w:t>
      </w:r>
      <w:r w:rsidR="009E30C1">
        <w:rPr>
          <w:rFonts w:ascii="宋体" w:hAnsi="宋体" w:hint="eastAsia"/>
          <w:sz w:val="24"/>
        </w:rPr>
        <w:t>该类</w:t>
      </w:r>
      <w:r>
        <w:rPr>
          <w:rFonts w:ascii="宋体" w:hAnsi="宋体"/>
          <w:sz w:val="24"/>
        </w:rPr>
        <w:t>基金份额净值为基础计算赎回金额，以此类推，直到全部赎回为止。如投资人在提交赎回申请时未作明确选择，投资人未能赎回部分作自动延期赎回处理。</w:t>
      </w:r>
    </w:p>
    <w:p w14:paraId="28CC2CCD" w14:textId="4B9EB1FB"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发生巨额赎回且单个基金份额持有人的赎回申请超过上一日基金总份额20%的情形下，基金管理人有权采取如下措施：对于基金份额持有人当日超过20%的赎回申请，可以对其赎回申请延期办理。如基金份额持有人在当日选择取消赎回，则其当日未获受理的部分赎回申请将被撤销。</w:t>
      </w:r>
    </w:p>
    <w:p w14:paraId="3BDF7117" w14:textId="221ED149"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（3）暂停赎回：连续2个开放日以上（含本数）发生巨额赎回，如基金管理人认为有必要，可暂停接受基金的赎回申请；已经接受的赎回申请可以延缓支付赎回款项，但不得超过20个工作日，并应当在</w:t>
      </w:r>
      <w:r w:rsidR="003246BF">
        <w:rPr>
          <w:rFonts w:ascii="宋体" w:hAnsi="宋体"/>
          <w:sz w:val="24"/>
        </w:rPr>
        <w:t>规定媒介</w:t>
      </w:r>
      <w:r>
        <w:rPr>
          <w:rFonts w:ascii="宋体" w:hAnsi="宋体"/>
          <w:sz w:val="24"/>
        </w:rPr>
        <w:t>上进行公告。</w:t>
      </w:r>
    </w:p>
    <w:p w14:paraId="0602572D"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4、实施备用的流动性风险管理工具的情形、程序及对投资者的潜在影响</w:t>
      </w:r>
    </w:p>
    <w:p w14:paraId="22D70854"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本基金在面临大规模赎回的情况下有可能因为无法变现造成流动性风险。</w:t>
      </w:r>
    </w:p>
    <w:p w14:paraId="2E675416" w14:textId="3A3FF516" w:rsidR="00FB4D29" w:rsidRDefault="00CF4592">
      <w:pPr>
        <w:autoSpaceDE w:val="0"/>
        <w:autoSpaceDN w:val="0"/>
        <w:adjustRightInd w:val="0"/>
        <w:snapToGrid w:val="0"/>
        <w:spacing w:line="360" w:lineRule="auto"/>
        <w:ind w:firstLineChars="200" w:firstLine="480"/>
        <w:jc w:val="left"/>
        <w:rPr>
          <w:rFonts w:ascii="宋体" w:hAnsi="宋体"/>
          <w:sz w:val="24"/>
        </w:rPr>
      </w:pPr>
      <w:r>
        <w:rPr>
          <w:rFonts w:ascii="宋体" w:hAnsi="宋体"/>
          <w:sz w:val="24"/>
        </w:rPr>
        <w:t>如果出现流动性风险，基金管理人经与基金托管人协商，在确保投资者得到公平对待的前提下，可实施备用的流动性风险管理工具，包括但不限于</w:t>
      </w:r>
      <w:r w:rsidR="00C15BA7">
        <w:rPr>
          <w:rFonts w:ascii="宋体" w:hAnsi="宋体"/>
          <w:sz w:val="24"/>
        </w:rPr>
        <w:t>延期办理巨额赎回申请、</w:t>
      </w:r>
      <w:r>
        <w:rPr>
          <w:rFonts w:ascii="宋体" w:hAnsi="宋体"/>
          <w:sz w:val="24"/>
        </w:rPr>
        <w:t>暂停接受赎回申请、延缓支付赎回款项、收取短期赎回费、摆动定价、暂停基金估值</w:t>
      </w:r>
      <w:r w:rsidR="001907A7" w:rsidRPr="001907A7">
        <w:rPr>
          <w:rFonts w:ascii="宋体" w:hAnsi="宋体" w:hint="eastAsia"/>
          <w:sz w:val="24"/>
        </w:rPr>
        <w:t>、实施侧袋机制</w:t>
      </w:r>
      <w:r>
        <w:rPr>
          <w:rFonts w:ascii="宋体" w:hAnsi="宋体"/>
          <w:sz w:val="24"/>
        </w:rPr>
        <w:t>等，作为特定情形下基金管理人流动性风险管理的辅助措施，同时基金管理人应时刻防范可能产生的流动性风险，对流动性风险进行日常监控，保护持有人的利益。当实施备用的流动性风险管理工具时，有可能无法按合同约定的时限支付赎回款项。</w:t>
      </w:r>
    </w:p>
    <w:p w14:paraId="2BDAEF52" w14:textId="77777777" w:rsidR="001907A7" w:rsidRPr="00F82365" w:rsidRDefault="001907A7" w:rsidP="001907A7">
      <w:pPr>
        <w:autoSpaceDE w:val="0"/>
        <w:autoSpaceDN w:val="0"/>
        <w:adjustRightInd w:val="0"/>
        <w:snapToGrid w:val="0"/>
        <w:spacing w:line="360" w:lineRule="auto"/>
        <w:ind w:firstLineChars="200" w:firstLine="480"/>
        <w:jc w:val="left"/>
        <w:rPr>
          <w:rFonts w:ascii="宋体" w:hAnsi="宋体"/>
          <w:sz w:val="24"/>
        </w:rPr>
      </w:pPr>
      <w:r w:rsidRPr="00F82365">
        <w:rPr>
          <w:rFonts w:ascii="宋体" w:hAnsi="宋体" w:hint="eastAsia"/>
          <w:sz w:val="24"/>
        </w:rPr>
        <w:t>侧袋机制是一种流动性风险管理工具，是将特定资产分离至专门的侧袋账户进行处置清算，并以处置变现后的款项向基金份额持有人进行支付，目的在于有效隔离并化解风险。但基金启用侧袋机制后，侧袋账户份额将停止披露基金份额净值，并不得办理申购、赎回和转换，因此启用侧袋机制时持有基金份额的持有人将在启用侧袋机制后同时持有主袋账户份额和侧袋账户份额，侧袋账户份额不能赎回，其对应特定资产的变现时间具有不确定性，最终变现价格也具有不确定性并且有可能大幅低于启用侧袋机制时的特定资产的估值，基金份额持有人可能因此面临损失。</w:t>
      </w:r>
    </w:p>
    <w:p w14:paraId="091BE82C" w14:textId="77777777" w:rsidR="001907A7" w:rsidRPr="00F82365" w:rsidRDefault="001907A7" w:rsidP="001907A7">
      <w:pPr>
        <w:autoSpaceDE w:val="0"/>
        <w:autoSpaceDN w:val="0"/>
        <w:adjustRightInd w:val="0"/>
        <w:snapToGrid w:val="0"/>
        <w:spacing w:line="360" w:lineRule="auto"/>
        <w:ind w:firstLineChars="200" w:firstLine="480"/>
        <w:jc w:val="left"/>
        <w:rPr>
          <w:rFonts w:ascii="宋体" w:hAnsi="宋体"/>
          <w:sz w:val="24"/>
        </w:rPr>
      </w:pPr>
      <w:r w:rsidRPr="00F82365">
        <w:rPr>
          <w:rFonts w:ascii="宋体" w:hAnsi="宋体" w:hint="eastAsia"/>
          <w:sz w:val="24"/>
        </w:rPr>
        <w:t>实施侧袋机制期间，因本基金不披露侧袋账户份额的净值，即便基金管理人在基金定期报告中披露报告期末特定资产可变现净值或净值区间的，也不作为特定资产最终变现价格的承诺，因此对于特定资产的公允价值和最终变现价格，基金管理人不承担任何保证和承诺的责任。</w:t>
      </w:r>
    </w:p>
    <w:p w14:paraId="0EA68920" w14:textId="77777777" w:rsidR="001907A7" w:rsidRPr="00F82365" w:rsidRDefault="001907A7" w:rsidP="001907A7">
      <w:pPr>
        <w:autoSpaceDE w:val="0"/>
        <w:autoSpaceDN w:val="0"/>
        <w:adjustRightInd w:val="0"/>
        <w:snapToGrid w:val="0"/>
        <w:spacing w:line="360" w:lineRule="auto"/>
        <w:ind w:firstLineChars="200" w:firstLine="480"/>
        <w:jc w:val="left"/>
        <w:rPr>
          <w:rFonts w:ascii="宋体" w:hAnsi="宋体"/>
          <w:sz w:val="24"/>
        </w:rPr>
      </w:pPr>
      <w:r w:rsidRPr="00F82365">
        <w:rPr>
          <w:rFonts w:ascii="宋体" w:hAnsi="宋体" w:hint="eastAsia"/>
          <w:sz w:val="24"/>
        </w:rPr>
        <w:lastRenderedPageBreak/>
        <w:t>基金管理人将根据主袋账户运作情况合理确定申购政策，因此实施侧袋机制后主袋账户份额存在暂停申购的可能。</w:t>
      </w:r>
    </w:p>
    <w:p w14:paraId="1C3DC6E8" w14:textId="25E73963" w:rsidR="001907A7" w:rsidRPr="00F82365" w:rsidRDefault="001907A7" w:rsidP="001907A7">
      <w:pPr>
        <w:autoSpaceDE w:val="0"/>
        <w:autoSpaceDN w:val="0"/>
        <w:adjustRightInd w:val="0"/>
        <w:snapToGrid w:val="0"/>
        <w:spacing w:line="360" w:lineRule="auto"/>
        <w:ind w:firstLineChars="200" w:firstLine="480"/>
        <w:jc w:val="left"/>
        <w:rPr>
          <w:rFonts w:ascii="宋体" w:hAnsi="宋体"/>
          <w:sz w:val="24"/>
        </w:rPr>
      </w:pPr>
      <w:r w:rsidRPr="00F82365">
        <w:rPr>
          <w:rFonts w:ascii="宋体" w:hAnsi="宋体" w:hint="eastAsia"/>
          <w:sz w:val="24"/>
        </w:rPr>
        <w:t>启用侧袋机制后，基金管理人计算各项投资运作指标和基金业绩指标时仅需考虑主袋账户资产，基金业绩指标应当以主袋账户资产为基准，因此本基金披露的业绩指标不能反映特定资产的真实价值及变化情况。</w:t>
      </w:r>
    </w:p>
    <w:p w14:paraId="4D11941A" w14:textId="77777777" w:rsidR="00FB4D29" w:rsidRDefault="00CF4592">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（四）信用风险</w:t>
      </w:r>
    </w:p>
    <w:p w14:paraId="366B878E"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基金在交易过程中发生交收违约，或者基金所投资债券之发行人出现违约、拒绝支付到期本息，都可能导致基金资产损失和收益变化，从而产生风险。</w:t>
      </w:r>
    </w:p>
    <w:p w14:paraId="563C31D2" w14:textId="77777777" w:rsidR="00FB4D29" w:rsidRDefault="00CF4592">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（五）本基金投资策略所特有的风险</w:t>
      </w:r>
    </w:p>
    <w:p w14:paraId="5E5019F5"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本基金属于混合型基金，通过在股票、债券等各类资产之间进行配置来降低风险，提高收益。如果股票市场和债券市场同时出现下跌，本基金将不能完全抵御两个市场同时下跌的风险，基金净值将出现下降。此外，本基金在调整资产配置比例时，可能由于基金经理的预判与市场的实际表现存在较大差异，出现资产配置不合理的风险，从而对基金收益造成不利影响。</w:t>
      </w:r>
    </w:p>
    <w:p w14:paraId="4200AF95" w14:textId="21A204F6" w:rsidR="00FB4D29" w:rsidRDefault="00CF4592">
      <w:pPr>
        <w:autoSpaceDE w:val="0"/>
        <w:autoSpaceDN w:val="0"/>
        <w:adjustRightInd w:val="0"/>
        <w:snapToGrid w:val="0"/>
        <w:spacing w:line="360" w:lineRule="auto"/>
        <w:ind w:firstLineChars="200" w:firstLine="480"/>
        <w:jc w:val="left"/>
        <w:rPr>
          <w:rFonts w:ascii="宋体" w:hAnsi="宋体"/>
          <w:sz w:val="24"/>
        </w:rPr>
      </w:pPr>
      <w:r>
        <w:rPr>
          <w:rFonts w:ascii="宋体" w:hAnsi="宋体"/>
          <w:sz w:val="24"/>
        </w:rPr>
        <w:t>2、对宏观经济趋势、政策以及上市公司基本面研究是否准确、深入，以及对股票的优选和判断是否科学、准确将影响本基金的收益。基本面研究及上市公司分析的错误均可能导致所选择的证券不能完全符合本基金的预期目标。</w:t>
      </w:r>
    </w:p>
    <w:p w14:paraId="0E8528E3" w14:textId="77777777" w:rsidR="0017051B" w:rsidRPr="00F82365" w:rsidRDefault="0017051B" w:rsidP="0017051B">
      <w:pPr>
        <w:autoSpaceDE w:val="0"/>
        <w:autoSpaceDN w:val="0"/>
        <w:adjustRightInd w:val="0"/>
        <w:snapToGrid w:val="0"/>
        <w:spacing w:line="360" w:lineRule="auto"/>
        <w:ind w:firstLineChars="200" w:firstLine="480"/>
        <w:jc w:val="left"/>
        <w:rPr>
          <w:rFonts w:ascii="宋体" w:hAnsi="宋体"/>
          <w:sz w:val="24"/>
        </w:rPr>
      </w:pPr>
      <w:r w:rsidRPr="00F82365">
        <w:rPr>
          <w:rFonts w:ascii="宋体" w:hAnsi="宋体"/>
          <w:sz w:val="24"/>
        </w:rPr>
        <w:t>3、本基金可投资港股通标的股票，会面临港股通机制下因投资环境、投资标的、市场制度以及交易规则等差异带来的特有风险，具体如下：</w:t>
      </w:r>
    </w:p>
    <w:p w14:paraId="257E3826" w14:textId="77777777" w:rsidR="0017051B" w:rsidRPr="00F82365" w:rsidRDefault="0017051B" w:rsidP="0017051B">
      <w:pPr>
        <w:autoSpaceDE w:val="0"/>
        <w:autoSpaceDN w:val="0"/>
        <w:adjustRightInd w:val="0"/>
        <w:snapToGrid w:val="0"/>
        <w:spacing w:line="360" w:lineRule="auto"/>
        <w:ind w:firstLineChars="200" w:firstLine="480"/>
        <w:jc w:val="left"/>
        <w:rPr>
          <w:rFonts w:ascii="宋体" w:hAnsi="宋体"/>
          <w:sz w:val="24"/>
        </w:rPr>
      </w:pPr>
      <w:r w:rsidRPr="00F82365">
        <w:rPr>
          <w:rFonts w:ascii="宋体" w:hAnsi="宋体" w:hint="eastAsia"/>
          <w:sz w:val="24"/>
        </w:rPr>
        <w:t>（</w:t>
      </w:r>
      <w:r w:rsidRPr="00F82365">
        <w:rPr>
          <w:rFonts w:ascii="宋体" w:hAnsi="宋体"/>
          <w:sz w:val="24"/>
        </w:rPr>
        <w:t>1）港股交易失败风险</w:t>
      </w:r>
    </w:p>
    <w:p w14:paraId="763CDFAB" w14:textId="77777777" w:rsidR="0017051B" w:rsidRPr="00F82365" w:rsidRDefault="0017051B" w:rsidP="0017051B">
      <w:pPr>
        <w:autoSpaceDE w:val="0"/>
        <w:autoSpaceDN w:val="0"/>
        <w:adjustRightInd w:val="0"/>
        <w:snapToGrid w:val="0"/>
        <w:spacing w:line="360" w:lineRule="auto"/>
        <w:ind w:firstLineChars="200" w:firstLine="480"/>
        <w:jc w:val="left"/>
        <w:rPr>
          <w:rFonts w:ascii="宋体" w:hAnsi="宋体"/>
          <w:sz w:val="24"/>
        </w:rPr>
      </w:pPr>
      <w:r w:rsidRPr="00F82365">
        <w:rPr>
          <w:rFonts w:ascii="宋体" w:hAnsi="宋体" w:hint="eastAsia"/>
          <w:sz w:val="24"/>
        </w:rPr>
        <w:t>港股通业务目前存在每日额度。在香港联合交易所开市前阶段，当日额度使用完毕的，新增的买单申报将面临失败的风险；在香港联合交易所持续交易时段，当日额度使用完毕的，当日本基金将面临不能通过港股通进行买入交易的风险。</w:t>
      </w:r>
    </w:p>
    <w:p w14:paraId="185DA978" w14:textId="77777777" w:rsidR="0017051B" w:rsidRPr="00F82365" w:rsidRDefault="0017051B" w:rsidP="0017051B">
      <w:pPr>
        <w:autoSpaceDE w:val="0"/>
        <w:autoSpaceDN w:val="0"/>
        <w:adjustRightInd w:val="0"/>
        <w:snapToGrid w:val="0"/>
        <w:spacing w:line="360" w:lineRule="auto"/>
        <w:ind w:firstLineChars="200" w:firstLine="480"/>
        <w:jc w:val="left"/>
        <w:rPr>
          <w:rFonts w:ascii="宋体" w:hAnsi="宋体"/>
          <w:sz w:val="24"/>
        </w:rPr>
      </w:pPr>
      <w:r w:rsidRPr="00F82365">
        <w:rPr>
          <w:rFonts w:ascii="宋体" w:hAnsi="宋体" w:hint="eastAsia"/>
          <w:sz w:val="24"/>
        </w:rPr>
        <w:t>（</w:t>
      </w:r>
      <w:r w:rsidRPr="00F82365">
        <w:rPr>
          <w:rFonts w:ascii="宋体" w:hAnsi="宋体"/>
          <w:sz w:val="24"/>
        </w:rPr>
        <w:t>2）汇率风险</w:t>
      </w:r>
    </w:p>
    <w:p w14:paraId="5C3B2E4B" w14:textId="77777777" w:rsidR="0017051B" w:rsidRPr="00F82365" w:rsidRDefault="0017051B" w:rsidP="0017051B">
      <w:pPr>
        <w:autoSpaceDE w:val="0"/>
        <w:autoSpaceDN w:val="0"/>
        <w:adjustRightInd w:val="0"/>
        <w:snapToGrid w:val="0"/>
        <w:spacing w:line="360" w:lineRule="auto"/>
        <w:ind w:firstLineChars="200" w:firstLine="480"/>
        <w:jc w:val="left"/>
        <w:rPr>
          <w:rFonts w:ascii="宋体" w:hAnsi="宋体"/>
          <w:sz w:val="24"/>
        </w:rPr>
      </w:pPr>
      <w:r w:rsidRPr="00F82365">
        <w:rPr>
          <w:rFonts w:ascii="宋体" w:hAnsi="宋体" w:hint="eastAsia"/>
          <w:sz w:val="24"/>
        </w:rPr>
        <w:t>本基金将投资港股通标的股票，在交易时间内提交订单依据的港币买入参考汇率和卖出参考汇率，并不等于最终结算汇率。港股通交易日日终，中国证券登记结算有限责任公司进行净额换汇，将换汇成本按成交金额分摊至每笔交易，确定交易实际适用的结算汇率。</w:t>
      </w:r>
    </w:p>
    <w:p w14:paraId="656BDAF2" w14:textId="77777777" w:rsidR="0017051B" w:rsidRPr="00F82365" w:rsidRDefault="0017051B" w:rsidP="0017051B">
      <w:pPr>
        <w:autoSpaceDE w:val="0"/>
        <w:autoSpaceDN w:val="0"/>
        <w:adjustRightInd w:val="0"/>
        <w:snapToGrid w:val="0"/>
        <w:spacing w:line="360" w:lineRule="auto"/>
        <w:ind w:firstLineChars="200" w:firstLine="480"/>
        <w:jc w:val="left"/>
        <w:rPr>
          <w:rFonts w:ascii="宋体" w:hAnsi="宋体"/>
          <w:sz w:val="24"/>
        </w:rPr>
      </w:pPr>
      <w:r w:rsidRPr="00F82365">
        <w:rPr>
          <w:rFonts w:ascii="宋体" w:hAnsi="宋体" w:hint="eastAsia"/>
          <w:sz w:val="24"/>
        </w:rPr>
        <w:t>本基金以人民币募集和计价，港币相对于人民币的汇率变化将会影响本基金以人民币计价的基金资产价值，从而导致基金资产面临潜在风险。人民币对港币的汇</w:t>
      </w:r>
      <w:r w:rsidRPr="00F82365">
        <w:rPr>
          <w:rFonts w:ascii="宋体" w:hAnsi="宋体" w:hint="eastAsia"/>
          <w:sz w:val="24"/>
        </w:rPr>
        <w:lastRenderedPageBreak/>
        <w:t>率的波动也可能加大基金净值的波动，从而对基金业绩产生影响。故本基金投资面临汇率风险，汇率波动可能对基金的投资收益造成损失。</w:t>
      </w:r>
    </w:p>
    <w:p w14:paraId="75BB5EBC" w14:textId="77777777" w:rsidR="0017051B" w:rsidRPr="00F82365" w:rsidRDefault="0017051B" w:rsidP="0017051B">
      <w:pPr>
        <w:autoSpaceDE w:val="0"/>
        <w:autoSpaceDN w:val="0"/>
        <w:adjustRightInd w:val="0"/>
        <w:snapToGrid w:val="0"/>
        <w:spacing w:line="360" w:lineRule="auto"/>
        <w:ind w:firstLineChars="200" w:firstLine="480"/>
        <w:jc w:val="left"/>
        <w:rPr>
          <w:rFonts w:ascii="宋体" w:hAnsi="宋体"/>
          <w:sz w:val="24"/>
        </w:rPr>
      </w:pPr>
      <w:r w:rsidRPr="00F82365">
        <w:rPr>
          <w:rFonts w:ascii="宋体" w:hAnsi="宋体" w:hint="eastAsia"/>
          <w:sz w:val="24"/>
        </w:rPr>
        <w:t>（</w:t>
      </w:r>
      <w:r w:rsidRPr="00F82365">
        <w:rPr>
          <w:rFonts w:ascii="宋体" w:hAnsi="宋体"/>
          <w:sz w:val="24"/>
        </w:rPr>
        <w:t>3）境外市场的风险</w:t>
      </w:r>
    </w:p>
    <w:p w14:paraId="302E56EC" w14:textId="77777777" w:rsidR="0017051B" w:rsidRPr="00F82365" w:rsidRDefault="0017051B" w:rsidP="0017051B">
      <w:pPr>
        <w:autoSpaceDE w:val="0"/>
        <w:autoSpaceDN w:val="0"/>
        <w:adjustRightInd w:val="0"/>
        <w:snapToGrid w:val="0"/>
        <w:spacing w:line="360" w:lineRule="auto"/>
        <w:ind w:firstLineChars="200" w:firstLine="480"/>
        <w:jc w:val="left"/>
        <w:rPr>
          <w:rFonts w:ascii="宋体" w:hAnsi="宋体"/>
          <w:sz w:val="24"/>
        </w:rPr>
      </w:pPr>
      <w:r w:rsidRPr="00F82365">
        <w:rPr>
          <w:rFonts w:ascii="宋体" w:hAnsi="宋体"/>
          <w:sz w:val="24"/>
        </w:rPr>
        <w:t>1）本基金将通过港股通投资于香港市场，在市场进入、投资额度、可投资对象、税务政策等方面都有一定的限制，而且此类限制可能会不断调整，这些限制因素的变化可能对本基金进入或退出当地市场造成障碍，从而对投资收益以及正常的申购赎回产生直接或间接的影响。</w:t>
      </w:r>
    </w:p>
    <w:p w14:paraId="7CC962B0" w14:textId="77777777" w:rsidR="0017051B" w:rsidRPr="00F82365" w:rsidRDefault="0017051B" w:rsidP="0017051B">
      <w:pPr>
        <w:autoSpaceDE w:val="0"/>
        <w:autoSpaceDN w:val="0"/>
        <w:adjustRightInd w:val="0"/>
        <w:snapToGrid w:val="0"/>
        <w:spacing w:line="360" w:lineRule="auto"/>
        <w:ind w:firstLineChars="200" w:firstLine="480"/>
        <w:jc w:val="left"/>
        <w:rPr>
          <w:rFonts w:ascii="宋体" w:hAnsi="宋体"/>
          <w:sz w:val="24"/>
        </w:rPr>
      </w:pPr>
      <w:r w:rsidRPr="00F82365">
        <w:rPr>
          <w:rFonts w:ascii="宋体" w:hAnsi="宋体"/>
          <w:sz w:val="24"/>
        </w:rPr>
        <w:t xml:space="preserve">2）香港市场交易规则有别于内地A </w:t>
      </w:r>
      <w:r w:rsidRPr="00F82365">
        <w:rPr>
          <w:rFonts w:ascii="宋体" w:hAnsi="宋体" w:hint="eastAsia"/>
          <w:sz w:val="24"/>
        </w:rPr>
        <w:t>股市场规则，此外，在“内地与香港股票市场交易互联互通机制”下参与香港股票投资还将面临包括但不限于如下特殊风险：</w:t>
      </w:r>
    </w:p>
    <w:p w14:paraId="54DBFAAA" w14:textId="77777777" w:rsidR="0017051B" w:rsidRPr="00F82365" w:rsidRDefault="0017051B" w:rsidP="0017051B">
      <w:pPr>
        <w:autoSpaceDE w:val="0"/>
        <w:autoSpaceDN w:val="0"/>
        <w:adjustRightInd w:val="0"/>
        <w:snapToGrid w:val="0"/>
        <w:spacing w:line="360" w:lineRule="auto"/>
        <w:ind w:firstLineChars="200" w:firstLine="480"/>
        <w:jc w:val="left"/>
        <w:rPr>
          <w:rFonts w:ascii="宋体" w:hAnsi="宋体"/>
          <w:sz w:val="24"/>
        </w:rPr>
      </w:pPr>
      <w:r w:rsidRPr="00F82365">
        <w:rPr>
          <w:rFonts w:ascii="宋体" w:hAnsi="宋体"/>
          <w:sz w:val="24"/>
        </w:rPr>
        <w:t xml:space="preserve">a）香港市场实行T+0 </w:t>
      </w:r>
      <w:r w:rsidRPr="00F82365">
        <w:rPr>
          <w:rFonts w:ascii="宋体" w:hAnsi="宋体" w:hint="eastAsia"/>
          <w:sz w:val="24"/>
        </w:rPr>
        <w:t>回转交易机制（即当日买入的股票，在交收前可以于当日卖出），且证券交易价格并无涨跌幅上下限的规定，因此每日涨跌幅空间相对较大，可能表现出比</w:t>
      </w:r>
      <w:r w:rsidRPr="00F82365">
        <w:rPr>
          <w:rFonts w:ascii="宋体" w:hAnsi="宋体"/>
          <w:sz w:val="24"/>
        </w:rPr>
        <w:t>A股更为剧烈的股价波动；</w:t>
      </w:r>
    </w:p>
    <w:p w14:paraId="162C27FF" w14:textId="77777777" w:rsidR="0017051B" w:rsidRPr="00F82365" w:rsidRDefault="0017051B" w:rsidP="0017051B">
      <w:pPr>
        <w:autoSpaceDE w:val="0"/>
        <w:autoSpaceDN w:val="0"/>
        <w:adjustRightInd w:val="0"/>
        <w:snapToGrid w:val="0"/>
        <w:spacing w:line="360" w:lineRule="auto"/>
        <w:ind w:firstLineChars="200" w:firstLine="480"/>
        <w:jc w:val="left"/>
        <w:rPr>
          <w:rFonts w:ascii="宋体" w:hAnsi="宋体"/>
          <w:sz w:val="24"/>
        </w:rPr>
      </w:pPr>
      <w:r w:rsidRPr="00F82365">
        <w:rPr>
          <w:rFonts w:ascii="宋体" w:hAnsi="宋体"/>
          <w:sz w:val="24"/>
        </w:rPr>
        <w:t>b）只有沪港深三地均为交易日且能够满足结算安排的交易日才为港股通交易日，存在港股通交易日不连贯的情形（如内地市场因放假等原因休市而香港市场照常交易或内地市场开市香港市场休市但港股通不能如常进行交易），而导致港股不能及时卖出带来一定的流动性风险；以及基金所持的港股组合在后续港股通交易日开市交易中集中体现市场反应而造成其价格波动骤然增大，进而导致本基金所持港股组合在资产估值上出现波动增大的风险；</w:t>
      </w:r>
    </w:p>
    <w:p w14:paraId="37072C1E" w14:textId="77777777" w:rsidR="0017051B" w:rsidRPr="00F82365" w:rsidRDefault="0017051B" w:rsidP="0017051B">
      <w:pPr>
        <w:autoSpaceDE w:val="0"/>
        <w:autoSpaceDN w:val="0"/>
        <w:adjustRightInd w:val="0"/>
        <w:snapToGrid w:val="0"/>
        <w:spacing w:line="360" w:lineRule="auto"/>
        <w:ind w:firstLineChars="200" w:firstLine="480"/>
        <w:jc w:val="left"/>
        <w:rPr>
          <w:rFonts w:ascii="宋体" w:hAnsi="宋体"/>
          <w:sz w:val="24"/>
        </w:rPr>
      </w:pPr>
      <w:r w:rsidRPr="00F82365">
        <w:rPr>
          <w:rFonts w:ascii="宋体" w:hAnsi="宋体"/>
          <w:sz w:val="24"/>
        </w:rPr>
        <w:t>c）香港出现台风、黑色暴雨或者香港联合交易所规定的其他情形时，香港联合交易所将可能停市，投资者将面临在停市期间无法进行港股通交易的风险；出现上海证券交易所及深圳证券交易所证券交易服务公司认定的交易异常情况时，上海证券交易所及深圳证券交易所证券交易服务公司将可能暂停提供部分或者全部港股通服务，投资者将面临在暂停服务期间无法进行港股通交易的风险；</w:t>
      </w:r>
    </w:p>
    <w:p w14:paraId="29344381" w14:textId="77777777" w:rsidR="0017051B" w:rsidRPr="00F82365" w:rsidRDefault="0017051B" w:rsidP="0017051B">
      <w:pPr>
        <w:autoSpaceDE w:val="0"/>
        <w:autoSpaceDN w:val="0"/>
        <w:adjustRightInd w:val="0"/>
        <w:snapToGrid w:val="0"/>
        <w:spacing w:line="360" w:lineRule="auto"/>
        <w:ind w:firstLineChars="200" w:firstLine="480"/>
        <w:jc w:val="left"/>
        <w:rPr>
          <w:rFonts w:ascii="宋体" w:hAnsi="宋体"/>
          <w:sz w:val="24"/>
        </w:rPr>
      </w:pPr>
      <w:r w:rsidRPr="00F82365">
        <w:rPr>
          <w:rFonts w:ascii="宋体" w:hAnsi="宋体"/>
          <w:sz w:val="24"/>
        </w:rPr>
        <w:t>d）投资者因港股通股票权益分派、转换、上市公司被收购等情形或者异常情况，所取得的港股通股票以外的香港联合交易所上市证券，只能通过港股通卖出，但不得买入，上海证券交易所及深圳证券交易所另有规定的除外；因港股通股票发行人供股、港股通股票权益分派或者转换等情形取得的香港联合交易所上市股票的认购权利凭证在香港联合交易所上市的，可以通过港股通卖出，但不得买入，其行权等事宜按照中国证监会、中国证券登记结算有限责任公司的相关规定处理；因港</w:t>
      </w:r>
      <w:r w:rsidRPr="00F82365">
        <w:rPr>
          <w:rFonts w:ascii="宋体" w:hAnsi="宋体" w:hint="eastAsia"/>
          <w:sz w:val="24"/>
        </w:rPr>
        <w:lastRenderedPageBreak/>
        <w:t>股通股票权益分派、转换或者上市公司被收购等所取得的非香港联合交易所上市证券，不得通过港股通买入或卖出；</w:t>
      </w:r>
    </w:p>
    <w:p w14:paraId="550E8613" w14:textId="77777777" w:rsidR="0017051B" w:rsidRPr="00F82365" w:rsidRDefault="0017051B" w:rsidP="0017051B">
      <w:pPr>
        <w:autoSpaceDE w:val="0"/>
        <w:autoSpaceDN w:val="0"/>
        <w:adjustRightInd w:val="0"/>
        <w:snapToGrid w:val="0"/>
        <w:spacing w:line="360" w:lineRule="auto"/>
        <w:ind w:firstLineChars="200" w:firstLine="480"/>
        <w:jc w:val="left"/>
        <w:rPr>
          <w:rFonts w:ascii="宋体" w:hAnsi="宋体"/>
          <w:sz w:val="24"/>
        </w:rPr>
      </w:pPr>
      <w:r w:rsidRPr="00F82365">
        <w:rPr>
          <w:rFonts w:ascii="宋体" w:hAnsi="宋体"/>
          <w:sz w:val="24"/>
        </w:rPr>
        <w:t>e）代理投票。由于中国证券登记结算有限责任公司是在汇总投资者意愿后再向香港中央结算有限公司提交投票意愿，中国证券登记结算有限责任公司对投资者设定的意愿征集期比香港中央结算有限公司的征集期稍早结束；投票没有权益登记日的，以投票截止日的持有作为计算基准；投票数量超出持有数量的，按照比例分配持有基数。</w:t>
      </w:r>
    </w:p>
    <w:p w14:paraId="293A7B6B" w14:textId="77777777" w:rsidR="0017051B" w:rsidRPr="00F82365" w:rsidRDefault="0017051B" w:rsidP="0017051B">
      <w:pPr>
        <w:autoSpaceDE w:val="0"/>
        <w:autoSpaceDN w:val="0"/>
        <w:adjustRightInd w:val="0"/>
        <w:snapToGrid w:val="0"/>
        <w:spacing w:line="360" w:lineRule="auto"/>
        <w:ind w:firstLineChars="200" w:firstLine="480"/>
        <w:jc w:val="left"/>
        <w:rPr>
          <w:rFonts w:ascii="宋体" w:hAnsi="宋体"/>
          <w:sz w:val="24"/>
        </w:rPr>
      </w:pPr>
      <w:r w:rsidRPr="00F82365">
        <w:rPr>
          <w:rFonts w:ascii="宋体" w:hAnsi="宋体" w:hint="eastAsia"/>
          <w:sz w:val="24"/>
        </w:rPr>
        <w:t>（</w:t>
      </w:r>
      <w:r w:rsidRPr="00F82365">
        <w:rPr>
          <w:rFonts w:ascii="宋体" w:hAnsi="宋体"/>
          <w:sz w:val="24"/>
        </w:rPr>
        <w:t>4）本基金可根据投资策略需要或不同配置地市场环境的变化，选择将部分基金资产投资于港股或选择不将基金资产投资于港股，基金资产并非必然投资港股。</w:t>
      </w:r>
    </w:p>
    <w:p w14:paraId="5FA51660" w14:textId="2E8C6B36" w:rsidR="0017051B" w:rsidRDefault="0017051B" w:rsidP="0017051B">
      <w:pPr>
        <w:autoSpaceDE w:val="0"/>
        <w:autoSpaceDN w:val="0"/>
        <w:adjustRightInd w:val="0"/>
        <w:snapToGrid w:val="0"/>
        <w:spacing w:line="360" w:lineRule="auto"/>
        <w:ind w:firstLineChars="200" w:firstLine="480"/>
        <w:jc w:val="left"/>
        <w:rPr>
          <w:rFonts w:ascii="宋体" w:hAnsi="宋体"/>
          <w:sz w:val="24"/>
        </w:rPr>
      </w:pPr>
      <w:r w:rsidRPr="00F82365">
        <w:rPr>
          <w:rFonts w:ascii="宋体" w:hAnsi="宋体" w:hint="eastAsia"/>
          <w:sz w:val="24"/>
        </w:rPr>
        <w:t>以上所述因素可能会给本基金投资带来特殊交易风险。</w:t>
      </w:r>
    </w:p>
    <w:p w14:paraId="5BF9BF60" w14:textId="4F068596" w:rsidR="0017051B" w:rsidRDefault="0017051B" w:rsidP="0017051B">
      <w:pPr>
        <w:autoSpaceDE w:val="0"/>
        <w:autoSpaceDN w:val="0"/>
        <w:adjustRightInd w:val="0"/>
        <w:snapToGrid w:val="0"/>
        <w:spacing w:line="360" w:lineRule="auto"/>
        <w:ind w:firstLineChars="200" w:firstLine="480"/>
        <w:jc w:val="left"/>
        <w:rPr>
          <w:rFonts w:ascii="宋体" w:hAnsi="宋体"/>
          <w:sz w:val="24"/>
        </w:rPr>
      </w:pPr>
      <w:r w:rsidRPr="0017051B">
        <w:rPr>
          <w:rFonts w:ascii="宋体" w:hAnsi="宋体" w:hint="eastAsia"/>
          <w:sz w:val="24"/>
        </w:rPr>
        <w:t>4、基金合同提前终止风险。连续50个工作日出现基金份额持有人数量不满200人或者基金资产净值低于5000万元情形的，基金合同终止，不需召开基金份额持有人大会。</w:t>
      </w:r>
    </w:p>
    <w:p w14:paraId="483FB930" w14:textId="2CD62909" w:rsidR="0025039B" w:rsidRPr="0025039B" w:rsidRDefault="0025039B" w:rsidP="0017051B">
      <w:pPr>
        <w:autoSpaceDE w:val="0"/>
        <w:autoSpaceDN w:val="0"/>
        <w:adjustRightInd w:val="0"/>
        <w:snapToGrid w:val="0"/>
        <w:spacing w:line="360" w:lineRule="auto"/>
        <w:ind w:firstLineChars="200" w:firstLine="480"/>
        <w:jc w:val="left"/>
        <w:rPr>
          <w:rFonts w:ascii="宋体" w:hAnsi="宋体"/>
          <w:sz w:val="24"/>
        </w:rPr>
      </w:pPr>
      <w:r w:rsidRPr="0025039B">
        <w:rPr>
          <w:rFonts w:ascii="宋体" w:hAnsi="宋体" w:hint="eastAsia"/>
          <w:sz w:val="24"/>
        </w:rPr>
        <w:t>5、本基金可投资创业板股票，创业板个股上市后的前五个交易日不设价格涨跌幅限制，第六个交易日开始涨跌幅限制比例为20%。</w:t>
      </w:r>
    </w:p>
    <w:p w14:paraId="2F5CD054" w14:textId="77777777" w:rsidR="00FB4D29" w:rsidRDefault="00CF4592">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（六）投资股指期货的特定风险</w:t>
      </w:r>
    </w:p>
    <w:p w14:paraId="16B10142"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可投资于股指期货，股指期货作为一种金融衍生品，其价值取决于一种或多种基础资产或指数，其评价主要源自于对挂钩资产的价格与价格波动的预期。投资股指期货所面临的风险主要是市场风险、流动性风险、基差风险、保证金风险、信用风险和操作风险。具体为：</w:t>
      </w:r>
    </w:p>
    <w:p w14:paraId="1F89F32E"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（1）市场风险是指由于股指期货价格变动而给投资者带来的风险。市场风险是股指期货投资中最主要的风险。</w:t>
      </w:r>
    </w:p>
    <w:p w14:paraId="0A42FA04"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（2）流动性风险是指由于股指期货合约无法及时变现所带来的风险。</w:t>
      </w:r>
    </w:p>
    <w:p w14:paraId="467E17D0"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（3）基差风险是指股指期货合约价格和指数价格之间的价格差的波动所造成的风险，以及不同股指期货合约价格之间价格差的波动所造成的期现价差风险。</w:t>
      </w:r>
    </w:p>
    <w:p w14:paraId="6E644E6B"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（4）保证金风险是指由于无法及时筹措资金满足建立或者维持股指期货合约头寸所要求的保证金而带来的风险。</w:t>
      </w:r>
    </w:p>
    <w:p w14:paraId="19214021"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（5）信用风险是指期货经纪公司违约而产生损失的风险。</w:t>
      </w:r>
    </w:p>
    <w:p w14:paraId="2BA60323"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（6）操作风险是指由于内部流程的不完善，业务人员出现差错或者疏漏，或</w:t>
      </w:r>
      <w:r>
        <w:rPr>
          <w:rFonts w:ascii="宋体" w:hAnsi="宋体"/>
          <w:sz w:val="24"/>
        </w:rPr>
        <w:lastRenderedPageBreak/>
        <w:t>者系统出现故障等原因造成损失的风险。</w:t>
      </w:r>
    </w:p>
    <w:p w14:paraId="1AD324B1"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此外，由于衍生品通常具有杠杆效应，价格波动比标的工具更为剧烈，并且其定价相当复杂，不适当的估值也有可能使基金资产面临损失风险。</w:t>
      </w:r>
    </w:p>
    <w:p w14:paraId="31335F03" w14:textId="77777777" w:rsidR="00FB4D29" w:rsidRDefault="00CF4592">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（七）投资资产支持证券的特定风险</w:t>
      </w:r>
    </w:p>
    <w:p w14:paraId="1AD0BF39"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资产支持证券具有一定的价格波动风险、流动性风险、信用风险等风险，本公司将本着谨慎和控制风险的原则进行资产支持证券投资，请基金份额持有人关注包括投资资产支持证券可能导致的基金净值波动在内的各项风险。</w:t>
      </w:r>
    </w:p>
    <w:p w14:paraId="5544ABF9" w14:textId="77777777" w:rsidR="00FB4D29" w:rsidRDefault="00CF4592">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（八）投资流通受限证券的特定风险</w:t>
      </w:r>
    </w:p>
    <w:p w14:paraId="46864720"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投资流动受限证券将面临证券市场流动性风险，主要表现在几个方面：基金建仓困难，或建仓成本很高；基金资产不能迅速转变成现金，或变现成本很高；不能应付可能出现的投资者大额赎回的风险；证券投资中个券和个股的流动性风险等。</w:t>
      </w:r>
    </w:p>
    <w:p w14:paraId="28635E09" w14:textId="77777777" w:rsidR="00FB4D29" w:rsidRDefault="00CF4592">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（九）投资科创板股票的特定风险</w:t>
      </w:r>
    </w:p>
    <w:p w14:paraId="071B36B8"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可根据投资策略需要或市场环境的变化，选择将部分基金资产投资于科创板股票或选择不将基金资产投资于科创板股票，基金资产并非必然投资于科创板股票。基金资产投资于科创板股票，会面临科创板机制下因投资标的、市场制度以及交易规则等差异带来的特有风险，包括但不限于市场风险、流动性风险、退市风险、集中度风险、系统性风险、政策风险等。</w:t>
      </w:r>
    </w:p>
    <w:p w14:paraId="3A0EF434"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（1）市场风险</w:t>
      </w:r>
    </w:p>
    <w:p w14:paraId="6ABB540B"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科创板个股集中来自新一代信息技术、高端装备、新材料、新能源、节能环保及生物医药等高新技术和战略新兴产业领域。大多数企业为初创型公司，企业未来盈利、现金流、估值均存在不确定性，与传统二级市场投资存在差异，整体投资难度加大，个股市场风险加大。</w:t>
      </w:r>
    </w:p>
    <w:p w14:paraId="2F940C14"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科创板个股上市前五日无涨跌停限制，第六日开始涨跌幅限制在正负20%以内，个股波动幅度较其他股票加大，市场风险随之上升。</w:t>
      </w:r>
    </w:p>
    <w:p w14:paraId="5DA02C30"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（2）流动性风险</w:t>
      </w:r>
    </w:p>
    <w:p w14:paraId="64CC0DDE"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科创板整体投资门槛较高，个人投资者必须满足交易满两年并且资金在50万以上才可参与，二级市场上个人投资者参与度相对较低，机构持有个股大量流通盘导致个股流动性较差，基金组合存在无法及时变现及其他相关流动性风险。</w:t>
      </w:r>
    </w:p>
    <w:p w14:paraId="033CF517"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（3）退市风险</w:t>
      </w:r>
    </w:p>
    <w:p w14:paraId="549314FF"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科创板退市制度较主板更为严格，退市时间更短，退市速度更快；退市情形更多，新增市值低于规定标准、上市公司信息披露或者规范运作存在重大缺陷导致退市的情形；执行标准更严，明显丧失持续经营能力，仅依赖与主业无关的贸易或者不具备商业实质的关联交易维持收入的上市公司可能会被退市；且不再设置暂停上市、恢复上市和重新上市环节，上市公司退市风险更大。</w:t>
      </w:r>
    </w:p>
    <w:p w14:paraId="299969D6"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（4）集中度风险</w:t>
      </w:r>
    </w:p>
    <w:p w14:paraId="7D7DF022"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科创板为新设板块，初期可投标的较少，投资者容易集中投资于少量个股，市场可能存在高集中度状况，整体存在集中度风险。</w:t>
      </w:r>
    </w:p>
    <w:p w14:paraId="63724DCC"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（5）系统性风险</w:t>
      </w:r>
    </w:p>
    <w:p w14:paraId="331F7848"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科创板企业均为市场认可度较高的科技创新企业，在企业经营及盈利模式上存在趋同，所以科创板个股相关性较高，市场表现不佳时，系统性风险将更为显著。</w:t>
      </w:r>
    </w:p>
    <w:p w14:paraId="59562E95"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（6）政策风险</w:t>
      </w:r>
    </w:p>
    <w:p w14:paraId="5A45EE75"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国家对高新技术产业扶持力度及重视程度的变化会对科创板企业带来较大影响，国际经济形势变化对战略新兴产业及科创板个股也会带来政策影响。</w:t>
      </w:r>
    </w:p>
    <w:p w14:paraId="47D9E0A9" w14:textId="77777777" w:rsidR="00FB4D29" w:rsidRDefault="00CF4592">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（十） 投资存托凭证的特定风险</w:t>
      </w:r>
    </w:p>
    <w:p w14:paraId="0C8C8B4A"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可投资国内依法发行上市的存托凭证，基金净值可能受到存托凭证的境外基础证券价格波动影响，与存托凭证的境外基础证券、境外基础证券的发行人及境内外交易机制相关的风险可能直接或间接成为本基金风险。</w:t>
      </w:r>
    </w:p>
    <w:p w14:paraId="06C84BD6"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具体风险包括：存托凭证持有人与境外基础证券发行人的股东在法律地位、享有权利等方面存在差异可能引发的风险；存托凭证持有人在分红派息、行使表决权等方面的特殊安排可能引发的风险；存托协议自动约束存托凭证持有人的风险；因多地上市造成存托凭证价格差异以及波动的风险；存托凭证持有人权益被摊薄的风险；存托凭证退市的风险；已在境外上市的基础证券发行人，在持续信息披露监管方面与境内可能存在差异的风险；境内外法律制度、监管环境差异可能导致的其他风险。</w:t>
      </w:r>
    </w:p>
    <w:p w14:paraId="4D11FBD3"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本基金可根据投资策略需要或市场环境的变化，选择将部分基金资产投资于存托凭证或选择不将基金资产投资于存托凭证，基金资产并非必然投资存托凭证。</w:t>
      </w:r>
    </w:p>
    <w:p w14:paraId="45F6B880" w14:textId="77777777" w:rsidR="00FB4D29" w:rsidRDefault="00CF4592">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（十一）其他风险</w:t>
      </w:r>
    </w:p>
    <w:p w14:paraId="2510E117"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1、因技术因素而产生的风险，如电脑系统不可靠产生的风险；</w:t>
      </w:r>
    </w:p>
    <w:p w14:paraId="1397F9FD"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2、因基金业务快速发展，在制度建设、人员配备、内控制度建立等方面的不</w:t>
      </w:r>
      <w:r>
        <w:rPr>
          <w:rFonts w:ascii="宋体" w:hAnsi="宋体"/>
          <w:sz w:val="24"/>
        </w:rPr>
        <w:lastRenderedPageBreak/>
        <w:t>完善产生的风险；</w:t>
      </w:r>
    </w:p>
    <w:p w14:paraId="485E0F17"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3、因人为因素而产生的风险、如内幕交易、欺诈行为等产生的风险；</w:t>
      </w:r>
    </w:p>
    <w:p w14:paraId="5B75B753"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4、对主要业务人员如基金经理的依赖而可能产生的风险；</w:t>
      </w:r>
    </w:p>
    <w:p w14:paraId="4E06E06A"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5、因业务竞争压力可能产生的风险；</w:t>
      </w:r>
    </w:p>
    <w:p w14:paraId="78DC269C"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6、战争、自然灾害等不可抗力可能导致基金财产的损失，影响基金收益水平，从而带来风险；</w:t>
      </w:r>
    </w:p>
    <w:p w14:paraId="30C2224A"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7、其他意外导致的风险。</w:t>
      </w:r>
    </w:p>
    <w:p w14:paraId="40DEE03A" w14:textId="77777777" w:rsidR="00AF2A34" w:rsidRDefault="00AF2A34" w:rsidP="00F82365">
      <w:pPr>
        <w:autoSpaceDE w:val="0"/>
        <w:autoSpaceDN w:val="0"/>
        <w:adjustRightInd w:val="0"/>
        <w:spacing w:line="360" w:lineRule="auto"/>
        <w:rPr>
          <w:rFonts w:ascii="宋体" w:hAnsi="宋体"/>
          <w:szCs w:val="24"/>
        </w:rPr>
      </w:pPr>
    </w:p>
    <w:p w14:paraId="75D41CFC" w14:textId="73DE1A3B" w:rsidR="00FB4D29" w:rsidRDefault="00CF4592">
      <w:pPr>
        <w:pStyle w:val="1"/>
        <w:snapToGrid w:val="0"/>
        <w:spacing w:beforeLines="0" w:before="240" w:after="240"/>
        <w:rPr>
          <w:rFonts w:ascii="宋体" w:hAnsi="宋体"/>
          <w:szCs w:val="30"/>
        </w:rPr>
      </w:pPr>
      <w:r>
        <w:rPr>
          <w:rFonts w:ascii="宋体" w:hAnsi="宋体"/>
          <w:sz w:val="24"/>
        </w:rPr>
        <w:br w:type="page"/>
      </w:r>
      <w:bookmarkStart w:id="28" w:name="_Toc107476039"/>
      <w:r w:rsidR="00B37E6F">
        <w:rPr>
          <w:rFonts w:ascii="Times New Roman" w:hAnsi="Times New Roman" w:hint="eastAsia"/>
          <w:sz w:val="30"/>
        </w:rPr>
        <w:lastRenderedPageBreak/>
        <w:t>二十</w:t>
      </w:r>
      <w:r>
        <w:rPr>
          <w:rFonts w:ascii="Times New Roman" w:hAnsi="Times New Roman"/>
          <w:sz w:val="30"/>
        </w:rPr>
        <w:t>、基金合同的变更、终止与基金财产的清算</w:t>
      </w:r>
      <w:bookmarkEnd w:id="28"/>
    </w:p>
    <w:p w14:paraId="6568EDCD" w14:textId="77777777" w:rsidR="00FB4D29" w:rsidRDefault="00CF4592">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（一）《基金合同》的变更</w:t>
      </w:r>
    </w:p>
    <w:p w14:paraId="0577ADDD"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变更基金合同涉及法律法规规定或基金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14:paraId="5B55A956" w14:textId="5278AD8A"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2、关于《基金合同》变更的基金份额持有人大会决议生效后方可执行，并自决议生效后依照《信息披露办法》的规定在</w:t>
      </w:r>
      <w:r w:rsidR="003246BF">
        <w:rPr>
          <w:rFonts w:ascii="宋体" w:hAnsi="宋体"/>
          <w:sz w:val="24"/>
        </w:rPr>
        <w:t>规定媒介</w:t>
      </w:r>
      <w:r>
        <w:rPr>
          <w:rFonts w:ascii="宋体" w:hAnsi="宋体"/>
          <w:sz w:val="24"/>
        </w:rPr>
        <w:t>公告。</w:t>
      </w:r>
    </w:p>
    <w:p w14:paraId="004E2EF9" w14:textId="77777777" w:rsidR="00FB4D29" w:rsidRDefault="00CF4592">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（二）《基金合同》的终止事由</w:t>
      </w:r>
    </w:p>
    <w:p w14:paraId="526CBB0E"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有下列情形之一的，《基金合同》应当终止：</w:t>
      </w:r>
    </w:p>
    <w:p w14:paraId="3050F58F"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1、基金份额持有人大会决定终止的；</w:t>
      </w:r>
    </w:p>
    <w:p w14:paraId="2CE93F46"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2、基金管理人、基金托管人职责终止，在6个月内没有新基金管理人、新基金托管人承接的；</w:t>
      </w:r>
    </w:p>
    <w:p w14:paraId="0B2D2F7C"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3、本基金作为被合并方与其他基金进行合并的；</w:t>
      </w:r>
    </w:p>
    <w:p w14:paraId="56B98F5A" w14:textId="77777777" w:rsidR="00B838DF" w:rsidRPr="00B838DF" w:rsidRDefault="00CF4592" w:rsidP="00B838DF">
      <w:pPr>
        <w:autoSpaceDE w:val="0"/>
        <w:autoSpaceDN w:val="0"/>
        <w:adjustRightInd w:val="0"/>
        <w:snapToGrid w:val="0"/>
        <w:spacing w:line="360" w:lineRule="auto"/>
        <w:ind w:firstLineChars="200" w:firstLine="480"/>
        <w:jc w:val="left"/>
        <w:rPr>
          <w:rFonts w:ascii="宋体" w:hAnsi="宋体"/>
          <w:sz w:val="24"/>
        </w:rPr>
      </w:pPr>
      <w:r>
        <w:rPr>
          <w:rFonts w:ascii="宋体" w:hAnsi="宋体"/>
          <w:sz w:val="24"/>
        </w:rPr>
        <w:t>4、</w:t>
      </w:r>
      <w:r w:rsidR="00B838DF" w:rsidRPr="00B838DF">
        <w:rPr>
          <w:rFonts w:ascii="宋体" w:hAnsi="宋体" w:hint="eastAsia"/>
          <w:sz w:val="24"/>
        </w:rPr>
        <w:t>连续50个工作日出现基金份额持有人数量不满200人或者基金资产净值低于5000万元情形的，基金合同终止，不需召开基金份额持有人大会；</w:t>
      </w:r>
    </w:p>
    <w:p w14:paraId="5F834D5C" w14:textId="27BD451E" w:rsidR="00FB4D29" w:rsidRDefault="00B838DF" w:rsidP="00B838DF">
      <w:pPr>
        <w:autoSpaceDE w:val="0"/>
        <w:autoSpaceDN w:val="0"/>
        <w:adjustRightInd w:val="0"/>
        <w:snapToGrid w:val="0"/>
        <w:spacing w:line="360" w:lineRule="auto"/>
        <w:ind w:firstLineChars="200" w:firstLine="480"/>
        <w:jc w:val="left"/>
        <w:rPr>
          <w:rFonts w:ascii="宋体" w:hAnsi="宋体"/>
          <w:szCs w:val="24"/>
        </w:rPr>
      </w:pPr>
      <w:r w:rsidRPr="00B838DF">
        <w:rPr>
          <w:rFonts w:ascii="宋体" w:hAnsi="宋体" w:hint="eastAsia"/>
          <w:sz w:val="24"/>
        </w:rPr>
        <w:t>5、</w:t>
      </w:r>
      <w:r w:rsidR="00CF4592">
        <w:rPr>
          <w:rFonts w:ascii="宋体" w:hAnsi="宋体"/>
          <w:sz w:val="24"/>
        </w:rPr>
        <w:t>《基金合同》约定的其他情形；</w:t>
      </w:r>
    </w:p>
    <w:p w14:paraId="4B3BADCB" w14:textId="7AA6605F" w:rsidR="00FB4D29" w:rsidRDefault="00B838DF">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w:t>
      </w:r>
      <w:r w:rsidR="00CF4592">
        <w:rPr>
          <w:rFonts w:ascii="宋体" w:hAnsi="宋体"/>
          <w:sz w:val="24"/>
        </w:rPr>
        <w:t>、相关法律法规和中国证监会规定的其他情况。</w:t>
      </w:r>
    </w:p>
    <w:p w14:paraId="4B8729C0" w14:textId="77777777" w:rsidR="00FB4D29" w:rsidRDefault="00CF4592">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（三）基金财产的清算</w:t>
      </w:r>
    </w:p>
    <w:p w14:paraId="1B597EE6"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1、基金财产清算小组：自出现《基金合同》终止事由之日起30个工作日内成立清算小组，基金管理人组织基金财产清算小组并在中国证监会的监督下进行基金清算。</w:t>
      </w:r>
    </w:p>
    <w:p w14:paraId="5365F05B" w14:textId="5BCC032A"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2、基金财产清算小组组成：基金财产清算小组成员由基金管理人、基金托管人、</w:t>
      </w:r>
      <w:r w:rsidR="00B838DF" w:rsidRPr="00222988">
        <w:rPr>
          <w:rFonts w:hint="eastAsia"/>
          <w:bCs/>
          <w:sz w:val="24"/>
        </w:rPr>
        <w:t>符合《中华人民共和国证券法》规定</w:t>
      </w:r>
      <w:r>
        <w:rPr>
          <w:rFonts w:ascii="宋体" w:hAnsi="宋体"/>
          <w:sz w:val="24"/>
        </w:rPr>
        <w:t>的注册会计师、律师以及中国证监会指定的人员组成。基金财产清算小组可以聘用必要的工作人员。</w:t>
      </w:r>
    </w:p>
    <w:p w14:paraId="08C2B2BF"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3、基金财产清算小组职责：基金财产清算小组负责基金财产的保管、清理、估价、变现和分配。基金财产清算小组可以依法进行必要的民事活动。</w:t>
      </w:r>
    </w:p>
    <w:p w14:paraId="304FFB24"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4、基金财产清算程序：</w:t>
      </w:r>
    </w:p>
    <w:p w14:paraId="07625EEF"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（1）《基金合同》终止情形出现时，由基金财产清算小组统一接管基金财产；</w:t>
      </w:r>
    </w:p>
    <w:p w14:paraId="63E0BBE8"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（2）对基金财产和债权债务进行清理和确认；</w:t>
      </w:r>
    </w:p>
    <w:p w14:paraId="3F959F41"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（3）对基金财产进行估值和变现；</w:t>
      </w:r>
    </w:p>
    <w:p w14:paraId="6A0B50A2"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（4）制作清算报告；</w:t>
      </w:r>
    </w:p>
    <w:p w14:paraId="4F2156C1"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（5）聘请会计师事务所对清算报告进行外部审计，聘请律师事务所对清算报告出具法律意见书；</w:t>
      </w:r>
    </w:p>
    <w:p w14:paraId="4D0A0646"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（6）将清算报告报中国证监会备案并公告；</w:t>
      </w:r>
    </w:p>
    <w:p w14:paraId="149F954E"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（7）对基金剩余财产进行分配。</w:t>
      </w:r>
    </w:p>
    <w:p w14:paraId="492F9E10"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5、基金财产清算的期限为6个月，若遇基金持有的有价证券出现长期休市、停牌或其他流通受限的情形除外。</w:t>
      </w:r>
    </w:p>
    <w:p w14:paraId="42CFA5A7" w14:textId="77777777" w:rsidR="00FB4D29" w:rsidRDefault="00CF4592">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（四）清算费用</w:t>
      </w:r>
    </w:p>
    <w:p w14:paraId="3312C957"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清算费用是指基金财产清算小组在进行基金清算过程中发生的所有合理费用，清算费用由基金财产清算小组优先从基金财产中支付。</w:t>
      </w:r>
    </w:p>
    <w:p w14:paraId="72C2E7FE" w14:textId="77777777" w:rsidR="00FB4D29" w:rsidRDefault="00CF4592">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（五）基金财产清算剩余资产的分配</w:t>
      </w:r>
    </w:p>
    <w:p w14:paraId="3A4AEFDD"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依据基金财产清算的分配方案，将基金财产清算后的全部剩余资产扣除基金财产清算费用、交纳所欠税款并清偿基金债务后，按基金份额持有人持有的基金份额比例进行分配。</w:t>
      </w:r>
    </w:p>
    <w:p w14:paraId="67E0BD09" w14:textId="77777777" w:rsidR="00FB4D29" w:rsidRDefault="00CF4592">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（六）基金财产清算的公告</w:t>
      </w:r>
    </w:p>
    <w:p w14:paraId="33C0F49C" w14:textId="20C640EF"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清算过程中的有关重大事项须及时公告；基金财产清算报告经</w:t>
      </w:r>
      <w:r w:rsidR="007873F7" w:rsidRPr="007873F7">
        <w:rPr>
          <w:rFonts w:ascii="宋体" w:hAnsi="宋体" w:hint="eastAsia"/>
          <w:sz w:val="24"/>
        </w:rPr>
        <w:t>符合《中华人民共和国证券法》规定的</w:t>
      </w:r>
      <w:r>
        <w:rPr>
          <w:rFonts w:ascii="宋体" w:hAnsi="宋体"/>
          <w:sz w:val="24"/>
        </w:rPr>
        <w:t>会计师事务所审计并由律师事务所出具法律意见书后报中国证监会备案并公告。基金财产清算公告于基金财产清算报告报中国证监会备案后5个工作日内由基金财产清算小组进行公告</w:t>
      </w:r>
      <w:r w:rsidR="007873F7" w:rsidRPr="007873F7">
        <w:rPr>
          <w:rFonts w:ascii="宋体" w:hAnsi="宋体" w:hint="eastAsia"/>
          <w:sz w:val="24"/>
        </w:rPr>
        <w:t>，基金财产清算小组应当将清算报告登载在规定网站上，并将清算报告提示性公告登载在规定报刊上</w:t>
      </w:r>
      <w:r>
        <w:rPr>
          <w:rFonts w:ascii="宋体" w:hAnsi="宋体"/>
          <w:sz w:val="24"/>
        </w:rPr>
        <w:t>。</w:t>
      </w:r>
    </w:p>
    <w:p w14:paraId="0C74E58F" w14:textId="77777777" w:rsidR="00FB4D29" w:rsidRDefault="00CF4592">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（七）基金财产清算账册及文件的保存</w:t>
      </w:r>
    </w:p>
    <w:p w14:paraId="7B974D1A" w14:textId="360DE695"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基金财产清算账册及有关文件由基金托管人保存</w:t>
      </w:r>
      <w:r w:rsidR="003403EF" w:rsidRPr="003403EF">
        <w:rPr>
          <w:rFonts w:ascii="宋体" w:hAnsi="宋体" w:hint="eastAsia"/>
          <w:sz w:val="24"/>
        </w:rPr>
        <w:t>不低于法律法规规定的最低期限</w:t>
      </w:r>
      <w:r>
        <w:rPr>
          <w:rFonts w:ascii="宋体" w:hAnsi="宋体"/>
          <w:sz w:val="24"/>
        </w:rPr>
        <w:t>。</w:t>
      </w:r>
    </w:p>
    <w:p w14:paraId="3E28FA42" w14:textId="77777777" w:rsidR="00AF2A34" w:rsidRDefault="00AF2A34" w:rsidP="00AF2A34">
      <w:pPr>
        <w:autoSpaceDE w:val="0"/>
        <w:autoSpaceDN w:val="0"/>
        <w:adjustRightInd w:val="0"/>
        <w:spacing w:line="360" w:lineRule="auto"/>
        <w:ind w:firstLineChars="200" w:firstLine="420"/>
        <w:rPr>
          <w:rFonts w:ascii="宋体" w:hAnsi="宋体"/>
          <w:szCs w:val="24"/>
        </w:rPr>
      </w:pPr>
    </w:p>
    <w:p w14:paraId="224A5F4C" w14:textId="4E53C1D0" w:rsidR="00FB4D29" w:rsidRDefault="00CF4592">
      <w:pPr>
        <w:pStyle w:val="1"/>
        <w:snapToGrid w:val="0"/>
        <w:spacing w:beforeLines="0" w:before="240" w:after="240"/>
        <w:rPr>
          <w:rFonts w:ascii="宋体" w:hAnsi="宋体"/>
          <w:szCs w:val="30"/>
        </w:rPr>
      </w:pPr>
      <w:r>
        <w:rPr>
          <w:rFonts w:ascii="宋体" w:hAnsi="宋体"/>
          <w:sz w:val="24"/>
        </w:rPr>
        <w:br w:type="page"/>
      </w:r>
      <w:bookmarkStart w:id="29" w:name="_Toc107476040"/>
      <w:r>
        <w:rPr>
          <w:rFonts w:ascii="Times New Roman" w:hAnsi="Times New Roman"/>
          <w:sz w:val="30"/>
        </w:rPr>
        <w:lastRenderedPageBreak/>
        <w:t>二十</w:t>
      </w:r>
      <w:r w:rsidR="00B37E6F">
        <w:rPr>
          <w:rFonts w:ascii="Times New Roman" w:hAnsi="Times New Roman" w:hint="eastAsia"/>
          <w:sz w:val="30"/>
        </w:rPr>
        <w:t>一</w:t>
      </w:r>
      <w:r>
        <w:rPr>
          <w:rFonts w:ascii="Times New Roman" w:hAnsi="Times New Roman"/>
          <w:sz w:val="30"/>
        </w:rPr>
        <w:t>、基金合同内容摘要</w:t>
      </w:r>
      <w:bookmarkEnd w:id="29"/>
    </w:p>
    <w:p w14:paraId="1A36A148" w14:textId="77777777" w:rsidR="00FB4D29" w:rsidRDefault="00CF4592">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（一）基金份额持有人、基金管理人和基金托管人的权利与义务</w:t>
      </w:r>
    </w:p>
    <w:p w14:paraId="3CD60340"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1、基金管理人的权利与义务</w:t>
      </w:r>
    </w:p>
    <w:p w14:paraId="79477BA6"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根据《基金法》、《运作办法》及其他有关规定，基金管理人的权利包括但不限于：</w:t>
      </w:r>
    </w:p>
    <w:p w14:paraId="465F817F"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（1）依法募集资金；</w:t>
      </w:r>
    </w:p>
    <w:p w14:paraId="58F7B815"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（2）自《基金合同》生效之日起，根据法律法规和《基金合同》独立运用并管理基金财产；</w:t>
      </w:r>
    </w:p>
    <w:p w14:paraId="325DDA64"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（3）依照《基金合同》收取基金管理费以及法律法规规定或中国证监会批准的其他费用；</w:t>
      </w:r>
    </w:p>
    <w:p w14:paraId="55900339"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（4）销售基金份额；</w:t>
      </w:r>
    </w:p>
    <w:p w14:paraId="10D873D5"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（5）按照规定召集基金份额持有人大会；</w:t>
      </w:r>
    </w:p>
    <w:p w14:paraId="5AE068DA"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（6）依据《基金合同》及有关法律规定监督基金托管人，如认为基金托管人违反了《基金合同》及国家有关法律规定，应呈报中国证监会和其他监管部门，并采取必要措施保护基金投资者的利益；</w:t>
      </w:r>
    </w:p>
    <w:p w14:paraId="6E234F0E"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（7）在基金托管人更换时，提名新的基金托管人；</w:t>
      </w:r>
    </w:p>
    <w:p w14:paraId="5B9CC073"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（8）选择、更换基金销售机构，对基金销售机构的相关行为进行监督和处理；</w:t>
      </w:r>
    </w:p>
    <w:p w14:paraId="278FD911"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（9）担任或委托其他符合条件的机构担任基金登记机构办理基金登记业务并获得《基金合同》规定的费用；</w:t>
      </w:r>
    </w:p>
    <w:p w14:paraId="54871A1F"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（10）依据《基金合同》及有关法律规定决定基金收益的分配方案；</w:t>
      </w:r>
    </w:p>
    <w:p w14:paraId="5E01F2E6"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（11）在《基金合同》约定的范围内，拒绝或暂停受理申购、赎回与转换申请；</w:t>
      </w:r>
    </w:p>
    <w:p w14:paraId="0BD04104"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（12）依照法律法规为基金的利益对被投资公司行使股东权利，为基金的利益行使因基金财产投资于证券所产生的权利；</w:t>
      </w:r>
    </w:p>
    <w:p w14:paraId="4F5AF9AA"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（13）在法律法规允许的前提下，为基金的利益依法为基金进行融资；</w:t>
      </w:r>
    </w:p>
    <w:p w14:paraId="7028C5F9"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（14）以基金管理人的名义，代表基金份额持有人的利益行使诉讼权利或者实施其他法律行为；</w:t>
      </w:r>
    </w:p>
    <w:p w14:paraId="673FCBC7"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（15）选择、更换律师事务所、会计师事务所、证券经纪商、期货经纪机构或</w:t>
      </w:r>
      <w:r>
        <w:rPr>
          <w:rFonts w:ascii="宋体" w:hAnsi="宋体"/>
          <w:sz w:val="24"/>
        </w:rPr>
        <w:lastRenderedPageBreak/>
        <w:t>其他为基金提供服务的外部机构；</w:t>
      </w:r>
    </w:p>
    <w:p w14:paraId="157987E8"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（16）在符合有关法律、法规的前提下，制定和调整有关基金认购、申购、赎回、转换等的业务规则；</w:t>
      </w:r>
    </w:p>
    <w:p w14:paraId="725F975C"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（17）法律法规及中国证监会规定的和《基金合同》约定的其他权利。</w:t>
      </w:r>
    </w:p>
    <w:p w14:paraId="583E9A95"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根据《基金法》、《运作办法》及其他有关规定，基金管理人的义务包括但不限于：</w:t>
      </w:r>
    </w:p>
    <w:p w14:paraId="74BD3133"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（1）依法募集资金，办理或者委托经中国证监会认定的其他机构办理基金份额的发售、申购、赎回和登记事宜；</w:t>
      </w:r>
    </w:p>
    <w:p w14:paraId="19156106"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（2）办理基金备案手续；</w:t>
      </w:r>
    </w:p>
    <w:p w14:paraId="6437E171"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（3）自《基金合同》生效之日起，以诚实信用、谨慎勤勉的原则管理和运用基金财产；</w:t>
      </w:r>
    </w:p>
    <w:p w14:paraId="4ED0AA14"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（4）配备足够的具有专业资格的人员进行基金投资分析、决策，以专业化的经营方式管理和运作基金财产；</w:t>
      </w:r>
    </w:p>
    <w:p w14:paraId="3619AF09"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（5）建立健全内部风险控制、监察与稽核、财务管理及人事管理等制度，保证所管理的基金财产和基金管理人的财产相互独立，对所管理的不同基金分别管理，分别记账，进行证券投资；</w:t>
      </w:r>
    </w:p>
    <w:p w14:paraId="125CCA15"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（6）除依据《基金法》、《基金合同》及其他有关规定外，不得利用基金财产为自己及任何第三人谋取利益，不得委托第三人运作基金财产；</w:t>
      </w:r>
    </w:p>
    <w:p w14:paraId="0CC14AFE"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（7）依法接受基金托管人的监督；</w:t>
      </w:r>
    </w:p>
    <w:p w14:paraId="6E66B110"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（8）采取适当合理的措施使计算基金份额认购、申购、赎回和注销价格的方法符合《基金合同》等法律文件的规定，按有关规定计算并公告基金净值信息，确定基金份额申购、赎回的价格；</w:t>
      </w:r>
    </w:p>
    <w:p w14:paraId="74A394E4"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（9）进行基金会计核算并编制基金财务会计报告；</w:t>
      </w:r>
    </w:p>
    <w:p w14:paraId="4293E630"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（10）编制季度报告、中期报告和年度报告；</w:t>
      </w:r>
    </w:p>
    <w:p w14:paraId="3EF2A6EA"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（11）严格按照《基金法》、《基金合同》及其他有关规定，履行信息披露及报告义务；</w:t>
      </w:r>
    </w:p>
    <w:p w14:paraId="7DFA32ED"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（12）保守基金商业秘密，不泄露基金投资计划、投资意向等。除《基金法》、《基金合同》及其他有关规定另有规定外，在基金信息公开披露前应予保密，不向他人泄露；</w:t>
      </w:r>
    </w:p>
    <w:p w14:paraId="028098BA"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（13）按《基金合同》的约定确定基金收益分配方案，及时向基金份额持有人</w:t>
      </w:r>
      <w:r>
        <w:rPr>
          <w:rFonts w:ascii="宋体" w:hAnsi="宋体"/>
          <w:sz w:val="24"/>
        </w:rPr>
        <w:lastRenderedPageBreak/>
        <w:t>分配基金收益；</w:t>
      </w:r>
    </w:p>
    <w:p w14:paraId="1A6FB6F8"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（14）按规定受理申购与赎回申请，及时、足额支付赎回款项；</w:t>
      </w:r>
    </w:p>
    <w:p w14:paraId="4ACAFFB1"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（15）依据《基金法》、《基金合同》及其他有关规定召集基金份额持有人大会或配合基金托管人、基金份额持有人依法召集基金份额持有人大会；</w:t>
      </w:r>
    </w:p>
    <w:p w14:paraId="68C01199" w14:textId="52516A01"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（16）按规定保存基金财产管理业务活动的会计账册、报表、记录和其他相关资料</w:t>
      </w:r>
      <w:r w:rsidR="008C4112" w:rsidRPr="008C4112">
        <w:rPr>
          <w:rFonts w:ascii="宋体" w:hAnsi="宋体" w:hint="eastAsia"/>
          <w:sz w:val="24"/>
        </w:rPr>
        <w:t>不低于法律法规规定的最低期限</w:t>
      </w:r>
      <w:r>
        <w:rPr>
          <w:rFonts w:ascii="宋体" w:hAnsi="宋体"/>
          <w:sz w:val="24"/>
        </w:rPr>
        <w:t>；</w:t>
      </w:r>
    </w:p>
    <w:p w14:paraId="2B7014CB"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05DA6D0B"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（18）组织并参加基金财产清算小组，参与基金财产的保管、清理、估价、变现和分配；</w:t>
      </w:r>
    </w:p>
    <w:p w14:paraId="2795E270"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（19）面临解散、依法被撤销或者被依法宣告破产时，及时报告中国证监会并通知基金托管人；</w:t>
      </w:r>
    </w:p>
    <w:p w14:paraId="3C1CB94E"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（20）因违反《基金合同》导致基金财产的损失或损害基金份额持有人合法权益时，应当承担赔偿责任，其赔偿责任不因其退任而免除；</w:t>
      </w:r>
    </w:p>
    <w:p w14:paraId="34FDBE47"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（21）监督基金托管人按法律法规和《基金合同》规定履行自己的义务，基金托管人违反《基金合同》造成基金财产损失时，基金管理人应为基金份额持有人利益向基金托管人追偿；</w:t>
      </w:r>
    </w:p>
    <w:p w14:paraId="05797493"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（22）当基金管理人将其义务委托第三方处理时，应当对第三方处理有关基金事务的行为承担责任；</w:t>
      </w:r>
    </w:p>
    <w:p w14:paraId="1F79E985"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（23）以基金管理人名义，代表基金份额持有人利益行使诉讼权利或实施其他法律行为；</w:t>
      </w:r>
    </w:p>
    <w:p w14:paraId="23005D0C"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24）基金管理人在募集期间未能达到基金的备案条件，《基金合同》不能生效，基金管理人承担因募集行为而产生的债务和费用，将已募集资金并加计银行同期活期存款利息在基金募集期结束后30日内退还基金认购人；</w:t>
      </w:r>
    </w:p>
    <w:p w14:paraId="5FFE6502"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（25）执行生效的基金份额持有人大会的决议；</w:t>
      </w:r>
    </w:p>
    <w:p w14:paraId="3D75DACA"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（26）建立并保存基金份额持有人名册；</w:t>
      </w:r>
    </w:p>
    <w:p w14:paraId="6D5741C9"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（27）法律法规及中国证监会规定的和《基金合同》约定的其他义务。</w:t>
      </w:r>
    </w:p>
    <w:p w14:paraId="4783A405"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2、基金托管人的权利与义务</w:t>
      </w:r>
    </w:p>
    <w:p w14:paraId="20383227"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根据《基金法》、《运作办法》及其他有关规定，基金托管人的权利包括但不限</w:t>
      </w:r>
      <w:r>
        <w:rPr>
          <w:rFonts w:ascii="宋体" w:hAnsi="宋体"/>
          <w:sz w:val="24"/>
        </w:rPr>
        <w:lastRenderedPageBreak/>
        <w:t>于：</w:t>
      </w:r>
    </w:p>
    <w:p w14:paraId="26E8CFF2"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（1）自《基金合同》生效之日起，依法律法规和《基金合同》的规定安全保管基金财产；</w:t>
      </w:r>
    </w:p>
    <w:p w14:paraId="4C7E3F38"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（2）依《基金合同》约定获得基金托管费以及法律法规规定或监管部门批准的其他费用；</w:t>
      </w:r>
    </w:p>
    <w:p w14:paraId="224C2C0D"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5F42A6FE"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（4）根据相关市场规则，为基金开设资金账户、证券账户等投资所需账户、协助开立股指期货业务相关账户及交易编码、为基金办理证券、期货交易资金清算；</w:t>
      </w:r>
    </w:p>
    <w:p w14:paraId="1B0D47ED"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（5）提议召开或召集基金份额持有人大会；</w:t>
      </w:r>
    </w:p>
    <w:p w14:paraId="678D06EB"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（6）在基金管理人更换时，提名新的基金管理人；</w:t>
      </w:r>
    </w:p>
    <w:p w14:paraId="284F4B93"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（7）法律法规及中国证监会规定的和《基金合同》约定的其他权利。</w:t>
      </w:r>
    </w:p>
    <w:p w14:paraId="051316F4"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根据《基金法》、《运作办法》及其他有关规定，基金托管人的义务包括但不限于：</w:t>
      </w:r>
    </w:p>
    <w:p w14:paraId="48644C3B"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（1）以诚实信用、勤勉尽责的原则持有并安全保管基金财产；</w:t>
      </w:r>
    </w:p>
    <w:p w14:paraId="4ACD591C"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（2）设立专门的基金托管部门，具有符合要求的营业场所，配备足够的、合格的熟悉基金托管业务的专职人员，负责基金财产托管事宜；</w:t>
      </w:r>
    </w:p>
    <w:p w14:paraId="42E073AB"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37C2418F"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（4）除依据《基金法》、《基金合同》及其他有关规定外，不得利用基金财产为自己及任何第三人谋取利益，不得委托第三人托管基金财产；</w:t>
      </w:r>
    </w:p>
    <w:p w14:paraId="3259EE01"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（5）保管由基金管理人代表基金签订的与基金有关的重大合同及有关凭证；</w:t>
      </w:r>
    </w:p>
    <w:p w14:paraId="3F0C7B26"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（6）按规定开设基金财产的资金账户和证券账户等投资所需账户，协助开立股指期货业务相关账户及交易编码，按照《基金合同》的约定，根据基金管理人的投资指令，及时办理清算、交割事宜；</w:t>
      </w:r>
    </w:p>
    <w:p w14:paraId="5CDD3207"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（7）保守基金商业秘密，除《基金法》、《基金合同》及其他有关规定另有规</w:t>
      </w:r>
      <w:r>
        <w:rPr>
          <w:rFonts w:ascii="宋体" w:hAnsi="宋体"/>
          <w:sz w:val="24"/>
        </w:rPr>
        <w:lastRenderedPageBreak/>
        <w:t>定外，在基金信息公开披露前予以保密，不得向他人泄露；</w:t>
      </w:r>
    </w:p>
    <w:p w14:paraId="2CD50C7D" w14:textId="3F967E2B"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（8）复核、审查基金管理人计算的基金资产净值、</w:t>
      </w:r>
      <w:r w:rsidR="00C757E3" w:rsidRPr="00981412">
        <w:rPr>
          <w:rFonts w:ascii="宋体" w:hAnsi="宋体" w:hint="eastAsia"/>
          <w:sz w:val="24"/>
        </w:rPr>
        <w:t>各类</w:t>
      </w:r>
      <w:r>
        <w:rPr>
          <w:rFonts w:ascii="宋体" w:hAnsi="宋体"/>
          <w:sz w:val="24"/>
        </w:rPr>
        <w:t>基金份额净值、基金份额申购、赎回价格；</w:t>
      </w:r>
    </w:p>
    <w:p w14:paraId="044CD801"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（9）办理与基金托管业务活动有关的信息披露事项；</w:t>
      </w:r>
    </w:p>
    <w:p w14:paraId="13074182"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1868D2F9" w14:textId="331AF29C"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（11）保存基金托管业务活动的记录、账册、报表和其他相关资料</w:t>
      </w:r>
      <w:r w:rsidR="00C757E3" w:rsidRPr="00C757E3">
        <w:rPr>
          <w:rFonts w:ascii="宋体" w:hAnsi="宋体" w:hint="eastAsia"/>
          <w:sz w:val="24"/>
        </w:rPr>
        <w:t>不低于法律法规规定的最低期限</w:t>
      </w:r>
      <w:r>
        <w:rPr>
          <w:rFonts w:ascii="宋体" w:hAnsi="宋体"/>
          <w:sz w:val="24"/>
        </w:rPr>
        <w:t>；</w:t>
      </w:r>
    </w:p>
    <w:p w14:paraId="08725D86"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（12）从基金管理人或其委托的登记机构处接收并保存基金份额持有人名册；</w:t>
      </w:r>
    </w:p>
    <w:p w14:paraId="267A8099"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（13）按规定制作相关账册并与基金管理人核对；</w:t>
      </w:r>
    </w:p>
    <w:p w14:paraId="44A439C9"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（14）依据基金管理人的指令或有关规定向基金份额持有人支付基金收益和赎回款项；</w:t>
      </w:r>
    </w:p>
    <w:p w14:paraId="6B49A371"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（15）依据《基金法》、《基金合同》及其他有关规定，召集基金份额持有人大会或配合基金管理人、基金份额持有人依法召集基金份额持有人大会；</w:t>
      </w:r>
    </w:p>
    <w:p w14:paraId="03101493"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（16）按照法律法规和《基金合同》的规定监督基金管理人的投资运作；</w:t>
      </w:r>
    </w:p>
    <w:p w14:paraId="1AF1FBE2"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（17）参加基金财产清算小组，参与基金财产的保管、清理、估价、变现和分配；</w:t>
      </w:r>
    </w:p>
    <w:p w14:paraId="5058D496"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（18）面临解散、依法被撤销或者被依法宣告破产时，及时报告中国证监会和银行业监督管理机构，并通知基金管理人；</w:t>
      </w:r>
    </w:p>
    <w:p w14:paraId="7AE053E8"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（19）因违反《基金合同》导致基金财产损失时，应承担赔偿责任，其赔偿责任不因其退任而免除；</w:t>
      </w:r>
    </w:p>
    <w:p w14:paraId="0AFFEE2F"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（20）按规定监督基金管理人按法律法规和《基金合同》规定履行自己的义务，基金管理人因违反《基金合同》造成基金财产损失时，应为基金份额持有人利益向基金管理人追偿；</w:t>
      </w:r>
    </w:p>
    <w:p w14:paraId="17614124"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（21）执行生效的基金份额持有人大会的决议；</w:t>
      </w:r>
    </w:p>
    <w:p w14:paraId="090CC12C"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（22）法律法规及中国证监会规定的和《基金合同》约定的其他义务。</w:t>
      </w:r>
    </w:p>
    <w:p w14:paraId="495B6636"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3、基金份额持有人的权利与义务</w:t>
      </w:r>
    </w:p>
    <w:p w14:paraId="526D0C6B"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基金投资者持有本基金基金份额的行为即视为对《基金合同》的承认和接受，</w:t>
      </w:r>
      <w:r>
        <w:rPr>
          <w:rFonts w:ascii="宋体" w:hAnsi="宋体"/>
          <w:sz w:val="24"/>
        </w:rPr>
        <w:lastRenderedPageBreak/>
        <w:t>基金投资者自依据《基金合同》取得本基金的基金份额，即成为本基金份额持有人和《基金合同》的当事人，直至其不再持有本基金的基金份额。基金份额持有人作为《基金合同》当事人并不以在《基金合同》上书面签章或签字为必要条件。</w:t>
      </w:r>
    </w:p>
    <w:p w14:paraId="3C8246CE" w14:textId="017FF422" w:rsidR="00FB4D29" w:rsidRDefault="00C757E3">
      <w:pPr>
        <w:autoSpaceDE w:val="0"/>
        <w:autoSpaceDN w:val="0"/>
        <w:adjustRightInd w:val="0"/>
        <w:snapToGrid w:val="0"/>
        <w:spacing w:line="360" w:lineRule="auto"/>
        <w:ind w:firstLineChars="200" w:firstLine="480"/>
        <w:jc w:val="left"/>
        <w:rPr>
          <w:rFonts w:ascii="宋体" w:hAnsi="宋体"/>
          <w:szCs w:val="24"/>
        </w:rPr>
      </w:pPr>
      <w:r w:rsidRPr="00355CA2">
        <w:rPr>
          <w:rFonts w:hint="eastAsia"/>
          <w:bCs/>
          <w:sz w:val="24"/>
        </w:rPr>
        <w:t>同一类别的</w:t>
      </w:r>
      <w:r w:rsidR="00CF4592">
        <w:rPr>
          <w:rFonts w:ascii="宋体" w:hAnsi="宋体"/>
          <w:sz w:val="24"/>
        </w:rPr>
        <w:t>每份基金份额具有同等的合法权益。</w:t>
      </w:r>
    </w:p>
    <w:p w14:paraId="6CE30FD2"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根据《基金法》、《运作办法》及其他有关规定，基金份额持有人的权利包括但不限于：</w:t>
      </w:r>
    </w:p>
    <w:p w14:paraId="5DE2D3F6"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（1）分享基金财产收益；</w:t>
      </w:r>
    </w:p>
    <w:p w14:paraId="61EA7B20"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（2）参与分配清算后的剩余基金财产；</w:t>
      </w:r>
    </w:p>
    <w:p w14:paraId="7B827701"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（3）依法并按照基金合同和招募说明书的规定申请赎回或转让其持有的基金份额；</w:t>
      </w:r>
    </w:p>
    <w:p w14:paraId="571C4F48"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（4）按照规定要求召开基金份额持有人大会或者召集基金份额持有人大会；</w:t>
      </w:r>
    </w:p>
    <w:p w14:paraId="741A68FA"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（5）出席或者委派代表出席基金份额持有人大会，对基金份额持有人大会审议事项行使表决权；</w:t>
      </w:r>
    </w:p>
    <w:p w14:paraId="343A2745"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（6）查阅或者复制公开披露的基金信息资料；</w:t>
      </w:r>
    </w:p>
    <w:p w14:paraId="36016400"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（7）监督基金管理人的投资运作；</w:t>
      </w:r>
    </w:p>
    <w:p w14:paraId="6E6616FC"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（8）对基金管理人、基金托管人、基金服务机构损害其合法权益的行为依法提起诉讼或仲裁；</w:t>
      </w:r>
    </w:p>
    <w:p w14:paraId="5D8CAA38"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（9）法律法规及中国证监会规定的和《基金合同》约定的其他权利。</w:t>
      </w:r>
    </w:p>
    <w:p w14:paraId="786B1D1A"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根据《基金法》、《运作办法》及其他有关规定，基金份额持有人的义务包括但不限于：</w:t>
      </w:r>
    </w:p>
    <w:p w14:paraId="40486AD4"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（1）认真阅读并遵守《基金合同》、招募说明书等信息披露文件；</w:t>
      </w:r>
    </w:p>
    <w:p w14:paraId="35370E93"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（2）了解所投资基金产品，了解自身风险承受能力，自主判断基金的投资价值，自主做出投资决策，自行承担投资风险；</w:t>
      </w:r>
    </w:p>
    <w:p w14:paraId="1C36E2CA"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（3）关注基金信息披露，及时行使权利和履行义务；</w:t>
      </w:r>
    </w:p>
    <w:p w14:paraId="00A71A81"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（4）缴纳基金认购、申购款项及法律法规和《基金合同》所规定的费用；</w:t>
      </w:r>
    </w:p>
    <w:p w14:paraId="25B08668"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（5）在其持有的基金份额范围内，承担基金亏损或者《基金合同》终止的有限责任；</w:t>
      </w:r>
    </w:p>
    <w:p w14:paraId="0020F876"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（6）不从事任何有损基金及其他《基金合同》当事人合法权益的活动；</w:t>
      </w:r>
    </w:p>
    <w:p w14:paraId="0BE87A16"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（7）执行生效的基金份额持有人大会的决议；</w:t>
      </w:r>
    </w:p>
    <w:p w14:paraId="70A04418"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（8）返还在基金交易过程中因任何原因获得的不当得利；</w:t>
      </w:r>
    </w:p>
    <w:p w14:paraId="4F612FBA"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（9）遵守基金管理人、基金托管人、销售机构和登记机构的相关交易及业务规则；</w:t>
      </w:r>
    </w:p>
    <w:p w14:paraId="5E70D1CD"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（10）提供基金管理人和监管机构依法要求提供的信息，以及不时的更新和补充，并保证其真实性；</w:t>
      </w:r>
    </w:p>
    <w:p w14:paraId="292DA082"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（11）法律法规及中国证监会规定的和《基金合同》约定的其他义务。</w:t>
      </w:r>
    </w:p>
    <w:p w14:paraId="56735871" w14:textId="77777777" w:rsidR="00FB4D29" w:rsidRDefault="00CF4592">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（二）基金份额持有人大会召集、议事及表决的程序和规则</w:t>
      </w:r>
    </w:p>
    <w:p w14:paraId="2214D041"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基金份额持有人大会由基金份额持有人组成，基金份额持有人的合法授权代表有权代表基金份额持有人出席会议并表决。基金份额持有人持有的每一基金份额拥有平等的投票权。</w:t>
      </w:r>
    </w:p>
    <w:p w14:paraId="138601FE"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本基金份额持有人大会不设日常机构。</w:t>
      </w:r>
    </w:p>
    <w:p w14:paraId="17071F7A"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1、召开事由</w:t>
      </w:r>
    </w:p>
    <w:p w14:paraId="074F59A0"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（1）当出现或需要决定下列事由之一的，应当召开基金份额持有人大会，法律法规、基金合同和中国证监会另有规定的除外：</w:t>
      </w:r>
    </w:p>
    <w:p w14:paraId="0A2DFB7C" w14:textId="2C9DC3C3"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1）终止《基金合同》；</w:t>
      </w:r>
    </w:p>
    <w:p w14:paraId="21158BE8"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2）更换基金管理人；</w:t>
      </w:r>
    </w:p>
    <w:p w14:paraId="52A4FE2D"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3）更换基金托管人；</w:t>
      </w:r>
    </w:p>
    <w:p w14:paraId="1EB7D559"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4）转换基金运作方式；</w:t>
      </w:r>
    </w:p>
    <w:p w14:paraId="0D807860" w14:textId="5396D6A6"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5）调整基金管理人、基金托管人的报酬标准</w:t>
      </w:r>
      <w:r w:rsidR="00B42E4E">
        <w:rPr>
          <w:rFonts w:ascii="宋体" w:hAnsi="宋体" w:hint="eastAsia"/>
          <w:sz w:val="24"/>
        </w:rPr>
        <w:t>或提高销售服务费率</w:t>
      </w:r>
      <w:r>
        <w:rPr>
          <w:rFonts w:ascii="宋体" w:hAnsi="宋体"/>
          <w:sz w:val="24"/>
        </w:rPr>
        <w:t>；</w:t>
      </w:r>
    </w:p>
    <w:p w14:paraId="1496A177"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6）变更基金类别；</w:t>
      </w:r>
    </w:p>
    <w:p w14:paraId="71BD1A9C"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7）本基金与其他基金的合并；</w:t>
      </w:r>
    </w:p>
    <w:p w14:paraId="7EB2BE57"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8）变更基金投资目标、范围或策略；</w:t>
      </w:r>
    </w:p>
    <w:p w14:paraId="2A3D108F"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9）变更基金份额持有人大会程序；</w:t>
      </w:r>
    </w:p>
    <w:p w14:paraId="03B108A8"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10）基金管理人或基金托管人要求召开基金份额持有人大会；</w:t>
      </w:r>
    </w:p>
    <w:p w14:paraId="39A5CC2E"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11）单独或合计持有本基金总份额10%以上（含10%）基金份额的基金份额持有人（以基金管理人收到提议当日的基金份额计算，下同）就同一事项书面要求召开基金份额持有人大会；</w:t>
      </w:r>
    </w:p>
    <w:p w14:paraId="2896CE90"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12）对基金合同当事人权利和义务产生重大影响的其他事项；</w:t>
      </w:r>
    </w:p>
    <w:p w14:paraId="3C7F3996"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13）法律法规、《基金合同》或中国证监会规定的其他应当召开基金份额持有人大会的事项。</w:t>
      </w:r>
    </w:p>
    <w:p w14:paraId="77D11012"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（2）以下情况可由基金管理人和基金托管人协商后修改，不需召开基金份额</w:t>
      </w:r>
      <w:r>
        <w:rPr>
          <w:rFonts w:ascii="宋体" w:hAnsi="宋体"/>
          <w:sz w:val="24"/>
        </w:rPr>
        <w:lastRenderedPageBreak/>
        <w:t>持有人大会：</w:t>
      </w:r>
    </w:p>
    <w:p w14:paraId="2A6287EA"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1）调低除基金管理费、基金托管费之外的其他应由本基金或基金份额持有人承担的费用；</w:t>
      </w:r>
    </w:p>
    <w:p w14:paraId="2104DBC6"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2）法律法规要求增加的基金费用的收取；</w:t>
      </w:r>
    </w:p>
    <w:p w14:paraId="52700482" w14:textId="1BF131BA"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3）在法律法规和《基金合同》规定的范围内，且在对现有基金份额持有人利益无实质性不利影响的前提下调整本基金的申购费率、调低赎回费率</w:t>
      </w:r>
      <w:r w:rsidR="008C4112" w:rsidRPr="000A7D9C">
        <w:rPr>
          <w:rFonts w:hint="eastAsia"/>
          <w:bCs/>
          <w:sz w:val="24"/>
        </w:rPr>
        <w:t>及销售服务费率</w:t>
      </w:r>
      <w:r>
        <w:rPr>
          <w:rFonts w:ascii="宋体" w:hAnsi="宋体"/>
          <w:sz w:val="24"/>
        </w:rPr>
        <w:t>、变更或增加收费方式；</w:t>
      </w:r>
    </w:p>
    <w:p w14:paraId="2E69D74E"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4）因相应的法律法规、登记机构的相关业务规则发生变动而应当对《基金合同》进行修改；</w:t>
      </w:r>
    </w:p>
    <w:p w14:paraId="2D758A47"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5）对《基金合同》的修改对基金份额持有人利益无实质性不利影响或修改不涉及《基金合同》当事人权利义务关系发生重大变化；</w:t>
      </w:r>
    </w:p>
    <w:p w14:paraId="11468F73"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6）在法律法规允许的情况下，且在对现有基金份额持有人利益无实质性不利影响的前提下，基金推出新业务或服务；</w:t>
      </w:r>
    </w:p>
    <w:p w14:paraId="5AF9F775"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7）在符合法律法规及本基金合同规定、并且对基金份额持有人利益无实质不利影响的前提下，调整本基金份额类别的设置；</w:t>
      </w:r>
    </w:p>
    <w:p w14:paraId="429724B0"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8）在不违反法律法规及对基金份额持有人利益无实质性不利影响的前提下，基金管理人、登记机构、销售机构调整有关基金认购、申购、赎回、转换、收益分配、非交易过户、转托管等业务的规则；</w:t>
      </w:r>
    </w:p>
    <w:p w14:paraId="3B673DF8"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9）按照法律法规和《基金合同》规定不需召开基金份额持有人大会的其他情形。</w:t>
      </w:r>
    </w:p>
    <w:p w14:paraId="02C11842"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2、会议召集人及召集方式</w:t>
      </w:r>
    </w:p>
    <w:p w14:paraId="44CC4231"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（1）除法律法规规定或《基金合同》另有约定外，基金份额持有人大会由基金管理人召集；</w:t>
      </w:r>
    </w:p>
    <w:p w14:paraId="6B141DB4"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（2）基金管理人未按规定召集或不能召集时，由基金托管人召集；</w:t>
      </w:r>
    </w:p>
    <w:p w14:paraId="7DC4734E"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w:t>
      </w:r>
    </w:p>
    <w:p w14:paraId="74886D58"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60日内召开；基金管理人决定不召集，基金托管人仍认为有必要召开的，应当由基金托管人自行召集，并自出具书面决定之日起60日内召开并告知基金管理人，基金管理人应当配合；</w:t>
      </w:r>
    </w:p>
    <w:p w14:paraId="30D7CC78"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14:paraId="61CBE90A"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14:paraId="66B80F7B"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（6）基金份额持有人会议的召集人负责选择确定开会时间、地点、方式和权益登记日。</w:t>
      </w:r>
    </w:p>
    <w:p w14:paraId="3E36BC46"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3、召开基金份额持有人大会的通知时间、通知内容、通知方式</w:t>
      </w:r>
    </w:p>
    <w:p w14:paraId="54E1940F" w14:textId="2BDA294F"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（1）召开基金份额持有人大会，召集人应于会议召开前30日，在</w:t>
      </w:r>
      <w:r w:rsidR="003246BF">
        <w:rPr>
          <w:rFonts w:ascii="宋体" w:hAnsi="宋体"/>
          <w:sz w:val="24"/>
        </w:rPr>
        <w:t>规定媒介</w:t>
      </w:r>
      <w:r>
        <w:rPr>
          <w:rFonts w:ascii="宋体" w:hAnsi="宋体"/>
          <w:sz w:val="24"/>
        </w:rPr>
        <w:t>公告。基金份额持有人大会通知应至少载明以下内容：</w:t>
      </w:r>
    </w:p>
    <w:p w14:paraId="6CF9D9FD"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1）会议召开的时间、地点和会议形式；</w:t>
      </w:r>
    </w:p>
    <w:p w14:paraId="482CB73F"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2）会议拟审议的事项、议事程序和表决方式；</w:t>
      </w:r>
    </w:p>
    <w:p w14:paraId="767EBAEF"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3）有权出席基金份额持有人大会的基金份额持有人的权益登记日；</w:t>
      </w:r>
    </w:p>
    <w:p w14:paraId="76D654DD"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4）授权委托证明的内容要求（包括但不限于代理人身份，代理权限和代理有效期限等）、送达时间和地点；</w:t>
      </w:r>
    </w:p>
    <w:p w14:paraId="17828DCF"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5）会务常设联系人姓名及联系电话；</w:t>
      </w:r>
    </w:p>
    <w:p w14:paraId="06870ADB"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6）出席会议者必须准备的文件和必须履行的手续；</w:t>
      </w:r>
    </w:p>
    <w:p w14:paraId="05B82012"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7）召集人需要通知的其他事项。</w:t>
      </w:r>
    </w:p>
    <w:p w14:paraId="03B301F9"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055F601D"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36F6E3EB"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4、基金份额持有人出席会议的方式</w:t>
      </w:r>
    </w:p>
    <w:p w14:paraId="38928EBB"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基金份额持有人大会可通过现场开会方式、通讯开会方式或法律法规和监管机关允许的其他方式召开，会议的召开方式由会议召集人确定。</w:t>
      </w:r>
    </w:p>
    <w:p w14:paraId="697A6609"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17A959C3"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56E5564B"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基金份额应不少于在权益登记日基金总份额的三分之一（含三分之一）。</w:t>
      </w:r>
    </w:p>
    <w:p w14:paraId="372C6DE3"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（2）通讯开会。通讯开会系指基金份额持有人将其对表决事项的投票以会议通知载明的形式在表决截止日以前送达至召集人指定的地址或系统。</w:t>
      </w:r>
    </w:p>
    <w:p w14:paraId="3E8073DC"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在同时符合以下条件时，通讯开会的方式视为有效：</w:t>
      </w:r>
    </w:p>
    <w:p w14:paraId="60E982F5"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1）会议召集人按《基金合同》约定公布会议通知后，在2个工作日内连续公布相关提示性公告；</w:t>
      </w:r>
    </w:p>
    <w:p w14:paraId="7951C824"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2）召集人按基金合同约定通知基金托管人（如果基金托管人为召集人，则为基金管理人）到指定地点对表决意见的计票进行监督。会议召集人在基金托管人</w:t>
      </w:r>
      <w:r>
        <w:rPr>
          <w:rFonts w:ascii="宋体" w:hAnsi="宋体"/>
          <w:sz w:val="24"/>
        </w:rPr>
        <w:lastRenderedPageBreak/>
        <w:t>（如果基金托管人为召集人，则为基金管理人）和公证机关的监督下按照会议通知规定的方式收取基金份额持有人的表决意见；基金托管人或基金管理人经通知不参加收取表决意见的，不影响表决效力；</w:t>
      </w:r>
    </w:p>
    <w:p w14:paraId="517816CC"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本人直接出具表决意见或授权他人代表出具表决意见的，基金份额持有人所持有的基金份额不小于在权益登记日基金总份额的二分之一（含二分之一）；若本人直接出具表决意见或授权他人代表出具表决意见的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基金总份额三分之一以上（含三分之一）基金份额的持有人直接出具表决意见或授权他人代表出具表决意见；</w:t>
      </w:r>
    </w:p>
    <w:p w14:paraId="070F648F"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上述第3）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74916A42"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在法律法规和监管机关允许的情况下，经会议通知载明，本基金可采用网络、电话、短信等其他非书面方式由基金份额持有人向其授权代表进行授权；本基金亦可采用网络、电话、短信等其他非现场方式或者以非现场方式与现场方式结合的方式召开基金份额持有人大会并表决，具体方式由会议召集人确定并在会议通知中列明，会议程序比照现场开会和通讯方式开会的程序进行。</w:t>
      </w:r>
    </w:p>
    <w:p w14:paraId="09A65B8B"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5、议事内容与程序</w:t>
      </w:r>
    </w:p>
    <w:p w14:paraId="4E1296D2"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（1）议事内容及提案权</w:t>
      </w:r>
    </w:p>
    <w:p w14:paraId="3A30E063"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议事内容为关系基金份额持有人利益的重大事项，如《基金合同》的重大修改、决定终止《基金合同》、更换基金管理人、更换基金托管人、与其他基金合并（法律法规、基金合同和中国证监会另有规定的除外）、法律法规及《基金合同》规定的其他事项以及会议召集人认为需提交基金份额持有人大会讨论的其他事项。</w:t>
      </w:r>
    </w:p>
    <w:p w14:paraId="001D179A"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基金份额持有人大会的召集人发出召集会议的通知后，对原有提案的修改应当在基金份额持有人大会召开前及时公告。</w:t>
      </w:r>
    </w:p>
    <w:p w14:paraId="771F160E"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基金份额持有人大会不得对未事先公告的议事内容进行表决。</w:t>
      </w:r>
    </w:p>
    <w:p w14:paraId="7E9E103E"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（2）议事程序</w:t>
      </w:r>
    </w:p>
    <w:p w14:paraId="10E21E2D"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1）现场开会</w:t>
      </w:r>
    </w:p>
    <w:p w14:paraId="4DAC5D5E"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现场开会的方式下，首先由大会主持人按照下列第7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二分之一以上（含二分之一）选举产生一名基金份额持有人或代理人作为该次基金份额持有人大会的主持人。基金管理人和基金托管人拒不出席或主持基金份额持有人大会，不影响基金份额持有人大会作出的决议的效力。</w:t>
      </w:r>
    </w:p>
    <w:p w14:paraId="6886C1C0"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会议召集人应当制作出席会议人员的签名册。签名册载明参加会议人员姓名（或单位名称）、身份证明文件号码、持有或代表有表决权的基金份额、委托人姓名（或单位名称）和联系方式等事项。</w:t>
      </w:r>
    </w:p>
    <w:p w14:paraId="14C3E474"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2）通讯开会</w:t>
      </w:r>
    </w:p>
    <w:p w14:paraId="3A1FF9BA"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在通讯开会的情况下，首先由召集人提前30日公布提案，在所通知的表决截止日期后2个工作日内在公证机关监督下由召集人统计全部有效表决，在公证机关监督下形成决议。</w:t>
      </w:r>
    </w:p>
    <w:p w14:paraId="77BC2843"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6、表决</w:t>
      </w:r>
    </w:p>
    <w:p w14:paraId="08618E6D"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基金份额持有人所持每份基金份额有一票表决权。</w:t>
      </w:r>
    </w:p>
    <w:p w14:paraId="21A19748"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基金份额持有人大会决议分为一般决议和特别决议：</w:t>
      </w:r>
    </w:p>
    <w:p w14:paraId="4F357B06"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14:paraId="51BD7529"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特别决议，特别决议应当经参加大会的基金份额持有人或其代理人所持表决权的三分之二以上（含三分之二）通过方可做出。转换基金运作方式、更换基金管理人或者基金托管人、终止《基金合同》、本基金与其他基金合并（法律法规、基金合同和中国证监会另有规定的除外）以特别决议通过方为有效。</w:t>
      </w:r>
    </w:p>
    <w:p w14:paraId="6C4499E2"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基金份额持有人大会采取记名方式进行投票表决。</w:t>
      </w:r>
    </w:p>
    <w:p w14:paraId="1ED053D6"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w:t>
      </w:r>
      <w:r>
        <w:rPr>
          <w:rFonts w:ascii="宋体" w:hAnsi="宋体"/>
          <w:sz w:val="24"/>
        </w:rPr>
        <w:lastRenderedPageBreak/>
        <w:t>表决，但应当计入出具表决意见的基金份额持有人所代表的基金份额总数。</w:t>
      </w:r>
    </w:p>
    <w:p w14:paraId="392CFF66"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基金份额持有人大会的各项提案或同一项提案内并列的各项议题应当分开审议、逐项表决。</w:t>
      </w:r>
    </w:p>
    <w:p w14:paraId="0E4ED0E9"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7、计票</w:t>
      </w:r>
    </w:p>
    <w:p w14:paraId="00B140DB"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（1）现场开会</w:t>
      </w:r>
    </w:p>
    <w:p w14:paraId="2B11CC9B"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和代理人中选举三名基金份额持有人代表担任监票人。基金管理人或基金托管人不出席大会的，不影响计票的效力。</w:t>
      </w:r>
    </w:p>
    <w:p w14:paraId="64E30EE1"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2）监票人应当在基金份额持有人表决后立即进行清点并由大会主持人当场公布计票结果。</w:t>
      </w:r>
    </w:p>
    <w:p w14:paraId="75BEB865"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30B4FD5E"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4）计票过程应由公证机关予以公证，基金管理人或基金托管人拒不出席大会的，不影响计票的效力。</w:t>
      </w:r>
    </w:p>
    <w:p w14:paraId="2A68D099"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（2）通讯开会</w:t>
      </w:r>
    </w:p>
    <w:p w14:paraId="12174212"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14:paraId="214E60C4"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8、生效与公告</w:t>
      </w:r>
    </w:p>
    <w:p w14:paraId="56E309D5"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基金份额持有人大会的决定的事项自表决通过之日起生效，召集人应当自通过之日起5日内报中国证监会备案。</w:t>
      </w:r>
    </w:p>
    <w:p w14:paraId="5EFD06EB" w14:textId="6B6F7EFC"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基金份额持有人大会决议自生效之日起2日内在</w:t>
      </w:r>
      <w:r w:rsidR="003246BF">
        <w:rPr>
          <w:rFonts w:ascii="宋体" w:hAnsi="宋体"/>
          <w:sz w:val="24"/>
        </w:rPr>
        <w:t>规定媒介</w:t>
      </w:r>
      <w:r>
        <w:rPr>
          <w:rFonts w:ascii="宋体" w:hAnsi="宋体"/>
          <w:sz w:val="24"/>
        </w:rPr>
        <w:t>上公告。如果采用通讯方式进行表决，在公告基金份额持有人大会决议时，必须将公证书全文、公证机构、公证员姓名等一同公告。</w:t>
      </w:r>
    </w:p>
    <w:p w14:paraId="2BFF5DB5"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基金管理人、基金托管人和基金份额持有人应当执行生效的基金份额持有人大会的决议。生效的基金份额持有人大会决议对全体基金份额持有人、基金管理人、基金托管人均有约束力。</w:t>
      </w:r>
    </w:p>
    <w:p w14:paraId="2399A30D" w14:textId="77777777" w:rsidR="00B42E4E" w:rsidRPr="00B42E4E" w:rsidRDefault="00CF4592" w:rsidP="00B42E4E">
      <w:pPr>
        <w:autoSpaceDE w:val="0"/>
        <w:autoSpaceDN w:val="0"/>
        <w:adjustRightInd w:val="0"/>
        <w:snapToGrid w:val="0"/>
        <w:spacing w:line="360" w:lineRule="auto"/>
        <w:ind w:firstLineChars="200" w:firstLine="480"/>
        <w:jc w:val="left"/>
        <w:rPr>
          <w:rFonts w:ascii="宋体" w:hAnsi="宋体"/>
          <w:sz w:val="24"/>
        </w:rPr>
      </w:pPr>
      <w:r>
        <w:rPr>
          <w:rFonts w:ascii="宋体" w:hAnsi="宋体"/>
          <w:sz w:val="24"/>
        </w:rPr>
        <w:t>9、</w:t>
      </w:r>
      <w:r w:rsidR="00B42E4E" w:rsidRPr="00B42E4E">
        <w:rPr>
          <w:rFonts w:ascii="宋体" w:hAnsi="宋体" w:hint="eastAsia"/>
          <w:sz w:val="24"/>
        </w:rPr>
        <w:t>实施侧袋机制期间基金份额持有人大会的特殊约定</w:t>
      </w:r>
    </w:p>
    <w:p w14:paraId="5810DED8" w14:textId="77777777" w:rsidR="00B42E4E" w:rsidRPr="00B42E4E" w:rsidRDefault="00B42E4E" w:rsidP="00B42E4E">
      <w:pPr>
        <w:autoSpaceDE w:val="0"/>
        <w:autoSpaceDN w:val="0"/>
        <w:adjustRightInd w:val="0"/>
        <w:snapToGrid w:val="0"/>
        <w:spacing w:line="360" w:lineRule="auto"/>
        <w:ind w:firstLineChars="200" w:firstLine="480"/>
        <w:jc w:val="left"/>
        <w:rPr>
          <w:rFonts w:ascii="宋体" w:hAnsi="宋体"/>
          <w:sz w:val="24"/>
        </w:rPr>
      </w:pPr>
      <w:r w:rsidRPr="00B42E4E">
        <w:rPr>
          <w:rFonts w:ascii="宋体" w:hAnsi="宋体" w:hint="eastAsia"/>
          <w:sz w:val="24"/>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1A41FC5B" w14:textId="049DAEF4" w:rsidR="00B42E4E" w:rsidRPr="00B42E4E" w:rsidRDefault="00B42E4E" w:rsidP="00B42E4E">
      <w:pPr>
        <w:autoSpaceDE w:val="0"/>
        <w:autoSpaceDN w:val="0"/>
        <w:adjustRightInd w:val="0"/>
        <w:snapToGrid w:val="0"/>
        <w:spacing w:line="360" w:lineRule="auto"/>
        <w:ind w:firstLineChars="200" w:firstLine="480"/>
        <w:jc w:val="left"/>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w:t>
      </w:r>
      <w:r w:rsidRPr="00B42E4E">
        <w:rPr>
          <w:rFonts w:ascii="宋体" w:hAnsi="宋体" w:hint="eastAsia"/>
          <w:sz w:val="24"/>
        </w:rPr>
        <w:t>基金份额持有人行使提议权、召集权、提名权所需单独或合计代表相关基金份额10%以上（含10%）；</w:t>
      </w:r>
    </w:p>
    <w:p w14:paraId="707AFA82" w14:textId="7D5F035C" w:rsidR="00B42E4E" w:rsidRPr="00B42E4E" w:rsidRDefault="00B42E4E" w:rsidP="00B42E4E">
      <w:pPr>
        <w:autoSpaceDE w:val="0"/>
        <w:autoSpaceDN w:val="0"/>
        <w:adjustRightInd w:val="0"/>
        <w:snapToGrid w:val="0"/>
        <w:spacing w:line="360" w:lineRule="auto"/>
        <w:ind w:firstLineChars="200" w:firstLine="480"/>
        <w:jc w:val="left"/>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w:t>
      </w:r>
      <w:r w:rsidRPr="00B42E4E">
        <w:rPr>
          <w:rFonts w:ascii="宋体" w:hAnsi="宋体" w:hint="eastAsia"/>
          <w:sz w:val="24"/>
        </w:rPr>
        <w:t>现场开会的到会者在权益登记日代表的基金份额不少于本基金在权益登记日相关基金份额的二分之一（含二分之一）；</w:t>
      </w:r>
    </w:p>
    <w:p w14:paraId="38E94A0F" w14:textId="4B8461BC" w:rsidR="00B42E4E" w:rsidRPr="00B42E4E" w:rsidRDefault="00B42E4E" w:rsidP="00B42E4E">
      <w:pPr>
        <w:autoSpaceDE w:val="0"/>
        <w:autoSpaceDN w:val="0"/>
        <w:adjustRightInd w:val="0"/>
        <w:snapToGrid w:val="0"/>
        <w:spacing w:line="360" w:lineRule="auto"/>
        <w:ind w:firstLineChars="200" w:firstLine="480"/>
        <w:jc w:val="left"/>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w:t>
      </w:r>
      <w:r w:rsidRPr="00B42E4E">
        <w:rPr>
          <w:rFonts w:ascii="宋体" w:hAnsi="宋体" w:hint="eastAsia"/>
          <w:sz w:val="24"/>
        </w:rPr>
        <w:t>通讯开会的直接出具表决意见或授权他人代表出具表决意见的基金份额持有人所持有的基金份额不小于在权益登记日相关基金份额的二分之一（含二分之一）；</w:t>
      </w:r>
    </w:p>
    <w:p w14:paraId="68CAEC9A" w14:textId="616CE299" w:rsidR="00B42E4E" w:rsidRPr="00B42E4E" w:rsidRDefault="00B42E4E" w:rsidP="00B42E4E">
      <w:pPr>
        <w:autoSpaceDE w:val="0"/>
        <w:autoSpaceDN w:val="0"/>
        <w:adjustRightInd w:val="0"/>
        <w:snapToGrid w:val="0"/>
        <w:spacing w:line="360" w:lineRule="auto"/>
        <w:ind w:firstLineChars="200" w:firstLine="480"/>
        <w:jc w:val="left"/>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w:t>
      </w:r>
      <w:r w:rsidRPr="00B42E4E">
        <w:rPr>
          <w:rFonts w:ascii="宋体" w:hAnsi="宋体" w:hint="eastAsia"/>
          <w:sz w:val="24"/>
        </w:rPr>
        <w:t>在参与基金份额持有人大会投票的基金份额持有人所持有的基金份额小于在权益登记日相关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14:paraId="4BE3B0E7" w14:textId="73133F7B" w:rsidR="00B42E4E" w:rsidRPr="00B42E4E" w:rsidRDefault="00B42E4E" w:rsidP="00B42E4E">
      <w:pPr>
        <w:autoSpaceDE w:val="0"/>
        <w:autoSpaceDN w:val="0"/>
        <w:adjustRightInd w:val="0"/>
        <w:snapToGrid w:val="0"/>
        <w:spacing w:line="360" w:lineRule="auto"/>
        <w:ind w:firstLineChars="200" w:firstLine="480"/>
        <w:jc w:val="left"/>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w:t>
      </w:r>
      <w:r w:rsidRPr="00B42E4E">
        <w:rPr>
          <w:rFonts w:ascii="宋体" w:hAnsi="宋体" w:hint="eastAsia"/>
          <w:sz w:val="24"/>
        </w:rPr>
        <w:t>现场开会由出席大会的基金份额持有人和代理人所持表决权的50%以上（含50%）选举产生一名基金份额持有人或代理人作为该次基金份额持有人大会的主持人；</w:t>
      </w:r>
    </w:p>
    <w:p w14:paraId="79066967" w14:textId="054A7AD1" w:rsidR="00B42E4E" w:rsidRPr="00B42E4E" w:rsidRDefault="00B42E4E" w:rsidP="00B42E4E">
      <w:pPr>
        <w:autoSpaceDE w:val="0"/>
        <w:autoSpaceDN w:val="0"/>
        <w:adjustRightInd w:val="0"/>
        <w:snapToGrid w:val="0"/>
        <w:spacing w:line="360" w:lineRule="auto"/>
        <w:ind w:firstLineChars="200" w:firstLine="480"/>
        <w:jc w:val="left"/>
        <w:rPr>
          <w:rFonts w:ascii="宋体" w:hAnsi="宋体"/>
          <w:sz w:val="24"/>
        </w:rPr>
      </w:pPr>
      <w:r>
        <w:rPr>
          <w:rFonts w:ascii="宋体" w:hAnsi="宋体" w:hint="eastAsia"/>
          <w:sz w:val="24"/>
        </w:rPr>
        <w:t>（</w:t>
      </w:r>
      <w:r>
        <w:rPr>
          <w:rFonts w:ascii="宋体" w:hAnsi="宋体"/>
          <w:sz w:val="24"/>
        </w:rPr>
        <w:t>6</w:t>
      </w:r>
      <w:r>
        <w:rPr>
          <w:rFonts w:ascii="宋体" w:hAnsi="宋体" w:hint="eastAsia"/>
          <w:sz w:val="24"/>
        </w:rPr>
        <w:t>）</w:t>
      </w:r>
      <w:r w:rsidRPr="00B42E4E">
        <w:rPr>
          <w:rFonts w:ascii="宋体" w:hAnsi="宋体" w:hint="eastAsia"/>
          <w:sz w:val="24"/>
        </w:rPr>
        <w:t>一般决议须经参加大会的基金份额持有人或其代理人所持表决权的二分之一以上（含二分之一）通过；</w:t>
      </w:r>
    </w:p>
    <w:p w14:paraId="06068C4F" w14:textId="120EB5AB" w:rsidR="00B42E4E" w:rsidRPr="00B42E4E" w:rsidRDefault="00B42E4E" w:rsidP="00B42E4E">
      <w:pPr>
        <w:autoSpaceDE w:val="0"/>
        <w:autoSpaceDN w:val="0"/>
        <w:adjustRightInd w:val="0"/>
        <w:snapToGrid w:val="0"/>
        <w:spacing w:line="360" w:lineRule="auto"/>
        <w:ind w:firstLineChars="200" w:firstLine="480"/>
        <w:jc w:val="left"/>
        <w:rPr>
          <w:rFonts w:ascii="宋体" w:hAnsi="宋体"/>
          <w:sz w:val="24"/>
        </w:rPr>
      </w:pPr>
      <w:r>
        <w:rPr>
          <w:rFonts w:ascii="宋体" w:hAnsi="宋体" w:hint="eastAsia"/>
          <w:sz w:val="24"/>
        </w:rPr>
        <w:t>（</w:t>
      </w:r>
      <w:r>
        <w:rPr>
          <w:rFonts w:ascii="宋体" w:hAnsi="宋体"/>
          <w:sz w:val="24"/>
        </w:rPr>
        <w:t>7</w:t>
      </w:r>
      <w:r>
        <w:rPr>
          <w:rFonts w:ascii="宋体" w:hAnsi="宋体" w:hint="eastAsia"/>
          <w:sz w:val="24"/>
        </w:rPr>
        <w:t>）</w:t>
      </w:r>
      <w:r w:rsidRPr="00B42E4E">
        <w:rPr>
          <w:rFonts w:ascii="宋体" w:hAnsi="宋体" w:hint="eastAsia"/>
          <w:sz w:val="24"/>
        </w:rPr>
        <w:t>特别决议应当经参加大会的基金份额持有人或其代理人所持表决权的三分之二以上（含三分之二）通过。</w:t>
      </w:r>
    </w:p>
    <w:p w14:paraId="444157CA" w14:textId="77777777" w:rsidR="00B42E4E" w:rsidRPr="00B42E4E" w:rsidRDefault="00B42E4E" w:rsidP="00B42E4E">
      <w:pPr>
        <w:autoSpaceDE w:val="0"/>
        <w:autoSpaceDN w:val="0"/>
        <w:adjustRightInd w:val="0"/>
        <w:snapToGrid w:val="0"/>
        <w:spacing w:line="360" w:lineRule="auto"/>
        <w:ind w:firstLineChars="200" w:firstLine="480"/>
        <w:jc w:val="left"/>
        <w:rPr>
          <w:rFonts w:ascii="宋体" w:hAnsi="宋体"/>
          <w:sz w:val="24"/>
        </w:rPr>
      </w:pPr>
      <w:r w:rsidRPr="00B42E4E">
        <w:rPr>
          <w:rFonts w:ascii="宋体" w:hAnsi="宋体" w:hint="eastAsia"/>
          <w:sz w:val="24"/>
        </w:rPr>
        <w:t>同一主侧袋账户内的每份基金份额具有平等的表决权。</w:t>
      </w:r>
    </w:p>
    <w:p w14:paraId="7EBAB7A6" w14:textId="44200146" w:rsidR="00FB4D29" w:rsidRDefault="00B42E4E" w:rsidP="00B42E4E">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w:t>
      </w:r>
      <w:r>
        <w:rPr>
          <w:rFonts w:ascii="宋体" w:hAnsi="宋体" w:hint="eastAsia"/>
          <w:sz w:val="24"/>
        </w:rPr>
        <w:t>、</w:t>
      </w:r>
      <w:r w:rsidR="00CF4592">
        <w:rPr>
          <w:rFonts w:ascii="宋体" w:hAnsi="宋体"/>
          <w:sz w:val="24"/>
        </w:rPr>
        <w:t>本部分对基金份额持有人大会召开事由、召开条件、议事程序、表决条件等规定，凡是直接引用法律法规的部分，如将来法律法规修改导致相关内容被取消</w:t>
      </w:r>
      <w:r w:rsidR="00CF4592">
        <w:rPr>
          <w:rFonts w:ascii="宋体" w:hAnsi="宋体"/>
          <w:sz w:val="24"/>
        </w:rPr>
        <w:lastRenderedPageBreak/>
        <w:t>或变更的，基金管理人与基金托管人协商一致并提前公告后，可直接对本部分内容进行修改和调整，无需召开基金份额持有人大会审议。</w:t>
      </w:r>
    </w:p>
    <w:p w14:paraId="5C2465C5" w14:textId="77777777" w:rsidR="00FB4D29" w:rsidRDefault="00CF4592">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（三）基金合同解除和终止的事由、程序</w:t>
      </w:r>
    </w:p>
    <w:p w14:paraId="7B612A2D"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1、《基金合同》的变更</w:t>
      </w:r>
    </w:p>
    <w:p w14:paraId="599C0AF7"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变更基金合同涉及法律法规规定或本基金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14:paraId="525D8111" w14:textId="2F6767BC"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（2）关于《基金合同》变更的基金份额持有人大会决议生效后方可执行，并自决议生效后依照《信息披露办法》的规定在</w:t>
      </w:r>
      <w:r w:rsidR="003246BF">
        <w:rPr>
          <w:rFonts w:ascii="宋体" w:hAnsi="宋体"/>
          <w:sz w:val="24"/>
        </w:rPr>
        <w:t>规定媒介</w:t>
      </w:r>
      <w:r>
        <w:rPr>
          <w:rFonts w:ascii="宋体" w:hAnsi="宋体"/>
          <w:sz w:val="24"/>
        </w:rPr>
        <w:t>公告。</w:t>
      </w:r>
    </w:p>
    <w:p w14:paraId="682D531F"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2、《基金合同》的终止事由</w:t>
      </w:r>
    </w:p>
    <w:p w14:paraId="2DDAC652"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有下列情形之一的，《基金合同》应当终止：</w:t>
      </w:r>
    </w:p>
    <w:p w14:paraId="3CF70D82"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（1）基金份额持有人大会决定终止的；</w:t>
      </w:r>
    </w:p>
    <w:p w14:paraId="6CCE0645"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（2）基金管理人、基金托管人职责终止，在6个月内没有新基金管理人、新基金托管人承接的；</w:t>
      </w:r>
    </w:p>
    <w:p w14:paraId="36D3814C"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（3）本基金作为被合并方与其他基金进行合并的；</w:t>
      </w:r>
    </w:p>
    <w:p w14:paraId="247A7651" w14:textId="77777777" w:rsidR="00752BDE" w:rsidRPr="00752BDE" w:rsidRDefault="00CF4592" w:rsidP="00752BDE">
      <w:pPr>
        <w:autoSpaceDE w:val="0"/>
        <w:autoSpaceDN w:val="0"/>
        <w:adjustRightInd w:val="0"/>
        <w:snapToGrid w:val="0"/>
        <w:spacing w:line="360" w:lineRule="auto"/>
        <w:ind w:firstLineChars="200" w:firstLine="480"/>
        <w:jc w:val="left"/>
        <w:rPr>
          <w:rFonts w:ascii="宋体" w:hAnsi="宋体"/>
          <w:sz w:val="24"/>
        </w:rPr>
      </w:pPr>
      <w:r>
        <w:rPr>
          <w:rFonts w:ascii="宋体" w:hAnsi="宋体"/>
          <w:sz w:val="24"/>
        </w:rPr>
        <w:t>（4）</w:t>
      </w:r>
      <w:r w:rsidR="00752BDE" w:rsidRPr="00752BDE">
        <w:rPr>
          <w:rFonts w:ascii="宋体" w:hAnsi="宋体" w:hint="eastAsia"/>
          <w:sz w:val="24"/>
        </w:rPr>
        <w:t>连续50个工作日出现基金份额持有人数量不满200人或者基金资产净值低于5000万元情形的，基金合同终止，不需召开基金份额持有人大会；</w:t>
      </w:r>
    </w:p>
    <w:p w14:paraId="6B1420BD" w14:textId="2FCF6F38" w:rsidR="00FB4D29" w:rsidRDefault="00752BDE" w:rsidP="00752BDE">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w:t>
      </w:r>
      <w:r w:rsidR="00CF4592">
        <w:rPr>
          <w:rFonts w:ascii="宋体" w:hAnsi="宋体"/>
          <w:sz w:val="24"/>
        </w:rPr>
        <w:t>《基金合同》约定的其他情形；</w:t>
      </w:r>
    </w:p>
    <w:p w14:paraId="7E38F495" w14:textId="2D035736"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sidR="00752BDE">
        <w:rPr>
          <w:rFonts w:ascii="宋体" w:hAnsi="宋体"/>
          <w:sz w:val="24"/>
        </w:rPr>
        <w:t>6</w:t>
      </w:r>
      <w:r>
        <w:rPr>
          <w:rFonts w:ascii="宋体" w:hAnsi="宋体"/>
          <w:sz w:val="24"/>
        </w:rPr>
        <w:t>）相关法律法规和中国证监会规定的其他情况。</w:t>
      </w:r>
    </w:p>
    <w:p w14:paraId="6A0BF721"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3、基金财产的清算</w:t>
      </w:r>
    </w:p>
    <w:p w14:paraId="6814A8B1"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（1）基金财产清算小组：自出现《基金合同》终止事由之日起30个工作日内成立清算小组，基金管理人组织基金财产清算小组并在中国证监会的监督下进行基金清算。</w:t>
      </w:r>
    </w:p>
    <w:p w14:paraId="7B988A3B" w14:textId="74358A21"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（2）基金财产清算小组组成：基金财产清算小组成员由基金管理人、基金托管人、</w:t>
      </w:r>
      <w:r w:rsidR="00034C25" w:rsidRPr="00222988">
        <w:rPr>
          <w:rFonts w:hint="eastAsia"/>
          <w:bCs/>
          <w:sz w:val="24"/>
        </w:rPr>
        <w:t>符合《中华人民共和国证券法》规定</w:t>
      </w:r>
      <w:r>
        <w:rPr>
          <w:rFonts w:ascii="宋体" w:hAnsi="宋体"/>
          <w:sz w:val="24"/>
        </w:rPr>
        <w:t>的注册会计师、律师以及中国证监会指定的人员组成。基金财产清算小组可以聘用必要的工作人员。</w:t>
      </w:r>
    </w:p>
    <w:p w14:paraId="25FBE3E9"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（3）基金财产清算小组职责：基金财产清算小组负责基金财产的保管、清理、估价、变现和分配。基金财产清算小组可以依法进行必要的民事活动。</w:t>
      </w:r>
    </w:p>
    <w:p w14:paraId="4B631977"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（4）基金财产清算程序：</w:t>
      </w:r>
    </w:p>
    <w:p w14:paraId="33D4D06F"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1）《基金合同》终止情形出现时，由基金财产清算小组统一接管基金财产；</w:t>
      </w:r>
    </w:p>
    <w:p w14:paraId="064D02E0"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2）对基金财产和债权债务进行清理和确认；</w:t>
      </w:r>
    </w:p>
    <w:p w14:paraId="537408F7"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3）对基金财产进行估值和变现；</w:t>
      </w:r>
    </w:p>
    <w:p w14:paraId="2588D169"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4）制作清算报告；</w:t>
      </w:r>
    </w:p>
    <w:p w14:paraId="0CD66F48"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5）聘请会计师事务所对清算报告进行外部审计，聘请律师事务所对清算报告出具法律意见书；</w:t>
      </w:r>
    </w:p>
    <w:p w14:paraId="1977D13C"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6）将清算报告报中国证监会备案并公告；</w:t>
      </w:r>
    </w:p>
    <w:p w14:paraId="24A2A77E"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7）对基金剩余财产进行分配。</w:t>
      </w:r>
    </w:p>
    <w:p w14:paraId="0F004533"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（5）基金财产清算的期限为6个月，若遇基金持有的有价证券出现长期休市、停牌或其他流通受限的情形除外。</w:t>
      </w:r>
    </w:p>
    <w:p w14:paraId="186B6064"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4、清算费用</w:t>
      </w:r>
    </w:p>
    <w:p w14:paraId="6A5D8BE8"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清算费用是指基金财产清算小组在进行基金清算过程中发生的所有合理费用，清算费用由基金财产清算小组优先从基金财产中支付。</w:t>
      </w:r>
    </w:p>
    <w:p w14:paraId="21CD2A3C"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5、基金财产清算剩余资产的分配</w:t>
      </w:r>
    </w:p>
    <w:p w14:paraId="56DA094D"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依据基金财产清算的分配方案，将基金财产清算后的全部剩余资产扣除基金财产清算费用、交纳所欠税款并清偿基金债务后，按基金份额持有人持有的基金份额比例进行分配。</w:t>
      </w:r>
    </w:p>
    <w:p w14:paraId="05A3B015"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6、基金财产清算的公告</w:t>
      </w:r>
    </w:p>
    <w:p w14:paraId="73A6D8B0" w14:textId="42932A4E"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清算过程中的有关重大事项须及时公告；基金财产清算报告经</w:t>
      </w:r>
      <w:r w:rsidR="001F1B38" w:rsidRPr="00902EBA">
        <w:rPr>
          <w:rFonts w:hint="eastAsia"/>
          <w:bCs/>
          <w:sz w:val="24"/>
        </w:rPr>
        <w:t>符合《中华人民共和国证券法》规定的</w:t>
      </w:r>
      <w:r>
        <w:rPr>
          <w:rFonts w:ascii="宋体" w:hAnsi="宋体"/>
          <w:sz w:val="24"/>
        </w:rPr>
        <w:t>会计师事务所审计并由律师事务所出具法律意见书后报中国证监会备案并公告。基金财产清算公告于基金财产清算报告报中国证监会备案后5个工作日内由基金财产清算小组进行公告</w:t>
      </w:r>
      <w:r w:rsidR="001F1B38" w:rsidRPr="00902EBA">
        <w:rPr>
          <w:rFonts w:hint="eastAsia"/>
          <w:bCs/>
          <w:sz w:val="24"/>
        </w:rPr>
        <w:t>，基金财产清算小组应当将清算报告登载在规定网站上，并将清算报告提示性公告登载在规定报刊上</w:t>
      </w:r>
      <w:r>
        <w:rPr>
          <w:rFonts w:ascii="宋体" w:hAnsi="宋体"/>
          <w:sz w:val="24"/>
        </w:rPr>
        <w:t>。</w:t>
      </w:r>
    </w:p>
    <w:p w14:paraId="62D3C794"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7、基金财产清算账册及文件的保存</w:t>
      </w:r>
    </w:p>
    <w:p w14:paraId="719C6B7A" w14:textId="56566333"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基金财产清算账册及有关文件由基金托管人保存</w:t>
      </w:r>
      <w:r w:rsidR="00034C25">
        <w:rPr>
          <w:rFonts w:hint="eastAsia"/>
          <w:bCs/>
          <w:sz w:val="24"/>
        </w:rPr>
        <w:t>不低于法律法规规定的最低期限</w:t>
      </w:r>
      <w:r>
        <w:rPr>
          <w:rFonts w:ascii="宋体" w:hAnsi="宋体"/>
          <w:sz w:val="24"/>
        </w:rPr>
        <w:t>。</w:t>
      </w:r>
    </w:p>
    <w:p w14:paraId="18D42B0C" w14:textId="77777777" w:rsidR="00FB4D29" w:rsidRDefault="00CF4592">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（四）争议解决方式</w:t>
      </w:r>
    </w:p>
    <w:p w14:paraId="1E842B6D"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各方当事人同意，因《基金合同》而产生的或与《基金合同》有关的一切争议，如经友好协商未能解决的，任何一方均有权将争议提交中国国际经济贸易仲裁委员会，按照中国国际经济贸易仲裁委员会届时有效的仲裁规则进行仲裁。仲裁地</w:t>
      </w:r>
      <w:r>
        <w:rPr>
          <w:rFonts w:ascii="宋体" w:hAnsi="宋体"/>
          <w:sz w:val="24"/>
        </w:rPr>
        <w:lastRenderedPageBreak/>
        <w:t>点为北京市。仲裁裁决是终局的，对各方当事人均有约束力，除非仲裁裁决另有规定，仲裁费用由败诉方承担。</w:t>
      </w:r>
    </w:p>
    <w:p w14:paraId="4F82B3B0"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争议处理期间，双方当事人应恪守基金管理人和基金托管人职责，各自继续忠实、勤勉、尽责地履行基金合同规定的义务，维护基金份额持有人的合法权益。</w:t>
      </w:r>
    </w:p>
    <w:p w14:paraId="64343E87" w14:textId="069D222C"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《基金合同》受中国法律</w:t>
      </w:r>
      <w:r w:rsidR="00034C25" w:rsidRPr="00C46FC0">
        <w:rPr>
          <w:rFonts w:hint="eastAsia"/>
          <w:bCs/>
          <w:sz w:val="24"/>
        </w:rPr>
        <w:t>（不含港澳台地区法律）</w:t>
      </w:r>
      <w:r>
        <w:rPr>
          <w:rFonts w:ascii="宋体" w:hAnsi="宋体"/>
          <w:sz w:val="24"/>
        </w:rPr>
        <w:t>管辖。</w:t>
      </w:r>
    </w:p>
    <w:p w14:paraId="434FA7D8" w14:textId="77777777" w:rsidR="00FB4D29" w:rsidRDefault="00CF4592">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（五）基金合同存放地和投资者取得基金合同的方式</w:t>
      </w:r>
    </w:p>
    <w:p w14:paraId="61E6EB66"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《基金合同》正本一式六份，除上报有关监管机构一式二份外，基金管理人、基金托管人各持有二份，每份具有同等的法律效力。</w:t>
      </w:r>
    </w:p>
    <w:p w14:paraId="72E19167"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《基金合同》可印制成册，供投资者在基金管理人、基金托管人、销售机构的办公场所和营业场所查阅，但应以《基金合同》正本为准。</w:t>
      </w:r>
    </w:p>
    <w:p w14:paraId="405A5BD4" w14:textId="77777777" w:rsidR="00AF2A34" w:rsidRDefault="00AF2A34" w:rsidP="00AF2A34">
      <w:pPr>
        <w:autoSpaceDE w:val="0"/>
        <w:autoSpaceDN w:val="0"/>
        <w:adjustRightInd w:val="0"/>
        <w:spacing w:line="360" w:lineRule="auto"/>
        <w:ind w:firstLineChars="200" w:firstLine="420"/>
        <w:rPr>
          <w:rFonts w:ascii="宋体" w:hAnsi="宋体"/>
          <w:szCs w:val="24"/>
        </w:rPr>
      </w:pPr>
    </w:p>
    <w:p w14:paraId="13943A1F" w14:textId="6D7B62AB" w:rsidR="00FB4D29" w:rsidRDefault="00CF4592">
      <w:pPr>
        <w:pStyle w:val="1"/>
        <w:snapToGrid w:val="0"/>
        <w:spacing w:beforeLines="0" w:before="240" w:after="240"/>
        <w:rPr>
          <w:rFonts w:ascii="宋体" w:hAnsi="宋体"/>
          <w:szCs w:val="30"/>
        </w:rPr>
      </w:pPr>
      <w:r>
        <w:rPr>
          <w:rFonts w:ascii="宋体" w:hAnsi="宋体"/>
          <w:sz w:val="24"/>
        </w:rPr>
        <w:br w:type="page"/>
      </w:r>
      <w:bookmarkStart w:id="30" w:name="_Toc107476041"/>
      <w:r>
        <w:rPr>
          <w:rFonts w:ascii="Times New Roman" w:hAnsi="Times New Roman"/>
          <w:sz w:val="30"/>
        </w:rPr>
        <w:lastRenderedPageBreak/>
        <w:t>二十</w:t>
      </w:r>
      <w:r w:rsidR="00B37E6F">
        <w:rPr>
          <w:rFonts w:ascii="Times New Roman" w:hAnsi="Times New Roman" w:hint="eastAsia"/>
          <w:sz w:val="30"/>
        </w:rPr>
        <w:t>二</w:t>
      </w:r>
      <w:r>
        <w:rPr>
          <w:rFonts w:ascii="Times New Roman" w:hAnsi="Times New Roman"/>
          <w:sz w:val="30"/>
        </w:rPr>
        <w:t>、托管协议的内容摘要</w:t>
      </w:r>
      <w:bookmarkEnd w:id="30"/>
    </w:p>
    <w:p w14:paraId="388666EB" w14:textId="77777777" w:rsidR="00FB4D29" w:rsidRDefault="00CF4592">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（一）托管协议当事人</w:t>
      </w:r>
    </w:p>
    <w:p w14:paraId="17270CEE"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1、基金管理人</w:t>
      </w:r>
    </w:p>
    <w:p w14:paraId="5027CBD8"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名称：交银施罗德基金管理有限公司</w:t>
      </w:r>
    </w:p>
    <w:p w14:paraId="21C3FEF4"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住所：中国(上海)自由贸易试验区银城中路188号交通银行大楼二层（裙）</w:t>
      </w:r>
    </w:p>
    <w:p w14:paraId="7718962D"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法定代表人：阮红</w:t>
      </w:r>
    </w:p>
    <w:p w14:paraId="05463DC1"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成立时间：2005年8月4日</w:t>
      </w:r>
    </w:p>
    <w:p w14:paraId="72BBBCE6"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批准设立机关及批准设立文号：证监基金字[2005]128号</w:t>
      </w:r>
    </w:p>
    <w:p w14:paraId="274AAEB4"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注册资本： 2亿元人民币</w:t>
      </w:r>
    </w:p>
    <w:p w14:paraId="771CFFA3"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组织形式: 有限责任公司</w:t>
      </w:r>
    </w:p>
    <w:p w14:paraId="2E87FEA9"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经营范围：基金募集、基金销售、资产管理和中国证监会许可的其它业务。</w:t>
      </w:r>
    </w:p>
    <w:p w14:paraId="32416958"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存续期间：持续经营</w:t>
      </w:r>
    </w:p>
    <w:p w14:paraId="1273278B"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电话：（021）61055050</w:t>
      </w:r>
    </w:p>
    <w:p w14:paraId="66C0B96A"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传真：（021）61055034</w:t>
      </w:r>
    </w:p>
    <w:p w14:paraId="0A960103"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联系人：郭佳敏</w:t>
      </w:r>
    </w:p>
    <w:p w14:paraId="37B179FA"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2、基金托管人</w:t>
      </w:r>
    </w:p>
    <w:p w14:paraId="2EA133E7"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名称：中国工商银行股份有限公司</w:t>
      </w:r>
    </w:p>
    <w:p w14:paraId="7950F4B7"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住所：北京市西城区复兴门内大街55号（100032）</w:t>
      </w:r>
    </w:p>
    <w:p w14:paraId="087A04A5" w14:textId="77777777" w:rsidR="00034C25" w:rsidRDefault="00CF4592">
      <w:pPr>
        <w:autoSpaceDE w:val="0"/>
        <w:autoSpaceDN w:val="0"/>
        <w:adjustRightInd w:val="0"/>
        <w:snapToGrid w:val="0"/>
        <w:spacing w:line="360" w:lineRule="auto"/>
        <w:ind w:firstLineChars="200" w:firstLine="480"/>
        <w:jc w:val="left"/>
        <w:rPr>
          <w:rFonts w:ascii="宋体" w:hAnsi="宋体"/>
          <w:sz w:val="24"/>
        </w:rPr>
      </w:pPr>
      <w:r>
        <w:rPr>
          <w:rFonts w:ascii="宋体" w:hAnsi="宋体"/>
          <w:sz w:val="24"/>
        </w:rPr>
        <w:t>法定代表人：</w:t>
      </w:r>
      <w:r w:rsidR="00034C25" w:rsidRPr="00034C25">
        <w:rPr>
          <w:rFonts w:ascii="宋体" w:hAnsi="宋体" w:hint="eastAsia"/>
          <w:sz w:val="24"/>
        </w:rPr>
        <w:t>陈四清</w:t>
      </w:r>
    </w:p>
    <w:p w14:paraId="06645FD9"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电话：（010）66105799</w:t>
      </w:r>
    </w:p>
    <w:p w14:paraId="53BDCA38"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传真：（010）66105798</w:t>
      </w:r>
    </w:p>
    <w:p w14:paraId="33039DA3"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联系人：郭明</w:t>
      </w:r>
    </w:p>
    <w:p w14:paraId="2CC34125"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成立时间：1984年1月1日</w:t>
      </w:r>
    </w:p>
    <w:p w14:paraId="59A6F47E"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组织形式：股份有限公司</w:t>
      </w:r>
    </w:p>
    <w:p w14:paraId="74FE6D9F"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注册资本：人民币35,640,625.71万元</w:t>
      </w:r>
    </w:p>
    <w:p w14:paraId="5FC06385"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批准设立机关和设立文号：国务院《关于中国人民银行专门行使中央银行职能的决定》（国发[1983]146号）</w:t>
      </w:r>
    </w:p>
    <w:p w14:paraId="72B6E1C5"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存续期间：持续经营</w:t>
      </w:r>
    </w:p>
    <w:p w14:paraId="6D003774"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经营范围：办理人民币存款、贷款、同业拆借业务；国内外结算；办理票据承</w:t>
      </w:r>
      <w:r>
        <w:rPr>
          <w:rFonts w:ascii="宋体" w:hAnsi="宋体"/>
          <w:sz w:val="24"/>
        </w:rPr>
        <w:lastRenderedPageBreak/>
        <w:t>兑、贴现、转贴现、各类汇兑业务；代理资金清算；提供信用证服务及担保；代理销售业务；代理发行、代理承销、代理兑付政府债券；代收代付业务；代理证券投资基金清算业务（银证转账）；保险代理业务；代理政策性银行、外国政府和国际金融机构贷款业务；保管箱服务；发行金融债券；买卖政府债券、金融债券；证券投资基金、企业年金托管业务；企业年金受托管理服务；年金账户管理服务；开放式基金的注册登记、认购、申购和赎回业务；资信调查、咨询、见证业务；贷款承诺；企业、个人财务顾问服务；组织或参加银团贷款；外汇存款；外汇贷款；外币兑换；出口托收及进口代收；外汇票据承兑和贴现；外汇借款；外汇担保；发行、代理发行、买卖或代理买卖股票以外的外币有价证券；自营、代客外汇买卖；外汇金融衍生业务；银行卡业务；电话银行、网上银行、手机银行业务；办理结汇、售汇业务；经国务院银行业监督管理机构批准的其他业务。</w:t>
      </w:r>
    </w:p>
    <w:p w14:paraId="3C5C44C4" w14:textId="77777777" w:rsidR="00FB4D29" w:rsidRDefault="00CF4592">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（二）基金托管人对基金管理人的业务监督和核查</w:t>
      </w:r>
    </w:p>
    <w:p w14:paraId="3AC6F523"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1、基金托管人对基金管理人的投资行为行使监督权</w:t>
      </w:r>
    </w:p>
    <w:p w14:paraId="7DB702B3"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（1）基金托管人根据有关法律法规的规定和《基金合同》的约定，对下述基金投资范围、投资对象进行监督。</w:t>
      </w:r>
    </w:p>
    <w:p w14:paraId="70EF75B3"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本基金将投资于以下金融工具：</w:t>
      </w:r>
    </w:p>
    <w:p w14:paraId="2D834ACA" w14:textId="6862588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本基金的投资范围为具有良好流动性的金融工具，包括国内依法发行上市的股票（含创业板及其他经中国证监会核准</w:t>
      </w:r>
      <w:r w:rsidR="00182ADA">
        <w:rPr>
          <w:rFonts w:ascii="宋体" w:hAnsi="宋体" w:hint="eastAsia"/>
          <w:color w:val="000000"/>
          <w:sz w:val="24"/>
        </w:rPr>
        <w:t>或注册</w:t>
      </w:r>
      <w:r>
        <w:rPr>
          <w:rFonts w:ascii="宋体" w:hAnsi="宋体"/>
          <w:sz w:val="24"/>
        </w:rPr>
        <w:t>上市的股票、存托凭证）</w:t>
      </w:r>
      <w:r w:rsidR="00182ADA">
        <w:rPr>
          <w:rFonts w:ascii="宋体" w:hAnsi="宋体" w:hint="eastAsia"/>
          <w:color w:val="000000"/>
          <w:sz w:val="24"/>
        </w:rPr>
        <w:t>、港股通标的股票</w:t>
      </w:r>
      <w:r>
        <w:rPr>
          <w:rFonts w:ascii="宋体" w:hAnsi="宋体"/>
          <w:sz w:val="24"/>
        </w:rPr>
        <w:t>、债券（含国债、央行票据、金融债券、政府支持债券、政府支持机构债券、地方政府债券、企业债券、公司债券、可转换债券（含可分离交易可转换债券）、可交换公司债券、次级债券、中期票据、短期融资券、超短期融资券等）、货币市场工具、债券回购、同业存单、银行存款（含协议存款、定期存款及其他银行存款）、资产支持证券、股指期货以及法律法规或中国证监会允许基金投资的其他金融工具（但须符合中国证监会相关规定）。</w:t>
      </w:r>
    </w:p>
    <w:p w14:paraId="20D8FD7A"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如法律法规或监管机构以后允许基金投资其他品种，基金管理人在履行适当程序后，可以将其纳入投资范围。本基金不得投资于相关法律、法规、部门规章及《基金合同》禁止投资的投资工具。</w:t>
      </w:r>
    </w:p>
    <w:p w14:paraId="3F80FFD8"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（2）基金托管人根据有关法律法规的规定及《基金合同》的约定对下述基金投融资比例进行监督：</w:t>
      </w:r>
    </w:p>
    <w:p w14:paraId="52E3E918" w14:textId="3C1BF224"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1）按法律法规的规定及《基金合同》的约定，本基金的投资资产配置比例</w:t>
      </w:r>
      <w:r>
        <w:rPr>
          <w:rFonts w:ascii="宋体" w:hAnsi="宋体"/>
          <w:sz w:val="24"/>
        </w:rPr>
        <w:lastRenderedPageBreak/>
        <w:t>为：股票资产（含存托凭证）占基金资产的</w:t>
      </w:r>
      <w:r w:rsidR="00DC21E1">
        <w:rPr>
          <w:rFonts w:ascii="宋体" w:hAnsi="宋体"/>
          <w:sz w:val="24"/>
        </w:rPr>
        <w:t>60</w:t>
      </w:r>
      <w:r>
        <w:rPr>
          <w:rFonts w:ascii="宋体" w:hAnsi="宋体"/>
          <w:sz w:val="24"/>
        </w:rPr>
        <w:t>%-95%</w:t>
      </w:r>
      <w:r w:rsidR="00182ADA" w:rsidRPr="00182ADA">
        <w:rPr>
          <w:rFonts w:ascii="宋体" w:hAnsi="宋体" w:hint="eastAsia"/>
          <w:sz w:val="24"/>
        </w:rPr>
        <w:t>，其中投资于港股通标的股票的比例占股票资产的0%-50%</w:t>
      </w:r>
      <w:r>
        <w:rPr>
          <w:rFonts w:ascii="宋体" w:hAnsi="宋体"/>
          <w:sz w:val="24"/>
        </w:rPr>
        <w:t>，本基金投资于持续成长主题相关</w:t>
      </w:r>
      <w:r w:rsidR="00DE701B">
        <w:rPr>
          <w:rFonts w:hAnsi="宋体" w:hint="eastAsia"/>
          <w:bCs/>
          <w:sz w:val="24"/>
          <w:szCs w:val="24"/>
        </w:rPr>
        <w:t>股票</w:t>
      </w:r>
      <w:r>
        <w:rPr>
          <w:rFonts w:ascii="宋体" w:hAnsi="宋体"/>
          <w:sz w:val="24"/>
        </w:rPr>
        <w:t>的比例不低于非现金基金资产的80%；每个交易日日终在扣除股指期货合约需缴纳的交易保证金后，本基金保留的现金或者投资于到期日在一年以内的政府债券的比例合计不低于基金资产净值的5%，其中现金不包括结算备付金、存出保证金、应收申购款等。</w:t>
      </w:r>
    </w:p>
    <w:p w14:paraId="0C721F94"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如果法律法规或中国证监会变更投资品种的投资比例限制，基金管理人在履行适当程序后，可以调整上述投资品种的投资比例。</w:t>
      </w:r>
    </w:p>
    <w:p w14:paraId="11322CC9" w14:textId="7FD89772"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基金管理人应将拟投资的持续成长主题相关</w:t>
      </w:r>
      <w:r w:rsidR="00DE701B">
        <w:rPr>
          <w:rFonts w:hAnsi="宋体" w:hint="eastAsia"/>
          <w:bCs/>
          <w:sz w:val="24"/>
          <w:szCs w:val="24"/>
        </w:rPr>
        <w:t>股票</w:t>
      </w:r>
      <w:r>
        <w:rPr>
          <w:rFonts w:ascii="宋体" w:hAnsi="宋体"/>
          <w:sz w:val="24"/>
        </w:rPr>
        <w:t>的</w:t>
      </w:r>
      <w:r w:rsidR="00DE701B">
        <w:rPr>
          <w:rFonts w:hAnsi="宋体" w:hint="eastAsia"/>
          <w:bCs/>
          <w:sz w:val="24"/>
          <w:szCs w:val="24"/>
        </w:rPr>
        <w:t>股票</w:t>
      </w:r>
      <w:r>
        <w:rPr>
          <w:rFonts w:ascii="宋体" w:hAnsi="宋体"/>
          <w:sz w:val="24"/>
        </w:rPr>
        <w:t>库提供给基金托管人，基金管理人可以根据实际情况的变化，对上述</w:t>
      </w:r>
      <w:r w:rsidR="002B7FB0" w:rsidRPr="002B7FB0">
        <w:rPr>
          <w:rFonts w:ascii="宋体" w:hAnsi="宋体" w:hint="eastAsia"/>
          <w:sz w:val="24"/>
        </w:rPr>
        <w:t>股票</w:t>
      </w:r>
      <w:r>
        <w:rPr>
          <w:rFonts w:ascii="宋体" w:hAnsi="宋体"/>
          <w:sz w:val="24"/>
        </w:rPr>
        <w:t>库予以调整和更新，并通知基金托管人，基金托管人根据上述投资范围对基金的投资比例进行监督。</w:t>
      </w:r>
    </w:p>
    <w:p w14:paraId="4CECE174"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2）根据法律法规的规定及《基金合同》的约定，本基金投资组合遵循以下投资限制：</w:t>
      </w:r>
    </w:p>
    <w:p w14:paraId="3691EF17" w14:textId="5A69B538"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a、股票资产（含存托凭证）占基金资产的</w:t>
      </w:r>
      <w:r w:rsidR="00DC21E1">
        <w:rPr>
          <w:rFonts w:ascii="宋体" w:hAnsi="宋体"/>
          <w:sz w:val="24"/>
        </w:rPr>
        <w:t>60</w:t>
      </w:r>
      <w:r>
        <w:rPr>
          <w:rFonts w:ascii="宋体" w:hAnsi="宋体"/>
          <w:sz w:val="24"/>
        </w:rPr>
        <w:t>%-95%</w:t>
      </w:r>
      <w:r w:rsidR="00182ADA" w:rsidRPr="00182ADA">
        <w:rPr>
          <w:rFonts w:ascii="宋体" w:hAnsi="宋体" w:hint="eastAsia"/>
          <w:sz w:val="24"/>
        </w:rPr>
        <w:t>，其中投资于港股通标的股票的比例占股票资产的0%-50%</w:t>
      </w:r>
      <w:r>
        <w:rPr>
          <w:rFonts w:ascii="宋体" w:hAnsi="宋体"/>
          <w:sz w:val="24"/>
        </w:rPr>
        <w:t>，本基金投资于持续成长主题相关</w:t>
      </w:r>
      <w:r w:rsidR="00DE701B">
        <w:rPr>
          <w:rFonts w:hAnsi="宋体" w:hint="eastAsia"/>
          <w:bCs/>
          <w:sz w:val="24"/>
          <w:szCs w:val="24"/>
        </w:rPr>
        <w:t>股票</w:t>
      </w:r>
      <w:r>
        <w:rPr>
          <w:rFonts w:ascii="宋体" w:hAnsi="宋体"/>
          <w:sz w:val="24"/>
        </w:rPr>
        <w:t>的比例不低于非现金基金资产的80%；</w:t>
      </w:r>
    </w:p>
    <w:p w14:paraId="178E17EE"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b、每个交易日日终在扣除股指期货合约需缴纳的交易保证金后，保持不低于基金资产净值5%的现金或者到期日在一年以内的政府债券，其中现金不包括结算备付金、存出保证金、应收申购款等；</w:t>
      </w:r>
    </w:p>
    <w:p w14:paraId="4138BF61" w14:textId="049E5BF4"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c、本基金持有一家公司发行的证券</w:t>
      </w:r>
      <w:r w:rsidR="00182ADA" w:rsidRPr="00DC35C4">
        <w:rPr>
          <w:rFonts w:hint="eastAsia"/>
          <w:bCs/>
          <w:sz w:val="24"/>
        </w:rPr>
        <w:t>（同一家公司在内地和香港同时上市的</w:t>
      </w:r>
      <w:r w:rsidR="00182ADA" w:rsidRPr="00F82365">
        <w:rPr>
          <w:rFonts w:ascii="宋体" w:hAnsi="宋体"/>
          <w:sz w:val="24"/>
        </w:rPr>
        <w:t>A+H</w:t>
      </w:r>
      <w:r w:rsidR="00182ADA" w:rsidRPr="00F82365">
        <w:rPr>
          <w:rFonts w:ascii="宋体" w:hAnsi="宋体" w:hint="eastAsia"/>
          <w:sz w:val="24"/>
        </w:rPr>
        <w:t>股合计计算）</w:t>
      </w:r>
      <w:r>
        <w:rPr>
          <w:rFonts w:ascii="宋体" w:hAnsi="宋体"/>
          <w:sz w:val="24"/>
        </w:rPr>
        <w:t>，其市值不超过基金资产净值的10%；</w:t>
      </w:r>
    </w:p>
    <w:p w14:paraId="3912D5BD" w14:textId="5C8821AB"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d、本基金管理人管理并由本基金托管人托管的全部基金持有一家公司发行的证券</w:t>
      </w:r>
      <w:r w:rsidR="00182ADA" w:rsidRPr="00DC35C4">
        <w:rPr>
          <w:rFonts w:hint="eastAsia"/>
          <w:bCs/>
          <w:sz w:val="24"/>
        </w:rPr>
        <w:t>（同一家公司在内地和香港同时</w:t>
      </w:r>
      <w:r w:rsidR="00182ADA" w:rsidRPr="00F82365">
        <w:rPr>
          <w:rFonts w:ascii="宋体" w:hAnsi="宋体" w:hint="eastAsia"/>
          <w:sz w:val="24"/>
        </w:rPr>
        <w:t>上市的</w:t>
      </w:r>
      <w:r w:rsidR="00182ADA" w:rsidRPr="00F82365">
        <w:rPr>
          <w:rFonts w:ascii="宋体" w:hAnsi="宋体"/>
          <w:sz w:val="24"/>
        </w:rPr>
        <w:t>A+H</w:t>
      </w:r>
      <w:r w:rsidR="00182ADA" w:rsidRPr="00F82365">
        <w:rPr>
          <w:rFonts w:ascii="宋体" w:hAnsi="宋体" w:hint="eastAsia"/>
          <w:sz w:val="24"/>
        </w:rPr>
        <w:t>股合计计</w:t>
      </w:r>
      <w:r w:rsidR="00182ADA" w:rsidRPr="00DC35C4">
        <w:rPr>
          <w:rFonts w:hint="eastAsia"/>
          <w:bCs/>
          <w:sz w:val="24"/>
        </w:rPr>
        <w:t>算）</w:t>
      </w:r>
      <w:r>
        <w:rPr>
          <w:rFonts w:ascii="宋体" w:hAnsi="宋体"/>
          <w:sz w:val="24"/>
        </w:rPr>
        <w:t>，不超过该证券的10%</w:t>
      </w:r>
      <w:r w:rsidR="00182ADA" w:rsidRPr="00182ADA">
        <w:rPr>
          <w:rFonts w:ascii="宋体" w:hAnsi="宋体" w:hint="eastAsia"/>
          <w:sz w:val="24"/>
        </w:rPr>
        <w:t>，完全按照有关指数的构成比例进行证券投资的基金品种可以不受此条款规定的比例限制</w:t>
      </w:r>
      <w:r>
        <w:rPr>
          <w:rFonts w:ascii="宋体" w:hAnsi="宋体"/>
          <w:sz w:val="24"/>
        </w:rPr>
        <w:t>；</w:t>
      </w:r>
    </w:p>
    <w:p w14:paraId="5C29E525" w14:textId="1577B460" w:rsidR="00FB4D29" w:rsidRPr="00F82365" w:rsidRDefault="00CF4592" w:rsidP="00182ADA">
      <w:pPr>
        <w:autoSpaceDE w:val="0"/>
        <w:autoSpaceDN w:val="0"/>
        <w:adjustRightInd w:val="0"/>
        <w:snapToGrid w:val="0"/>
        <w:spacing w:line="360" w:lineRule="auto"/>
        <w:ind w:firstLineChars="200" w:firstLine="480"/>
        <w:jc w:val="left"/>
        <w:rPr>
          <w:rFonts w:ascii="宋体" w:hAnsi="宋体"/>
          <w:szCs w:val="24"/>
          <w:lang w:val="x-none"/>
        </w:rPr>
      </w:pPr>
      <w:r>
        <w:rPr>
          <w:rFonts w:ascii="宋体" w:hAnsi="宋体"/>
          <w:sz w:val="24"/>
        </w:rPr>
        <w:t>e、本基金管理人管理并由本基金托管人托管的全部开放式基金（包括开放式基金以及处于开放期的定期开放基金）持有一家上市公司发行的可流通股票，不得超过该上市公司可流通股票的15%；本基金管理人管理并由本基金托管人托管的全部投资组合持有一家上市公司发行的可流通股票，不得超过该上市公司可流通股票的30%；</w:t>
      </w:r>
      <w:r w:rsidR="006C59B5" w:rsidRPr="006C59B5">
        <w:rPr>
          <w:rFonts w:ascii="宋体" w:hAnsi="宋体" w:hint="eastAsia"/>
          <w:sz w:val="24"/>
        </w:rPr>
        <w:t>完全按照有关指数的构成比例进行证券投资的开放式基金以及中国证监会认定的特殊投资组合可不受前述比例限制；</w:t>
      </w:r>
    </w:p>
    <w:p w14:paraId="4E48A4F8" w14:textId="2C4F7C73" w:rsidR="00FB4D29" w:rsidRDefault="00182ADA">
      <w:pPr>
        <w:autoSpaceDE w:val="0"/>
        <w:autoSpaceDN w:val="0"/>
        <w:adjustRightInd w:val="0"/>
        <w:snapToGrid w:val="0"/>
        <w:spacing w:line="360" w:lineRule="auto"/>
        <w:ind w:firstLineChars="200" w:firstLine="480"/>
        <w:jc w:val="left"/>
        <w:rPr>
          <w:rFonts w:ascii="宋体" w:hAnsi="宋体"/>
          <w:szCs w:val="24"/>
        </w:rPr>
      </w:pPr>
      <w:r>
        <w:rPr>
          <w:rFonts w:ascii="宋体" w:hAnsi="宋体" w:hint="eastAsia"/>
          <w:sz w:val="24"/>
        </w:rPr>
        <w:lastRenderedPageBreak/>
        <w:t>f</w:t>
      </w:r>
      <w:r w:rsidR="00CF4592">
        <w:rPr>
          <w:rFonts w:ascii="宋体" w:hAnsi="宋体"/>
          <w:sz w:val="24"/>
        </w:rPr>
        <w:t>、本基金主动投资于流动性受限资产的市值合计不得超过本基金资产净值的15%；因证券市场波动、上市公司股票停牌、基金规模变动等基金管理人之外的因素致使基金不符合该比例限制的，基金管理人不得主动新增流动性受限资产的投资；</w:t>
      </w:r>
    </w:p>
    <w:p w14:paraId="53ED977B" w14:textId="00661CC0" w:rsidR="00FB4D29" w:rsidRDefault="00182AD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g</w:t>
      </w:r>
      <w:r w:rsidR="00CF4592">
        <w:rPr>
          <w:rFonts w:ascii="宋体" w:hAnsi="宋体"/>
          <w:sz w:val="24"/>
        </w:rPr>
        <w:t>、本基金与私募类证券资管产品及中国证监会认定的其他主体为交易对手开展逆回购交易的，可接受质押品的资质要求应当与基金合同约定的投资范围保持一致；</w:t>
      </w:r>
    </w:p>
    <w:p w14:paraId="5CD93E45" w14:textId="6869A479" w:rsidR="00FB4D29" w:rsidRDefault="00182AD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h</w:t>
      </w:r>
      <w:r w:rsidR="00CF4592">
        <w:rPr>
          <w:rFonts w:ascii="宋体" w:hAnsi="宋体"/>
          <w:sz w:val="24"/>
        </w:rPr>
        <w:t>、本基金投资于同一原始权益人的各类资产支持证券的比例，不得超过基金资产净值的10%；</w:t>
      </w:r>
    </w:p>
    <w:p w14:paraId="1536CF2F" w14:textId="37D7B50A" w:rsidR="00FB4D29" w:rsidRDefault="00182AD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i</w:t>
      </w:r>
      <w:r w:rsidR="00CF4592">
        <w:rPr>
          <w:rFonts w:ascii="宋体" w:hAnsi="宋体"/>
          <w:sz w:val="24"/>
        </w:rPr>
        <w:t>、本基金持有的全部资产支持证券，其市值不得超过基金资产净值的20%；</w:t>
      </w:r>
    </w:p>
    <w:p w14:paraId="72B70A0C" w14:textId="694904E4" w:rsidR="00FB4D29" w:rsidRDefault="00182AD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j</w:t>
      </w:r>
      <w:r w:rsidR="00CF4592">
        <w:rPr>
          <w:rFonts w:ascii="宋体" w:hAnsi="宋体"/>
          <w:sz w:val="24"/>
        </w:rPr>
        <w:t>、本基金持有的同一（指同一信用级别）资产支持证券的比例，不得超过该资产支持证券规模的10%；</w:t>
      </w:r>
    </w:p>
    <w:p w14:paraId="7309759A" w14:textId="314D8AE0" w:rsidR="00FB4D29" w:rsidRDefault="00182AD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k</w:t>
      </w:r>
      <w:r w:rsidR="00CF4592">
        <w:rPr>
          <w:rFonts w:ascii="宋体" w:hAnsi="宋体"/>
          <w:sz w:val="24"/>
        </w:rPr>
        <w:t>、本基金管理人管理并由本基金托管人托管的全部基金投资于同一原始权益人的各类资产支持证券，不得超过其各类资产支持证券合计规模的10%；</w:t>
      </w:r>
    </w:p>
    <w:p w14:paraId="4CF18FE7" w14:textId="06D58A5F" w:rsidR="00FB4D29" w:rsidRDefault="00182AD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l</w:t>
      </w:r>
      <w:r w:rsidR="00CF4592">
        <w:rPr>
          <w:rFonts w:ascii="宋体" w:hAnsi="宋体"/>
          <w:sz w:val="24"/>
        </w:rPr>
        <w:t>、本基金应投资于信用级别评级为BBB以上（含BBB）的资产支持证券。基金持有资产支持证券期间，如果其信用等级下降、不再符合投资标准，应在评级报告发布之日起3个月内予以全部卖出；</w:t>
      </w:r>
    </w:p>
    <w:p w14:paraId="6A2A6D9A" w14:textId="492A0D91" w:rsidR="00FB4D29" w:rsidRDefault="00182AD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m</w:t>
      </w:r>
      <w:r w:rsidR="00CF4592">
        <w:rPr>
          <w:rFonts w:ascii="宋体" w:hAnsi="宋体"/>
          <w:sz w:val="24"/>
        </w:rPr>
        <w:t>、基金财产参与股票发行申购，本基金所申报的金额不超过本基金的总资产，本基金所申报的股票数量不超过拟发行股票公司本次发行股票的总量；</w:t>
      </w:r>
    </w:p>
    <w:p w14:paraId="78BBA13B" w14:textId="6D575036" w:rsidR="00FB4D29" w:rsidRDefault="00182AD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n</w:t>
      </w:r>
      <w:r w:rsidR="00CF4592">
        <w:rPr>
          <w:rFonts w:ascii="宋体" w:hAnsi="宋体"/>
          <w:sz w:val="24"/>
        </w:rPr>
        <w:t>、本基金进入全国银行间同业市场进行债券回购的资金余额不得超过基金资产净值的40%，本基金在全国银行间同业市场中的债券回购最长期限为1年，债券回购到期后不得展期；</w:t>
      </w:r>
    </w:p>
    <w:p w14:paraId="5125510A" w14:textId="49AD0DF8" w:rsidR="00FB4D29" w:rsidRDefault="00182ADA">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o</w:t>
      </w:r>
      <w:r w:rsidR="00CF4592">
        <w:rPr>
          <w:rFonts w:ascii="宋体" w:hAnsi="宋体"/>
          <w:sz w:val="24"/>
        </w:rPr>
        <w:t>、本基金若投资股指期货，则遵循以下投资比例限制：</w:t>
      </w:r>
    </w:p>
    <w:p w14:paraId="1FA2C92C"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i.本基金在任何交易日日终，持有的买入股指期货合约价值，不得超过基金资产净值的10%；</w:t>
      </w:r>
    </w:p>
    <w:p w14:paraId="430C5CF9" w14:textId="0EFDC1BB"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ii.本基金在任何交易日日终，持有的买入期货合约价值与有价证券市值之和，不得超过基金资产净值的95%。其中，有价证券指股票、债券（不含到期日在一年以内的政府债券）、资产支持证券、买入返售金融资产（不含质押式回购）等；</w:t>
      </w:r>
    </w:p>
    <w:p w14:paraId="4C579AF1"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iii.本基金在任何交易日日终，持有的卖出期货合约价值不得超过基金持有的</w:t>
      </w:r>
      <w:r>
        <w:rPr>
          <w:rFonts w:ascii="宋体" w:hAnsi="宋体"/>
          <w:sz w:val="24"/>
        </w:rPr>
        <w:lastRenderedPageBreak/>
        <w:t>股票总市值的20%；</w:t>
      </w:r>
    </w:p>
    <w:p w14:paraId="57DFEB43"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iv.本基金所持有的股票市值和买入、卖出股指期货合约价值，合计（轧差计算）应当符合基金合同关于股票投资比例的有关约定；</w:t>
      </w:r>
    </w:p>
    <w:p w14:paraId="44514FC4"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v.本基金在任何交易日内交易（不包括平仓）的股指期货合约的成交金额不得超过上一交易日基金资产净值的20%。</w:t>
      </w:r>
    </w:p>
    <w:p w14:paraId="7E6DF7A7" w14:textId="37FDE638" w:rsidR="00FB4D29" w:rsidRDefault="001F6BA1">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p</w:t>
      </w:r>
      <w:r w:rsidR="00CF4592">
        <w:rPr>
          <w:rFonts w:ascii="宋体" w:hAnsi="宋体"/>
          <w:sz w:val="24"/>
        </w:rPr>
        <w:t>、本基金的基金资产总值不得超过基金资产净值的140%；</w:t>
      </w:r>
    </w:p>
    <w:p w14:paraId="5BC2BF9F" w14:textId="2275D088" w:rsidR="00FB4D29" w:rsidRDefault="001F6BA1">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q</w:t>
      </w:r>
      <w:r w:rsidR="00CF4592">
        <w:rPr>
          <w:rFonts w:ascii="宋体" w:hAnsi="宋体"/>
          <w:sz w:val="24"/>
        </w:rPr>
        <w:t>、本基金持有的同一流通受限证券，其公允价值不得超过基金资产净值的10%；</w:t>
      </w:r>
    </w:p>
    <w:p w14:paraId="593E1DA3" w14:textId="1CCDB13F" w:rsidR="00FB4D29" w:rsidRDefault="001F6BA1">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r</w:t>
      </w:r>
      <w:r w:rsidR="00CF4592">
        <w:rPr>
          <w:rFonts w:ascii="宋体" w:hAnsi="宋体"/>
          <w:sz w:val="24"/>
        </w:rPr>
        <w:t>、本基金投资存托凭证的比例限制依照境内上市交易的股票执行。</w:t>
      </w:r>
    </w:p>
    <w:p w14:paraId="3F03DF1D"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律法规对上述投资组合比例限制进行变更的，以变更后的规定为准，但须与基金托管人协商一致后方可纳入基金托管人投资监督范围。《基金法》及其他有关法律法规或监管部门取消上述限制的，如适用于本基金，基金管理人在履行适当程序后，基金不受上述限制。</w:t>
      </w:r>
    </w:p>
    <w:p w14:paraId="129340C4"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3）法规允许的基金投资比例调整期限</w:t>
      </w:r>
    </w:p>
    <w:p w14:paraId="362861E4" w14:textId="2D77B579"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除上述第b项、第</w:t>
      </w:r>
      <w:r w:rsidR="001F6BA1">
        <w:rPr>
          <w:rFonts w:ascii="宋体" w:hAnsi="宋体"/>
          <w:sz w:val="24"/>
        </w:rPr>
        <w:t>f</w:t>
      </w:r>
      <w:r>
        <w:rPr>
          <w:rFonts w:ascii="宋体" w:hAnsi="宋体"/>
          <w:sz w:val="24"/>
        </w:rPr>
        <w:t>项、第</w:t>
      </w:r>
      <w:r w:rsidR="001F6BA1">
        <w:rPr>
          <w:rFonts w:ascii="宋体" w:hAnsi="宋体"/>
          <w:sz w:val="24"/>
        </w:rPr>
        <w:t>g</w:t>
      </w:r>
      <w:r>
        <w:rPr>
          <w:rFonts w:ascii="宋体" w:hAnsi="宋体"/>
          <w:sz w:val="24"/>
        </w:rPr>
        <w:t>项、第</w:t>
      </w:r>
      <w:r w:rsidR="001F6BA1">
        <w:rPr>
          <w:rFonts w:ascii="宋体" w:hAnsi="宋体" w:hint="eastAsia"/>
          <w:sz w:val="24"/>
        </w:rPr>
        <w:t>l</w:t>
      </w:r>
      <w:r>
        <w:rPr>
          <w:rFonts w:ascii="宋体" w:hAnsi="宋体"/>
          <w:sz w:val="24"/>
        </w:rPr>
        <w:t>项外，因证券、期货市场波动、证券发行人合并或基金规模变动等基金管理人之外的因素致使基金投资比例不符合上述规定投资比例的，基金管理人应当在10个交易日内进行调整，但中国证监会规定的特殊情形除外。法律法规另有规定的，从其规定。</w:t>
      </w:r>
    </w:p>
    <w:p w14:paraId="464034A1"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当自基金合同生效之日起6个月内使基金的投资组合比例符合基金合同的有关约定。在上述期间内，本基金的投资范围应当符合基金合同的约定。基金托管人对基金的投资的监督与检查自基金合同生效之日起开始。</w:t>
      </w:r>
    </w:p>
    <w:p w14:paraId="282FE54C"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（3）基金托管人根据有关法律法规的规定及《基金合同》的约定对下述基金投资禁止行为进行监督：</w:t>
      </w:r>
    </w:p>
    <w:p w14:paraId="507C6229"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根据法律法规的规定及《基金合同》的约定，本基金禁止从事下列行为：</w:t>
      </w:r>
    </w:p>
    <w:p w14:paraId="4ECE98A8"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1）承销证券；</w:t>
      </w:r>
    </w:p>
    <w:p w14:paraId="66C35619"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2）违反规定向他人贷款或者提供担保；</w:t>
      </w:r>
    </w:p>
    <w:p w14:paraId="6ECADA97"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3）从事承担无限责任的投资；</w:t>
      </w:r>
    </w:p>
    <w:p w14:paraId="7730C711"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4）买卖其他基金份额，但是中国证监会另有规定的除外；</w:t>
      </w:r>
    </w:p>
    <w:p w14:paraId="2551CCE4"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5）向其基金管理人、基金托管人出资。</w:t>
      </w:r>
    </w:p>
    <w:p w14:paraId="4E2E0817"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如法律、行政法规或监管部门取消上述禁止性规定，如适用于本基金，基金管</w:t>
      </w:r>
      <w:r>
        <w:rPr>
          <w:rFonts w:ascii="宋体" w:hAnsi="宋体"/>
          <w:sz w:val="24"/>
        </w:rPr>
        <w:lastRenderedPageBreak/>
        <w:t>理人在履行适当程序后，本基金可不受上述规定的限制。</w:t>
      </w:r>
    </w:p>
    <w:p w14:paraId="56F93C36"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（4）基金托管人依据有关法律法规的规定和《基金合同》的约定对基金管理人参与银行间债券市场进行监督。</w:t>
      </w:r>
    </w:p>
    <w:p w14:paraId="3287C600"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1）基金托管人按以下方式对基金管理人参与银行间市场交易的交易对手资信风险控制措施进行监督。</w:t>
      </w:r>
    </w:p>
    <w:p w14:paraId="1DC3B46F"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向基金托管人提供符合法律法规及行业标准的银行间市场交易对手的名单。基金托管人在收到名单后2个工作日内回函确认收到该名单。基金管理人应定期或不定期对银行间市场现券及回购交易对手的名单进行更新，名单中增加或减少银行间市场交易对手时须提前书面通知基金托管人，基金托管人于2个工作日内回函确认收到后，对名单进行更新。基金管理人收到基金托管人书面确认后，被确认调整的名单开始生效，新名单生效前已与本次剔除的交易对手所进行但尚未结算的交易，仍应按照协议进行结算。</w:t>
      </w:r>
    </w:p>
    <w:p w14:paraId="77EDD645"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果基金托管人发现基金管理人与不在名单内的银行间市场交易对手进行交易，应及时提醒基金管理人撤销交易，经提醒后基金管理人仍执行交易并造成基金资产损失的，基金托管人不承担责任，发生此种情形时，托管人有权报告中国证监会。</w:t>
      </w:r>
    </w:p>
    <w:p w14:paraId="7A420DFF"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管理人参与银行间市场交易的核心交易对手为中国工商银行、中国银行、中国建设银行、中国农业银行和交通银行，基金管理人在通知基金托管人后，可以根据当时的市场情况调整核心交易对手名单。基金管理人有责任建立完善的内部流程防范交易对手的资信风险，在与核心交易对手以外的交易对手进行交易时，由于交易对手资信风险引起的损失不由托管人承担。基金托管人的监督责任仅限于根据已提供的名单，审核交易对手是否在名单内列明。</w:t>
      </w:r>
    </w:p>
    <w:p w14:paraId="531FF66F"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（5）基金托管人对基金管理人选择存款银行进行监督。</w:t>
      </w:r>
    </w:p>
    <w:p w14:paraId="0C3DD17A"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投资银行存款的信用风险主要包括存款银行的信用等级、存款银行的支付能力等涉及到存款银行选择方面的风险。本基金核心存款银行名单为中国工商银行、中国银行、中国建设银行、中国农业银行和交通银行，本基金投资除核心存款银行以外的银行存款出现由于存款银行信用风险而造成的损失时，该损失不由托管人承担。基金管理人在通知基金托管人后，可以根据当时的市场情况对于核心存款银行名单进行调整。基金托管人的监督责任仅限于根据已提供的名单，审核核心存款银行是否在名单内列明。</w:t>
      </w:r>
    </w:p>
    <w:p w14:paraId="3A99DDEF"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（6）基金托管人对基金投资流通受限证券的监督</w:t>
      </w:r>
    </w:p>
    <w:p w14:paraId="3BE3DE89"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1）基金投资流通受限证券，应遵守《关于基金投资非公开发行股票等流通受限证券有关问题的通知》规定。</w:t>
      </w:r>
    </w:p>
    <w:p w14:paraId="2FDCF6E7"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流通受限证券，包括由《上市公司证券发行管理办法》规范的非公开发行股票、公开发行股票网下配售部分等在发行时明确一定期限锁定期的可交易证券，不包括由于发布重大消息或其他原因而临时停牌的证券、已发行未上市证券、回购交易中的质押券等流通受限证券。</w:t>
      </w:r>
    </w:p>
    <w:p w14:paraId="4AF8BA2F"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管理人应在基金首次投资流通受限证券前，向基金托管人提供经基金管理人董事会批准的有关基金投资流通受限证券的投资决策流程、风险控制制度。基金投资非公开发行股票，基金管理人还应提供基金管理人董事会批准的流动性风险处置预案。上述资料应包括但不限于基金投资流通受限证券的投资额度和投资比例控制情况。</w:t>
      </w:r>
    </w:p>
    <w:p w14:paraId="430B74BE"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至少于首次执行投资指令之前两个工作日将上述资料书面发至基金托管人，保证基金托管人有足够的时间进行审核。基金托管人应在收到上述资料后两个工作日内，以书面或其他双方认可的方式确认收到上述资料。</w:t>
      </w:r>
    </w:p>
    <w:p w14:paraId="298A646F"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投资流通受限证券前，基金管理人应向基金托管人提供符合法律法规要求的有关书面信息，包括但不限于拟发行证券主体的中国证监会批准文件、发行证券数量、发行价格、锁定期，基金拟认购的数量、价格、总成本、总成本占基金资产净值的比例、已持有流通受限证券市值占基金资产净值的比例、资金划付时间等。基金管理人应保证上述信息的真实、完整，并应至少于拟执行投资指令前两个工作日将上述信息书面发至基金托管人，保证基金托管人有足够的时间进行审核。</w:t>
      </w:r>
    </w:p>
    <w:p w14:paraId="3D3BADC6"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基金托管人应按照《关于基金投资非公开发行股票等流通受限证券有关问题的通知》规定，对基金管理人是否遵守法律法规进行监督，并审核基金管理人提供的有关书面信息。基金托管人认为上述资料可能导致基金出现风险的，有权要求基金管理人在投资流通受限证券前就该风险的消除或防范措施进行补充书面说明，并保留查看基金管理人风险管理部门就基金投资流通受限证券出具的风险评估报告等备查资料的权利。否则，基金托管人有权拒绝执行有关指令。因拒绝执行该指令造成基金财产损失的，基金托管人不承担任何责任，并有权报告中国证监会。</w:t>
      </w:r>
    </w:p>
    <w:p w14:paraId="3586484B"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如基金管理人和基金托管人无法达成一致，应及时上报中国证监会请求解决。如果基金托管人切实履行监督职责，则不承担任何责任。如果基金托管人没有切实</w:t>
      </w:r>
      <w:r>
        <w:rPr>
          <w:rFonts w:ascii="宋体" w:hAnsi="宋体"/>
          <w:sz w:val="24"/>
        </w:rPr>
        <w:lastRenderedPageBreak/>
        <w:t>履行监督职责，导致基金出现风险，基金托管人应承担连带责任。</w:t>
      </w:r>
    </w:p>
    <w:p w14:paraId="7B902408" w14:textId="0751594A"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2、基金托管人应根据有关法律法规的规定及《基金合同》的约定，对基金资产净值计算、</w:t>
      </w:r>
      <w:r w:rsidR="00784F6C" w:rsidRPr="00D7088C">
        <w:rPr>
          <w:rFonts w:ascii="宋体" w:hAnsi="宋体" w:hint="eastAsia"/>
          <w:sz w:val="24"/>
          <w:szCs w:val="21"/>
        </w:rPr>
        <w:t>各类</w:t>
      </w:r>
      <w:r>
        <w:rPr>
          <w:rFonts w:ascii="宋体" w:hAnsi="宋体"/>
          <w:sz w:val="24"/>
        </w:rPr>
        <w:t>基金份额净值计算、应收资金到账、基金费用开支及收入确定、基金收益分配、相关信息披露、基金宣传推介材料中登载基金业绩表现数据等进行监督和核查。</w:t>
      </w:r>
    </w:p>
    <w:p w14:paraId="63C34F59"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托管人发现基金管理人的投资运作及其他运作违反《基金法》、《基金合同》、基金托管协议及其他有关规定时，应及时以书面形式通知基金管理人限期纠正，基金管理人收到通知后应在下一个工作日及时核对，并以书面形式向基金托管人发出回函，进行解释或举证。</w:t>
      </w:r>
    </w:p>
    <w:p w14:paraId="56C800B1"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限期内，基金托管人有权随时对通知事项进行复查，督促基金管理人改正。基金管理人对基金托管人通知的违规事项未能在限期内纠正的，基金托管人应报告中国证监会。基金托管人有义务要求基金管理人赔偿因其违反《基金合同》而致使投资者遭受的损失。</w:t>
      </w:r>
    </w:p>
    <w:p w14:paraId="51CF6DB3"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对于依据交易程序尚未成交的且基金托管人在交易前能够监控的投资指令，基金托管人发现该投资指令违反有关法律法规规定或者违反《基金合同》约定的，应当拒绝执行，立即通知基金管理人，并向中国证监会报告。</w:t>
      </w:r>
    </w:p>
    <w:p w14:paraId="1DB05F58"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对于必须于估值完成后方可获知的监控指标或依据交易程序已经成交的投资指令，基金托管人发现该投资指令违反法律法规或者违反《基金合同》约定的，应当立即通知基金管理人，并报告中国证监会。</w:t>
      </w:r>
    </w:p>
    <w:p w14:paraId="12467B5A"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积极配合和协助基金托管人的监督和核查，必须在规定时间内答复基金托管人并改正，就基金托管人的疑义进行解释或举证，对基金托管人按照法律法规要求需向中国证监会报送基金监督报告的，基金管理人应积极配合提供相关数据资料和制度等。</w:t>
      </w:r>
    </w:p>
    <w:p w14:paraId="34F6F101"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基金托管人发现基金管理人有重大违规行为，应立即报告中国证监会，同时通知基金管理人限期纠正。</w:t>
      </w:r>
    </w:p>
    <w:p w14:paraId="00888DE1"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无正当理由，拒绝、阻挠基金托管人根据本协议规定行使监督权，或采取拖延、欺诈等手段妨碍基金托管人进行有效监督，情节严重或经基金托管人提出警告仍不改正的，基金托管人应报告中国证监会。</w:t>
      </w:r>
    </w:p>
    <w:p w14:paraId="11B7B467" w14:textId="77777777" w:rsidR="00FB4D29" w:rsidRDefault="00CF4592">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（三）基金管理人对基金托管人的业务核查</w:t>
      </w:r>
    </w:p>
    <w:p w14:paraId="4F9087B8" w14:textId="19991FE8"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基金管理人对基金托管人履行托管职责情况进行核查，核查事项包括但不限于</w:t>
      </w:r>
      <w:r>
        <w:rPr>
          <w:rFonts w:ascii="宋体" w:hAnsi="宋体"/>
          <w:sz w:val="24"/>
        </w:rPr>
        <w:lastRenderedPageBreak/>
        <w:t>基金托管人安全保管基金财产、开设基金财产的资金账户、证券账户、协助开立股指期货业务相关账户及交易编码、复核基金管理人计算的基金资产净值和</w:t>
      </w:r>
      <w:r w:rsidR="00784F6C" w:rsidRPr="00D7088C">
        <w:rPr>
          <w:rFonts w:ascii="宋体" w:hAnsi="宋体" w:hint="eastAsia"/>
          <w:sz w:val="24"/>
          <w:szCs w:val="21"/>
        </w:rPr>
        <w:t>各类</w:t>
      </w:r>
      <w:r>
        <w:rPr>
          <w:rFonts w:ascii="宋体" w:hAnsi="宋体"/>
          <w:sz w:val="24"/>
        </w:rPr>
        <w:t>基金份额净值、根据基金管理人指令办理清算交收、相关信息披露和监督基金投资运作等行为。</w:t>
      </w:r>
    </w:p>
    <w:p w14:paraId="76B37AF0"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发现基金托管人擅自挪用基金财产、未对基金财产实行分账管理、无故未执行或无故延迟执行基金管理人资金划拨指令、泄露基金投资信息等违反《基金法》、《基金合同》、本托管协议及其他有关规定时，基金管理人应及时以书面形式通知基金托管人限期纠正，基金托管人收到通知后应及时核对确认并以书面形式向基金管理人发出回函。在限期内，基金管理人有权随时对通知事项进行复查，督促基金托管人改正，并予协助配合。基金托管人对基金管理人通知的违规事项未能在限期内纠正的，基金管理人应报告中国证监会。基金管理人有义务要求基金托管人赔偿基金因此所遭受的损失。</w:t>
      </w:r>
    </w:p>
    <w:p w14:paraId="5E8050A8"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基金管理人发现基金托管人有重大违规行为，应立即报告中国证监会和银行业监督管理机构，同时通知基金托管人限期纠正。</w:t>
      </w:r>
    </w:p>
    <w:p w14:paraId="7BA32674"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基金托管人应积极配合基金管理人的核查行为，包括但不限于：提交相关资料以供基金管理人核查托管财产的完整性和真实性，在规定时间内答复基金管理人并改正。</w:t>
      </w:r>
    </w:p>
    <w:p w14:paraId="3D071FC9"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托管人无正当理由，拒绝、阻挠基金管理人根据本协议规定行使监督权，或采取拖延、欺诈等手段妨碍基金管理人进行有效监督，情节严重或经基金管理人提出警告仍不改正的，基金管理人应报告中国证监会。</w:t>
      </w:r>
    </w:p>
    <w:p w14:paraId="555B2E5F" w14:textId="77777777" w:rsidR="00FB4D29" w:rsidRDefault="00CF4592">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（四）基金财产保管</w:t>
      </w:r>
    </w:p>
    <w:p w14:paraId="260ECFE0"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1、基金财产保管的原则</w:t>
      </w:r>
    </w:p>
    <w:p w14:paraId="2149844B"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（1）基金财产应独立于基金管理人、基金托管人的固有财产。</w:t>
      </w:r>
    </w:p>
    <w:p w14:paraId="1C64E267"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（2）基金托管人应安全保管基金财产。未经基金管理人的正当指令，不得自行运用、处分、分配基金的任何财产。</w:t>
      </w:r>
    </w:p>
    <w:p w14:paraId="654E42E3"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（3）基金托管人按照规定开设基金财产的资金账户、证券账户，协助开立股指期货业务相关账户及交易编码。</w:t>
      </w:r>
    </w:p>
    <w:p w14:paraId="0668E485"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（4）基金托管人对所托管的不同基金财产分别设置账户，与基金托管人的其他业务和其他基金的托管业务实行严格的分账管理，确保基金财产的完整与独立。</w:t>
      </w:r>
    </w:p>
    <w:p w14:paraId="011384EF"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（5）对于因基金认（申）购、基金投资过程中产生的应收财产，应由基金管</w:t>
      </w:r>
      <w:r>
        <w:rPr>
          <w:rFonts w:ascii="宋体" w:hAnsi="宋体"/>
          <w:sz w:val="24"/>
        </w:rPr>
        <w:lastRenderedPageBreak/>
        <w:t>理人负责与有关当事人确定到账日期并通知基金托管人，到账日基金财产没有到达基金托管人处的，基金托管人应及时通知基金管理人采取措施进行催收。由此给基金造成损失的，基金管理人应负责向有关当事人追偿基金的损失，基金托管人对此不承担责任。</w:t>
      </w:r>
    </w:p>
    <w:p w14:paraId="64DF644B"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（6）除依据法律法规和基金合同的规定外，基金托管人不得委托第三人托管基金财产。</w:t>
      </w:r>
    </w:p>
    <w:p w14:paraId="4AA12A4F" w14:textId="2B255045"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2、基金的银行账户的开立和管理</w:t>
      </w:r>
    </w:p>
    <w:p w14:paraId="23E1074C"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基金托管人以基金托管人的名义在其营业机构开设资产托管专户，保管基金的银行存款。该账户的开设和管理由基金托管人承担。本基金的一切货币收支活动，均需通过基金托管人的资产托管专户进行。</w:t>
      </w:r>
    </w:p>
    <w:p w14:paraId="0AE1A5FC"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资产托管专户的开立和使用，限于满足开展本基金业务的需要。基金托管人和基金管理人不得假借本基金的名义开立其他任何银行账户；亦不得使用基金的任何银行账户进行本基金业务以外的活动。</w:t>
      </w:r>
    </w:p>
    <w:p w14:paraId="0DA970F1"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资产托管专户的管理应符合《人民币银行结算账户管理办法》、《现金管理暂行条例》、《人民币利率管理规定》、《利率管理暂行规定》、《支付结算办法》以及银行业监督管理机构的其他规定。</w:t>
      </w:r>
    </w:p>
    <w:p w14:paraId="385E9076" w14:textId="518543FA" w:rsidR="00FB4D29" w:rsidRDefault="002B27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w:t>
      </w:r>
      <w:r w:rsidR="00CF4592">
        <w:rPr>
          <w:rFonts w:ascii="宋体" w:hAnsi="宋体"/>
          <w:sz w:val="24"/>
        </w:rPr>
        <w:t>、基金证券账户与证券交易资金账户的开设和管理</w:t>
      </w:r>
    </w:p>
    <w:p w14:paraId="1ED8E093"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基金托管人以基金托管人和本基金联名的方式在中国证券登记结算有限责任公司上海分公司/深圳分公司开设证券账户。</w:t>
      </w:r>
    </w:p>
    <w:p w14:paraId="012C3BDA"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基金托管人以基金托管人的名义在中国证券登记结算有限责任公司上海分公司/深圳分公司开立基金证券交易资金账户，用于证券清算。</w:t>
      </w:r>
    </w:p>
    <w:p w14:paraId="1900C282"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基金证券账户的开立和使用，限于满足开展本基金业务的需要。基金托管人和基金管理人不得出借和未经对方同意擅自转让基金的任何证券账户；亦不得使用基金的任何账户进行本基金业务以外的活动。</w:t>
      </w:r>
    </w:p>
    <w:p w14:paraId="4D32C46D" w14:textId="008DB0A8" w:rsidR="00FB4D29" w:rsidRDefault="002B27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w:t>
      </w:r>
      <w:r w:rsidR="00CF4592">
        <w:rPr>
          <w:rFonts w:ascii="宋体" w:hAnsi="宋体"/>
          <w:sz w:val="24"/>
        </w:rPr>
        <w:t>、债券托管账户的开立和管理</w:t>
      </w:r>
    </w:p>
    <w:p w14:paraId="2FA66EB7"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合同》生效后，基金管理人负责以基金的名义申请并取得进入全国银行间同业拆借市场的交易资格，并代表基金进行交易；基金托管人负责以基金的名义在中央国债登记结算有限责任公司开设银行间债券市场债券托管自营账户，并由基金托管人负责基金的债券的后台匹配及资金的清算。</w:t>
      </w:r>
    </w:p>
    <w:p w14:paraId="1EF22DDC"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2）基金管理人和基金托管人应一起负责为基金对外签订全国银行间债券市场</w:t>
      </w:r>
      <w:r>
        <w:rPr>
          <w:rFonts w:ascii="宋体" w:hAnsi="宋体"/>
          <w:sz w:val="24"/>
        </w:rPr>
        <w:lastRenderedPageBreak/>
        <w:t>回购主协议，正本由基金托管人保管，基金管理人保存副本。</w:t>
      </w:r>
    </w:p>
    <w:p w14:paraId="4BD6206C" w14:textId="56BEC08C" w:rsidR="00FB4D29" w:rsidRDefault="002B27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w:t>
      </w:r>
      <w:r w:rsidR="00CF4592">
        <w:rPr>
          <w:rFonts w:ascii="宋体" w:hAnsi="宋体"/>
          <w:sz w:val="24"/>
        </w:rPr>
        <w:t>、其他账户的开设和管理</w:t>
      </w:r>
    </w:p>
    <w:p w14:paraId="70A69E5B"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本托管协议订立日之后，本基金被允许从事符合法律法规规定和《基金合同》约定的其他投资品种的投资业务时，如果涉及相关账户的开设和使用，由基金管理人协助基金托管人根据有关法律法规的规定和《基金合同》的约定，开立有关账户。该账户按有关规则使用并管理。</w:t>
      </w:r>
    </w:p>
    <w:p w14:paraId="43160211" w14:textId="6EED9872" w:rsidR="00FB4D29" w:rsidRDefault="002B27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w:t>
      </w:r>
      <w:r w:rsidR="00CF4592">
        <w:rPr>
          <w:rFonts w:ascii="宋体" w:hAnsi="宋体"/>
          <w:sz w:val="24"/>
        </w:rPr>
        <w:t>、基金财产投资的有关实物证券、银行定期存款存单等有价凭证的保管</w:t>
      </w:r>
    </w:p>
    <w:p w14:paraId="3E5A2D81"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财产投资的有关实物证券由基金托管人存放于基金托管人的保管库；其中实物证券也可存入中央国债登记结算有限责任公司或中国证券登记结算有限责任公司上海分公司/深圳分公司或票据营业中心的代保管库。实物证券的购买和转让，由基金托管人根据基金管理人的指令办理。属于基金托管人实际有效控制下的实物证券在基金托管人保管期间的损坏、灭失，由此产生的责任应由基金托管人承担。基金托管人对基金托管人以外机构实际有效控制或保管的证券不承担保管责任。</w:t>
      </w:r>
    </w:p>
    <w:p w14:paraId="249073D9" w14:textId="2BFE2DB3" w:rsidR="00FB4D29" w:rsidRDefault="002B272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w:t>
      </w:r>
      <w:r w:rsidR="00CF4592">
        <w:rPr>
          <w:rFonts w:ascii="宋体" w:hAnsi="宋体"/>
          <w:sz w:val="24"/>
        </w:rPr>
        <w:t>、与基金财产有关的重大合同的保管</w:t>
      </w:r>
    </w:p>
    <w:p w14:paraId="54B91855" w14:textId="1D85CE61"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由基金管理人代表基金签署的与基金有关的重大合同的原件分别应由基金托管人、基金管理人保管。除本协议另有规定外，基金管理人在代表基金签署与基金有关的重大合同时应保证基金一方持有两份以上的正本，以便基金管理人和基金托管人至少各持有一份正本的原件。基金管理人在合同签署后5个工作日内通过专人送达、挂号邮寄等安全方式将合同原件送达基金托管人处。合同原件应存放于基金管理人和基金托管人各自文件保管部门</w:t>
      </w:r>
      <w:r w:rsidR="00784F6C" w:rsidRPr="00054E46">
        <w:rPr>
          <w:rFonts w:ascii="宋体" w:hAnsi="宋体" w:hint="eastAsia"/>
          <w:sz w:val="24"/>
        </w:rPr>
        <w:t>，保存期限不低于法律法规规</w:t>
      </w:r>
      <w:r w:rsidR="00784F6C">
        <w:rPr>
          <w:rFonts w:ascii="宋体" w:hAnsi="宋体" w:hint="eastAsia"/>
          <w:sz w:val="24"/>
        </w:rPr>
        <w:t>定的最低期限</w:t>
      </w:r>
      <w:r>
        <w:rPr>
          <w:rFonts w:ascii="宋体" w:hAnsi="宋体"/>
          <w:sz w:val="24"/>
        </w:rPr>
        <w:t>。</w:t>
      </w:r>
    </w:p>
    <w:p w14:paraId="5BE7602D" w14:textId="77777777" w:rsidR="00FB4D29" w:rsidRDefault="00CF4592">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（五）基金资产净值计算和会计复核</w:t>
      </w:r>
    </w:p>
    <w:p w14:paraId="56617C62"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1、基金资产净值的计算</w:t>
      </w:r>
    </w:p>
    <w:p w14:paraId="74ED93DD"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（1）基金资产净值的计算、复核的时间和程序</w:t>
      </w:r>
    </w:p>
    <w:p w14:paraId="594E8470" w14:textId="0EBBFF94"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基金资产净值是指基金资产总值减去负债后的价值。</w:t>
      </w:r>
      <w:r w:rsidR="00784F6C" w:rsidRPr="00B21BB9">
        <w:rPr>
          <w:rFonts w:ascii="宋体" w:hAnsi="宋体" w:hint="eastAsia"/>
          <w:sz w:val="24"/>
          <w:szCs w:val="21"/>
        </w:rPr>
        <w:t>各类基金份额的</w:t>
      </w:r>
      <w:r>
        <w:rPr>
          <w:rFonts w:ascii="宋体" w:hAnsi="宋体"/>
          <w:sz w:val="24"/>
        </w:rPr>
        <w:t>基金份额净值是指计算日</w:t>
      </w:r>
      <w:r w:rsidR="00784F6C" w:rsidRPr="00737147">
        <w:rPr>
          <w:rFonts w:ascii="宋体" w:hAnsi="宋体" w:hint="eastAsia"/>
          <w:sz w:val="24"/>
          <w:szCs w:val="21"/>
        </w:rPr>
        <w:t>该类基金份额的</w:t>
      </w:r>
      <w:r>
        <w:rPr>
          <w:rFonts w:ascii="宋体" w:hAnsi="宋体"/>
          <w:sz w:val="24"/>
        </w:rPr>
        <w:t>基金资产净值除以该计算日</w:t>
      </w:r>
      <w:r w:rsidR="00784F6C">
        <w:rPr>
          <w:rFonts w:ascii="宋体" w:hAnsi="宋体" w:hint="eastAsia"/>
          <w:sz w:val="24"/>
          <w:szCs w:val="21"/>
        </w:rPr>
        <w:t>该类</w:t>
      </w:r>
      <w:r>
        <w:rPr>
          <w:rFonts w:ascii="宋体" w:hAnsi="宋体"/>
          <w:sz w:val="24"/>
        </w:rPr>
        <w:t>基金份额总份额后的数值。</w:t>
      </w:r>
      <w:r w:rsidR="00784F6C" w:rsidRPr="00B21BB9">
        <w:rPr>
          <w:rFonts w:ascii="宋体" w:hAnsi="宋体" w:hint="eastAsia"/>
          <w:sz w:val="24"/>
          <w:szCs w:val="21"/>
        </w:rPr>
        <w:t>各类基金份额的</w:t>
      </w:r>
      <w:r>
        <w:rPr>
          <w:rFonts w:ascii="宋体" w:hAnsi="宋体"/>
          <w:sz w:val="24"/>
        </w:rPr>
        <w:t>基金份额净值的计算</w:t>
      </w:r>
      <w:r w:rsidR="00784F6C">
        <w:rPr>
          <w:rFonts w:ascii="宋体" w:hAnsi="宋体" w:hint="eastAsia"/>
          <w:sz w:val="24"/>
          <w:szCs w:val="21"/>
        </w:rPr>
        <w:t>均</w:t>
      </w:r>
      <w:r>
        <w:rPr>
          <w:rFonts w:ascii="宋体" w:hAnsi="宋体"/>
          <w:sz w:val="24"/>
        </w:rPr>
        <w:t>保留到小数点后4位，小数点后第5位四舍五入，由此产生的误差计入基金财产。</w:t>
      </w:r>
      <w:r w:rsidR="00784F6C" w:rsidRPr="000762DA">
        <w:rPr>
          <w:rFonts w:ascii="宋体" w:hAnsi="宋体" w:hint="eastAsia"/>
          <w:sz w:val="24"/>
          <w:szCs w:val="21"/>
        </w:rPr>
        <w:t>基金管理人可以设立大额赎回情形下的净值精度应急调整机制，具体可参见相关公告。国家另有规定的，从其规定。</w:t>
      </w:r>
    </w:p>
    <w:p w14:paraId="343B9FF8" w14:textId="314B2333"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基金管理人应每工作日对基金资产估值。估值原则应符合《基金合同》、《证券投资基金会计核算业务指引》及其他法律、法规的规定。</w:t>
      </w:r>
      <w:r w:rsidR="00784F6C" w:rsidRPr="00B21BB9">
        <w:rPr>
          <w:rFonts w:ascii="宋体" w:hAnsi="宋体" w:hint="eastAsia"/>
          <w:sz w:val="24"/>
          <w:szCs w:val="21"/>
        </w:rPr>
        <w:t>各类基金份额的</w:t>
      </w:r>
      <w:r>
        <w:rPr>
          <w:rFonts w:ascii="宋体" w:hAnsi="宋体"/>
          <w:sz w:val="24"/>
        </w:rPr>
        <w:t>基金资产</w:t>
      </w:r>
      <w:r>
        <w:rPr>
          <w:rFonts w:ascii="宋体" w:hAnsi="宋体"/>
          <w:sz w:val="24"/>
        </w:rPr>
        <w:lastRenderedPageBreak/>
        <w:t>净值和基金份额净值由基金管理人负责计算，基金托管人复核。基金管理人应于每个工作日交易结束后计算当日</w:t>
      </w:r>
      <w:r w:rsidR="00784F6C" w:rsidRPr="00B21BB9">
        <w:rPr>
          <w:rFonts w:ascii="宋体" w:hAnsi="宋体" w:hint="eastAsia"/>
          <w:sz w:val="24"/>
          <w:szCs w:val="21"/>
        </w:rPr>
        <w:t>各类基金份额</w:t>
      </w:r>
      <w:r>
        <w:rPr>
          <w:rFonts w:ascii="宋体" w:hAnsi="宋体"/>
          <w:sz w:val="24"/>
        </w:rPr>
        <w:t>的基金资产净值和基金份额净值并以双方认可的方式发送给基金托管人。基金托管人对净值计算结果复核后以双方认可的方式发送给基金管理人，由基金管理人对基金净值予以公布。</w:t>
      </w:r>
    </w:p>
    <w:p w14:paraId="6E74BA6B" w14:textId="4C31B2F6"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根据《基金法》，基金管理人计算并公告</w:t>
      </w:r>
      <w:r w:rsidR="00784F6C" w:rsidRPr="00B21BB9">
        <w:rPr>
          <w:rFonts w:ascii="宋体" w:hAnsi="宋体" w:hint="eastAsia"/>
          <w:sz w:val="24"/>
          <w:szCs w:val="21"/>
        </w:rPr>
        <w:t>各类基金份额的</w:t>
      </w:r>
      <w:r>
        <w:rPr>
          <w:rFonts w:ascii="宋体" w:hAnsi="宋体"/>
          <w:sz w:val="24"/>
        </w:rPr>
        <w:t>基金资产净值和基金份额净值，基金托管人复核、审查基金管理人计算的</w:t>
      </w:r>
      <w:r w:rsidR="00784F6C" w:rsidRPr="00B21BB9">
        <w:rPr>
          <w:rFonts w:ascii="宋体" w:hAnsi="宋体" w:hint="eastAsia"/>
          <w:sz w:val="24"/>
          <w:szCs w:val="21"/>
        </w:rPr>
        <w:t>各类基金份额的</w:t>
      </w:r>
      <w:r>
        <w:rPr>
          <w:rFonts w:ascii="宋体" w:hAnsi="宋体"/>
          <w:sz w:val="24"/>
        </w:rPr>
        <w:t>基金资产净值和基金份额净值。因此，本基金的会计责任方是基金管理人，就与本基金有关的会计问题，如经相关各方在平等基础上充分讨论后，仍无法达成一致的意见，按照基金管理人对</w:t>
      </w:r>
      <w:r w:rsidR="00784F6C" w:rsidRPr="00B21BB9">
        <w:rPr>
          <w:rFonts w:ascii="宋体" w:hAnsi="宋体" w:hint="eastAsia"/>
          <w:sz w:val="24"/>
          <w:szCs w:val="21"/>
        </w:rPr>
        <w:t>各类基金份额的</w:t>
      </w:r>
      <w:r>
        <w:rPr>
          <w:rFonts w:ascii="宋体" w:hAnsi="宋体"/>
          <w:sz w:val="24"/>
        </w:rPr>
        <w:t>基金资产净值和基金份额净值的计算结果对外予以公布。法律法规以及监管部门有强制规定的，从其规定。如有新增事项，按国家最新规定估值。</w:t>
      </w:r>
    </w:p>
    <w:p w14:paraId="0F208619"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2、基金资产估值方法</w:t>
      </w:r>
    </w:p>
    <w:p w14:paraId="6DC51DDC"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（1）估值对象</w:t>
      </w:r>
    </w:p>
    <w:p w14:paraId="3E176447"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基金所拥有的股票、债券、衍生工具和其它投资等持续以公允价值计量的金融资产及负债。</w:t>
      </w:r>
    </w:p>
    <w:p w14:paraId="226ECC3D"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（2）估值方法</w:t>
      </w:r>
    </w:p>
    <w:p w14:paraId="0F9E0ED7"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1）证券交易所上市的有价证券的估值</w:t>
      </w:r>
    </w:p>
    <w:p w14:paraId="3DABF6F1" w14:textId="2A922BB4"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a、交易所上市的有价证券（包括股票</w:t>
      </w:r>
      <w:r w:rsidR="006C59B5">
        <w:rPr>
          <w:rFonts w:ascii="宋体" w:hAnsi="宋体" w:hint="eastAsia"/>
          <w:sz w:val="24"/>
        </w:rPr>
        <w:t>等</w:t>
      </w:r>
      <w:r>
        <w:rPr>
          <w:rFonts w:ascii="宋体" w:hAnsi="宋体"/>
          <w:sz w:val="24"/>
        </w:rPr>
        <w:t>），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092D552B" w14:textId="53A7F89D"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b、交易所市场上市交易或挂牌转让的固定收益品种（另有规定的除外），选取</w:t>
      </w:r>
      <w:r w:rsidR="00784F6C">
        <w:rPr>
          <w:rFonts w:hint="eastAsia"/>
          <w:bCs/>
          <w:sz w:val="24"/>
        </w:rPr>
        <w:t>估值日</w:t>
      </w:r>
      <w:r>
        <w:rPr>
          <w:rFonts w:ascii="宋体" w:hAnsi="宋体"/>
          <w:sz w:val="24"/>
        </w:rPr>
        <w:t>第三方估值机构提供的相应品种当日的估值净价进行估值；</w:t>
      </w:r>
    </w:p>
    <w:p w14:paraId="2B290F64" w14:textId="424458AA"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c、交易所市场上市交易的可转换债券，按估值日收盘价减去可转换债券收盘价中所含债券</w:t>
      </w:r>
      <w:r w:rsidR="00784F6C">
        <w:rPr>
          <w:rFonts w:hint="eastAsia"/>
          <w:bCs/>
          <w:sz w:val="24"/>
        </w:rPr>
        <w:t>（税后）</w:t>
      </w:r>
      <w:r>
        <w:rPr>
          <w:rFonts w:ascii="宋体" w:hAnsi="宋体"/>
          <w:sz w:val="24"/>
        </w:rPr>
        <w:t>应收利息后得到的净价进行估值；</w:t>
      </w:r>
      <w:r w:rsidR="00784F6C" w:rsidRPr="00784F6C">
        <w:rPr>
          <w:rFonts w:ascii="宋体" w:hAnsi="宋体" w:hint="eastAsia"/>
          <w:sz w:val="24"/>
        </w:rPr>
        <w:t>估值日没有交易的，且最近交易日后经济环境未发生重大变化，按最近交易日债券收盘价减去可转换债券收盘价中所含债券（税后）应收利息后得到的净价进行估值。如最近交易日后经济环境发生了重大变化的，可参考类似投资品种现行市价及重大变化因素，调整最近交</w:t>
      </w:r>
      <w:r w:rsidR="00784F6C" w:rsidRPr="00784F6C">
        <w:rPr>
          <w:rFonts w:ascii="宋体" w:hAnsi="宋体" w:hint="eastAsia"/>
          <w:sz w:val="24"/>
        </w:rPr>
        <w:lastRenderedPageBreak/>
        <w:t>易市价，确定公允价格；</w:t>
      </w:r>
    </w:p>
    <w:p w14:paraId="4A79911A" w14:textId="34F29FC5" w:rsidR="000B3A9F" w:rsidRPr="000B3A9F" w:rsidRDefault="00CF4592" w:rsidP="000B3A9F">
      <w:pPr>
        <w:autoSpaceDE w:val="0"/>
        <w:autoSpaceDN w:val="0"/>
        <w:adjustRightInd w:val="0"/>
        <w:snapToGrid w:val="0"/>
        <w:spacing w:line="360" w:lineRule="auto"/>
        <w:ind w:firstLineChars="200" w:firstLine="480"/>
        <w:jc w:val="left"/>
        <w:rPr>
          <w:rFonts w:ascii="宋体" w:hAnsi="宋体"/>
          <w:sz w:val="24"/>
        </w:rPr>
      </w:pPr>
      <w:r>
        <w:rPr>
          <w:rFonts w:ascii="宋体" w:hAnsi="宋体"/>
          <w:sz w:val="24"/>
        </w:rPr>
        <w:t>d、交易所</w:t>
      </w:r>
      <w:r w:rsidR="000B3A9F" w:rsidRPr="000B3A9F">
        <w:rPr>
          <w:rFonts w:ascii="宋体" w:hAnsi="宋体" w:hint="eastAsia"/>
          <w:sz w:val="24"/>
        </w:rPr>
        <w:t>上市实行全价交易的债券（可转债除外），选取第三方估值机构提供的估值全价减去估值全价中所含的债券（税后）应收利息得到的净价进行估值；</w:t>
      </w:r>
    </w:p>
    <w:p w14:paraId="34C06FF5" w14:textId="606B072A" w:rsidR="000B3A9F" w:rsidRPr="000B3A9F" w:rsidRDefault="000B3A9F" w:rsidP="000B3A9F">
      <w:pPr>
        <w:autoSpaceDE w:val="0"/>
        <w:autoSpaceDN w:val="0"/>
        <w:adjustRightInd w:val="0"/>
        <w:snapToGrid w:val="0"/>
        <w:spacing w:line="360" w:lineRule="auto"/>
        <w:ind w:firstLineChars="200" w:firstLine="480"/>
        <w:jc w:val="left"/>
        <w:rPr>
          <w:rFonts w:ascii="宋体" w:hAnsi="宋体"/>
          <w:sz w:val="24"/>
        </w:rPr>
      </w:pPr>
      <w:r>
        <w:rPr>
          <w:rFonts w:ascii="宋体" w:hAnsi="宋体"/>
          <w:sz w:val="24"/>
        </w:rPr>
        <w:t>e</w:t>
      </w:r>
      <w:r>
        <w:rPr>
          <w:rFonts w:ascii="宋体" w:hAnsi="宋体" w:hint="eastAsia"/>
          <w:sz w:val="24"/>
        </w:rPr>
        <w:t>、</w:t>
      </w:r>
      <w:r w:rsidRPr="000B3A9F">
        <w:rPr>
          <w:rFonts w:ascii="宋体" w:hAnsi="宋体" w:hint="eastAsia"/>
          <w:sz w:val="24"/>
        </w:rPr>
        <w:t>交易所上市不存在活跃市场的有价证券，采用估值技术确定公允价值。交易所市场挂牌转让的资产支持证券，采用估值技术确定公允价值；</w:t>
      </w:r>
    </w:p>
    <w:p w14:paraId="7E6BFB30" w14:textId="77777777" w:rsidR="002A3FA9" w:rsidRDefault="000B3A9F">
      <w:pPr>
        <w:autoSpaceDE w:val="0"/>
        <w:autoSpaceDN w:val="0"/>
        <w:adjustRightInd w:val="0"/>
        <w:snapToGrid w:val="0"/>
        <w:spacing w:line="360" w:lineRule="auto"/>
        <w:ind w:firstLineChars="200" w:firstLine="480"/>
        <w:jc w:val="left"/>
        <w:rPr>
          <w:rFonts w:ascii="宋体" w:hAnsi="宋体"/>
          <w:sz w:val="24"/>
        </w:rPr>
      </w:pPr>
      <w:r>
        <w:rPr>
          <w:rFonts w:ascii="宋体" w:hAnsi="宋体"/>
          <w:sz w:val="24"/>
        </w:rPr>
        <w:t>f</w:t>
      </w:r>
      <w:r>
        <w:rPr>
          <w:rFonts w:ascii="宋体" w:hAnsi="宋体" w:hint="eastAsia"/>
          <w:sz w:val="24"/>
        </w:rPr>
        <w:t>、</w:t>
      </w:r>
      <w:r w:rsidRPr="000B3A9F">
        <w:rPr>
          <w:rFonts w:ascii="宋体" w:hAnsi="宋体" w:hint="eastAsia"/>
          <w:sz w:val="24"/>
        </w:rPr>
        <w:t>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14:paraId="764D15F1"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2）证券交易所发行未上市期间的有价证券应区分如下情况处理：</w:t>
      </w:r>
    </w:p>
    <w:p w14:paraId="064FBB3C" w14:textId="74443EB8"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a、送股、转增股、配股和公开增发的新股，按估值日在证券交易所挂牌的同一股票的估值方法估值；</w:t>
      </w:r>
      <w:r w:rsidR="002A3FA9">
        <w:rPr>
          <w:bCs/>
          <w:sz w:val="24"/>
        </w:rPr>
        <w:t>该日无交易的，以最近一日的市价（收盘价）估值；</w:t>
      </w:r>
    </w:p>
    <w:p w14:paraId="3BCEA9DD" w14:textId="49AD7DC8"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b、首次公开发行未上市的股票和</w:t>
      </w:r>
      <w:r w:rsidR="002A3FA9">
        <w:rPr>
          <w:rFonts w:hint="eastAsia"/>
          <w:bCs/>
          <w:sz w:val="24"/>
        </w:rPr>
        <w:t>债券</w:t>
      </w:r>
      <w:r>
        <w:rPr>
          <w:rFonts w:ascii="宋体" w:hAnsi="宋体"/>
          <w:sz w:val="24"/>
        </w:rPr>
        <w:t>，采用估值技术确定公允价值</w:t>
      </w:r>
      <w:r w:rsidR="002A3FA9" w:rsidRPr="002A3FA9">
        <w:rPr>
          <w:rFonts w:ascii="宋体" w:hAnsi="宋体" w:hint="eastAsia"/>
          <w:sz w:val="24"/>
        </w:rPr>
        <w:t>，在估值技术难以可靠计量公允价值的情况下，按成本估值</w:t>
      </w:r>
      <w:r>
        <w:rPr>
          <w:rFonts w:ascii="宋体" w:hAnsi="宋体"/>
          <w:sz w:val="24"/>
        </w:rPr>
        <w:t>；</w:t>
      </w:r>
    </w:p>
    <w:p w14:paraId="3862A91B" w14:textId="08DE2BD8" w:rsidR="002A3FA9" w:rsidRDefault="00CF4592" w:rsidP="002A3FA9">
      <w:pPr>
        <w:autoSpaceDE w:val="0"/>
        <w:autoSpaceDN w:val="0"/>
        <w:adjustRightInd w:val="0"/>
        <w:snapToGrid w:val="0"/>
        <w:spacing w:line="360" w:lineRule="auto"/>
        <w:ind w:firstLineChars="200" w:firstLine="480"/>
        <w:jc w:val="left"/>
        <w:rPr>
          <w:rFonts w:ascii="宋体" w:hAnsi="宋体"/>
          <w:sz w:val="24"/>
        </w:rPr>
      </w:pPr>
      <w:r>
        <w:rPr>
          <w:rFonts w:ascii="宋体" w:hAnsi="宋体"/>
          <w:sz w:val="24"/>
        </w:rPr>
        <w:t>c、</w:t>
      </w:r>
      <w:r w:rsidR="002A3FA9" w:rsidRPr="002A3FA9">
        <w:rPr>
          <w:rFonts w:ascii="宋体" w:hAnsi="宋体" w:hint="eastAsia"/>
          <w:sz w:val="24"/>
        </w:rPr>
        <w:t>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764726EC" w14:textId="60806D09" w:rsidR="00FB4D29" w:rsidRDefault="00CF4592" w:rsidP="002A3FA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w:t>
      </w:r>
      <w:r w:rsidR="002A3FA9" w:rsidRPr="002A3FA9">
        <w:rPr>
          <w:rFonts w:ascii="宋体" w:hAnsi="宋体" w:hint="eastAsia"/>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期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22AD1828"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4）本基金投资股指期货合约，一般以估值当日结算价进行估值，估值当日无结算价的，且最近交易日后经济环境未发生重大变化的，采用最近交易日结算价估值。</w:t>
      </w:r>
    </w:p>
    <w:p w14:paraId="2BDB0541" w14:textId="77777777" w:rsidR="002A3FA9" w:rsidRPr="002A3FA9" w:rsidRDefault="00CF4592" w:rsidP="002A3FA9">
      <w:pPr>
        <w:autoSpaceDE w:val="0"/>
        <w:autoSpaceDN w:val="0"/>
        <w:adjustRightInd w:val="0"/>
        <w:snapToGrid w:val="0"/>
        <w:spacing w:line="360" w:lineRule="auto"/>
        <w:ind w:firstLineChars="200" w:firstLine="480"/>
        <w:jc w:val="left"/>
        <w:rPr>
          <w:rFonts w:ascii="宋体" w:hAnsi="宋体"/>
          <w:sz w:val="24"/>
        </w:rPr>
      </w:pPr>
      <w:r>
        <w:rPr>
          <w:rFonts w:ascii="宋体" w:hAnsi="宋体"/>
          <w:sz w:val="24"/>
        </w:rPr>
        <w:t>5）</w:t>
      </w:r>
      <w:r w:rsidR="002A3FA9" w:rsidRPr="002A3FA9">
        <w:rPr>
          <w:rFonts w:ascii="宋体" w:hAnsi="宋体" w:hint="eastAsia"/>
          <w:sz w:val="24"/>
        </w:rPr>
        <w:t>同一证券同时在两个或两个以上市场交易的，按证券所处的市场分别估</w:t>
      </w:r>
      <w:r w:rsidR="002A3FA9" w:rsidRPr="002A3FA9">
        <w:rPr>
          <w:rFonts w:ascii="宋体" w:hAnsi="宋体" w:hint="eastAsia"/>
          <w:sz w:val="24"/>
        </w:rPr>
        <w:lastRenderedPageBreak/>
        <w:t>值。</w:t>
      </w:r>
    </w:p>
    <w:p w14:paraId="0C655161" w14:textId="77777777" w:rsidR="002A3FA9" w:rsidRPr="002A3FA9" w:rsidRDefault="002A3FA9" w:rsidP="002A3FA9">
      <w:pPr>
        <w:autoSpaceDE w:val="0"/>
        <w:autoSpaceDN w:val="0"/>
        <w:adjustRightInd w:val="0"/>
        <w:snapToGrid w:val="0"/>
        <w:spacing w:line="360" w:lineRule="auto"/>
        <w:ind w:firstLineChars="200" w:firstLine="480"/>
        <w:jc w:val="left"/>
        <w:rPr>
          <w:rFonts w:ascii="宋体" w:hAnsi="宋体"/>
          <w:sz w:val="24"/>
        </w:rPr>
      </w:pPr>
      <w:r w:rsidRPr="002A3FA9">
        <w:rPr>
          <w:rFonts w:ascii="宋体" w:hAnsi="宋体" w:hint="eastAsia"/>
          <w:sz w:val="24"/>
        </w:rPr>
        <w:t>估值计算中涉及港币对人民币汇率的，将依据下列信息提供机构所提供的汇率为基准：当日中国人民银行或其授权机构公布的人民币汇率中间价。</w:t>
      </w:r>
    </w:p>
    <w:p w14:paraId="675144FD" w14:textId="77777777" w:rsidR="002A3FA9" w:rsidRDefault="002A3FA9" w:rsidP="002A3FA9">
      <w:pPr>
        <w:autoSpaceDE w:val="0"/>
        <w:autoSpaceDN w:val="0"/>
        <w:adjustRightInd w:val="0"/>
        <w:snapToGrid w:val="0"/>
        <w:spacing w:line="360" w:lineRule="auto"/>
        <w:ind w:firstLineChars="200" w:firstLine="480"/>
        <w:jc w:val="left"/>
        <w:rPr>
          <w:rFonts w:ascii="宋体" w:hAnsi="宋体"/>
          <w:sz w:val="24"/>
        </w:rPr>
      </w:pPr>
      <w:r w:rsidRPr="002A3FA9">
        <w:rPr>
          <w:rFonts w:ascii="宋体" w:hAnsi="宋体" w:hint="eastAsia"/>
          <w:sz w:val="24"/>
        </w:rPr>
        <w:t>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28B1E90C" w14:textId="20F26A03" w:rsidR="00FB4D29" w:rsidRDefault="002A3FA9" w:rsidP="004A606D">
      <w:pPr>
        <w:autoSpaceDE w:val="0"/>
        <w:autoSpaceDN w:val="0"/>
        <w:adjustRightInd w:val="0"/>
        <w:snapToGrid w:val="0"/>
        <w:spacing w:line="360" w:lineRule="auto"/>
        <w:ind w:firstLineChars="200" w:firstLine="480"/>
        <w:jc w:val="left"/>
        <w:rPr>
          <w:rFonts w:ascii="宋体" w:hAnsi="宋体"/>
          <w:szCs w:val="24"/>
        </w:rPr>
      </w:pPr>
      <w:r>
        <w:rPr>
          <w:rFonts w:ascii="宋体" w:hAnsi="宋体" w:hint="eastAsia"/>
          <w:sz w:val="24"/>
        </w:rPr>
        <w:t>6）</w:t>
      </w:r>
      <w:r w:rsidR="00CF4592">
        <w:rPr>
          <w:rFonts w:ascii="宋体" w:hAnsi="宋体"/>
          <w:sz w:val="24"/>
        </w:rPr>
        <w:t>摆动定价机制：</w:t>
      </w:r>
      <w:r>
        <w:rPr>
          <w:rFonts w:ascii="宋体" w:hAnsi="宋体" w:hint="eastAsia"/>
          <w:sz w:val="24"/>
        </w:rPr>
        <w:t>当</w:t>
      </w:r>
      <w:r w:rsidR="00CF4592">
        <w:rPr>
          <w:rFonts w:ascii="宋体" w:hAnsi="宋体"/>
          <w:sz w:val="24"/>
        </w:rPr>
        <w:t>发生大额申购或赎回情形时，基金管理人可以对本基金采用摆动定价机制，以确保基金估值的公平性。</w:t>
      </w:r>
    </w:p>
    <w:p w14:paraId="4C464BA6" w14:textId="0ED9B42F" w:rsidR="00FB4D29" w:rsidRDefault="004A606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w:t>
      </w:r>
      <w:r w:rsidR="00CF4592">
        <w:rPr>
          <w:rFonts w:ascii="宋体" w:hAnsi="宋体"/>
          <w:sz w:val="24"/>
        </w:rPr>
        <w:t>）本基金投资存托凭证的估值核算依照境内上市交易的股票执行。</w:t>
      </w:r>
    </w:p>
    <w:p w14:paraId="22AA9E4B" w14:textId="5932F228" w:rsidR="004A606D" w:rsidRDefault="004A606D" w:rsidP="004A606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8）如有确凿证据表明按上述方法进行估值不能客观反映其公允价值的，基金管理人可根据具体情况与基金托管人商定后，按最能反映公允价值的方法估值。</w:t>
      </w:r>
    </w:p>
    <w:p w14:paraId="3FD0F46C" w14:textId="0DFE10C7" w:rsidR="00FB4D29" w:rsidRDefault="002A3FA9" w:rsidP="004A606D">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w:t>
      </w:r>
      <w:r w:rsidR="00CF4592">
        <w:rPr>
          <w:rFonts w:ascii="宋体" w:hAnsi="宋体"/>
          <w:sz w:val="24"/>
        </w:rPr>
        <w:t>）相关法律法规以及监管部门有强制规定的，从其规定。如有新增事项，按</w:t>
      </w:r>
      <w:r>
        <w:rPr>
          <w:rFonts w:hint="eastAsia"/>
          <w:bCs/>
          <w:sz w:val="24"/>
        </w:rPr>
        <w:t>国家</w:t>
      </w:r>
      <w:r w:rsidR="00CF4592">
        <w:rPr>
          <w:rFonts w:ascii="宋体" w:hAnsi="宋体"/>
          <w:sz w:val="24"/>
        </w:rPr>
        <w:t>最新规定估值。</w:t>
      </w:r>
    </w:p>
    <w:p w14:paraId="4E3DBA43"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311F6CD0" w14:textId="66D65DDC"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w:t>
      </w:r>
      <w:r w:rsidR="00E51E7F">
        <w:rPr>
          <w:rFonts w:ascii="宋体" w:hAnsi="宋体" w:hint="eastAsia"/>
          <w:sz w:val="24"/>
        </w:rPr>
        <w:t>信息</w:t>
      </w:r>
      <w:r>
        <w:rPr>
          <w:rFonts w:ascii="宋体" w:hAnsi="宋体"/>
          <w:sz w:val="24"/>
        </w:rPr>
        <w:t>的计算结果对外予以公布。</w:t>
      </w:r>
    </w:p>
    <w:p w14:paraId="1D9E448D"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3、估值差错处理</w:t>
      </w:r>
    </w:p>
    <w:p w14:paraId="5BB898A8"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因基金估值错误给投资者造成损失的应先由基金管理人承担，基金管理人对不应由其承担的责任，有权向过错人追偿。</w:t>
      </w:r>
    </w:p>
    <w:p w14:paraId="53C55127"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当基金管理人计算的基金资产净值、基金份额净值已由基金托管人复核确认后公告的，由此造成的投资者或基金的损失，应根据法律法规的规定对投资者或基金支付赔偿金，就实际向投资者或基金支付的赔偿金额，由基金管理人与基金托管人按照管理费率和托管费率的比例各自承担相应的责任。</w:t>
      </w:r>
    </w:p>
    <w:p w14:paraId="53C72321" w14:textId="2E2001BE"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基金管理人或基金托管人按估值方法的第</w:t>
      </w:r>
      <w:r w:rsidR="004006ED">
        <w:rPr>
          <w:rFonts w:ascii="宋体" w:hAnsi="宋体"/>
          <w:sz w:val="24"/>
        </w:rPr>
        <w:t>8</w:t>
      </w:r>
      <w:r>
        <w:rPr>
          <w:rFonts w:ascii="宋体" w:hAnsi="宋体"/>
          <w:sz w:val="24"/>
        </w:rPr>
        <w:t>）项进行估值时，所造成的误差不作为基金资产估值错误处理。</w:t>
      </w:r>
    </w:p>
    <w:p w14:paraId="199B7A4A"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由于一方当事人提供的信息错误，另一方当事人在采取了必要合理的措施后仍不能发现该错误，进而导致基金资产净值、基金份额净值计算错误造成投资者或基金的损失，以及由此造成以后交易日基金资产净值、基金份额净值计算顺延错误而引起的投资者或基金的损失，由提供错误信息的当事人一方负责赔偿。</w:t>
      </w:r>
    </w:p>
    <w:p w14:paraId="7CAF1F6D" w14:textId="1CEFA659"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由于证券、期货交易所、证券经纪机构、期货公司及其登记结算公司发送的数据错误，或由于其他不可抗力原因，基金管理人和基金托管人虽然已经采取必要、适当、合理的措施进行检查，但是未能发现该错误的，由此造成的基金资产估值错误，基金管理人和基金托管人免除赔偿责任。但基金管理人和基金托管人应当积极采取必要的措施消除或减轻由此造成的影响。</w:t>
      </w:r>
    </w:p>
    <w:p w14:paraId="6555A1CA"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当基金管理人计算的基金资产净值与基金托管人的计算结果不一致时，相关各方应本着勤勉尽责的态度重新计算核对，如果最后仍无法达成一致，应以基金管理人的计算结果为准对外公布，由此造成的损失以及因该交易日基金资产净值计算顺延错误而引起的损失由基金管理人承担赔偿责任，基金托管人不负赔偿责任。</w:t>
      </w:r>
    </w:p>
    <w:p w14:paraId="212CB2B4"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4、基金账册的建立</w:t>
      </w:r>
    </w:p>
    <w:p w14:paraId="4AD06195"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和基金托管人在《基金合同》生效后，应按照相关各方约定的同一记账方法和会计处理原则，分别独立地设置、登录和保管本基金的全套账册，对相关各方各自的账册定期进行核对，互相监督，以保证基金资产的安全。若双方对会计处理方法存在分歧，应以基金管理人的处理方法为准。</w:t>
      </w:r>
    </w:p>
    <w:p w14:paraId="373C61D4"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经对账发现相关各方的账目存在不符的，基金管理人和基金托管人必须及时查明原因并纠正，保证相关各方平行登录的账册记录完全相符。若当日核对不符，暂时无法查找到错账的原因而影响到基金资产净值的计算和公告的，以基金管理人的账册为准。</w:t>
      </w:r>
    </w:p>
    <w:p w14:paraId="2281CD8C"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5、基金定期报告的编制和复核</w:t>
      </w:r>
    </w:p>
    <w:p w14:paraId="68B72AEE"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基金财务报表由基金管理人和基金托管人每月分别独立编制。月度报表的编制，应于每月终了后5个工作日内完成。</w:t>
      </w:r>
    </w:p>
    <w:p w14:paraId="55F6D9B5" w14:textId="54D0424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在《基金合同》生效后，基金招募说明书、基金产品资料概要的信息发生重大变更的，基金管理人应当在三个工作日内，更新基金招募说明书和基金产品资料概要并登载在</w:t>
      </w:r>
      <w:r w:rsidR="003246BF">
        <w:rPr>
          <w:rFonts w:ascii="宋体" w:hAnsi="宋体"/>
          <w:sz w:val="24"/>
        </w:rPr>
        <w:t>规定网站</w:t>
      </w:r>
      <w:r>
        <w:rPr>
          <w:rFonts w:ascii="宋体" w:hAnsi="宋体"/>
          <w:sz w:val="24"/>
        </w:rPr>
        <w:t>上；基金招募说明书、基金产品资料概要其他信息发生变更的，基金管理人至少每年更新一次。基金终止运作的，基金管理人不再更新基金招募说明书、基金产品资料概要。基金管理人在季度结束之日起15个工作日内完成季</w:t>
      </w:r>
      <w:r>
        <w:rPr>
          <w:rFonts w:ascii="宋体" w:hAnsi="宋体"/>
          <w:sz w:val="24"/>
        </w:rPr>
        <w:lastRenderedPageBreak/>
        <w:t>度报告编制并公告；在上半年终了后两个月内完成中期报告编制并公告；在每年结束后三个月内完成年度报告编制并公告。</w:t>
      </w:r>
    </w:p>
    <w:p w14:paraId="7A0AC825"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在月度报告完成当日，对报告加盖公章后，以加密传真方式将有关报告提供基金托管人复核；基金托管人在3个工作日内进行复核，并将复核结果及时书面通知基金管理人。基金管理人在季度报告完成当日，将有关报告提供基金托管人复核，基金托管人在收到后7个工作日内进行复核，并将复核结果书面通知基金管理人。基金管理人在中期报告完成当日，将有关报告提供基金托管人复核，基金托管人在收到后30日内进行复核，并将复核结果书面通知基金管理人。基金管理人在年度报告完成当日，将有关报告提供基金托管人复核，基金托管人在收到后45日内复核，并将复核结果书面通知基金管理人。</w:t>
      </w:r>
    </w:p>
    <w:p w14:paraId="0AAD3A04"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托管人在复核过程中，发现相关各方的报表存在不符时，基金管理人和基金托管人应共同查明原因，进行调整，调整以相关各方认可的账务处理方式为准。核对无误后，基金托管人在基金管理人提供的报告上加盖业务印鉴或者出具加盖托管业务部门公章的复核意见书，相关各方各自留存一份。如果基金管理人与基金托管人不能于应当发布公告之日之前就相关报表达成一致，基金管理人有权按照其编制的报表对外发布公告，基金托管人有权就相关情况报证监会备案。</w:t>
      </w:r>
    </w:p>
    <w:p w14:paraId="3297679F"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基金托管人在对财务会计报告、中期报告或年度报告复核完毕后，需盖章确认或出具相应的复核确认书，以备有权机构对相关文件审核时提示。</w:t>
      </w:r>
    </w:p>
    <w:p w14:paraId="756F1321" w14:textId="77777777" w:rsidR="00FB4D29" w:rsidRDefault="00CF4592">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（六）基金份额持有人名册的登记与保管</w:t>
      </w:r>
    </w:p>
    <w:p w14:paraId="413DC70F"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和基金托管人须分别妥善保管的基金份额持有人名册，包括《基金合同》生效日、《基金合同》终止日、基金份额持有人大会权益登记日、每年6月30日、12月31日的基金份额持有人名册。基金份额持有人名册的内容必须包括基金份额持有人的名称和持有的基金份额。</w:t>
      </w:r>
    </w:p>
    <w:p w14:paraId="7A0A5DD7"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名册由基金的基金登记机构根据基金管理人的指令编制和保管，基金份额登记机构的保存期限自基金账户销户之日起不得少于20年。基金管理人和基金托管人应按照目前相关规则分别保管基金份额持有人名册。保管方式可以采用电子或文档的形式。</w:t>
      </w:r>
    </w:p>
    <w:p w14:paraId="7ABF07AC"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当及时向基金托管人提交下列日期的基金份额持有人名册：《基金合同》生效日、《基金合同》终止日、基金份额持有人大会权益登记日、每年6月30日、每年12月31日的基金份额持有人名册。基金份额持有人名册的内容必须包括</w:t>
      </w:r>
      <w:r>
        <w:rPr>
          <w:rFonts w:ascii="宋体" w:hAnsi="宋体"/>
          <w:sz w:val="24"/>
        </w:rPr>
        <w:lastRenderedPageBreak/>
        <w:t>基金份额持有人的名称和持有的基金份额。其中每年12月31日的基金份额持有人名册应于下月前十个工作日内提交；《基金合同》生效日、《基金合同》终止日等涉及到基金重要事项日期的基金份额持有人名册应于发生日后十个工作日内提交。</w:t>
      </w:r>
    </w:p>
    <w:p w14:paraId="0D965A62" w14:textId="66E2DF7B"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基金托管人以电子版形式妥善保管基金份额持有人名册，并定期刻成光盘备份，保存期限</w:t>
      </w:r>
      <w:r w:rsidR="002A3FA9">
        <w:rPr>
          <w:rFonts w:ascii="宋体" w:hAnsi="宋体" w:cs="Arial" w:hint="eastAsia"/>
          <w:sz w:val="24"/>
        </w:rPr>
        <w:t>不低于法律法规规定的最低期限</w:t>
      </w:r>
      <w:r>
        <w:rPr>
          <w:rFonts w:ascii="宋体" w:hAnsi="宋体"/>
          <w:sz w:val="24"/>
        </w:rPr>
        <w:t>。基金托管人不得将所保管的基金份额持有人名册用于基金托管业务以外的其他用途，并应遵守保密义务。</w:t>
      </w:r>
    </w:p>
    <w:p w14:paraId="5C160FAE"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若基金管理人或基金托管人由于自身原因无法妥善保管基金份额持有人名册，应按有关法规规定各自承担相应的责任。</w:t>
      </w:r>
    </w:p>
    <w:p w14:paraId="55647B3F" w14:textId="77777777" w:rsidR="00FB4D29" w:rsidRDefault="00CF4592">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（七）争议解决方式</w:t>
      </w:r>
    </w:p>
    <w:p w14:paraId="0AD91574"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相关各方当事人同意，因本协议而产生的或与本协议有关的一切争议，除经友好协商可以解决的，应提交中国国际经济贸易仲裁委员会，根据该会届时有效的仲裁规则进行仲裁，仲裁的地点在北京市。仲裁裁决是终局性的，并对相关各方均有约束力，除非仲裁裁决另有规定，仲裁费用由败诉方承担。</w:t>
      </w:r>
    </w:p>
    <w:p w14:paraId="4518B664"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争议处理期间，相关各方当事人应恪守基金管理人和基金托管人职责，继续忠实、勤勉、尽责地履行《基金合同》和托管协议规定的义务，维护基金份额持有人的合法权益。</w:t>
      </w:r>
    </w:p>
    <w:p w14:paraId="6019FD75" w14:textId="648B8F98"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本协议受中国法律</w:t>
      </w:r>
      <w:r w:rsidR="002A3FA9">
        <w:rPr>
          <w:rFonts w:ascii="宋体" w:hAnsi="宋体" w:hint="eastAsia"/>
          <w:sz w:val="24"/>
        </w:rPr>
        <w:t>（不含港澳台地区法律）</w:t>
      </w:r>
      <w:r>
        <w:rPr>
          <w:rFonts w:ascii="宋体" w:hAnsi="宋体"/>
          <w:sz w:val="24"/>
        </w:rPr>
        <w:t>管辖。</w:t>
      </w:r>
    </w:p>
    <w:p w14:paraId="601D5741" w14:textId="77777777" w:rsidR="00FB4D29" w:rsidRDefault="00CF4592">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（八）托管协议的变更与终止</w:t>
      </w:r>
    </w:p>
    <w:p w14:paraId="60A94C13"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1、托管协议的变更程序</w:t>
      </w:r>
    </w:p>
    <w:p w14:paraId="59D87195"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本协议双方当事人经协商一致，可以对协议的内容进行变更。变更后的托管协议，其内容不得与《基金合同》的规定有任何冲突。基金托管协议的变更报中国证监会备案。</w:t>
      </w:r>
    </w:p>
    <w:p w14:paraId="5F8A448F"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2、基金托管协议终止的情形</w:t>
      </w:r>
    </w:p>
    <w:p w14:paraId="5674FD36"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发生以下情况，本托管协议终止：</w:t>
      </w:r>
    </w:p>
    <w:p w14:paraId="6122E399"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（1）《基金合同》终止；</w:t>
      </w:r>
    </w:p>
    <w:p w14:paraId="12823C67"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（2）基金托管人解散、依法被撤销、破产或有其他基金托管人接管基金资产；</w:t>
      </w:r>
    </w:p>
    <w:p w14:paraId="2953EA66"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（3）基金管理人解散、依法被撤销、破产或有其他基金管理人接管基金管理权；</w:t>
      </w:r>
    </w:p>
    <w:p w14:paraId="1060EF7E" w14:textId="5A176014" w:rsidR="00AF2A34" w:rsidRDefault="00CF4592" w:rsidP="005A66D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（4）发生法律法规、中国证监会或《基金合同》规定的终止事项。</w:t>
      </w:r>
    </w:p>
    <w:p w14:paraId="145001E9" w14:textId="4798044D" w:rsidR="00FB4D29" w:rsidRDefault="00CF4592">
      <w:pPr>
        <w:pStyle w:val="1"/>
        <w:snapToGrid w:val="0"/>
        <w:spacing w:beforeLines="0" w:before="240" w:after="240"/>
        <w:rPr>
          <w:rFonts w:ascii="宋体" w:hAnsi="宋体"/>
          <w:szCs w:val="30"/>
        </w:rPr>
      </w:pPr>
      <w:r>
        <w:rPr>
          <w:rFonts w:ascii="宋体" w:hAnsi="宋体"/>
          <w:sz w:val="24"/>
        </w:rPr>
        <w:br w:type="page"/>
      </w:r>
      <w:bookmarkStart w:id="31" w:name="_Toc107476042"/>
      <w:r>
        <w:rPr>
          <w:rFonts w:ascii="Times New Roman" w:hAnsi="Times New Roman"/>
          <w:sz w:val="30"/>
        </w:rPr>
        <w:lastRenderedPageBreak/>
        <w:t>二十</w:t>
      </w:r>
      <w:r w:rsidR="00B37E6F">
        <w:rPr>
          <w:rFonts w:ascii="Times New Roman" w:hAnsi="Times New Roman" w:hint="eastAsia"/>
          <w:sz w:val="30"/>
        </w:rPr>
        <w:t>三</w:t>
      </w:r>
      <w:r>
        <w:rPr>
          <w:rFonts w:ascii="Times New Roman" w:hAnsi="Times New Roman"/>
          <w:sz w:val="30"/>
        </w:rPr>
        <w:t>、对基金份额持有人的服务</w:t>
      </w:r>
      <w:bookmarkEnd w:id="31"/>
    </w:p>
    <w:p w14:paraId="5C660084"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基金管理人承诺为基金份额持有人提供一系列的服务。基金管理人根据基金份额持有人的需要和市场的变化，有权增加或变更服务项目。主要服务内容如下：</w:t>
      </w:r>
    </w:p>
    <w:p w14:paraId="502E9C9F" w14:textId="77777777" w:rsidR="00FB4D29" w:rsidRDefault="00CF4592">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（一）持有人交易资料的寄送服务</w:t>
      </w:r>
    </w:p>
    <w:p w14:paraId="273B6358"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1、每次交易结束后，投资人可在T+2个工作日后通过销售机构的网点查询和打印确认单；</w:t>
      </w:r>
    </w:p>
    <w:p w14:paraId="2C5EE9CE"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2、本基金管理人将向持有人提供电子或纸质对账单，需要订阅或取消的客户可与本基金管理人客户服务中心（400-700-5000，021-61055000）联系。</w:t>
      </w:r>
    </w:p>
    <w:p w14:paraId="503C5E93" w14:textId="77777777" w:rsidR="00FB4D29" w:rsidRDefault="00CF4592">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（二）网上直销服务</w:t>
      </w:r>
    </w:p>
    <w:p w14:paraId="370505F8" w14:textId="6745B574"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本基金管理人已开通基金网上直销服务，个人投资者可以直接通过本基金管理人的网上直销交易平台办理开户和本基金</w:t>
      </w:r>
      <w:r w:rsidR="00B37E6F" w:rsidRPr="00B37E6F">
        <w:rPr>
          <w:rFonts w:ascii="宋体" w:hAnsi="宋体" w:hint="eastAsia"/>
          <w:sz w:val="24"/>
        </w:rPr>
        <w:t>A类基金份额和C类</w:t>
      </w:r>
      <w:r w:rsidR="00B37E6F">
        <w:rPr>
          <w:rFonts w:ascii="宋体" w:hAnsi="宋体" w:hint="eastAsia"/>
          <w:sz w:val="24"/>
        </w:rPr>
        <w:t>基金份额</w:t>
      </w:r>
      <w:r>
        <w:rPr>
          <w:rFonts w:ascii="宋体" w:hAnsi="宋体"/>
          <w:sz w:val="24"/>
        </w:rPr>
        <w:t>的申购、赎回、转换、定期定额投资等业务。通过网上直销交易平台办理本基金</w:t>
      </w:r>
      <w:r w:rsidR="00B37E6F" w:rsidRPr="00B37E6F">
        <w:rPr>
          <w:rFonts w:ascii="宋体" w:hAnsi="宋体" w:hint="eastAsia"/>
          <w:sz w:val="24"/>
        </w:rPr>
        <w:t>A类基金份额</w:t>
      </w:r>
      <w:r>
        <w:rPr>
          <w:rFonts w:ascii="宋体" w:hAnsi="宋体"/>
          <w:sz w:val="24"/>
        </w:rPr>
        <w:t>申购和定期定额投资业务的个人投资者将享受申购费率的优惠，通过网上直销交易平台进行基金转换，从各基金招募说明书所载的零申购费率的基金转换入非零申购费率的基金，转出与转入基金的前端申购补差费率将享受优惠，其他费率标准不变。具体优惠费率请参见公司网站列示的网上直销交易平台申购、定期定额投资及转换费率表或相关公告。基金网上直销交易平台已开通的银行卡及各银行卡交易金额限额请参阅本基金管理人网站。</w:t>
      </w:r>
    </w:p>
    <w:p w14:paraId="56C2C965"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在条件成熟的时候，本基金管理人将根据基金网上直销业务的发展状况，适时调整可用于网上直销交易平台的银行卡种类，敬请投资人留意相关公告。</w:t>
      </w:r>
    </w:p>
    <w:p w14:paraId="09B4FA6A" w14:textId="77777777" w:rsidR="00FB4D29" w:rsidRDefault="00CF4592">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（三）信息咨询、查询服务</w:t>
      </w:r>
    </w:p>
    <w:p w14:paraId="7EF77C5C"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如果想查询申购和赎回等交易情况、分红方式状态、基金账户余额、基金产品与服务等信息，请拨打本基金管理人客户服务电话（400-700-5000，021-61055000）或登录本基金管理人网站（www.fund001.com）进行咨询、查询。</w:t>
      </w:r>
    </w:p>
    <w:p w14:paraId="776ADD0A"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管理人为投资人预设基金查询密码，预设的基金查询密码为投资人开户证件号码的后6位数字，不足6位数字的，前面加“0”补足。基金查询密码用于投资人通过客户服务电话查询基金账户下的账户和交易信息。投资人请在其知晓基金账号后，及时拨打本基金管理人客户服务电话修改基金查询密码。</w:t>
      </w:r>
    </w:p>
    <w:p w14:paraId="59AEC024"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投资人可以拨打本基金管理人客户服务电话投诉直销机构的人员和服务。</w:t>
      </w:r>
    </w:p>
    <w:p w14:paraId="200E1A7E" w14:textId="77777777" w:rsidR="00FB4D29" w:rsidRDefault="00CF4592">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（四）基金转换业务</w:t>
      </w:r>
    </w:p>
    <w:p w14:paraId="581B1F73"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本基金已开通转换业务，具体实施方法请参见相关公告。</w:t>
      </w:r>
    </w:p>
    <w:p w14:paraId="23926A27" w14:textId="77777777" w:rsidR="00FB4D29" w:rsidRDefault="00CF4592">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（五）定期定额投资计划</w:t>
      </w:r>
    </w:p>
    <w:p w14:paraId="42FF18CF"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本基金已开通定期定额投资计划，具体实施方法请参见相关公告。</w:t>
      </w:r>
    </w:p>
    <w:p w14:paraId="4F679158"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服务联系方式：</w:t>
      </w:r>
    </w:p>
    <w:p w14:paraId="533FB622"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本基金管理人的互联网地址及电子信箱</w:t>
      </w:r>
    </w:p>
    <w:p w14:paraId="4E3B1609"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网址：www.fund001.com</w:t>
      </w:r>
    </w:p>
    <w:p w14:paraId="4BC92F63"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电子信箱：services@jysld.com</w:t>
      </w:r>
    </w:p>
    <w:p w14:paraId="002BB3D3"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投资者也可登录本基金管理人网站，直接提出有关本基金的问题和建议。</w:t>
      </w:r>
    </w:p>
    <w:p w14:paraId="279E4460" w14:textId="77777777" w:rsidR="00FB4D29" w:rsidRDefault="00CF4592">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（六）如本招募说明书存在任何您/贵机构无法理解的内容，请通过上述方式联系基金管理人。请确保投资前，您/贵机构已经全面理解了本招募说明书。</w:t>
      </w:r>
    </w:p>
    <w:p w14:paraId="01EC7923" w14:textId="77777777" w:rsidR="00AF2A34" w:rsidRDefault="00AF2A34" w:rsidP="00AF2A34">
      <w:pPr>
        <w:autoSpaceDE w:val="0"/>
        <w:autoSpaceDN w:val="0"/>
        <w:adjustRightInd w:val="0"/>
        <w:spacing w:line="360" w:lineRule="auto"/>
        <w:ind w:firstLineChars="200" w:firstLine="420"/>
        <w:rPr>
          <w:rFonts w:ascii="宋体" w:hAnsi="宋体"/>
          <w:szCs w:val="24"/>
        </w:rPr>
      </w:pPr>
    </w:p>
    <w:p w14:paraId="2B645F75" w14:textId="2240288A" w:rsidR="00FB4D29" w:rsidRDefault="00CF4592">
      <w:pPr>
        <w:pStyle w:val="1"/>
        <w:snapToGrid w:val="0"/>
        <w:spacing w:beforeLines="0" w:before="240" w:after="240"/>
        <w:rPr>
          <w:rFonts w:ascii="宋体" w:hAnsi="宋体"/>
          <w:szCs w:val="30"/>
        </w:rPr>
      </w:pPr>
      <w:r>
        <w:rPr>
          <w:rFonts w:ascii="宋体" w:hAnsi="宋体"/>
          <w:sz w:val="24"/>
        </w:rPr>
        <w:br w:type="page"/>
      </w:r>
      <w:bookmarkStart w:id="32" w:name="_Toc107476043"/>
      <w:r>
        <w:rPr>
          <w:rFonts w:ascii="Times New Roman" w:hAnsi="Times New Roman"/>
          <w:sz w:val="30"/>
        </w:rPr>
        <w:lastRenderedPageBreak/>
        <w:t>二十</w:t>
      </w:r>
      <w:r w:rsidR="00B37E6F">
        <w:rPr>
          <w:rFonts w:ascii="Times New Roman" w:hAnsi="Times New Roman" w:hint="eastAsia"/>
          <w:sz w:val="30"/>
        </w:rPr>
        <w:t>四</w:t>
      </w:r>
      <w:r>
        <w:rPr>
          <w:rFonts w:ascii="Times New Roman" w:hAnsi="Times New Roman"/>
          <w:sz w:val="30"/>
        </w:rPr>
        <w:t>、其他应披露事项</w:t>
      </w:r>
      <w:bookmarkEnd w:id="32"/>
    </w:p>
    <w:p w14:paraId="44AEE03F"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基金合同如有未尽事宜，由基金合同当事人各方按有关法律法规协商解决。</w:t>
      </w:r>
    </w:p>
    <w:p w14:paraId="03DDBB70" w14:textId="4A2A8ED1"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其他重要事项</w:t>
      </w:r>
    </w:p>
    <w:tbl>
      <w:tblPr>
        <w:tblW w:w="5000" w:type="pct"/>
        <w:tblCellMar>
          <w:left w:w="0" w:type="dxa"/>
          <w:right w:w="0" w:type="dxa"/>
        </w:tblCellMar>
        <w:tblLook w:val="0000" w:firstRow="0" w:lastRow="0" w:firstColumn="0" w:lastColumn="0" w:noHBand="0" w:noVBand="0"/>
      </w:tblPr>
      <w:tblGrid>
        <w:gridCol w:w="1006"/>
        <w:gridCol w:w="3018"/>
        <w:gridCol w:w="3017"/>
        <w:gridCol w:w="1609"/>
      </w:tblGrid>
      <w:tr w:rsidR="00FB4D29" w14:paraId="1073E357"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6C6C7666" w14:textId="77777777" w:rsidR="00FB4D29" w:rsidRDefault="00CF4592">
            <w:pPr>
              <w:widowControl/>
              <w:snapToGrid w:val="0"/>
              <w:jc w:val="center"/>
              <w:rPr>
                <w:rFonts w:ascii="宋体" w:hAnsi="宋体"/>
                <w:color w:val="000000"/>
                <w:kern w:val="0"/>
                <w:sz w:val="25"/>
                <w:szCs w:val="24"/>
              </w:rPr>
            </w:pPr>
            <w:r>
              <w:rPr>
                <w:rFonts w:ascii="Times New Roman" w:hAnsi="Times New Roman"/>
                <w:color w:val="000000"/>
                <w:kern w:val="0"/>
                <w:sz w:val="25"/>
                <w:szCs w:val="24"/>
              </w:rPr>
              <w:t>序号</w:t>
            </w:r>
          </w:p>
        </w:tc>
        <w:tc>
          <w:tcPr>
            <w:tcW w:w="750" w:type="pct"/>
            <w:tcBorders>
              <w:top w:val="single" w:sz="4" w:space="0" w:color="auto"/>
              <w:left w:val="single" w:sz="4" w:space="0" w:color="auto"/>
              <w:bottom w:val="single" w:sz="4" w:space="0" w:color="auto"/>
              <w:right w:val="single" w:sz="4" w:space="0" w:color="auto"/>
            </w:tcBorders>
            <w:vAlign w:val="center"/>
          </w:tcPr>
          <w:p w14:paraId="18072889" w14:textId="77777777" w:rsidR="00FB4D29" w:rsidRDefault="00CF4592">
            <w:pPr>
              <w:widowControl/>
              <w:snapToGrid w:val="0"/>
              <w:jc w:val="center"/>
              <w:rPr>
                <w:rFonts w:ascii="宋体" w:hAnsi="宋体"/>
                <w:color w:val="000000"/>
                <w:kern w:val="0"/>
                <w:sz w:val="25"/>
                <w:szCs w:val="24"/>
              </w:rPr>
            </w:pPr>
            <w:r>
              <w:rPr>
                <w:rFonts w:ascii="Times New Roman" w:hAnsi="Times New Roman"/>
                <w:color w:val="000000"/>
                <w:kern w:val="0"/>
                <w:sz w:val="25"/>
                <w:szCs w:val="24"/>
              </w:rPr>
              <w:t>公告事项</w:t>
            </w:r>
          </w:p>
        </w:tc>
        <w:tc>
          <w:tcPr>
            <w:tcW w:w="750" w:type="pct"/>
            <w:tcBorders>
              <w:top w:val="single" w:sz="4" w:space="0" w:color="auto"/>
              <w:left w:val="single" w:sz="4" w:space="0" w:color="auto"/>
              <w:bottom w:val="single" w:sz="4" w:space="0" w:color="auto"/>
              <w:right w:val="single" w:sz="4" w:space="0" w:color="auto"/>
            </w:tcBorders>
            <w:vAlign w:val="center"/>
          </w:tcPr>
          <w:p w14:paraId="65AABE73" w14:textId="77777777" w:rsidR="00FB4D29" w:rsidRDefault="00CF4592">
            <w:pPr>
              <w:widowControl/>
              <w:snapToGrid w:val="0"/>
              <w:jc w:val="center"/>
              <w:rPr>
                <w:rFonts w:ascii="宋体" w:hAnsi="宋体"/>
                <w:color w:val="000000"/>
                <w:kern w:val="0"/>
                <w:sz w:val="25"/>
                <w:szCs w:val="24"/>
              </w:rPr>
            </w:pPr>
            <w:r>
              <w:rPr>
                <w:rFonts w:ascii="Times New Roman" w:hAnsi="Times New Roman"/>
                <w:color w:val="000000"/>
                <w:kern w:val="0"/>
                <w:sz w:val="25"/>
                <w:szCs w:val="24"/>
              </w:rPr>
              <w:t>法定披露方式</w:t>
            </w:r>
          </w:p>
        </w:tc>
        <w:tc>
          <w:tcPr>
            <w:tcW w:w="400" w:type="pct"/>
            <w:tcBorders>
              <w:top w:val="single" w:sz="4" w:space="0" w:color="auto"/>
              <w:left w:val="single" w:sz="4" w:space="0" w:color="auto"/>
              <w:bottom w:val="single" w:sz="4" w:space="0" w:color="auto"/>
              <w:right w:val="single" w:sz="4" w:space="0" w:color="auto"/>
            </w:tcBorders>
            <w:vAlign w:val="center"/>
          </w:tcPr>
          <w:p w14:paraId="625921D5" w14:textId="77777777" w:rsidR="00FB4D29" w:rsidRDefault="00CF4592">
            <w:pPr>
              <w:widowControl/>
              <w:snapToGrid w:val="0"/>
              <w:jc w:val="center"/>
              <w:rPr>
                <w:rFonts w:ascii="宋体" w:hAnsi="宋体"/>
                <w:color w:val="000000"/>
                <w:kern w:val="0"/>
                <w:sz w:val="25"/>
                <w:szCs w:val="24"/>
              </w:rPr>
            </w:pPr>
            <w:r>
              <w:rPr>
                <w:rFonts w:ascii="Times New Roman" w:hAnsi="Times New Roman"/>
                <w:color w:val="000000"/>
                <w:kern w:val="0"/>
                <w:sz w:val="25"/>
                <w:szCs w:val="24"/>
              </w:rPr>
              <w:t>法定披露日期</w:t>
            </w:r>
          </w:p>
        </w:tc>
      </w:tr>
      <w:tr w:rsidR="00FB4D29" w14:paraId="55C76792"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48E536DA"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1</w:t>
            </w:r>
          </w:p>
        </w:tc>
        <w:tc>
          <w:tcPr>
            <w:tcW w:w="750" w:type="pct"/>
            <w:tcBorders>
              <w:top w:val="single" w:sz="4" w:space="0" w:color="auto"/>
              <w:left w:val="single" w:sz="4" w:space="0" w:color="auto"/>
              <w:bottom w:val="single" w:sz="4" w:space="0" w:color="auto"/>
              <w:right w:val="single" w:sz="4" w:space="0" w:color="auto"/>
            </w:tcBorders>
            <w:vAlign w:val="center"/>
          </w:tcPr>
          <w:p w14:paraId="1C763685"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交银施罗德持续成长主题混合型证券投资基金</w:t>
            </w:r>
            <w:r>
              <w:rPr>
                <w:rFonts w:ascii="Times New Roman" w:hAnsi="Times New Roman"/>
                <w:color w:val="000000"/>
                <w:kern w:val="0"/>
                <w:sz w:val="25"/>
                <w:szCs w:val="24"/>
              </w:rPr>
              <w:t>(</w:t>
            </w:r>
            <w:r>
              <w:rPr>
                <w:rFonts w:ascii="Times New Roman" w:hAnsi="Times New Roman"/>
                <w:color w:val="000000"/>
                <w:kern w:val="0"/>
                <w:sz w:val="25"/>
                <w:szCs w:val="24"/>
              </w:rPr>
              <w:t>更新</w:t>
            </w:r>
            <w:r>
              <w:rPr>
                <w:rFonts w:ascii="Times New Roman" w:hAnsi="Times New Roman"/>
                <w:color w:val="000000"/>
                <w:kern w:val="0"/>
                <w:sz w:val="25"/>
                <w:szCs w:val="24"/>
              </w:rPr>
              <w:t>)</w:t>
            </w:r>
            <w:r>
              <w:rPr>
                <w:rFonts w:ascii="Times New Roman" w:hAnsi="Times New Roman"/>
                <w:color w:val="000000"/>
                <w:kern w:val="0"/>
                <w:sz w:val="25"/>
                <w:szCs w:val="24"/>
              </w:rPr>
              <w:t>招募说明书</w:t>
            </w:r>
            <w:r>
              <w:rPr>
                <w:rFonts w:ascii="Times New Roman" w:hAnsi="Times New Roman"/>
                <w:color w:val="000000"/>
                <w:kern w:val="0"/>
                <w:sz w:val="25"/>
                <w:szCs w:val="24"/>
              </w:rPr>
              <w:t>(2021</w:t>
            </w:r>
            <w:r>
              <w:rPr>
                <w:rFonts w:ascii="Times New Roman" w:hAnsi="Times New Roman"/>
                <w:color w:val="000000"/>
                <w:kern w:val="0"/>
                <w:sz w:val="25"/>
                <w:szCs w:val="24"/>
              </w:rPr>
              <w:t>年第</w:t>
            </w:r>
            <w:r>
              <w:rPr>
                <w:rFonts w:ascii="Times New Roman" w:hAnsi="Times New Roman"/>
                <w:color w:val="000000"/>
                <w:kern w:val="0"/>
                <w:sz w:val="25"/>
                <w:szCs w:val="24"/>
              </w:rPr>
              <w:t>1</w:t>
            </w:r>
            <w:r>
              <w:rPr>
                <w:rFonts w:ascii="Times New Roman" w:hAnsi="Times New Roman"/>
                <w:color w:val="000000"/>
                <w:kern w:val="0"/>
                <w:sz w:val="25"/>
                <w:szCs w:val="24"/>
              </w:rPr>
              <w:t>号</w:t>
            </w:r>
            <w:r>
              <w:rPr>
                <w:rFonts w:ascii="Times New Roman" w:hAnsi="Times New Roman"/>
                <w:color w:val="000000"/>
                <w:kern w:val="0"/>
                <w:sz w:val="25"/>
                <w:szCs w:val="24"/>
              </w:rPr>
              <w:t>)</w:t>
            </w:r>
          </w:p>
        </w:tc>
        <w:tc>
          <w:tcPr>
            <w:tcW w:w="750" w:type="pct"/>
            <w:tcBorders>
              <w:top w:val="single" w:sz="4" w:space="0" w:color="auto"/>
              <w:left w:val="single" w:sz="4" w:space="0" w:color="auto"/>
              <w:bottom w:val="single" w:sz="4" w:space="0" w:color="auto"/>
              <w:right w:val="single" w:sz="4" w:space="0" w:color="auto"/>
            </w:tcBorders>
            <w:vAlign w:val="center"/>
          </w:tcPr>
          <w:p w14:paraId="7E164050"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36AE3F83" w14:textId="77777777" w:rsidR="00FB4D29" w:rsidRDefault="00CF4592">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2021-06-24</w:t>
            </w:r>
          </w:p>
        </w:tc>
      </w:tr>
      <w:tr w:rsidR="00FB4D29" w14:paraId="4DC70B6D"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5DDD23DB"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2</w:t>
            </w:r>
          </w:p>
        </w:tc>
        <w:tc>
          <w:tcPr>
            <w:tcW w:w="750" w:type="pct"/>
            <w:tcBorders>
              <w:top w:val="single" w:sz="4" w:space="0" w:color="auto"/>
              <w:left w:val="single" w:sz="4" w:space="0" w:color="auto"/>
              <w:bottom w:val="single" w:sz="4" w:space="0" w:color="auto"/>
              <w:right w:val="single" w:sz="4" w:space="0" w:color="auto"/>
            </w:tcBorders>
            <w:vAlign w:val="center"/>
          </w:tcPr>
          <w:p w14:paraId="07B55DE8"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交银施罗德持续成长主题混合型证券投资基金基金产品资料概要更新</w:t>
            </w:r>
            <w:r>
              <w:rPr>
                <w:rFonts w:ascii="Times New Roman" w:hAnsi="Times New Roman"/>
                <w:color w:val="000000"/>
                <w:kern w:val="0"/>
                <w:sz w:val="25"/>
                <w:szCs w:val="24"/>
              </w:rPr>
              <w:t>(2021</w:t>
            </w:r>
            <w:r>
              <w:rPr>
                <w:rFonts w:ascii="Times New Roman" w:hAnsi="Times New Roman"/>
                <w:color w:val="000000"/>
                <w:kern w:val="0"/>
                <w:sz w:val="25"/>
                <w:szCs w:val="24"/>
              </w:rPr>
              <w:t>年第</w:t>
            </w:r>
            <w:r>
              <w:rPr>
                <w:rFonts w:ascii="Times New Roman" w:hAnsi="Times New Roman"/>
                <w:color w:val="000000"/>
                <w:kern w:val="0"/>
                <w:sz w:val="25"/>
                <w:szCs w:val="24"/>
              </w:rPr>
              <w:t>1</w:t>
            </w:r>
            <w:r>
              <w:rPr>
                <w:rFonts w:ascii="Times New Roman" w:hAnsi="Times New Roman"/>
                <w:color w:val="000000"/>
                <w:kern w:val="0"/>
                <w:sz w:val="25"/>
                <w:szCs w:val="24"/>
              </w:rPr>
              <w:t>号</w:t>
            </w:r>
            <w:r>
              <w:rPr>
                <w:rFonts w:ascii="Times New Roman" w:hAnsi="Times New Roman"/>
                <w:color w:val="000000"/>
                <w:kern w:val="0"/>
                <w:sz w:val="25"/>
                <w:szCs w:val="24"/>
              </w:rPr>
              <w:t>)</w:t>
            </w:r>
          </w:p>
        </w:tc>
        <w:tc>
          <w:tcPr>
            <w:tcW w:w="750" w:type="pct"/>
            <w:tcBorders>
              <w:top w:val="single" w:sz="4" w:space="0" w:color="auto"/>
              <w:left w:val="single" w:sz="4" w:space="0" w:color="auto"/>
              <w:bottom w:val="single" w:sz="4" w:space="0" w:color="auto"/>
              <w:right w:val="single" w:sz="4" w:space="0" w:color="auto"/>
            </w:tcBorders>
            <w:vAlign w:val="center"/>
          </w:tcPr>
          <w:p w14:paraId="53E03C7C"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5C7D4B85" w14:textId="77777777" w:rsidR="00FB4D29" w:rsidRDefault="00CF4592">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2021-06-24</w:t>
            </w:r>
          </w:p>
        </w:tc>
      </w:tr>
      <w:tr w:rsidR="00FB4D29" w14:paraId="2BD3DAB4"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680E33D4"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3</w:t>
            </w:r>
          </w:p>
        </w:tc>
        <w:tc>
          <w:tcPr>
            <w:tcW w:w="750" w:type="pct"/>
            <w:tcBorders>
              <w:top w:val="single" w:sz="4" w:space="0" w:color="auto"/>
              <w:left w:val="single" w:sz="4" w:space="0" w:color="auto"/>
              <w:bottom w:val="single" w:sz="4" w:space="0" w:color="auto"/>
              <w:right w:val="single" w:sz="4" w:space="0" w:color="auto"/>
            </w:tcBorders>
            <w:vAlign w:val="center"/>
          </w:tcPr>
          <w:p w14:paraId="03E7470D"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交银施罗德基金管理有限公司关于增加国联证券股份有限公司为旗下基金销售机构的公告</w:t>
            </w:r>
          </w:p>
        </w:tc>
        <w:tc>
          <w:tcPr>
            <w:tcW w:w="750" w:type="pct"/>
            <w:tcBorders>
              <w:top w:val="single" w:sz="4" w:space="0" w:color="auto"/>
              <w:left w:val="single" w:sz="4" w:space="0" w:color="auto"/>
              <w:bottom w:val="single" w:sz="4" w:space="0" w:color="auto"/>
              <w:right w:val="single" w:sz="4" w:space="0" w:color="auto"/>
            </w:tcBorders>
            <w:vAlign w:val="center"/>
          </w:tcPr>
          <w:p w14:paraId="5A9D7AF0"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66823263" w14:textId="77777777" w:rsidR="00FB4D29" w:rsidRDefault="00CF4592">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2021-06-29</w:t>
            </w:r>
          </w:p>
        </w:tc>
      </w:tr>
      <w:tr w:rsidR="00FB4D29" w14:paraId="2F856D7C"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797A03F4"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4</w:t>
            </w:r>
          </w:p>
        </w:tc>
        <w:tc>
          <w:tcPr>
            <w:tcW w:w="750" w:type="pct"/>
            <w:tcBorders>
              <w:top w:val="single" w:sz="4" w:space="0" w:color="auto"/>
              <w:left w:val="single" w:sz="4" w:space="0" w:color="auto"/>
              <w:bottom w:val="single" w:sz="4" w:space="0" w:color="auto"/>
              <w:right w:val="single" w:sz="4" w:space="0" w:color="auto"/>
            </w:tcBorders>
            <w:vAlign w:val="center"/>
          </w:tcPr>
          <w:p w14:paraId="58F69C4E"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交银施罗德基金管理有限公司关于增加平安银行股份有限公司为旗下基金销售机构的公告</w:t>
            </w:r>
          </w:p>
        </w:tc>
        <w:tc>
          <w:tcPr>
            <w:tcW w:w="750" w:type="pct"/>
            <w:tcBorders>
              <w:top w:val="single" w:sz="4" w:space="0" w:color="auto"/>
              <w:left w:val="single" w:sz="4" w:space="0" w:color="auto"/>
              <w:bottom w:val="single" w:sz="4" w:space="0" w:color="auto"/>
              <w:right w:val="single" w:sz="4" w:space="0" w:color="auto"/>
            </w:tcBorders>
            <w:vAlign w:val="center"/>
          </w:tcPr>
          <w:p w14:paraId="07D72F23"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6537FA2D" w14:textId="77777777" w:rsidR="00FB4D29" w:rsidRDefault="00CF4592">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2021-07-16</w:t>
            </w:r>
          </w:p>
        </w:tc>
      </w:tr>
      <w:tr w:rsidR="00FB4D29" w14:paraId="240E0354"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2CC5FF6C"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5</w:t>
            </w:r>
          </w:p>
        </w:tc>
        <w:tc>
          <w:tcPr>
            <w:tcW w:w="750" w:type="pct"/>
            <w:tcBorders>
              <w:top w:val="single" w:sz="4" w:space="0" w:color="auto"/>
              <w:left w:val="single" w:sz="4" w:space="0" w:color="auto"/>
              <w:bottom w:val="single" w:sz="4" w:space="0" w:color="auto"/>
              <w:right w:val="single" w:sz="4" w:space="0" w:color="auto"/>
            </w:tcBorders>
            <w:vAlign w:val="center"/>
          </w:tcPr>
          <w:p w14:paraId="42E48FC0"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交银施罗德持续成长主题混合型证券投资基金</w:t>
            </w:r>
            <w:r>
              <w:rPr>
                <w:rFonts w:ascii="Times New Roman" w:hAnsi="Times New Roman"/>
                <w:color w:val="000000"/>
                <w:kern w:val="0"/>
                <w:sz w:val="25"/>
                <w:szCs w:val="24"/>
              </w:rPr>
              <w:t>2021</w:t>
            </w:r>
            <w:r>
              <w:rPr>
                <w:rFonts w:ascii="Times New Roman" w:hAnsi="Times New Roman"/>
                <w:color w:val="000000"/>
                <w:kern w:val="0"/>
                <w:sz w:val="25"/>
                <w:szCs w:val="24"/>
              </w:rPr>
              <w:t>年第</w:t>
            </w:r>
            <w:r>
              <w:rPr>
                <w:rFonts w:ascii="Times New Roman" w:hAnsi="Times New Roman"/>
                <w:color w:val="000000"/>
                <w:kern w:val="0"/>
                <w:sz w:val="25"/>
                <w:szCs w:val="24"/>
              </w:rPr>
              <w:t>2</w:t>
            </w:r>
            <w:r>
              <w:rPr>
                <w:rFonts w:ascii="Times New Roman" w:hAnsi="Times New Roman"/>
                <w:color w:val="000000"/>
                <w:kern w:val="0"/>
                <w:sz w:val="25"/>
                <w:szCs w:val="24"/>
              </w:rPr>
              <w:t>季度报告</w:t>
            </w:r>
          </w:p>
        </w:tc>
        <w:tc>
          <w:tcPr>
            <w:tcW w:w="750" w:type="pct"/>
            <w:tcBorders>
              <w:top w:val="single" w:sz="4" w:space="0" w:color="auto"/>
              <w:left w:val="single" w:sz="4" w:space="0" w:color="auto"/>
              <w:bottom w:val="single" w:sz="4" w:space="0" w:color="auto"/>
              <w:right w:val="single" w:sz="4" w:space="0" w:color="auto"/>
            </w:tcBorders>
            <w:vAlign w:val="center"/>
          </w:tcPr>
          <w:p w14:paraId="556B9775"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1B9E5420" w14:textId="77777777" w:rsidR="00FB4D29" w:rsidRDefault="00CF4592">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2021-07-20</w:t>
            </w:r>
          </w:p>
        </w:tc>
      </w:tr>
      <w:tr w:rsidR="00FB4D29" w14:paraId="177AB4CC"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48A26DBB"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6</w:t>
            </w:r>
          </w:p>
        </w:tc>
        <w:tc>
          <w:tcPr>
            <w:tcW w:w="750" w:type="pct"/>
            <w:tcBorders>
              <w:top w:val="single" w:sz="4" w:space="0" w:color="auto"/>
              <w:left w:val="single" w:sz="4" w:space="0" w:color="auto"/>
              <w:bottom w:val="single" w:sz="4" w:space="0" w:color="auto"/>
              <w:right w:val="single" w:sz="4" w:space="0" w:color="auto"/>
            </w:tcBorders>
            <w:vAlign w:val="center"/>
          </w:tcPr>
          <w:p w14:paraId="1A586BF6"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交银施罗德基金管理有限公司关于警惕冒用公司名义进行诈骗活动的提示性公告</w:t>
            </w:r>
          </w:p>
        </w:tc>
        <w:tc>
          <w:tcPr>
            <w:tcW w:w="750" w:type="pct"/>
            <w:tcBorders>
              <w:top w:val="single" w:sz="4" w:space="0" w:color="auto"/>
              <w:left w:val="single" w:sz="4" w:space="0" w:color="auto"/>
              <w:bottom w:val="single" w:sz="4" w:space="0" w:color="auto"/>
              <w:right w:val="single" w:sz="4" w:space="0" w:color="auto"/>
            </w:tcBorders>
            <w:vAlign w:val="center"/>
          </w:tcPr>
          <w:p w14:paraId="4D328BB7"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2726D309" w14:textId="77777777" w:rsidR="00FB4D29" w:rsidRDefault="00CF4592">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2021-07-27</w:t>
            </w:r>
          </w:p>
        </w:tc>
      </w:tr>
      <w:tr w:rsidR="00FB4D29" w14:paraId="565E4998"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5976B63F"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7</w:t>
            </w:r>
          </w:p>
        </w:tc>
        <w:tc>
          <w:tcPr>
            <w:tcW w:w="750" w:type="pct"/>
            <w:tcBorders>
              <w:top w:val="single" w:sz="4" w:space="0" w:color="auto"/>
              <w:left w:val="single" w:sz="4" w:space="0" w:color="auto"/>
              <w:bottom w:val="single" w:sz="4" w:space="0" w:color="auto"/>
              <w:right w:val="single" w:sz="4" w:space="0" w:color="auto"/>
            </w:tcBorders>
            <w:vAlign w:val="center"/>
          </w:tcPr>
          <w:p w14:paraId="3A3A7B4F"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交银施罗德基金管理有限公司关于交银施罗德持续成长主题混合型证券投资基金暂停大额申购（转换转入、定期定额投资）的公告</w:t>
            </w:r>
          </w:p>
        </w:tc>
        <w:tc>
          <w:tcPr>
            <w:tcW w:w="750" w:type="pct"/>
            <w:tcBorders>
              <w:top w:val="single" w:sz="4" w:space="0" w:color="auto"/>
              <w:left w:val="single" w:sz="4" w:space="0" w:color="auto"/>
              <w:bottom w:val="single" w:sz="4" w:space="0" w:color="auto"/>
              <w:right w:val="single" w:sz="4" w:space="0" w:color="auto"/>
            </w:tcBorders>
            <w:vAlign w:val="center"/>
          </w:tcPr>
          <w:p w14:paraId="7099592B"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45FEADCC" w14:textId="77777777" w:rsidR="00FB4D29" w:rsidRDefault="00CF4592">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2021-08-03</w:t>
            </w:r>
          </w:p>
        </w:tc>
      </w:tr>
      <w:tr w:rsidR="00FB4D29" w14:paraId="1478DC10"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7A3A27EE"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8</w:t>
            </w:r>
          </w:p>
        </w:tc>
        <w:tc>
          <w:tcPr>
            <w:tcW w:w="750" w:type="pct"/>
            <w:tcBorders>
              <w:top w:val="single" w:sz="4" w:space="0" w:color="auto"/>
              <w:left w:val="single" w:sz="4" w:space="0" w:color="auto"/>
              <w:bottom w:val="single" w:sz="4" w:space="0" w:color="auto"/>
              <w:right w:val="single" w:sz="4" w:space="0" w:color="auto"/>
            </w:tcBorders>
            <w:vAlign w:val="center"/>
          </w:tcPr>
          <w:p w14:paraId="241ABBE4"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交银施罗德基金管理有限公司关于增加华宝证券有限责任公司为旗下基金销售机构的公告</w:t>
            </w:r>
          </w:p>
        </w:tc>
        <w:tc>
          <w:tcPr>
            <w:tcW w:w="750" w:type="pct"/>
            <w:tcBorders>
              <w:top w:val="single" w:sz="4" w:space="0" w:color="auto"/>
              <w:left w:val="single" w:sz="4" w:space="0" w:color="auto"/>
              <w:bottom w:val="single" w:sz="4" w:space="0" w:color="auto"/>
              <w:right w:val="single" w:sz="4" w:space="0" w:color="auto"/>
            </w:tcBorders>
            <w:vAlign w:val="center"/>
          </w:tcPr>
          <w:p w14:paraId="30A6D8FE"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0BDF66D6" w14:textId="77777777" w:rsidR="00FB4D29" w:rsidRDefault="00CF4592">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2021-08-19</w:t>
            </w:r>
          </w:p>
        </w:tc>
      </w:tr>
      <w:tr w:rsidR="00FB4D29" w14:paraId="21CDE0B4"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7B9F0DC0"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9</w:t>
            </w:r>
          </w:p>
        </w:tc>
        <w:tc>
          <w:tcPr>
            <w:tcW w:w="750" w:type="pct"/>
            <w:tcBorders>
              <w:top w:val="single" w:sz="4" w:space="0" w:color="auto"/>
              <w:left w:val="single" w:sz="4" w:space="0" w:color="auto"/>
              <w:bottom w:val="single" w:sz="4" w:space="0" w:color="auto"/>
              <w:right w:val="single" w:sz="4" w:space="0" w:color="auto"/>
            </w:tcBorders>
            <w:vAlign w:val="center"/>
          </w:tcPr>
          <w:p w14:paraId="1FDF8AF1"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交银施罗德基金管理有限公司关于增加广发证券股份有限公司为旗下基金销售机构的公告</w:t>
            </w:r>
          </w:p>
        </w:tc>
        <w:tc>
          <w:tcPr>
            <w:tcW w:w="750" w:type="pct"/>
            <w:tcBorders>
              <w:top w:val="single" w:sz="4" w:space="0" w:color="auto"/>
              <w:left w:val="single" w:sz="4" w:space="0" w:color="auto"/>
              <w:bottom w:val="single" w:sz="4" w:space="0" w:color="auto"/>
              <w:right w:val="single" w:sz="4" w:space="0" w:color="auto"/>
            </w:tcBorders>
            <w:vAlign w:val="center"/>
          </w:tcPr>
          <w:p w14:paraId="5DE213B2"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451A6CD4" w14:textId="77777777" w:rsidR="00FB4D29" w:rsidRDefault="00CF4592">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2021-08-25</w:t>
            </w:r>
          </w:p>
        </w:tc>
      </w:tr>
      <w:tr w:rsidR="00FB4D29" w14:paraId="2EF1327F"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72320B24"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lastRenderedPageBreak/>
              <w:t>10</w:t>
            </w:r>
          </w:p>
        </w:tc>
        <w:tc>
          <w:tcPr>
            <w:tcW w:w="750" w:type="pct"/>
            <w:tcBorders>
              <w:top w:val="single" w:sz="4" w:space="0" w:color="auto"/>
              <w:left w:val="single" w:sz="4" w:space="0" w:color="auto"/>
              <w:bottom w:val="single" w:sz="4" w:space="0" w:color="auto"/>
              <w:right w:val="single" w:sz="4" w:space="0" w:color="auto"/>
            </w:tcBorders>
            <w:vAlign w:val="center"/>
          </w:tcPr>
          <w:p w14:paraId="04E2554C"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交银施罗德持续成长主题混合型证券投资基金</w:t>
            </w:r>
            <w:r>
              <w:rPr>
                <w:rFonts w:ascii="Times New Roman" w:hAnsi="Times New Roman"/>
                <w:color w:val="000000"/>
                <w:kern w:val="0"/>
                <w:sz w:val="25"/>
                <w:szCs w:val="24"/>
              </w:rPr>
              <w:t>2021</w:t>
            </w:r>
            <w:r>
              <w:rPr>
                <w:rFonts w:ascii="Times New Roman" w:hAnsi="Times New Roman"/>
                <w:color w:val="000000"/>
                <w:kern w:val="0"/>
                <w:sz w:val="25"/>
                <w:szCs w:val="24"/>
              </w:rPr>
              <w:t>年中期报告</w:t>
            </w:r>
          </w:p>
        </w:tc>
        <w:tc>
          <w:tcPr>
            <w:tcW w:w="750" w:type="pct"/>
            <w:tcBorders>
              <w:top w:val="single" w:sz="4" w:space="0" w:color="auto"/>
              <w:left w:val="single" w:sz="4" w:space="0" w:color="auto"/>
              <w:bottom w:val="single" w:sz="4" w:space="0" w:color="auto"/>
              <w:right w:val="single" w:sz="4" w:space="0" w:color="auto"/>
            </w:tcBorders>
            <w:vAlign w:val="center"/>
          </w:tcPr>
          <w:p w14:paraId="79EF09C4"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62569724" w14:textId="77777777" w:rsidR="00FB4D29" w:rsidRDefault="00CF4592">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2021-08-30</w:t>
            </w:r>
          </w:p>
        </w:tc>
      </w:tr>
      <w:tr w:rsidR="00FB4D29" w14:paraId="5B9FAAC4"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762AF39F"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11</w:t>
            </w:r>
          </w:p>
        </w:tc>
        <w:tc>
          <w:tcPr>
            <w:tcW w:w="750" w:type="pct"/>
            <w:tcBorders>
              <w:top w:val="single" w:sz="4" w:space="0" w:color="auto"/>
              <w:left w:val="single" w:sz="4" w:space="0" w:color="auto"/>
              <w:bottom w:val="single" w:sz="4" w:space="0" w:color="auto"/>
              <w:right w:val="single" w:sz="4" w:space="0" w:color="auto"/>
            </w:tcBorders>
            <w:vAlign w:val="center"/>
          </w:tcPr>
          <w:p w14:paraId="68D11185"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交银施罗德基金管理有限公司关于增加天风证券股份有限公司为旗下基金的销售机构的公告</w:t>
            </w:r>
          </w:p>
        </w:tc>
        <w:tc>
          <w:tcPr>
            <w:tcW w:w="750" w:type="pct"/>
            <w:tcBorders>
              <w:top w:val="single" w:sz="4" w:space="0" w:color="auto"/>
              <w:left w:val="single" w:sz="4" w:space="0" w:color="auto"/>
              <w:bottom w:val="single" w:sz="4" w:space="0" w:color="auto"/>
              <w:right w:val="single" w:sz="4" w:space="0" w:color="auto"/>
            </w:tcBorders>
            <w:vAlign w:val="center"/>
          </w:tcPr>
          <w:p w14:paraId="379A17C6"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2D8ED575" w14:textId="77777777" w:rsidR="00FB4D29" w:rsidRDefault="00CF4592">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2021-09-13</w:t>
            </w:r>
          </w:p>
        </w:tc>
      </w:tr>
      <w:tr w:rsidR="00FB4D29" w14:paraId="5E82B429"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17670310"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12</w:t>
            </w:r>
          </w:p>
        </w:tc>
        <w:tc>
          <w:tcPr>
            <w:tcW w:w="750" w:type="pct"/>
            <w:tcBorders>
              <w:top w:val="single" w:sz="4" w:space="0" w:color="auto"/>
              <w:left w:val="single" w:sz="4" w:space="0" w:color="auto"/>
              <w:bottom w:val="single" w:sz="4" w:space="0" w:color="auto"/>
              <w:right w:val="single" w:sz="4" w:space="0" w:color="auto"/>
            </w:tcBorders>
            <w:vAlign w:val="center"/>
          </w:tcPr>
          <w:p w14:paraId="65ED38D4"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交银施罗德基金管理有限公司关于增加国金证券股份有限公司为旗下基金销售机构的公告</w:t>
            </w:r>
          </w:p>
        </w:tc>
        <w:tc>
          <w:tcPr>
            <w:tcW w:w="750" w:type="pct"/>
            <w:tcBorders>
              <w:top w:val="single" w:sz="4" w:space="0" w:color="auto"/>
              <w:left w:val="single" w:sz="4" w:space="0" w:color="auto"/>
              <w:bottom w:val="single" w:sz="4" w:space="0" w:color="auto"/>
              <w:right w:val="single" w:sz="4" w:space="0" w:color="auto"/>
            </w:tcBorders>
            <w:vAlign w:val="center"/>
          </w:tcPr>
          <w:p w14:paraId="58AA09CF"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0E474084" w14:textId="77777777" w:rsidR="00FB4D29" w:rsidRDefault="00CF4592">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2021-10-13</w:t>
            </w:r>
          </w:p>
        </w:tc>
      </w:tr>
      <w:tr w:rsidR="00FB4D29" w14:paraId="420CE7EB"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5746692D"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13</w:t>
            </w:r>
          </w:p>
        </w:tc>
        <w:tc>
          <w:tcPr>
            <w:tcW w:w="750" w:type="pct"/>
            <w:tcBorders>
              <w:top w:val="single" w:sz="4" w:space="0" w:color="auto"/>
              <w:left w:val="single" w:sz="4" w:space="0" w:color="auto"/>
              <w:bottom w:val="single" w:sz="4" w:space="0" w:color="auto"/>
              <w:right w:val="single" w:sz="4" w:space="0" w:color="auto"/>
            </w:tcBorders>
            <w:vAlign w:val="center"/>
          </w:tcPr>
          <w:p w14:paraId="433DCCD9"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交银施罗德基金管理有限公司关于增加海通证券股份有限公司为旗下基金销售机构的公告</w:t>
            </w:r>
          </w:p>
        </w:tc>
        <w:tc>
          <w:tcPr>
            <w:tcW w:w="750" w:type="pct"/>
            <w:tcBorders>
              <w:top w:val="single" w:sz="4" w:space="0" w:color="auto"/>
              <w:left w:val="single" w:sz="4" w:space="0" w:color="auto"/>
              <w:bottom w:val="single" w:sz="4" w:space="0" w:color="auto"/>
              <w:right w:val="single" w:sz="4" w:space="0" w:color="auto"/>
            </w:tcBorders>
            <w:vAlign w:val="center"/>
          </w:tcPr>
          <w:p w14:paraId="34E87115"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5446FAB6" w14:textId="77777777" w:rsidR="00FB4D29" w:rsidRDefault="00CF4592">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2021-10-13</w:t>
            </w:r>
          </w:p>
        </w:tc>
      </w:tr>
      <w:tr w:rsidR="00FB4D29" w14:paraId="4906DB6F"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0429E702"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14</w:t>
            </w:r>
          </w:p>
        </w:tc>
        <w:tc>
          <w:tcPr>
            <w:tcW w:w="750" w:type="pct"/>
            <w:tcBorders>
              <w:top w:val="single" w:sz="4" w:space="0" w:color="auto"/>
              <w:left w:val="single" w:sz="4" w:space="0" w:color="auto"/>
              <w:bottom w:val="single" w:sz="4" w:space="0" w:color="auto"/>
              <w:right w:val="single" w:sz="4" w:space="0" w:color="auto"/>
            </w:tcBorders>
            <w:vAlign w:val="center"/>
          </w:tcPr>
          <w:p w14:paraId="568FF9E3"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交银施罗德持续成长主题混合型证券投资基金</w:t>
            </w:r>
            <w:r>
              <w:rPr>
                <w:rFonts w:ascii="Times New Roman" w:hAnsi="Times New Roman"/>
                <w:color w:val="000000"/>
                <w:kern w:val="0"/>
                <w:sz w:val="25"/>
                <w:szCs w:val="24"/>
              </w:rPr>
              <w:t>2021</w:t>
            </w:r>
            <w:r>
              <w:rPr>
                <w:rFonts w:ascii="Times New Roman" w:hAnsi="Times New Roman"/>
                <w:color w:val="000000"/>
                <w:kern w:val="0"/>
                <w:sz w:val="25"/>
                <w:szCs w:val="24"/>
              </w:rPr>
              <w:t>年第</w:t>
            </w:r>
            <w:r>
              <w:rPr>
                <w:rFonts w:ascii="Times New Roman" w:hAnsi="Times New Roman"/>
                <w:color w:val="000000"/>
                <w:kern w:val="0"/>
                <w:sz w:val="25"/>
                <w:szCs w:val="24"/>
              </w:rPr>
              <w:t>3</w:t>
            </w:r>
            <w:r>
              <w:rPr>
                <w:rFonts w:ascii="Times New Roman" w:hAnsi="Times New Roman"/>
                <w:color w:val="000000"/>
                <w:kern w:val="0"/>
                <w:sz w:val="25"/>
                <w:szCs w:val="24"/>
              </w:rPr>
              <w:t>季度报告</w:t>
            </w:r>
          </w:p>
        </w:tc>
        <w:tc>
          <w:tcPr>
            <w:tcW w:w="750" w:type="pct"/>
            <w:tcBorders>
              <w:top w:val="single" w:sz="4" w:space="0" w:color="auto"/>
              <w:left w:val="single" w:sz="4" w:space="0" w:color="auto"/>
              <w:bottom w:val="single" w:sz="4" w:space="0" w:color="auto"/>
              <w:right w:val="single" w:sz="4" w:space="0" w:color="auto"/>
            </w:tcBorders>
            <w:vAlign w:val="center"/>
          </w:tcPr>
          <w:p w14:paraId="6C726236"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7B2EAF45" w14:textId="77777777" w:rsidR="00FB4D29" w:rsidRDefault="00CF4592">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2021-10-26</w:t>
            </w:r>
          </w:p>
        </w:tc>
      </w:tr>
      <w:tr w:rsidR="00FB4D29" w14:paraId="543C9AC7"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271D046C"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15</w:t>
            </w:r>
          </w:p>
        </w:tc>
        <w:tc>
          <w:tcPr>
            <w:tcW w:w="750" w:type="pct"/>
            <w:tcBorders>
              <w:top w:val="single" w:sz="4" w:space="0" w:color="auto"/>
              <w:left w:val="single" w:sz="4" w:space="0" w:color="auto"/>
              <w:bottom w:val="single" w:sz="4" w:space="0" w:color="auto"/>
              <w:right w:val="single" w:sz="4" w:space="0" w:color="auto"/>
            </w:tcBorders>
            <w:vAlign w:val="center"/>
          </w:tcPr>
          <w:p w14:paraId="1F3F6792"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交银施罗德基金管理有限公司关于增加恒泰证券股份有限公司为旗下基金销售机构的公告</w:t>
            </w:r>
          </w:p>
        </w:tc>
        <w:tc>
          <w:tcPr>
            <w:tcW w:w="750" w:type="pct"/>
            <w:tcBorders>
              <w:top w:val="single" w:sz="4" w:space="0" w:color="auto"/>
              <w:left w:val="single" w:sz="4" w:space="0" w:color="auto"/>
              <w:bottom w:val="single" w:sz="4" w:space="0" w:color="auto"/>
              <w:right w:val="single" w:sz="4" w:space="0" w:color="auto"/>
            </w:tcBorders>
            <w:vAlign w:val="center"/>
          </w:tcPr>
          <w:p w14:paraId="5E7518B0"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4D41112C" w14:textId="77777777" w:rsidR="00FB4D29" w:rsidRDefault="00CF4592">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2021-11-05</w:t>
            </w:r>
          </w:p>
        </w:tc>
      </w:tr>
      <w:tr w:rsidR="00FB4D29" w14:paraId="1EF5D579"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340A9D4F"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16</w:t>
            </w:r>
          </w:p>
        </w:tc>
        <w:tc>
          <w:tcPr>
            <w:tcW w:w="750" w:type="pct"/>
            <w:tcBorders>
              <w:top w:val="single" w:sz="4" w:space="0" w:color="auto"/>
              <w:left w:val="single" w:sz="4" w:space="0" w:color="auto"/>
              <w:bottom w:val="single" w:sz="4" w:space="0" w:color="auto"/>
              <w:right w:val="single" w:sz="4" w:space="0" w:color="auto"/>
            </w:tcBorders>
            <w:vAlign w:val="center"/>
          </w:tcPr>
          <w:p w14:paraId="1641B173"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交银施罗德基金管理有限公司关于调整旗下部分开放式基金转换业务规则的公告</w:t>
            </w:r>
          </w:p>
        </w:tc>
        <w:tc>
          <w:tcPr>
            <w:tcW w:w="750" w:type="pct"/>
            <w:tcBorders>
              <w:top w:val="single" w:sz="4" w:space="0" w:color="auto"/>
              <w:left w:val="single" w:sz="4" w:space="0" w:color="auto"/>
              <w:bottom w:val="single" w:sz="4" w:space="0" w:color="auto"/>
              <w:right w:val="single" w:sz="4" w:space="0" w:color="auto"/>
            </w:tcBorders>
            <w:vAlign w:val="center"/>
          </w:tcPr>
          <w:p w14:paraId="714142C5"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6FAB7008" w14:textId="77777777" w:rsidR="00FB4D29" w:rsidRDefault="00CF4592">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2021-11-30</w:t>
            </w:r>
          </w:p>
        </w:tc>
      </w:tr>
      <w:tr w:rsidR="00FB4D29" w14:paraId="20BD0C53"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580B5274"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17</w:t>
            </w:r>
          </w:p>
        </w:tc>
        <w:tc>
          <w:tcPr>
            <w:tcW w:w="750" w:type="pct"/>
            <w:tcBorders>
              <w:top w:val="single" w:sz="4" w:space="0" w:color="auto"/>
              <w:left w:val="single" w:sz="4" w:space="0" w:color="auto"/>
              <w:bottom w:val="single" w:sz="4" w:space="0" w:color="auto"/>
              <w:right w:val="single" w:sz="4" w:space="0" w:color="auto"/>
            </w:tcBorders>
            <w:vAlign w:val="center"/>
          </w:tcPr>
          <w:p w14:paraId="456721A1"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交银施罗德基金管理有限公司关于暂停部分销售机构办理相关销售业务的公告</w:t>
            </w:r>
          </w:p>
        </w:tc>
        <w:tc>
          <w:tcPr>
            <w:tcW w:w="750" w:type="pct"/>
            <w:tcBorders>
              <w:top w:val="single" w:sz="4" w:space="0" w:color="auto"/>
              <w:left w:val="single" w:sz="4" w:space="0" w:color="auto"/>
              <w:bottom w:val="single" w:sz="4" w:space="0" w:color="auto"/>
              <w:right w:val="single" w:sz="4" w:space="0" w:color="auto"/>
            </w:tcBorders>
            <w:vAlign w:val="center"/>
          </w:tcPr>
          <w:p w14:paraId="2081F023"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33E62F9B" w14:textId="77777777" w:rsidR="00FB4D29" w:rsidRDefault="00CF4592">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2021-12-07</w:t>
            </w:r>
          </w:p>
        </w:tc>
      </w:tr>
      <w:tr w:rsidR="00FB4D29" w14:paraId="18114A6C"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0F8E9CC7"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18</w:t>
            </w:r>
          </w:p>
        </w:tc>
        <w:tc>
          <w:tcPr>
            <w:tcW w:w="750" w:type="pct"/>
            <w:tcBorders>
              <w:top w:val="single" w:sz="4" w:space="0" w:color="auto"/>
              <w:left w:val="single" w:sz="4" w:space="0" w:color="auto"/>
              <w:bottom w:val="single" w:sz="4" w:space="0" w:color="auto"/>
              <w:right w:val="single" w:sz="4" w:space="0" w:color="auto"/>
            </w:tcBorders>
            <w:vAlign w:val="center"/>
          </w:tcPr>
          <w:p w14:paraId="6D2142DA"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交银施罗德基金管理有限公司关于恢复代销机构合作业务的公告</w:t>
            </w:r>
          </w:p>
        </w:tc>
        <w:tc>
          <w:tcPr>
            <w:tcW w:w="750" w:type="pct"/>
            <w:tcBorders>
              <w:top w:val="single" w:sz="4" w:space="0" w:color="auto"/>
              <w:left w:val="single" w:sz="4" w:space="0" w:color="auto"/>
              <w:bottom w:val="single" w:sz="4" w:space="0" w:color="auto"/>
              <w:right w:val="single" w:sz="4" w:space="0" w:color="auto"/>
            </w:tcBorders>
            <w:vAlign w:val="center"/>
          </w:tcPr>
          <w:p w14:paraId="300E86C1"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385460C5" w14:textId="77777777" w:rsidR="00FB4D29" w:rsidRDefault="00CF4592">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2021-12-11</w:t>
            </w:r>
          </w:p>
        </w:tc>
      </w:tr>
      <w:tr w:rsidR="00FB4D29" w14:paraId="634C7388"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6A60D771"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19</w:t>
            </w:r>
          </w:p>
        </w:tc>
        <w:tc>
          <w:tcPr>
            <w:tcW w:w="750" w:type="pct"/>
            <w:tcBorders>
              <w:top w:val="single" w:sz="4" w:space="0" w:color="auto"/>
              <w:left w:val="single" w:sz="4" w:space="0" w:color="auto"/>
              <w:bottom w:val="single" w:sz="4" w:space="0" w:color="auto"/>
              <w:right w:val="single" w:sz="4" w:space="0" w:color="auto"/>
            </w:tcBorders>
            <w:vAlign w:val="center"/>
          </w:tcPr>
          <w:p w14:paraId="2035EB76"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交银施罗德基金管理有限公司关于增加中国光大银行股份有限公司为旗下部分基金的销售机构的公告</w:t>
            </w:r>
          </w:p>
        </w:tc>
        <w:tc>
          <w:tcPr>
            <w:tcW w:w="750" w:type="pct"/>
            <w:tcBorders>
              <w:top w:val="single" w:sz="4" w:space="0" w:color="auto"/>
              <w:left w:val="single" w:sz="4" w:space="0" w:color="auto"/>
              <w:bottom w:val="single" w:sz="4" w:space="0" w:color="auto"/>
              <w:right w:val="single" w:sz="4" w:space="0" w:color="auto"/>
            </w:tcBorders>
            <w:vAlign w:val="center"/>
          </w:tcPr>
          <w:p w14:paraId="4F96C670"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664795D8" w14:textId="77777777" w:rsidR="00FB4D29" w:rsidRDefault="00CF4592">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2022-01-10</w:t>
            </w:r>
          </w:p>
        </w:tc>
      </w:tr>
      <w:tr w:rsidR="00FB4D29" w14:paraId="1B222066"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06F9101C"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20</w:t>
            </w:r>
          </w:p>
        </w:tc>
        <w:tc>
          <w:tcPr>
            <w:tcW w:w="750" w:type="pct"/>
            <w:tcBorders>
              <w:top w:val="single" w:sz="4" w:space="0" w:color="auto"/>
              <w:left w:val="single" w:sz="4" w:space="0" w:color="auto"/>
              <w:bottom w:val="single" w:sz="4" w:space="0" w:color="auto"/>
              <w:right w:val="single" w:sz="4" w:space="0" w:color="auto"/>
            </w:tcBorders>
            <w:vAlign w:val="center"/>
          </w:tcPr>
          <w:p w14:paraId="1BEBC4A3"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交银施罗德基金管理有限公司关于增加方正中期期货有限公司为旗下基金销售机构的公告</w:t>
            </w:r>
          </w:p>
        </w:tc>
        <w:tc>
          <w:tcPr>
            <w:tcW w:w="750" w:type="pct"/>
            <w:tcBorders>
              <w:top w:val="single" w:sz="4" w:space="0" w:color="auto"/>
              <w:left w:val="single" w:sz="4" w:space="0" w:color="auto"/>
              <w:bottom w:val="single" w:sz="4" w:space="0" w:color="auto"/>
              <w:right w:val="single" w:sz="4" w:space="0" w:color="auto"/>
            </w:tcBorders>
            <w:vAlign w:val="center"/>
          </w:tcPr>
          <w:p w14:paraId="3EE3591D"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32DE7458" w14:textId="77777777" w:rsidR="00FB4D29" w:rsidRDefault="00CF4592">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2022-01-14</w:t>
            </w:r>
          </w:p>
        </w:tc>
      </w:tr>
      <w:tr w:rsidR="00FB4D29" w14:paraId="27D87943"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0741A706"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21</w:t>
            </w:r>
          </w:p>
        </w:tc>
        <w:tc>
          <w:tcPr>
            <w:tcW w:w="750" w:type="pct"/>
            <w:tcBorders>
              <w:top w:val="single" w:sz="4" w:space="0" w:color="auto"/>
              <w:left w:val="single" w:sz="4" w:space="0" w:color="auto"/>
              <w:bottom w:val="single" w:sz="4" w:space="0" w:color="auto"/>
              <w:right w:val="single" w:sz="4" w:space="0" w:color="auto"/>
            </w:tcBorders>
            <w:vAlign w:val="center"/>
          </w:tcPr>
          <w:p w14:paraId="7CB14CF8"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交银施罗德持续成长主题混合型证券投资基金</w:t>
            </w:r>
            <w:r>
              <w:rPr>
                <w:rFonts w:ascii="Times New Roman" w:hAnsi="Times New Roman"/>
                <w:color w:val="000000"/>
                <w:kern w:val="0"/>
                <w:sz w:val="25"/>
                <w:szCs w:val="24"/>
              </w:rPr>
              <w:t>2021</w:t>
            </w:r>
            <w:r>
              <w:rPr>
                <w:rFonts w:ascii="Times New Roman" w:hAnsi="Times New Roman"/>
                <w:color w:val="000000"/>
                <w:kern w:val="0"/>
                <w:sz w:val="25"/>
                <w:szCs w:val="24"/>
              </w:rPr>
              <w:t>年第</w:t>
            </w:r>
            <w:r>
              <w:rPr>
                <w:rFonts w:ascii="Times New Roman" w:hAnsi="Times New Roman"/>
                <w:color w:val="000000"/>
                <w:kern w:val="0"/>
                <w:sz w:val="25"/>
                <w:szCs w:val="24"/>
              </w:rPr>
              <w:t>4</w:t>
            </w:r>
            <w:r>
              <w:rPr>
                <w:rFonts w:ascii="Times New Roman" w:hAnsi="Times New Roman"/>
                <w:color w:val="000000"/>
                <w:kern w:val="0"/>
                <w:sz w:val="25"/>
                <w:szCs w:val="24"/>
              </w:rPr>
              <w:t>季度报告</w:t>
            </w:r>
          </w:p>
        </w:tc>
        <w:tc>
          <w:tcPr>
            <w:tcW w:w="750" w:type="pct"/>
            <w:tcBorders>
              <w:top w:val="single" w:sz="4" w:space="0" w:color="auto"/>
              <w:left w:val="single" w:sz="4" w:space="0" w:color="auto"/>
              <w:bottom w:val="single" w:sz="4" w:space="0" w:color="auto"/>
              <w:right w:val="single" w:sz="4" w:space="0" w:color="auto"/>
            </w:tcBorders>
            <w:vAlign w:val="center"/>
          </w:tcPr>
          <w:p w14:paraId="38E2C459"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6E9366B7" w14:textId="77777777" w:rsidR="00FB4D29" w:rsidRDefault="00CF4592">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2022-01-21</w:t>
            </w:r>
          </w:p>
        </w:tc>
      </w:tr>
      <w:tr w:rsidR="00FB4D29" w14:paraId="2D3915CC"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36B0BFB4"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lastRenderedPageBreak/>
              <w:t>22</w:t>
            </w:r>
          </w:p>
        </w:tc>
        <w:tc>
          <w:tcPr>
            <w:tcW w:w="750" w:type="pct"/>
            <w:tcBorders>
              <w:top w:val="single" w:sz="4" w:space="0" w:color="auto"/>
              <w:left w:val="single" w:sz="4" w:space="0" w:color="auto"/>
              <w:bottom w:val="single" w:sz="4" w:space="0" w:color="auto"/>
              <w:right w:val="single" w:sz="4" w:space="0" w:color="auto"/>
            </w:tcBorders>
            <w:vAlign w:val="center"/>
          </w:tcPr>
          <w:p w14:paraId="35B7375B"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交银施罗德基金管理有限公司关于增加国泰君安证券股份有限公司为旗下基金的销售机构的公告</w:t>
            </w:r>
          </w:p>
        </w:tc>
        <w:tc>
          <w:tcPr>
            <w:tcW w:w="750" w:type="pct"/>
            <w:tcBorders>
              <w:top w:val="single" w:sz="4" w:space="0" w:color="auto"/>
              <w:left w:val="single" w:sz="4" w:space="0" w:color="auto"/>
              <w:bottom w:val="single" w:sz="4" w:space="0" w:color="auto"/>
              <w:right w:val="single" w:sz="4" w:space="0" w:color="auto"/>
            </w:tcBorders>
            <w:vAlign w:val="center"/>
          </w:tcPr>
          <w:p w14:paraId="50D3652A"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58DCE48F" w14:textId="77777777" w:rsidR="00FB4D29" w:rsidRDefault="00CF4592">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2022-01-28</w:t>
            </w:r>
          </w:p>
        </w:tc>
      </w:tr>
      <w:tr w:rsidR="00FB4D29" w14:paraId="3C6C96CB"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0205F068"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23</w:t>
            </w:r>
          </w:p>
        </w:tc>
        <w:tc>
          <w:tcPr>
            <w:tcW w:w="750" w:type="pct"/>
            <w:tcBorders>
              <w:top w:val="single" w:sz="4" w:space="0" w:color="auto"/>
              <w:left w:val="single" w:sz="4" w:space="0" w:color="auto"/>
              <w:bottom w:val="single" w:sz="4" w:space="0" w:color="auto"/>
              <w:right w:val="single" w:sz="4" w:space="0" w:color="auto"/>
            </w:tcBorders>
            <w:vAlign w:val="center"/>
          </w:tcPr>
          <w:p w14:paraId="38E46939"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交银施罗德基金管理有限公司关于固有资金拟购买旗下偏股型基金的公告</w:t>
            </w:r>
          </w:p>
        </w:tc>
        <w:tc>
          <w:tcPr>
            <w:tcW w:w="750" w:type="pct"/>
            <w:tcBorders>
              <w:top w:val="single" w:sz="4" w:space="0" w:color="auto"/>
              <w:left w:val="single" w:sz="4" w:space="0" w:color="auto"/>
              <w:bottom w:val="single" w:sz="4" w:space="0" w:color="auto"/>
              <w:right w:val="single" w:sz="4" w:space="0" w:color="auto"/>
            </w:tcBorders>
            <w:vAlign w:val="center"/>
          </w:tcPr>
          <w:p w14:paraId="2DA58654"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421F0E18" w14:textId="77777777" w:rsidR="00FB4D29" w:rsidRDefault="00CF4592">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2022-01-29</w:t>
            </w:r>
          </w:p>
        </w:tc>
      </w:tr>
      <w:tr w:rsidR="00FB4D29" w14:paraId="5E3CCD5B"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2CE1CF0D"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24</w:t>
            </w:r>
          </w:p>
        </w:tc>
        <w:tc>
          <w:tcPr>
            <w:tcW w:w="750" w:type="pct"/>
            <w:tcBorders>
              <w:top w:val="single" w:sz="4" w:space="0" w:color="auto"/>
              <w:left w:val="single" w:sz="4" w:space="0" w:color="auto"/>
              <w:bottom w:val="single" w:sz="4" w:space="0" w:color="auto"/>
              <w:right w:val="single" w:sz="4" w:space="0" w:color="auto"/>
            </w:tcBorders>
            <w:vAlign w:val="center"/>
          </w:tcPr>
          <w:p w14:paraId="6DD0EF60"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交银施罗德基金管理有限公司关于增加兴业证券股份有限公司为旗下基金销售机构的公告</w:t>
            </w:r>
          </w:p>
        </w:tc>
        <w:tc>
          <w:tcPr>
            <w:tcW w:w="750" w:type="pct"/>
            <w:tcBorders>
              <w:top w:val="single" w:sz="4" w:space="0" w:color="auto"/>
              <w:left w:val="single" w:sz="4" w:space="0" w:color="auto"/>
              <w:bottom w:val="single" w:sz="4" w:space="0" w:color="auto"/>
              <w:right w:val="single" w:sz="4" w:space="0" w:color="auto"/>
            </w:tcBorders>
            <w:vAlign w:val="center"/>
          </w:tcPr>
          <w:p w14:paraId="037C24EC"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4CA12CB4" w14:textId="77777777" w:rsidR="00FB4D29" w:rsidRDefault="00CF4592">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2022-02-17</w:t>
            </w:r>
          </w:p>
        </w:tc>
      </w:tr>
      <w:tr w:rsidR="00FB4D29" w14:paraId="06F49A1E"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5D9EFF56"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25</w:t>
            </w:r>
          </w:p>
        </w:tc>
        <w:tc>
          <w:tcPr>
            <w:tcW w:w="750" w:type="pct"/>
            <w:tcBorders>
              <w:top w:val="single" w:sz="4" w:space="0" w:color="auto"/>
              <w:left w:val="single" w:sz="4" w:space="0" w:color="auto"/>
              <w:bottom w:val="single" w:sz="4" w:space="0" w:color="auto"/>
              <w:right w:val="single" w:sz="4" w:space="0" w:color="auto"/>
            </w:tcBorders>
            <w:vAlign w:val="center"/>
          </w:tcPr>
          <w:p w14:paraId="37B679EF"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交银施罗德基金管理有限公司关于旗下部分公开募集证券投资基金可投资北交所上市股票的风险提示性公告</w:t>
            </w:r>
          </w:p>
        </w:tc>
        <w:tc>
          <w:tcPr>
            <w:tcW w:w="750" w:type="pct"/>
            <w:tcBorders>
              <w:top w:val="single" w:sz="4" w:space="0" w:color="auto"/>
              <w:left w:val="single" w:sz="4" w:space="0" w:color="auto"/>
              <w:bottom w:val="single" w:sz="4" w:space="0" w:color="auto"/>
              <w:right w:val="single" w:sz="4" w:space="0" w:color="auto"/>
            </w:tcBorders>
            <w:vAlign w:val="center"/>
          </w:tcPr>
          <w:p w14:paraId="6E708AAE"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6E8532A3" w14:textId="77777777" w:rsidR="00FB4D29" w:rsidRDefault="00CF4592">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2022-03-15</w:t>
            </w:r>
          </w:p>
        </w:tc>
      </w:tr>
      <w:tr w:rsidR="00FB4D29" w14:paraId="144AAAB8"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70C930F6"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26</w:t>
            </w:r>
          </w:p>
        </w:tc>
        <w:tc>
          <w:tcPr>
            <w:tcW w:w="750" w:type="pct"/>
            <w:tcBorders>
              <w:top w:val="single" w:sz="4" w:space="0" w:color="auto"/>
              <w:left w:val="single" w:sz="4" w:space="0" w:color="auto"/>
              <w:bottom w:val="single" w:sz="4" w:space="0" w:color="auto"/>
              <w:right w:val="single" w:sz="4" w:space="0" w:color="auto"/>
            </w:tcBorders>
            <w:vAlign w:val="center"/>
          </w:tcPr>
          <w:p w14:paraId="716832D1"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交银施罗德基金管理有限公司关于交银施罗德持续成长主题混合型证券投资基金恢复大额申购（转换转入、定期定额投资）业务的公告</w:t>
            </w:r>
          </w:p>
        </w:tc>
        <w:tc>
          <w:tcPr>
            <w:tcW w:w="750" w:type="pct"/>
            <w:tcBorders>
              <w:top w:val="single" w:sz="4" w:space="0" w:color="auto"/>
              <w:left w:val="single" w:sz="4" w:space="0" w:color="auto"/>
              <w:bottom w:val="single" w:sz="4" w:space="0" w:color="auto"/>
              <w:right w:val="single" w:sz="4" w:space="0" w:color="auto"/>
            </w:tcBorders>
            <w:vAlign w:val="center"/>
          </w:tcPr>
          <w:p w14:paraId="45727A08"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53C0535B" w14:textId="77777777" w:rsidR="00FB4D29" w:rsidRDefault="00CF4592">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2022-03-18</w:t>
            </w:r>
          </w:p>
        </w:tc>
      </w:tr>
      <w:tr w:rsidR="00FB4D29" w14:paraId="7F80616B"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0F841476"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27</w:t>
            </w:r>
          </w:p>
        </w:tc>
        <w:tc>
          <w:tcPr>
            <w:tcW w:w="750" w:type="pct"/>
            <w:tcBorders>
              <w:top w:val="single" w:sz="4" w:space="0" w:color="auto"/>
              <w:left w:val="single" w:sz="4" w:space="0" w:color="auto"/>
              <w:bottom w:val="single" w:sz="4" w:space="0" w:color="auto"/>
              <w:right w:val="single" w:sz="4" w:space="0" w:color="auto"/>
            </w:tcBorders>
            <w:vAlign w:val="center"/>
          </w:tcPr>
          <w:p w14:paraId="5911AE82"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交银施罗德基金管理有限公司关于固有资金拟购买旗下偏股型基金的公告</w:t>
            </w:r>
          </w:p>
        </w:tc>
        <w:tc>
          <w:tcPr>
            <w:tcW w:w="750" w:type="pct"/>
            <w:tcBorders>
              <w:top w:val="single" w:sz="4" w:space="0" w:color="auto"/>
              <w:left w:val="single" w:sz="4" w:space="0" w:color="auto"/>
              <w:bottom w:val="single" w:sz="4" w:space="0" w:color="auto"/>
              <w:right w:val="single" w:sz="4" w:space="0" w:color="auto"/>
            </w:tcBorders>
            <w:vAlign w:val="center"/>
          </w:tcPr>
          <w:p w14:paraId="1660A18C"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1422360E" w14:textId="77777777" w:rsidR="00FB4D29" w:rsidRDefault="00CF4592">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2022-03-18</w:t>
            </w:r>
          </w:p>
        </w:tc>
      </w:tr>
      <w:tr w:rsidR="00FB4D29" w14:paraId="20EAE3A0"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7B2637C2"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28</w:t>
            </w:r>
          </w:p>
        </w:tc>
        <w:tc>
          <w:tcPr>
            <w:tcW w:w="750" w:type="pct"/>
            <w:tcBorders>
              <w:top w:val="single" w:sz="4" w:space="0" w:color="auto"/>
              <w:left w:val="single" w:sz="4" w:space="0" w:color="auto"/>
              <w:bottom w:val="single" w:sz="4" w:space="0" w:color="auto"/>
              <w:right w:val="single" w:sz="4" w:space="0" w:color="auto"/>
            </w:tcBorders>
            <w:vAlign w:val="center"/>
          </w:tcPr>
          <w:p w14:paraId="04361148"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交银施罗德基金管理有限公司关于增加上海钜派钰茂基金销售有限公司为旗下基金销售机构的公告</w:t>
            </w:r>
          </w:p>
        </w:tc>
        <w:tc>
          <w:tcPr>
            <w:tcW w:w="750" w:type="pct"/>
            <w:tcBorders>
              <w:top w:val="single" w:sz="4" w:space="0" w:color="auto"/>
              <w:left w:val="single" w:sz="4" w:space="0" w:color="auto"/>
              <w:bottom w:val="single" w:sz="4" w:space="0" w:color="auto"/>
              <w:right w:val="single" w:sz="4" w:space="0" w:color="auto"/>
            </w:tcBorders>
            <w:vAlign w:val="center"/>
          </w:tcPr>
          <w:p w14:paraId="294197C0"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54677B1D" w14:textId="77777777" w:rsidR="00FB4D29" w:rsidRDefault="00CF4592">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2022-03-18</w:t>
            </w:r>
          </w:p>
        </w:tc>
      </w:tr>
      <w:tr w:rsidR="00FB4D29" w14:paraId="4DD35BF7"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6E2B2DAA"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29</w:t>
            </w:r>
          </w:p>
        </w:tc>
        <w:tc>
          <w:tcPr>
            <w:tcW w:w="750" w:type="pct"/>
            <w:tcBorders>
              <w:top w:val="single" w:sz="4" w:space="0" w:color="auto"/>
              <w:left w:val="single" w:sz="4" w:space="0" w:color="auto"/>
              <w:bottom w:val="single" w:sz="4" w:space="0" w:color="auto"/>
              <w:right w:val="single" w:sz="4" w:space="0" w:color="auto"/>
            </w:tcBorders>
            <w:vAlign w:val="center"/>
          </w:tcPr>
          <w:p w14:paraId="0983C9F9"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交银施罗德持续成长主题混合型证券投资基金</w:t>
            </w:r>
            <w:r>
              <w:rPr>
                <w:rFonts w:ascii="Times New Roman" w:hAnsi="Times New Roman"/>
                <w:color w:val="000000"/>
                <w:kern w:val="0"/>
                <w:sz w:val="25"/>
                <w:szCs w:val="24"/>
              </w:rPr>
              <w:t>2021</w:t>
            </w:r>
            <w:r>
              <w:rPr>
                <w:rFonts w:ascii="Times New Roman" w:hAnsi="Times New Roman"/>
                <w:color w:val="000000"/>
                <w:kern w:val="0"/>
                <w:sz w:val="25"/>
                <w:szCs w:val="24"/>
              </w:rPr>
              <w:t>年年度报告</w:t>
            </w:r>
          </w:p>
        </w:tc>
        <w:tc>
          <w:tcPr>
            <w:tcW w:w="750" w:type="pct"/>
            <w:tcBorders>
              <w:top w:val="single" w:sz="4" w:space="0" w:color="auto"/>
              <w:left w:val="single" w:sz="4" w:space="0" w:color="auto"/>
              <w:bottom w:val="single" w:sz="4" w:space="0" w:color="auto"/>
              <w:right w:val="single" w:sz="4" w:space="0" w:color="auto"/>
            </w:tcBorders>
            <w:vAlign w:val="center"/>
          </w:tcPr>
          <w:p w14:paraId="1FE808A3"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23A00B04" w14:textId="77777777" w:rsidR="00FB4D29" w:rsidRDefault="00CF4592">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2022-03-30</w:t>
            </w:r>
          </w:p>
        </w:tc>
      </w:tr>
      <w:tr w:rsidR="00FB4D29" w14:paraId="2501B623"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407BDF75"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30</w:t>
            </w:r>
          </w:p>
        </w:tc>
        <w:tc>
          <w:tcPr>
            <w:tcW w:w="750" w:type="pct"/>
            <w:tcBorders>
              <w:top w:val="single" w:sz="4" w:space="0" w:color="auto"/>
              <w:left w:val="single" w:sz="4" w:space="0" w:color="auto"/>
              <w:bottom w:val="single" w:sz="4" w:space="0" w:color="auto"/>
              <w:right w:val="single" w:sz="4" w:space="0" w:color="auto"/>
            </w:tcBorders>
            <w:vAlign w:val="center"/>
          </w:tcPr>
          <w:p w14:paraId="6B386557"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交银施罗德基金管理有限公司关于旗下部分基金投资非公开发行股票的公告</w:t>
            </w:r>
          </w:p>
        </w:tc>
        <w:tc>
          <w:tcPr>
            <w:tcW w:w="750" w:type="pct"/>
            <w:tcBorders>
              <w:top w:val="single" w:sz="4" w:space="0" w:color="auto"/>
              <w:left w:val="single" w:sz="4" w:space="0" w:color="auto"/>
              <w:bottom w:val="single" w:sz="4" w:space="0" w:color="auto"/>
              <w:right w:val="single" w:sz="4" w:space="0" w:color="auto"/>
            </w:tcBorders>
            <w:vAlign w:val="center"/>
          </w:tcPr>
          <w:p w14:paraId="6D94B2A3"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7C96171D" w14:textId="77777777" w:rsidR="00FB4D29" w:rsidRDefault="00CF4592">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2022-04-07</w:t>
            </w:r>
          </w:p>
        </w:tc>
      </w:tr>
      <w:tr w:rsidR="00FB4D29" w14:paraId="1ACD5B5B"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4DB52745"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31</w:t>
            </w:r>
          </w:p>
        </w:tc>
        <w:tc>
          <w:tcPr>
            <w:tcW w:w="750" w:type="pct"/>
            <w:tcBorders>
              <w:top w:val="single" w:sz="4" w:space="0" w:color="auto"/>
              <w:left w:val="single" w:sz="4" w:space="0" w:color="auto"/>
              <w:bottom w:val="single" w:sz="4" w:space="0" w:color="auto"/>
              <w:right w:val="single" w:sz="4" w:space="0" w:color="auto"/>
            </w:tcBorders>
            <w:vAlign w:val="center"/>
          </w:tcPr>
          <w:p w14:paraId="39B051A4"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交银施罗德持续成长主题混合型证券投资基金</w:t>
            </w:r>
            <w:r>
              <w:rPr>
                <w:rFonts w:ascii="Times New Roman" w:hAnsi="Times New Roman"/>
                <w:color w:val="000000"/>
                <w:kern w:val="0"/>
                <w:sz w:val="25"/>
                <w:szCs w:val="24"/>
              </w:rPr>
              <w:t>2022</w:t>
            </w:r>
            <w:r>
              <w:rPr>
                <w:rFonts w:ascii="Times New Roman" w:hAnsi="Times New Roman"/>
                <w:color w:val="000000"/>
                <w:kern w:val="0"/>
                <w:sz w:val="25"/>
                <w:szCs w:val="24"/>
              </w:rPr>
              <w:t>年第</w:t>
            </w:r>
            <w:r>
              <w:rPr>
                <w:rFonts w:ascii="Times New Roman" w:hAnsi="Times New Roman"/>
                <w:color w:val="000000"/>
                <w:kern w:val="0"/>
                <w:sz w:val="25"/>
                <w:szCs w:val="24"/>
              </w:rPr>
              <w:t>1</w:t>
            </w:r>
            <w:r>
              <w:rPr>
                <w:rFonts w:ascii="Times New Roman" w:hAnsi="Times New Roman"/>
                <w:color w:val="000000"/>
                <w:kern w:val="0"/>
                <w:sz w:val="25"/>
                <w:szCs w:val="24"/>
              </w:rPr>
              <w:t>季度报告</w:t>
            </w:r>
          </w:p>
        </w:tc>
        <w:tc>
          <w:tcPr>
            <w:tcW w:w="750" w:type="pct"/>
            <w:tcBorders>
              <w:top w:val="single" w:sz="4" w:space="0" w:color="auto"/>
              <w:left w:val="single" w:sz="4" w:space="0" w:color="auto"/>
              <w:bottom w:val="single" w:sz="4" w:space="0" w:color="auto"/>
              <w:right w:val="single" w:sz="4" w:space="0" w:color="auto"/>
            </w:tcBorders>
            <w:vAlign w:val="center"/>
          </w:tcPr>
          <w:p w14:paraId="3C38D6AC" w14:textId="77777777" w:rsidR="00FB4D29" w:rsidRDefault="00CF4592">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6B905302" w14:textId="77777777" w:rsidR="00FB4D29" w:rsidRDefault="00CF4592">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2022-04-21</w:t>
            </w:r>
          </w:p>
        </w:tc>
      </w:tr>
    </w:tbl>
    <w:p w14:paraId="53366DA0" w14:textId="77777777" w:rsidR="00FB4D29" w:rsidRDefault="00FB4D29">
      <w:pPr>
        <w:autoSpaceDE w:val="0"/>
        <w:autoSpaceDN w:val="0"/>
        <w:adjustRightInd w:val="0"/>
        <w:snapToGrid w:val="0"/>
        <w:spacing w:line="360" w:lineRule="auto"/>
        <w:ind w:firstLineChars="200" w:firstLine="420"/>
        <w:jc w:val="left"/>
        <w:rPr>
          <w:rFonts w:ascii="宋体" w:hAnsi="宋体"/>
          <w:szCs w:val="24"/>
        </w:rPr>
      </w:pPr>
    </w:p>
    <w:p w14:paraId="0C282393" w14:textId="77777777" w:rsidR="00AF2A34" w:rsidRDefault="00AF2A34" w:rsidP="00AF2A34">
      <w:pPr>
        <w:autoSpaceDE w:val="0"/>
        <w:autoSpaceDN w:val="0"/>
        <w:adjustRightInd w:val="0"/>
        <w:spacing w:line="360" w:lineRule="auto"/>
        <w:ind w:firstLineChars="200" w:firstLine="420"/>
        <w:rPr>
          <w:rFonts w:ascii="宋体" w:hAnsi="宋体"/>
          <w:szCs w:val="24"/>
        </w:rPr>
      </w:pPr>
    </w:p>
    <w:p w14:paraId="486C16A2" w14:textId="232D32FA" w:rsidR="00FB4D29" w:rsidRDefault="00CF4592">
      <w:pPr>
        <w:pStyle w:val="1"/>
        <w:snapToGrid w:val="0"/>
        <w:spacing w:beforeLines="0" w:before="240" w:after="240"/>
        <w:rPr>
          <w:rFonts w:ascii="宋体" w:hAnsi="宋体"/>
          <w:szCs w:val="30"/>
        </w:rPr>
      </w:pPr>
      <w:r>
        <w:rPr>
          <w:rFonts w:ascii="宋体" w:hAnsi="宋体"/>
          <w:sz w:val="24"/>
        </w:rPr>
        <w:br w:type="page"/>
      </w:r>
      <w:bookmarkStart w:id="33" w:name="_Toc107476044"/>
      <w:r>
        <w:rPr>
          <w:rFonts w:ascii="Times New Roman" w:hAnsi="Times New Roman"/>
          <w:sz w:val="30"/>
        </w:rPr>
        <w:lastRenderedPageBreak/>
        <w:t>二十</w:t>
      </w:r>
      <w:r w:rsidR="00B37E6F">
        <w:rPr>
          <w:rFonts w:ascii="Times New Roman" w:hAnsi="Times New Roman" w:hint="eastAsia"/>
          <w:sz w:val="30"/>
        </w:rPr>
        <w:t>五</w:t>
      </w:r>
      <w:r>
        <w:rPr>
          <w:rFonts w:ascii="Times New Roman" w:hAnsi="Times New Roman"/>
          <w:sz w:val="30"/>
        </w:rPr>
        <w:t>、招募说明书的存放及查阅方式</w:t>
      </w:r>
      <w:bookmarkEnd w:id="33"/>
    </w:p>
    <w:p w14:paraId="75AD152C"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招募说明书存放在基金管理人、基金托管人和基金销售机构的办公场所，投资人可在办公时间查阅；投资人在支付工本费后，可在合理时间内取得上述文件复制件或复印件。对投资人按此种方式所获得的文件及其复印件，基金管理人和基金托管人保证文本的内容与所公告的内容完全一致。</w:t>
      </w:r>
    </w:p>
    <w:p w14:paraId="0C122E67"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投资人还可以直接登录基金管理人的网站（www.fund001.com）查阅和下载招募说明书。</w:t>
      </w:r>
    </w:p>
    <w:p w14:paraId="2E776136" w14:textId="77777777" w:rsidR="00AF2A34" w:rsidRDefault="00AF2A34" w:rsidP="00AF2A34">
      <w:pPr>
        <w:autoSpaceDE w:val="0"/>
        <w:autoSpaceDN w:val="0"/>
        <w:adjustRightInd w:val="0"/>
        <w:spacing w:line="360" w:lineRule="auto"/>
        <w:ind w:firstLineChars="200" w:firstLine="420"/>
        <w:rPr>
          <w:rFonts w:ascii="宋体" w:hAnsi="宋体"/>
          <w:szCs w:val="24"/>
        </w:rPr>
      </w:pPr>
    </w:p>
    <w:p w14:paraId="5793332D" w14:textId="55352181" w:rsidR="00FB4D29" w:rsidRDefault="00CF4592">
      <w:pPr>
        <w:pStyle w:val="1"/>
        <w:snapToGrid w:val="0"/>
        <w:spacing w:beforeLines="0" w:before="240" w:after="240"/>
        <w:rPr>
          <w:rFonts w:ascii="宋体" w:hAnsi="宋体"/>
          <w:szCs w:val="30"/>
        </w:rPr>
      </w:pPr>
      <w:r>
        <w:rPr>
          <w:rFonts w:ascii="宋体" w:hAnsi="宋体"/>
          <w:sz w:val="24"/>
        </w:rPr>
        <w:br w:type="page"/>
      </w:r>
      <w:bookmarkStart w:id="34" w:name="_Toc107476045"/>
      <w:r>
        <w:rPr>
          <w:rFonts w:ascii="Times New Roman" w:hAnsi="Times New Roman"/>
          <w:sz w:val="30"/>
        </w:rPr>
        <w:lastRenderedPageBreak/>
        <w:t>二十</w:t>
      </w:r>
      <w:r w:rsidR="00B37E6F">
        <w:rPr>
          <w:rFonts w:ascii="Times New Roman" w:hAnsi="Times New Roman" w:hint="eastAsia"/>
          <w:sz w:val="30"/>
        </w:rPr>
        <w:t>六</w:t>
      </w:r>
      <w:r>
        <w:rPr>
          <w:rFonts w:ascii="Times New Roman" w:hAnsi="Times New Roman"/>
          <w:sz w:val="30"/>
        </w:rPr>
        <w:t>、备查文件</w:t>
      </w:r>
      <w:bookmarkEnd w:id="34"/>
    </w:p>
    <w:p w14:paraId="451F263B" w14:textId="7777777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以下备查文件存放在基金管理人的办公场所，在办公时间可供免费查阅。</w:t>
      </w:r>
    </w:p>
    <w:p w14:paraId="421F39F3" w14:textId="77777777" w:rsidR="003C161A" w:rsidRDefault="00CF4592">
      <w:pPr>
        <w:autoSpaceDE w:val="0"/>
        <w:autoSpaceDN w:val="0"/>
        <w:adjustRightInd w:val="0"/>
        <w:snapToGrid w:val="0"/>
        <w:spacing w:line="360" w:lineRule="auto"/>
        <w:ind w:firstLineChars="200" w:firstLine="480"/>
        <w:jc w:val="left"/>
        <w:rPr>
          <w:rFonts w:ascii="宋体" w:hAnsi="宋体"/>
          <w:sz w:val="24"/>
        </w:rPr>
      </w:pPr>
      <w:r>
        <w:rPr>
          <w:rFonts w:ascii="宋体" w:hAnsi="宋体"/>
          <w:sz w:val="24"/>
        </w:rPr>
        <w:t>（一）中国证监会准予交银施罗德持续成长主题混合型证券投资基金募集注册的文件</w:t>
      </w:r>
    </w:p>
    <w:p w14:paraId="570A79F4" w14:textId="26FB1B3E" w:rsidR="00FB4D29" w:rsidRDefault="003C161A">
      <w:pPr>
        <w:autoSpaceDE w:val="0"/>
        <w:autoSpaceDN w:val="0"/>
        <w:adjustRightInd w:val="0"/>
        <w:snapToGrid w:val="0"/>
        <w:spacing w:line="360" w:lineRule="auto"/>
        <w:ind w:firstLineChars="200" w:firstLine="480"/>
        <w:jc w:val="left"/>
        <w:rPr>
          <w:rFonts w:ascii="宋体" w:hAnsi="宋体"/>
          <w:szCs w:val="24"/>
        </w:rPr>
      </w:pPr>
      <w:r>
        <w:rPr>
          <w:rFonts w:ascii="宋体" w:hAnsi="宋体" w:hint="eastAsia"/>
          <w:sz w:val="24"/>
        </w:rPr>
        <w:t>（二）</w:t>
      </w:r>
      <w:r w:rsidR="00C05885" w:rsidRPr="00C05885">
        <w:rPr>
          <w:rFonts w:ascii="宋体" w:hAnsi="宋体"/>
          <w:sz w:val="24"/>
        </w:rPr>
        <w:t>中国证监会准予交银施罗德</w:t>
      </w:r>
      <w:r w:rsidR="00C05885">
        <w:rPr>
          <w:rFonts w:ascii="宋体" w:hAnsi="宋体"/>
          <w:sz w:val="24"/>
        </w:rPr>
        <w:t>持续成长主题混合型</w:t>
      </w:r>
      <w:r w:rsidR="00C05885" w:rsidRPr="00C05885">
        <w:rPr>
          <w:rFonts w:ascii="宋体" w:hAnsi="宋体"/>
          <w:sz w:val="24"/>
        </w:rPr>
        <w:t>证券投资基金变更注册</w:t>
      </w:r>
      <w:r w:rsidR="00C05885">
        <w:rPr>
          <w:rFonts w:ascii="宋体" w:hAnsi="宋体" w:hint="eastAsia"/>
          <w:sz w:val="24"/>
        </w:rPr>
        <w:t>的文件</w:t>
      </w:r>
    </w:p>
    <w:p w14:paraId="47F55B49" w14:textId="0A50E8A7"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sidR="003C161A">
        <w:rPr>
          <w:rFonts w:ascii="宋体" w:hAnsi="宋体" w:hint="eastAsia"/>
          <w:sz w:val="24"/>
        </w:rPr>
        <w:t>三</w:t>
      </w:r>
      <w:r>
        <w:rPr>
          <w:rFonts w:ascii="宋体" w:hAnsi="宋体"/>
          <w:sz w:val="24"/>
        </w:rPr>
        <w:t>）《交银施罗德持续成长主题混合型证券投资基金基金合同》</w:t>
      </w:r>
    </w:p>
    <w:p w14:paraId="2ABBCA99" w14:textId="5CF9FAF3"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sidR="003C161A">
        <w:rPr>
          <w:rFonts w:ascii="宋体" w:hAnsi="宋体" w:hint="eastAsia"/>
          <w:sz w:val="24"/>
        </w:rPr>
        <w:t>四</w:t>
      </w:r>
      <w:r>
        <w:rPr>
          <w:rFonts w:ascii="宋体" w:hAnsi="宋体"/>
          <w:sz w:val="24"/>
        </w:rPr>
        <w:t>）《交银施罗德持续成长主题混合型证券投资基金托管协议》</w:t>
      </w:r>
    </w:p>
    <w:p w14:paraId="01582993" w14:textId="7D1D2386"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sidR="003C161A">
        <w:rPr>
          <w:rFonts w:ascii="宋体" w:hAnsi="宋体" w:hint="eastAsia"/>
          <w:sz w:val="24"/>
        </w:rPr>
        <w:t>五</w:t>
      </w:r>
      <w:r>
        <w:rPr>
          <w:rFonts w:ascii="宋体" w:hAnsi="宋体"/>
          <w:sz w:val="24"/>
        </w:rPr>
        <w:t>）基金管理人业务资格批件、营业执照</w:t>
      </w:r>
    </w:p>
    <w:p w14:paraId="2E3FA5A6" w14:textId="61E8D76B"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sidR="003C161A">
        <w:rPr>
          <w:rFonts w:ascii="宋体" w:hAnsi="宋体" w:hint="eastAsia"/>
          <w:sz w:val="24"/>
        </w:rPr>
        <w:t>六</w:t>
      </w:r>
      <w:r>
        <w:rPr>
          <w:rFonts w:ascii="宋体" w:hAnsi="宋体"/>
          <w:sz w:val="24"/>
        </w:rPr>
        <w:t>）基金托管人业务资格批件、营业执照</w:t>
      </w:r>
    </w:p>
    <w:p w14:paraId="5AC2A274" w14:textId="721F0E59" w:rsidR="00FB4D29" w:rsidRDefault="00CF459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sidR="003C161A">
        <w:rPr>
          <w:rFonts w:ascii="宋体" w:hAnsi="宋体" w:hint="eastAsia"/>
          <w:sz w:val="24"/>
        </w:rPr>
        <w:t>七</w:t>
      </w:r>
      <w:r>
        <w:rPr>
          <w:rFonts w:ascii="宋体" w:hAnsi="宋体"/>
          <w:sz w:val="24"/>
        </w:rPr>
        <w:t>）法律意见书</w:t>
      </w:r>
    </w:p>
    <w:sectPr w:rsidR="00FB4D29">
      <w:footerReference w:type="default" r:id="rId16"/>
      <w:pgSz w:w="11920" w:h="16840"/>
      <w:pgMar w:top="1360" w:right="1580" w:bottom="280" w:left="1680" w:header="0" w:footer="1186"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F3F209A" w16cid:durableId="266F1C5D"/>
  <w16cid:commentId w16cid:paraId="77C45F95" w16cid:durableId="266F1C5E"/>
  <w16cid:commentId w16cid:paraId="6DA43F5E" w16cid:durableId="265B6874"/>
  <w16cid:commentId w16cid:paraId="4E518D67" w16cid:durableId="266F1C60"/>
  <w16cid:commentId w16cid:paraId="0FA5AA6B" w16cid:durableId="265C1529"/>
  <w16cid:commentId w16cid:paraId="7046E431" w16cid:durableId="265B5C24"/>
  <w16cid:commentId w16cid:paraId="314CBB81" w16cid:durableId="265B6C4C"/>
  <w16cid:commentId w16cid:paraId="550AE020" w16cid:durableId="266F1C64"/>
  <w16cid:commentId w16cid:paraId="08AE5F76" w16cid:durableId="266F1C65"/>
  <w16cid:commentId w16cid:paraId="7A85863E" w16cid:durableId="266F1C66"/>
  <w16cid:commentId w16cid:paraId="6169C6E8" w16cid:durableId="266F1C67"/>
  <w16cid:commentId w16cid:paraId="3E3C3625" w16cid:durableId="266F1C68"/>
  <w16cid:commentId w16cid:paraId="17A794DA" w16cid:durableId="266F1C69"/>
  <w16cid:commentId w16cid:paraId="3E1F1DC0" w16cid:durableId="266F1FAB"/>
  <w16cid:commentId w16cid:paraId="2FC6700B" w16cid:durableId="266F1C6A"/>
  <w16cid:commentId w16cid:paraId="00C89808" w16cid:durableId="265B7523"/>
  <w16cid:commentId w16cid:paraId="5268262D" w16cid:durableId="266F1C6C"/>
  <w16cid:commentId w16cid:paraId="533E1B0F" w16cid:durableId="266F1C6D"/>
  <w16cid:commentId w16cid:paraId="3BB20A40" w16cid:durableId="266F1C6E"/>
  <w16cid:commentId w16cid:paraId="77C952E1" w16cid:durableId="266F1C6F"/>
  <w16cid:commentId w16cid:paraId="2566A71E" w16cid:durableId="266F1C70"/>
  <w16cid:commentId w16cid:paraId="6B491204" w16cid:durableId="266F1C71"/>
  <w16cid:commentId w16cid:paraId="3A0B8498" w16cid:durableId="266F1C72"/>
  <w16cid:commentId w16cid:paraId="35A432D3" w16cid:durableId="266F1C73"/>
  <w16cid:commentId w16cid:paraId="68A76F6F" w16cid:durableId="265B7D59"/>
  <w16cid:commentId w16cid:paraId="77EE1378" w16cid:durableId="266F1C75"/>
  <w16cid:commentId w16cid:paraId="4788EF78" w16cid:durableId="266F1C76"/>
  <w16cid:commentId w16cid:paraId="06C01FC4" w16cid:durableId="266F1C77"/>
  <w16cid:commentId w16cid:paraId="130DC84D" w16cid:durableId="266F1C78"/>
  <w16cid:commentId w16cid:paraId="1BA0C8C3" w16cid:durableId="266F1C79"/>
  <w16cid:commentId w16cid:paraId="22B4B500" w16cid:durableId="265C1682"/>
  <w16cid:commentId w16cid:paraId="3557F506" w16cid:durableId="266F1C7B"/>
  <w16cid:commentId w16cid:paraId="114198C5" w16cid:durableId="266F1C7C"/>
  <w16cid:commentId w16cid:paraId="13361A25" w16cid:durableId="266F1C7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B5798D" w14:textId="77777777" w:rsidR="008F5ECA" w:rsidRDefault="008F5ECA">
      <w:r>
        <w:separator/>
      </w:r>
    </w:p>
  </w:endnote>
  <w:endnote w:type="continuationSeparator" w:id="0">
    <w:p w14:paraId="57B30B59" w14:textId="77777777" w:rsidR="008F5ECA" w:rsidRDefault="008F5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ˎ̥">
    <w:altName w:val="Times New Roman"/>
    <w:charset w:val="00"/>
    <w:family w:val="roman"/>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250C8B" w14:textId="729ABC5A" w:rsidR="007E4247" w:rsidRDefault="007E4247">
    <w:pPr>
      <w:autoSpaceDE w:val="0"/>
      <w:autoSpaceDN w:val="0"/>
      <w:adjustRightInd w:val="0"/>
      <w:spacing w:line="200" w:lineRule="exact"/>
      <w:jc w:val="left"/>
      <w:rPr>
        <w:rFonts w:ascii="Times New Roman" w:hAnsi="Times New Roman"/>
        <w:kern w:val="0"/>
        <w:sz w:val="20"/>
        <w:szCs w:val="20"/>
      </w:rPr>
    </w:pPr>
    <w:r>
      <w:rPr>
        <w:noProof/>
      </w:rPr>
      <mc:AlternateContent>
        <mc:Choice Requires="wps">
          <w:drawing>
            <wp:anchor distT="0" distB="0" distL="114300" distR="114300" simplePos="0" relativeHeight="251658752" behindDoc="1" locked="0" layoutInCell="0" allowOverlap="1" wp14:anchorId="615FB50C" wp14:editId="7F3A173F">
              <wp:simplePos x="0" y="0"/>
              <wp:positionH relativeFrom="page">
                <wp:posOffset>3726180</wp:posOffset>
              </wp:positionH>
              <wp:positionV relativeFrom="page">
                <wp:posOffset>9939020</wp:posOffset>
              </wp:positionV>
              <wp:extent cx="274320" cy="1397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A1B514" w14:textId="19950660" w:rsidR="007E4247" w:rsidRDefault="007E4247">
                          <w:pPr>
                            <w:autoSpaceDE w:val="0"/>
                            <w:autoSpaceDN w:val="0"/>
                            <w:adjustRightInd w:val="0"/>
                            <w:spacing w:line="204" w:lineRule="exact"/>
                            <w:ind w:left="40"/>
                            <w:jc w:val="left"/>
                            <w:rPr>
                              <w:rFonts w:ascii="Times New Roman" w:hAnsi="Times New Roman"/>
                              <w:kern w:val="0"/>
                              <w:sz w:val="18"/>
                              <w:szCs w:val="18"/>
                            </w:rPr>
                          </w:pPr>
                          <w:r>
                            <w:rPr>
                              <w:rFonts w:ascii="Times New Roman" w:hAnsi="Times New Roman"/>
                              <w:kern w:val="0"/>
                              <w:sz w:val="18"/>
                              <w:szCs w:val="18"/>
                            </w:rPr>
                            <w:fldChar w:fldCharType="begin"/>
                          </w:r>
                          <w:r>
                            <w:rPr>
                              <w:rFonts w:ascii="Times New Roman" w:hAnsi="Times New Roman"/>
                              <w:kern w:val="0"/>
                              <w:sz w:val="18"/>
                              <w:szCs w:val="18"/>
                            </w:rPr>
                            <w:instrText xml:space="preserve"> PAGE </w:instrText>
                          </w:r>
                          <w:r>
                            <w:rPr>
                              <w:rFonts w:ascii="Times New Roman" w:hAnsi="Times New Roman"/>
                              <w:kern w:val="0"/>
                              <w:sz w:val="18"/>
                              <w:szCs w:val="18"/>
                            </w:rPr>
                            <w:fldChar w:fldCharType="separate"/>
                          </w:r>
                          <w:r w:rsidR="002C1FF7">
                            <w:rPr>
                              <w:rFonts w:ascii="Times New Roman" w:hAnsi="Times New Roman"/>
                              <w:noProof/>
                              <w:kern w:val="0"/>
                              <w:sz w:val="18"/>
                              <w:szCs w:val="18"/>
                            </w:rPr>
                            <w:t>4</w:t>
                          </w:r>
                          <w:r>
                            <w:rPr>
                              <w:rFonts w:ascii="Times New Roman" w:hAnsi="Times New Roman"/>
                              <w:kern w:val="0"/>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5FB50C" id="_x0000_t202" coordsize="21600,21600" o:spt="202" path="m,l,21600r21600,l21600,xe">
              <v:stroke joinstyle="miter"/>
              <v:path gradientshapeok="t" o:connecttype="rect"/>
            </v:shapetype>
            <v:shape id="Text Box 1" o:spid="_x0000_s1026" type="#_x0000_t202" style="position:absolute;margin-left:293.4pt;margin-top:782.6pt;width:21.6pt;height:1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" o:allowincell="f" filled="f" stroked="f">
              <v:textbox inset="0,0,0,0">
                <w:txbxContent>
                  <w:p w14:paraId="2AA1B514" w14:textId="19950660" w:rsidR="007E4247" w:rsidRDefault="007E4247">
                    <w:pPr>
                      <w:autoSpaceDE w:val="0"/>
                      <w:autoSpaceDN w:val="0"/>
                      <w:adjustRightInd w:val="0"/>
                      <w:spacing w:line="204" w:lineRule="exact"/>
                      <w:ind w:left="40"/>
                      <w:jc w:val="left"/>
                      <w:rPr>
                        <w:rFonts w:ascii="Times New Roman" w:hAnsi="Times New Roman"/>
                        <w:kern w:val="0"/>
                        <w:sz w:val="18"/>
                        <w:szCs w:val="18"/>
                      </w:rPr>
                    </w:pPr>
                    <w:r>
                      <w:rPr>
                        <w:rFonts w:ascii="Times New Roman" w:hAnsi="Times New Roman"/>
                        <w:kern w:val="0"/>
                        <w:sz w:val="18"/>
                        <w:szCs w:val="18"/>
                      </w:rPr>
                      <w:fldChar w:fldCharType="begin"/>
                    </w:r>
                    <w:r>
                      <w:rPr>
                        <w:rFonts w:ascii="Times New Roman" w:hAnsi="Times New Roman"/>
                        <w:kern w:val="0"/>
                        <w:sz w:val="18"/>
                        <w:szCs w:val="18"/>
                      </w:rPr>
                      <w:instrText xml:space="preserve"> PAGE </w:instrText>
                    </w:r>
                    <w:r>
                      <w:rPr>
                        <w:rFonts w:ascii="Times New Roman" w:hAnsi="Times New Roman"/>
                        <w:kern w:val="0"/>
                        <w:sz w:val="18"/>
                        <w:szCs w:val="18"/>
                      </w:rPr>
                      <w:fldChar w:fldCharType="separate"/>
                    </w:r>
                    <w:r w:rsidR="002C1FF7">
                      <w:rPr>
                        <w:rFonts w:ascii="Times New Roman" w:hAnsi="Times New Roman"/>
                        <w:noProof/>
                        <w:kern w:val="0"/>
                        <w:sz w:val="18"/>
                        <w:szCs w:val="18"/>
                      </w:rPr>
                      <w:t>4</w:t>
                    </w:r>
                    <w:r>
                      <w:rPr>
                        <w:rFonts w:ascii="Times New Roman" w:hAnsi="Times New Roman"/>
                        <w:kern w:val="0"/>
                        <w:sz w:val="18"/>
                        <w:szCs w:val="18"/>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099635" w14:textId="4C16BA0D" w:rsidR="007E4247" w:rsidRDefault="007E4247">
    <w:pPr>
      <w:autoSpaceDE w:val="0"/>
      <w:autoSpaceDN w:val="0"/>
      <w:adjustRightInd w:val="0"/>
      <w:spacing w:line="200" w:lineRule="exact"/>
      <w:jc w:val="left"/>
      <w:rPr>
        <w:rFonts w:ascii="Times New Roman" w:hAnsi="Times New Roman"/>
        <w:kern w:val="0"/>
        <w:sz w:val="20"/>
        <w:szCs w:val="20"/>
      </w:rPr>
    </w:pPr>
    <w:r>
      <w:rPr>
        <w:noProof/>
      </w:rPr>
      <mc:AlternateContent>
        <mc:Choice Requires="wps">
          <w:drawing>
            <wp:anchor distT="0" distB="0" distL="114300" distR="114300" simplePos="0" relativeHeight="251659776" behindDoc="1" locked="0" layoutInCell="0" allowOverlap="1" wp14:anchorId="7FFD11D2" wp14:editId="42AB98EE">
              <wp:simplePos x="0" y="0"/>
              <wp:positionH relativeFrom="page">
                <wp:posOffset>3698875</wp:posOffset>
              </wp:positionH>
              <wp:positionV relativeFrom="page">
                <wp:posOffset>9827895</wp:posOffset>
              </wp:positionV>
              <wp:extent cx="425450" cy="139700"/>
              <wp:effectExtent l="0" t="0" r="0" b="0"/>
              <wp:wrapNone/>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4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286BEF" w14:textId="38AA73B5" w:rsidR="007E4247" w:rsidRDefault="007E4247">
                          <w:pPr>
                            <w:autoSpaceDE w:val="0"/>
                            <w:autoSpaceDN w:val="0"/>
                            <w:adjustRightInd w:val="0"/>
                            <w:spacing w:line="204" w:lineRule="exact"/>
                            <w:ind w:left="40"/>
                            <w:jc w:val="left"/>
                            <w:rPr>
                              <w:rFonts w:ascii="Times New Roman" w:hAnsi="Times New Roman"/>
                              <w:kern w:val="0"/>
                              <w:sz w:val="18"/>
                              <w:szCs w:val="18"/>
                            </w:rPr>
                          </w:pPr>
                          <w:r>
                            <w:rPr>
                              <w:rFonts w:ascii="Times New Roman" w:hAnsi="Times New Roman"/>
                              <w:kern w:val="0"/>
                              <w:sz w:val="18"/>
                              <w:szCs w:val="18"/>
                            </w:rPr>
                            <w:fldChar w:fldCharType="begin"/>
                          </w:r>
                          <w:r>
                            <w:rPr>
                              <w:rFonts w:ascii="Times New Roman" w:hAnsi="Times New Roman"/>
                              <w:kern w:val="0"/>
                              <w:sz w:val="18"/>
                              <w:szCs w:val="18"/>
                            </w:rPr>
                            <w:instrText xml:space="preserve"> PAGE </w:instrText>
                          </w:r>
                          <w:r>
                            <w:rPr>
                              <w:rFonts w:ascii="Times New Roman" w:hAnsi="Times New Roman"/>
                              <w:kern w:val="0"/>
                              <w:sz w:val="18"/>
                              <w:szCs w:val="18"/>
                            </w:rPr>
                            <w:fldChar w:fldCharType="separate"/>
                          </w:r>
                          <w:r w:rsidR="002C1FF7">
                            <w:rPr>
                              <w:rFonts w:ascii="Times New Roman" w:hAnsi="Times New Roman"/>
                              <w:noProof/>
                              <w:kern w:val="0"/>
                              <w:sz w:val="18"/>
                              <w:szCs w:val="18"/>
                            </w:rPr>
                            <w:t>53</w:t>
                          </w:r>
                          <w:r>
                            <w:rPr>
                              <w:rFonts w:ascii="Times New Roman" w:hAnsi="Times New Roman"/>
                              <w:kern w:val="0"/>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FD11D2" id="_x0000_t202" coordsize="21600,21600" o:spt="202" path="m,l,21600r21600,l21600,xe">
              <v:stroke joinstyle="miter"/>
              <v:path gradientshapeok="t" o:connecttype="rect"/>
            </v:shapetype>
            <v:shape id="Text Box 20" o:spid="_x0000_s1027" type="#_x0000_t202" style="position:absolute;margin-left:291.25pt;margin-top:773.85pt;width:33.5pt;height:11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" o:allowincell="f" filled="f" stroked="f">
              <v:textbox inset="0,0,0,0">
                <w:txbxContent>
                  <w:p w14:paraId="2E286BEF" w14:textId="38AA73B5" w:rsidR="007E4247" w:rsidRDefault="007E4247">
                    <w:pPr>
                      <w:autoSpaceDE w:val="0"/>
                      <w:autoSpaceDN w:val="0"/>
                      <w:adjustRightInd w:val="0"/>
                      <w:spacing w:line="204" w:lineRule="exact"/>
                      <w:ind w:left="40"/>
                      <w:jc w:val="left"/>
                      <w:rPr>
                        <w:rFonts w:ascii="Times New Roman" w:hAnsi="Times New Roman"/>
                        <w:kern w:val="0"/>
                        <w:sz w:val="18"/>
                        <w:szCs w:val="18"/>
                      </w:rPr>
                    </w:pPr>
                    <w:r>
                      <w:rPr>
                        <w:rFonts w:ascii="Times New Roman" w:hAnsi="Times New Roman"/>
                        <w:kern w:val="0"/>
                        <w:sz w:val="18"/>
                        <w:szCs w:val="18"/>
                      </w:rPr>
                      <w:fldChar w:fldCharType="begin"/>
                    </w:r>
                    <w:r>
                      <w:rPr>
                        <w:rFonts w:ascii="Times New Roman" w:hAnsi="Times New Roman"/>
                        <w:kern w:val="0"/>
                        <w:sz w:val="18"/>
                        <w:szCs w:val="18"/>
                      </w:rPr>
                      <w:instrText xml:space="preserve"> PAGE </w:instrText>
                    </w:r>
                    <w:r>
                      <w:rPr>
                        <w:rFonts w:ascii="Times New Roman" w:hAnsi="Times New Roman"/>
                        <w:kern w:val="0"/>
                        <w:sz w:val="18"/>
                        <w:szCs w:val="18"/>
                      </w:rPr>
                      <w:fldChar w:fldCharType="separate"/>
                    </w:r>
                    <w:r w:rsidR="002C1FF7">
                      <w:rPr>
                        <w:rFonts w:ascii="Times New Roman" w:hAnsi="Times New Roman"/>
                        <w:noProof/>
                        <w:kern w:val="0"/>
                        <w:sz w:val="18"/>
                        <w:szCs w:val="18"/>
                      </w:rPr>
                      <w:t>53</w:t>
                    </w:r>
                    <w:r>
                      <w:rPr>
                        <w:rFonts w:ascii="Times New Roman" w:hAnsi="Times New Roman"/>
                        <w:kern w:val="0"/>
                        <w:sz w:val="18"/>
                        <w:szCs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FF63CD" w14:textId="77777777" w:rsidR="008F5ECA" w:rsidRDefault="008F5ECA">
      <w:r>
        <w:separator/>
      </w:r>
    </w:p>
  </w:footnote>
  <w:footnote w:type="continuationSeparator" w:id="0">
    <w:p w14:paraId="652BF41F" w14:textId="77777777" w:rsidR="008F5ECA" w:rsidRDefault="008F5E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EA625B" w14:textId="59380F84" w:rsidR="007E4247" w:rsidRDefault="007E4247">
    <w:pPr>
      <w:pStyle w:val="a3"/>
      <w:jc w:val="right"/>
    </w:pPr>
    <w:r>
      <w:rPr>
        <w:noProof/>
      </w:rPr>
      <w:drawing>
        <wp:anchor distT="0" distB="0" distL="114300" distR="114300" simplePos="0" relativeHeight="251655680" behindDoc="0" locked="0" layoutInCell="1" allowOverlap="1" wp14:anchorId="784F26B9" wp14:editId="30D43D15">
          <wp:simplePos x="0" y="0"/>
          <wp:positionH relativeFrom="column">
            <wp:posOffset>19050</wp:posOffset>
          </wp:positionH>
          <wp:positionV relativeFrom="paragraph">
            <wp:posOffset>-152400</wp:posOffset>
          </wp:positionV>
          <wp:extent cx="1714500" cy="238125"/>
          <wp:effectExtent l="0" t="0" r="0" b="9525"/>
          <wp:wrapNone/>
          <wp:docPr id="23" name="图片 3"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238125"/>
                  </a:xfrm>
                  <a:prstGeom prst="rect">
                    <a:avLst/>
                  </a:prstGeom>
                  <a:noFill/>
                </pic:spPr>
              </pic:pic>
            </a:graphicData>
          </a:graphic>
          <wp14:sizeRelH relativeFrom="page">
            <wp14:pctWidth>0</wp14:pctWidth>
          </wp14:sizeRelH>
          <wp14:sizeRelV relativeFrom="page">
            <wp14:pctHeight>0</wp14:pctHeight>
          </wp14:sizeRelV>
        </wp:anchor>
      </w:drawing>
    </w:r>
  </w:p>
  <w:p w14:paraId="6DCC1313" w14:textId="77777777" w:rsidR="007E4247" w:rsidRDefault="007E4247">
    <w:pPr>
      <w:pStyle w:val="a3"/>
      <w:jc w:val="right"/>
      <w:rPr>
        <w:rFonts w:ascii="宋体" w:hAnsi="宋体"/>
      </w:rPr>
    </w:pPr>
    <w:r>
      <w:rPr>
        <w:rFonts w:ascii="宋体" w:hAnsi="宋体" w:hint="eastAsia"/>
      </w:rPr>
      <w:t>交银施罗德持续成长主题混合型证券投资基金(更新)招募说明书(2022年第1号)</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5B9411" w14:textId="77777777" w:rsidR="007E4247" w:rsidRDefault="007E4247">
    <w:pPr>
      <w:pStyle w:val="11"/>
      <w:jc w:val="right"/>
    </w:pPr>
  </w:p>
  <w:p w14:paraId="624C41FD" w14:textId="77777777" w:rsidR="007E4247" w:rsidRDefault="007E4247">
    <w:pPr>
      <w:pStyle w:val="11"/>
      <w:jc w:val="right"/>
    </w:pPr>
  </w:p>
  <w:p w14:paraId="228C83BE" w14:textId="77777777" w:rsidR="007E4247" w:rsidRDefault="007E4247">
    <w:pPr>
      <w:pStyle w:val="a3"/>
      <w:jc w:val="right"/>
    </w:pPr>
  </w:p>
  <w:p w14:paraId="03A6DB08" w14:textId="4009D4DD" w:rsidR="007E4247" w:rsidRDefault="007E4247">
    <w:pPr>
      <w:pStyle w:val="a3"/>
      <w:jc w:val="right"/>
    </w:pPr>
    <w:r>
      <w:rPr>
        <w:noProof/>
      </w:rPr>
      <w:drawing>
        <wp:anchor distT="0" distB="0" distL="114300" distR="114300" simplePos="0" relativeHeight="251656704" behindDoc="0" locked="0" layoutInCell="1" allowOverlap="1" wp14:anchorId="4B0DE51E" wp14:editId="5A02FF52">
          <wp:simplePos x="0" y="0"/>
          <wp:positionH relativeFrom="column">
            <wp:posOffset>19050</wp:posOffset>
          </wp:positionH>
          <wp:positionV relativeFrom="paragraph">
            <wp:posOffset>-152400</wp:posOffset>
          </wp:positionV>
          <wp:extent cx="1714500" cy="238125"/>
          <wp:effectExtent l="0" t="0" r="0" b="9525"/>
          <wp:wrapNone/>
          <wp:docPr id="22"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238125"/>
                  </a:xfrm>
                  <a:prstGeom prst="rect">
                    <a:avLst/>
                  </a:prstGeom>
                  <a:noFill/>
                </pic:spPr>
              </pic:pic>
            </a:graphicData>
          </a:graphic>
          <wp14:sizeRelH relativeFrom="page">
            <wp14:pctWidth>0</wp14:pctWidth>
          </wp14:sizeRelH>
          <wp14:sizeRelV relativeFrom="page">
            <wp14:pctHeight>0</wp14:pctHeight>
          </wp14:sizeRelV>
        </wp:anchor>
      </w:drawing>
    </w:r>
  </w:p>
  <w:p w14:paraId="332D6E91" w14:textId="1A6623D7" w:rsidR="007E4247" w:rsidRDefault="007E4247">
    <w:pPr>
      <w:pStyle w:val="a3"/>
      <w:jc w:val="right"/>
      <w:rPr>
        <w:rFonts w:ascii="宋体" w:hAnsi="宋体"/>
      </w:rPr>
    </w:pPr>
    <w:r>
      <w:rPr>
        <w:rFonts w:ascii="宋体" w:hAnsi="宋体" w:hint="eastAsia"/>
      </w:rPr>
      <w:t>交银施罗德持续成长主题混合型证券投资基金(更新)招募说明书(</w:t>
    </w:r>
    <w:r w:rsidR="00F71F93">
      <w:rPr>
        <w:rFonts w:ascii="宋体" w:hAnsi="宋体" w:hint="eastAsia"/>
      </w:rPr>
      <w:t>202</w:t>
    </w:r>
    <w:r w:rsidR="00F71F93">
      <w:rPr>
        <w:rFonts w:ascii="宋体" w:hAnsi="宋体"/>
      </w:rPr>
      <w:t>3</w:t>
    </w:r>
    <w:r>
      <w:rPr>
        <w:rFonts w:ascii="宋体" w:hAnsi="宋体" w:hint="eastAsia"/>
      </w:rPr>
      <w:t>年第</w:t>
    </w:r>
    <w:r w:rsidR="00F71F93">
      <w:rPr>
        <w:rFonts w:ascii="宋体" w:hAnsi="宋体"/>
      </w:rPr>
      <w:t>1</w:t>
    </w:r>
    <w:r>
      <w:rPr>
        <w:rFonts w:ascii="宋体" w:hAnsi="宋体" w:hint="eastAsia"/>
      </w:rPr>
      <w:t>号)</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C4C2DE" w14:textId="77777777" w:rsidR="007E4247" w:rsidRDefault="007E4247">
    <w:pPr>
      <w:pStyle w:val="a3"/>
      <w:jc w:val="right"/>
    </w:pPr>
  </w:p>
  <w:p w14:paraId="6B74A406" w14:textId="77777777" w:rsidR="007E4247" w:rsidRDefault="007E4247">
    <w:pPr>
      <w:pStyle w:val="a3"/>
      <w:jc w:val="right"/>
    </w:pPr>
  </w:p>
  <w:p w14:paraId="74C5712A" w14:textId="77777777" w:rsidR="007E4247" w:rsidRDefault="007E4247">
    <w:pPr>
      <w:pStyle w:val="a3"/>
      <w:jc w:val="right"/>
    </w:pPr>
  </w:p>
  <w:p w14:paraId="5593432E" w14:textId="0E10BCD8" w:rsidR="007E4247" w:rsidRDefault="007E4247">
    <w:pPr>
      <w:pStyle w:val="a3"/>
      <w:jc w:val="right"/>
    </w:pPr>
    <w:r>
      <w:rPr>
        <w:noProof/>
      </w:rPr>
      <w:drawing>
        <wp:anchor distT="0" distB="0" distL="114300" distR="114300" simplePos="0" relativeHeight="251657728" behindDoc="0" locked="0" layoutInCell="1" allowOverlap="1" wp14:anchorId="2EB94592" wp14:editId="05EDC7A5">
          <wp:simplePos x="0" y="0"/>
          <wp:positionH relativeFrom="column">
            <wp:posOffset>19050</wp:posOffset>
          </wp:positionH>
          <wp:positionV relativeFrom="paragraph">
            <wp:posOffset>-152400</wp:posOffset>
          </wp:positionV>
          <wp:extent cx="1714500" cy="238125"/>
          <wp:effectExtent l="0" t="0" r="0" b="9525"/>
          <wp:wrapNone/>
          <wp:docPr id="21" name="图片 4"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238125"/>
                  </a:xfrm>
                  <a:prstGeom prst="rect">
                    <a:avLst/>
                  </a:prstGeom>
                  <a:noFill/>
                </pic:spPr>
              </pic:pic>
            </a:graphicData>
          </a:graphic>
          <wp14:sizeRelH relativeFrom="page">
            <wp14:pctWidth>0</wp14:pctWidth>
          </wp14:sizeRelH>
          <wp14:sizeRelV relativeFrom="page">
            <wp14:pctHeight>0</wp14:pctHeight>
          </wp14:sizeRelV>
        </wp:anchor>
      </w:drawing>
    </w:r>
  </w:p>
  <w:p w14:paraId="0D851D59" w14:textId="64DD7A1C" w:rsidR="007E4247" w:rsidRDefault="007E4247">
    <w:pPr>
      <w:pStyle w:val="a3"/>
      <w:jc w:val="right"/>
      <w:rPr>
        <w:rFonts w:ascii="宋体" w:hAnsi="宋体"/>
      </w:rPr>
    </w:pPr>
    <w:r>
      <w:rPr>
        <w:rFonts w:ascii="宋体" w:hAnsi="宋体" w:hint="eastAsia"/>
      </w:rPr>
      <w:t>交银施罗德持续成长主题混合型证券投资基金(更新)招募说明书(202</w:t>
    </w:r>
    <w:r w:rsidR="008A7725">
      <w:rPr>
        <w:rFonts w:ascii="宋体" w:hAnsi="宋体"/>
      </w:rPr>
      <w:t>3</w:t>
    </w:r>
    <w:r>
      <w:rPr>
        <w:rFonts w:ascii="宋体" w:hAnsi="宋体" w:hint="eastAsia"/>
      </w:rPr>
      <w:t>年第</w:t>
    </w:r>
    <w:r w:rsidR="008A7725">
      <w:rPr>
        <w:rFonts w:ascii="宋体" w:hAnsi="宋体"/>
      </w:rPr>
      <w:t>1</w:t>
    </w:r>
    <w:r>
      <w:rPr>
        <w:rFonts w:ascii="宋体" w:hAnsi="宋体" w:hint="eastAsia"/>
      </w:rPr>
      <w:t>号)</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7D73EE"/>
    <w:multiLevelType w:val="multilevel"/>
    <w:tmpl w:val="547D73EE"/>
    <w:lvl w:ilvl="0">
      <w:start w:val="1"/>
      <w:numFmt w:val="decimal"/>
      <w:pStyle w:val="XBRLTitle1"/>
      <w:suff w:val="space"/>
      <w:lvlText w:val="§%1"/>
      <w:lvlJc w:val="left"/>
      <w:pPr>
        <w:ind w:left="425" w:hanging="425"/>
      </w:pPr>
      <w:rPr>
        <w:rFonts w:hint="eastAsia"/>
      </w:rPr>
    </w:lvl>
    <w:lvl w:ilvl="1">
      <w:start w:val="1"/>
      <w:numFmt w:val="decimal"/>
      <w:pStyle w:val="XBRLTitle2"/>
      <w:suff w:val="space"/>
      <w:lvlText w:val="%1.%2"/>
      <w:lvlJc w:val="left"/>
      <w:pPr>
        <w:ind w:left="738" w:hanging="454"/>
      </w:pPr>
      <w:rPr>
        <w:rFonts w:hint="eastAsia"/>
      </w:rPr>
    </w:lvl>
    <w:lvl w:ilvl="2">
      <w:start w:val="1"/>
      <w:numFmt w:val="decimal"/>
      <w:pStyle w:val="XBRLTitle3"/>
      <w:suff w:val="space"/>
      <w:lvlText w:val="%1.%2.%3"/>
      <w:lvlJc w:val="left"/>
      <w:pPr>
        <w:ind w:left="624" w:hanging="624"/>
      </w:pPr>
    </w:lvl>
    <w:lvl w:ilvl="3">
      <w:start w:val="1"/>
      <w:numFmt w:val="decimal"/>
      <w:pStyle w:val="XBRLTitle4"/>
      <w:suff w:val="space"/>
      <w:lvlText w:val="%1.%2.%3.%4"/>
      <w:lvlJc w:val="left"/>
      <w:pPr>
        <w:ind w:left="794" w:hanging="794"/>
      </w:pPr>
      <w:rPr>
        <w:rFonts w:hint="eastAsia"/>
      </w:rPr>
    </w:lvl>
    <w:lvl w:ilvl="4">
      <w:start w:val="1"/>
      <w:numFmt w:val="decimal"/>
      <w:pStyle w:val="XBRLTitle5"/>
      <w:suff w:val="space"/>
      <w:lvlText w:val="%1.%2.%3.%4.%5"/>
      <w:lvlJc w:val="left"/>
      <w:pPr>
        <w:ind w:left="1021" w:hanging="1021"/>
      </w:pPr>
      <w:rPr>
        <w:rFonts w:hint="eastAsia"/>
      </w:rPr>
    </w:lvl>
    <w:lvl w:ilvl="5">
      <w:start w:val="1"/>
      <w:numFmt w:val="decimal"/>
      <w:pStyle w:val="XBRLTitle6"/>
      <w:suff w:val="space"/>
      <w:lvlText w:val="%1.%2.%3.%4.%5.%6"/>
      <w:lvlJc w:val="left"/>
      <w:pPr>
        <w:ind w:left="1021" w:hanging="1021"/>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hideSpellingErrors/>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zh-CN" w:vendorID="64" w:dllVersion="131077" w:nlCheck="1" w:checkStyle="1"/>
  <w:activeWritingStyle w:appName="MSWord" w:lang="en-US" w:vendorID="64" w:dllVersion="131078" w:nlCheck="1" w:checkStyle="1"/>
  <w:trackRevisions/>
  <w:defaultTabStop w:val="720"/>
  <w:drawingGridHorizontalSpacing w:val="105"/>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0C9"/>
    <w:rsid w:val="000002A2"/>
    <w:rsid w:val="00001AEE"/>
    <w:rsid w:val="00001EEA"/>
    <w:rsid w:val="00003BB0"/>
    <w:rsid w:val="00003EC9"/>
    <w:rsid w:val="000040E5"/>
    <w:rsid w:val="0000560A"/>
    <w:rsid w:val="00010869"/>
    <w:rsid w:val="0001266E"/>
    <w:rsid w:val="000138C9"/>
    <w:rsid w:val="0001482D"/>
    <w:rsid w:val="00021E9F"/>
    <w:rsid w:val="00022220"/>
    <w:rsid w:val="000259C5"/>
    <w:rsid w:val="00026A29"/>
    <w:rsid w:val="00026D00"/>
    <w:rsid w:val="00026E5B"/>
    <w:rsid w:val="00026FB4"/>
    <w:rsid w:val="00027C73"/>
    <w:rsid w:val="000301A0"/>
    <w:rsid w:val="00030964"/>
    <w:rsid w:val="00030F3E"/>
    <w:rsid w:val="00030F4C"/>
    <w:rsid w:val="00034C25"/>
    <w:rsid w:val="00036509"/>
    <w:rsid w:val="000368A2"/>
    <w:rsid w:val="00043E0C"/>
    <w:rsid w:val="00044AFD"/>
    <w:rsid w:val="00044E2C"/>
    <w:rsid w:val="000457B7"/>
    <w:rsid w:val="0004614E"/>
    <w:rsid w:val="00046212"/>
    <w:rsid w:val="000500B8"/>
    <w:rsid w:val="000506ED"/>
    <w:rsid w:val="000514E0"/>
    <w:rsid w:val="00053F81"/>
    <w:rsid w:val="000543D5"/>
    <w:rsid w:val="00054CE0"/>
    <w:rsid w:val="00055792"/>
    <w:rsid w:val="00055958"/>
    <w:rsid w:val="00055F52"/>
    <w:rsid w:val="00057C09"/>
    <w:rsid w:val="00061C0D"/>
    <w:rsid w:val="0006212F"/>
    <w:rsid w:val="0006220F"/>
    <w:rsid w:val="000647B8"/>
    <w:rsid w:val="0006506B"/>
    <w:rsid w:val="0006551A"/>
    <w:rsid w:val="000700AC"/>
    <w:rsid w:val="000705A6"/>
    <w:rsid w:val="00071AA4"/>
    <w:rsid w:val="0007638A"/>
    <w:rsid w:val="00076B6E"/>
    <w:rsid w:val="0007750B"/>
    <w:rsid w:val="000816EA"/>
    <w:rsid w:val="00081744"/>
    <w:rsid w:val="000827F7"/>
    <w:rsid w:val="000828CE"/>
    <w:rsid w:val="000833CB"/>
    <w:rsid w:val="00083491"/>
    <w:rsid w:val="00084078"/>
    <w:rsid w:val="000843B3"/>
    <w:rsid w:val="000855C1"/>
    <w:rsid w:val="000869C2"/>
    <w:rsid w:val="00087F4C"/>
    <w:rsid w:val="00090648"/>
    <w:rsid w:val="00094253"/>
    <w:rsid w:val="00095030"/>
    <w:rsid w:val="000975FA"/>
    <w:rsid w:val="000A01A0"/>
    <w:rsid w:val="000A352B"/>
    <w:rsid w:val="000B0F8B"/>
    <w:rsid w:val="000B359E"/>
    <w:rsid w:val="000B3894"/>
    <w:rsid w:val="000B3A9F"/>
    <w:rsid w:val="000B4E04"/>
    <w:rsid w:val="000C1E1E"/>
    <w:rsid w:val="000C38F1"/>
    <w:rsid w:val="000C5E77"/>
    <w:rsid w:val="000C68E9"/>
    <w:rsid w:val="000D0ADE"/>
    <w:rsid w:val="000D179E"/>
    <w:rsid w:val="000D66DC"/>
    <w:rsid w:val="000D770A"/>
    <w:rsid w:val="000E1F3B"/>
    <w:rsid w:val="000E2B98"/>
    <w:rsid w:val="000E3AB4"/>
    <w:rsid w:val="000E4EEC"/>
    <w:rsid w:val="000E7544"/>
    <w:rsid w:val="000F0C17"/>
    <w:rsid w:val="000F2904"/>
    <w:rsid w:val="000F34A1"/>
    <w:rsid w:val="000F5226"/>
    <w:rsid w:val="000F5583"/>
    <w:rsid w:val="000F6050"/>
    <w:rsid w:val="000F66FF"/>
    <w:rsid w:val="000F698D"/>
    <w:rsid w:val="000F7D42"/>
    <w:rsid w:val="001008A5"/>
    <w:rsid w:val="00100C86"/>
    <w:rsid w:val="0010577A"/>
    <w:rsid w:val="00105925"/>
    <w:rsid w:val="001110CB"/>
    <w:rsid w:val="00111A09"/>
    <w:rsid w:val="0011339C"/>
    <w:rsid w:val="001134DC"/>
    <w:rsid w:val="001135B0"/>
    <w:rsid w:val="001135C6"/>
    <w:rsid w:val="00113FAA"/>
    <w:rsid w:val="00114F56"/>
    <w:rsid w:val="00115AE5"/>
    <w:rsid w:val="00116489"/>
    <w:rsid w:val="0011648B"/>
    <w:rsid w:val="001166C1"/>
    <w:rsid w:val="00116874"/>
    <w:rsid w:val="001177A3"/>
    <w:rsid w:val="00123221"/>
    <w:rsid w:val="001240EB"/>
    <w:rsid w:val="0012443D"/>
    <w:rsid w:val="00125E1E"/>
    <w:rsid w:val="00127053"/>
    <w:rsid w:val="0013182D"/>
    <w:rsid w:val="00131CEE"/>
    <w:rsid w:val="0013315B"/>
    <w:rsid w:val="00134FCF"/>
    <w:rsid w:val="00135AD8"/>
    <w:rsid w:val="0013630D"/>
    <w:rsid w:val="001367F2"/>
    <w:rsid w:val="001401E3"/>
    <w:rsid w:val="001412E8"/>
    <w:rsid w:val="0014250F"/>
    <w:rsid w:val="00144B52"/>
    <w:rsid w:val="00153D66"/>
    <w:rsid w:val="0015725E"/>
    <w:rsid w:val="00162F69"/>
    <w:rsid w:val="00164946"/>
    <w:rsid w:val="00164D3F"/>
    <w:rsid w:val="00165756"/>
    <w:rsid w:val="00167A59"/>
    <w:rsid w:val="0017051B"/>
    <w:rsid w:val="00170932"/>
    <w:rsid w:val="0017362C"/>
    <w:rsid w:val="0017392F"/>
    <w:rsid w:val="00173F7A"/>
    <w:rsid w:val="0018184C"/>
    <w:rsid w:val="0018198F"/>
    <w:rsid w:val="00181C62"/>
    <w:rsid w:val="00182ADA"/>
    <w:rsid w:val="00183642"/>
    <w:rsid w:val="001860C4"/>
    <w:rsid w:val="00186FAE"/>
    <w:rsid w:val="001907A7"/>
    <w:rsid w:val="001917D4"/>
    <w:rsid w:val="001917FC"/>
    <w:rsid w:val="00191D7F"/>
    <w:rsid w:val="001925A2"/>
    <w:rsid w:val="00192A5C"/>
    <w:rsid w:val="00195218"/>
    <w:rsid w:val="001971C7"/>
    <w:rsid w:val="0019797F"/>
    <w:rsid w:val="00197A55"/>
    <w:rsid w:val="00197F7E"/>
    <w:rsid w:val="001A1623"/>
    <w:rsid w:val="001A2263"/>
    <w:rsid w:val="001A33D5"/>
    <w:rsid w:val="001A4EE9"/>
    <w:rsid w:val="001A6B51"/>
    <w:rsid w:val="001A71B0"/>
    <w:rsid w:val="001A7545"/>
    <w:rsid w:val="001B4531"/>
    <w:rsid w:val="001B460E"/>
    <w:rsid w:val="001B5BDB"/>
    <w:rsid w:val="001B626D"/>
    <w:rsid w:val="001B75F9"/>
    <w:rsid w:val="001B7DAD"/>
    <w:rsid w:val="001C019A"/>
    <w:rsid w:val="001C2B9E"/>
    <w:rsid w:val="001C38DA"/>
    <w:rsid w:val="001C7A48"/>
    <w:rsid w:val="001C7C12"/>
    <w:rsid w:val="001D072A"/>
    <w:rsid w:val="001D080E"/>
    <w:rsid w:val="001D0AE1"/>
    <w:rsid w:val="001D2797"/>
    <w:rsid w:val="001D2B67"/>
    <w:rsid w:val="001D3730"/>
    <w:rsid w:val="001D4727"/>
    <w:rsid w:val="001D5461"/>
    <w:rsid w:val="001D5665"/>
    <w:rsid w:val="001D61DC"/>
    <w:rsid w:val="001D6377"/>
    <w:rsid w:val="001D68A8"/>
    <w:rsid w:val="001D6B88"/>
    <w:rsid w:val="001D6C5F"/>
    <w:rsid w:val="001D7ECC"/>
    <w:rsid w:val="001E144C"/>
    <w:rsid w:val="001E25FD"/>
    <w:rsid w:val="001E2A4F"/>
    <w:rsid w:val="001E3F8F"/>
    <w:rsid w:val="001E5250"/>
    <w:rsid w:val="001E556E"/>
    <w:rsid w:val="001E631D"/>
    <w:rsid w:val="001E6A50"/>
    <w:rsid w:val="001F1B38"/>
    <w:rsid w:val="001F33EB"/>
    <w:rsid w:val="001F3E2C"/>
    <w:rsid w:val="001F4DEA"/>
    <w:rsid w:val="001F4ECB"/>
    <w:rsid w:val="001F6BA1"/>
    <w:rsid w:val="001F7353"/>
    <w:rsid w:val="00201F27"/>
    <w:rsid w:val="00201F9B"/>
    <w:rsid w:val="00203597"/>
    <w:rsid w:val="002076AC"/>
    <w:rsid w:val="0021033E"/>
    <w:rsid w:val="00212B27"/>
    <w:rsid w:val="00212BBA"/>
    <w:rsid w:val="0021469C"/>
    <w:rsid w:val="00214896"/>
    <w:rsid w:val="00215523"/>
    <w:rsid w:val="00216962"/>
    <w:rsid w:val="0021799E"/>
    <w:rsid w:val="00217CA4"/>
    <w:rsid w:val="00221112"/>
    <w:rsid w:val="00221A1B"/>
    <w:rsid w:val="002220A4"/>
    <w:rsid w:val="002239F0"/>
    <w:rsid w:val="00223C19"/>
    <w:rsid w:val="00224421"/>
    <w:rsid w:val="00226503"/>
    <w:rsid w:val="00226A60"/>
    <w:rsid w:val="0023578C"/>
    <w:rsid w:val="00235AC5"/>
    <w:rsid w:val="002361EE"/>
    <w:rsid w:val="002377E0"/>
    <w:rsid w:val="00240BB6"/>
    <w:rsid w:val="0024328E"/>
    <w:rsid w:val="002432CA"/>
    <w:rsid w:val="00243D40"/>
    <w:rsid w:val="00244C56"/>
    <w:rsid w:val="00245250"/>
    <w:rsid w:val="002477CB"/>
    <w:rsid w:val="00247BF6"/>
    <w:rsid w:val="0025039B"/>
    <w:rsid w:val="002506D7"/>
    <w:rsid w:val="00250A33"/>
    <w:rsid w:val="00251126"/>
    <w:rsid w:val="002524D2"/>
    <w:rsid w:val="00252802"/>
    <w:rsid w:val="00261A50"/>
    <w:rsid w:val="00261B9D"/>
    <w:rsid w:val="00262A43"/>
    <w:rsid w:val="002634C3"/>
    <w:rsid w:val="00265B3A"/>
    <w:rsid w:val="0027052E"/>
    <w:rsid w:val="00271E9D"/>
    <w:rsid w:val="00271F7D"/>
    <w:rsid w:val="00274E85"/>
    <w:rsid w:val="00276A31"/>
    <w:rsid w:val="002777F6"/>
    <w:rsid w:val="00277907"/>
    <w:rsid w:val="00280C42"/>
    <w:rsid w:val="00281B73"/>
    <w:rsid w:val="002833C9"/>
    <w:rsid w:val="00285E5C"/>
    <w:rsid w:val="002861D7"/>
    <w:rsid w:val="00290B63"/>
    <w:rsid w:val="00290E73"/>
    <w:rsid w:val="00293415"/>
    <w:rsid w:val="00294689"/>
    <w:rsid w:val="0029539A"/>
    <w:rsid w:val="00296AB6"/>
    <w:rsid w:val="00296C6C"/>
    <w:rsid w:val="002A0D02"/>
    <w:rsid w:val="002A1150"/>
    <w:rsid w:val="002A1A82"/>
    <w:rsid w:val="002A2FB0"/>
    <w:rsid w:val="002A3FA9"/>
    <w:rsid w:val="002A4D32"/>
    <w:rsid w:val="002A5F87"/>
    <w:rsid w:val="002B017B"/>
    <w:rsid w:val="002B0DC0"/>
    <w:rsid w:val="002B2664"/>
    <w:rsid w:val="002B2729"/>
    <w:rsid w:val="002B4E21"/>
    <w:rsid w:val="002B5000"/>
    <w:rsid w:val="002B78AA"/>
    <w:rsid w:val="002B7FB0"/>
    <w:rsid w:val="002C1FF7"/>
    <w:rsid w:val="002C383C"/>
    <w:rsid w:val="002D15BB"/>
    <w:rsid w:val="002D1C13"/>
    <w:rsid w:val="002D3109"/>
    <w:rsid w:val="002D330D"/>
    <w:rsid w:val="002D378C"/>
    <w:rsid w:val="002D6413"/>
    <w:rsid w:val="002D6F14"/>
    <w:rsid w:val="002D74D5"/>
    <w:rsid w:val="002E051E"/>
    <w:rsid w:val="002E074F"/>
    <w:rsid w:val="002E4379"/>
    <w:rsid w:val="002E4922"/>
    <w:rsid w:val="002E4B2C"/>
    <w:rsid w:val="002E5261"/>
    <w:rsid w:val="002F00BB"/>
    <w:rsid w:val="002F1DE7"/>
    <w:rsid w:val="002F2627"/>
    <w:rsid w:val="002F2748"/>
    <w:rsid w:val="002F6445"/>
    <w:rsid w:val="002F6580"/>
    <w:rsid w:val="002F6DE8"/>
    <w:rsid w:val="002F74D8"/>
    <w:rsid w:val="002F7C72"/>
    <w:rsid w:val="002F7EDC"/>
    <w:rsid w:val="002F7FD2"/>
    <w:rsid w:val="00300148"/>
    <w:rsid w:val="003003A8"/>
    <w:rsid w:val="0030091B"/>
    <w:rsid w:val="00301B0D"/>
    <w:rsid w:val="00301E62"/>
    <w:rsid w:val="00302A4E"/>
    <w:rsid w:val="00304063"/>
    <w:rsid w:val="0030555F"/>
    <w:rsid w:val="00305A3B"/>
    <w:rsid w:val="00305BB4"/>
    <w:rsid w:val="00305CD4"/>
    <w:rsid w:val="0030645F"/>
    <w:rsid w:val="003065AF"/>
    <w:rsid w:val="003117B9"/>
    <w:rsid w:val="00311C71"/>
    <w:rsid w:val="00311C95"/>
    <w:rsid w:val="00313073"/>
    <w:rsid w:val="0031336C"/>
    <w:rsid w:val="0031339F"/>
    <w:rsid w:val="00313F3E"/>
    <w:rsid w:val="00315DA0"/>
    <w:rsid w:val="00323F65"/>
    <w:rsid w:val="003246BF"/>
    <w:rsid w:val="00326147"/>
    <w:rsid w:val="0033051E"/>
    <w:rsid w:val="0033345F"/>
    <w:rsid w:val="0033401D"/>
    <w:rsid w:val="00334456"/>
    <w:rsid w:val="00335388"/>
    <w:rsid w:val="00336150"/>
    <w:rsid w:val="00336E99"/>
    <w:rsid w:val="003403EF"/>
    <w:rsid w:val="00342417"/>
    <w:rsid w:val="00342FCF"/>
    <w:rsid w:val="003454EC"/>
    <w:rsid w:val="00346537"/>
    <w:rsid w:val="00347B94"/>
    <w:rsid w:val="00347D15"/>
    <w:rsid w:val="003504C3"/>
    <w:rsid w:val="003527DD"/>
    <w:rsid w:val="003547A2"/>
    <w:rsid w:val="00355171"/>
    <w:rsid w:val="00361F99"/>
    <w:rsid w:val="00362702"/>
    <w:rsid w:val="00362A37"/>
    <w:rsid w:val="00362CF0"/>
    <w:rsid w:val="00362D5D"/>
    <w:rsid w:val="00362E38"/>
    <w:rsid w:val="00364AC5"/>
    <w:rsid w:val="00364B66"/>
    <w:rsid w:val="00365D15"/>
    <w:rsid w:val="0036702F"/>
    <w:rsid w:val="00367F3A"/>
    <w:rsid w:val="00370BDF"/>
    <w:rsid w:val="00372FA2"/>
    <w:rsid w:val="003735E9"/>
    <w:rsid w:val="003739FE"/>
    <w:rsid w:val="0037412B"/>
    <w:rsid w:val="003749D5"/>
    <w:rsid w:val="0038254F"/>
    <w:rsid w:val="003828EC"/>
    <w:rsid w:val="00383488"/>
    <w:rsid w:val="003843BB"/>
    <w:rsid w:val="003859DA"/>
    <w:rsid w:val="00385D42"/>
    <w:rsid w:val="00386153"/>
    <w:rsid w:val="00386BA7"/>
    <w:rsid w:val="00390B48"/>
    <w:rsid w:val="0039213A"/>
    <w:rsid w:val="00393BF6"/>
    <w:rsid w:val="00395D4D"/>
    <w:rsid w:val="00396D64"/>
    <w:rsid w:val="00397A06"/>
    <w:rsid w:val="00397BEF"/>
    <w:rsid w:val="003A0FAF"/>
    <w:rsid w:val="003A0FE2"/>
    <w:rsid w:val="003A38BD"/>
    <w:rsid w:val="003A38C8"/>
    <w:rsid w:val="003A6045"/>
    <w:rsid w:val="003A72D0"/>
    <w:rsid w:val="003B22FD"/>
    <w:rsid w:val="003B3004"/>
    <w:rsid w:val="003B3A47"/>
    <w:rsid w:val="003B4168"/>
    <w:rsid w:val="003B42FF"/>
    <w:rsid w:val="003B50F2"/>
    <w:rsid w:val="003B62D2"/>
    <w:rsid w:val="003B64A6"/>
    <w:rsid w:val="003B66A3"/>
    <w:rsid w:val="003B7243"/>
    <w:rsid w:val="003C030D"/>
    <w:rsid w:val="003C161A"/>
    <w:rsid w:val="003C27F7"/>
    <w:rsid w:val="003C62C1"/>
    <w:rsid w:val="003C6FA4"/>
    <w:rsid w:val="003D0B3E"/>
    <w:rsid w:val="003D2352"/>
    <w:rsid w:val="003D3863"/>
    <w:rsid w:val="003D3D0A"/>
    <w:rsid w:val="003D5E85"/>
    <w:rsid w:val="003D7F34"/>
    <w:rsid w:val="003E0800"/>
    <w:rsid w:val="003E0C78"/>
    <w:rsid w:val="003E1584"/>
    <w:rsid w:val="003E1B56"/>
    <w:rsid w:val="003E33DE"/>
    <w:rsid w:val="003E3593"/>
    <w:rsid w:val="003E4F57"/>
    <w:rsid w:val="003E585F"/>
    <w:rsid w:val="003E6049"/>
    <w:rsid w:val="003E67F9"/>
    <w:rsid w:val="003F0D27"/>
    <w:rsid w:val="003F1C98"/>
    <w:rsid w:val="003F317C"/>
    <w:rsid w:val="003F42E9"/>
    <w:rsid w:val="003F4813"/>
    <w:rsid w:val="00400284"/>
    <w:rsid w:val="004006ED"/>
    <w:rsid w:val="00400F46"/>
    <w:rsid w:val="00403632"/>
    <w:rsid w:val="00404F1D"/>
    <w:rsid w:val="004057EA"/>
    <w:rsid w:val="00406654"/>
    <w:rsid w:val="0041100B"/>
    <w:rsid w:val="004114F3"/>
    <w:rsid w:val="00412894"/>
    <w:rsid w:val="004130C3"/>
    <w:rsid w:val="00413E71"/>
    <w:rsid w:val="00421363"/>
    <w:rsid w:val="00421921"/>
    <w:rsid w:val="00422100"/>
    <w:rsid w:val="00423537"/>
    <w:rsid w:val="00424274"/>
    <w:rsid w:val="00424A9A"/>
    <w:rsid w:val="004254D3"/>
    <w:rsid w:val="0042746B"/>
    <w:rsid w:val="00433B69"/>
    <w:rsid w:val="004369AD"/>
    <w:rsid w:val="00436DD6"/>
    <w:rsid w:val="00436F9A"/>
    <w:rsid w:val="0043711A"/>
    <w:rsid w:val="004374E5"/>
    <w:rsid w:val="0044482D"/>
    <w:rsid w:val="00444BA2"/>
    <w:rsid w:val="00444FB7"/>
    <w:rsid w:val="00450674"/>
    <w:rsid w:val="004533FE"/>
    <w:rsid w:val="00454245"/>
    <w:rsid w:val="00454715"/>
    <w:rsid w:val="00454D80"/>
    <w:rsid w:val="00456785"/>
    <w:rsid w:val="00462EB0"/>
    <w:rsid w:val="00463933"/>
    <w:rsid w:val="00464346"/>
    <w:rsid w:val="00470325"/>
    <w:rsid w:val="00470F42"/>
    <w:rsid w:val="00471605"/>
    <w:rsid w:val="0047297A"/>
    <w:rsid w:val="00472AEB"/>
    <w:rsid w:val="00474709"/>
    <w:rsid w:val="00476B1E"/>
    <w:rsid w:val="00480184"/>
    <w:rsid w:val="00480516"/>
    <w:rsid w:val="00480658"/>
    <w:rsid w:val="00480D3C"/>
    <w:rsid w:val="0048170B"/>
    <w:rsid w:val="00481BD4"/>
    <w:rsid w:val="00482AA2"/>
    <w:rsid w:val="004832C3"/>
    <w:rsid w:val="0048579F"/>
    <w:rsid w:val="00487005"/>
    <w:rsid w:val="004901A7"/>
    <w:rsid w:val="00491583"/>
    <w:rsid w:val="004A084F"/>
    <w:rsid w:val="004A1FA1"/>
    <w:rsid w:val="004A3225"/>
    <w:rsid w:val="004A3F90"/>
    <w:rsid w:val="004A5F59"/>
    <w:rsid w:val="004A606D"/>
    <w:rsid w:val="004A6087"/>
    <w:rsid w:val="004A6F1F"/>
    <w:rsid w:val="004B17D8"/>
    <w:rsid w:val="004B2323"/>
    <w:rsid w:val="004B4674"/>
    <w:rsid w:val="004B62C3"/>
    <w:rsid w:val="004C0BC8"/>
    <w:rsid w:val="004C461A"/>
    <w:rsid w:val="004C7D23"/>
    <w:rsid w:val="004D0783"/>
    <w:rsid w:val="004D11CB"/>
    <w:rsid w:val="004D2CC3"/>
    <w:rsid w:val="004D49E3"/>
    <w:rsid w:val="004D7163"/>
    <w:rsid w:val="004D7614"/>
    <w:rsid w:val="004E0366"/>
    <w:rsid w:val="004E1592"/>
    <w:rsid w:val="004E1C30"/>
    <w:rsid w:val="004E3342"/>
    <w:rsid w:val="004E4436"/>
    <w:rsid w:val="004E45AC"/>
    <w:rsid w:val="004E4672"/>
    <w:rsid w:val="004E5593"/>
    <w:rsid w:val="004E7A1E"/>
    <w:rsid w:val="004E7F1A"/>
    <w:rsid w:val="004F0352"/>
    <w:rsid w:val="004F0740"/>
    <w:rsid w:val="004F415D"/>
    <w:rsid w:val="004F4980"/>
    <w:rsid w:val="004F66F4"/>
    <w:rsid w:val="004F7710"/>
    <w:rsid w:val="004F7DB9"/>
    <w:rsid w:val="00502A45"/>
    <w:rsid w:val="00502FE4"/>
    <w:rsid w:val="0050542C"/>
    <w:rsid w:val="005073E2"/>
    <w:rsid w:val="00512DC1"/>
    <w:rsid w:val="00514C6B"/>
    <w:rsid w:val="005161EC"/>
    <w:rsid w:val="0051709F"/>
    <w:rsid w:val="005175EB"/>
    <w:rsid w:val="00521A18"/>
    <w:rsid w:val="00522079"/>
    <w:rsid w:val="00522622"/>
    <w:rsid w:val="0052450E"/>
    <w:rsid w:val="00525410"/>
    <w:rsid w:val="00530703"/>
    <w:rsid w:val="00530763"/>
    <w:rsid w:val="00534EFD"/>
    <w:rsid w:val="005362F2"/>
    <w:rsid w:val="00543B42"/>
    <w:rsid w:val="0054651A"/>
    <w:rsid w:val="005467B3"/>
    <w:rsid w:val="00546EA9"/>
    <w:rsid w:val="005474CD"/>
    <w:rsid w:val="005501B7"/>
    <w:rsid w:val="0055152E"/>
    <w:rsid w:val="00552094"/>
    <w:rsid w:val="00553D73"/>
    <w:rsid w:val="00554BAF"/>
    <w:rsid w:val="00555A15"/>
    <w:rsid w:val="00556291"/>
    <w:rsid w:val="005569E4"/>
    <w:rsid w:val="00560E11"/>
    <w:rsid w:val="00561147"/>
    <w:rsid w:val="00561463"/>
    <w:rsid w:val="00561F8F"/>
    <w:rsid w:val="00563A0E"/>
    <w:rsid w:val="005647D0"/>
    <w:rsid w:val="00574C59"/>
    <w:rsid w:val="00576CE2"/>
    <w:rsid w:val="005770AC"/>
    <w:rsid w:val="00577C1A"/>
    <w:rsid w:val="00577FAA"/>
    <w:rsid w:val="0058041D"/>
    <w:rsid w:val="005826AA"/>
    <w:rsid w:val="00582F49"/>
    <w:rsid w:val="005831BC"/>
    <w:rsid w:val="005833FF"/>
    <w:rsid w:val="00583471"/>
    <w:rsid w:val="00583CE7"/>
    <w:rsid w:val="005856E9"/>
    <w:rsid w:val="005867BB"/>
    <w:rsid w:val="00587452"/>
    <w:rsid w:val="005905A2"/>
    <w:rsid w:val="00591A07"/>
    <w:rsid w:val="00591C2A"/>
    <w:rsid w:val="00592461"/>
    <w:rsid w:val="00592539"/>
    <w:rsid w:val="00594B0D"/>
    <w:rsid w:val="00596A05"/>
    <w:rsid w:val="00596D6D"/>
    <w:rsid w:val="00597284"/>
    <w:rsid w:val="00597F8F"/>
    <w:rsid w:val="005A1E26"/>
    <w:rsid w:val="005A1EA2"/>
    <w:rsid w:val="005A2467"/>
    <w:rsid w:val="005A5858"/>
    <w:rsid w:val="005A66D7"/>
    <w:rsid w:val="005A6E51"/>
    <w:rsid w:val="005A7C7F"/>
    <w:rsid w:val="005A7D88"/>
    <w:rsid w:val="005B130C"/>
    <w:rsid w:val="005B14FF"/>
    <w:rsid w:val="005B2C26"/>
    <w:rsid w:val="005B3B71"/>
    <w:rsid w:val="005B48A9"/>
    <w:rsid w:val="005B4B1B"/>
    <w:rsid w:val="005B4F0F"/>
    <w:rsid w:val="005B58F0"/>
    <w:rsid w:val="005C0E62"/>
    <w:rsid w:val="005C0F5B"/>
    <w:rsid w:val="005C2E15"/>
    <w:rsid w:val="005C403B"/>
    <w:rsid w:val="005C63CB"/>
    <w:rsid w:val="005D04FD"/>
    <w:rsid w:val="005D0AA6"/>
    <w:rsid w:val="005D1093"/>
    <w:rsid w:val="005D165F"/>
    <w:rsid w:val="005D21F3"/>
    <w:rsid w:val="005D25A6"/>
    <w:rsid w:val="005D3CF8"/>
    <w:rsid w:val="005D5D89"/>
    <w:rsid w:val="005D6F94"/>
    <w:rsid w:val="005E0D2D"/>
    <w:rsid w:val="005E1652"/>
    <w:rsid w:val="005E3FB6"/>
    <w:rsid w:val="005E57F7"/>
    <w:rsid w:val="005F25D8"/>
    <w:rsid w:val="005F4583"/>
    <w:rsid w:val="005F4ABB"/>
    <w:rsid w:val="005F6066"/>
    <w:rsid w:val="005F6562"/>
    <w:rsid w:val="005F6C6D"/>
    <w:rsid w:val="005F6F09"/>
    <w:rsid w:val="005F787A"/>
    <w:rsid w:val="006019C7"/>
    <w:rsid w:val="00601E7B"/>
    <w:rsid w:val="00601EBC"/>
    <w:rsid w:val="00602039"/>
    <w:rsid w:val="00602AB9"/>
    <w:rsid w:val="00602D32"/>
    <w:rsid w:val="00603A84"/>
    <w:rsid w:val="006067DC"/>
    <w:rsid w:val="00606C1C"/>
    <w:rsid w:val="00610629"/>
    <w:rsid w:val="00610D8F"/>
    <w:rsid w:val="00611BCD"/>
    <w:rsid w:val="0061258D"/>
    <w:rsid w:val="006142EC"/>
    <w:rsid w:val="006155A5"/>
    <w:rsid w:val="00617824"/>
    <w:rsid w:val="00623091"/>
    <w:rsid w:val="00624214"/>
    <w:rsid w:val="00625419"/>
    <w:rsid w:val="00626A34"/>
    <w:rsid w:val="00626D1A"/>
    <w:rsid w:val="00627429"/>
    <w:rsid w:val="0063089C"/>
    <w:rsid w:val="00632A91"/>
    <w:rsid w:val="006345E8"/>
    <w:rsid w:val="0063765C"/>
    <w:rsid w:val="006403CB"/>
    <w:rsid w:val="00640C22"/>
    <w:rsid w:val="006410B0"/>
    <w:rsid w:val="0064139F"/>
    <w:rsid w:val="00641404"/>
    <w:rsid w:val="00641EDA"/>
    <w:rsid w:val="00642B97"/>
    <w:rsid w:val="00643680"/>
    <w:rsid w:val="00644453"/>
    <w:rsid w:val="006449A0"/>
    <w:rsid w:val="00644B32"/>
    <w:rsid w:val="0064639A"/>
    <w:rsid w:val="0064646F"/>
    <w:rsid w:val="00646523"/>
    <w:rsid w:val="00647BDD"/>
    <w:rsid w:val="00650458"/>
    <w:rsid w:val="0065273C"/>
    <w:rsid w:val="00656A74"/>
    <w:rsid w:val="00657221"/>
    <w:rsid w:val="00661FC1"/>
    <w:rsid w:val="00663FED"/>
    <w:rsid w:val="006641AC"/>
    <w:rsid w:val="00664B64"/>
    <w:rsid w:val="006678E3"/>
    <w:rsid w:val="00667A9C"/>
    <w:rsid w:val="00670FE4"/>
    <w:rsid w:val="006712E8"/>
    <w:rsid w:val="006755E3"/>
    <w:rsid w:val="00677DA7"/>
    <w:rsid w:val="00680212"/>
    <w:rsid w:val="00680C90"/>
    <w:rsid w:val="00681036"/>
    <w:rsid w:val="006823AD"/>
    <w:rsid w:val="00682C29"/>
    <w:rsid w:val="006856B4"/>
    <w:rsid w:val="00685872"/>
    <w:rsid w:val="00685AD7"/>
    <w:rsid w:val="0069070F"/>
    <w:rsid w:val="00691963"/>
    <w:rsid w:val="00692124"/>
    <w:rsid w:val="00692D96"/>
    <w:rsid w:val="00693C96"/>
    <w:rsid w:val="00696339"/>
    <w:rsid w:val="00696925"/>
    <w:rsid w:val="00696982"/>
    <w:rsid w:val="006A31E4"/>
    <w:rsid w:val="006A3F85"/>
    <w:rsid w:val="006A48FA"/>
    <w:rsid w:val="006A4C40"/>
    <w:rsid w:val="006A56F1"/>
    <w:rsid w:val="006A6E5C"/>
    <w:rsid w:val="006B0702"/>
    <w:rsid w:val="006B0972"/>
    <w:rsid w:val="006B3153"/>
    <w:rsid w:val="006B5871"/>
    <w:rsid w:val="006B6BB1"/>
    <w:rsid w:val="006B7212"/>
    <w:rsid w:val="006C14C3"/>
    <w:rsid w:val="006C4B6F"/>
    <w:rsid w:val="006C589D"/>
    <w:rsid w:val="006C59B5"/>
    <w:rsid w:val="006C72AA"/>
    <w:rsid w:val="006C769C"/>
    <w:rsid w:val="006C7A95"/>
    <w:rsid w:val="006D11E8"/>
    <w:rsid w:val="006D4B0E"/>
    <w:rsid w:val="006D753C"/>
    <w:rsid w:val="006E0A00"/>
    <w:rsid w:val="006E306D"/>
    <w:rsid w:val="006E4BEC"/>
    <w:rsid w:val="006E6968"/>
    <w:rsid w:val="006F04C6"/>
    <w:rsid w:val="006F08A0"/>
    <w:rsid w:val="006F0D57"/>
    <w:rsid w:val="006F2A97"/>
    <w:rsid w:val="006F7AD7"/>
    <w:rsid w:val="007003FD"/>
    <w:rsid w:val="00702627"/>
    <w:rsid w:val="0070359F"/>
    <w:rsid w:val="0070464C"/>
    <w:rsid w:val="00705474"/>
    <w:rsid w:val="00705B46"/>
    <w:rsid w:val="007076B2"/>
    <w:rsid w:val="00711BBB"/>
    <w:rsid w:val="0071340A"/>
    <w:rsid w:val="00713FC7"/>
    <w:rsid w:val="00715D32"/>
    <w:rsid w:val="00716FD1"/>
    <w:rsid w:val="00720D0F"/>
    <w:rsid w:val="007216A8"/>
    <w:rsid w:val="007218A9"/>
    <w:rsid w:val="0072241C"/>
    <w:rsid w:val="007245A5"/>
    <w:rsid w:val="00727890"/>
    <w:rsid w:val="00731628"/>
    <w:rsid w:val="00734108"/>
    <w:rsid w:val="007343AD"/>
    <w:rsid w:val="0073448D"/>
    <w:rsid w:val="00735087"/>
    <w:rsid w:val="00736FA0"/>
    <w:rsid w:val="0074053E"/>
    <w:rsid w:val="00745075"/>
    <w:rsid w:val="00745C16"/>
    <w:rsid w:val="007461DB"/>
    <w:rsid w:val="0075000E"/>
    <w:rsid w:val="00750621"/>
    <w:rsid w:val="00752156"/>
    <w:rsid w:val="00752BDE"/>
    <w:rsid w:val="00753A7A"/>
    <w:rsid w:val="00754FB4"/>
    <w:rsid w:val="00756E77"/>
    <w:rsid w:val="007577C2"/>
    <w:rsid w:val="0076038F"/>
    <w:rsid w:val="00760D77"/>
    <w:rsid w:val="007617E5"/>
    <w:rsid w:val="0077124E"/>
    <w:rsid w:val="00772FA7"/>
    <w:rsid w:val="0077578C"/>
    <w:rsid w:val="00781ACA"/>
    <w:rsid w:val="007823CF"/>
    <w:rsid w:val="00783E35"/>
    <w:rsid w:val="00784F67"/>
    <w:rsid w:val="00784F6C"/>
    <w:rsid w:val="00786754"/>
    <w:rsid w:val="00786D49"/>
    <w:rsid w:val="00787061"/>
    <w:rsid w:val="007873F7"/>
    <w:rsid w:val="00790F0A"/>
    <w:rsid w:val="00790F5E"/>
    <w:rsid w:val="007927A6"/>
    <w:rsid w:val="0079706E"/>
    <w:rsid w:val="00797F6E"/>
    <w:rsid w:val="007A1F4C"/>
    <w:rsid w:val="007A253B"/>
    <w:rsid w:val="007A53F8"/>
    <w:rsid w:val="007B05BD"/>
    <w:rsid w:val="007B31A5"/>
    <w:rsid w:val="007B3327"/>
    <w:rsid w:val="007B3533"/>
    <w:rsid w:val="007B4996"/>
    <w:rsid w:val="007B6926"/>
    <w:rsid w:val="007B6FA3"/>
    <w:rsid w:val="007B705D"/>
    <w:rsid w:val="007B769F"/>
    <w:rsid w:val="007C4EDB"/>
    <w:rsid w:val="007C5764"/>
    <w:rsid w:val="007C61D0"/>
    <w:rsid w:val="007C6478"/>
    <w:rsid w:val="007C6FAA"/>
    <w:rsid w:val="007C768F"/>
    <w:rsid w:val="007D251F"/>
    <w:rsid w:val="007D3DCE"/>
    <w:rsid w:val="007D4FA2"/>
    <w:rsid w:val="007E0874"/>
    <w:rsid w:val="007E0FAD"/>
    <w:rsid w:val="007E4247"/>
    <w:rsid w:val="007E60E9"/>
    <w:rsid w:val="007E63F3"/>
    <w:rsid w:val="007E6F5A"/>
    <w:rsid w:val="007F006B"/>
    <w:rsid w:val="007F0916"/>
    <w:rsid w:val="007F19E0"/>
    <w:rsid w:val="007F1E7D"/>
    <w:rsid w:val="007F2A79"/>
    <w:rsid w:val="007F3026"/>
    <w:rsid w:val="007F42DD"/>
    <w:rsid w:val="007F4E0F"/>
    <w:rsid w:val="007F5718"/>
    <w:rsid w:val="007F6D1B"/>
    <w:rsid w:val="007F77CA"/>
    <w:rsid w:val="008011ED"/>
    <w:rsid w:val="00801636"/>
    <w:rsid w:val="00803935"/>
    <w:rsid w:val="008045D0"/>
    <w:rsid w:val="00805526"/>
    <w:rsid w:val="008059B8"/>
    <w:rsid w:val="00805EF3"/>
    <w:rsid w:val="00805FAF"/>
    <w:rsid w:val="00810333"/>
    <w:rsid w:val="0081415C"/>
    <w:rsid w:val="0081590D"/>
    <w:rsid w:val="00815E57"/>
    <w:rsid w:val="008166F5"/>
    <w:rsid w:val="0081677E"/>
    <w:rsid w:val="00817467"/>
    <w:rsid w:val="0082043E"/>
    <w:rsid w:val="00820CB4"/>
    <w:rsid w:val="00822905"/>
    <w:rsid w:val="0082299E"/>
    <w:rsid w:val="00825BDE"/>
    <w:rsid w:val="00827B93"/>
    <w:rsid w:val="00827CD1"/>
    <w:rsid w:val="00832134"/>
    <w:rsid w:val="00832164"/>
    <w:rsid w:val="00832F53"/>
    <w:rsid w:val="0083328A"/>
    <w:rsid w:val="00834003"/>
    <w:rsid w:val="0083455F"/>
    <w:rsid w:val="00834EA0"/>
    <w:rsid w:val="00843042"/>
    <w:rsid w:val="00843C37"/>
    <w:rsid w:val="00844886"/>
    <w:rsid w:val="00844C2D"/>
    <w:rsid w:val="00846D68"/>
    <w:rsid w:val="008518E5"/>
    <w:rsid w:val="00852B15"/>
    <w:rsid w:val="00856135"/>
    <w:rsid w:val="00857A96"/>
    <w:rsid w:val="00861FE5"/>
    <w:rsid w:val="0086376D"/>
    <w:rsid w:val="008703C2"/>
    <w:rsid w:val="0087209F"/>
    <w:rsid w:val="008733D8"/>
    <w:rsid w:val="008806CC"/>
    <w:rsid w:val="00881737"/>
    <w:rsid w:val="008817DF"/>
    <w:rsid w:val="008849E6"/>
    <w:rsid w:val="00884F8B"/>
    <w:rsid w:val="0088513E"/>
    <w:rsid w:val="00886300"/>
    <w:rsid w:val="00887CD1"/>
    <w:rsid w:val="008901EE"/>
    <w:rsid w:val="0089099F"/>
    <w:rsid w:val="00890AAF"/>
    <w:rsid w:val="0089171F"/>
    <w:rsid w:val="00892F7A"/>
    <w:rsid w:val="00894CEB"/>
    <w:rsid w:val="00896A62"/>
    <w:rsid w:val="00896AD9"/>
    <w:rsid w:val="00897B88"/>
    <w:rsid w:val="008A113D"/>
    <w:rsid w:val="008A678B"/>
    <w:rsid w:val="008A7725"/>
    <w:rsid w:val="008B0034"/>
    <w:rsid w:val="008B0702"/>
    <w:rsid w:val="008B2397"/>
    <w:rsid w:val="008B33B5"/>
    <w:rsid w:val="008B3CD6"/>
    <w:rsid w:val="008B42EB"/>
    <w:rsid w:val="008B6003"/>
    <w:rsid w:val="008B691D"/>
    <w:rsid w:val="008C4112"/>
    <w:rsid w:val="008C4D11"/>
    <w:rsid w:val="008C5B3C"/>
    <w:rsid w:val="008D54FA"/>
    <w:rsid w:val="008D5C05"/>
    <w:rsid w:val="008D6490"/>
    <w:rsid w:val="008D6FFD"/>
    <w:rsid w:val="008E1191"/>
    <w:rsid w:val="008E342E"/>
    <w:rsid w:val="008E4D9C"/>
    <w:rsid w:val="008E566D"/>
    <w:rsid w:val="008E588C"/>
    <w:rsid w:val="008F4397"/>
    <w:rsid w:val="008F4C01"/>
    <w:rsid w:val="008F52D9"/>
    <w:rsid w:val="008F573C"/>
    <w:rsid w:val="008F5ECA"/>
    <w:rsid w:val="008F6BC6"/>
    <w:rsid w:val="008F71C7"/>
    <w:rsid w:val="00902B4C"/>
    <w:rsid w:val="00903111"/>
    <w:rsid w:val="00903FC5"/>
    <w:rsid w:val="0090403F"/>
    <w:rsid w:val="009071FF"/>
    <w:rsid w:val="009108DB"/>
    <w:rsid w:val="009112EB"/>
    <w:rsid w:val="00913191"/>
    <w:rsid w:val="009131F2"/>
    <w:rsid w:val="00916431"/>
    <w:rsid w:val="00917DBE"/>
    <w:rsid w:val="00922FF4"/>
    <w:rsid w:val="0092605A"/>
    <w:rsid w:val="0092689A"/>
    <w:rsid w:val="0093228E"/>
    <w:rsid w:val="009325E1"/>
    <w:rsid w:val="00933602"/>
    <w:rsid w:val="009338B2"/>
    <w:rsid w:val="00934574"/>
    <w:rsid w:val="009351EF"/>
    <w:rsid w:val="009358DF"/>
    <w:rsid w:val="0093698F"/>
    <w:rsid w:val="00936A83"/>
    <w:rsid w:val="00940914"/>
    <w:rsid w:val="009409E8"/>
    <w:rsid w:val="00941AB9"/>
    <w:rsid w:val="00941C86"/>
    <w:rsid w:val="00942250"/>
    <w:rsid w:val="00942706"/>
    <w:rsid w:val="00942E51"/>
    <w:rsid w:val="00943A96"/>
    <w:rsid w:val="00946A6A"/>
    <w:rsid w:val="00947EB7"/>
    <w:rsid w:val="0095056B"/>
    <w:rsid w:val="00951FC3"/>
    <w:rsid w:val="009520BD"/>
    <w:rsid w:val="00952B29"/>
    <w:rsid w:val="00953DBA"/>
    <w:rsid w:val="00954137"/>
    <w:rsid w:val="00955882"/>
    <w:rsid w:val="00955ABF"/>
    <w:rsid w:val="00956F74"/>
    <w:rsid w:val="00956F84"/>
    <w:rsid w:val="0095704D"/>
    <w:rsid w:val="009575A0"/>
    <w:rsid w:val="00957C6C"/>
    <w:rsid w:val="00960AA2"/>
    <w:rsid w:val="009649DC"/>
    <w:rsid w:val="00964E1D"/>
    <w:rsid w:val="00966EB2"/>
    <w:rsid w:val="00970C67"/>
    <w:rsid w:val="00973A94"/>
    <w:rsid w:val="00974456"/>
    <w:rsid w:val="00976AD8"/>
    <w:rsid w:val="00981142"/>
    <w:rsid w:val="009829AA"/>
    <w:rsid w:val="009845B5"/>
    <w:rsid w:val="009863F5"/>
    <w:rsid w:val="00987700"/>
    <w:rsid w:val="00991483"/>
    <w:rsid w:val="0099296D"/>
    <w:rsid w:val="009935AA"/>
    <w:rsid w:val="00993F94"/>
    <w:rsid w:val="009951B2"/>
    <w:rsid w:val="009A039C"/>
    <w:rsid w:val="009A2859"/>
    <w:rsid w:val="009A4B06"/>
    <w:rsid w:val="009A4E90"/>
    <w:rsid w:val="009A50B8"/>
    <w:rsid w:val="009A6AB2"/>
    <w:rsid w:val="009A737B"/>
    <w:rsid w:val="009B009A"/>
    <w:rsid w:val="009B1823"/>
    <w:rsid w:val="009B2EE0"/>
    <w:rsid w:val="009B406F"/>
    <w:rsid w:val="009B443A"/>
    <w:rsid w:val="009B4D09"/>
    <w:rsid w:val="009B4D6B"/>
    <w:rsid w:val="009B6DD1"/>
    <w:rsid w:val="009C1332"/>
    <w:rsid w:val="009C2C56"/>
    <w:rsid w:val="009C4A4F"/>
    <w:rsid w:val="009C5CCD"/>
    <w:rsid w:val="009C6D34"/>
    <w:rsid w:val="009D2E97"/>
    <w:rsid w:val="009D328E"/>
    <w:rsid w:val="009D3438"/>
    <w:rsid w:val="009D3B88"/>
    <w:rsid w:val="009D40B6"/>
    <w:rsid w:val="009D4D3A"/>
    <w:rsid w:val="009D798C"/>
    <w:rsid w:val="009D7AD4"/>
    <w:rsid w:val="009E0365"/>
    <w:rsid w:val="009E1231"/>
    <w:rsid w:val="009E1A57"/>
    <w:rsid w:val="009E30C1"/>
    <w:rsid w:val="009E36CA"/>
    <w:rsid w:val="009E46D4"/>
    <w:rsid w:val="009E4B6B"/>
    <w:rsid w:val="009E6470"/>
    <w:rsid w:val="009E6E71"/>
    <w:rsid w:val="009E7175"/>
    <w:rsid w:val="009F08CB"/>
    <w:rsid w:val="009F1E5E"/>
    <w:rsid w:val="009F497B"/>
    <w:rsid w:val="009F5331"/>
    <w:rsid w:val="009F6453"/>
    <w:rsid w:val="009F6AD6"/>
    <w:rsid w:val="009F6F30"/>
    <w:rsid w:val="009F7BFB"/>
    <w:rsid w:val="00A0081F"/>
    <w:rsid w:val="00A01B61"/>
    <w:rsid w:val="00A03BCB"/>
    <w:rsid w:val="00A048F3"/>
    <w:rsid w:val="00A04CA6"/>
    <w:rsid w:val="00A052DD"/>
    <w:rsid w:val="00A06E6F"/>
    <w:rsid w:val="00A106DD"/>
    <w:rsid w:val="00A125FB"/>
    <w:rsid w:val="00A12A49"/>
    <w:rsid w:val="00A135C4"/>
    <w:rsid w:val="00A13CB5"/>
    <w:rsid w:val="00A13FEC"/>
    <w:rsid w:val="00A165D6"/>
    <w:rsid w:val="00A200C3"/>
    <w:rsid w:val="00A21103"/>
    <w:rsid w:val="00A21298"/>
    <w:rsid w:val="00A21E3C"/>
    <w:rsid w:val="00A23419"/>
    <w:rsid w:val="00A24BBD"/>
    <w:rsid w:val="00A25AF0"/>
    <w:rsid w:val="00A26D62"/>
    <w:rsid w:val="00A27D2E"/>
    <w:rsid w:val="00A30D78"/>
    <w:rsid w:val="00A31032"/>
    <w:rsid w:val="00A31CCF"/>
    <w:rsid w:val="00A32598"/>
    <w:rsid w:val="00A33EF8"/>
    <w:rsid w:val="00A3432E"/>
    <w:rsid w:val="00A40DFB"/>
    <w:rsid w:val="00A41E34"/>
    <w:rsid w:val="00A435BF"/>
    <w:rsid w:val="00A448B0"/>
    <w:rsid w:val="00A4653F"/>
    <w:rsid w:val="00A46981"/>
    <w:rsid w:val="00A47E1E"/>
    <w:rsid w:val="00A5210B"/>
    <w:rsid w:val="00A524EC"/>
    <w:rsid w:val="00A52F4A"/>
    <w:rsid w:val="00A531D6"/>
    <w:rsid w:val="00A536F8"/>
    <w:rsid w:val="00A54346"/>
    <w:rsid w:val="00A55211"/>
    <w:rsid w:val="00A569C9"/>
    <w:rsid w:val="00A57E0C"/>
    <w:rsid w:val="00A6039D"/>
    <w:rsid w:val="00A60BCD"/>
    <w:rsid w:val="00A631B5"/>
    <w:rsid w:val="00A63351"/>
    <w:rsid w:val="00A6487D"/>
    <w:rsid w:val="00A65DF5"/>
    <w:rsid w:val="00A66D3E"/>
    <w:rsid w:val="00A672FC"/>
    <w:rsid w:val="00A676CE"/>
    <w:rsid w:val="00A7001C"/>
    <w:rsid w:val="00A70A43"/>
    <w:rsid w:val="00A716E7"/>
    <w:rsid w:val="00A73108"/>
    <w:rsid w:val="00A7492B"/>
    <w:rsid w:val="00A75807"/>
    <w:rsid w:val="00A77913"/>
    <w:rsid w:val="00A8138C"/>
    <w:rsid w:val="00A81834"/>
    <w:rsid w:val="00A81CF9"/>
    <w:rsid w:val="00A8209D"/>
    <w:rsid w:val="00A82740"/>
    <w:rsid w:val="00A860C9"/>
    <w:rsid w:val="00A9137F"/>
    <w:rsid w:val="00A9483B"/>
    <w:rsid w:val="00A94F2C"/>
    <w:rsid w:val="00A95C39"/>
    <w:rsid w:val="00A972E1"/>
    <w:rsid w:val="00AA3F8C"/>
    <w:rsid w:val="00AA4CAD"/>
    <w:rsid w:val="00AA5238"/>
    <w:rsid w:val="00AA6E6B"/>
    <w:rsid w:val="00AB3052"/>
    <w:rsid w:val="00AB4248"/>
    <w:rsid w:val="00AB4520"/>
    <w:rsid w:val="00AB572D"/>
    <w:rsid w:val="00AB5A86"/>
    <w:rsid w:val="00AB6170"/>
    <w:rsid w:val="00AB65A5"/>
    <w:rsid w:val="00AB707C"/>
    <w:rsid w:val="00AB72E0"/>
    <w:rsid w:val="00AC0B37"/>
    <w:rsid w:val="00AC0BF5"/>
    <w:rsid w:val="00AC2185"/>
    <w:rsid w:val="00AC3068"/>
    <w:rsid w:val="00AC3C48"/>
    <w:rsid w:val="00AC4067"/>
    <w:rsid w:val="00AC4E89"/>
    <w:rsid w:val="00AC53DF"/>
    <w:rsid w:val="00AC54F8"/>
    <w:rsid w:val="00AC67A6"/>
    <w:rsid w:val="00AC692A"/>
    <w:rsid w:val="00AD0F08"/>
    <w:rsid w:val="00AD1585"/>
    <w:rsid w:val="00AD1747"/>
    <w:rsid w:val="00AD235B"/>
    <w:rsid w:val="00AD560B"/>
    <w:rsid w:val="00AD5BBB"/>
    <w:rsid w:val="00AE02B5"/>
    <w:rsid w:val="00AE0494"/>
    <w:rsid w:val="00AE0B28"/>
    <w:rsid w:val="00AE0C8D"/>
    <w:rsid w:val="00AE0D50"/>
    <w:rsid w:val="00AE1947"/>
    <w:rsid w:val="00AE242E"/>
    <w:rsid w:val="00AE2986"/>
    <w:rsid w:val="00AE2D8E"/>
    <w:rsid w:val="00AE4C9F"/>
    <w:rsid w:val="00AE7A40"/>
    <w:rsid w:val="00AE7EF9"/>
    <w:rsid w:val="00AF23D8"/>
    <w:rsid w:val="00AF2A34"/>
    <w:rsid w:val="00AF4A88"/>
    <w:rsid w:val="00AF60FC"/>
    <w:rsid w:val="00AF619D"/>
    <w:rsid w:val="00B01A75"/>
    <w:rsid w:val="00B02D39"/>
    <w:rsid w:val="00B03711"/>
    <w:rsid w:val="00B03B6B"/>
    <w:rsid w:val="00B04CC3"/>
    <w:rsid w:val="00B17DE2"/>
    <w:rsid w:val="00B2096A"/>
    <w:rsid w:val="00B20E8D"/>
    <w:rsid w:val="00B24514"/>
    <w:rsid w:val="00B32541"/>
    <w:rsid w:val="00B3267F"/>
    <w:rsid w:val="00B32BD9"/>
    <w:rsid w:val="00B35F87"/>
    <w:rsid w:val="00B379DA"/>
    <w:rsid w:val="00B37A67"/>
    <w:rsid w:val="00B37E6F"/>
    <w:rsid w:val="00B40143"/>
    <w:rsid w:val="00B41203"/>
    <w:rsid w:val="00B41500"/>
    <w:rsid w:val="00B41CD1"/>
    <w:rsid w:val="00B42E4E"/>
    <w:rsid w:val="00B45E91"/>
    <w:rsid w:val="00B46D52"/>
    <w:rsid w:val="00B5297F"/>
    <w:rsid w:val="00B52E16"/>
    <w:rsid w:val="00B53812"/>
    <w:rsid w:val="00B53C36"/>
    <w:rsid w:val="00B60506"/>
    <w:rsid w:val="00B6229E"/>
    <w:rsid w:val="00B623DA"/>
    <w:rsid w:val="00B62736"/>
    <w:rsid w:val="00B62A71"/>
    <w:rsid w:val="00B62EF9"/>
    <w:rsid w:val="00B630C6"/>
    <w:rsid w:val="00B64986"/>
    <w:rsid w:val="00B65DC0"/>
    <w:rsid w:val="00B67C2D"/>
    <w:rsid w:val="00B67FEB"/>
    <w:rsid w:val="00B7090B"/>
    <w:rsid w:val="00B70D91"/>
    <w:rsid w:val="00B72FA0"/>
    <w:rsid w:val="00B73209"/>
    <w:rsid w:val="00B7708B"/>
    <w:rsid w:val="00B7721B"/>
    <w:rsid w:val="00B8012B"/>
    <w:rsid w:val="00B80E25"/>
    <w:rsid w:val="00B82B06"/>
    <w:rsid w:val="00B8347E"/>
    <w:rsid w:val="00B838DF"/>
    <w:rsid w:val="00B84B4A"/>
    <w:rsid w:val="00B8589C"/>
    <w:rsid w:val="00B86BAC"/>
    <w:rsid w:val="00B96986"/>
    <w:rsid w:val="00B97145"/>
    <w:rsid w:val="00B97B35"/>
    <w:rsid w:val="00BA1257"/>
    <w:rsid w:val="00BA2A4F"/>
    <w:rsid w:val="00BA2CAA"/>
    <w:rsid w:val="00BA3196"/>
    <w:rsid w:val="00BA3509"/>
    <w:rsid w:val="00BA5877"/>
    <w:rsid w:val="00BB124C"/>
    <w:rsid w:val="00BB17E3"/>
    <w:rsid w:val="00BB1CDB"/>
    <w:rsid w:val="00BB2110"/>
    <w:rsid w:val="00BB2993"/>
    <w:rsid w:val="00BB3645"/>
    <w:rsid w:val="00BB547E"/>
    <w:rsid w:val="00BB66D4"/>
    <w:rsid w:val="00BB69B7"/>
    <w:rsid w:val="00BC10BF"/>
    <w:rsid w:val="00BC2581"/>
    <w:rsid w:val="00BC3F55"/>
    <w:rsid w:val="00BC481A"/>
    <w:rsid w:val="00BC4D26"/>
    <w:rsid w:val="00BC555D"/>
    <w:rsid w:val="00BC658E"/>
    <w:rsid w:val="00BD0218"/>
    <w:rsid w:val="00BD1869"/>
    <w:rsid w:val="00BD200B"/>
    <w:rsid w:val="00BD28CD"/>
    <w:rsid w:val="00BD2A25"/>
    <w:rsid w:val="00BD63DF"/>
    <w:rsid w:val="00BD64D4"/>
    <w:rsid w:val="00BD6AAF"/>
    <w:rsid w:val="00BD7C4B"/>
    <w:rsid w:val="00BE33E8"/>
    <w:rsid w:val="00BE50FD"/>
    <w:rsid w:val="00BF1551"/>
    <w:rsid w:val="00BF2BEB"/>
    <w:rsid w:val="00BF3197"/>
    <w:rsid w:val="00BF4F42"/>
    <w:rsid w:val="00BF5E23"/>
    <w:rsid w:val="00BF6AD1"/>
    <w:rsid w:val="00BF759E"/>
    <w:rsid w:val="00C01711"/>
    <w:rsid w:val="00C01DB8"/>
    <w:rsid w:val="00C0300F"/>
    <w:rsid w:val="00C04C13"/>
    <w:rsid w:val="00C0516C"/>
    <w:rsid w:val="00C0523E"/>
    <w:rsid w:val="00C05885"/>
    <w:rsid w:val="00C06C3C"/>
    <w:rsid w:val="00C0751C"/>
    <w:rsid w:val="00C07D81"/>
    <w:rsid w:val="00C07F14"/>
    <w:rsid w:val="00C11B64"/>
    <w:rsid w:val="00C1218B"/>
    <w:rsid w:val="00C122D5"/>
    <w:rsid w:val="00C1286D"/>
    <w:rsid w:val="00C12B6B"/>
    <w:rsid w:val="00C135F1"/>
    <w:rsid w:val="00C140D0"/>
    <w:rsid w:val="00C14775"/>
    <w:rsid w:val="00C150A5"/>
    <w:rsid w:val="00C15BA7"/>
    <w:rsid w:val="00C2035B"/>
    <w:rsid w:val="00C203E0"/>
    <w:rsid w:val="00C22B21"/>
    <w:rsid w:val="00C23593"/>
    <w:rsid w:val="00C23845"/>
    <w:rsid w:val="00C31846"/>
    <w:rsid w:val="00C32A33"/>
    <w:rsid w:val="00C32AF9"/>
    <w:rsid w:val="00C367FB"/>
    <w:rsid w:val="00C37A9A"/>
    <w:rsid w:val="00C41389"/>
    <w:rsid w:val="00C41BB7"/>
    <w:rsid w:val="00C42379"/>
    <w:rsid w:val="00C44004"/>
    <w:rsid w:val="00C445F4"/>
    <w:rsid w:val="00C54DF3"/>
    <w:rsid w:val="00C604FD"/>
    <w:rsid w:val="00C610B6"/>
    <w:rsid w:val="00C6257F"/>
    <w:rsid w:val="00C63117"/>
    <w:rsid w:val="00C640C7"/>
    <w:rsid w:val="00C65784"/>
    <w:rsid w:val="00C67BDD"/>
    <w:rsid w:val="00C70F24"/>
    <w:rsid w:val="00C717F6"/>
    <w:rsid w:val="00C72FD7"/>
    <w:rsid w:val="00C757E3"/>
    <w:rsid w:val="00C8155C"/>
    <w:rsid w:val="00C81CAA"/>
    <w:rsid w:val="00C840FD"/>
    <w:rsid w:val="00C907F0"/>
    <w:rsid w:val="00C93A91"/>
    <w:rsid w:val="00C95601"/>
    <w:rsid w:val="00CA1947"/>
    <w:rsid w:val="00CA1C91"/>
    <w:rsid w:val="00CA2949"/>
    <w:rsid w:val="00CA2A3B"/>
    <w:rsid w:val="00CA323D"/>
    <w:rsid w:val="00CA356E"/>
    <w:rsid w:val="00CA54A0"/>
    <w:rsid w:val="00CB1405"/>
    <w:rsid w:val="00CB3923"/>
    <w:rsid w:val="00CB5515"/>
    <w:rsid w:val="00CB76EF"/>
    <w:rsid w:val="00CB7840"/>
    <w:rsid w:val="00CC0E24"/>
    <w:rsid w:val="00CC2390"/>
    <w:rsid w:val="00CC34E2"/>
    <w:rsid w:val="00CC4A5C"/>
    <w:rsid w:val="00CC5849"/>
    <w:rsid w:val="00CC5BB7"/>
    <w:rsid w:val="00CC5F62"/>
    <w:rsid w:val="00CC69B4"/>
    <w:rsid w:val="00CC6D17"/>
    <w:rsid w:val="00CC7102"/>
    <w:rsid w:val="00CC7B09"/>
    <w:rsid w:val="00CC7CF3"/>
    <w:rsid w:val="00CC7F81"/>
    <w:rsid w:val="00CD1E85"/>
    <w:rsid w:val="00CD3AEA"/>
    <w:rsid w:val="00CD3C32"/>
    <w:rsid w:val="00CD3D7A"/>
    <w:rsid w:val="00CD4235"/>
    <w:rsid w:val="00CD56D7"/>
    <w:rsid w:val="00CD57FC"/>
    <w:rsid w:val="00CD632A"/>
    <w:rsid w:val="00CD6AE3"/>
    <w:rsid w:val="00CE0B6D"/>
    <w:rsid w:val="00CE1261"/>
    <w:rsid w:val="00CE127E"/>
    <w:rsid w:val="00CE1C10"/>
    <w:rsid w:val="00CE217C"/>
    <w:rsid w:val="00CE4AE9"/>
    <w:rsid w:val="00CF41D0"/>
    <w:rsid w:val="00CF4592"/>
    <w:rsid w:val="00D00CF9"/>
    <w:rsid w:val="00D012FF"/>
    <w:rsid w:val="00D04CD8"/>
    <w:rsid w:val="00D04DEC"/>
    <w:rsid w:val="00D114ED"/>
    <w:rsid w:val="00D1261E"/>
    <w:rsid w:val="00D13F32"/>
    <w:rsid w:val="00D14B5E"/>
    <w:rsid w:val="00D1685E"/>
    <w:rsid w:val="00D171BA"/>
    <w:rsid w:val="00D20D4F"/>
    <w:rsid w:val="00D218F5"/>
    <w:rsid w:val="00D25B74"/>
    <w:rsid w:val="00D25CA1"/>
    <w:rsid w:val="00D30CB6"/>
    <w:rsid w:val="00D31474"/>
    <w:rsid w:val="00D3157F"/>
    <w:rsid w:val="00D32933"/>
    <w:rsid w:val="00D34BE6"/>
    <w:rsid w:val="00D3579F"/>
    <w:rsid w:val="00D36B62"/>
    <w:rsid w:val="00D37BF5"/>
    <w:rsid w:val="00D37EB2"/>
    <w:rsid w:val="00D421A7"/>
    <w:rsid w:val="00D42987"/>
    <w:rsid w:val="00D42C18"/>
    <w:rsid w:val="00D4333C"/>
    <w:rsid w:val="00D43F5E"/>
    <w:rsid w:val="00D43F60"/>
    <w:rsid w:val="00D44623"/>
    <w:rsid w:val="00D4701B"/>
    <w:rsid w:val="00D47CF6"/>
    <w:rsid w:val="00D50820"/>
    <w:rsid w:val="00D511C3"/>
    <w:rsid w:val="00D5329B"/>
    <w:rsid w:val="00D5481D"/>
    <w:rsid w:val="00D55B2D"/>
    <w:rsid w:val="00D60045"/>
    <w:rsid w:val="00D628AE"/>
    <w:rsid w:val="00D6438B"/>
    <w:rsid w:val="00D647C9"/>
    <w:rsid w:val="00D6632B"/>
    <w:rsid w:val="00D67995"/>
    <w:rsid w:val="00D7096F"/>
    <w:rsid w:val="00D7163F"/>
    <w:rsid w:val="00D7298C"/>
    <w:rsid w:val="00D73998"/>
    <w:rsid w:val="00D76FD9"/>
    <w:rsid w:val="00D800BD"/>
    <w:rsid w:val="00D816C8"/>
    <w:rsid w:val="00D81BC5"/>
    <w:rsid w:val="00D827CE"/>
    <w:rsid w:val="00D84DEB"/>
    <w:rsid w:val="00D877A6"/>
    <w:rsid w:val="00D904D9"/>
    <w:rsid w:val="00D946F0"/>
    <w:rsid w:val="00D95156"/>
    <w:rsid w:val="00D95BD9"/>
    <w:rsid w:val="00D95DC3"/>
    <w:rsid w:val="00D96A46"/>
    <w:rsid w:val="00D96A67"/>
    <w:rsid w:val="00DA12D5"/>
    <w:rsid w:val="00DA3326"/>
    <w:rsid w:val="00DA3644"/>
    <w:rsid w:val="00DA3FCB"/>
    <w:rsid w:val="00DA4623"/>
    <w:rsid w:val="00DA48E8"/>
    <w:rsid w:val="00DA630F"/>
    <w:rsid w:val="00DA68A0"/>
    <w:rsid w:val="00DA6A38"/>
    <w:rsid w:val="00DA6B30"/>
    <w:rsid w:val="00DA7040"/>
    <w:rsid w:val="00DB07B5"/>
    <w:rsid w:val="00DB07F9"/>
    <w:rsid w:val="00DB1B21"/>
    <w:rsid w:val="00DB3CAF"/>
    <w:rsid w:val="00DB4966"/>
    <w:rsid w:val="00DC1386"/>
    <w:rsid w:val="00DC21E1"/>
    <w:rsid w:val="00DC7381"/>
    <w:rsid w:val="00DC7A46"/>
    <w:rsid w:val="00DD096C"/>
    <w:rsid w:val="00DD0F54"/>
    <w:rsid w:val="00DD3E20"/>
    <w:rsid w:val="00DD4F7A"/>
    <w:rsid w:val="00DD5050"/>
    <w:rsid w:val="00DD5306"/>
    <w:rsid w:val="00DD5903"/>
    <w:rsid w:val="00DD5E1E"/>
    <w:rsid w:val="00DE1520"/>
    <w:rsid w:val="00DE229B"/>
    <w:rsid w:val="00DE3A2B"/>
    <w:rsid w:val="00DE4A81"/>
    <w:rsid w:val="00DE701B"/>
    <w:rsid w:val="00DE7498"/>
    <w:rsid w:val="00DE7AB8"/>
    <w:rsid w:val="00DF2A8D"/>
    <w:rsid w:val="00DF2E5D"/>
    <w:rsid w:val="00DF3188"/>
    <w:rsid w:val="00DF5529"/>
    <w:rsid w:val="00DF6DE8"/>
    <w:rsid w:val="00DF6FB0"/>
    <w:rsid w:val="00DF76B3"/>
    <w:rsid w:val="00DF76F2"/>
    <w:rsid w:val="00E00083"/>
    <w:rsid w:val="00E009E2"/>
    <w:rsid w:val="00E01DE7"/>
    <w:rsid w:val="00E0411F"/>
    <w:rsid w:val="00E0572E"/>
    <w:rsid w:val="00E0680A"/>
    <w:rsid w:val="00E072F7"/>
    <w:rsid w:val="00E10005"/>
    <w:rsid w:val="00E1238E"/>
    <w:rsid w:val="00E124B9"/>
    <w:rsid w:val="00E13F21"/>
    <w:rsid w:val="00E1612B"/>
    <w:rsid w:val="00E1749A"/>
    <w:rsid w:val="00E17515"/>
    <w:rsid w:val="00E20591"/>
    <w:rsid w:val="00E215D2"/>
    <w:rsid w:val="00E22766"/>
    <w:rsid w:val="00E2572E"/>
    <w:rsid w:val="00E25A3E"/>
    <w:rsid w:val="00E2692D"/>
    <w:rsid w:val="00E271C2"/>
    <w:rsid w:val="00E27AC2"/>
    <w:rsid w:val="00E30031"/>
    <w:rsid w:val="00E329A6"/>
    <w:rsid w:val="00E32A18"/>
    <w:rsid w:val="00E34CB5"/>
    <w:rsid w:val="00E3525D"/>
    <w:rsid w:val="00E36419"/>
    <w:rsid w:val="00E37789"/>
    <w:rsid w:val="00E40534"/>
    <w:rsid w:val="00E42265"/>
    <w:rsid w:val="00E45DAA"/>
    <w:rsid w:val="00E46560"/>
    <w:rsid w:val="00E47307"/>
    <w:rsid w:val="00E47601"/>
    <w:rsid w:val="00E50DB1"/>
    <w:rsid w:val="00E51053"/>
    <w:rsid w:val="00E51A6B"/>
    <w:rsid w:val="00E51A9F"/>
    <w:rsid w:val="00E51E7F"/>
    <w:rsid w:val="00E520E1"/>
    <w:rsid w:val="00E52CA8"/>
    <w:rsid w:val="00E53D85"/>
    <w:rsid w:val="00E550CE"/>
    <w:rsid w:val="00E57F98"/>
    <w:rsid w:val="00E60B86"/>
    <w:rsid w:val="00E62E45"/>
    <w:rsid w:val="00E62F7D"/>
    <w:rsid w:val="00E653F6"/>
    <w:rsid w:val="00E700B8"/>
    <w:rsid w:val="00E702B9"/>
    <w:rsid w:val="00E70588"/>
    <w:rsid w:val="00E70EC3"/>
    <w:rsid w:val="00E75FA1"/>
    <w:rsid w:val="00E76419"/>
    <w:rsid w:val="00E77787"/>
    <w:rsid w:val="00E77CD7"/>
    <w:rsid w:val="00E82017"/>
    <w:rsid w:val="00E82792"/>
    <w:rsid w:val="00E844D7"/>
    <w:rsid w:val="00E87814"/>
    <w:rsid w:val="00E92E9D"/>
    <w:rsid w:val="00E93B3C"/>
    <w:rsid w:val="00E96A7F"/>
    <w:rsid w:val="00E96D9C"/>
    <w:rsid w:val="00EA031A"/>
    <w:rsid w:val="00EA0CE9"/>
    <w:rsid w:val="00EA1A40"/>
    <w:rsid w:val="00EA29B4"/>
    <w:rsid w:val="00EA330D"/>
    <w:rsid w:val="00EA5190"/>
    <w:rsid w:val="00EA5E8D"/>
    <w:rsid w:val="00EA5F4C"/>
    <w:rsid w:val="00EA6109"/>
    <w:rsid w:val="00EB2688"/>
    <w:rsid w:val="00EB6181"/>
    <w:rsid w:val="00EB664F"/>
    <w:rsid w:val="00EB7E37"/>
    <w:rsid w:val="00EC12E8"/>
    <w:rsid w:val="00EC1357"/>
    <w:rsid w:val="00EC19FF"/>
    <w:rsid w:val="00EC1A22"/>
    <w:rsid w:val="00EC5ACF"/>
    <w:rsid w:val="00ED0499"/>
    <w:rsid w:val="00ED0F76"/>
    <w:rsid w:val="00ED1BD5"/>
    <w:rsid w:val="00ED22A8"/>
    <w:rsid w:val="00ED2479"/>
    <w:rsid w:val="00ED4EB4"/>
    <w:rsid w:val="00ED5D09"/>
    <w:rsid w:val="00ED7107"/>
    <w:rsid w:val="00EE2221"/>
    <w:rsid w:val="00EE276F"/>
    <w:rsid w:val="00EE2982"/>
    <w:rsid w:val="00EE4FAE"/>
    <w:rsid w:val="00EE634F"/>
    <w:rsid w:val="00EF144E"/>
    <w:rsid w:val="00EF369D"/>
    <w:rsid w:val="00EF38A7"/>
    <w:rsid w:val="00EF6A39"/>
    <w:rsid w:val="00EF6EA2"/>
    <w:rsid w:val="00EF7647"/>
    <w:rsid w:val="00F00B38"/>
    <w:rsid w:val="00F00BBD"/>
    <w:rsid w:val="00F0376E"/>
    <w:rsid w:val="00F044B3"/>
    <w:rsid w:val="00F05E83"/>
    <w:rsid w:val="00F07DC4"/>
    <w:rsid w:val="00F07E05"/>
    <w:rsid w:val="00F10842"/>
    <w:rsid w:val="00F10E0A"/>
    <w:rsid w:val="00F13C42"/>
    <w:rsid w:val="00F161F7"/>
    <w:rsid w:val="00F206E8"/>
    <w:rsid w:val="00F21755"/>
    <w:rsid w:val="00F21F2E"/>
    <w:rsid w:val="00F23947"/>
    <w:rsid w:val="00F23B61"/>
    <w:rsid w:val="00F264C9"/>
    <w:rsid w:val="00F276F1"/>
    <w:rsid w:val="00F32680"/>
    <w:rsid w:val="00F33A66"/>
    <w:rsid w:val="00F34368"/>
    <w:rsid w:val="00F34E5A"/>
    <w:rsid w:val="00F35452"/>
    <w:rsid w:val="00F42491"/>
    <w:rsid w:val="00F45532"/>
    <w:rsid w:val="00F45ED2"/>
    <w:rsid w:val="00F5394B"/>
    <w:rsid w:val="00F53C4F"/>
    <w:rsid w:val="00F56A51"/>
    <w:rsid w:val="00F61899"/>
    <w:rsid w:val="00F65D35"/>
    <w:rsid w:val="00F66CD4"/>
    <w:rsid w:val="00F66E01"/>
    <w:rsid w:val="00F7129A"/>
    <w:rsid w:val="00F7180D"/>
    <w:rsid w:val="00F71F93"/>
    <w:rsid w:val="00F727A7"/>
    <w:rsid w:val="00F729D7"/>
    <w:rsid w:val="00F774CD"/>
    <w:rsid w:val="00F80F59"/>
    <w:rsid w:val="00F81D04"/>
    <w:rsid w:val="00F82365"/>
    <w:rsid w:val="00F82E69"/>
    <w:rsid w:val="00F8346B"/>
    <w:rsid w:val="00F8414D"/>
    <w:rsid w:val="00F84181"/>
    <w:rsid w:val="00F84C5D"/>
    <w:rsid w:val="00F86271"/>
    <w:rsid w:val="00F867CC"/>
    <w:rsid w:val="00F87176"/>
    <w:rsid w:val="00F87303"/>
    <w:rsid w:val="00F91287"/>
    <w:rsid w:val="00F917FA"/>
    <w:rsid w:val="00F91B28"/>
    <w:rsid w:val="00F91DA0"/>
    <w:rsid w:val="00F9306F"/>
    <w:rsid w:val="00F94B4E"/>
    <w:rsid w:val="00F978B7"/>
    <w:rsid w:val="00FA2FCD"/>
    <w:rsid w:val="00FA3FA8"/>
    <w:rsid w:val="00FA4718"/>
    <w:rsid w:val="00FA6E64"/>
    <w:rsid w:val="00FA7CBF"/>
    <w:rsid w:val="00FB1DCD"/>
    <w:rsid w:val="00FB25E6"/>
    <w:rsid w:val="00FB29C7"/>
    <w:rsid w:val="00FB2F0E"/>
    <w:rsid w:val="00FB31CC"/>
    <w:rsid w:val="00FB4D29"/>
    <w:rsid w:val="00FB50A9"/>
    <w:rsid w:val="00FC05EE"/>
    <w:rsid w:val="00FC2EC6"/>
    <w:rsid w:val="00FC3281"/>
    <w:rsid w:val="00FC339A"/>
    <w:rsid w:val="00FC36E0"/>
    <w:rsid w:val="00FC505D"/>
    <w:rsid w:val="00FC546F"/>
    <w:rsid w:val="00FC6F5E"/>
    <w:rsid w:val="00FC711A"/>
    <w:rsid w:val="00FC7D31"/>
    <w:rsid w:val="00FD13AC"/>
    <w:rsid w:val="00FD2D28"/>
    <w:rsid w:val="00FD5C54"/>
    <w:rsid w:val="00FD6BFE"/>
    <w:rsid w:val="00FE3FF3"/>
    <w:rsid w:val="00FE6D8B"/>
    <w:rsid w:val="00FF459F"/>
    <w:rsid w:val="00FF4D4F"/>
    <w:rsid w:val="00FF5BB6"/>
    <w:rsid w:val="1A113708"/>
    <w:rsid w:val="4D8212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CAF495"/>
  <w15:docId w15:val="{CB7FBE95-88E8-45E5-B0B7-93A55F4F1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Lines="100" w:before="100" w:afterLines="100" w:after="100" w:line="360" w:lineRule="auto"/>
      <w:jc w:val="center"/>
      <w:outlineLvl w:val="0"/>
    </w:pPr>
    <w:rPr>
      <w:b/>
      <w:bCs/>
      <w:kern w:val="44"/>
      <w:sz w:val="28"/>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Cambria" w:hAnsi="Cambria"/>
      <w:b/>
      <w:bCs/>
      <w:sz w:val="32"/>
      <w:szCs w:val="32"/>
    </w:rPr>
  </w:style>
  <w:style w:type="paragraph" w:styleId="4">
    <w:name w:val="heading 4"/>
    <w:basedOn w:val="a"/>
    <w:next w:val="a"/>
    <w:link w:val="40"/>
    <w:uiPriority w:val="9"/>
    <w:unhideWhenUsed/>
    <w:qFormat/>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pBdr>
        <w:bottom w:val="single" w:sz="6" w:space="1" w:color="auto"/>
      </w:pBdr>
      <w:tabs>
        <w:tab w:val="center" w:pos="4153"/>
        <w:tab w:val="right" w:pos="8306"/>
      </w:tabs>
      <w:snapToGrid w:val="0"/>
      <w:jc w:val="center"/>
    </w:pPr>
    <w:rPr>
      <w:kern w:val="0"/>
      <w:sz w:val="18"/>
      <w:szCs w:val="18"/>
    </w:rPr>
  </w:style>
  <w:style w:type="paragraph" w:styleId="a5">
    <w:name w:val="annotation subject"/>
    <w:basedOn w:val="a6"/>
    <w:next w:val="a6"/>
    <w:link w:val="a7"/>
    <w:uiPriority w:val="99"/>
    <w:unhideWhenUsed/>
    <w:rPr>
      <w:b/>
      <w:bCs/>
    </w:rPr>
  </w:style>
  <w:style w:type="paragraph" w:styleId="a6">
    <w:name w:val="annotation text"/>
    <w:basedOn w:val="a"/>
    <w:link w:val="a8"/>
    <w:unhideWhenUsed/>
    <w:pPr>
      <w:jc w:val="left"/>
    </w:pPr>
  </w:style>
  <w:style w:type="paragraph" w:styleId="a9">
    <w:name w:val="Document Map"/>
    <w:basedOn w:val="a"/>
    <w:link w:val="aa"/>
    <w:uiPriority w:val="99"/>
    <w:unhideWhenUsed/>
    <w:rPr>
      <w:rFonts w:ascii="宋体"/>
      <w:sz w:val="18"/>
      <w:szCs w:val="18"/>
    </w:rPr>
  </w:style>
  <w:style w:type="paragraph" w:styleId="ab">
    <w:name w:val="Balloon Text"/>
    <w:basedOn w:val="a"/>
    <w:semiHidden/>
    <w:rPr>
      <w:sz w:val="18"/>
      <w:szCs w:val="18"/>
    </w:rPr>
  </w:style>
  <w:style w:type="paragraph" w:styleId="ac">
    <w:name w:val="footer"/>
    <w:basedOn w:val="a"/>
    <w:link w:val="ad"/>
    <w:uiPriority w:val="99"/>
    <w:unhideWhenUsed/>
    <w:pPr>
      <w:tabs>
        <w:tab w:val="center" w:pos="4153"/>
        <w:tab w:val="right" w:pos="8306"/>
      </w:tabs>
      <w:snapToGrid w:val="0"/>
      <w:jc w:val="left"/>
    </w:pPr>
    <w:rPr>
      <w:kern w:val="0"/>
      <w:sz w:val="18"/>
      <w:szCs w:val="18"/>
    </w:rPr>
  </w:style>
  <w:style w:type="paragraph" w:styleId="11">
    <w:name w:val="toc 1"/>
    <w:basedOn w:val="a"/>
    <w:next w:val="a"/>
    <w:uiPriority w:val="39"/>
    <w:unhideWhenUsed/>
  </w:style>
  <w:style w:type="paragraph" w:styleId="ae">
    <w:name w:val="Subtitle"/>
    <w:basedOn w:val="a"/>
    <w:next w:val="a"/>
    <w:link w:val="af"/>
    <w:qFormat/>
    <w:pPr>
      <w:spacing w:before="240" w:after="60" w:line="312" w:lineRule="auto"/>
      <w:jc w:val="center"/>
      <w:outlineLvl w:val="1"/>
    </w:pPr>
    <w:rPr>
      <w:rFonts w:ascii="Cambria" w:hAnsi="Cambria"/>
      <w:b/>
      <w:bCs/>
      <w:kern w:val="28"/>
      <w:sz w:val="32"/>
      <w:szCs w:val="32"/>
    </w:rPr>
  </w:style>
  <w:style w:type="paragraph" w:styleId="21">
    <w:name w:val="toc 2"/>
    <w:basedOn w:val="a"/>
    <w:next w:val="a"/>
    <w:uiPriority w:val="39"/>
    <w:unhideWhenUsed/>
    <w:pPr>
      <w:ind w:leftChars="200" w:left="480"/>
    </w:pPr>
  </w:style>
  <w:style w:type="character" w:styleId="af0">
    <w:name w:val="Hyperlink"/>
    <w:uiPriority w:val="99"/>
    <w:unhideWhenUsed/>
    <w:rPr>
      <w:color w:val="0000FF"/>
      <w:u w:val="single"/>
    </w:rPr>
  </w:style>
  <w:style w:type="character" w:styleId="af1">
    <w:name w:val="annotation reference"/>
    <w:unhideWhenUsed/>
    <w:rPr>
      <w:sz w:val="21"/>
      <w:szCs w:val="21"/>
    </w:rPr>
  </w:style>
  <w:style w:type="table" w:styleId="af2">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5">
    <w:name w:val="Light Shading Accent 5"/>
    <w:basedOn w:val="a1"/>
    <w:uiPriority w:val="60"/>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l2br w:val="nil"/>
          <w:tr2bl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paragraph" w:customStyle="1" w:styleId="af3">
    <w:basedOn w:val="1"/>
    <w:next w:val="a"/>
    <w:uiPriority w:val="39"/>
    <w:qFormat/>
    <w:pPr>
      <w:widowControl/>
      <w:spacing w:beforeLines="0" w:before="480" w:line="276" w:lineRule="auto"/>
      <w:jc w:val="left"/>
      <w:outlineLvl w:val="9"/>
    </w:pPr>
    <w:rPr>
      <w:rFonts w:ascii="Cambria" w:hAnsi="Cambria"/>
      <w:color w:val="365F91"/>
      <w:kern w:val="0"/>
      <w:szCs w:val="28"/>
    </w:rPr>
  </w:style>
  <w:style w:type="paragraph" w:customStyle="1" w:styleId="XBRLTitle6">
    <w:name w:val="XBRLTitle6"/>
    <w:basedOn w:val="ae"/>
    <w:next w:val="4"/>
    <w:qFormat/>
    <w:pPr>
      <w:keepNext/>
      <w:keepLines/>
      <w:numPr>
        <w:ilvl w:val="5"/>
        <w:numId w:val="1"/>
      </w:numPr>
      <w:ind w:left="0" w:firstLine="0"/>
      <w:jc w:val="left"/>
    </w:pPr>
    <w:rPr>
      <w:bCs w:val="0"/>
      <w:sz w:val="24"/>
    </w:rPr>
  </w:style>
  <w:style w:type="paragraph" w:customStyle="1" w:styleId="af4">
    <w:uiPriority w:val="99"/>
    <w:semiHidden/>
    <w:rPr>
      <w:kern w:val="2"/>
      <w:sz w:val="21"/>
      <w:szCs w:val="22"/>
    </w:rPr>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customStyle="1" w:styleId="XBRLTitle1">
    <w:name w:val="XBRLTitle1"/>
    <w:basedOn w:val="1"/>
    <w:next w:val="2"/>
    <w:qFormat/>
    <w:pPr>
      <w:numPr>
        <w:numId w:val="1"/>
      </w:numPr>
      <w:spacing w:beforeLines="50" w:before="340" w:afterLines="50" w:after="330" w:line="240" w:lineRule="auto"/>
    </w:pPr>
    <w:rPr>
      <w:rFonts w:ascii="Cambria" w:hAnsi="Cambria"/>
    </w:rPr>
  </w:style>
  <w:style w:type="paragraph" w:customStyle="1" w:styleId="XBRLTitle2">
    <w:name w:val="XBRLTitle2"/>
    <w:basedOn w:val="ae"/>
    <w:next w:val="4"/>
    <w:qFormat/>
    <w:pPr>
      <w:keepNext/>
      <w:keepLines/>
      <w:numPr>
        <w:ilvl w:val="1"/>
        <w:numId w:val="1"/>
      </w:numPr>
      <w:jc w:val="left"/>
    </w:pPr>
    <w:rPr>
      <w:bCs w:val="0"/>
      <w:sz w:val="24"/>
    </w:rPr>
  </w:style>
  <w:style w:type="paragraph" w:customStyle="1" w:styleId="XBRLTitle3">
    <w:name w:val="XBRLTitle3"/>
    <w:basedOn w:val="ae"/>
    <w:next w:val="4"/>
    <w:qFormat/>
    <w:pPr>
      <w:keepNext/>
      <w:keepLines/>
      <w:numPr>
        <w:ilvl w:val="2"/>
        <w:numId w:val="1"/>
      </w:numPr>
      <w:ind w:left="0" w:firstLine="0"/>
      <w:jc w:val="left"/>
    </w:pPr>
    <w:rPr>
      <w:bCs w:val="0"/>
      <w:sz w:val="24"/>
    </w:rPr>
  </w:style>
  <w:style w:type="paragraph" w:customStyle="1" w:styleId="XBRLTitle5">
    <w:name w:val="XBRLTitle5"/>
    <w:basedOn w:val="ae"/>
    <w:next w:val="4"/>
    <w:qFormat/>
    <w:pPr>
      <w:keepNext/>
      <w:keepLines/>
      <w:numPr>
        <w:ilvl w:val="4"/>
        <w:numId w:val="1"/>
      </w:numPr>
      <w:ind w:left="0" w:firstLine="0"/>
      <w:jc w:val="left"/>
    </w:pPr>
    <w:rPr>
      <w:bCs w:val="0"/>
      <w:sz w:val="24"/>
    </w:rPr>
  </w:style>
  <w:style w:type="paragraph" w:customStyle="1" w:styleId="XBRLTitle4">
    <w:name w:val="XBRLTitle4"/>
    <w:basedOn w:val="ae"/>
    <w:next w:val="4"/>
    <w:qFormat/>
    <w:pPr>
      <w:keepNext/>
      <w:keepLines/>
      <w:numPr>
        <w:ilvl w:val="3"/>
        <w:numId w:val="1"/>
      </w:numPr>
      <w:ind w:left="0" w:firstLine="0"/>
      <w:jc w:val="left"/>
    </w:pPr>
    <w:rPr>
      <w:bCs w:val="0"/>
      <w:sz w:val="24"/>
    </w:rPr>
  </w:style>
  <w:style w:type="character" w:customStyle="1" w:styleId="Char1">
    <w:name w:val="副标题 Char1"/>
    <w:rPr>
      <w:rFonts w:ascii="Cambria" w:hAnsi="Cambria"/>
      <w:b/>
      <w:kern w:val="28"/>
      <w:sz w:val="24"/>
      <w:szCs w:val="32"/>
    </w:rPr>
  </w:style>
  <w:style w:type="character" w:customStyle="1" w:styleId="txtcontent11">
    <w:name w:val="txtcontent11"/>
    <w:rPr>
      <w:rFonts w:ascii="ˎ̥" w:hAnsi="ˎ̥" w:hint="default"/>
      <w:color w:val="000000"/>
      <w:sz w:val="21"/>
      <w:szCs w:val="21"/>
    </w:rPr>
  </w:style>
  <w:style w:type="character" w:customStyle="1" w:styleId="a8">
    <w:name w:val="批注文字 字符"/>
    <w:link w:val="a6"/>
    <w:rPr>
      <w:kern w:val="2"/>
      <w:sz w:val="21"/>
      <w:szCs w:val="22"/>
    </w:rPr>
  </w:style>
  <w:style w:type="character" w:customStyle="1" w:styleId="a7">
    <w:name w:val="批注主题 字符"/>
    <w:link w:val="a5"/>
    <w:uiPriority w:val="99"/>
    <w:semiHidden/>
    <w:rPr>
      <w:b/>
      <w:bCs/>
      <w:kern w:val="2"/>
      <w:sz w:val="21"/>
      <w:szCs w:val="22"/>
    </w:rPr>
  </w:style>
  <w:style w:type="character" w:customStyle="1" w:styleId="a4">
    <w:name w:val="页眉 字符"/>
    <w:link w:val="a3"/>
    <w:uiPriority w:val="99"/>
    <w:rPr>
      <w:sz w:val="18"/>
      <w:szCs w:val="18"/>
    </w:rPr>
  </w:style>
  <w:style w:type="character" w:customStyle="1" w:styleId="af">
    <w:name w:val="副标题 字符"/>
    <w:link w:val="ae"/>
    <w:rPr>
      <w:rFonts w:ascii="Cambria" w:hAnsi="Cambria" w:cs="Times New Roman"/>
      <w:b/>
      <w:bCs/>
      <w:kern w:val="28"/>
      <w:sz w:val="32"/>
      <w:szCs w:val="32"/>
    </w:rPr>
  </w:style>
  <w:style w:type="character" w:customStyle="1" w:styleId="aa">
    <w:name w:val="文档结构图 字符"/>
    <w:link w:val="a9"/>
    <w:uiPriority w:val="99"/>
    <w:semiHidden/>
    <w:rPr>
      <w:rFonts w:ascii="宋体"/>
      <w:kern w:val="2"/>
      <w:sz w:val="18"/>
      <w:szCs w:val="18"/>
    </w:rPr>
  </w:style>
  <w:style w:type="character" w:customStyle="1" w:styleId="ad">
    <w:name w:val="页脚 字符"/>
    <w:link w:val="ac"/>
    <w:uiPriority w:val="99"/>
    <w:rPr>
      <w:sz w:val="18"/>
      <w:szCs w:val="18"/>
    </w:rPr>
  </w:style>
  <w:style w:type="character" w:customStyle="1" w:styleId="20">
    <w:name w:val="标题 2 字符"/>
    <w:link w:val="2"/>
    <w:uiPriority w:val="9"/>
    <w:semiHidden/>
    <w:rPr>
      <w:rFonts w:ascii="Cambria" w:eastAsia="宋体" w:hAnsi="Cambria" w:cs="Times New Roman"/>
      <w:b/>
      <w:bCs/>
      <w:kern w:val="2"/>
      <w:sz w:val="32"/>
      <w:szCs w:val="32"/>
    </w:rPr>
  </w:style>
  <w:style w:type="character" w:customStyle="1" w:styleId="40">
    <w:name w:val="标题 4 字符"/>
    <w:link w:val="4"/>
    <w:uiPriority w:val="9"/>
    <w:semiHidden/>
    <w:rPr>
      <w:rFonts w:ascii="Cambria" w:eastAsia="宋体" w:hAnsi="Cambria" w:cs="Times New Roman"/>
      <w:b/>
      <w:bCs/>
      <w:kern w:val="2"/>
      <w:sz w:val="28"/>
      <w:szCs w:val="28"/>
    </w:rPr>
  </w:style>
  <w:style w:type="character" w:customStyle="1" w:styleId="10">
    <w:name w:val="标题 1 字符"/>
    <w:link w:val="1"/>
    <w:uiPriority w:val="9"/>
    <w:rPr>
      <w:b/>
      <w:bCs/>
      <w:kern w:val="44"/>
      <w:sz w:val="28"/>
      <w:szCs w:val="44"/>
    </w:rPr>
  </w:style>
  <w:style w:type="paragraph" w:styleId="af5">
    <w:name w:val="Body Text"/>
    <w:basedOn w:val="a"/>
    <w:link w:val="12"/>
    <w:unhideWhenUsed/>
    <w:rsid w:val="005F25D8"/>
    <w:pPr>
      <w:spacing w:line="360" w:lineRule="auto"/>
      <w:contextualSpacing/>
    </w:pPr>
    <w:rPr>
      <w:rFonts w:ascii="Times New Roman" w:hAnsi="Times New Roman"/>
      <w:szCs w:val="24"/>
    </w:rPr>
  </w:style>
  <w:style w:type="character" w:customStyle="1" w:styleId="af6">
    <w:name w:val="正文文本 字符"/>
    <w:uiPriority w:val="99"/>
    <w:semiHidden/>
    <w:rsid w:val="005F25D8"/>
    <w:rPr>
      <w:kern w:val="2"/>
      <w:sz w:val="21"/>
      <w:szCs w:val="22"/>
    </w:rPr>
  </w:style>
  <w:style w:type="character" w:customStyle="1" w:styleId="12">
    <w:name w:val="正文文本 字符1"/>
    <w:link w:val="af5"/>
    <w:qFormat/>
    <w:rsid w:val="005F25D8"/>
    <w:rPr>
      <w:rFonts w:ascii="Times New Roman" w:hAnsi="Times New Roman"/>
      <w:kern w:val="2"/>
      <w:sz w:val="21"/>
      <w:szCs w:val="24"/>
    </w:rPr>
  </w:style>
  <w:style w:type="paragraph" w:styleId="af7">
    <w:name w:val="Revision"/>
    <w:hidden/>
    <w:uiPriority w:val="99"/>
    <w:semiHidden/>
    <w:rsid w:val="001A33D5"/>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26" Type="http://schemas.microsoft.com/office/2016/09/relationships/commentsIds" Target="commentsId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jp-fund.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49"/>
    <customShpInfo spid="_x0000_s206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BDE55B-43D4-4C04-A4A5-5C54065D9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167</Pages>
  <Words>17795</Words>
  <Characters>101435</Characters>
  <Application>Microsoft Office Word</Application>
  <DocSecurity>0</DocSecurity>
  <Lines>845</Lines>
  <Paragraphs>237</Paragraphs>
  <ScaleCrop>false</ScaleCrop>
  <Company>Microsoft</Company>
  <LinksUpToDate>false</LinksUpToDate>
  <CharactersWithSpaces>118993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系统用户</dc:creator>
  <cp:lastModifiedBy>张婕茹</cp:lastModifiedBy>
  <cp:revision>12</cp:revision>
  <cp:lastPrinted>2013-02-18T03:10:00Z</cp:lastPrinted>
  <dcterms:created xsi:type="dcterms:W3CDTF">2023-03-27T05:24:00Z</dcterms:created>
  <dcterms:modified xsi:type="dcterms:W3CDTF">2023-03-27T07:15:00Z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