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pPr>
    </w:p>
    <w:p>
      <w:pPr>
        <w:pStyle w:val="10"/>
        <w:jc w:val="center"/>
        <w:rPr>
          <w:rFonts w:ascii="Times New Roman" w:hAnsi="宋体" w:cs="Times New Roman"/>
          <w:b/>
          <w:color w:val="auto"/>
          <w:kern w:val="2"/>
          <w:sz w:val="28"/>
          <w:szCs w:val="28"/>
        </w:rPr>
      </w:pPr>
      <w:r>
        <w:rPr>
          <w:rFonts w:hint="eastAsia" w:ascii="Times New Roman" w:hAnsi="宋体"/>
          <w:b/>
          <w:sz w:val="28"/>
          <w:szCs w:val="28"/>
        </w:rPr>
        <w:t>交银施罗德基金管理有限公司</w:t>
      </w:r>
      <w:r>
        <w:rPr>
          <w:rFonts w:hint="eastAsia" w:ascii="Times New Roman" w:hAnsi="宋体" w:cs="Times New Roman"/>
          <w:b/>
          <w:color w:val="auto"/>
          <w:kern w:val="2"/>
          <w:sz w:val="28"/>
          <w:szCs w:val="28"/>
        </w:rPr>
        <w:t>关于交银施罗德瑞思三年封闭运作混合型证券投资基金封闭期届满变更基金名称及相关安排的公告</w:t>
      </w:r>
      <w:bookmarkStart w:id="0" w:name="_GoBack"/>
      <w:bookmarkEnd w:id="0"/>
    </w:p>
    <w:p>
      <w:pPr>
        <w:pStyle w:val="10"/>
        <w:jc w:val="center"/>
        <w:rPr>
          <w:rFonts w:ascii="Times New Roman" w:hAnsi="宋体" w:cs="Times New Roman"/>
          <w:b/>
          <w:color w:val="auto"/>
          <w:kern w:val="2"/>
          <w:sz w:val="28"/>
          <w:szCs w:val="28"/>
        </w:rPr>
      </w:pPr>
    </w:p>
    <w:p>
      <w:pPr>
        <w:pStyle w:val="10"/>
        <w:spacing w:line="360" w:lineRule="auto"/>
        <w:ind w:firstLine="480" w:firstLineChars="200"/>
        <w:jc w:val="both"/>
        <w:rPr>
          <w:rFonts w:ascii="Times New Roman" w:hAnsi="宋体" w:cs="Times New Roman"/>
          <w:color w:val="auto"/>
          <w:kern w:val="2"/>
        </w:rPr>
      </w:pPr>
      <w:r>
        <w:rPr>
          <w:rFonts w:hint="eastAsia" w:ascii="Times New Roman" w:hAnsi="宋体" w:cs="Times New Roman"/>
          <w:color w:val="auto"/>
          <w:kern w:val="2"/>
        </w:rPr>
        <w:t>交银施罗德瑞思三年封闭运作混合型证券投资基金（以下简称“本基金”，基金代码：501092，场外基金简称：交银瑞思，场内基金简称：交银瑞思）的基金合同于2020年2月21日生效，并于2020年8月5日开始在上海证券交易所上市交易。本基金的基金管理人为交银施罗德基金管理有限公司（以下简称“基金管理人”），基金托管人为中国农业银行股份有限公司（以下简称“基金托管人”）。</w:t>
      </w:r>
    </w:p>
    <w:p>
      <w:pPr>
        <w:pStyle w:val="10"/>
        <w:spacing w:line="360" w:lineRule="auto"/>
        <w:ind w:firstLine="480" w:firstLineChars="200"/>
        <w:jc w:val="both"/>
        <w:rPr>
          <w:rFonts w:ascii="Times New Roman" w:hAnsi="宋体" w:cs="Times New Roman"/>
          <w:color w:val="auto"/>
          <w:kern w:val="2"/>
        </w:rPr>
      </w:pPr>
      <w:r>
        <w:rPr>
          <w:rFonts w:hint="eastAsia" w:ascii="Times New Roman" w:hAnsi="宋体" w:cs="Times New Roman"/>
          <w:color w:val="auto"/>
          <w:kern w:val="2"/>
        </w:rPr>
        <w:t>根据《交银施罗德瑞思三年封闭运作混合型证券投资基金基金合同》（以下简称“基金合同”）的约定，基金合同生效后，前三年封闭运作，在封闭期内，本基金不办理申购、赎回业务，但投资人可在本基金上市交易后通过上海证券交易所转让基金份额。封闭期届满后，本基金转为上市开放式基金（LOF），基金名称相应变更为“交银施罗德瑞思混合型证券投资基金（LOF）”，可办理场外、场内申购赎回，并继续在上海证券交易所上市交易。</w:t>
      </w:r>
    </w:p>
    <w:p>
      <w:pPr>
        <w:pStyle w:val="10"/>
        <w:spacing w:line="360" w:lineRule="auto"/>
        <w:ind w:firstLine="480" w:firstLineChars="200"/>
        <w:jc w:val="both"/>
        <w:rPr>
          <w:rFonts w:ascii="Times New Roman" w:hAnsi="宋体" w:cs="Times New Roman"/>
          <w:color w:val="auto"/>
          <w:kern w:val="2"/>
        </w:rPr>
      </w:pPr>
      <w:r>
        <w:rPr>
          <w:rFonts w:hint="eastAsia" w:ascii="Times New Roman" w:hAnsi="宋体" w:cs="Times New Roman"/>
          <w:color w:val="auto"/>
          <w:kern w:val="2"/>
        </w:rPr>
        <w:t>鉴于本基金封闭期即将届满，现将相关事宜公告如下：</w:t>
      </w:r>
    </w:p>
    <w:p>
      <w:pPr>
        <w:pStyle w:val="10"/>
        <w:spacing w:line="360" w:lineRule="auto"/>
        <w:ind w:firstLine="480" w:firstLineChars="200"/>
        <w:jc w:val="both"/>
        <w:rPr>
          <w:rFonts w:ascii="Times New Roman" w:hAnsi="宋体" w:cs="Times New Roman"/>
          <w:color w:val="auto"/>
          <w:kern w:val="2"/>
        </w:rPr>
      </w:pPr>
    </w:p>
    <w:p>
      <w:pPr>
        <w:pStyle w:val="10"/>
        <w:spacing w:line="360" w:lineRule="auto"/>
        <w:ind w:firstLine="482" w:firstLineChars="200"/>
        <w:jc w:val="both"/>
        <w:rPr>
          <w:rFonts w:ascii="Times New Roman" w:hAnsi="宋体" w:cs="Times New Roman"/>
          <w:color w:val="auto"/>
          <w:kern w:val="2"/>
        </w:rPr>
      </w:pPr>
      <w:r>
        <w:rPr>
          <w:rFonts w:hint="eastAsia" w:ascii="Times New Roman" w:hAnsi="宋体" w:cs="Times New Roman"/>
          <w:b/>
          <w:bCs/>
          <w:color w:val="auto"/>
          <w:kern w:val="2"/>
        </w:rPr>
        <w:t>一、基金名称变更</w:t>
      </w:r>
      <w:r>
        <w:rPr>
          <w:rFonts w:hint="eastAsia" w:ascii="Times New Roman" w:hAnsi="宋体" w:cs="Times New Roman"/>
          <w:color w:val="auto"/>
          <w:kern w:val="2"/>
        </w:rPr>
        <w:t xml:space="preserve"> </w:t>
      </w:r>
    </w:p>
    <w:p>
      <w:pPr>
        <w:pStyle w:val="10"/>
        <w:spacing w:line="360" w:lineRule="auto"/>
        <w:ind w:firstLine="480" w:firstLineChars="200"/>
        <w:jc w:val="both"/>
        <w:rPr>
          <w:rFonts w:ascii="Times New Roman" w:hAnsi="宋体" w:cs="Times New Roman"/>
          <w:color w:val="auto"/>
          <w:kern w:val="2"/>
        </w:rPr>
      </w:pPr>
      <w:r>
        <w:rPr>
          <w:rFonts w:hint="eastAsia" w:ascii="Times New Roman" w:hAnsi="宋体" w:cs="Times New Roman"/>
          <w:color w:val="auto"/>
          <w:kern w:val="2"/>
        </w:rPr>
        <w:t>根据基金合同约定，本基金的封闭期将于2023年2月20日届满，本基金自 2023年2月21日起转为上市开放式基金（L</w:t>
      </w:r>
      <w:r>
        <w:rPr>
          <w:rFonts w:ascii="Times New Roman" w:hAnsi="宋体" w:cs="Times New Roman"/>
          <w:color w:val="auto"/>
          <w:kern w:val="2"/>
        </w:rPr>
        <w:t>OF</w:t>
      </w:r>
      <w:r>
        <w:rPr>
          <w:rFonts w:hint="eastAsia" w:ascii="Times New Roman" w:hAnsi="宋体" w:cs="Times New Roman"/>
          <w:color w:val="auto"/>
          <w:kern w:val="2"/>
        </w:rPr>
        <w:t>），基金名称相应变更为“交银施罗德瑞思混合型证券投资基金（LOF）”，可办理场外、场内申购赎回。本基金更名后，基金简称变更为“交银瑞思混合（LOF）”，场内简称与基金代码不变，场内简称为“交银瑞思”，基金代码为“501092”，扩位简称为“交银瑞思LOF”。</w:t>
      </w:r>
    </w:p>
    <w:p>
      <w:pPr>
        <w:pStyle w:val="10"/>
        <w:spacing w:line="360" w:lineRule="auto"/>
        <w:ind w:firstLine="480" w:firstLineChars="200"/>
        <w:jc w:val="both"/>
        <w:rPr>
          <w:rFonts w:ascii="Times New Roman" w:hAnsi="宋体" w:cs="Times New Roman"/>
          <w:color w:val="auto"/>
          <w:kern w:val="2"/>
        </w:rPr>
      </w:pPr>
    </w:p>
    <w:p>
      <w:pPr>
        <w:pStyle w:val="10"/>
        <w:spacing w:line="360" w:lineRule="auto"/>
        <w:ind w:firstLine="482" w:firstLineChars="200"/>
        <w:jc w:val="both"/>
        <w:rPr>
          <w:rFonts w:ascii="Times New Roman" w:hAnsi="宋体" w:cs="Times New Roman"/>
          <w:b/>
          <w:bCs/>
          <w:color w:val="auto"/>
          <w:kern w:val="2"/>
        </w:rPr>
      </w:pPr>
      <w:r>
        <w:rPr>
          <w:rFonts w:hint="eastAsia" w:ascii="Times New Roman" w:hAnsi="宋体" w:cs="Times New Roman"/>
          <w:b/>
          <w:bCs/>
          <w:color w:val="auto"/>
          <w:kern w:val="2"/>
        </w:rPr>
        <w:t xml:space="preserve">二、基金合同和托管协议的修订 </w:t>
      </w:r>
    </w:p>
    <w:p>
      <w:pPr>
        <w:pStyle w:val="10"/>
        <w:spacing w:line="360" w:lineRule="auto"/>
        <w:ind w:firstLine="480" w:firstLineChars="200"/>
        <w:jc w:val="both"/>
        <w:rPr>
          <w:rFonts w:ascii="Times New Roman" w:hAnsi="宋体" w:cs="Times New Roman"/>
          <w:color w:val="auto"/>
          <w:kern w:val="2"/>
        </w:rPr>
      </w:pPr>
      <w:r>
        <w:rPr>
          <w:rFonts w:hint="eastAsia" w:ascii="Times New Roman" w:hAnsi="宋体" w:cs="Times New Roman"/>
          <w:color w:val="auto"/>
          <w:kern w:val="2"/>
        </w:rPr>
        <w:t>经与基金托管人协商一致，并报中国证监会备案，基金管理人因本基金更名及基金运作实际情况对基金合同、托管协议进行了修订。本基金基金合同、托管协议的修订符合相关法律法规，对基金份额持有人利益无实质性不利影响。修订后的基金合同和托管协议自2023年2月21日起生效，本基金将适用其中封闭期届满开放后的有关规定。</w:t>
      </w:r>
    </w:p>
    <w:p>
      <w:pPr>
        <w:pStyle w:val="10"/>
        <w:spacing w:line="360" w:lineRule="auto"/>
        <w:ind w:firstLine="480" w:firstLineChars="200"/>
        <w:jc w:val="both"/>
        <w:rPr>
          <w:rFonts w:ascii="Times New Roman" w:hAnsi="宋体" w:cs="Times New Roman"/>
          <w:color w:val="auto"/>
          <w:kern w:val="2"/>
        </w:rPr>
      </w:pPr>
      <w:r>
        <w:rPr>
          <w:rFonts w:hint="eastAsia" w:ascii="Times New Roman" w:hAnsi="宋体" w:cs="Times New Roman"/>
          <w:color w:val="auto"/>
          <w:kern w:val="2"/>
        </w:rPr>
        <w:t>基金管理人将相应更新本基金的招募说明书、基金产品资料概要相关内容。</w:t>
      </w:r>
    </w:p>
    <w:p>
      <w:pPr>
        <w:pStyle w:val="10"/>
        <w:spacing w:line="360" w:lineRule="auto"/>
        <w:ind w:firstLine="480" w:firstLineChars="200"/>
        <w:jc w:val="both"/>
        <w:rPr>
          <w:rFonts w:ascii="Times New Roman" w:hAnsi="宋体" w:cs="Times New Roman"/>
          <w:color w:val="auto"/>
          <w:kern w:val="2"/>
        </w:rPr>
      </w:pPr>
    </w:p>
    <w:p>
      <w:pPr>
        <w:pStyle w:val="10"/>
        <w:spacing w:line="360" w:lineRule="auto"/>
        <w:ind w:firstLine="482" w:firstLineChars="200"/>
        <w:jc w:val="both"/>
        <w:rPr>
          <w:rFonts w:ascii="Times New Roman" w:hAnsi="宋体" w:cs="Times New Roman"/>
          <w:b/>
          <w:bCs/>
          <w:color w:val="auto"/>
          <w:kern w:val="2"/>
        </w:rPr>
      </w:pPr>
      <w:r>
        <w:rPr>
          <w:rFonts w:hint="eastAsia" w:ascii="Times New Roman" w:hAnsi="宋体" w:cs="Times New Roman"/>
          <w:b/>
          <w:bCs/>
          <w:color w:val="auto"/>
          <w:kern w:val="2"/>
        </w:rPr>
        <w:t xml:space="preserve">三、申购、赎回等相关业务安排 </w:t>
      </w:r>
    </w:p>
    <w:p>
      <w:pPr>
        <w:pStyle w:val="10"/>
        <w:spacing w:line="360" w:lineRule="auto"/>
        <w:ind w:firstLine="480" w:firstLineChars="200"/>
        <w:jc w:val="both"/>
        <w:rPr>
          <w:rFonts w:ascii="Times New Roman" w:hAnsi="宋体" w:cs="Times New Roman"/>
          <w:color w:val="auto"/>
          <w:kern w:val="2"/>
        </w:rPr>
      </w:pPr>
      <w:r>
        <w:rPr>
          <w:rFonts w:hint="eastAsia" w:ascii="Times New Roman" w:hAnsi="宋体" w:cs="Times New Roman"/>
          <w:color w:val="auto"/>
          <w:kern w:val="2"/>
        </w:rPr>
        <w:t>交银施罗德瑞思混合型证券投资基金（LOF）将于2023年2月21日起开放日常申购、赎回、转换和定期定额投资业务，转托管业务和二级市场交易仍照常办理，详见本基金管理人届时发布的公告。</w:t>
      </w:r>
    </w:p>
    <w:p>
      <w:pPr>
        <w:pStyle w:val="10"/>
        <w:spacing w:line="360" w:lineRule="auto"/>
        <w:ind w:firstLine="480" w:firstLineChars="200"/>
        <w:jc w:val="both"/>
        <w:rPr>
          <w:rFonts w:ascii="Times New Roman" w:hAnsi="宋体" w:cs="Times New Roman"/>
          <w:color w:val="auto"/>
          <w:kern w:val="2"/>
        </w:rPr>
      </w:pPr>
      <w:r>
        <w:rPr>
          <w:rFonts w:hint="eastAsia" w:ascii="Times New Roman" w:hAnsi="宋体" w:cs="Times New Roman"/>
          <w:color w:val="auto"/>
          <w:kern w:val="2"/>
        </w:rPr>
        <w:t>对于投资者在本基金更名前持有的基金份额，其持有期将自投资者持有基金份额的注册登记日起连续计算。</w:t>
      </w:r>
    </w:p>
    <w:p>
      <w:pPr>
        <w:pStyle w:val="10"/>
        <w:spacing w:line="360" w:lineRule="auto"/>
        <w:ind w:firstLine="480" w:firstLineChars="200"/>
        <w:jc w:val="both"/>
        <w:rPr>
          <w:rFonts w:ascii="Times New Roman" w:hAnsi="宋体" w:cs="Times New Roman"/>
          <w:color w:val="auto"/>
          <w:kern w:val="2"/>
        </w:rPr>
      </w:pPr>
    </w:p>
    <w:p>
      <w:pPr>
        <w:adjustRightInd w:val="0"/>
        <w:snapToGrid w:val="0"/>
        <w:spacing w:line="360" w:lineRule="auto"/>
        <w:jc w:val="left"/>
        <w:rPr>
          <w:rFonts w:ascii="Times New Roman" w:hAnsi="宋体"/>
          <w:bCs/>
          <w:sz w:val="24"/>
          <w:szCs w:val="24"/>
        </w:rPr>
      </w:pPr>
    </w:p>
    <w:p>
      <w:pPr>
        <w:adjustRightInd w:val="0"/>
        <w:snapToGrid w:val="0"/>
        <w:spacing w:line="360" w:lineRule="auto"/>
        <w:ind w:firstLine="480" w:firstLineChars="200"/>
        <w:jc w:val="left"/>
        <w:rPr>
          <w:rFonts w:ascii="Times New Roman" w:hAnsi="Times New Roman"/>
          <w:bCs/>
          <w:sz w:val="24"/>
          <w:szCs w:val="24"/>
        </w:rPr>
      </w:pPr>
      <w:r>
        <w:rPr>
          <w:rFonts w:ascii="Times New Roman" w:hAnsi="宋体"/>
          <w:bCs/>
          <w:sz w:val="24"/>
          <w:szCs w:val="24"/>
        </w:rPr>
        <w:t>重要提示：</w:t>
      </w:r>
    </w:p>
    <w:p>
      <w:pPr>
        <w:adjustRightInd w:val="0"/>
        <w:snapToGrid w:val="0"/>
        <w:spacing w:line="360" w:lineRule="auto"/>
        <w:ind w:firstLine="480" w:firstLineChars="200"/>
        <w:rPr>
          <w:rFonts w:ascii="Times New Roman" w:hAnsi="Times New Roman"/>
          <w:bCs/>
          <w:sz w:val="24"/>
          <w:szCs w:val="24"/>
        </w:rPr>
      </w:pPr>
      <w:r>
        <w:rPr>
          <w:rFonts w:ascii="Times New Roman" w:hAnsi="宋体"/>
          <w:bCs/>
          <w:sz w:val="24"/>
          <w:szCs w:val="24"/>
        </w:rPr>
        <w:t>投资人</w:t>
      </w:r>
      <w:r>
        <w:rPr>
          <w:rFonts w:ascii="Times New Roman" w:hAnsi="宋体"/>
          <w:color w:val="000000"/>
          <w:sz w:val="24"/>
        </w:rPr>
        <w:t>可以登录本基金管理人网站（</w:t>
      </w:r>
      <w:r>
        <w:rPr>
          <w:rFonts w:ascii="Times New Roman" w:hAnsi="Times New Roman"/>
          <w:color w:val="000000"/>
          <w:sz w:val="24"/>
        </w:rPr>
        <w:t>www.fund001.com</w:t>
      </w:r>
      <w:r>
        <w:rPr>
          <w:rFonts w:ascii="Times New Roman" w:hAnsi="宋体"/>
          <w:color w:val="000000"/>
          <w:sz w:val="24"/>
        </w:rPr>
        <w:t>）或拨打本基金管理人的客户服务电话</w:t>
      </w:r>
      <w:r>
        <w:rPr>
          <w:rFonts w:ascii="Times New Roman" w:hAnsi="Times New Roman"/>
          <w:color w:val="000000"/>
          <w:sz w:val="24"/>
        </w:rPr>
        <w:t>400-700-5000</w:t>
      </w:r>
      <w:r>
        <w:rPr>
          <w:rFonts w:ascii="Times New Roman" w:hAnsi="宋体"/>
          <w:color w:val="000000"/>
          <w:sz w:val="24"/>
        </w:rPr>
        <w:t>（免长途话费），（</w:t>
      </w:r>
      <w:r>
        <w:rPr>
          <w:rFonts w:ascii="Times New Roman" w:hAnsi="Times New Roman"/>
          <w:color w:val="000000"/>
          <w:sz w:val="24"/>
        </w:rPr>
        <w:t>021</w:t>
      </w:r>
      <w:r>
        <w:rPr>
          <w:rFonts w:ascii="Times New Roman" w:hAnsi="宋体"/>
          <w:color w:val="000000"/>
          <w:sz w:val="24"/>
        </w:rPr>
        <w:t>）</w:t>
      </w:r>
      <w:r>
        <w:rPr>
          <w:rFonts w:ascii="Times New Roman" w:hAnsi="Times New Roman"/>
          <w:color w:val="000000"/>
          <w:sz w:val="24"/>
        </w:rPr>
        <w:t>61055000</w:t>
      </w:r>
      <w:r>
        <w:rPr>
          <w:rFonts w:ascii="Times New Roman" w:hAnsi="宋体"/>
          <w:color w:val="000000"/>
          <w:sz w:val="24"/>
        </w:rPr>
        <w:t>咨询有关详情。</w:t>
      </w:r>
    </w:p>
    <w:p>
      <w:pPr>
        <w:adjustRightInd w:val="0"/>
        <w:snapToGrid w:val="0"/>
        <w:spacing w:line="360" w:lineRule="auto"/>
        <w:ind w:firstLine="480" w:firstLineChars="200"/>
        <w:rPr>
          <w:rFonts w:ascii="Times New Roman" w:hAnsi="Times New Roman"/>
          <w:bCs/>
          <w:sz w:val="24"/>
          <w:szCs w:val="24"/>
        </w:rPr>
      </w:pPr>
    </w:p>
    <w:p>
      <w:pPr>
        <w:adjustRightInd w:val="0"/>
        <w:snapToGrid w:val="0"/>
        <w:spacing w:line="360" w:lineRule="auto"/>
        <w:ind w:firstLine="480" w:firstLineChars="200"/>
        <w:rPr>
          <w:rFonts w:ascii="Times New Roman" w:hAnsi="Times New Roman"/>
          <w:bCs/>
          <w:sz w:val="24"/>
          <w:szCs w:val="24"/>
        </w:rPr>
      </w:pPr>
      <w:r>
        <w:rPr>
          <w:rFonts w:ascii="Times New Roman" w:hAnsi="宋体"/>
          <w:bCs/>
          <w:sz w:val="24"/>
          <w:szCs w:val="24"/>
        </w:rPr>
        <w:t>风险提示：</w:t>
      </w:r>
      <w:r>
        <w:rPr>
          <w:rFonts w:ascii="Times New Roman" w:hAnsi="Times New Roman"/>
          <w:bCs/>
          <w:sz w:val="24"/>
          <w:szCs w:val="24"/>
        </w:rPr>
        <w:t xml:space="preserve"> </w:t>
      </w:r>
    </w:p>
    <w:p>
      <w:pPr>
        <w:adjustRightInd w:val="0"/>
        <w:snapToGrid w:val="0"/>
        <w:spacing w:line="360" w:lineRule="auto"/>
        <w:ind w:firstLine="480" w:firstLineChars="200"/>
        <w:rPr>
          <w:rFonts w:ascii="Times New Roman" w:hAnsi="Times New Roman"/>
          <w:bCs/>
          <w:sz w:val="24"/>
          <w:szCs w:val="24"/>
        </w:rPr>
      </w:pPr>
      <w:r>
        <w:rPr>
          <w:rFonts w:ascii="Times New Roman" w:hAnsi="宋体"/>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及关注基金特有风险，并选择适合自身风险承受能力的投资品种进行投资。</w:t>
      </w:r>
      <w:r>
        <w:rPr>
          <w:rFonts w:ascii="Times New Roman" w:hAnsi="Times New Roman"/>
          <w:bCs/>
          <w:sz w:val="24"/>
          <w:szCs w:val="24"/>
        </w:rPr>
        <w:t xml:space="preserve"> </w:t>
      </w:r>
      <w:r>
        <w:rPr>
          <w:rFonts w:ascii="Times New Roman" w:hAnsi="Times New Roman"/>
          <w:bCs/>
          <w:sz w:val="24"/>
          <w:szCs w:val="24"/>
        </w:rPr>
        <w:br w:type="textWrapping"/>
      </w:r>
      <w:r>
        <w:rPr>
          <w:rFonts w:ascii="Times New Roman" w:hAnsi="Times New Roman"/>
          <w:bCs/>
          <w:sz w:val="24"/>
          <w:szCs w:val="24"/>
        </w:rPr>
        <w:t xml:space="preserve">    </w:t>
      </w:r>
    </w:p>
    <w:p>
      <w:pPr>
        <w:adjustRightInd w:val="0"/>
        <w:snapToGrid w:val="0"/>
        <w:spacing w:line="360" w:lineRule="auto"/>
        <w:ind w:firstLine="480" w:firstLineChars="200"/>
        <w:rPr>
          <w:rFonts w:ascii="Times New Roman" w:hAnsi="Times New Roman"/>
          <w:bCs/>
          <w:sz w:val="24"/>
          <w:szCs w:val="24"/>
        </w:rPr>
      </w:pPr>
      <w:r>
        <w:rPr>
          <w:rFonts w:ascii="Times New Roman" w:hAnsi="宋体"/>
          <w:bCs/>
          <w:sz w:val="24"/>
          <w:szCs w:val="24"/>
        </w:rPr>
        <w:t>特此公告。</w:t>
      </w:r>
      <w:r>
        <w:rPr>
          <w:rFonts w:ascii="Times New Roman" w:hAnsi="Times New Roman"/>
          <w:bCs/>
          <w:sz w:val="24"/>
          <w:szCs w:val="24"/>
        </w:rPr>
        <w:t xml:space="preserve"> </w:t>
      </w:r>
    </w:p>
    <w:p>
      <w:pPr>
        <w:adjustRightInd w:val="0"/>
        <w:snapToGrid w:val="0"/>
        <w:spacing w:line="360" w:lineRule="auto"/>
        <w:rPr>
          <w:rFonts w:ascii="Times New Roman" w:hAnsi="Times New Roman"/>
          <w:bCs/>
          <w:sz w:val="24"/>
          <w:szCs w:val="24"/>
        </w:rPr>
      </w:pPr>
      <w:r>
        <w:rPr>
          <w:rFonts w:ascii="Times New Roman" w:hAnsi="Times New Roman"/>
          <w:bCs/>
          <w:sz w:val="24"/>
          <w:szCs w:val="24"/>
        </w:rPr>
        <w:t xml:space="preserve">    </w:t>
      </w:r>
    </w:p>
    <w:p>
      <w:pPr>
        <w:adjustRightInd w:val="0"/>
        <w:snapToGrid w:val="0"/>
        <w:spacing w:line="360" w:lineRule="auto"/>
        <w:ind w:firstLine="480" w:firstLineChars="200"/>
        <w:jc w:val="right"/>
        <w:rPr>
          <w:rFonts w:ascii="Times New Roman" w:hAnsi="Times New Roman"/>
          <w:bCs/>
          <w:sz w:val="24"/>
          <w:szCs w:val="24"/>
        </w:rPr>
      </w:pPr>
      <w:r>
        <w:rPr>
          <w:rFonts w:ascii="Times New Roman" w:hAnsi="宋体"/>
          <w:bCs/>
          <w:sz w:val="24"/>
          <w:szCs w:val="24"/>
        </w:rPr>
        <w:t>交银施罗德基金管理有限公司</w:t>
      </w:r>
      <w:r>
        <w:rPr>
          <w:rFonts w:ascii="Times New Roman" w:hAnsi="Times New Roman"/>
          <w:bCs/>
          <w:sz w:val="24"/>
          <w:szCs w:val="24"/>
        </w:rPr>
        <w:t xml:space="preserve"> </w:t>
      </w:r>
    </w:p>
    <w:p>
      <w:pPr>
        <w:adjustRightInd w:val="0"/>
        <w:snapToGrid w:val="0"/>
        <w:spacing w:line="360" w:lineRule="auto"/>
        <w:ind w:firstLine="480" w:firstLineChars="200"/>
        <w:jc w:val="right"/>
        <w:rPr>
          <w:rFonts w:ascii="Times New Roman" w:hAnsi="Times New Roman"/>
          <w:bCs/>
          <w:sz w:val="24"/>
          <w:szCs w:val="24"/>
        </w:rPr>
      </w:pPr>
      <w:r>
        <w:rPr>
          <w:rFonts w:hint="eastAsia" w:hAnsi="宋体"/>
          <w:bCs/>
          <w:sz w:val="24"/>
          <w:szCs w:val="24"/>
        </w:rPr>
        <w:t>二〇二三年二月十七</w:t>
      </w:r>
      <w:r>
        <w:rPr>
          <w:rFonts w:hAnsi="宋体"/>
          <w:bCs/>
          <w:sz w:val="24"/>
          <w:szCs w:val="24"/>
        </w:rPr>
        <w:t>日</w:t>
      </w:r>
    </w:p>
    <w:p>
      <w:pPr>
        <w:pStyle w:val="10"/>
        <w:spacing w:line="360" w:lineRule="auto"/>
        <w:jc w:val="both"/>
        <w:rPr>
          <w:rFonts w:ascii="Times New Roman" w:hAnsi="宋体"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E64"/>
    <w:rsid w:val="000860BC"/>
    <w:rsid w:val="000D09E2"/>
    <w:rsid w:val="000E4378"/>
    <w:rsid w:val="000F2F81"/>
    <w:rsid w:val="0014234F"/>
    <w:rsid w:val="001575A1"/>
    <w:rsid w:val="00191DF9"/>
    <w:rsid w:val="001D04F7"/>
    <w:rsid w:val="00210119"/>
    <w:rsid w:val="00214006"/>
    <w:rsid w:val="002763EE"/>
    <w:rsid w:val="00285826"/>
    <w:rsid w:val="002C5CDD"/>
    <w:rsid w:val="002E57DC"/>
    <w:rsid w:val="00322D8F"/>
    <w:rsid w:val="00371430"/>
    <w:rsid w:val="00420510"/>
    <w:rsid w:val="00474CBB"/>
    <w:rsid w:val="004B0E5C"/>
    <w:rsid w:val="00525D51"/>
    <w:rsid w:val="005302AC"/>
    <w:rsid w:val="005330A6"/>
    <w:rsid w:val="00663534"/>
    <w:rsid w:val="006E1B66"/>
    <w:rsid w:val="00715E64"/>
    <w:rsid w:val="00724514"/>
    <w:rsid w:val="007C61F0"/>
    <w:rsid w:val="0084183D"/>
    <w:rsid w:val="008560EF"/>
    <w:rsid w:val="009B3DA8"/>
    <w:rsid w:val="00A65175"/>
    <w:rsid w:val="00A85557"/>
    <w:rsid w:val="00AC4204"/>
    <w:rsid w:val="00AF45E3"/>
    <w:rsid w:val="00B64F39"/>
    <w:rsid w:val="00B819B7"/>
    <w:rsid w:val="00BA7BF5"/>
    <w:rsid w:val="00C57706"/>
    <w:rsid w:val="00CA4F46"/>
    <w:rsid w:val="00CB16A0"/>
    <w:rsid w:val="00CD39DB"/>
    <w:rsid w:val="00D80D81"/>
    <w:rsid w:val="00E570F4"/>
    <w:rsid w:val="00EA0C5D"/>
    <w:rsid w:val="00F32852"/>
    <w:rsid w:val="00FA1F66"/>
    <w:rsid w:val="00FA5A5F"/>
    <w:rsid w:val="00FE6D3E"/>
    <w:rsid w:val="00FF55FC"/>
    <w:rsid w:val="0B87247A"/>
    <w:rsid w:val="109349DA"/>
    <w:rsid w:val="1A106A31"/>
    <w:rsid w:val="41652299"/>
    <w:rsid w:val="41D62225"/>
    <w:rsid w:val="446423EB"/>
    <w:rsid w:val="50AB5034"/>
    <w:rsid w:val="72C52BEA"/>
    <w:rsid w:val="7BF54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1"/>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2"/>
    <w:semiHidden/>
    <w:unhideWhenUsed/>
    <w:qFormat/>
    <w:uiPriority w:val="99"/>
    <w:rPr>
      <w:b/>
      <w:bCs/>
    </w:rPr>
  </w:style>
  <w:style w:type="character" w:styleId="9">
    <w:name w:val="annotation reference"/>
    <w:basedOn w:val="8"/>
    <w:semiHidden/>
    <w:unhideWhenUsed/>
    <w:qFormat/>
    <w:uiPriority w:val="99"/>
    <w:rPr>
      <w:sz w:val="21"/>
      <w:szCs w:val="21"/>
    </w:rPr>
  </w:style>
  <w:style w:type="paragraph" w:customStyle="1" w:styleId="1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11">
    <w:name w:val="批注文字 Char"/>
    <w:basedOn w:val="8"/>
    <w:link w:val="2"/>
    <w:semiHidden/>
    <w:qFormat/>
    <w:uiPriority w:val="99"/>
  </w:style>
  <w:style w:type="character" w:customStyle="1" w:styleId="12">
    <w:name w:val="批注主题 Char"/>
    <w:basedOn w:val="11"/>
    <w:link w:val="6"/>
    <w:semiHidden/>
    <w:qFormat/>
    <w:uiPriority w:val="99"/>
    <w:rPr>
      <w:b/>
      <w:bCs/>
    </w:rPr>
  </w:style>
  <w:style w:type="character" w:customStyle="1" w:styleId="13">
    <w:name w:val="批注框文本 Char"/>
    <w:basedOn w:val="8"/>
    <w:link w:val="3"/>
    <w:semiHidden/>
    <w:qFormat/>
    <w:uiPriority w:val="99"/>
    <w:rPr>
      <w:sz w:val="18"/>
      <w:szCs w:val="18"/>
    </w:rPr>
  </w:style>
  <w:style w:type="character" w:customStyle="1" w:styleId="14">
    <w:name w:val="页眉 Char"/>
    <w:basedOn w:val="8"/>
    <w:link w:val="5"/>
    <w:qFormat/>
    <w:uiPriority w:val="99"/>
    <w:rPr>
      <w:sz w:val="18"/>
      <w:szCs w:val="18"/>
    </w:rPr>
  </w:style>
  <w:style w:type="character" w:customStyle="1" w:styleId="15">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llinks.com</Company>
  <Pages>1</Pages>
  <Words>291</Words>
  <Characters>1665</Characters>
  <Lines>13</Lines>
  <Paragraphs>3</Paragraphs>
  <TotalTime>343</TotalTime>
  <ScaleCrop>false</ScaleCrop>
  <LinksUpToDate>false</LinksUpToDate>
  <CharactersWithSpaces>1953</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2022-08-08T07:03:00Z</dcterms:created>
  <dc:creator>张敏峻</dc:creator>
  <cp:lastModifiedBy>喻秋燕</cp:lastModifiedBy>
  <dcterms:modified xsi:type="dcterms:W3CDTF">2023-01-30T08:00:14Z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