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290F2" w14:textId="77777777" w:rsidR="002609C9" w:rsidRDefault="002609C9">
      <w:pPr>
        <w:rPr>
          <w:sz w:val="32"/>
        </w:rPr>
      </w:pPr>
    </w:p>
    <w:p w14:paraId="2DBF7DA4" w14:textId="77777777" w:rsidR="002609C9" w:rsidRDefault="002609C9">
      <w:pPr>
        <w:rPr>
          <w:sz w:val="32"/>
        </w:rPr>
      </w:pPr>
    </w:p>
    <w:p w14:paraId="2643BB72" w14:textId="77777777" w:rsidR="002609C9" w:rsidRDefault="002609C9">
      <w:pPr>
        <w:rPr>
          <w:sz w:val="32"/>
        </w:rPr>
      </w:pPr>
    </w:p>
    <w:p w14:paraId="0F7AC71B" w14:textId="1C85CE21" w:rsidR="002609C9" w:rsidRDefault="008423FD">
      <w:pPr>
        <w:jc w:val="center"/>
        <w:rPr>
          <w:sz w:val="32"/>
        </w:rPr>
      </w:pPr>
      <w:r>
        <w:rPr>
          <w:noProof/>
        </w:rPr>
        <w:drawing>
          <wp:inline distT="0" distB="0" distL="0" distR="0" wp14:anchorId="344C45D3" wp14:editId="33E2BD52">
            <wp:extent cx="4347210" cy="57658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7210" cy="576580"/>
                    </a:xfrm>
                    <a:prstGeom prst="rect">
                      <a:avLst/>
                    </a:prstGeom>
                    <a:noFill/>
                    <a:ln>
                      <a:noFill/>
                    </a:ln>
                  </pic:spPr>
                </pic:pic>
              </a:graphicData>
            </a:graphic>
          </wp:inline>
        </w:drawing>
      </w:r>
    </w:p>
    <w:p w14:paraId="7434FD3E" w14:textId="77777777" w:rsidR="002609C9" w:rsidRDefault="002609C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FE43AB2" w14:textId="77777777" w:rsidR="002609C9" w:rsidRDefault="002609C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1AC8C37" w14:textId="77777777" w:rsidR="002609C9" w:rsidRDefault="000E6610">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交银施罗德智选星光混合型基金中基金（</w:t>
      </w:r>
      <w:r>
        <w:rPr>
          <w:rFonts w:ascii="Times New Roman" w:hAnsi="Times New Roman"/>
          <w:b/>
          <w:spacing w:val="2"/>
          <w:w w:val="99"/>
          <w:kern w:val="0"/>
          <w:position w:val="-4"/>
          <w:sz w:val="44"/>
          <w:szCs w:val="44"/>
        </w:rPr>
        <w:t>FOF-LOF</w:t>
      </w:r>
      <w:r>
        <w:rPr>
          <w:rFonts w:ascii="Times New Roman" w:hAnsi="Times New Roman"/>
          <w:b/>
          <w:spacing w:val="2"/>
          <w:w w:val="99"/>
          <w:kern w:val="0"/>
          <w:position w:val="-4"/>
          <w:sz w:val="44"/>
          <w:szCs w:val="44"/>
        </w:rPr>
        <w:t>）</w:t>
      </w:r>
    </w:p>
    <w:p w14:paraId="338BF3BF" w14:textId="77777777" w:rsidR="002609C9" w:rsidRDefault="000E6610">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1B12B118" w14:textId="7DC5334A" w:rsidR="002609C9" w:rsidRDefault="000E6610">
      <w:pPr>
        <w:snapToGrid w:val="0"/>
        <w:spacing w:line="360" w:lineRule="auto"/>
        <w:jc w:val="center"/>
        <w:rPr>
          <w:rFonts w:ascii="宋体" w:hAnsi="宋体"/>
          <w:b/>
          <w:sz w:val="30"/>
          <w:szCs w:val="30"/>
        </w:rPr>
      </w:pPr>
      <w:r>
        <w:rPr>
          <w:rFonts w:ascii="Times New Roman" w:hAnsi="Times New Roman"/>
          <w:b/>
          <w:color w:val="000000"/>
          <w:sz w:val="32"/>
          <w:szCs w:val="32"/>
        </w:rPr>
        <w:t>(202</w:t>
      </w:r>
      <w:r w:rsidR="00B8619B">
        <w:rPr>
          <w:rFonts w:ascii="Times New Roman" w:hAnsi="Times New Roman"/>
          <w:b/>
          <w:color w:val="000000"/>
          <w:sz w:val="32"/>
          <w:szCs w:val="32"/>
        </w:rPr>
        <w:t>3</w:t>
      </w:r>
      <w:r>
        <w:rPr>
          <w:rFonts w:ascii="Times New Roman" w:hAnsi="Times New Roman"/>
          <w:b/>
          <w:color w:val="000000"/>
          <w:sz w:val="32"/>
          <w:szCs w:val="32"/>
        </w:rPr>
        <w:t>年</w:t>
      </w:r>
      <w:r w:rsidR="008C17F1">
        <w:rPr>
          <w:rFonts w:ascii="Times New Roman" w:hAnsi="Times New Roman"/>
          <w:b/>
          <w:color w:val="000000"/>
          <w:sz w:val="32"/>
          <w:szCs w:val="32"/>
        </w:rPr>
        <w:t>第</w:t>
      </w:r>
      <w:r w:rsidR="00B8619B">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37209CDE" w14:textId="77777777" w:rsidR="002609C9" w:rsidRPr="008C17F1" w:rsidRDefault="002609C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92EBE7F" w14:textId="77777777" w:rsidR="002609C9" w:rsidRDefault="002609C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14F03C7" w14:textId="77777777" w:rsidR="002609C9" w:rsidRDefault="002609C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F50A3AA" w14:textId="77777777" w:rsidR="002609C9" w:rsidRDefault="002609C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A37756" w14:textId="77777777" w:rsidR="002609C9" w:rsidRDefault="002609C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126227D" w14:textId="77777777" w:rsidR="002609C9" w:rsidRDefault="002609C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F06062E" w14:textId="77777777" w:rsidR="002609C9" w:rsidRDefault="000E6610">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7527D458" w14:textId="77777777" w:rsidR="002609C9" w:rsidRDefault="000E6610">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基金托管人：中国光大银行股份有限公司</w:t>
      </w:r>
    </w:p>
    <w:p w14:paraId="140A38AB" w14:textId="77777777" w:rsidR="002609C9" w:rsidRDefault="002609C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72CC5F8" w14:textId="77777777" w:rsidR="002609C9" w:rsidRDefault="002609C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BB3B0BB" w14:textId="6A62FBFA" w:rsidR="002609C9" w:rsidRDefault="000E6610">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B8619B">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B8619B">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14:paraId="778FD683" w14:textId="77777777" w:rsidR="002609C9" w:rsidRDefault="002609C9">
      <w:pPr>
        <w:autoSpaceDE w:val="0"/>
        <w:autoSpaceDN w:val="0"/>
        <w:adjustRightInd w:val="0"/>
        <w:snapToGrid w:val="0"/>
        <w:spacing w:line="360" w:lineRule="auto"/>
        <w:ind w:left="1347" w:rightChars="6" w:right="13"/>
        <w:rPr>
          <w:rFonts w:ascii="宋体" w:hAnsi="宋体"/>
          <w:kern w:val="0"/>
          <w:sz w:val="32"/>
          <w:szCs w:val="32"/>
        </w:rPr>
        <w:sectPr w:rsidR="002609C9">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642564F6" w14:textId="77777777" w:rsidR="002609C9" w:rsidRDefault="000E6610">
      <w:pPr>
        <w:pStyle w:val="1"/>
        <w:snapToGrid w:val="0"/>
        <w:spacing w:beforeLines="0" w:before="240" w:after="240"/>
        <w:rPr>
          <w:rFonts w:ascii="宋体" w:hAnsi="宋体"/>
          <w:kern w:val="0"/>
        </w:rPr>
      </w:pPr>
      <w:bookmarkStart w:id="0" w:name="_Toc324920538"/>
      <w:bookmarkStart w:id="1" w:name="_Toc116553072"/>
      <w:bookmarkStart w:id="2" w:name="_Toc496884613"/>
      <w:r>
        <w:rPr>
          <w:rFonts w:ascii="Times New Roman" w:hAnsi="Times New Roman"/>
          <w:kern w:val="0"/>
        </w:rPr>
        <w:lastRenderedPageBreak/>
        <w:t>重要提示</w:t>
      </w:r>
      <w:bookmarkEnd w:id="0"/>
      <w:bookmarkEnd w:id="1"/>
      <w:bookmarkEnd w:id="2"/>
    </w:p>
    <w:p w14:paraId="099F1780"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交银施罗德智选星光混合型基金中基金（</w:t>
      </w:r>
      <w:r>
        <w:rPr>
          <w:rFonts w:ascii="Times New Roman" w:hAnsi="Times New Roman" w:hint="eastAsia"/>
          <w:kern w:val="0"/>
          <w:sz w:val="24"/>
        </w:rPr>
        <w:t>FOF-LOF</w:t>
      </w:r>
      <w:r>
        <w:rPr>
          <w:rFonts w:ascii="Times New Roman" w:hAnsi="Times New Roman" w:hint="eastAsia"/>
          <w:kern w:val="0"/>
          <w:sz w:val="24"/>
        </w:rPr>
        <w:t>）由交银施罗德智选星光一年封闭运作混合型基金中基金（</w:t>
      </w:r>
      <w:r>
        <w:rPr>
          <w:rFonts w:ascii="Times New Roman" w:hAnsi="Times New Roman" w:hint="eastAsia"/>
          <w:kern w:val="0"/>
          <w:sz w:val="24"/>
        </w:rPr>
        <w:t>FOF-LOF</w:t>
      </w:r>
      <w:r>
        <w:rPr>
          <w:rFonts w:ascii="Times New Roman" w:hAnsi="Times New Roman" w:hint="eastAsia"/>
          <w:kern w:val="0"/>
          <w:sz w:val="24"/>
        </w:rPr>
        <w:t>）封闭期届满后更名而来。</w:t>
      </w:r>
      <w:r>
        <w:rPr>
          <w:rFonts w:ascii="Times New Roman" w:hAnsi="Times New Roman"/>
          <w:kern w:val="0"/>
          <w:sz w:val="24"/>
        </w:rPr>
        <w:t>交银施罗德智选星光一年封闭运作混合型基金中基金（</w:t>
      </w:r>
      <w:r>
        <w:rPr>
          <w:rFonts w:ascii="Times New Roman" w:hAnsi="Times New Roman"/>
          <w:kern w:val="0"/>
          <w:sz w:val="24"/>
        </w:rPr>
        <w:t>FOF-LOF</w:t>
      </w:r>
      <w:r>
        <w:rPr>
          <w:rFonts w:ascii="Times New Roman" w:hAnsi="Times New Roman"/>
          <w:kern w:val="0"/>
          <w:sz w:val="24"/>
        </w:rPr>
        <w:t>）（以下</w:t>
      </w:r>
      <w:r>
        <w:rPr>
          <w:rFonts w:ascii="Times New Roman" w:hAnsi="Times New Roman" w:hint="eastAsia"/>
          <w:kern w:val="0"/>
          <w:sz w:val="24"/>
        </w:rPr>
        <w:t>与交银施罗德智选星光混合型基金中基金（</w:t>
      </w:r>
      <w:r>
        <w:rPr>
          <w:rFonts w:ascii="Times New Roman" w:hAnsi="Times New Roman" w:hint="eastAsia"/>
          <w:kern w:val="0"/>
          <w:sz w:val="24"/>
        </w:rPr>
        <w:t>FOF-LOF</w:t>
      </w:r>
      <w:r>
        <w:rPr>
          <w:rFonts w:ascii="Times New Roman" w:hAnsi="Times New Roman" w:hint="eastAsia"/>
          <w:kern w:val="0"/>
          <w:sz w:val="24"/>
        </w:rPr>
        <w:t>）</w:t>
      </w:r>
      <w:r>
        <w:rPr>
          <w:rFonts w:ascii="Times New Roman" w:hAnsi="Times New Roman"/>
          <w:kern w:val="0"/>
          <w:sz w:val="24"/>
        </w:rPr>
        <w:t>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2021</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16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2021</w:t>
      </w:r>
      <w:r>
        <w:rPr>
          <w:rFonts w:ascii="Times New Roman" w:hAnsi="Times New Roman"/>
          <w:kern w:val="0"/>
          <w:sz w:val="24"/>
        </w:rPr>
        <w:t>】</w:t>
      </w:r>
      <w:r>
        <w:rPr>
          <w:rFonts w:ascii="Times New Roman" w:hAnsi="Times New Roman"/>
          <w:kern w:val="0"/>
          <w:sz w:val="24"/>
        </w:rPr>
        <w:t>3049</w:t>
      </w:r>
      <w:r>
        <w:rPr>
          <w:rFonts w:ascii="Times New Roman" w:hAnsi="Times New Roman"/>
          <w:kern w:val="0"/>
          <w:sz w:val="24"/>
        </w:rPr>
        <w:t>号文准予募集注册。本基金基金合同于</w:t>
      </w:r>
      <w:r>
        <w:rPr>
          <w:rFonts w:ascii="Times New Roman" w:hAnsi="Times New Roman"/>
          <w:kern w:val="0"/>
          <w:sz w:val="24"/>
        </w:rPr>
        <w:t>2021</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10</w:t>
      </w:r>
      <w:r>
        <w:rPr>
          <w:rFonts w:ascii="Times New Roman" w:hAnsi="Times New Roman"/>
          <w:kern w:val="0"/>
          <w:sz w:val="24"/>
        </w:rPr>
        <w:t>日正式生效。</w:t>
      </w:r>
    </w:p>
    <w:p w14:paraId="37552CB8"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59A1508E"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1C9C3CE4"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本基金为基金中基金，由于本基金主要投资于经中国证监会依法核准或注册的公开募集证券投资基金的基金份额，投资本基金可能遇到的风险包括：因受到经济因素、政治因素、投资心理和交易制度等各种因素的影响而引起的市场风险；基金管理人在基金管理运作过程中产生的基金管理风险；流动性风险（包括实施侧袋机制时的特定风险）；信用风险；基金中基金的特有风险；投资资产支持证券的特定风险；投资流通受限证券的特定风险；投资科创板股票的特定风险；连续</w:t>
      </w:r>
      <w:r>
        <w:rPr>
          <w:rFonts w:ascii="Times New Roman" w:hAnsi="Times New Roman"/>
          <w:kern w:val="0"/>
          <w:sz w:val="24"/>
        </w:rPr>
        <w:t>50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合同提前终止的风险；基金上市交易的风险；基金份额二级市场交易价格折溢价的风险；退市风险；投资本基金特有的其他风险等等。本基金为混合型基金中基金，其预期风险与预期收益高于债券型基金、债券型基金中基金、货币市场基金和货币型基金中基金，低于股票型基金和股票型基金中基金。</w:t>
      </w:r>
    </w:p>
    <w:p w14:paraId="30D8C07C"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基金合同生效后，前一年封闭运作，在封闭期内，本基金不办理申购、赎回业务，但投资人可在本基金</w:t>
      </w:r>
      <w:r>
        <w:rPr>
          <w:rFonts w:ascii="Times New Roman" w:hAnsi="Times New Roman"/>
          <w:kern w:val="0"/>
          <w:sz w:val="24"/>
        </w:rPr>
        <w:t>A</w:t>
      </w:r>
      <w:r>
        <w:rPr>
          <w:rFonts w:ascii="Times New Roman" w:hAnsi="Times New Roman"/>
          <w:kern w:val="0"/>
          <w:sz w:val="24"/>
        </w:rPr>
        <w:t>类基金份额上市交易后通过上海证券交易所转让</w:t>
      </w:r>
      <w:r>
        <w:rPr>
          <w:rFonts w:ascii="Times New Roman" w:hAnsi="Times New Roman"/>
          <w:kern w:val="0"/>
          <w:sz w:val="24"/>
        </w:rPr>
        <w:t>A</w:t>
      </w:r>
      <w:r>
        <w:rPr>
          <w:rFonts w:ascii="Times New Roman" w:hAnsi="Times New Roman"/>
          <w:kern w:val="0"/>
          <w:sz w:val="24"/>
        </w:rPr>
        <w:t>类基金份额。本基金封闭期结束转为开放式运作后，投资人方可进行</w:t>
      </w:r>
      <w:r>
        <w:rPr>
          <w:rFonts w:ascii="Times New Roman" w:hAnsi="Times New Roman"/>
          <w:kern w:val="0"/>
          <w:sz w:val="24"/>
        </w:rPr>
        <w:t>A</w:t>
      </w:r>
      <w:r>
        <w:rPr>
          <w:rFonts w:ascii="Times New Roman" w:hAnsi="Times New Roman"/>
          <w:kern w:val="0"/>
          <w:sz w:val="24"/>
        </w:rPr>
        <w:t>类</w:t>
      </w:r>
      <w:r>
        <w:rPr>
          <w:rFonts w:ascii="Times New Roman" w:hAnsi="Times New Roman"/>
          <w:kern w:val="0"/>
          <w:sz w:val="24"/>
        </w:rPr>
        <w:t>/C</w:t>
      </w:r>
      <w:r>
        <w:rPr>
          <w:rFonts w:ascii="Times New Roman" w:hAnsi="Times New Roman"/>
          <w:kern w:val="0"/>
          <w:sz w:val="24"/>
        </w:rPr>
        <w:t>类基金份额的申购与赎回。投资者将面临封闭期内无法赎回基金份额的风险。</w:t>
      </w:r>
    </w:p>
    <w:p w14:paraId="065D1DBB"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3D4A49C1"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本基金投资内地与香港股票市场交易互联互通机制允许买卖的规定范围内的香港联合交易所有限公司（以下简称</w:t>
      </w:r>
      <w:r>
        <w:rPr>
          <w:rFonts w:ascii="Times New Roman" w:hAnsi="Times New Roman"/>
          <w:kern w:val="0"/>
          <w:sz w:val="24"/>
        </w:rPr>
        <w:t>“</w:t>
      </w:r>
      <w:r>
        <w:rPr>
          <w:rFonts w:ascii="Times New Roman" w:hAnsi="Times New Roman"/>
          <w:kern w:val="0"/>
          <w:sz w:val="24"/>
        </w:rPr>
        <w:t>香港联合交易所</w:t>
      </w:r>
      <w:r>
        <w:rPr>
          <w:rFonts w:ascii="Times New Roman" w:hAnsi="Times New Roman"/>
          <w:kern w:val="0"/>
          <w:sz w:val="24"/>
        </w:rPr>
        <w:t>”</w:t>
      </w:r>
      <w:r>
        <w:rPr>
          <w:rFonts w:ascii="Times New Roman" w:hAnsi="Times New Roman"/>
          <w:kern w:val="0"/>
          <w:sz w:val="24"/>
        </w:rPr>
        <w:t>）上市的股票（以下简称</w:t>
      </w:r>
      <w:r>
        <w:rPr>
          <w:rFonts w:ascii="Times New Roman" w:hAnsi="Times New Roman"/>
          <w:kern w:val="0"/>
          <w:sz w:val="24"/>
        </w:rPr>
        <w:t>“</w:t>
      </w:r>
      <w:r>
        <w:rPr>
          <w:rFonts w:ascii="Times New Roman" w:hAnsi="Times New Roman"/>
          <w:kern w:val="0"/>
          <w:sz w:val="24"/>
        </w:rPr>
        <w:t>港股通标的股票</w:t>
      </w:r>
      <w:r>
        <w:rPr>
          <w:rFonts w:ascii="Times New Roman" w:hAnsi="Times New Roman"/>
          <w:kern w:val="0"/>
          <w:sz w:val="24"/>
        </w:rPr>
        <w:t>”</w:t>
      </w:r>
      <w:r>
        <w:rPr>
          <w:rFonts w:ascii="Times New Roman" w:hAnsi="Times New Roman"/>
          <w:kern w:val="0"/>
          <w:sz w:val="24"/>
        </w:rPr>
        <w:t>）的，会面临港股通机制下因投资环境、投资标的、市场制度以及交易规则等差异带来的特有风险，包括港股市场股价波动较大的风险（港股市场实行</w:t>
      </w:r>
      <w:r>
        <w:rPr>
          <w:rFonts w:ascii="Times New Roman" w:hAnsi="Times New Roman"/>
          <w:kern w:val="0"/>
          <w:sz w:val="24"/>
        </w:rPr>
        <w:t>T+0</w:t>
      </w:r>
      <w:r>
        <w:rPr>
          <w:rFonts w:ascii="Times New Roman" w:hAnsi="Times New Roman"/>
          <w:kern w:val="0"/>
          <w:sz w:val="24"/>
        </w:rPr>
        <w:t>回转交易，且对个股不设涨跌幅限制，港股股价可能表现出比</w:t>
      </w:r>
      <w:r>
        <w:rPr>
          <w:rFonts w:ascii="Times New Roman" w:hAnsi="Times New Roman"/>
          <w:kern w:val="0"/>
          <w:sz w:val="24"/>
        </w:rPr>
        <w:t>A</w:t>
      </w:r>
      <w:r>
        <w:rPr>
          <w:rFonts w:ascii="Times New Roman" w:hAnsi="Times New Roman"/>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章节的具体内容。</w:t>
      </w:r>
    </w:p>
    <w:p w14:paraId="65FC3B24"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基金可根据投资策略需要或不同配置地市场环境的变化，选择将部分基金资产投资于港股或选择不将基金资产投资于港股，基金资产并非必然投资港股。</w:t>
      </w:r>
    </w:p>
    <w:p w14:paraId="1875BF9A"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78444385" w14:textId="77777777" w:rsidR="002609C9" w:rsidRDefault="000E6610">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6DDF3794" w14:textId="77777777" w:rsidR="002609C9" w:rsidRDefault="000E6610">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根据基金合同的约定，基金合同生效后，前一年封闭运作，在封闭期内，本基金不办理申购、赎回业务，但投资人可在本基金上市交易后通过上海证券交易所转让基金份额。封闭期届满后，本基金转为上市开放式基金中基金，基金名称相应变更为“交银施罗德智选星光混合型基金中基金（</w:t>
      </w:r>
      <w:r>
        <w:rPr>
          <w:rFonts w:ascii="Times New Roman" w:hAnsi="Times New Roman" w:hint="eastAsia"/>
          <w:kern w:val="0"/>
          <w:sz w:val="24"/>
        </w:rPr>
        <w:t>FOF-LOF</w:t>
      </w:r>
      <w:r>
        <w:rPr>
          <w:rFonts w:ascii="Times New Roman" w:hAnsi="Times New Roman" w:hint="eastAsia"/>
          <w:kern w:val="0"/>
          <w:sz w:val="24"/>
        </w:rPr>
        <w:t>）”，可办理场外、场内申购赎回，并继续在上海证券交易所上市交易。但若本基金在封闭期内</w:t>
      </w:r>
      <w:r>
        <w:rPr>
          <w:rFonts w:ascii="Times New Roman" w:hAnsi="Times New Roman" w:hint="eastAsia"/>
          <w:kern w:val="0"/>
          <w:sz w:val="24"/>
        </w:rPr>
        <w:lastRenderedPageBreak/>
        <w:t>出现上海证券交易所相关业务规则规定的因不再具备上市条件而应当终止上市的情形，则本基金封闭期届满后将转为非上市的开放式基金中基金。</w:t>
      </w:r>
    </w:p>
    <w:p w14:paraId="2764291F" w14:textId="77777777" w:rsidR="002609C9" w:rsidRDefault="000E6610">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交银施罗德智选星光一年封闭运作混合型基金中基金（</w:t>
      </w:r>
      <w:r>
        <w:rPr>
          <w:rFonts w:ascii="Times New Roman" w:hAnsi="Times New Roman" w:hint="eastAsia"/>
          <w:kern w:val="0"/>
          <w:sz w:val="24"/>
        </w:rPr>
        <w:t>FOF-LOF</w:t>
      </w:r>
      <w:r>
        <w:rPr>
          <w:rFonts w:ascii="Times New Roman" w:hAnsi="Times New Roman" w:hint="eastAsia"/>
          <w:kern w:val="0"/>
          <w:sz w:val="24"/>
        </w:rPr>
        <w:t>）的封闭期自</w:t>
      </w:r>
      <w:r>
        <w:rPr>
          <w:rFonts w:ascii="Times New Roman" w:hAnsi="Times New Roman" w:hint="eastAsia"/>
          <w:kern w:val="0"/>
          <w:sz w:val="24"/>
        </w:rPr>
        <w:t>2021</w:t>
      </w:r>
      <w:r>
        <w:rPr>
          <w:rFonts w:ascii="Times New Roman" w:hAnsi="Times New Roman" w:hint="eastAsia"/>
          <w:kern w:val="0"/>
          <w:sz w:val="24"/>
        </w:rPr>
        <w:t>年</w:t>
      </w:r>
      <w:r>
        <w:rPr>
          <w:rFonts w:ascii="Times New Roman" w:hAnsi="Times New Roman" w:hint="eastAsia"/>
          <w:kern w:val="0"/>
          <w:sz w:val="24"/>
        </w:rPr>
        <w:t>11</w:t>
      </w:r>
      <w:r>
        <w:rPr>
          <w:rFonts w:ascii="Times New Roman" w:hAnsi="Times New Roman" w:hint="eastAsia"/>
          <w:kern w:val="0"/>
          <w:sz w:val="24"/>
        </w:rPr>
        <w:t>月</w:t>
      </w:r>
      <w:r>
        <w:rPr>
          <w:rFonts w:ascii="Times New Roman" w:hAnsi="Times New Roman" w:hint="eastAsia"/>
          <w:kern w:val="0"/>
          <w:sz w:val="24"/>
        </w:rPr>
        <w:t>10</w:t>
      </w:r>
      <w:r>
        <w:rPr>
          <w:rFonts w:ascii="Times New Roman" w:hAnsi="Times New Roman" w:hint="eastAsia"/>
          <w:kern w:val="0"/>
          <w:sz w:val="24"/>
        </w:rPr>
        <w:t>日起至</w:t>
      </w:r>
      <w:r>
        <w:rPr>
          <w:rFonts w:ascii="Times New Roman" w:hAnsi="Times New Roman" w:hint="eastAsia"/>
          <w:kern w:val="0"/>
          <w:sz w:val="24"/>
        </w:rPr>
        <w:t>2022</w:t>
      </w:r>
      <w:r>
        <w:rPr>
          <w:rFonts w:ascii="Times New Roman" w:hAnsi="Times New Roman" w:hint="eastAsia"/>
          <w:kern w:val="0"/>
          <w:sz w:val="24"/>
        </w:rPr>
        <w:t>年</w:t>
      </w:r>
      <w:r>
        <w:rPr>
          <w:rFonts w:ascii="Times New Roman" w:hAnsi="Times New Roman" w:hint="eastAsia"/>
          <w:kern w:val="0"/>
          <w:sz w:val="24"/>
        </w:rPr>
        <w:t>11</w:t>
      </w:r>
      <w:r>
        <w:rPr>
          <w:rFonts w:ascii="Times New Roman" w:hAnsi="Times New Roman" w:hint="eastAsia"/>
          <w:kern w:val="0"/>
          <w:sz w:val="24"/>
        </w:rPr>
        <w:t>月</w:t>
      </w:r>
      <w:r>
        <w:rPr>
          <w:rFonts w:ascii="Times New Roman" w:hAnsi="Times New Roman" w:hint="eastAsia"/>
          <w:kern w:val="0"/>
          <w:sz w:val="24"/>
        </w:rPr>
        <w:t>9</w:t>
      </w:r>
      <w:r>
        <w:rPr>
          <w:rFonts w:ascii="Times New Roman" w:hAnsi="Times New Roman" w:hint="eastAsia"/>
          <w:kern w:val="0"/>
          <w:sz w:val="24"/>
        </w:rPr>
        <w:t>日止。自</w:t>
      </w:r>
      <w:r>
        <w:rPr>
          <w:rFonts w:ascii="Times New Roman" w:hAnsi="Times New Roman" w:hint="eastAsia"/>
          <w:kern w:val="0"/>
          <w:sz w:val="24"/>
        </w:rPr>
        <w:t>2022</w:t>
      </w:r>
      <w:r>
        <w:rPr>
          <w:rFonts w:ascii="Times New Roman" w:hAnsi="Times New Roman" w:hint="eastAsia"/>
          <w:kern w:val="0"/>
          <w:sz w:val="24"/>
        </w:rPr>
        <w:t>年</w:t>
      </w:r>
      <w:r>
        <w:rPr>
          <w:rFonts w:ascii="Times New Roman" w:hAnsi="Times New Roman" w:hint="eastAsia"/>
          <w:kern w:val="0"/>
          <w:sz w:val="24"/>
        </w:rPr>
        <w:t>11</w:t>
      </w:r>
      <w:r>
        <w:rPr>
          <w:rFonts w:ascii="Times New Roman" w:hAnsi="Times New Roman" w:hint="eastAsia"/>
          <w:kern w:val="0"/>
          <w:sz w:val="24"/>
        </w:rPr>
        <w:t>月</w:t>
      </w:r>
      <w:r>
        <w:rPr>
          <w:rFonts w:ascii="Times New Roman" w:hAnsi="Times New Roman" w:hint="eastAsia"/>
          <w:kern w:val="0"/>
          <w:sz w:val="24"/>
        </w:rPr>
        <w:t>10</w:t>
      </w:r>
      <w:r>
        <w:rPr>
          <w:rFonts w:ascii="Times New Roman" w:hAnsi="Times New Roman" w:hint="eastAsia"/>
          <w:kern w:val="0"/>
          <w:sz w:val="24"/>
        </w:rPr>
        <w:t>日起，本基金的基金名称变更为“交银施罗德智选星光混合型基金中基金（</w:t>
      </w:r>
      <w:r>
        <w:rPr>
          <w:rFonts w:ascii="Times New Roman" w:hAnsi="Times New Roman" w:hint="eastAsia"/>
          <w:kern w:val="0"/>
          <w:sz w:val="24"/>
        </w:rPr>
        <w:t>FOF-LOF</w:t>
      </w:r>
      <w:r>
        <w:rPr>
          <w:rFonts w:ascii="Times New Roman" w:hAnsi="Times New Roman" w:hint="eastAsia"/>
          <w:kern w:val="0"/>
          <w:sz w:val="24"/>
        </w:rPr>
        <w:t>）”，并适用《基金合同》中关于封闭期届满后运作的有关规定。</w:t>
      </w:r>
    </w:p>
    <w:p w14:paraId="488A4395"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B4F833E" w14:textId="77777777" w:rsidR="002609C9" w:rsidRDefault="000E661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346AD2BE" w14:textId="25D10E76" w:rsidR="002609C9" w:rsidRDefault="007E12CE">
      <w:pPr>
        <w:autoSpaceDE w:val="0"/>
        <w:autoSpaceDN w:val="0"/>
        <w:adjustRightInd w:val="0"/>
        <w:snapToGrid w:val="0"/>
        <w:spacing w:line="360" w:lineRule="auto"/>
        <w:ind w:leftChars="50" w:left="105" w:firstLineChars="200" w:firstLine="480"/>
        <w:rPr>
          <w:rFonts w:ascii="宋体" w:hAnsi="宋体"/>
          <w:kern w:val="0"/>
          <w:sz w:val="24"/>
        </w:rPr>
      </w:pPr>
      <w:r w:rsidRPr="007E12CE">
        <w:rPr>
          <w:rFonts w:ascii="Times New Roman" w:hAnsi="Times New Roman" w:hint="eastAsia"/>
          <w:kern w:val="0"/>
          <w:sz w:val="24"/>
        </w:rPr>
        <w:t>本次更新招募说明书主要对</w:t>
      </w:r>
      <w:r w:rsidR="00D8292F">
        <w:rPr>
          <w:rFonts w:ascii="Times New Roman" w:hAnsi="Times New Roman" w:hint="eastAsia"/>
          <w:kern w:val="0"/>
          <w:sz w:val="24"/>
        </w:rPr>
        <w:t>本</w:t>
      </w:r>
      <w:r w:rsidR="002C3C7B" w:rsidRPr="002C3C7B">
        <w:rPr>
          <w:rFonts w:ascii="Times New Roman" w:hAnsi="Times New Roman" w:hint="eastAsia"/>
          <w:kern w:val="0"/>
          <w:sz w:val="24"/>
        </w:rPr>
        <w:t>基金业绩比较基准变更</w:t>
      </w:r>
      <w:r w:rsidRPr="007E12CE">
        <w:rPr>
          <w:rFonts w:ascii="Times New Roman" w:hAnsi="Times New Roman" w:hint="eastAsia"/>
          <w:kern w:val="0"/>
          <w:sz w:val="24"/>
        </w:rPr>
        <w:t>的相关信息进行更新，更新截止日为</w:t>
      </w:r>
      <w:r w:rsidRPr="007E12CE">
        <w:rPr>
          <w:rFonts w:ascii="Times New Roman" w:hAnsi="Times New Roman" w:hint="eastAsia"/>
          <w:kern w:val="0"/>
          <w:sz w:val="24"/>
        </w:rPr>
        <w:t>202</w:t>
      </w:r>
      <w:r w:rsidR="00BB4075">
        <w:rPr>
          <w:rFonts w:ascii="Times New Roman" w:hAnsi="Times New Roman"/>
          <w:kern w:val="0"/>
          <w:sz w:val="24"/>
        </w:rPr>
        <w:t>3</w:t>
      </w:r>
      <w:r w:rsidRPr="007E12CE">
        <w:rPr>
          <w:rFonts w:ascii="Times New Roman" w:hAnsi="Times New Roman" w:hint="eastAsia"/>
          <w:kern w:val="0"/>
          <w:sz w:val="24"/>
        </w:rPr>
        <w:t>年</w:t>
      </w:r>
      <w:r w:rsidR="00BB4075">
        <w:rPr>
          <w:rFonts w:ascii="Times New Roman" w:hAnsi="Times New Roman" w:hint="eastAsia"/>
          <w:kern w:val="0"/>
          <w:sz w:val="24"/>
        </w:rPr>
        <w:t>2</w:t>
      </w:r>
      <w:r w:rsidRPr="007E12CE">
        <w:rPr>
          <w:rFonts w:ascii="Times New Roman" w:hAnsi="Times New Roman" w:hint="eastAsia"/>
          <w:kern w:val="0"/>
          <w:sz w:val="24"/>
        </w:rPr>
        <w:t>月</w:t>
      </w:r>
      <w:r w:rsidR="00BB4075">
        <w:rPr>
          <w:rFonts w:ascii="Times New Roman" w:hAnsi="Times New Roman"/>
          <w:kern w:val="0"/>
          <w:sz w:val="24"/>
        </w:rPr>
        <w:t>7</w:t>
      </w:r>
      <w:r w:rsidRPr="007E12CE">
        <w:rPr>
          <w:rFonts w:ascii="Times New Roman" w:hAnsi="Times New Roman" w:hint="eastAsia"/>
          <w:kern w:val="0"/>
          <w:sz w:val="24"/>
        </w:rPr>
        <w:t>日，除非另有说明，</w:t>
      </w:r>
      <w:r w:rsidR="000E6610">
        <w:rPr>
          <w:rFonts w:ascii="Times New Roman" w:hAnsi="Times New Roman"/>
          <w:kern w:val="0"/>
          <w:sz w:val="24"/>
        </w:rPr>
        <w:t>本招募说明书</w:t>
      </w:r>
      <w:r>
        <w:rPr>
          <w:rFonts w:ascii="Times New Roman" w:hAnsi="Times New Roman" w:hint="eastAsia"/>
          <w:kern w:val="0"/>
          <w:sz w:val="24"/>
        </w:rPr>
        <w:t>其他</w:t>
      </w:r>
      <w:r w:rsidR="000E6610">
        <w:rPr>
          <w:rFonts w:ascii="Times New Roman" w:hAnsi="Times New Roman"/>
          <w:kern w:val="0"/>
          <w:sz w:val="24"/>
        </w:rPr>
        <w:t>所载内容截止日为</w:t>
      </w:r>
      <w:r w:rsidR="000E6610">
        <w:rPr>
          <w:rFonts w:ascii="Times New Roman" w:hAnsi="Times New Roman"/>
          <w:kern w:val="0"/>
          <w:sz w:val="24"/>
        </w:rPr>
        <w:t>2022</w:t>
      </w:r>
      <w:r w:rsidR="000E6610">
        <w:rPr>
          <w:rFonts w:ascii="Times New Roman" w:hAnsi="Times New Roman"/>
          <w:kern w:val="0"/>
          <w:sz w:val="24"/>
        </w:rPr>
        <w:t>年</w:t>
      </w:r>
      <w:r w:rsidR="000E6610">
        <w:rPr>
          <w:rFonts w:ascii="Times New Roman" w:hAnsi="Times New Roman" w:hint="eastAsia"/>
          <w:kern w:val="0"/>
          <w:sz w:val="24"/>
        </w:rPr>
        <w:t>11</w:t>
      </w:r>
      <w:r w:rsidR="000E6610">
        <w:rPr>
          <w:rFonts w:ascii="Times New Roman" w:hAnsi="Times New Roman"/>
          <w:kern w:val="0"/>
          <w:sz w:val="24"/>
        </w:rPr>
        <w:t>月</w:t>
      </w:r>
      <w:r w:rsidR="000E6610">
        <w:rPr>
          <w:rFonts w:ascii="Times New Roman" w:hAnsi="Times New Roman" w:hint="eastAsia"/>
          <w:kern w:val="0"/>
          <w:sz w:val="24"/>
        </w:rPr>
        <w:t>7</w:t>
      </w:r>
      <w:r w:rsidR="000E6610">
        <w:rPr>
          <w:rFonts w:ascii="Times New Roman" w:hAnsi="Times New Roman"/>
          <w:kern w:val="0"/>
          <w:sz w:val="24"/>
        </w:rPr>
        <w:t>日，有关财务数据和净值表现截止日为</w:t>
      </w:r>
      <w:r w:rsidR="000E6610">
        <w:rPr>
          <w:rFonts w:ascii="Times New Roman" w:hAnsi="Times New Roman"/>
          <w:kern w:val="0"/>
          <w:sz w:val="24"/>
        </w:rPr>
        <w:t>2022</w:t>
      </w:r>
      <w:r w:rsidR="000E6610">
        <w:rPr>
          <w:rFonts w:ascii="Times New Roman" w:hAnsi="Times New Roman"/>
          <w:kern w:val="0"/>
          <w:sz w:val="24"/>
        </w:rPr>
        <w:t>年</w:t>
      </w:r>
      <w:r w:rsidR="000E6610">
        <w:rPr>
          <w:rFonts w:ascii="Times New Roman" w:hAnsi="Times New Roman"/>
          <w:kern w:val="0"/>
          <w:sz w:val="24"/>
        </w:rPr>
        <w:t>06</w:t>
      </w:r>
      <w:r w:rsidR="000E6610">
        <w:rPr>
          <w:rFonts w:ascii="Times New Roman" w:hAnsi="Times New Roman"/>
          <w:kern w:val="0"/>
          <w:sz w:val="24"/>
        </w:rPr>
        <w:t>月</w:t>
      </w:r>
      <w:r w:rsidR="000E6610">
        <w:rPr>
          <w:rFonts w:ascii="Times New Roman" w:hAnsi="Times New Roman"/>
          <w:kern w:val="0"/>
          <w:sz w:val="24"/>
        </w:rPr>
        <w:t>30</w:t>
      </w:r>
      <w:r w:rsidR="000E6610">
        <w:rPr>
          <w:rFonts w:ascii="Times New Roman" w:hAnsi="Times New Roman"/>
          <w:kern w:val="0"/>
          <w:sz w:val="24"/>
        </w:rPr>
        <w:t>日。本招募说明书所载的财务数据未经审计。</w:t>
      </w:r>
    </w:p>
    <w:p w14:paraId="01238830" w14:textId="77777777" w:rsidR="002609C9" w:rsidRDefault="002609C9">
      <w:pPr>
        <w:autoSpaceDE w:val="0"/>
        <w:autoSpaceDN w:val="0"/>
        <w:adjustRightInd w:val="0"/>
        <w:snapToGrid w:val="0"/>
        <w:spacing w:before="51" w:line="360" w:lineRule="auto"/>
        <w:ind w:left="120" w:rightChars="6" w:right="13" w:firstLine="480"/>
        <w:rPr>
          <w:rFonts w:ascii="宋体" w:hAnsi="宋体"/>
          <w:kern w:val="0"/>
          <w:szCs w:val="24"/>
        </w:rPr>
        <w:sectPr w:rsidR="002609C9">
          <w:headerReference w:type="default" r:id="rId12"/>
          <w:pgSz w:w="11920" w:h="16840"/>
          <w:pgMar w:top="1440" w:right="1680" w:bottom="280" w:left="1680" w:header="0" w:footer="1073" w:gutter="0"/>
          <w:pgNumType w:start="1"/>
          <w:cols w:space="720"/>
        </w:sectPr>
      </w:pPr>
    </w:p>
    <w:p w14:paraId="4B2C3FA7" w14:textId="77777777" w:rsidR="002609C9" w:rsidRDefault="000E6610">
      <w:pPr>
        <w:pStyle w:val="Style19"/>
        <w:snapToGrid w:val="0"/>
        <w:spacing w:after="240" w:line="360" w:lineRule="auto"/>
        <w:jc w:val="center"/>
        <w:rPr>
          <w:rFonts w:ascii="宋体" w:hAnsi="宋体"/>
          <w:noProof/>
          <w:sz w:val="24"/>
        </w:rPr>
      </w:pPr>
      <w:r>
        <w:rPr>
          <w:rFonts w:ascii="宋体" w:hAnsi="宋体"/>
          <w:color w:val="000000"/>
          <w:position w:val="-4"/>
          <w:sz w:val="24"/>
          <w:szCs w:val="30"/>
        </w:rPr>
        <w:lastRenderedPageBreak/>
        <w:t>目</w:t>
      </w:r>
      <w:r>
        <w:rPr>
          <w:rFonts w:ascii="宋体" w:hAnsi="宋体"/>
          <w:color w:val="000000"/>
          <w:position w:val="-4"/>
          <w:sz w:val="24"/>
          <w:szCs w:val="30"/>
        </w:rPr>
        <w:tab/>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14:paraId="7B92B591" w14:textId="7E1E07DD" w:rsidR="002609C9" w:rsidRDefault="00C90517">
      <w:pPr>
        <w:pStyle w:val="11"/>
        <w:tabs>
          <w:tab w:val="right" w:leader="dot" w:pos="8550"/>
        </w:tabs>
        <w:spacing w:line="360" w:lineRule="auto"/>
        <w:rPr>
          <w:rFonts w:ascii="宋体" w:hAnsi="宋体"/>
          <w:noProof/>
          <w:sz w:val="24"/>
        </w:rPr>
      </w:pPr>
      <w:hyperlink w:anchor="_Toc116553072" w:history="1">
        <w:r w:rsidR="000E6610">
          <w:rPr>
            <w:rStyle w:val="af1"/>
            <w:rFonts w:ascii="宋体" w:hAnsi="宋体" w:hint="eastAsia"/>
            <w:noProof/>
            <w:kern w:val="0"/>
            <w:sz w:val="24"/>
          </w:rPr>
          <w:t>重要提示</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_Toc116553072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w:t>
        </w:r>
        <w:r w:rsidR="000E6610">
          <w:rPr>
            <w:rFonts w:ascii="宋体" w:hAnsi="宋体"/>
            <w:noProof/>
            <w:sz w:val="24"/>
          </w:rPr>
          <w:fldChar w:fldCharType="end"/>
        </w:r>
      </w:hyperlink>
    </w:p>
    <w:p w14:paraId="464C876B" w14:textId="3C81A0B4" w:rsidR="002609C9" w:rsidRDefault="00C90517">
      <w:pPr>
        <w:pStyle w:val="11"/>
        <w:tabs>
          <w:tab w:val="right" w:leader="dot" w:pos="8550"/>
        </w:tabs>
        <w:spacing w:line="360" w:lineRule="auto"/>
        <w:rPr>
          <w:rFonts w:ascii="宋体" w:hAnsi="宋体"/>
          <w:noProof/>
          <w:sz w:val="24"/>
        </w:rPr>
      </w:pPr>
      <w:hyperlink w:anchor="_Toc116553073" w:history="1">
        <w:r w:rsidR="000E6610">
          <w:rPr>
            <w:rStyle w:val="af1"/>
            <w:rFonts w:ascii="宋体" w:hAnsi="宋体" w:hint="eastAsia"/>
            <w:noProof/>
            <w:sz w:val="24"/>
          </w:rPr>
          <w:t>一、绪言</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_Toc116553073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5</w:t>
        </w:r>
        <w:r w:rsidR="000E6610">
          <w:rPr>
            <w:rFonts w:ascii="宋体" w:hAnsi="宋体"/>
            <w:noProof/>
            <w:sz w:val="24"/>
          </w:rPr>
          <w:fldChar w:fldCharType="end"/>
        </w:r>
      </w:hyperlink>
    </w:p>
    <w:p w14:paraId="00F3E493" w14:textId="53FEFEB1" w:rsidR="002609C9" w:rsidRDefault="00C90517">
      <w:pPr>
        <w:pStyle w:val="11"/>
        <w:tabs>
          <w:tab w:val="right" w:leader="dot" w:pos="8550"/>
        </w:tabs>
        <w:spacing w:line="360" w:lineRule="auto"/>
        <w:rPr>
          <w:rFonts w:ascii="宋体" w:hAnsi="宋体"/>
          <w:noProof/>
          <w:sz w:val="24"/>
        </w:rPr>
      </w:pPr>
      <w:hyperlink w:anchor="_Toc116553074" w:history="1">
        <w:r w:rsidR="000E6610">
          <w:rPr>
            <w:rStyle w:val="af1"/>
            <w:rFonts w:ascii="宋体" w:hAnsi="宋体" w:hint="eastAsia"/>
            <w:noProof/>
            <w:sz w:val="24"/>
          </w:rPr>
          <w:t>二、释义</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_Toc116553074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6</w:t>
        </w:r>
        <w:r w:rsidR="000E6610">
          <w:rPr>
            <w:rFonts w:ascii="宋体" w:hAnsi="宋体"/>
            <w:noProof/>
            <w:sz w:val="24"/>
          </w:rPr>
          <w:fldChar w:fldCharType="end"/>
        </w:r>
      </w:hyperlink>
    </w:p>
    <w:p w14:paraId="27948092" w14:textId="787DBC51" w:rsidR="002609C9" w:rsidRDefault="00C90517">
      <w:pPr>
        <w:pStyle w:val="11"/>
        <w:tabs>
          <w:tab w:val="right" w:leader="dot" w:pos="8550"/>
        </w:tabs>
        <w:spacing w:line="360" w:lineRule="auto"/>
        <w:rPr>
          <w:rFonts w:ascii="宋体" w:hAnsi="宋体"/>
          <w:noProof/>
          <w:sz w:val="24"/>
        </w:rPr>
      </w:pPr>
      <w:hyperlink w:anchor="_Toc116553075" w:history="1">
        <w:r w:rsidR="000E6610">
          <w:rPr>
            <w:rStyle w:val="af1"/>
            <w:rFonts w:ascii="宋体" w:hAnsi="宋体" w:hint="eastAsia"/>
            <w:noProof/>
            <w:sz w:val="24"/>
          </w:rPr>
          <w:t>三、基金管理人</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_Toc116553075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13</w:t>
        </w:r>
        <w:r w:rsidR="000E6610">
          <w:rPr>
            <w:rFonts w:ascii="宋体" w:hAnsi="宋体"/>
            <w:noProof/>
            <w:sz w:val="24"/>
          </w:rPr>
          <w:fldChar w:fldCharType="end"/>
        </w:r>
      </w:hyperlink>
    </w:p>
    <w:p w14:paraId="0715181E" w14:textId="0AAE5E79" w:rsidR="002609C9" w:rsidRDefault="00C90517">
      <w:pPr>
        <w:pStyle w:val="11"/>
        <w:tabs>
          <w:tab w:val="right" w:leader="dot" w:pos="8550"/>
        </w:tabs>
        <w:spacing w:line="360" w:lineRule="auto"/>
        <w:rPr>
          <w:rFonts w:ascii="宋体" w:hAnsi="宋体"/>
          <w:noProof/>
          <w:sz w:val="24"/>
        </w:rPr>
      </w:pPr>
      <w:hyperlink w:anchor="_Toc116553076" w:history="1">
        <w:r w:rsidR="000E6610">
          <w:rPr>
            <w:rStyle w:val="af1"/>
            <w:rFonts w:ascii="宋体" w:hAnsi="宋体" w:hint="eastAsia"/>
            <w:noProof/>
            <w:sz w:val="24"/>
          </w:rPr>
          <w:t>四、基金托管人</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_Toc116553076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21</w:t>
        </w:r>
        <w:r w:rsidR="000E6610">
          <w:rPr>
            <w:rFonts w:ascii="宋体" w:hAnsi="宋体"/>
            <w:noProof/>
            <w:sz w:val="24"/>
          </w:rPr>
          <w:fldChar w:fldCharType="end"/>
        </w:r>
      </w:hyperlink>
    </w:p>
    <w:p w14:paraId="4F4AE2EB" w14:textId="5E6B02ED" w:rsidR="002609C9" w:rsidRDefault="00C90517">
      <w:pPr>
        <w:pStyle w:val="11"/>
        <w:tabs>
          <w:tab w:val="right" w:leader="dot" w:pos="8550"/>
        </w:tabs>
        <w:spacing w:line="360" w:lineRule="auto"/>
        <w:rPr>
          <w:rFonts w:ascii="宋体" w:hAnsi="宋体"/>
          <w:noProof/>
          <w:sz w:val="24"/>
        </w:rPr>
      </w:pPr>
      <w:hyperlink w:anchor="_Toc116553077" w:history="1">
        <w:r w:rsidR="000E6610">
          <w:rPr>
            <w:rStyle w:val="af1"/>
            <w:rFonts w:ascii="宋体" w:hAnsi="宋体" w:hint="eastAsia"/>
            <w:noProof/>
            <w:sz w:val="24"/>
          </w:rPr>
          <w:t>五、相关服务机构</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_Toc116553077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24</w:t>
        </w:r>
        <w:r w:rsidR="000E6610">
          <w:rPr>
            <w:rFonts w:ascii="宋体" w:hAnsi="宋体"/>
            <w:noProof/>
            <w:sz w:val="24"/>
          </w:rPr>
          <w:fldChar w:fldCharType="end"/>
        </w:r>
      </w:hyperlink>
    </w:p>
    <w:p w14:paraId="06F0336B" w14:textId="4A5C1610" w:rsidR="002609C9" w:rsidRDefault="00C90517">
      <w:pPr>
        <w:pStyle w:val="11"/>
        <w:tabs>
          <w:tab w:val="right" w:leader="dot" w:pos="8550"/>
        </w:tabs>
        <w:spacing w:line="360" w:lineRule="auto"/>
        <w:rPr>
          <w:rFonts w:ascii="宋体" w:hAnsi="宋体"/>
          <w:noProof/>
          <w:sz w:val="24"/>
        </w:rPr>
      </w:pPr>
      <w:hyperlink w:anchor="_Toc116553078" w:history="1">
        <w:r w:rsidR="000E6610">
          <w:rPr>
            <w:rStyle w:val="af1"/>
            <w:rFonts w:ascii="宋体" w:hAnsi="宋体" w:hint="eastAsia"/>
            <w:noProof/>
            <w:sz w:val="24"/>
          </w:rPr>
          <w:t>六、基金的募集</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_Toc116553078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52</w:t>
        </w:r>
        <w:r w:rsidR="000E6610">
          <w:rPr>
            <w:rFonts w:ascii="宋体" w:hAnsi="宋体"/>
            <w:noProof/>
            <w:sz w:val="24"/>
          </w:rPr>
          <w:fldChar w:fldCharType="end"/>
        </w:r>
      </w:hyperlink>
    </w:p>
    <w:p w14:paraId="47F14A2A" w14:textId="49C74718" w:rsidR="002609C9" w:rsidRDefault="00C90517">
      <w:pPr>
        <w:pStyle w:val="11"/>
        <w:tabs>
          <w:tab w:val="right" w:leader="dot" w:pos="8550"/>
        </w:tabs>
        <w:spacing w:line="360" w:lineRule="auto"/>
        <w:rPr>
          <w:rFonts w:ascii="宋体" w:hAnsi="宋体"/>
          <w:noProof/>
          <w:sz w:val="24"/>
        </w:rPr>
      </w:pPr>
      <w:hyperlink w:anchor="_Toc116553079" w:history="1">
        <w:r w:rsidR="000E6610">
          <w:rPr>
            <w:rStyle w:val="af1"/>
            <w:rFonts w:ascii="宋体" w:hAnsi="宋体" w:hint="eastAsia"/>
            <w:noProof/>
            <w:sz w:val="24"/>
          </w:rPr>
          <w:t>七、基金合同的生效</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_Toc116553079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53</w:t>
        </w:r>
        <w:r w:rsidR="000E6610">
          <w:rPr>
            <w:rFonts w:ascii="宋体" w:hAnsi="宋体"/>
            <w:noProof/>
            <w:sz w:val="24"/>
          </w:rPr>
          <w:fldChar w:fldCharType="end"/>
        </w:r>
      </w:hyperlink>
    </w:p>
    <w:p w14:paraId="0EB7133D" w14:textId="7CFF310B" w:rsidR="002609C9" w:rsidRDefault="00C90517">
      <w:pPr>
        <w:pStyle w:val="11"/>
        <w:tabs>
          <w:tab w:val="right" w:leader="dot" w:pos="8550"/>
        </w:tabs>
        <w:spacing w:line="360" w:lineRule="auto"/>
        <w:rPr>
          <w:rFonts w:ascii="宋体" w:hAnsi="宋体"/>
          <w:noProof/>
          <w:sz w:val="24"/>
        </w:rPr>
      </w:pPr>
      <w:hyperlink w:anchor="_Toc116553080" w:history="1">
        <w:r w:rsidR="000E6610">
          <w:rPr>
            <w:rStyle w:val="af1"/>
            <w:rFonts w:ascii="宋体" w:hAnsi="宋体" w:hint="eastAsia"/>
            <w:noProof/>
            <w:sz w:val="24"/>
          </w:rPr>
          <w:t>八、基金份额的上市交易</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_Toc116553080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54</w:t>
        </w:r>
        <w:r w:rsidR="000E6610">
          <w:rPr>
            <w:rFonts w:ascii="宋体" w:hAnsi="宋体"/>
            <w:noProof/>
            <w:sz w:val="24"/>
          </w:rPr>
          <w:fldChar w:fldCharType="end"/>
        </w:r>
      </w:hyperlink>
    </w:p>
    <w:p w14:paraId="2069C6CE" w14:textId="65095E37" w:rsidR="002609C9" w:rsidRDefault="00C90517">
      <w:pPr>
        <w:pStyle w:val="11"/>
        <w:tabs>
          <w:tab w:val="right" w:leader="dot" w:pos="8550"/>
        </w:tabs>
        <w:spacing w:line="360" w:lineRule="auto"/>
        <w:rPr>
          <w:rFonts w:ascii="宋体" w:hAnsi="宋体"/>
          <w:noProof/>
          <w:sz w:val="24"/>
        </w:rPr>
      </w:pPr>
      <w:hyperlink w:anchor="_Toc116553081" w:history="1">
        <w:r w:rsidR="000E6610">
          <w:rPr>
            <w:rStyle w:val="af1"/>
            <w:rFonts w:ascii="宋体" w:hAnsi="宋体" w:hint="eastAsia"/>
            <w:noProof/>
            <w:sz w:val="24"/>
          </w:rPr>
          <w:t>九、基金份额的申购与赎回</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_Toc116553081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56</w:t>
        </w:r>
        <w:r w:rsidR="000E6610">
          <w:rPr>
            <w:rFonts w:ascii="宋体" w:hAnsi="宋体"/>
            <w:noProof/>
            <w:sz w:val="24"/>
          </w:rPr>
          <w:fldChar w:fldCharType="end"/>
        </w:r>
      </w:hyperlink>
    </w:p>
    <w:p w14:paraId="14FC96CB" w14:textId="3370617D" w:rsidR="002609C9" w:rsidRDefault="00C90517">
      <w:pPr>
        <w:pStyle w:val="11"/>
        <w:tabs>
          <w:tab w:val="right" w:leader="dot" w:pos="8550"/>
        </w:tabs>
        <w:spacing w:line="360" w:lineRule="auto"/>
        <w:rPr>
          <w:rFonts w:ascii="宋体" w:hAnsi="宋体"/>
          <w:noProof/>
          <w:sz w:val="24"/>
        </w:rPr>
      </w:pPr>
      <w:hyperlink w:anchor="_Toc116553082" w:history="1">
        <w:r w:rsidR="000E6610">
          <w:rPr>
            <w:rStyle w:val="af1"/>
            <w:rFonts w:ascii="宋体" w:hAnsi="宋体" w:hint="eastAsia"/>
            <w:noProof/>
            <w:sz w:val="24"/>
          </w:rPr>
          <w:t>十、基金的投资</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_Toc116553082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72</w:t>
        </w:r>
        <w:r w:rsidR="000E6610">
          <w:rPr>
            <w:rFonts w:ascii="宋体" w:hAnsi="宋体"/>
            <w:noProof/>
            <w:sz w:val="24"/>
          </w:rPr>
          <w:fldChar w:fldCharType="end"/>
        </w:r>
      </w:hyperlink>
    </w:p>
    <w:p w14:paraId="3931A7F0" w14:textId="7958B566" w:rsidR="002609C9" w:rsidRDefault="00C90517">
      <w:pPr>
        <w:pStyle w:val="11"/>
        <w:tabs>
          <w:tab w:val="right" w:leader="dot" w:pos="8550"/>
        </w:tabs>
        <w:spacing w:line="360" w:lineRule="auto"/>
        <w:rPr>
          <w:rFonts w:ascii="宋体" w:hAnsi="宋体"/>
          <w:noProof/>
          <w:sz w:val="24"/>
        </w:rPr>
      </w:pPr>
      <w:hyperlink w:anchor="_Toc116553083" w:history="1">
        <w:r w:rsidR="000E6610">
          <w:rPr>
            <w:rStyle w:val="af1"/>
            <w:rFonts w:ascii="宋体" w:hAnsi="宋体" w:hint="eastAsia"/>
            <w:noProof/>
            <w:sz w:val="24"/>
          </w:rPr>
          <w:t>十一、基金的业绩</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_Toc116553083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84</w:t>
        </w:r>
        <w:r w:rsidR="000E6610">
          <w:rPr>
            <w:rFonts w:ascii="宋体" w:hAnsi="宋体"/>
            <w:noProof/>
            <w:sz w:val="24"/>
          </w:rPr>
          <w:fldChar w:fldCharType="end"/>
        </w:r>
      </w:hyperlink>
    </w:p>
    <w:p w14:paraId="410472E3" w14:textId="5B3404B6" w:rsidR="002609C9" w:rsidRDefault="00C90517">
      <w:pPr>
        <w:pStyle w:val="11"/>
        <w:tabs>
          <w:tab w:val="right" w:leader="dot" w:pos="8550"/>
        </w:tabs>
        <w:spacing w:line="360" w:lineRule="auto"/>
        <w:rPr>
          <w:rFonts w:ascii="宋体" w:hAnsi="宋体"/>
          <w:noProof/>
          <w:sz w:val="24"/>
        </w:rPr>
      </w:pPr>
      <w:hyperlink w:anchor="_Toc116553084" w:history="1">
        <w:r w:rsidR="000E6610">
          <w:rPr>
            <w:rStyle w:val="af1"/>
            <w:rFonts w:ascii="宋体" w:hAnsi="宋体" w:hint="eastAsia"/>
            <w:noProof/>
            <w:sz w:val="24"/>
          </w:rPr>
          <w:t>十二、基金的财产</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_Toc116553084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87</w:t>
        </w:r>
        <w:r w:rsidR="000E6610">
          <w:rPr>
            <w:rFonts w:ascii="宋体" w:hAnsi="宋体"/>
            <w:noProof/>
            <w:sz w:val="24"/>
          </w:rPr>
          <w:fldChar w:fldCharType="end"/>
        </w:r>
      </w:hyperlink>
    </w:p>
    <w:p w14:paraId="62B839FE" w14:textId="75A5A14A" w:rsidR="002609C9" w:rsidRDefault="00C90517">
      <w:pPr>
        <w:pStyle w:val="11"/>
        <w:tabs>
          <w:tab w:val="right" w:leader="dot" w:pos="8550"/>
        </w:tabs>
        <w:spacing w:line="360" w:lineRule="auto"/>
        <w:rPr>
          <w:rFonts w:ascii="宋体" w:hAnsi="宋体"/>
          <w:noProof/>
          <w:sz w:val="24"/>
        </w:rPr>
      </w:pPr>
      <w:hyperlink w:anchor="_Toc116553085" w:history="1">
        <w:r w:rsidR="000E6610">
          <w:rPr>
            <w:rStyle w:val="af1"/>
            <w:rFonts w:ascii="宋体" w:hAnsi="宋体" w:hint="eastAsia"/>
            <w:noProof/>
            <w:sz w:val="24"/>
          </w:rPr>
          <w:t>十三、基金资产的估值</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_Toc116553085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88</w:t>
        </w:r>
        <w:r w:rsidR="000E6610">
          <w:rPr>
            <w:rFonts w:ascii="宋体" w:hAnsi="宋体"/>
            <w:noProof/>
            <w:sz w:val="24"/>
          </w:rPr>
          <w:fldChar w:fldCharType="end"/>
        </w:r>
      </w:hyperlink>
    </w:p>
    <w:p w14:paraId="5095A2B5" w14:textId="6E2998A7" w:rsidR="002609C9" w:rsidRDefault="00C90517">
      <w:pPr>
        <w:pStyle w:val="11"/>
        <w:tabs>
          <w:tab w:val="right" w:leader="dot" w:pos="8550"/>
        </w:tabs>
        <w:spacing w:line="360" w:lineRule="auto"/>
        <w:rPr>
          <w:rFonts w:ascii="宋体" w:hAnsi="宋体"/>
          <w:noProof/>
          <w:sz w:val="24"/>
        </w:rPr>
      </w:pPr>
      <w:hyperlink w:anchor="_Toc116553086" w:history="1">
        <w:r w:rsidR="000E6610">
          <w:rPr>
            <w:rStyle w:val="af1"/>
            <w:rFonts w:ascii="宋体" w:hAnsi="宋体" w:hint="eastAsia"/>
            <w:noProof/>
            <w:sz w:val="24"/>
          </w:rPr>
          <w:t>十四、基金收益与分配</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_Toc116553086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95</w:t>
        </w:r>
        <w:r w:rsidR="000E6610">
          <w:rPr>
            <w:rFonts w:ascii="宋体" w:hAnsi="宋体"/>
            <w:noProof/>
            <w:sz w:val="24"/>
          </w:rPr>
          <w:fldChar w:fldCharType="end"/>
        </w:r>
      </w:hyperlink>
    </w:p>
    <w:p w14:paraId="178FE701" w14:textId="4CD239C6" w:rsidR="002609C9" w:rsidRDefault="00C90517">
      <w:pPr>
        <w:pStyle w:val="11"/>
        <w:tabs>
          <w:tab w:val="right" w:leader="dot" w:pos="8550"/>
        </w:tabs>
        <w:spacing w:line="360" w:lineRule="auto"/>
        <w:rPr>
          <w:rFonts w:ascii="宋体" w:hAnsi="宋体"/>
          <w:noProof/>
          <w:sz w:val="24"/>
        </w:rPr>
      </w:pPr>
      <w:hyperlink w:anchor="_Toc116553087" w:history="1">
        <w:r w:rsidR="000E6610">
          <w:rPr>
            <w:rStyle w:val="af1"/>
            <w:rFonts w:ascii="宋体" w:hAnsi="宋体" w:hint="eastAsia"/>
            <w:noProof/>
            <w:sz w:val="24"/>
          </w:rPr>
          <w:t>十五、基金的费用与税收</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_Toc116553087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97</w:t>
        </w:r>
        <w:r w:rsidR="000E6610">
          <w:rPr>
            <w:rFonts w:ascii="宋体" w:hAnsi="宋体"/>
            <w:noProof/>
            <w:sz w:val="24"/>
          </w:rPr>
          <w:fldChar w:fldCharType="end"/>
        </w:r>
      </w:hyperlink>
    </w:p>
    <w:p w14:paraId="069DBE66" w14:textId="37FF4B8E" w:rsidR="002609C9" w:rsidRDefault="00C90517">
      <w:pPr>
        <w:pStyle w:val="11"/>
        <w:tabs>
          <w:tab w:val="right" w:leader="dot" w:pos="8550"/>
        </w:tabs>
        <w:spacing w:line="360" w:lineRule="auto"/>
        <w:rPr>
          <w:rFonts w:ascii="宋体" w:hAnsi="宋体"/>
          <w:noProof/>
          <w:sz w:val="24"/>
        </w:rPr>
      </w:pPr>
      <w:hyperlink w:anchor="_Toc116553088" w:history="1">
        <w:r w:rsidR="000E6610">
          <w:rPr>
            <w:rStyle w:val="af1"/>
            <w:rFonts w:ascii="宋体" w:hAnsi="宋体" w:hint="eastAsia"/>
            <w:noProof/>
            <w:sz w:val="24"/>
          </w:rPr>
          <w:t>十六、基金的会计与审计</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_Toc116553088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100</w:t>
        </w:r>
        <w:r w:rsidR="000E6610">
          <w:rPr>
            <w:rFonts w:ascii="宋体" w:hAnsi="宋体"/>
            <w:noProof/>
            <w:sz w:val="24"/>
          </w:rPr>
          <w:fldChar w:fldCharType="end"/>
        </w:r>
      </w:hyperlink>
    </w:p>
    <w:p w14:paraId="6C9E08E6" w14:textId="58024C45" w:rsidR="002609C9" w:rsidRDefault="00C90517">
      <w:pPr>
        <w:pStyle w:val="11"/>
        <w:tabs>
          <w:tab w:val="right" w:leader="dot" w:pos="8550"/>
        </w:tabs>
        <w:spacing w:line="360" w:lineRule="auto"/>
        <w:rPr>
          <w:rFonts w:ascii="宋体" w:hAnsi="宋体"/>
          <w:noProof/>
          <w:sz w:val="24"/>
        </w:rPr>
      </w:pPr>
      <w:hyperlink w:anchor="_Toc116553089" w:history="1">
        <w:r w:rsidR="000E6610">
          <w:rPr>
            <w:rStyle w:val="af1"/>
            <w:rFonts w:ascii="宋体" w:hAnsi="宋体" w:hint="eastAsia"/>
            <w:noProof/>
            <w:sz w:val="24"/>
          </w:rPr>
          <w:t>十七、基金的信息披露</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_Toc116553089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101</w:t>
        </w:r>
        <w:r w:rsidR="000E6610">
          <w:rPr>
            <w:rFonts w:ascii="宋体" w:hAnsi="宋体"/>
            <w:noProof/>
            <w:sz w:val="24"/>
          </w:rPr>
          <w:fldChar w:fldCharType="end"/>
        </w:r>
      </w:hyperlink>
    </w:p>
    <w:p w14:paraId="05C84217" w14:textId="6B34CA0E" w:rsidR="002609C9" w:rsidRDefault="00C90517">
      <w:pPr>
        <w:pStyle w:val="11"/>
        <w:tabs>
          <w:tab w:val="right" w:leader="dot" w:pos="8550"/>
        </w:tabs>
        <w:spacing w:line="360" w:lineRule="auto"/>
        <w:rPr>
          <w:rFonts w:ascii="宋体" w:hAnsi="宋体"/>
          <w:noProof/>
          <w:sz w:val="24"/>
        </w:rPr>
      </w:pPr>
      <w:hyperlink w:anchor="_Toc116553090" w:history="1">
        <w:r w:rsidR="000E6610">
          <w:rPr>
            <w:rStyle w:val="af1"/>
            <w:rFonts w:ascii="宋体" w:hAnsi="宋体" w:hint="eastAsia"/>
            <w:noProof/>
            <w:sz w:val="24"/>
          </w:rPr>
          <w:t>十八、侧袋机制</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_Toc116553090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108</w:t>
        </w:r>
        <w:r w:rsidR="000E6610">
          <w:rPr>
            <w:rFonts w:ascii="宋体" w:hAnsi="宋体"/>
            <w:noProof/>
            <w:sz w:val="24"/>
          </w:rPr>
          <w:fldChar w:fldCharType="end"/>
        </w:r>
      </w:hyperlink>
    </w:p>
    <w:p w14:paraId="6E9C1A6F" w14:textId="0FCE30F3" w:rsidR="002609C9" w:rsidRDefault="00C90517">
      <w:pPr>
        <w:pStyle w:val="11"/>
        <w:tabs>
          <w:tab w:val="right" w:leader="dot" w:pos="8550"/>
        </w:tabs>
        <w:spacing w:line="360" w:lineRule="auto"/>
        <w:rPr>
          <w:rFonts w:ascii="宋体" w:hAnsi="宋体"/>
          <w:noProof/>
          <w:sz w:val="24"/>
        </w:rPr>
      </w:pPr>
      <w:hyperlink w:anchor="_Toc116553091" w:history="1">
        <w:r w:rsidR="000E6610">
          <w:rPr>
            <w:rStyle w:val="af1"/>
            <w:rFonts w:ascii="宋体" w:hAnsi="宋体" w:hint="eastAsia"/>
            <w:noProof/>
            <w:sz w:val="24"/>
          </w:rPr>
          <w:t>十九、风险揭示</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_Toc116553091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111</w:t>
        </w:r>
        <w:r w:rsidR="000E6610">
          <w:rPr>
            <w:rFonts w:ascii="宋体" w:hAnsi="宋体"/>
            <w:noProof/>
            <w:sz w:val="24"/>
          </w:rPr>
          <w:fldChar w:fldCharType="end"/>
        </w:r>
      </w:hyperlink>
    </w:p>
    <w:p w14:paraId="75AF095C" w14:textId="5A59DFA3" w:rsidR="002609C9" w:rsidRDefault="00C90517">
      <w:pPr>
        <w:pStyle w:val="11"/>
        <w:tabs>
          <w:tab w:val="right" w:leader="dot" w:pos="8550"/>
        </w:tabs>
        <w:spacing w:line="360" w:lineRule="auto"/>
        <w:rPr>
          <w:rFonts w:ascii="宋体" w:hAnsi="宋体"/>
          <w:noProof/>
          <w:sz w:val="24"/>
        </w:rPr>
      </w:pPr>
      <w:hyperlink w:anchor="_Toc116553092" w:history="1">
        <w:r w:rsidR="000E6610">
          <w:rPr>
            <w:rStyle w:val="af1"/>
            <w:rFonts w:ascii="宋体" w:hAnsi="宋体" w:hint="eastAsia"/>
            <w:noProof/>
            <w:sz w:val="24"/>
          </w:rPr>
          <w:t>二十、基金合同的变更、终止与基金财产的清算</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_Toc116553092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122</w:t>
        </w:r>
        <w:r w:rsidR="000E6610">
          <w:rPr>
            <w:rFonts w:ascii="宋体" w:hAnsi="宋体"/>
            <w:noProof/>
            <w:sz w:val="24"/>
          </w:rPr>
          <w:fldChar w:fldCharType="end"/>
        </w:r>
      </w:hyperlink>
    </w:p>
    <w:p w14:paraId="57070422" w14:textId="470608EE" w:rsidR="002609C9" w:rsidRDefault="00C90517">
      <w:pPr>
        <w:pStyle w:val="11"/>
        <w:tabs>
          <w:tab w:val="right" w:leader="dot" w:pos="8550"/>
        </w:tabs>
        <w:spacing w:line="360" w:lineRule="auto"/>
        <w:rPr>
          <w:rFonts w:ascii="宋体" w:hAnsi="宋体"/>
          <w:noProof/>
          <w:sz w:val="24"/>
        </w:rPr>
      </w:pPr>
      <w:hyperlink w:anchor="_Toc116553093" w:history="1">
        <w:r w:rsidR="000E6610">
          <w:rPr>
            <w:rStyle w:val="af1"/>
            <w:rFonts w:ascii="宋体" w:hAnsi="宋体" w:hint="eastAsia"/>
            <w:noProof/>
            <w:sz w:val="24"/>
          </w:rPr>
          <w:t>二十一、基金合同内容摘要</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_Toc116553093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124</w:t>
        </w:r>
        <w:r w:rsidR="000E6610">
          <w:rPr>
            <w:rFonts w:ascii="宋体" w:hAnsi="宋体"/>
            <w:noProof/>
            <w:sz w:val="24"/>
          </w:rPr>
          <w:fldChar w:fldCharType="end"/>
        </w:r>
      </w:hyperlink>
    </w:p>
    <w:p w14:paraId="433673FA" w14:textId="27B53684" w:rsidR="002609C9" w:rsidRDefault="00C90517">
      <w:pPr>
        <w:pStyle w:val="11"/>
        <w:tabs>
          <w:tab w:val="right" w:leader="dot" w:pos="8550"/>
        </w:tabs>
        <w:spacing w:line="360" w:lineRule="auto"/>
        <w:rPr>
          <w:rFonts w:ascii="宋体" w:hAnsi="宋体"/>
          <w:noProof/>
          <w:sz w:val="24"/>
        </w:rPr>
      </w:pPr>
      <w:hyperlink w:anchor="_Toc116553094" w:history="1">
        <w:r w:rsidR="000E6610">
          <w:rPr>
            <w:rStyle w:val="af1"/>
            <w:rFonts w:ascii="宋体" w:hAnsi="宋体" w:hint="eastAsia"/>
            <w:noProof/>
            <w:sz w:val="24"/>
          </w:rPr>
          <w:t>二十二、托管协议的内容摘要</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_Toc116553094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141</w:t>
        </w:r>
        <w:r w:rsidR="000E6610">
          <w:rPr>
            <w:rFonts w:ascii="宋体" w:hAnsi="宋体"/>
            <w:noProof/>
            <w:sz w:val="24"/>
          </w:rPr>
          <w:fldChar w:fldCharType="end"/>
        </w:r>
      </w:hyperlink>
    </w:p>
    <w:p w14:paraId="1B0C1FAE" w14:textId="46BD1636" w:rsidR="002609C9" w:rsidRDefault="00C90517">
      <w:pPr>
        <w:pStyle w:val="11"/>
        <w:tabs>
          <w:tab w:val="right" w:leader="dot" w:pos="8550"/>
        </w:tabs>
        <w:spacing w:line="360" w:lineRule="auto"/>
        <w:rPr>
          <w:rFonts w:ascii="宋体" w:hAnsi="宋体"/>
          <w:noProof/>
          <w:sz w:val="24"/>
        </w:rPr>
      </w:pPr>
      <w:hyperlink w:anchor="_Toc116553095" w:history="1">
        <w:r w:rsidR="000E6610">
          <w:rPr>
            <w:rStyle w:val="af1"/>
            <w:rFonts w:ascii="宋体" w:hAnsi="宋体" w:hint="eastAsia"/>
            <w:noProof/>
            <w:sz w:val="24"/>
          </w:rPr>
          <w:t>二十三、对基金份额持有人的服务</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_Toc116553095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155</w:t>
        </w:r>
        <w:r w:rsidR="000E6610">
          <w:rPr>
            <w:rFonts w:ascii="宋体" w:hAnsi="宋体"/>
            <w:noProof/>
            <w:sz w:val="24"/>
          </w:rPr>
          <w:fldChar w:fldCharType="end"/>
        </w:r>
      </w:hyperlink>
    </w:p>
    <w:p w14:paraId="3B28123B" w14:textId="513D4EF9" w:rsidR="002609C9" w:rsidRDefault="00C90517">
      <w:pPr>
        <w:pStyle w:val="11"/>
        <w:tabs>
          <w:tab w:val="right" w:leader="dot" w:pos="8550"/>
        </w:tabs>
        <w:spacing w:line="360" w:lineRule="auto"/>
        <w:rPr>
          <w:rFonts w:ascii="宋体" w:hAnsi="宋体"/>
          <w:noProof/>
          <w:sz w:val="24"/>
        </w:rPr>
      </w:pPr>
      <w:hyperlink w:anchor="_Toc116553096" w:history="1">
        <w:r w:rsidR="000E6610">
          <w:rPr>
            <w:rStyle w:val="af1"/>
            <w:rFonts w:ascii="宋体" w:hAnsi="宋体" w:hint="eastAsia"/>
            <w:noProof/>
            <w:sz w:val="24"/>
          </w:rPr>
          <w:t>二十四、其他应披露事项</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_Toc116553096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157</w:t>
        </w:r>
        <w:r w:rsidR="000E6610">
          <w:rPr>
            <w:rFonts w:ascii="宋体" w:hAnsi="宋体"/>
            <w:noProof/>
            <w:sz w:val="24"/>
          </w:rPr>
          <w:fldChar w:fldCharType="end"/>
        </w:r>
      </w:hyperlink>
    </w:p>
    <w:p w14:paraId="0B5027DF" w14:textId="304B1EAE" w:rsidR="002609C9" w:rsidRDefault="00C90517">
      <w:pPr>
        <w:pStyle w:val="11"/>
        <w:tabs>
          <w:tab w:val="right" w:leader="dot" w:pos="8550"/>
        </w:tabs>
        <w:spacing w:line="360" w:lineRule="auto"/>
        <w:rPr>
          <w:rFonts w:ascii="宋体" w:hAnsi="宋体"/>
          <w:noProof/>
          <w:sz w:val="24"/>
        </w:rPr>
      </w:pPr>
      <w:hyperlink w:anchor="_Toc116553097" w:history="1">
        <w:r w:rsidR="000E6610">
          <w:rPr>
            <w:rStyle w:val="af1"/>
            <w:rFonts w:ascii="宋体" w:hAnsi="宋体" w:hint="eastAsia"/>
            <w:noProof/>
            <w:sz w:val="24"/>
          </w:rPr>
          <w:t>二十五、招募说明书的存放及查阅方式</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_Toc116553097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160</w:t>
        </w:r>
        <w:r w:rsidR="000E6610">
          <w:rPr>
            <w:rFonts w:ascii="宋体" w:hAnsi="宋体"/>
            <w:noProof/>
            <w:sz w:val="24"/>
          </w:rPr>
          <w:fldChar w:fldCharType="end"/>
        </w:r>
      </w:hyperlink>
    </w:p>
    <w:p w14:paraId="1D163F99" w14:textId="41C5D0A7" w:rsidR="002609C9" w:rsidRDefault="00C90517">
      <w:pPr>
        <w:pStyle w:val="11"/>
        <w:tabs>
          <w:tab w:val="right" w:leader="dot" w:pos="8550"/>
        </w:tabs>
        <w:spacing w:line="360" w:lineRule="auto"/>
        <w:rPr>
          <w:rFonts w:ascii="宋体" w:hAnsi="宋体"/>
          <w:noProof/>
          <w:sz w:val="24"/>
        </w:rPr>
      </w:pPr>
      <w:hyperlink w:anchor="_Toc116553098" w:history="1">
        <w:r w:rsidR="000E6610">
          <w:rPr>
            <w:rStyle w:val="af1"/>
            <w:rFonts w:ascii="宋体" w:hAnsi="宋体" w:hint="eastAsia"/>
            <w:noProof/>
            <w:sz w:val="24"/>
          </w:rPr>
          <w:t>二十六、备查文件</w:t>
        </w:r>
        <w:r w:rsidR="000E6610">
          <w:rPr>
            <w:rFonts w:ascii="宋体" w:hAnsi="宋体"/>
            <w:noProof/>
            <w:sz w:val="24"/>
          </w:rPr>
          <w:tab/>
        </w:r>
        <w:r w:rsidR="000E6610">
          <w:rPr>
            <w:rFonts w:ascii="宋体" w:hAnsi="宋体"/>
            <w:noProof/>
            <w:sz w:val="24"/>
          </w:rPr>
          <w:fldChar w:fldCharType="begin"/>
        </w:r>
        <w:r w:rsidR="000E6610">
          <w:rPr>
            <w:rFonts w:ascii="宋体" w:hAnsi="宋体"/>
            <w:noProof/>
            <w:sz w:val="24"/>
          </w:rPr>
          <w:instrText xml:space="preserve"> PAGEREF _Toc116553098 \h </w:instrText>
        </w:r>
        <w:r w:rsidR="000E6610">
          <w:rPr>
            <w:rFonts w:ascii="宋体" w:hAnsi="宋体"/>
            <w:noProof/>
            <w:sz w:val="24"/>
          </w:rPr>
        </w:r>
        <w:r w:rsidR="000E6610">
          <w:rPr>
            <w:rFonts w:ascii="宋体" w:hAnsi="宋体"/>
            <w:noProof/>
            <w:sz w:val="24"/>
          </w:rPr>
          <w:fldChar w:fldCharType="separate"/>
        </w:r>
        <w:r w:rsidR="00EE2CFA">
          <w:rPr>
            <w:rFonts w:ascii="宋体" w:hAnsi="宋体"/>
            <w:noProof/>
            <w:sz w:val="24"/>
          </w:rPr>
          <w:t>161</w:t>
        </w:r>
        <w:r w:rsidR="000E6610">
          <w:rPr>
            <w:rFonts w:ascii="宋体" w:hAnsi="宋体"/>
            <w:noProof/>
            <w:sz w:val="24"/>
          </w:rPr>
          <w:fldChar w:fldCharType="end"/>
        </w:r>
      </w:hyperlink>
    </w:p>
    <w:p w14:paraId="0989EF74" w14:textId="633876DE" w:rsidR="002609C9" w:rsidRDefault="000E6610" w:rsidP="00AF3482">
      <w:pPr>
        <w:pStyle w:val="Style19"/>
        <w:snapToGrid w:val="0"/>
        <w:spacing w:after="240" w:line="360" w:lineRule="auto"/>
        <w:jc w:val="center"/>
        <w:sectPr w:rsidR="002609C9">
          <w:pgSz w:w="11920" w:h="16840"/>
          <w:pgMar w:top="1480" w:right="1680" w:bottom="280" w:left="1680" w:header="0" w:footer="1073" w:gutter="0"/>
          <w:cols w:space="720"/>
        </w:sectPr>
      </w:pPr>
      <w:r>
        <w:rPr>
          <w:rFonts w:ascii="宋体" w:hAnsi="宋体"/>
          <w:color w:val="000000"/>
          <w:position w:val="-4"/>
          <w:sz w:val="24"/>
          <w:szCs w:val="30"/>
        </w:rPr>
        <w:fldChar w:fldCharType="end"/>
      </w:r>
    </w:p>
    <w:p w14:paraId="0BB3F85B" w14:textId="77777777" w:rsidR="002609C9" w:rsidRDefault="000E6610">
      <w:pPr>
        <w:pStyle w:val="1"/>
        <w:snapToGrid w:val="0"/>
        <w:spacing w:beforeLines="0" w:before="240" w:after="240"/>
        <w:rPr>
          <w:rFonts w:ascii="宋体" w:hAnsi="宋体"/>
          <w:szCs w:val="30"/>
        </w:rPr>
      </w:pPr>
      <w:bookmarkStart w:id="3" w:name="_Toc116553073"/>
      <w:r>
        <w:rPr>
          <w:rFonts w:ascii="Times New Roman" w:hAnsi="Times New Roman"/>
          <w:sz w:val="30"/>
        </w:rPr>
        <w:lastRenderedPageBreak/>
        <w:t>一、绪言</w:t>
      </w:r>
      <w:bookmarkEnd w:id="3"/>
    </w:p>
    <w:p w14:paraId="124B6BE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智选星光混合型基金中基金（FOF-LOF）招募说明书》（以下简称“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证券投资基金运作指引第2号——基金中基金指引》、《公开募集开放式证券投资基金流动性风险管理规定》（以下简称“《流动性风险管理规定》”）和其他相关法律法规的规定以及《交银施罗德智选星光混合型基金中基金（FOF-LOF）基金合同》（以下简称“基金合同”）编写。</w:t>
      </w:r>
    </w:p>
    <w:p w14:paraId="7277B3F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540014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37D7554"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0AF972" w14:textId="77777777" w:rsidR="002609C9" w:rsidRDefault="000E6610">
      <w:pPr>
        <w:pStyle w:val="1"/>
        <w:snapToGrid w:val="0"/>
        <w:spacing w:beforeLines="0" w:before="240" w:after="240"/>
        <w:rPr>
          <w:rFonts w:ascii="宋体" w:hAnsi="宋体"/>
          <w:szCs w:val="30"/>
        </w:rPr>
      </w:pPr>
      <w:bookmarkStart w:id="4" w:name="_Toc116553074"/>
      <w:r>
        <w:rPr>
          <w:rFonts w:ascii="Times New Roman" w:hAnsi="Times New Roman"/>
          <w:sz w:val="30"/>
        </w:rPr>
        <w:lastRenderedPageBreak/>
        <w:t>二、释义</w:t>
      </w:r>
      <w:bookmarkEnd w:id="4"/>
    </w:p>
    <w:p w14:paraId="131073C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7935E8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1、基金或本基金：指交银施罗德智选星光一年封闭运作混合型基金中基金（FOF-LOF）</w:t>
      </w:r>
      <w:r>
        <w:rPr>
          <w:rFonts w:ascii="宋体" w:hAnsi="宋体" w:hint="eastAsia"/>
          <w:sz w:val="24"/>
        </w:rPr>
        <w:t>或交银施罗德智选星光混合型基金中基金（FOF-LOF），交银施罗德智选星光混合型基金中基金（FOF-LOF）由交银施罗德智选星光一年封闭运作混合型基金中基金（FOF-LOF）封闭期届满后更名而来</w:t>
      </w:r>
    </w:p>
    <w:p w14:paraId="242BA00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38A6A6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3、基金托管人：指中国光大银行股份有限公司</w:t>
      </w:r>
    </w:p>
    <w:p w14:paraId="6C58D4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4、基金合同或《基金合同》：指《交银施罗德智选星光一年封闭运作混合型基金中基金（FOF-LOF）基金合同》及对基金合同的任何有效修订和补充</w:t>
      </w:r>
      <w:r>
        <w:rPr>
          <w:rFonts w:ascii="宋体" w:hAnsi="宋体" w:hint="eastAsia"/>
          <w:sz w:val="24"/>
        </w:rPr>
        <w:t>；基金更名后，基金合同相应修订为《交银施罗德智选星光混合型基金中基金（FOF-LOF）基金合同》</w:t>
      </w:r>
    </w:p>
    <w:p w14:paraId="26D51D5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5、托管协议：指基金管理人与基金托管人就本基金签订之《交银施罗德智选星光一年封闭运作混合型基金中基金（FOF-LOF）托管协议》及对该托管协议的任何有效修订和补充</w:t>
      </w:r>
      <w:r>
        <w:rPr>
          <w:rFonts w:ascii="宋体" w:hAnsi="宋体" w:hint="eastAsia"/>
          <w:sz w:val="24"/>
        </w:rPr>
        <w:t>；基金更名后，托管协议相应修订为《交银施罗德智选星光混合型基金中基金（FOF-LOF）托管协议》</w:t>
      </w:r>
    </w:p>
    <w:p w14:paraId="58D328D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6、招募说明书、本招募说明书或《招募说明书》：指《交银施罗德智选星光一年封闭运作混合型基金中基金（FOF-LOF）招募说明书》及其更新</w:t>
      </w:r>
      <w:r>
        <w:rPr>
          <w:rFonts w:ascii="宋体" w:hAnsi="宋体" w:hint="eastAsia"/>
          <w:sz w:val="24"/>
        </w:rPr>
        <w:t>；基金更名后，招募说明书相应修订为《交银施罗德智选星光混合型基金中基金（FOF-LOF）招募说明书》及其更新</w:t>
      </w:r>
    </w:p>
    <w:p w14:paraId="37D357B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7、基金产品资料概要：指《交银施罗德智选星光一年封闭运作混合型基金中基金（FOF-LOF）基金产品资料概要》及其更新</w:t>
      </w:r>
      <w:r>
        <w:rPr>
          <w:rFonts w:ascii="宋体" w:hAnsi="宋体" w:hint="eastAsia"/>
          <w:sz w:val="24"/>
        </w:rPr>
        <w:t>；基金更名后，基金产品资料概要相应修订为《交银施罗德智选星光混合型基金中基金（FOF-LOF）基金产品资料概要》及其更新</w:t>
      </w:r>
    </w:p>
    <w:p w14:paraId="41D9C30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8、基金份额发售公告：指《交银施罗德智选星光一年封闭运作混合型基金中基金（FOF-LOF）基金份额发售公告》</w:t>
      </w:r>
    </w:p>
    <w:p w14:paraId="5A1AD2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9、上市交易公告书：指《交银施罗德智选星光一年封闭运作混合型基金中基金（FOF-LOF）上市交易公告书》</w:t>
      </w:r>
    </w:p>
    <w:p w14:paraId="521ADE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10、法律法规：指中国现行有效并公布实施的法律、行政法规、规范性文件、</w:t>
      </w:r>
      <w:r>
        <w:rPr>
          <w:rFonts w:ascii="宋体" w:hAnsi="宋体"/>
          <w:sz w:val="24"/>
        </w:rPr>
        <w:lastRenderedPageBreak/>
        <w:t>司法解释、行政规章以及其他对基金合同当事人有约束力的决定、决议、通知等</w:t>
      </w:r>
    </w:p>
    <w:p w14:paraId="6BE754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11、《基金法》：指《中华人民共和国证券投资基金法》及颁布机关对其不时做出的修订</w:t>
      </w:r>
    </w:p>
    <w:p w14:paraId="24B2340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12、《销售办法》：指《公开募集证券投资基金销售机构监督管理办法》及颁布机关对其不时做出的修订</w:t>
      </w:r>
    </w:p>
    <w:p w14:paraId="6383F8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13、《信息披露办法》：指《公开募集证券投资基金信息披露管理办法》及颁布机关对其不时做出的修订</w:t>
      </w:r>
    </w:p>
    <w:p w14:paraId="58D55A5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14、《运作办法》：指《公开募集证券投资基金运作管理办法》及颁布机关对其不时做出的修订</w:t>
      </w:r>
    </w:p>
    <w:p w14:paraId="0BF7ED6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15、《流动性风险管理规定》：指《公开募集开放式证券投资基金流动性风险管理规定》及颁布机关对其不时做出的修订</w:t>
      </w:r>
    </w:p>
    <w:p w14:paraId="415BB0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14:paraId="7585A90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17、银行业监督管理机构：指中国人民银行和/或中国银行保险监督管理委员会</w:t>
      </w:r>
    </w:p>
    <w:p w14:paraId="23B204E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14:paraId="7F71DA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14:paraId="4DC99B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14:paraId="4A5D49A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7DF01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22、投资人、投资者：指个人投资者、机构投资者、合格境外投资者以及法律法规或中国证监会允许购买证券投资基金的其他投资人的合称</w:t>
      </w:r>
    </w:p>
    <w:p w14:paraId="414E4A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7384D9C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4AA308B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w:t>
      </w:r>
      <w:r>
        <w:rPr>
          <w:rFonts w:ascii="宋体" w:hAnsi="宋体"/>
          <w:sz w:val="24"/>
        </w:rPr>
        <w:lastRenderedPageBreak/>
        <w:t>证监会规定的其他条件，取得基金销售业务资格并与基金管理人签订了基金销售服务协议，办理基金销售业务的机构以及可通过上海证券交易所交易系统办理基金销售业务的会员单位</w:t>
      </w:r>
    </w:p>
    <w:p w14:paraId="6B9276D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26、会员单位：指上海证券交易所会员单位</w:t>
      </w:r>
    </w:p>
    <w:p w14:paraId="6CE6544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场外：指不通过上海证券交易所交易系统，而通过直销机构和其他场外销售机构的柜台系统或其他交易系统办理基金份额认购、申购和赎回等业务的场所。通过该等场所办理基金份额的认购、申购和赎回也称为场外认购、场外申购和场外赎回</w:t>
      </w:r>
    </w:p>
    <w:p w14:paraId="5B3BDB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14:paraId="226337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29、注册登记系统：指中国证券登记结算有限责任公司开放式基金登记结算系统，通过场外认购、申购的基金份额登记在注册登记系统</w:t>
      </w:r>
    </w:p>
    <w:p w14:paraId="534D2E7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30、证券登记结算系统：指中国证券登记结算有限责任公司上海分公司证券登记结算系统，通过场内认购、申购的基金份额或买入的基金份额登记在证券登记结算系统</w:t>
      </w:r>
    </w:p>
    <w:p w14:paraId="52FD16A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31、场外份额：指登记在注册登记系统下的基金份额</w:t>
      </w:r>
    </w:p>
    <w:p w14:paraId="525AC2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32、场内份额：指登记在证券登记结算系统下的基金份额</w:t>
      </w:r>
    </w:p>
    <w:p w14:paraId="7EEC82E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登记业务：指基金登记、存管、过户、清算和结算业务，具体内容包括投资人开放式基金账户和/或上海证券账户的建立和管理、基金份额登记、基金销售业务的确认、清算和结算、代理发放红利、建立并保管基金份额持有人名册和办理非交易过户等</w:t>
      </w:r>
    </w:p>
    <w:p w14:paraId="5265C5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34、登记机构：指办理登记业务的机构。基金的登记机构为交银施罗德基金管理有限公司或接受交银施罗德基金管理有限公司委托代为办理登记业务的机构</w:t>
      </w:r>
    </w:p>
    <w:p w14:paraId="2556E91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1237E6A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36、上海证券账户：指在中国证券登记结算有限责任公司上海分公司开设的上海证券交易所人民币普通股票账户或证券投资基金账户。基金投资者通过上海证券</w:t>
      </w:r>
      <w:r>
        <w:rPr>
          <w:rFonts w:ascii="宋体" w:hAnsi="宋体"/>
          <w:sz w:val="24"/>
        </w:rPr>
        <w:lastRenderedPageBreak/>
        <w:t>交易所交易系统办理基金交易、场内认购、场内申购和场内赎回等业务时需持有上海证券账户，记录在该账户下的基金份额登记在登记机构的证券登记结算系统</w:t>
      </w:r>
    </w:p>
    <w:p w14:paraId="059948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37、基金交易账户：指销售机构为投资人开立的、记录投资人通过该销售机构办理认购、申购、赎回、转换及转托管等业务而引起的基金份额变动及结余情况的账户</w:t>
      </w:r>
    </w:p>
    <w:p w14:paraId="648C8A0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38、基金合同生效日：指基金募集达到法律法规规定及基金合同规定的条件，基金管理人向中国证监会办理基金备案手续完毕，并获得中国证监会书面确认的日期</w:t>
      </w:r>
    </w:p>
    <w:p w14:paraId="7E98A05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39、基金合同终止日：指基金合同规定的基金合同终止事由出现后，基金财产清算完毕，清算结果报中国证监会备案并予以公告的日期</w:t>
      </w:r>
    </w:p>
    <w:p w14:paraId="404BE30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40、基金募集期：指自基金份额发售之日起至发售结束之日止的期间，最长不得超过3个月</w:t>
      </w:r>
    </w:p>
    <w:p w14:paraId="3A5056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41、存续期：指基金合同生效至终止之间的不定期期限</w:t>
      </w:r>
    </w:p>
    <w:p w14:paraId="370910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42、工作日：指上海证券交易所、深圳证券交易所的正常交易日</w:t>
      </w:r>
    </w:p>
    <w:p w14:paraId="71C988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43、T日：指销售机构在规定时间受理投资人申购、赎回或其他业务申请的开放日</w:t>
      </w:r>
    </w:p>
    <w:p w14:paraId="5B9256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44、T+n日：指自T日起第n个工作日（不包含T日）</w:t>
      </w:r>
    </w:p>
    <w:p w14:paraId="180961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45、开放日：指本基金封闭期结束转为开放式运作后，为投资人办理基金份额申购、赎回或其他业务的工作日（若该工作日为非港股通交易日，则本基金可不开放）</w:t>
      </w:r>
    </w:p>
    <w:p w14:paraId="3AF9815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封闭期：本基金封闭期为一年（含一年），自基金合同生效之日起至一年后对应日前一日（含该日）止，若该日历年度中不存在对应日期的，则该对应日为该特定日期所在月度的最后一日。如该对应日为非工作日的，则顺延至下一个工作日。在封闭期内，本基金不办理申购、赎回业务，但投资人可在本基金上市交易后通过上海证券交易所转让基金份额。封闭期届满后，本基金转为上市开放式基金中基金，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中基金</w:t>
      </w:r>
    </w:p>
    <w:p w14:paraId="10E2A85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47、开放时间：指开放日基金接受申购、赎回或其他交易的时间段</w:t>
      </w:r>
    </w:p>
    <w:p w14:paraId="6261CA8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48、《业务规则》：指本基金管理人、上海证券交易所、中国证券登记结算有限</w:t>
      </w:r>
      <w:r>
        <w:rPr>
          <w:rFonts w:ascii="宋体" w:hAnsi="宋体"/>
          <w:sz w:val="24"/>
        </w:rPr>
        <w:lastRenderedPageBreak/>
        <w:t>责任公司及其他销售机构的相关业务规则及其不时做出的修订</w:t>
      </w:r>
    </w:p>
    <w:p w14:paraId="5CA2A51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49、认购：指在基金募集期内，投资人根据基金合同和招募说明书的规定申请购买基金份额的行为</w:t>
      </w:r>
    </w:p>
    <w:p w14:paraId="66A3F7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50、申购：指本基金封闭期结束转为开放式运作后，投资人根据基金合同和招募说明书的规定申请购买基金份额的行为</w:t>
      </w:r>
    </w:p>
    <w:p w14:paraId="3B6990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51、赎回：指本基金封闭期结束转为开放式运作后，基金份额持有人按基金合同和招募说明书规定的条件要求将基金份额兑换为现金的行为</w:t>
      </w:r>
    </w:p>
    <w:p w14:paraId="5BD7E64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转换：指基金份额持有人封闭期结束、转为开放式运作后按照基金合同和基金管理人届时有效公告规定的条件，申请将其持有基金管理人管理的、某一基金的基金份额转换为基金管理人管理的其他基金基金份额的行为</w:t>
      </w:r>
    </w:p>
    <w:p w14:paraId="04A9B2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53、转托管：指基金份额持有人在本基金的不同销售机构之间实施的变更所持基金份额销售机构的操作，包括系统内转托管和跨系统转托管</w:t>
      </w:r>
    </w:p>
    <w:p w14:paraId="7D1F32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54、系统内转托管：指基金份额持有人将持有的基金份额在注册登记系统内不同销售机构之间或证券登记结算系统内不同会员单位之间进行转登记的行为</w:t>
      </w:r>
    </w:p>
    <w:p w14:paraId="30D593D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55、跨系统转托管：指基金份额持有人将持有的A类基金份额在注册登记系统和证券登记结算系统间进行转登记的行为。除经基金管理人另行公告，C类基金份额不能进行跨系统转托管</w:t>
      </w:r>
    </w:p>
    <w:p w14:paraId="0C95535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7AAAE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巨额赎回：指本基金封闭期结束转为开放式运作后，在单个开放日，基金净赎回申请（赎回申请份额总数加上基金转换中转出申请份额总数后扣除申购申请份额总数及基金转换中转入申请份额总数后的余额）超过上一工作日基金总份额的10%的情形</w:t>
      </w:r>
    </w:p>
    <w:p w14:paraId="49F587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58、元：指人民币元</w:t>
      </w:r>
    </w:p>
    <w:p w14:paraId="6B6662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59、基金收益：指基金投资所得红利、股息、债券利息、买卖证券价差、银行存款利息、已实现的其他合法收入及因运用基金财产带来的成本和费用的节约</w:t>
      </w:r>
    </w:p>
    <w:p w14:paraId="51DF17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60、基金资产总值：指基金拥有的各类有价证券、证券投资基金份额、银行存款本息、基金应收款项及其他资产的价值总和</w:t>
      </w:r>
    </w:p>
    <w:p w14:paraId="7683721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61、基金资产净值：指基金资产总值减去基金负债后的价值</w:t>
      </w:r>
    </w:p>
    <w:p w14:paraId="2BBC8A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62、基金份额净值：指计算日基金资产净值除以计算日基金份额总数</w:t>
      </w:r>
    </w:p>
    <w:p w14:paraId="7B0F19B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63、基金资产估值：指计算评估基金资产和负债的价值，以确定基金资产净值和基金份额净值的过程</w:t>
      </w:r>
    </w:p>
    <w:p w14:paraId="0D5BB65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64、港股通：指内地投资者委托内地证券公司，经由内地证券交易所在香港设立的证券交易服务公司，向香港联合交易所进行申报，买卖规定范围内的香港联合交易所上市的股票</w:t>
      </w:r>
    </w:p>
    <w:p w14:paraId="126DF3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65、规定媒介：指符合中国证监会规定条件的用以进行信息披露的全国性报刊及《信息披露办法》规定的互联网网站（包括基金管理人网站、基金托管人网站、中国证监会基金电子披露网站）等媒介</w:t>
      </w:r>
    </w:p>
    <w:p w14:paraId="1F2B15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66、销售服务费：指从基金财产中计提的，用于本基金市场推广、销售以及基金份额持有人服务的费用</w:t>
      </w:r>
    </w:p>
    <w:p w14:paraId="52EAC2F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67、A类基金份额：指在投资人认购/申购时收取认购/申购费用且不从本类别基金资产中计提销售服务费的基金份额</w:t>
      </w:r>
    </w:p>
    <w:p w14:paraId="134778D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68、C类基金份额：指在投资人认购/申购时不收取认购/申购费用，并从本类别基金资产中计提销售服务费的基金份额</w:t>
      </w:r>
    </w:p>
    <w:p w14:paraId="37F4BA6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429F245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E42A05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D0DBE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72、特定资产：包括：（一）无可参考的活跃市场价格且采用估值技术仍导致公允价值存在重大不确定性的资产；（二）按摊余成本计量且计提资产减值准备仍</w:t>
      </w:r>
      <w:r>
        <w:rPr>
          <w:rFonts w:ascii="宋体" w:hAnsi="宋体"/>
          <w:sz w:val="24"/>
        </w:rPr>
        <w:lastRenderedPageBreak/>
        <w:t>导致资产价值存在重大不确定性的资产；（三）其他资产价值存在重大不确定性的资产</w:t>
      </w:r>
    </w:p>
    <w:p w14:paraId="635554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73、不可抗力：指基金合同当事人不能预见、不能避免且不能克服的客观事件</w:t>
      </w:r>
    </w:p>
    <w:p w14:paraId="5BA849DC"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26727C" w14:textId="77777777" w:rsidR="002609C9" w:rsidRDefault="000E6610">
      <w:pPr>
        <w:pStyle w:val="1"/>
        <w:snapToGrid w:val="0"/>
        <w:spacing w:beforeLines="0" w:before="240" w:after="240"/>
        <w:rPr>
          <w:rFonts w:ascii="宋体" w:hAnsi="宋体"/>
          <w:szCs w:val="30"/>
        </w:rPr>
      </w:pPr>
      <w:bookmarkStart w:id="5" w:name="_Toc116553075"/>
      <w:r>
        <w:rPr>
          <w:rFonts w:ascii="Times New Roman" w:hAnsi="Times New Roman"/>
          <w:sz w:val="30"/>
        </w:rPr>
        <w:lastRenderedPageBreak/>
        <w:t>三、基金管理人</w:t>
      </w:r>
      <w:bookmarkEnd w:id="5"/>
    </w:p>
    <w:p w14:paraId="7802D8A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203EAE8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FBA30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4E3BF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02E98C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6A8FAA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BA43D5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6D1412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4BDC1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EC64B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783893B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2D87ED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52B6258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4A0" w:firstRow="1" w:lastRow="0" w:firstColumn="1" w:lastColumn="0" w:noHBand="0" w:noVBand="1"/>
      </w:tblPr>
      <w:tblGrid>
        <w:gridCol w:w="4325"/>
        <w:gridCol w:w="4325"/>
      </w:tblGrid>
      <w:tr w:rsidR="002609C9" w14:paraId="2A60170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0CA3C14"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596FA02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2609C9" w14:paraId="1350706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35FD14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DECDFB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2609C9" w14:paraId="2A8178B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FF4632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D8D8DB1"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2609C9" w14:paraId="3EF1B18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40023C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5468437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59338A5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294E00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308339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5505DA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童洁萍女士，董事，在职工商管理硕士。现任交通银行总行个人金融业务部副总经理。历任交通银行南京分行个人金融业务部副高级经理、江苏省分行个人金融业务部副总经理、总经理、玄武支行行长。</w:t>
      </w:r>
    </w:p>
    <w:p w14:paraId="6725C59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14:paraId="2F1AA16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BAEBAF2" w14:textId="602486F4"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w:t>
      </w:r>
      <w:r>
        <w:rPr>
          <w:rFonts w:ascii="宋体" w:hAnsi="宋体" w:hint="eastAsia"/>
          <w:sz w:val="24"/>
        </w:rPr>
        <w:t>董事，</w:t>
      </w:r>
      <w:r>
        <w:rPr>
          <w:rFonts w:ascii="宋体" w:hAnsi="宋体"/>
          <w:sz w:val="24"/>
        </w:rPr>
        <w:t>硕士。现任施罗德集团全球业务总裁</w:t>
      </w:r>
      <w:r w:rsidR="00562BF8">
        <w:rPr>
          <w:rFonts w:ascii="宋体" w:hAnsi="宋体" w:hint="eastAsia"/>
          <w:sz w:val="24"/>
        </w:rPr>
        <w:t>，</w:t>
      </w:r>
      <w:r>
        <w:rPr>
          <w:rFonts w:ascii="宋体" w:hAnsi="宋体"/>
          <w:sz w:val="24"/>
        </w:rPr>
        <w:t xml:space="preserve"> 担任集团管理委员会成员。历任施罗德投资管理有限公司亚洲投资产品总监、亚太区行政总裁、施罗德投资管理（香港）有限公司行政总裁兼亚太区基金业务拓展总监。</w:t>
      </w:r>
    </w:p>
    <w:p w14:paraId="6946972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54227B3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49DD5C4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C29AF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64C81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7006AD5E" w14:textId="745A206B"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w:t>
      </w:r>
      <w:r w:rsidR="002F4B86" w:rsidRPr="002F4B86">
        <w:rPr>
          <w:rFonts w:ascii="宋体" w:hAnsi="宋体" w:hint="eastAsia"/>
          <w:sz w:val="24"/>
        </w:rPr>
        <w:t>工会办公室主任</w:t>
      </w:r>
      <w:r>
        <w:rPr>
          <w:rFonts w:ascii="宋体" w:hAnsi="宋体"/>
          <w:sz w:val="24"/>
        </w:rPr>
        <w:t>。历任交通银行山西省分行个人金融业务部高级经理，交通银行山西省分行副行长，交通银行个人金融业务部副总经理</w:t>
      </w:r>
      <w:r w:rsidR="002F4B86" w:rsidRPr="002F4B86">
        <w:rPr>
          <w:rFonts w:ascii="宋体" w:hAnsi="宋体" w:hint="eastAsia"/>
          <w:sz w:val="24"/>
        </w:rPr>
        <w:t>、私人银行部总经理</w:t>
      </w:r>
      <w:r>
        <w:rPr>
          <w:rFonts w:ascii="宋体" w:hAnsi="宋体"/>
          <w:sz w:val="24"/>
        </w:rPr>
        <w:t>。</w:t>
      </w:r>
    </w:p>
    <w:p w14:paraId="4B35CF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14:paraId="6A6958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666C6AC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6848CC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4BD188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14:paraId="407EAA5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65A89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6A57EE8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4A674E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7841DFD8" w14:textId="409AAAA6"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刘兵先生:基金经理。上海财经大学经济学博士。</w:t>
      </w:r>
      <w:r w:rsidR="0088296D">
        <w:rPr>
          <w:rFonts w:ascii="宋体" w:hAnsi="宋体"/>
          <w:sz w:val="24"/>
        </w:rPr>
        <w:t>7</w:t>
      </w:r>
      <w:r>
        <w:rPr>
          <w:rFonts w:ascii="宋体" w:hAnsi="宋体"/>
          <w:sz w:val="24"/>
        </w:rPr>
        <w:t>年证券投资行业从业经验。2016年加入交银施罗德基金管理有限公司，曾任量化投资部研究员、多元资产管理部研究员、投资经理，</w:t>
      </w:r>
      <w:r>
        <w:rPr>
          <w:rFonts w:ascii="宋体" w:hAnsi="宋体" w:hint="eastAsia"/>
          <w:sz w:val="24"/>
        </w:rPr>
        <w:t>现任多元资产管理部基金经理以及基金投顾业务投资经理</w:t>
      </w:r>
      <w:r>
        <w:rPr>
          <w:rFonts w:ascii="宋体" w:hAnsi="宋体"/>
          <w:sz w:val="24"/>
        </w:rPr>
        <w:t>。现任交银施罗德招享一年持有期混合型基金中基金（FOF）(2021年08月24日至今)、交银施罗德智选星光混合型基金中基金（FOF-LOF）</w:t>
      </w:r>
      <w:r>
        <w:rPr>
          <w:rFonts w:ascii="宋体" w:hAnsi="宋体" w:hint="eastAsia"/>
          <w:sz w:val="24"/>
        </w:rPr>
        <w:t>（原交银施罗德智选星光一年封闭运作混合型基金中基金（FOF-LOF），于2022年11月10日更名）</w:t>
      </w:r>
      <w:r>
        <w:rPr>
          <w:rFonts w:ascii="宋体" w:hAnsi="宋体"/>
          <w:sz w:val="24"/>
        </w:rPr>
        <w:t>(2021年11</w:t>
      </w:r>
      <w:r>
        <w:rPr>
          <w:rFonts w:ascii="宋体" w:hAnsi="宋体"/>
          <w:sz w:val="24"/>
        </w:rPr>
        <w:lastRenderedPageBreak/>
        <w:t>月10日至今)、交银施罗德兴享一年持有期混合型基金中基金（FOF）(2021年12月01日至今)、交银施罗德优享一年持有期混合型基金中基金（FOF）(2022年01月27日至今)</w:t>
      </w:r>
      <w:r>
        <w:rPr>
          <w:rFonts w:ascii="宋体" w:hAnsi="宋体" w:hint="eastAsia"/>
          <w:sz w:val="24"/>
        </w:rPr>
        <w:t>、交银施罗德慧选睿信一年持有期混合型基金中基金（FOF）（2022年</w:t>
      </w:r>
      <w:r w:rsidR="006C5DA3">
        <w:rPr>
          <w:rFonts w:ascii="宋体" w:hAnsi="宋体" w:hint="eastAsia"/>
          <w:sz w:val="24"/>
        </w:rPr>
        <w:t>0</w:t>
      </w:r>
      <w:r>
        <w:rPr>
          <w:rFonts w:ascii="宋体" w:hAnsi="宋体" w:hint="eastAsia"/>
          <w:sz w:val="24"/>
        </w:rPr>
        <w:t>7月27日至今）</w:t>
      </w:r>
      <w:r w:rsidR="006C5DA3" w:rsidRPr="002D6476">
        <w:rPr>
          <w:rFonts w:ascii="宋体" w:hAnsi="宋体" w:hint="eastAsia"/>
          <w:sz w:val="24"/>
        </w:rPr>
        <w:t>、交银施罗德安享稳健养老目标一年持有期混合型基金中基金（FOF）(2023年01月07日至今)</w:t>
      </w:r>
      <w:r w:rsidR="002D6476">
        <w:rPr>
          <w:rFonts w:ascii="宋体" w:hAnsi="宋体" w:hint="eastAsia"/>
          <w:sz w:val="24"/>
        </w:rPr>
        <w:t>、</w:t>
      </w:r>
      <w:r w:rsidR="002D6476" w:rsidRPr="002D6476">
        <w:rPr>
          <w:rFonts w:ascii="宋体" w:hAnsi="宋体" w:hint="eastAsia"/>
          <w:sz w:val="24"/>
        </w:rPr>
        <w:t>交银施罗德养老目标日期2035三年持有期混合型基金中基金（FOF）(2023年01月07日至今)</w:t>
      </w:r>
      <w:r>
        <w:rPr>
          <w:rFonts w:ascii="宋体" w:hAnsi="宋体"/>
          <w:sz w:val="24"/>
        </w:rPr>
        <w:t>的基金经理。</w:t>
      </w:r>
    </w:p>
    <w:p w14:paraId="123546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20E323F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44E8A62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2C3A3E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517E2C5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707706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214AE019" w14:textId="4E0A037F"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w:t>
      </w:r>
      <w:r w:rsidR="006D1AE0">
        <w:rPr>
          <w:rFonts w:ascii="宋体" w:hAnsi="宋体"/>
          <w:sz w:val="24"/>
        </w:rPr>
        <w:t>3</w:t>
      </w:r>
      <w:r>
        <w:rPr>
          <w:rFonts w:ascii="宋体" w:hAnsi="宋体"/>
          <w:sz w:val="24"/>
        </w:rPr>
        <w:t>年</w:t>
      </w:r>
      <w:r w:rsidR="006D1AE0">
        <w:rPr>
          <w:rFonts w:ascii="宋体" w:hAnsi="宋体" w:hint="eastAsia"/>
          <w:sz w:val="24"/>
        </w:rPr>
        <w:t>2</w:t>
      </w:r>
      <w:r>
        <w:rPr>
          <w:rFonts w:ascii="宋体" w:hAnsi="宋体"/>
          <w:sz w:val="24"/>
        </w:rPr>
        <w:t>月</w:t>
      </w:r>
      <w:r>
        <w:rPr>
          <w:rFonts w:ascii="宋体" w:hAnsi="宋体" w:hint="eastAsia"/>
          <w:sz w:val="24"/>
        </w:rPr>
        <w:t>7</w:t>
      </w:r>
      <w:r>
        <w:rPr>
          <w:rFonts w:ascii="宋体" w:hAnsi="宋体"/>
          <w:sz w:val="24"/>
        </w:rPr>
        <w:t>日，期后变动（如有）敬请关注基金管理人发布的相关公告。</w:t>
      </w:r>
    </w:p>
    <w:p w14:paraId="5083EB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6FF75E2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7FE46D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946549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A284A6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16BA01C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8E3961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4E011BC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1B92DEF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6C8126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31B0506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540A4C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2A3026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143BAC5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（四）基金管理人的承诺</w:t>
      </w:r>
    </w:p>
    <w:p w14:paraId="504FBC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1E0DE8D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16A975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7DFBD5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41412DE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7C8AF2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7973BAB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67CF56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1841B93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2C6C06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4744C55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34544E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215C725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29C0F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681A30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4FC2E7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340AC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6334F3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0162E5F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4A1CF7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5452506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（2）独立性原则</w:t>
      </w:r>
    </w:p>
    <w:p w14:paraId="74E3D6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3AA326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35CF50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70311CA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272530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58BBAB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32A1F08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99634F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627A45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07C5C60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4949EDA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342FF37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2E9C127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47D51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46A0CF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2247D6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39084A3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0E1509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580F2A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8DFECB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2189EB2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30DE3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06E3138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071BD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3674111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1DC159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1D8902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2C2464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0B2567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350DCF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DEA528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516DCBF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7C363CA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47C204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w:t>
      </w:r>
      <w:r>
        <w:rPr>
          <w:rFonts w:ascii="宋体" w:hAnsi="宋体"/>
          <w:sz w:val="24"/>
        </w:rPr>
        <w:lastRenderedPageBreak/>
        <w:t>员及时掌握风险状况，从而以最快速度作出决策。</w:t>
      </w:r>
    </w:p>
    <w:p w14:paraId="7929D19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545B16A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4580DB8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7B71F81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5E46AF5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58C09C1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70317DF0"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B960FD" w14:textId="77777777" w:rsidR="002609C9" w:rsidRDefault="000E6610">
      <w:pPr>
        <w:pStyle w:val="1"/>
        <w:snapToGrid w:val="0"/>
        <w:spacing w:beforeLines="0" w:before="240" w:after="240"/>
        <w:rPr>
          <w:rFonts w:ascii="宋体" w:hAnsi="宋体"/>
          <w:szCs w:val="30"/>
        </w:rPr>
      </w:pPr>
      <w:bookmarkStart w:id="6" w:name="_Toc116553076"/>
      <w:bookmarkStart w:id="7" w:name="_GoBack"/>
      <w:bookmarkEnd w:id="7"/>
      <w:r>
        <w:rPr>
          <w:rFonts w:ascii="Times New Roman" w:hAnsi="Times New Roman"/>
          <w:sz w:val="30"/>
        </w:rPr>
        <w:lastRenderedPageBreak/>
        <w:t>四、基金托管人</w:t>
      </w:r>
      <w:bookmarkEnd w:id="6"/>
    </w:p>
    <w:p w14:paraId="23CAAD0B"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（一）基金托管人基本情况</w:t>
      </w:r>
    </w:p>
    <w:p w14:paraId="315D3E6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612F291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住所及办公地址：北京市西城区太平桥大街25号、甲25号中国光大中心</w:t>
      </w:r>
    </w:p>
    <w:p w14:paraId="6947477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成立日期：1992年6月18日</w:t>
      </w:r>
    </w:p>
    <w:p w14:paraId="6E8E90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6E3EF6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007619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注册资本：466.79095亿元人民币</w:t>
      </w:r>
    </w:p>
    <w:p w14:paraId="4DB55E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41F4C2C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基金托管业务批准文号：中国证监会证监基字【2002】75号</w:t>
      </w:r>
    </w:p>
    <w:p w14:paraId="65E06A2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w:t>
      </w:r>
    </w:p>
    <w:p w14:paraId="6D549C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 63636363</w:t>
      </w:r>
    </w:p>
    <w:p w14:paraId="6204C7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 63639132</w:t>
      </w:r>
    </w:p>
    <w:p w14:paraId="6C757D8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725D55A5"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（二）资产托管部部门及主要人员情况</w:t>
      </w:r>
    </w:p>
    <w:p w14:paraId="01AB7E6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董事长王江先生，自2022年8月起任本行董事长、2022年3月起任本行党委书记。现任中国光大集团股份公司党委书记、董事长，兼任中国光大集团股份公司党校名誉校长、中国光大集团有限公司董事长。曾任中国建设银行山东省分行信贷风险管理处副处长，山东省德州市分行行长，山东省分行党委副书记、副行长，湖北省分行党委书记、行长，上海市分行党委书记、行长;交通银行党委委员、副行长;江苏省副省长;中国银行党委副书记、副董事长、行长;中国建设银行党委副书记、副董事长、行长。获经济学博士学位。第十三届全国人大代表。</w:t>
      </w:r>
    </w:p>
    <w:p w14:paraId="2B1BDD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付万军先生，自2021年6月起任本行执行董事、行长，2021年4月起任本行党委副书记。兼任中国光大集团股份公司党委委员、执行董事。曾任交通银行乌鲁木齐分行信贷二部副经理、市场营销二部副经理、经理、行长助理、副行长、党委委员，银川分行党委书记、行长，新疆区(乌鲁木齐)分行党委书记、行长，重庆市分行党委书记、行长，总行公司机构业务部总经理(省分行正职级)、业务总监(公司与机构业务板块);中国光大集团股份公司副总经理;本行非执行董事。获工商管理硕士学位，高级经济师。</w:t>
      </w:r>
    </w:p>
    <w:p w14:paraId="671AB7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资产托管部总经理李守靖先生，曾任中国光大银行海口分行部门总经理，行长助理，副行长；中国光大银行南宁分行副行长（主持工作）、行长。现任中国光大银行资产托管部总经理。</w:t>
      </w:r>
    </w:p>
    <w:p w14:paraId="07095E5C"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（三）证券投资基金托管情况</w:t>
      </w:r>
    </w:p>
    <w:p w14:paraId="0D7595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6月30日，中国光大银行股份有限公司托管公开募集证券投资基金共277只，托管基金资产规模6281.68亿元。同时，开展了证券公司资产管理计划、专户理财、职业年金、企业年金、QDII、银行理财、保险债权投资计划等资产的托管及信托公司资金信托计划、产业投资基金、股权基金等产品的保管业务。</w:t>
      </w:r>
    </w:p>
    <w:p w14:paraId="72FD39FC"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（四）托管业务的内部控制制度</w:t>
      </w:r>
    </w:p>
    <w:p w14:paraId="77A674B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47D7F67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4317A57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2、内部控制的原则</w:t>
      </w:r>
    </w:p>
    <w:p w14:paraId="7D33F6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（1）全面性原则。内部控制必须渗透到基金托管业务的各个操作环节，覆盖所有的岗位，不留任何死角。</w:t>
      </w:r>
    </w:p>
    <w:p w14:paraId="4D776F9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（2）预防性原则。树立“预防为主”的管理理念，从风险发生的源头加强内部控制，防患于未然，尽量避免业务操作中各种问题的产生。</w:t>
      </w:r>
    </w:p>
    <w:p w14:paraId="7A01C9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（3）及时性原则。建立健全各项规章制度，采取有效措施加强内部控制。发现问题，及时处理，堵塞漏洞。</w:t>
      </w:r>
    </w:p>
    <w:p w14:paraId="319A44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（4）独立性原则。基金托管业务内部控制机构独立于基金托管业务执行机构，业务操作人员和内控人员分开，以保证内控机构的工作不受干扰。</w:t>
      </w:r>
    </w:p>
    <w:p w14:paraId="064E486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3、内部控制组织结构</w:t>
      </w:r>
    </w:p>
    <w:p w14:paraId="043CB9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289666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4、内部控制制度</w:t>
      </w:r>
    </w:p>
    <w:p w14:paraId="2CEBE0D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资产托管部自成立以来严格遵照《基金法》、《中华人民共和国商业银行法》、《信息披露管理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14:paraId="701D7457"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（五）托管人对管理人运作基金进行监督的方法和程序</w:t>
      </w:r>
    </w:p>
    <w:p w14:paraId="35051E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14:paraId="206DEA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14:paraId="33CB4B8F"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1E72DC" w14:textId="77777777" w:rsidR="002609C9" w:rsidRDefault="000E6610">
      <w:pPr>
        <w:pStyle w:val="1"/>
        <w:snapToGrid w:val="0"/>
        <w:spacing w:beforeLines="0" w:before="240" w:after="240"/>
        <w:rPr>
          <w:rFonts w:ascii="宋体" w:hAnsi="宋体"/>
          <w:szCs w:val="30"/>
        </w:rPr>
      </w:pPr>
      <w:bookmarkStart w:id="8" w:name="_Toc116553077"/>
      <w:r>
        <w:rPr>
          <w:rFonts w:ascii="Times New Roman" w:hAnsi="Times New Roman"/>
          <w:sz w:val="30"/>
        </w:rPr>
        <w:lastRenderedPageBreak/>
        <w:t>五、相关服务机构</w:t>
      </w:r>
      <w:bookmarkEnd w:id="8"/>
    </w:p>
    <w:p w14:paraId="4029277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05DB7C9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046579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359BD77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36A590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8B4A8E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5BFE46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DAB333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BD99E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56AFD60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2B3AE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22CEA8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02F220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B3840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w:t>
      </w:r>
      <w:r>
        <w:rPr>
          <w:rFonts w:ascii="宋体" w:hAnsi="宋体" w:hint="eastAsia"/>
          <w:sz w:val="24"/>
        </w:rPr>
        <w:t>等业务</w:t>
      </w:r>
      <w:r>
        <w:rPr>
          <w:rFonts w:ascii="宋体" w:hAnsi="宋体"/>
          <w:sz w:val="24"/>
        </w:rPr>
        <w:t>，具体交易细则请参阅基金管理人网站。</w:t>
      </w:r>
    </w:p>
    <w:p w14:paraId="2817FA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3AF32F4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2、场内销售机构</w:t>
      </w:r>
    </w:p>
    <w:p w14:paraId="1E6900D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具有基金销售业务资格、经上海证券交易所和中国证券登记结算有限责任公司认可的、通过上海证券交易所交易系统办理基金销售业务的上海证券交易所会员单位，具体名单详见上海证券交易所网站。</w:t>
      </w:r>
    </w:p>
    <w:p w14:paraId="3D5240B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hint="eastAsia"/>
          <w:kern w:val="0"/>
          <w:sz w:val="24"/>
          <w:szCs w:val="24"/>
        </w:rPr>
        <w:t>除基金管理人之外</w:t>
      </w:r>
      <w:r>
        <w:rPr>
          <w:rFonts w:hAnsi="宋体" w:hint="eastAsia"/>
          <w:sz w:val="24"/>
        </w:rPr>
        <w:t>的</w:t>
      </w:r>
      <w:r>
        <w:rPr>
          <w:rFonts w:ascii="宋体" w:hAnsi="宋体"/>
          <w:sz w:val="24"/>
        </w:rPr>
        <w:t>其他</w:t>
      </w:r>
      <w:r>
        <w:rPr>
          <w:rFonts w:ascii="宋体" w:hAnsi="宋体" w:hint="eastAsia"/>
          <w:sz w:val="24"/>
        </w:rPr>
        <w:t>场外</w:t>
      </w:r>
      <w:r>
        <w:rPr>
          <w:rFonts w:ascii="宋体" w:hAnsi="宋体"/>
          <w:sz w:val="24"/>
        </w:rPr>
        <w:t>销售机构</w:t>
      </w:r>
    </w:p>
    <w:p w14:paraId="1788F1E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7BB469A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534623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44DA498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05435F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04B9C94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666AD4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联系人：范瑞波</w:t>
      </w:r>
    </w:p>
    <w:p w14:paraId="2B5E5F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5E8130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1D2E50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（2）名称：招商银行股份有限公司</w:t>
      </w:r>
    </w:p>
    <w:p w14:paraId="14E377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7564B1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3301C2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65950A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21CB888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18407B4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7CC6386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5B6E60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346E22F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（3）名称：中信银行股份有限公司</w:t>
      </w:r>
    </w:p>
    <w:p w14:paraId="0040BA7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4E3E6BC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4BB997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29F5C2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54230BB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5F849F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7DF08A4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0FF561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53B946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（4）名称：中国光大银行股份有限公司</w:t>
      </w:r>
    </w:p>
    <w:p w14:paraId="05C5870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05DA2C9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1DECE81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249132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714902B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18F96B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3392DC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243114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09F443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（5）名称：江苏银行股份有限公司</w:t>
      </w:r>
    </w:p>
    <w:p w14:paraId="7AD1B7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14:paraId="5A7B387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14:paraId="44323F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14:paraId="56C8ED2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14:paraId="753FED2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14:paraId="3078E8A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14:paraId="2982043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14:paraId="7BE9937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14:paraId="4ACC21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（6）名称：上海浦东发展银行股份有限公司</w:t>
      </w:r>
    </w:p>
    <w:p w14:paraId="143BF41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14:paraId="5B0F601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14:paraId="77E6D88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14:paraId="6E0DA26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14:paraId="1C1B86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14:paraId="670F7AC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14:paraId="57E529D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14:paraId="0D83BE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14:paraId="122C5B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（7）名称：光大证券股份有限公司</w:t>
      </w:r>
    </w:p>
    <w:p w14:paraId="4AB833D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17A91A1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4D5AC8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2ECC03F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63C1E1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1FE33E9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6BE3CC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1D26D26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7561D0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（8）名称：中国银河证券股份有限公司</w:t>
      </w:r>
    </w:p>
    <w:p w14:paraId="44866C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740C72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1C82DC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法定代表人：陈共炎</w:t>
      </w:r>
    </w:p>
    <w:p w14:paraId="634F921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7EA59C8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3271FA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59A886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312B3D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（9）名称：申万宏源证券有限公司</w:t>
      </w:r>
    </w:p>
    <w:p w14:paraId="62E3016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39B8FB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0883CB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4315A88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30EF2B9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626742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2E6C26E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061CC3C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（10）名称：平安证券股份有限公司</w:t>
      </w:r>
    </w:p>
    <w:p w14:paraId="188EB58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35D6E3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0FF1989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4277AEE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047C8E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39842C3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1EA0CEB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1A27E83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0803C79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（11）名称：中信证券（山东）有限责任公司</w:t>
      </w:r>
    </w:p>
    <w:p w14:paraId="140BD3C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24C750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0D788E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650689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46CFD08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2D7FC9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1A7143E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0646325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网址：sd.citics.com</w:t>
      </w:r>
    </w:p>
    <w:p w14:paraId="4E04C82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（12）名称：申万宏源西部证券有限公司</w:t>
      </w:r>
    </w:p>
    <w:p w14:paraId="2880717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628EAE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16B68E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748A21F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724596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72B299F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48C9128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64D8029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4DE7E38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（13）名称：江海证券有限公司</w:t>
      </w:r>
    </w:p>
    <w:p w14:paraId="54114E6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36F95F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17C007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3CEBD56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3E666A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7A01E65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35EEE2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286BF1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（14）名称：华鑫证券有限责任公司</w:t>
      </w:r>
    </w:p>
    <w:p w14:paraId="501898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华鑫证券有限责任公司</w:t>
      </w:r>
    </w:p>
    <w:p w14:paraId="5AA2BE1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4001099918，95323</w:t>
      </w:r>
    </w:p>
    <w:p w14:paraId="306314A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www.cfsc.com.cn</w:t>
      </w:r>
    </w:p>
    <w:p w14:paraId="641D24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（15）名称：长城证券有限责任公司</w:t>
      </w:r>
    </w:p>
    <w:p w14:paraId="4CFB67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63CDB01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64E9D59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79B3331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6ABC705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5A2DC7A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2950ADD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172A64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（16）名称：国金证券股份有限公司</w:t>
      </w:r>
    </w:p>
    <w:p w14:paraId="506905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67FD41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79B74C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07EC6A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13B524F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2758F4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1AB7E0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1B1D9A1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59AD513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（17）名称：渤海证券股份有限公司</w:t>
      </w:r>
    </w:p>
    <w:p w14:paraId="6911F4F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14:paraId="70F05C5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14:paraId="5014161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法定代表人：王春峰</w:t>
      </w:r>
    </w:p>
    <w:p w14:paraId="2D9FE36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14:paraId="69E3634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14:paraId="5364362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14:paraId="467DE86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400-651-5988</w:t>
      </w:r>
    </w:p>
    <w:p w14:paraId="6748C14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网址：www.bhzq.com</w:t>
      </w:r>
    </w:p>
    <w:p w14:paraId="6D2AC9A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（18）名称：华融证券股份有限公司</w:t>
      </w:r>
    </w:p>
    <w:p w14:paraId="1D8713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61F8EF1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25F8EB1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5960CC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719A7B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4E722AA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0CDB332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5045CA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14:paraId="206A72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（19）名称：华西证券股份有限公司</w:t>
      </w:r>
    </w:p>
    <w:p w14:paraId="2EBE05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4AD88CB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709C64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法定代表人：杨炯洋</w:t>
      </w:r>
    </w:p>
    <w:p w14:paraId="3ACBA9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322815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46BD4F2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679319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114957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45B731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（20）名称：第一创业证券股份有限公司</w:t>
      </w:r>
    </w:p>
    <w:p w14:paraId="2003CD4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4CE8129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7E1ECC6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7E9379A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7AAFFD5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4C962F6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38A512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2FB921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6C440A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（21）名称：中信证券华南股份有限公司</w:t>
      </w:r>
    </w:p>
    <w:p w14:paraId="095C10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2BF3FE0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4A649E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1123121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0979BC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1E4C99A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7BB06B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3A0D45D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2A3D198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（22）名称：国泰君安证券股份有限公司</w:t>
      </w:r>
    </w:p>
    <w:p w14:paraId="05083FE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288788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729280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796333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6DC618E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63B65E5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联系人：朱雅崴</w:t>
      </w:r>
    </w:p>
    <w:p w14:paraId="664EE6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7BF86E0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04A302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（23）名称：招商证券股份有限公司</w:t>
      </w:r>
    </w:p>
    <w:p w14:paraId="7C9FF1D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1F0EEAA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1A4CDF3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121BEC9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54502BC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22AB6F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25D6849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31A99F7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5357C02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（24）名称：大同证券有限责任公司</w:t>
      </w:r>
    </w:p>
    <w:p w14:paraId="6873277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24BD691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1174F93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4F8A4BE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078E1C2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71DBEC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14:paraId="1D1DF0C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14:paraId="20AA0B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367DBE9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（25）名称：长城国瑞证券有限公司</w:t>
      </w:r>
    </w:p>
    <w:p w14:paraId="1105466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126AA2F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1FFA33B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14:paraId="5C9E11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14:paraId="370B78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4E2B7C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7557417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2F7723D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08A685D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（26）名称：华龙证券股份有限公司</w:t>
      </w:r>
    </w:p>
    <w:p w14:paraId="7768317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733E5E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14:paraId="3AC982B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5FA8CF9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6A30D2A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6E0D77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15B143B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4C8024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6AF93B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（27）名称：海通证券股份有限公司</w:t>
      </w:r>
    </w:p>
    <w:p w14:paraId="767327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3ABD4B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0AFCEC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24148B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432FD55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1D19684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72C2C35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34CD908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4D2DE79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（28）名称：广发证券股份有限公司</w:t>
      </w:r>
    </w:p>
    <w:p w14:paraId="751ADC0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2277032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4ABFF11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408FD8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6962C08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0C81D04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6B1FA1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37924B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02670C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（29）名称：兴业证券股份有限公司</w:t>
      </w:r>
    </w:p>
    <w:p w14:paraId="464F8C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74C1D9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4BBBCF8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法定代表人：杨华辉</w:t>
      </w:r>
    </w:p>
    <w:p w14:paraId="7F1517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672CCE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3CFDCE5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6FE0EF5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234B98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（30）名称：华泰证券股份有限公司</w:t>
      </w:r>
    </w:p>
    <w:p w14:paraId="2634BE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5076D7D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7A430A7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78F5CD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08C93B5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2AF5CED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330E142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3E291A6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49E5C3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（31）名称：国信证券股份有限公司</w:t>
      </w:r>
    </w:p>
    <w:p w14:paraId="0E942F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65FB10D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6BC1A62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14:paraId="7F0FF9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22EE892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340FB39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14:paraId="5969AAA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45C5B49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4CAE0D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（32）名称：东方财富证券股份有限公司</w:t>
      </w:r>
    </w:p>
    <w:p w14:paraId="4C5532F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14:paraId="7B91FDD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14:paraId="2AC4B49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14:paraId="5751E7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14:paraId="7C1F1BD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14:paraId="507AF2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14:paraId="17BC90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客户服务电话：95357</w:t>
      </w:r>
    </w:p>
    <w:p w14:paraId="381058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14:paraId="661DD56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（33）名称：中原证券股份有限公司</w:t>
      </w:r>
    </w:p>
    <w:p w14:paraId="2191591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14:paraId="6012A9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14:paraId="470DF79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14:paraId="7DE107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14:paraId="3CFA94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14:paraId="741DC8D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14:paraId="35AE710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14:paraId="003368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（34）名称：中信建投证券股份有限公司</w:t>
      </w:r>
    </w:p>
    <w:p w14:paraId="4F3F7E0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51D1EB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7D5098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17E51BF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4B6F6B7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0C7B65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74E5C6E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2E0CEF1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413D881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（35）名称：财通证券股份有限公司</w:t>
      </w:r>
    </w:p>
    <w:p w14:paraId="709ADDC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14:paraId="003B0C1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14:paraId="744A838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14:paraId="69A490F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14:paraId="695AEB9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14:paraId="600CC3B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14:paraId="64BE193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14:paraId="6BDAB1A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（36）名称：中航证券有限公司</w:t>
      </w:r>
    </w:p>
    <w:p w14:paraId="3FDEC0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住所：南昌市红谷滩新区红谷中大道1619号国际金融大厦41楼</w:t>
      </w:r>
    </w:p>
    <w:p w14:paraId="5F9227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14:paraId="0514831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14:paraId="7EF567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27875CB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0EFDB1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35A18C3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14:paraId="118C6C3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14:paraId="531FBB0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（37）名称：东莞证券股份有限公司</w:t>
      </w:r>
    </w:p>
    <w:p w14:paraId="035758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14:paraId="48F0FFB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14:paraId="608E21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479ED9C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14:paraId="3414E0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14:paraId="1FE95C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569A8D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02305D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（38）名称：五矿证券有限公司</w:t>
      </w:r>
    </w:p>
    <w:p w14:paraId="148854D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住所：深圳市福田区金田路4028号荣超经贸中心47层</w:t>
      </w:r>
    </w:p>
    <w:p w14:paraId="4D2C16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法定代表人：赵立功</w:t>
      </w:r>
    </w:p>
    <w:p w14:paraId="2F660F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公司客服电话：400180028</w:t>
      </w:r>
    </w:p>
    <w:p w14:paraId="7978CCA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传真号：075582545500</w:t>
      </w:r>
    </w:p>
    <w:p w14:paraId="2A5081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网址：www.wkzq.com.cn</w:t>
      </w:r>
    </w:p>
    <w:p w14:paraId="6D85137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（39）名称：安信证券股份有限公司</w:t>
      </w:r>
    </w:p>
    <w:p w14:paraId="2549BC9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14:paraId="18D5A5F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14:paraId="574D6A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14:paraId="500C9A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14:paraId="0E9BC9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09872B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21A174F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14:paraId="4A11DBE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网址：www.essence.com.cn</w:t>
      </w:r>
    </w:p>
    <w:p w14:paraId="2A2E56D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（40）名称：山西证券股份有限公司</w:t>
      </w:r>
    </w:p>
    <w:p w14:paraId="4EC6E7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3FBB425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0DEBD62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2B83368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63D011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14:paraId="403FB6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6741B0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5E0E4A4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（41）名称：国联证券股份有限公司</w:t>
      </w:r>
    </w:p>
    <w:p w14:paraId="6545A99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14:paraId="3C88E1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14:paraId="6A51E38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14:paraId="629366B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14:paraId="4BD995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14:paraId="753675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14:paraId="4557A74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客户服务电话：95570</w:t>
      </w:r>
    </w:p>
    <w:p w14:paraId="4EB9D5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14:paraId="4A31B6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（42）名称：中国中金财富证券有限公司</w:t>
      </w:r>
    </w:p>
    <w:p w14:paraId="703F3E6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4548C98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14684C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004CED5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223A57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3338161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09B4220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5E8A77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（43）名称：中信证券股份有限公司</w:t>
      </w:r>
    </w:p>
    <w:p w14:paraId="010A02B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7817D1E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44DC11B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法定代表人：张佑君</w:t>
      </w:r>
    </w:p>
    <w:p w14:paraId="49A1530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4CFC204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7F6FBF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7D1D09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（44）名称：天风证券股份有限公司</w:t>
      </w:r>
    </w:p>
    <w:p w14:paraId="5E08869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14:paraId="0821165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14:paraId="7863EC1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14:paraId="2C65F7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14:paraId="5EE0DA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14:paraId="732494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14:paraId="5D5BC6E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14:paraId="24EADBD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14:paraId="6100C9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（45）名称：万联证券股份有限公司</w:t>
      </w:r>
    </w:p>
    <w:p w14:paraId="76388FE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注册地址：广州市天河区珠江东路11号18、19楼全层</w:t>
      </w:r>
    </w:p>
    <w:p w14:paraId="72F487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办公地址：广东省广州市天河区珠江东路13号高德置地广场E座12层</w:t>
      </w:r>
    </w:p>
    <w:p w14:paraId="2A104D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法定代表人：王达</w:t>
      </w:r>
    </w:p>
    <w:p w14:paraId="4E7E86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 系 人：丁思</w:t>
      </w:r>
    </w:p>
    <w:p w14:paraId="66F06B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联系方式：020-83988334</w:t>
      </w:r>
    </w:p>
    <w:p w14:paraId="30585D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客服电话：95322</w:t>
      </w:r>
    </w:p>
    <w:p w14:paraId="48F575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公司官网：www.wlzq.cn</w:t>
      </w:r>
    </w:p>
    <w:p w14:paraId="0B96D9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（46）名称：北京钱景财富投资管理有限公司</w:t>
      </w:r>
    </w:p>
    <w:p w14:paraId="351061F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508C2A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2C498F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1D09B29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181610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21839B5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50EB7C8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7515F12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65D268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（47）名称：深圳市新兰德证券投资咨询有限公司</w:t>
      </w:r>
    </w:p>
    <w:p w14:paraId="53F6208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244A23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4B3EAEC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3EC48E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159D3A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4BD7F9F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379E18D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472B668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6708A6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（48）名称：北京展恒基金销售股份有限公司</w:t>
      </w:r>
    </w:p>
    <w:p w14:paraId="51DCE0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21AF80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64D8289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539AD1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755853E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58980F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5C8FC7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12F794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3F15DFD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（49）名称：一路财富（北京）信息科技有限公司</w:t>
      </w:r>
    </w:p>
    <w:p w14:paraId="4538E58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32C9CB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028ED4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3C6B63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7EE73D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0836B8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36480A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04C3FB5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6D8F18D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（50）名称：泛华普益基金销售有限公司</w:t>
      </w:r>
    </w:p>
    <w:p w14:paraId="25B8EC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4249BF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2243CD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法定代表人：于海锋</w:t>
      </w:r>
    </w:p>
    <w:p w14:paraId="1E3F69F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01D202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70C6124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79B867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326635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1613877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（51）名称：上海联泰基金销售有限公司</w:t>
      </w:r>
    </w:p>
    <w:p w14:paraId="0640EB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038FA1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3829B12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327EC32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44122E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089B253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42EEF97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64E5C95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5E6ABA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（52）名称：宜信普泽投资顾问（北京）有限公司</w:t>
      </w:r>
    </w:p>
    <w:p w14:paraId="3F91A3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51461F4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0A29DF6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036C1D4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65AC02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12F1CD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615BD9C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1BBDA23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550527C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（53）名称：浙江同花顺基金销售有限公司</w:t>
      </w:r>
    </w:p>
    <w:p w14:paraId="41D379D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68F646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4AE996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7E46F2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02DE390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223FB51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联系人：吴强</w:t>
      </w:r>
    </w:p>
    <w:p w14:paraId="0113EA0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740542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08DD47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（54）名称：上海基煜基金销售有限公司</w:t>
      </w:r>
    </w:p>
    <w:p w14:paraId="2C01DB2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5E4231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2C647CE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2618C50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1F4B2A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21AA80F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25223F0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2DD7B07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469A0B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（55）名称：中信期货有限公司</w:t>
      </w:r>
    </w:p>
    <w:p w14:paraId="1EA94C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5FF132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43252B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03FC8C7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0AA64FC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294E8FB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45ECD2F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296767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7EEF760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（56）名称：蚂蚁（杭州）基金销售有限公司</w:t>
      </w:r>
    </w:p>
    <w:p w14:paraId="438EFA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5F1C928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662E26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139727F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28E3E8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4A5FEB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网址：www.fund123.cn</w:t>
      </w:r>
    </w:p>
    <w:p w14:paraId="5CE277B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（57）名称：深圳众禄基金销售有限公司</w:t>
      </w:r>
    </w:p>
    <w:p w14:paraId="77167B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3481FC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79CDBA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6480EC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410E10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538A6E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00CE80B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0D2DE28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3457FE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（58）名称：上海长量基金销售投资顾问有限公司</w:t>
      </w:r>
    </w:p>
    <w:p w14:paraId="2EDBC4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3FFCB8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5D3CB27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7C972E2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4ED1C35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603EC2B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62C164A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303E9F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6D87317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（59）名称：上海好买基金销售有限公司</w:t>
      </w:r>
    </w:p>
    <w:p w14:paraId="768219D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78273F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14CC3E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7A8DCCD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2CF730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220B04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1BA8F5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3BE9535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（60）名称：诺亚正行(上海)基金销售投资顾问有限公司</w:t>
      </w:r>
    </w:p>
    <w:p w14:paraId="01301DF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2DFA0D8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6CE6DA5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法定代表人：汪静波</w:t>
      </w:r>
    </w:p>
    <w:p w14:paraId="6F5384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721E57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111C25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7FDC3B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3ED8DA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203848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（61）名称：上海天天基金销售有限公司</w:t>
      </w:r>
    </w:p>
    <w:p w14:paraId="2A2FD21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079A9F6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51E137D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4827E04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3CD43EA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3574DA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5EDDD37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7F06D6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4459E4C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（62）名称：北京中植基金销售有限公司</w:t>
      </w:r>
    </w:p>
    <w:p w14:paraId="47AB8F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1BBF14D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0C8EEC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6222EB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70C0C72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2EA5BD0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27525C1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1DA392F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14:paraId="2749881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（63）名称：奕丰基金销售有限公司</w:t>
      </w:r>
    </w:p>
    <w:p w14:paraId="4AF7827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14552FC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2317AF2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5EA64EC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2D29985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传真：（0755）21674453</w:t>
      </w:r>
    </w:p>
    <w:p w14:paraId="2FC700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0073AA5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705AFC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6DA181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（64）名称：北京创金启富基金销售有限公司</w:t>
      </w:r>
    </w:p>
    <w:p w14:paraId="67E9F56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15797F6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7119C2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04363D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2FE4E39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7AFB80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1D8DED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68EF36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3C0162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（65）名称：上海云湾投资管理有限公司</w:t>
      </w:r>
    </w:p>
    <w:p w14:paraId="1C3786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193268C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3DEB718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0C6F98A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303FBFC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18AD9E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579406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64C6561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27E089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（66）名称：中证金牛（北京）投资咨询有限公司</w:t>
      </w:r>
    </w:p>
    <w:p w14:paraId="6C18AC2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0990561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014289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7095ED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42C233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2F3172B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170A2FD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7CD949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www.jnlc.com</w:t>
      </w:r>
    </w:p>
    <w:p w14:paraId="36DC24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（67）名称：北京新浪仓石基金销售有限公司</w:t>
      </w:r>
    </w:p>
    <w:p w14:paraId="367B719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38C231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0CF404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085037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08782D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057FE6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16BBC9B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3D3586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49808D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（68）名称：北京蛋卷基金销售有限公司</w:t>
      </w:r>
    </w:p>
    <w:p w14:paraId="63C843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14C1005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4B3719C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1BE460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23502E1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5605DFD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3A68CB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614BB8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30FA0E5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（69）名称：深圳市金斧子基金销售有限公司</w:t>
      </w:r>
    </w:p>
    <w:p w14:paraId="0405BD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6B30CA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49D728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5E26DC1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13D773B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4B7F27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681167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7EC4AA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59CAF45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（70）名称：上海万得基金销售有限公司</w:t>
      </w:r>
    </w:p>
    <w:p w14:paraId="5A0D42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49BBAF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40407E7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0540EAF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268199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54F5680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65A463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6E9977D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1096AA8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（71）名称：天津万家财富资产管理有限公司</w:t>
      </w:r>
    </w:p>
    <w:p w14:paraId="7F17CA0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4EAEBDC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20B3FE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3441A6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5592F7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021BC05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7DAE28D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1D6271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64AF6D5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（72）名称：上海挖财金融信息服务有限公司</w:t>
      </w:r>
    </w:p>
    <w:p w14:paraId="3902494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27C1AB6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4BD9E90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01CEBF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738F2CB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56B461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610B3CE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072BAE9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31D51CA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（73）名称：上海陆金所资产管理有限公司</w:t>
      </w:r>
    </w:p>
    <w:p w14:paraId="57B86D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595C5AA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470FAE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法定代表人：郭坚</w:t>
      </w:r>
    </w:p>
    <w:p w14:paraId="3FA2CC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639AD2A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4590B8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5BFFD9F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015953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5AF3002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（74）名称：北京虹点基金销售有限公司</w:t>
      </w:r>
    </w:p>
    <w:p w14:paraId="375AB5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2DF9D3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64383FB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5CF06DB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0EAD44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2821CA0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33509E7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36DC74A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427500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（75）名称：上海利得基金销售有限公司</w:t>
      </w:r>
    </w:p>
    <w:p w14:paraId="1D952E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7F2577A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5B6D3B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08862B5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1E3A5BF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3FE6C9A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13D2EAF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1D8D547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51EDEBF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（76）名称：北京汇成基金销售有限公司</w:t>
      </w:r>
    </w:p>
    <w:p w14:paraId="2F8225F1" w14:textId="77777777" w:rsidR="002609C9" w:rsidRDefault="000E661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公司名称：北京汇成基金销售有限公司</w:t>
      </w:r>
    </w:p>
    <w:p w14:paraId="2EF665C5" w14:textId="77777777" w:rsidR="002609C9" w:rsidRDefault="000E661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注册地址：北京市西城区宣武门外大街甲1号4层401-2</w:t>
      </w:r>
    </w:p>
    <w:p w14:paraId="3DAAFA87" w14:textId="77777777" w:rsidR="002609C9" w:rsidRDefault="000E661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办公地址：北京市西城区宣武门外大街甲1号环球财讯中心D座4层401-2</w:t>
      </w:r>
    </w:p>
    <w:p w14:paraId="6359DD37" w14:textId="77777777" w:rsidR="002609C9" w:rsidRDefault="000E661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法定代表人： 王伟刚</w:t>
      </w:r>
    </w:p>
    <w:p w14:paraId="09886E76" w14:textId="77777777" w:rsidR="002609C9" w:rsidRDefault="000E661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联系方式：010-62680527</w:t>
      </w:r>
    </w:p>
    <w:p w14:paraId="5202526C" w14:textId="77777777" w:rsidR="002609C9" w:rsidRDefault="000E661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传真：010-62680527</w:t>
      </w:r>
    </w:p>
    <w:p w14:paraId="3E20E3DC" w14:textId="77777777" w:rsidR="002609C9" w:rsidRDefault="000E661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联系人：张林</w:t>
      </w:r>
    </w:p>
    <w:p w14:paraId="0ED2349C" w14:textId="77777777" w:rsidR="002609C9" w:rsidRDefault="000E661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客服电话：400-619-9059</w:t>
      </w:r>
    </w:p>
    <w:p w14:paraId="3138F54D" w14:textId="77777777" w:rsidR="002609C9" w:rsidRDefault="000E661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网址：www.hcfunds.com</w:t>
      </w:r>
    </w:p>
    <w:p w14:paraId="7127606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（77）名称：嘉实财富管理有限公司</w:t>
      </w:r>
    </w:p>
    <w:p w14:paraId="0EA9B8D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2025DC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679117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444213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35F7EE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037D6E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7E110AE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6EDC755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1A8D9B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（78）名称：南京苏宁基金销售有限公司</w:t>
      </w:r>
    </w:p>
    <w:p w14:paraId="4587568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40F6D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0EF92B1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07F6CC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220631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4F8605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638651A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32F78F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5E46D41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（79）名称：北京度小满基金销售有限公司</w:t>
      </w:r>
    </w:p>
    <w:p w14:paraId="5E4361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5A0901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268E388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391C2C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08D1C1D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720713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48021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12893F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www.baiyingfund.com</w:t>
      </w:r>
    </w:p>
    <w:p w14:paraId="3659506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（80）名称：珠海盈米财富管理有限公司</w:t>
      </w:r>
    </w:p>
    <w:p w14:paraId="1B6F7E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1F4A50F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0111AC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1E0782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212E285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02CEFE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5A1177C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6B2C7D5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24D292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（81）名称：腾安基金销售（深圳）有限公司</w:t>
      </w:r>
    </w:p>
    <w:p w14:paraId="3D4C505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33B2C06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6B8CA6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0DCF2B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5FD1B2B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0AC302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7643124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062045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（82）名称：和耕传承基金销售有限公司</w:t>
      </w:r>
    </w:p>
    <w:p w14:paraId="1F0B532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1080C2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36BDF39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3036956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390EC7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0712964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6F1AEC3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76E5DBF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6B33891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（83）名称：北京唐鼎耀华投资咨询有限公司</w:t>
      </w:r>
    </w:p>
    <w:p w14:paraId="331EF7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住所：北京市延庆县延庆经济开发区百泉街10号2栋236室</w:t>
      </w:r>
    </w:p>
    <w:p w14:paraId="4606A9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089D8C9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1F2845B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67075F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20F287D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135263E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5ACF671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61B3A7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（84）名称：北京肯特瑞基金销售有限公司</w:t>
      </w:r>
    </w:p>
    <w:p w14:paraId="44278C5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kern w:val="0"/>
          <w:sz w:val="24"/>
        </w:rPr>
        <w:t>住所： 北京市海淀区西三旗建材城中路12号17号平房157</w:t>
      </w:r>
    </w:p>
    <w:p w14:paraId="3C4000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7E67F9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75D94E2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2C97E9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5AE33B3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5A646C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59B38A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57E0B7F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（85）名称：江苏汇林保大基金销售有限公司</w:t>
      </w:r>
    </w:p>
    <w:p w14:paraId="62FF0C6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6D8B74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19FA9B1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3E1CED2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76C3515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3E14D58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4050117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5ABB5E1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6114AFD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（86）名称：阳光人寿保险股份有限公司</w:t>
      </w:r>
    </w:p>
    <w:p w14:paraId="71AA49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2CCB27C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08C0D8A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法定代表人：李科</w:t>
      </w:r>
    </w:p>
    <w:p w14:paraId="69453C3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2023DB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1AB70E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7BBA9E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4159893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22F19E2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（87）名称：大连网金基金销售有限公司</w:t>
      </w:r>
    </w:p>
    <w:p w14:paraId="2A4E221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127E2B2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0D4AB2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05A2C3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50391DA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3A32B7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46BB64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1E1B658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1C1219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（88）名称：上海钜派钰茂基金销售有限公司</w:t>
      </w:r>
    </w:p>
    <w:p w14:paraId="7D7389D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547BA6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26AE074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7D595B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681CCB2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33A9D89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15E772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6B1E6BD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基金管理人可根据有关法律法规的要求，选择其它符合要求的机构销售本基金，并在基金管理人网站公示。</w:t>
      </w:r>
    </w:p>
    <w:p w14:paraId="091BC4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094332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720633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7301CB0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26D7C37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3E7244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电话：（010）50938782</w:t>
      </w:r>
    </w:p>
    <w:p w14:paraId="40BDE33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4FC396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1D7418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09E5B8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4CF2DF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1C72B9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8305C1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7249BA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182640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2445E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23F594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1F4BC4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38C5320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001E44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住所：中国(上海)自由贸易试验区陆家嘴环路1318号星展银行大厦507单元01室</w:t>
      </w:r>
    </w:p>
    <w:p w14:paraId="2424FE4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3A3B26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0A4F8C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28CC54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41E4A09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7AF162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经办注册会计师：童咏静、金诗涛</w:t>
      </w:r>
    </w:p>
    <w:p w14:paraId="196DD08F"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E6AE21" w14:textId="77777777" w:rsidR="002609C9" w:rsidRDefault="000E6610">
      <w:pPr>
        <w:pStyle w:val="1"/>
        <w:snapToGrid w:val="0"/>
        <w:spacing w:beforeLines="0" w:before="240" w:after="240"/>
        <w:rPr>
          <w:rFonts w:ascii="宋体" w:hAnsi="宋体"/>
          <w:szCs w:val="30"/>
        </w:rPr>
      </w:pPr>
      <w:bookmarkStart w:id="9" w:name="_Toc116553078"/>
      <w:r>
        <w:rPr>
          <w:rFonts w:ascii="Times New Roman" w:hAnsi="Times New Roman"/>
          <w:sz w:val="30"/>
        </w:rPr>
        <w:lastRenderedPageBreak/>
        <w:t>六、基金的募集</w:t>
      </w:r>
      <w:bookmarkEnd w:id="9"/>
    </w:p>
    <w:p w14:paraId="40B2F9F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本基金由基金管理人依照《基金法》、《运作办法》、《销售办法》、基金合同及其他有关规定，并经中国证监会2021年9月16日证监许可【2021】3049号文准予募集注册。</w:t>
      </w:r>
    </w:p>
    <w:p w14:paraId="2D2C214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14:paraId="110511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0A88FF7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本基金于2021年10月25日至2021年11月5日进行发售，本基金设立募集期共募集3,467,806,315.75份基金份额，有效认购户数为28,878户。</w:t>
      </w:r>
    </w:p>
    <w:p w14:paraId="44BCC308"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92E519" w14:textId="77777777" w:rsidR="002609C9" w:rsidRDefault="000E6610">
      <w:pPr>
        <w:pStyle w:val="1"/>
        <w:snapToGrid w:val="0"/>
        <w:spacing w:beforeLines="0" w:before="240" w:after="240"/>
        <w:rPr>
          <w:rFonts w:ascii="宋体" w:hAnsi="宋体"/>
          <w:szCs w:val="30"/>
        </w:rPr>
      </w:pPr>
      <w:bookmarkStart w:id="10" w:name="_Toc116553079"/>
      <w:r>
        <w:rPr>
          <w:rFonts w:ascii="Times New Roman" w:hAnsi="Times New Roman"/>
          <w:sz w:val="30"/>
        </w:rPr>
        <w:lastRenderedPageBreak/>
        <w:t>七、基金合同的生效</w:t>
      </w:r>
      <w:bookmarkEnd w:id="10"/>
    </w:p>
    <w:p w14:paraId="566BA5B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根据有关规定，本基金满足基金合同生效条件，基金合同已于2021年11月10日正式生效。自基金合同生效之日起，本基金管理人正式开始管理本基金。</w:t>
      </w:r>
    </w:p>
    <w:p w14:paraId="7AC1D2D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78C389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14:paraId="00913B6D"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EA184F6" w14:textId="77777777" w:rsidR="002609C9" w:rsidRDefault="000E6610">
      <w:pPr>
        <w:pStyle w:val="1"/>
        <w:snapToGrid w:val="0"/>
        <w:spacing w:beforeLines="0" w:before="240" w:after="240"/>
        <w:rPr>
          <w:rFonts w:ascii="宋体" w:hAnsi="宋体"/>
          <w:szCs w:val="30"/>
        </w:rPr>
      </w:pPr>
      <w:bookmarkStart w:id="11" w:name="_Toc116553080"/>
      <w:r>
        <w:rPr>
          <w:rFonts w:ascii="Times New Roman" w:hAnsi="Times New Roman"/>
          <w:sz w:val="30"/>
        </w:rPr>
        <w:lastRenderedPageBreak/>
        <w:t>八、基金份额的上市交易</w:t>
      </w:r>
      <w:bookmarkEnd w:id="11"/>
    </w:p>
    <w:p w14:paraId="7576AC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合同生效后，具备上市条件，本基金A类基金份额于2021年11月19日起在上海证券交易所上市交易。（A类基金份额场内简称：智选FOF，A类基金份额场内扩位简称：交银智选星光FOF，代码：501210）。</w:t>
      </w:r>
    </w:p>
    <w:p w14:paraId="64BE0B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上市开放式基金中基金后，登记在证券登记结算系统中的A类基金份额仍将在上海证券交易所上市交易。本基金A类基金份额在上海证券交易所上市交易的相关事项并不因基金转换运作方式而发生调整。本基金在转型前后可根据实际情况申请停牌暂停上市交易，停复牌时间以基金管理人公告为准。本基金C类基金份额仅在场外销售，不申请上市交易。</w:t>
      </w:r>
    </w:p>
    <w:p w14:paraId="69CA1B3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未来，基金管理人在符合法律法规的情况下也可申请本基金C类基金份额的上市交易，基金管理人可根据需要修改基金合同相关内容，但应在实施日前依照《信息披露办法》的有关规定在规定媒介上公告。</w:t>
      </w:r>
    </w:p>
    <w:p w14:paraId="0982B7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一、上市交易的地点</w:t>
      </w:r>
    </w:p>
    <w:p w14:paraId="76CDC9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本基金A类基金份额上市交易的地点为上海证券交易所。</w:t>
      </w:r>
    </w:p>
    <w:p w14:paraId="4FB0A48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二、上市交易的时间</w:t>
      </w:r>
    </w:p>
    <w:p w14:paraId="46A4BE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基金合同生效后，具备下列条件的，基金管理人可依据《上海证券交易所证券投资基金上市规则》及相关法律法规，向上海证券交易所申请A类基金份额上市交易：</w:t>
      </w:r>
    </w:p>
    <w:p w14:paraId="392013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1、本基金A类基金份额场内募集金额不少于2亿元人民币；</w:t>
      </w:r>
    </w:p>
    <w:p w14:paraId="1E87794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2、本基金A类基金份额场内持有人不少于1000人；</w:t>
      </w:r>
    </w:p>
    <w:p w14:paraId="4E44119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3、上海证券交易所规定的其他条件。</w:t>
      </w:r>
    </w:p>
    <w:p w14:paraId="24640A0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A类基金份额上市前，基金管理人应与上海证券交易所签订上市协议书。在确定上市交易的时间后，基金管理人应依照《信息披露办法》的有关规定在规定媒介上刊登上市交易公告书。</w:t>
      </w:r>
    </w:p>
    <w:p w14:paraId="2CE07F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三、上市交易的规则</w:t>
      </w:r>
    </w:p>
    <w:p w14:paraId="3B8E522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本基金A类基金份额在上海证券交易所的上市交易需遵循《上海证券交易所证券投资基金上市规则》、《上海证券交易所交易规则》等有关规定。</w:t>
      </w:r>
    </w:p>
    <w:p w14:paraId="5DF39C1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四、上市交易的费用</w:t>
      </w:r>
    </w:p>
    <w:p w14:paraId="65B8992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本基金上市交易的费用按照上海证券交易所有关规定办理。</w:t>
      </w:r>
    </w:p>
    <w:p w14:paraId="75D7D20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五、上市交易的行情揭示</w:t>
      </w:r>
    </w:p>
    <w:p w14:paraId="73A1D3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本基金A类基金份额在上海证券交易所挂牌交易，交易行情通过行情发布系统揭示。行情发布系统同时揭示基金管理人最近公布并向上海证券交易所提供的A类基金份额净值。</w:t>
      </w:r>
    </w:p>
    <w:p w14:paraId="223318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六、上市交易的停复牌和终止上市</w:t>
      </w:r>
    </w:p>
    <w:p w14:paraId="1D34021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本基金A类基金份额的停复牌和终止上市按照相关法律法规和上海证券交易所的相关规定执行。</w:t>
      </w:r>
    </w:p>
    <w:p w14:paraId="6F40201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发生《上海证券交易所证券投资基金上市规则》规定的因不再具备上市条件而应当终止上市的情形时，本基金将变更为非上市开放式基金中基金并相应修订基金合同，无需召开基金份额持有人大会。A类基金份额终止上市后，对于本基金场内A类基金份额的处理规则由基金管理人提前制定并公告。</w:t>
      </w:r>
    </w:p>
    <w:p w14:paraId="0A1BEB0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七、相关法律法规、中国证监会及上海证券交易所对基金上市交易的规则等相关规定内容进行调整的，按调整后的规定执行，无须召开基金份额持有人大会。</w:t>
      </w:r>
    </w:p>
    <w:p w14:paraId="6C130D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八、若上海证券交易所、中国证券登记结算有限责任公司增加了基金场内交易的新业务，基金管理人可以在履行适当的程序后为本基金增加办理相应的新业务。</w:t>
      </w:r>
    </w:p>
    <w:p w14:paraId="320C2BC1"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7F74F60" w14:textId="77777777" w:rsidR="002609C9" w:rsidRDefault="000E6610">
      <w:pPr>
        <w:pStyle w:val="1"/>
        <w:snapToGrid w:val="0"/>
        <w:spacing w:beforeLines="0" w:before="240" w:after="240"/>
        <w:rPr>
          <w:rFonts w:ascii="宋体" w:hAnsi="宋体"/>
          <w:szCs w:val="30"/>
        </w:rPr>
      </w:pPr>
      <w:bookmarkStart w:id="12" w:name="_Toc116553081"/>
      <w:r>
        <w:rPr>
          <w:rFonts w:ascii="Times New Roman" w:hAnsi="Times New Roman"/>
          <w:sz w:val="30"/>
        </w:rPr>
        <w:lastRenderedPageBreak/>
        <w:t>九、基金份额的申购与赎回</w:t>
      </w:r>
      <w:bookmarkEnd w:id="12"/>
    </w:p>
    <w:p w14:paraId="05ACDB90"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（一）申购和赎回的场所</w:t>
      </w:r>
    </w:p>
    <w:p w14:paraId="536FD3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 A 类基金份额可通过场内或场外两种方式办理申购与赎回，C 类基金份额仅可通过场外方式办理申购与赎回。投资人可通过下述场所按照规定的方式进行申购或赎回：</w:t>
      </w:r>
    </w:p>
    <w:p w14:paraId="042299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3E799B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5A5455D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06DF79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5C037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A209C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501176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90B2D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CD58AF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3741BF3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0524A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个人投资者可以通过基金管理人网上直销交易平台办理开户等业务，具体交易细则请参阅基金管理人网站。</w:t>
      </w:r>
    </w:p>
    <w:p w14:paraId="201014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23FBB03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2、场内销售机构</w:t>
      </w:r>
    </w:p>
    <w:p w14:paraId="09A394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具有基金销售业务资格、经上海证券交易所和中国证券登记结算有限责任公司认可的、通过上海证券交易所交易系统办理基金销售业务的上海证券交易所会员单位，具体名单详见上海证券交易所网站。</w:t>
      </w:r>
    </w:p>
    <w:p w14:paraId="638ABB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3、除本基金管理人之外的其他场外销售机构</w:t>
      </w:r>
    </w:p>
    <w:p w14:paraId="5C50F8C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本基金除基金管理人之外的其他场外销售机构参见本招募说明书“五、相关服务机构”章节或拨打本公司客户服务电话进行咨询。</w:t>
      </w:r>
    </w:p>
    <w:p w14:paraId="2965EB0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投资人应通过上述销售机构办理基金申购、赎回业务的营业场所或按上述销售机构提供的其他方式进行申购或赎回。本基金管理人可根据情况变更或增减基金场外销售机构，并在基金管理人网站公示。</w:t>
      </w:r>
    </w:p>
    <w:p w14:paraId="45F720F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w:t>
      </w:r>
      <w:r>
        <w:rPr>
          <w:rFonts w:ascii="宋体" w:hAnsi="宋体"/>
          <w:sz w:val="24"/>
        </w:rPr>
        <w:lastRenderedPageBreak/>
        <w:t>可以通过上述方式进行申购与赎回。</w:t>
      </w:r>
    </w:p>
    <w:p w14:paraId="34B9B73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（二）申购和赎回的开放日及时间</w:t>
      </w:r>
    </w:p>
    <w:p w14:paraId="53B6BE5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24B168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基金合同生效后一年之内（含一年）为封闭期，在此期间投资者不能申购、赎回A类/C类基金份额，但投资人可在A类基金份额上市交易后通过上海证券交易所转让A类基金份额。</w:t>
      </w:r>
    </w:p>
    <w:p w14:paraId="450F30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投资人方可进行A类/C类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14:paraId="72BA2F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若出现新的证券交易市场、证券交易所交易时间变更或其他特殊情况，基金管理人将视情况对前述开放日及开放时间进行相应的调整，但应在实施日前依照《信息披露办法》的有关规定在规定媒介上公告。</w:t>
      </w:r>
    </w:p>
    <w:p w14:paraId="6BBD738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5E05F20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在确定申购开始与赎回开始时间后，基金管理人应在申购、赎回开放日前依照《信息披露办法》的有关规定在规定媒介上公告申购与赎回的开始时间。</w:t>
      </w:r>
    </w:p>
    <w:p w14:paraId="2524189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本基金封闭期结束转为开放式运作后，投资人在基金合同约定之外的日期和时间提出申购、赎回或转换申请且登记机构确认接受的，其基金份额申购、赎回或转换价格为下一开放日该类基金份额申购、赎回或转换的价格。</w:t>
      </w:r>
    </w:p>
    <w:p w14:paraId="74CF5AD3"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（三）申购与赎回的原则</w:t>
      </w:r>
    </w:p>
    <w:p w14:paraId="51DC3C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1、“未知价”原则，即申购、赎回价格以申请日的基金份额净值（非申请日当天公布的基金份额净值）为基准进行计算；</w:t>
      </w:r>
    </w:p>
    <w:p w14:paraId="091A15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48BF90C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7821FBD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4、投资者办理基金份额场外申购、赎回应使用开放式基金账户，办理基金份额场内申购、赎回应使用上海证券账户；</w:t>
      </w:r>
    </w:p>
    <w:p w14:paraId="4AC6F68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份额持有人申请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DECF6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14:paraId="16AC37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7、办理申购、赎回业务时，应当遵循基金份额持有人利益优先原则，确保投资者的合法权益不受损害并得到公平对待。</w:t>
      </w:r>
    </w:p>
    <w:p w14:paraId="67CE4AC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基金管理人可在法律法规允许的情况下，对上述原则进行调整。基金管理人必须在新规则开始实施前依照《信息披露办法》的有关规定在规定媒介上公告。</w:t>
      </w:r>
    </w:p>
    <w:p w14:paraId="7016ED42"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（四）申购和赎回的数额限定</w:t>
      </w:r>
    </w:p>
    <w:p w14:paraId="3A98F5B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19162C6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02B1CE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对于场内申购及持有场内份额的数量限制，上海证券交易所和中国证券登记结算有限责任公司的相关业务规则有规定的，从其最新规定办理。</w:t>
      </w:r>
    </w:p>
    <w:p w14:paraId="7A57331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7E50B28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w:t>
      </w:r>
    </w:p>
    <w:p w14:paraId="78DEEC6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对于场内赎回的数量限制，上海证券交易所和中国证券登记结算有限责任公司的相关业务规则有规定的，从其最新规定办理。</w:t>
      </w:r>
    </w:p>
    <w:p w14:paraId="1B1FAD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294D9E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w:t>
      </w:r>
      <w:r>
        <w:rPr>
          <w:rFonts w:ascii="宋体" w:hAnsi="宋体"/>
          <w:sz w:val="24"/>
        </w:rPr>
        <w:lastRenderedPageBreak/>
        <w:t>该账户同时有基金份额减少类业务（如赎回、转换出等）被确认，则基金管理人有权将投资人在该账户保留的本基金份额一次性全部赎回。场内赎回发生上述情形时，需遵守上海证券交易所及中国证券登记结算有限责任公司的相关业务规则。</w:t>
      </w:r>
    </w:p>
    <w:p w14:paraId="21BE7F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2436222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5、基金管理人可在法律法规允许的情况下，调整上述规定申购金额和赎回份额的数量限制。基金管理人必须在调整实施前依照《信息披露办法》的有关规定在规定媒介上公告。</w:t>
      </w:r>
    </w:p>
    <w:p w14:paraId="4BC87B52"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（五）申购和赎回的程序</w:t>
      </w:r>
    </w:p>
    <w:p w14:paraId="652FD42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76E9B99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F81101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155364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3B51BE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如遇证券交易所或交易市场数据传输延迟、通讯系统故障、银行交换系统故障、港股通交易系统、港股通资金交收规则限制或其他非基金管理人及基金托管人所能控制的因素影响了业务流程，则赎回款项划付时间相应顺延。</w:t>
      </w:r>
    </w:p>
    <w:p w14:paraId="4A04B3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317827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基金管理人或基金管理人委托的登记机构应以开放日规定的交易时间结束前受</w:t>
      </w:r>
      <w:r>
        <w:rPr>
          <w:rFonts w:ascii="宋体" w:hAnsi="宋体"/>
          <w:sz w:val="24"/>
        </w:rPr>
        <w:lastRenderedPageBreak/>
        <w:t>理有效申购和赎回申请的当天作为申购或赎回申请日（T日），在正常情况下，本基金登记机构在T+2日（包括该日）内对该交易的有效性进行确认。T日提交的有效申请，投资人应在T+3日后（包括该日）及时到销售网点柜台或以销售机构规定的其他方式查询申请的确认情况。若申购不成功，则申购款项本金退还给投资人。</w:t>
      </w:r>
    </w:p>
    <w:p w14:paraId="6982CD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基金管理人可在法律法规允许的范围内，依法对上述申购和赎回申请的确认时间进行调整，并必须在调整实施日前依照《信息披露办法》的有关规定在规定媒介上公告。</w:t>
      </w:r>
    </w:p>
    <w:p w14:paraId="5A1821E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AD9C1DB"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（六）基金的申购费和赎回费</w:t>
      </w:r>
    </w:p>
    <w:p w14:paraId="3EEEE3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6D8A14C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且不从该类别基金资产中计提销售服务费；申购C类基金份额不支付申购费用，并从该类别基金资产中计提销售服务费。</w:t>
      </w:r>
    </w:p>
    <w:p w14:paraId="654B53E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15DEC7D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1EA4834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本基金A类基金份额（非养老金客户）的场外申购费率如下：</w:t>
      </w:r>
    </w:p>
    <w:tbl>
      <w:tblPr>
        <w:tblW w:w="5000" w:type="pct"/>
        <w:tblCellMar>
          <w:left w:w="0" w:type="dxa"/>
          <w:right w:w="0" w:type="dxa"/>
        </w:tblCellMar>
        <w:tblLook w:val="04A0" w:firstRow="1" w:lastRow="0" w:firstColumn="1" w:lastColumn="0" w:noHBand="0" w:noVBand="1"/>
      </w:tblPr>
      <w:tblGrid>
        <w:gridCol w:w="4325"/>
        <w:gridCol w:w="4325"/>
      </w:tblGrid>
      <w:tr w:rsidR="002609C9" w14:paraId="2680FF4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84D194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30CF948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w:t>
            </w:r>
          </w:p>
        </w:tc>
      </w:tr>
      <w:tr w:rsidR="002609C9" w14:paraId="78BF3B2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DCE9F5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3AC37DD6"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2609C9" w14:paraId="00C1F5A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B4E35A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26CBE0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2609C9" w14:paraId="22CAC94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BF98725"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EC265D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2609C9" w14:paraId="062C185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8999AC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7D29F0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4AF06B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本基金A类基金份额的场内申购费率由场内销售机构参照上表场外申购费率设定。</w:t>
      </w:r>
    </w:p>
    <w:p w14:paraId="29A27C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99E16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20DDF7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w:t>
      </w:r>
      <w:r>
        <w:rPr>
          <w:rFonts w:ascii="宋体" w:hAnsi="宋体"/>
          <w:sz w:val="24"/>
        </w:rPr>
        <w:lastRenderedPageBreak/>
        <w:t>益形成的补充养老基金等，具体包括：</w:t>
      </w:r>
    </w:p>
    <w:p w14:paraId="7E60CD2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62ABD7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7579B3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58F0256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0FD6F9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453014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6086A5E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4A0" w:firstRow="1" w:lastRow="0" w:firstColumn="1" w:lastColumn="0" w:noHBand="0" w:noVBand="1"/>
      </w:tblPr>
      <w:tblGrid>
        <w:gridCol w:w="4325"/>
        <w:gridCol w:w="4325"/>
      </w:tblGrid>
      <w:tr w:rsidR="002609C9" w14:paraId="6C4FA8B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897A56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5CB02386"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类基金份额的特定申购费率</w:t>
            </w:r>
          </w:p>
        </w:tc>
      </w:tr>
      <w:tr w:rsidR="002609C9" w14:paraId="637EB7C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094B6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4A9F7CA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2609C9" w14:paraId="234C603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F5D8A0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2856A51"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rsidR="002609C9" w14:paraId="09BB23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4151AE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8B66E8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2609C9" w14:paraId="6504C9D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B604699"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781436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3C153F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2ABF10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或C类基金份额收取赎回费用，该费用随基金份额的持有时间递减。本基金A类基金份额和C类基金份额的赎回费用由赎回该类基金份额的基金份额持有人承担，在基金份额持有人赎回基金份额时收取。对持续持有期少于30日的投资人所收取的赎回费，将赎回费全额计入基金财产；对持续持有期大于等于30日但少于3个月的投资人所收取的赎回费，将赎回费总额的75%计入基金财产；对持续持有期大于等于3个月但少于6个月的投资人所收取的赎回费，将赎回费总额的50%计入基金财产；对持续持有期大于等于6个月的投资人所收取的赎回费，将赎回费总额的25%计入基金财产。上述“月”指的是30个自然日。其余用于支付登记费和其他必要的手续费。</w:t>
      </w:r>
    </w:p>
    <w:p w14:paraId="7EE552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本基金A类基金份额的场外赎回费率如下：</w:t>
      </w:r>
    </w:p>
    <w:tbl>
      <w:tblPr>
        <w:tblW w:w="5000" w:type="pct"/>
        <w:tblCellMar>
          <w:left w:w="0" w:type="dxa"/>
          <w:right w:w="0" w:type="dxa"/>
        </w:tblCellMar>
        <w:tblLook w:val="04A0" w:firstRow="1" w:lastRow="0" w:firstColumn="1" w:lastColumn="0" w:noHBand="0" w:noVBand="1"/>
      </w:tblPr>
      <w:tblGrid>
        <w:gridCol w:w="4325"/>
        <w:gridCol w:w="4325"/>
      </w:tblGrid>
      <w:tr w:rsidR="002609C9" w14:paraId="03A5941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92483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14:paraId="0CE9E291"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r>
      <w:tr w:rsidR="002609C9" w14:paraId="53522C9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2E1D4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3E26031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2609C9" w14:paraId="0634590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286023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A0FAB8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2609C9" w14:paraId="7CDC339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148F6A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14:paraId="072A4D1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2609C9" w14:paraId="35B4E5C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6B3DF3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14:paraId="5D8796E6"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7E0A0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7F81A17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本基金A类基金份额的场内赎回费率参照场外赎回费率执行。</w:t>
      </w:r>
    </w:p>
    <w:p w14:paraId="2B1CDD3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4A0" w:firstRow="1" w:lastRow="0" w:firstColumn="1" w:lastColumn="0" w:noHBand="0" w:noVBand="1"/>
      </w:tblPr>
      <w:tblGrid>
        <w:gridCol w:w="4325"/>
        <w:gridCol w:w="4325"/>
      </w:tblGrid>
      <w:tr w:rsidR="002609C9" w14:paraId="3DF9312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5ECE9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14:paraId="09272669"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r>
      <w:tr w:rsidR="002609C9" w14:paraId="5EC0A60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BE0A3E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13FCA7D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2609C9" w14:paraId="2361A32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AEEF4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51D62B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2609C9" w14:paraId="70F63C7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3BC2B3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14D2AAF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17AA6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14:paraId="4961C78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4、当本基金发生大额申购或赎回情形时，基金管理人可以采用摆动定价机制，以确保基金估值的公平性。具体处理原则与操作规范遵循相关法律法规以及监管部门、自律规则的规定。</w:t>
      </w:r>
    </w:p>
    <w:p w14:paraId="473172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14:paraId="4EF0F99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0DA32D42"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（七）申购和赎回的数额和价格</w:t>
      </w:r>
    </w:p>
    <w:p w14:paraId="480C00F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0F8CC75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场外申购涉及金额、份额的计算结果保留到小数点后两位，小数点后两位以后的部分四舍五入， 由此产生的收益或损失由基金财产承担。场内申购份额先按四舍五入的原则保留到小数点后两位，再按截位法保留到整数位，小数部分对应的金额退还投资者；场内申购涉及金额的计算按四舍五入方法，保留到小数点后两位，由此误差产生的收益或损失由基金资产承担。</w:t>
      </w:r>
    </w:p>
    <w:p w14:paraId="26C8FB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（2）赎回金额为按实际确认的A类基金份额或C类基金份额的有效赎回份额乘以当日该类基金份额的基金份额净值并扣除相应的费用（如有），赎回金额单位为</w:t>
      </w:r>
      <w:r>
        <w:rPr>
          <w:rFonts w:ascii="宋体" w:hAnsi="宋体"/>
          <w:sz w:val="24"/>
        </w:rPr>
        <w:lastRenderedPageBreak/>
        <w:t>元。赎回金额计算结果按四舍五入方法，保留到小数点后2位，由此产生的收益或损失由基金财产承担。</w:t>
      </w:r>
    </w:p>
    <w:p w14:paraId="07747A7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1A8B5E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6FB83F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0A74E5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41974E1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649B38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1DDBF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2313D3F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14:paraId="4AB7A94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例：本基金封闭期结束转为开放式运作后，某投资人（非养老金客户）投资4万元场内申购本基金A类基金份额，对应费率为1.2%，假设申购当日A类基金份额净值为1.0400元，则其可得到的申购份额为：</w:t>
      </w:r>
    </w:p>
    <w:p w14:paraId="02E627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14:paraId="52801B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净申购金额=40,000/（1+1.2%）=39,525.69元</w:t>
      </w:r>
    </w:p>
    <w:p w14:paraId="17BC65D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申购费用=40,000-39,525.69=474.31元</w:t>
      </w:r>
    </w:p>
    <w:p w14:paraId="319A99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申购份额=（40,000-474.31）/1.0400=38,005.47份（先按四舍五入的原则保留到小数点后两位）=38,005份（再按截位法保留到整数位）</w:t>
      </w:r>
    </w:p>
    <w:p w14:paraId="130770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退回资金=0.47*1.0400=0.49元</w:t>
      </w:r>
    </w:p>
    <w:p w14:paraId="1F7862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即：本基金封闭期结束转为开放式运作后，某投资人（非养老金客户）投资4万元场内申购本基金A类基金份额，对应费率为1.2%，假设申购当日A类基金份额净值为1.0400元，则其可得到38,005份A类基金份额。</w:t>
      </w:r>
    </w:p>
    <w:p w14:paraId="686C45F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例：本基金封闭期结束转为开放式运作后，某投资人（非养老金客户）投资4万元场外申购本基金A类基金份额，对应费率为1.2%，假设申购当日A类基金份额的份额净值为1.0400元，则其可得到的申购份额为：</w:t>
      </w:r>
    </w:p>
    <w:p w14:paraId="1CC473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14:paraId="378E5D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净申购金额=40,000/（1+1.2%）=39,525.69元</w:t>
      </w:r>
    </w:p>
    <w:p w14:paraId="6B9A0D2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申购费用=40,000-39,525.69=474.31元</w:t>
      </w:r>
    </w:p>
    <w:p w14:paraId="0FF7374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申购份额=（40,000-474.31）/1.0400=38,005.47份</w:t>
      </w:r>
    </w:p>
    <w:p w14:paraId="1A1196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即：本基金封闭期结束转为开放式运作后，某投资人（非养老金客户）投资4万元场外申购本基金A类基金份额，对应费率为1.2%，假设申购当日A类基金份额的份额净值为1.0400元，则其可得到38,005.47份A类基金份额。</w:t>
      </w:r>
    </w:p>
    <w:p w14:paraId="2FCF82C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46D820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本基金封闭期结束转为开放式运作后，如果投资者选择申购C类基金份额，则申购份额的计算方法如下：</w:t>
      </w:r>
    </w:p>
    <w:p w14:paraId="6C684C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85BFFC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7C7073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例：本基金封闭期结束转为开放式运作后，某投资者投资100,000元申购本基金的C类基金份额，假设申购当日C类基金份额净值为1.0400元，则其可得到的申购份额为：</w:t>
      </w:r>
    </w:p>
    <w:p w14:paraId="01191D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3B9656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1192246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2E8A97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15EF336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149491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22AA179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725836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例：本基金封闭期结束转为开放式运作后，某投资者在持有期限超过30日、少于1年时赎回100,000份A类基金份额，对应的赎回费率为0.5%，假设赎回当日A类基金份额净值是1.0160元，则其可得到的赎回金额为：</w:t>
      </w:r>
    </w:p>
    <w:p w14:paraId="3D2718A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赎回费用=100,000×1.0160×0.5%＝508.00元</w:t>
      </w:r>
    </w:p>
    <w:p w14:paraId="1FE8EC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赎回金额=100,000×1.0160-508.00＝101,092.00元</w:t>
      </w:r>
    </w:p>
    <w:p w14:paraId="45D02D5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即：本基金封闭期结束转为开放式运作后，投资者在持有期限超过30日、少于1年时赎回100,000份A类基金份额，对应的赎回费率为0.5%，假设赎回当日A类基金份额净值是1.0160元，则其可得到的赎回金额为101,092.00元。</w:t>
      </w:r>
    </w:p>
    <w:p w14:paraId="5E6737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38CAB5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539DE51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6B6A97C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赎回金额=赎回份额×T日C类基金份额净值-赎回费用</w:t>
      </w:r>
    </w:p>
    <w:p w14:paraId="734E2A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例：本基金封闭期结束转为开放式运作后，某投资者在持有期限超过7日、少于30日时赎回100,000份C类基金份额，对应的赎回费率为0.5%，假设赎回当日C类基金份额净值是1.0160元，则其可得到的赎回金额为：</w:t>
      </w:r>
    </w:p>
    <w:p w14:paraId="18D19A6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赎回费用=100,000×1.0160×0.5%＝508.00元</w:t>
      </w:r>
    </w:p>
    <w:p w14:paraId="3C1CD58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赎回金额=100,000×1.0160-508.00＝101,092.00元</w:t>
      </w:r>
    </w:p>
    <w:p w14:paraId="393794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即：本基金封闭期结束转为开放式运作后，投资者在持有期限超过7日、少于30日时赎回100,000份C类基金份额，对应的赎回费率为0.5%，假设赎回当日C类基金份额净值是1.0160元，则其可得到的赎回金额为101,092.00元。</w:t>
      </w:r>
    </w:p>
    <w:p w14:paraId="2440162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99F808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0712C67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76555E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A类基金份额上市交易或开始办理基金份额申购或者赎回前，基金管理人应当至少每周在规定网站披露一次A类基金份额和C类基金份额所对应的基金份额净值和基金份额累计净值。在A类基金份额上市交易或开始办理基金份额申购或者赎回后，T日的各类基金份额净值在所投资基金披露净值或万份收益当日（法定节假日顺延至第一个交易日）计算，并在T+2日（包括该日）内披露。遇特殊情况，经履行适当程序，可以适当延迟计算或公告。本基金A类基金份额和C类基金份额的基金份额净值的计算，均保留到小数点后4位，小数点后第5位四舍五入，由此产生的收益或损失由基金财产承担。</w:t>
      </w:r>
    </w:p>
    <w:p w14:paraId="440A1FF0"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（八）拒绝或暂停申购的情形</w:t>
      </w:r>
    </w:p>
    <w:p w14:paraId="53781A5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本基金封闭期结束转为开放式运作后，发生下列情况时，基金管理人可拒绝或暂停接受投资人的申购申请：</w:t>
      </w:r>
    </w:p>
    <w:p w14:paraId="4196975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4939302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31FA68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3、证券交易所交易时间非正常停市或者港股通临时停市，导致基金管理人无法计算当日基金资产净值。</w:t>
      </w:r>
    </w:p>
    <w:p w14:paraId="6E9224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4、由于本基金持有的相当比例的基金暂停估值，导致基金管理人无法计算当日本基金资产净值。</w:t>
      </w:r>
    </w:p>
    <w:p w14:paraId="778B97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4144BA0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6、接受某笔或某些申购申请可能会影响或损害现有基金份额持有人利益时。</w:t>
      </w:r>
    </w:p>
    <w:p w14:paraId="04A278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7、基金资产规模过大，使基金管理人无法找到合适的投资品种，或其他可能对基金业绩产生负面影响，或发生其他损害现有基金份额持有人利益的情形。</w:t>
      </w:r>
    </w:p>
    <w:p w14:paraId="67EF5F7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8、当前一估值日基金资产净值50%以上的资产出现无可参考的活跃市场价格且采用估值技术仍导致公允价值存在重大不确定性时，经与基金托管人协商确认后，基金管理人应当暂停接受基金申购申请。</w:t>
      </w:r>
    </w:p>
    <w:p w14:paraId="652F66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9、基金管理人接受某笔或者某些申购申请有可能导致单一投资者持有基金份额的比例超过50%，或者变相规避50%集中度的。出现上述情形时，基金管理人有权将上述申购申请全部或部分确认失败。</w:t>
      </w:r>
    </w:p>
    <w:p w14:paraId="66755A2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10、港股通交易每日额度不足。</w:t>
      </w:r>
    </w:p>
    <w:p w14:paraId="3F10D9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11、法律法规规定、中国证监会认定或基金合同约定的其他情形。</w:t>
      </w:r>
    </w:p>
    <w:p w14:paraId="0469282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除第6、9项以外的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51357971"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（九）暂停赎回或延缓支付赎回款项的情形</w:t>
      </w:r>
    </w:p>
    <w:p w14:paraId="0B80BC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本基金封闭期结束转为开放式运作后，发生下列情形时，基金管理人可暂停接受投资人的赎回申请或延缓支付赎回款项：</w:t>
      </w:r>
    </w:p>
    <w:p w14:paraId="64D687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1516C48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57E5E0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3、证券交易所交易时间非正常停市或者港股通临时停市，导致基金管理人无法计算当日基金资产净值。</w:t>
      </w:r>
    </w:p>
    <w:p w14:paraId="7BE973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4、由于本基金持有的相当比例的基金暂停估值，导致基金管理人无法计算当日本基金资产净值。</w:t>
      </w:r>
    </w:p>
    <w:p w14:paraId="45F945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5、由于本基金持有的相当比例的基金份额拒绝或暂停赎回、暂停上市或二级市场交易停牌、延期办理赎回、延期支付赎回款项，或其他可能对本基金业绩产生负面影响的情形。</w:t>
      </w:r>
    </w:p>
    <w:p w14:paraId="06EB91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6、连续两个或两个以上开放日发生巨额赎回。</w:t>
      </w:r>
    </w:p>
    <w:p w14:paraId="1630DB2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7、发生继续接受赎回申请将损害现有基金份额持有人利益的情形时，基金管理人可暂停接受基金份额持有人的赎回申请。</w:t>
      </w:r>
    </w:p>
    <w:p w14:paraId="6B5383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7DF1C21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14:paraId="3EAF39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及时报中国证监会备案，已确认的赎回申请，基金管理人应足额支付；如暂时不能足额支付，对于场外赎回申请，应将可支付部分按单个账户申请量占申请总量的比例分配给赎回申请人，未支付部分可延期支付。出现暂停赎回或延缓支付赎回款项时，场内赎回申请按照上海证券交易所及中国证券登记结算有限责任公司的有关业务规则办理。若出现上述第6项所述情形，按基金合同的相关条款处理。基金份额持有人在申请赎回时可事先选择将当日可能未获受理部分予以撤销。在暂停赎回的情况消除时，基金管理人应及时恢复赎回业务的办理并公告。</w:t>
      </w:r>
    </w:p>
    <w:p w14:paraId="6342B086"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（十）巨额赎回的情形及处理方式</w:t>
      </w:r>
    </w:p>
    <w:p w14:paraId="107AF91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58B3D81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封闭期结束转为开放式运作后，在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06754B7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2、巨额赎回的场外处理方式</w:t>
      </w:r>
    </w:p>
    <w:p w14:paraId="5CDDB42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405624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43BA69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617E4A1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（3）本基金如发生巨额赎回且单个开放日内单个基金份额持有人申请赎回的基金份额超过前一工作日的基金总份额的20%时，本基金管理人有权采取如下措施：</w:t>
      </w:r>
    </w:p>
    <w:p w14:paraId="44EC450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372098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787F806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4E6D3B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3、巨额赎回的场内处理方式</w:t>
      </w:r>
    </w:p>
    <w:p w14:paraId="4F930F3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57BB1C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4、巨额赎回的公告</w:t>
      </w:r>
    </w:p>
    <w:p w14:paraId="403F4A7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当发生上述巨额赎回并延期办理时，基金管理人应当通过邮寄、传真、刊登公告或者通知销售机构代为告知等方式在3个交易日内通知基金份额持有人，说明有关处理方法，并在2日内在规定媒介上刊登公告。</w:t>
      </w:r>
    </w:p>
    <w:p w14:paraId="57184CCF"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（十一）暂停申购或赎回的公告和重新开放申购或赎回的公告</w:t>
      </w:r>
    </w:p>
    <w:p w14:paraId="5A47870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14:paraId="0513EB9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2、如发生暂停的时间为1日，基金管理人应于重新开放日，在规定媒介上刊登基金重新开放申购或赎回公告，并公布最近1个开放日各类基金份额的基金份额净值。</w:t>
      </w:r>
    </w:p>
    <w:p w14:paraId="6842B8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2A2933C"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（十二）基金转换</w:t>
      </w:r>
    </w:p>
    <w:p w14:paraId="11F762E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5A9A064B"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（十三）基金的非交易过户</w:t>
      </w:r>
    </w:p>
    <w:p w14:paraId="61F044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9916E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B59355E"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（十四）基金份额的登记和转托管</w:t>
      </w:r>
    </w:p>
    <w:p w14:paraId="686124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基金份额持有人可办理已持有基金份额在不同销售机构之间的转托管，基金销售机构可以按照规定的标准收取转托管费。基金份额的转托管包括系统内转托管和跨系统转托管。</w:t>
      </w:r>
    </w:p>
    <w:p w14:paraId="71C6E0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1、基金份额的登记</w:t>
      </w:r>
    </w:p>
    <w:p w14:paraId="75AF8C8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份额采用分系统登记的原则。场外认购、申购的A类基金份额和C类基金份额，登记在注册登记系统中基金份额持有人的开放式基金账户下；场内认购、申购的A类基金份额，以及上市交易的A类基金份额，登记在证券登记结算系统基金份额持有人的上海证券账户下。</w:t>
      </w:r>
    </w:p>
    <w:p w14:paraId="6AB0271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登记在证券登记结算系统中的A类基金份额，可以在上海证券交易所上市交易，也可以在本基金转为上市开放式基金中基金后，直接申请场内赎回，或经跨系统转托管至注册登记系统，在本基金转为上市开放式基金中基金后，申请场外赎回。</w:t>
      </w:r>
    </w:p>
    <w:p w14:paraId="02D848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登记在注册登记系统中的A类基金份额和C类基金份额，可以在本基金转为上市开放式基金中基金后，直接申请场外赎回；登记在注册登记系统中的A类基金份额可经跨系统转托管至证券登记结算系统后，在上海证券交易所上市交易，或在本基金转为上市开放式基金中基金后，申请场内赎回。</w:t>
      </w:r>
    </w:p>
    <w:p w14:paraId="3E5FDB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2、系统内转托管</w:t>
      </w:r>
    </w:p>
    <w:p w14:paraId="7E75F15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（1）系统内转托管是指基金份额持有人将持有的基金份额在注册登记系统内不同销售机构之间，或在证券登记结算系统内不同会员单位之间进行转登记的行为。</w:t>
      </w:r>
    </w:p>
    <w:p w14:paraId="0DB9380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（2）基金份额登记在注册登记系统的基金份额持有人在变更办理基金份额场外赎回业务的销售机构时，需办理已持有基金份额的系统内转托管。</w:t>
      </w:r>
    </w:p>
    <w:p w14:paraId="15A83EA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（3）基金份额登记在证券登记结算系统的基金份额持有人在变更办理基金份额场内赎回的会员单位时，需办理已持有基金份额的系统内转托管。</w:t>
      </w:r>
    </w:p>
    <w:p w14:paraId="7277CC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3、跨系统转托管</w:t>
      </w:r>
    </w:p>
    <w:p w14:paraId="78FF83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（1）跨系统转托管是指基金份额持有人将持有的A类基金份额在注册登记系统和证券登记结算系统之间进行转登记的行为。除经基金管理人另行公告，C类基金份额不能进行跨系统转托管。</w:t>
      </w:r>
    </w:p>
    <w:p w14:paraId="7D7379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（2）本基金跨系统转托管的具体业务按照中国证券登记结算有限责任公司及上海证券交易所的相关规定办理。</w:t>
      </w:r>
    </w:p>
    <w:p w14:paraId="51F7BC9E"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（十五）定期定额投资计划</w:t>
      </w:r>
    </w:p>
    <w:p w14:paraId="280BCB9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78E6A05"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（十六）基金份额的冻结和解冻</w:t>
      </w:r>
    </w:p>
    <w:p w14:paraId="5D863F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024F0F1D"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（十七）基金份额的转让</w:t>
      </w:r>
    </w:p>
    <w:p w14:paraId="2E037E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26A806"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（十八）实施侧袋机制期间本基金的申购与赎回</w:t>
      </w:r>
    </w:p>
    <w:p w14:paraId="0108C07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47CBE68D"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（十九）其他业务</w:t>
      </w:r>
    </w:p>
    <w:p w14:paraId="745882D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2A072B0"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5C71B9" w14:textId="77777777" w:rsidR="002609C9" w:rsidRDefault="000E6610">
      <w:pPr>
        <w:pStyle w:val="1"/>
        <w:snapToGrid w:val="0"/>
        <w:spacing w:beforeLines="0" w:before="240" w:after="240"/>
        <w:rPr>
          <w:rFonts w:ascii="宋体" w:hAnsi="宋体"/>
          <w:szCs w:val="30"/>
        </w:rPr>
      </w:pPr>
      <w:bookmarkStart w:id="13" w:name="_Toc116553082"/>
      <w:r>
        <w:rPr>
          <w:rFonts w:ascii="Times New Roman" w:hAnsi="Times New Roman"/>
          <w:sz w:val="30"/>
        </w:rPr>
        <w:lastRenderedPageBreak/>
        <w:t>十、基金的投资</w:t>
      </w:r>
      <w:bookmarkEnd w:id="13"/>
    </w:p>
    <w:p w14:paraId="5583B15B"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（一）投资目标</w:t>
      </w:r>
    </w:p>
    <w:p w14:paraId="3837D7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本基金主要投资于经中国证监会依法核准或注册的公开募集证券投资基金的基金份额，在严格控制风险的前提下，充分发挥专业研究与管理能力，力争为投资者提供长期稳健的投资回报。</w:t>
      </w:r>
    </w:p>
    <w:p w14:paraId="51461756"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（二）投资范围</w:t>
      </w:r>
    </w:p>
    <w:p w14:paraId="08FA171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经中国证监会依法核准或注册的公开募集证券投资基金（含ETF和LOF、香港互认基金，不含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7D5550F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D1095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14:paraId="104F096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14:paraId="43277B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w:t>
      </w:r>
      <w:r>
        <w:rPr>
          <w:rFonts w:ascii="宋体" w:hAnsi="宋体"/>
          <w:sz w:val="24"/>
        </w:rPr>
        <w:lastRenderedPageBreak/>
        <w:t>适当程序后，可以调整上述投资品种的投资比例。</w:t>
      </w:r>
    </w:p>
    <w:p w14:paraId="5CA846A9"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（三）投资策略</w:t>
      </w:r>
    </w:p>
    <w:p w14:paraId="3EABB0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5B96DA2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14:paraId="453AF6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2、基金投资策略</w:t>
      </w:r>
    </w:p>
    <w:p w14:paraId="02062CC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41EF955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（1）运用量化方法分析所有适选基金在不同市场下的历史业绩表现，包括收益指标、风险指标和风险调整后收益指标等，具体如下：</w:t>
      </w:r>
    </w:p>
    <w:p w14:paraId="1F422C4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收益指标：包括绝对收益、相对收益等指标；</w:t>
      </w:r>
    </w:p>
    <w:p w14:paraId="48A8F38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风险指标：包括波动率、最大回撤等指标；</w:t>
      </w:r>
    </w:p>
    <w:p w14:paraId="1492B50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风险调整后收益指标：包括夏普比率、信息比率等指标。</w:t>
      </w:r>
    </w:p>
    <w:p w14:paraId="5B373E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717060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（3）结合对基金管理人的定性评估，包括基金管理人基本情况、投研团队实力以及投研团队稳定性、基金经理投资优势及业绩稳定性等方面，最终确定本基金的投资组合及配置比例。</w:t>
      </w:r>
    </w:p>
    <w:p w14:paraId="7F3EE3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综上，本基金通过定量和定性相结合的方法，长期持续跟踪本基金的组合业绩，并定期对基金组合进行维护，力争实现基金资产的长期稳健增值。</w:t>
      </w:r>
    </w:p>
    <w:p w14:paraId="2AA8B58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3、股票投资策略</w:t>
      </w:r>
    </w:p>
    <w:p w14:paraId="2548D4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w:t>
      </w:r>
      <w:r>
        <w:rPr>
          <w:rFonts w:ascii="宋体" w:hAnsi="宋体"/>
          <w:sz w:val="24"/>
        </w:rPr>
        <w:lastRenderedPageBreak/>
        <w:t>实的基本面分析和深入的实地调研，以定性与定量相结合的方法对公司价值进行综合评估。通过对重点上市公司进行内在价值的评估和成长性跟踪研究，在明确的价值评估基础上精选优秀质地的投资标的。</w:t>
      </w:r>
    </w:p>
    <w:p w14:paraId="760E53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14:paraId="1E96E3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4、港股通标的股票投资策略</w:t>
      </w:r>
    </w:p>
    <w:p w14:paraId="1D9A55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本基金可通过内地与香港股票市场交易互联互通机制投资于香港股票市场。本基金优先将基本面健康、业绩向上弹性较大、具有估值优势的港股纳入本基金的股票投资组合。</w:t>
      </w:r>
    </w:p>
    <w:p w14:paraId="44CC956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基金可根据投资策略需要或不同配置地市场环境的变化，选择将部分基金资产投资于港股或选择不将基金资产投资于港股，基金资产并非必然投资港股。</w:t>
      </w:r>
    </w:p>
    <w:p w14:paraId="778DA4C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5、债券投资策略</w:t>
      </w:r>
    </w:p>
    <w:p w14:paraId="0FF858B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14:paraId="457125B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0C0121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6、资产支持证券投资策略</w:t>
      </w:r>
    </w:p>
    <w:p w14:paraId="038353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02BF55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（四）投资限制</w:t>
      </w:r>
    </w:p>
    <w:p w14:paraId="1170111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134CEE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09539B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（1）本基金投资于经中国证监会依法核准或注册的公开募集证券投资基金的</w:t>
      </w:r>
      <w:r>
        <w:rPr>
          <w:rFonts w:ascii="宋体" w:hAnsi="宋体"/>
          <w:sz w:val="24"/>
        </w:rPr>
        <w:lastRenderedPageBreak/>
        <w:t>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14:paraId="67767A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14:paraId="474D15B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（3）本基金持有单只基金的市值，不得高于本基金资产净值的20%，且不得持有其他基金中基金；</w:t>
      </w:r>
    </w:p>
    <w:p w14:paraId="7345EE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（4）本基金管理人管理的全部基金（除ETF联接基金外）持有单只基金不得超过被投资基金净资产的20%，被投资基金净资产规模以最近定期报告披露的规模为准；</w:t>
      </w:r>
    </w:p>
    <w:p w14:paraId="5CE6536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（5）本基金不得持有具有复杂、衍生品性质的基金份额，包括分级基金和中国证监会认定的其他基金份额；</w:t>
      </w:r>
    </w:p>
    <w:p w14:paraId="0B1BAF0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（6）本基金投资其他基金时，被投资基金的运作期限不少于1年、最近定期报告披露的基金净资产应当不低于1亿元；</w:t>
      </w:r>
    </w:p>
    <w:p w14:paraId="40157F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（7）本基金封闭期结束转为开放式运作后，投资于封闭运作基金、定期开放基金等流通受限基金的，其公允价值不得超过本基金资产净值的10%；</w:t>
      </w:r>
    </w:p>
    <w:p w14:paraId="13C9059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（8）基金管理人运用本基金财产投资于股票、债券等金融工具的，投资品种和比例应当符合本基金的投资目标和投资策略；</w:t>
      </w:r>
    </w:p>
    <w:p w14:paraId="21E7BB7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（9）本基金持有一家公司发行的证券（同一家公司在内地和香港同时上市的A+H股合并计算，不含本基金所投资的基金份额），其市值不超过基金资产净值的10%；</w:t>
      </w:r>
    </w:p>
    <w:p w14:paraId="520F56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14:paraId="316E261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9B8AF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封闭期结束转为开放式运作后，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6D3B3FB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14:paraId="1507A5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（14）本基金投资于同一原始权益人的各类资产支持证券的比例，不得超过基金资产净值的10%；</w:t>
      </w:r>
    </w:p>
    <w:p w14:paraId="6174235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（15）本基金持有的全部资产支持证券，其市值不得超过基金资产净值的20%；</w:t>
      </w:r>
    </w:p>
    <w:p w14:paraId="3F7DE3E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（16）本基金持有的同一（指同一信用级别）资产支持证券的比例，不得超过该资产支持证券规模的10%；</w:t>
      </w:r>
    </w:p>
    <w:p w14:paraId="5B9D00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（17）本基金管理人管理的全部基金投资于同一原始权益人的各类资产支持证券，不得超过其各类资产支持证券合计规模的10%；</w:t>
      </w:r>
    </w:p>
    <w:p w14:paraId="3126BB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（18）本基金应投资于信用级别评级为BBB以上（含BBB）的资产支持证券。基金持有资产支持证券期间，如果其信用等级下降、不再符合投资标准，应在评级报告发布之日起3个月内予以全部卖出；</w:t>
      </w:r>
    </w:p>
    <w:p w14:paraId="35F8DB6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（19）基金财产参与股票发行申购，本基金所申报的金额不超过本基金的总资产，本基金所申报的股票数量不超过拟发行股票公司本次发行股票的总量；</w:t>
      </w:r>
    </w:p>
    <w:p w14:paraId="2705653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封闭期内，本基金债券正回购资金余额或逆回购资金余额不得超过其上一日基金资产净值的100%；本基金封闭期结束转为开放式运作后，本基金债券正回购资金余额或逆回购资金余额不得超过其上一日基金资产净值的 40%。本基金进入全国银行间同业市场进行债券回购的最长期限为1年，债券回购到期后不得展期；</w:t>
      </w:r>
    </w:p>
    <w:p w14:paraId="1509D42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（21）封闭期内，本基金资产总值不得超过基金资产净值的200%；本基金封闭</w:t>
      </w:r>
      <w:r>
        <w:rPr>
          <w:rFonts w:ascii="宋体" w:hAnsi="宋体"/>
          <w:sz w:val="24"/>
        </w:rPr>
        <w:lastRenderedPageBreak/>
        <w:t>期结束转为开放式运作后，基金资产总值不得超过基金资产净值的140%；</w:t>
      </w:r>
    </w:p>
    <w:p w14:paraId="351D248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14:paraId="3A0F1D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（23）本基金投资于货币市场基金的比例不得超过基金资产的15%；</w:t>
      </w:r>
    </w:p>
    <w:p w14:paraId="70F10B2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（24）法律法规及中国证监会规定的和《基金合同》约定的其他投资限制。</w:t>
      </w:r>
    </w:p>
    <w:p w14:paraId="6A4674B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12）项、第（13）项及第（18）项以外的其他情形，基金管理人应当在10个交易日内进行调整，但中国证监会规定的特殊情形除外。法律法规另有规定的，从其规定。</w:t>
      </w:r>
    </w:p>
    <w:p w14:paraId="2BF899A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B2C4BB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6D61FC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63135F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940AAC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40E5118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2EDF25F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41C0431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（4）向其基金管理人、基金托管人出资；</w:t>
      </w:r>
    </w:p>
    <w:p w14:paraId="07DB3C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（5）从事内幕交易、操纵证券交易价格及其他不正当的证券交易活动；</w:t>
      </w:r>
    </w:p>
    <w:p w14:paraId="00ACBE3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（6）法律、行政法规和中国证监会规定禁止的其他活动。</w:t>
      </w:r>
    </w:p>
    <w:p w14:paraId="7E0AE56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sz w:val="24"/>
        </w:rPr>
        <w:lastRenderedPageBreak/>
        <w:t>通过。基金管理人董事会应至少每半年对关联交易事项进行审查。</w:t>
      </w:r>
    </w:p>
    <w:p w14:paraId="03107A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2A35F906"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（五）业绩比较基准</w:t>
      </w:r>
    </w:p>
    <w:p w14:paraId="739F28F4" w14:textId="1989B254" w:rsidR="002609C9" w:rsidRDefault="00841B5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0E6610">
        <w:rPr>
          <w:rFonts w:ascii="宋体" w:hAnsi="宋体"/>
          <w:sz w:val="24"/>
        </w:rPr>
        <w:t>0%×</w:t>
      </w:r>
      <w:r w:rsidRPr="008B20BC">
        <w:rPr>
          <w:rFonts w:hint="eastAsia"/>
          <w:bCs/>
          <w:sz w:val="24"/>
        </w:rPr>
        <w:t>中证偏股型基金指数</w:t>
      </w:r>
      <w:r w:rsidR="000E6610">
        <w:rPr>
          <w:rFonts w:ascii="宋体" w:hAnsi="宋体"/>
          <w:sz w:val="24"/>
        </w:rPr>
        <w:t>收益率+</w:t>
      </w:r>
      <w:r>
        <w:rPr>
          <w:rFonts w:ascii="宋体" w:hAnsi="宋体"/>
          <w:sz w:val="24"/>
        </w:rPr>
        <w:t>10</w:t>
      </w:r>
      <w:r w:rsidR="000E6610">
        <w:rPr>
          <w:rFonts w:ascii="宋体" w:hAnsi="宋体"/>
          <w:sz w:val="24"/>
        </w:rPr>
        <w:t>%×中债综合全价指数收益率</w:t>
      </w:r>
    </w:p>
    <w:p w14:paraId="3BF31E50" w14:textId="7B9C3FD1" w:rsidR="002609C9" w:rsidRDefault="00317974">
      <w:pPr>
        <w:autoSpaceDE w:val="0"/>
        <w:autoSpaceDN w:val="0"/>
        <w:adjustRightInd w:val="0"/>
        <w:snapToGrid w:val="0"/>
        <w:spacing w:line="360" w:lineRule="auto"/>
        <w:ind w:firstLineChars="200" w:firstLine="480"/>
        <w:jc w:val="left"/>
        <w:rPr>
          <w:rFonts w:ascii="宋体" w:hAnsi="宋体"/>
          <w:szCs w:val="24"/>
        </w:rPr>
      </w:pPr>
      <w:r w:rsidRPr="00317974">
        <w:rPr>
          <w:rFonts w:ascii="宋体" w:hAnsi="宋体" w:hint="eastAsia"/>
          <w:sz w:val="24"/>
        </w:rPr>
        <w:t>中证偏股型基金指数由中证指数有限公司编制并发布，选取内地上市的所有股票型基金以及混合型基金中以股票为主要投资对象的基金作为样本，采用净值规模加权，以反映所有偏股型开放式证券投资基金的整体走势</w:t>
      </w:r>
      <w:r w:rsidR="000E6610">
        <w:rPr>
          <w:rFonts w:ascii="宋体" w:hAnsi="宋体"/>
          <w:sz w:val="24"/>
        </w:rPr>
        <w:t>，适合作为本基金权益类资产投资的业绩比较基准。</w:t>
      </w:r>
    </w:p>
    <w:p w14:paraId="78DEBEB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1446B87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根据本基金的投资范围和投资策略，选用上述业绩比较基准能够客观、合理地反映本基金的风险收益特征。</w:t>
      </w:r>
    </w:p>
    <w:p w14:paraId="782056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0BADA8B9"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（六）风险收益特征</w:t>
      </w:r>
    </w:p>
    <w:p w14:paraId="202E7D1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本基金为混合型基金中基金，其预期风险与预期收益高于债券型基金、债券型基金中基金、货币市场基金和货币型基金中基金，低于股票型基金和股票型基金中基金。</w:t>
      </w:r>
    </w:p>
    <w:p w14:paraId="328120C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本基金可投资港股通标的股票，会面临港股通机制下因投资环境、投资标的、市场制度以及交易规则等差异带来的特有风险。</w:t>
      </w:r>
    </w:p>
    <w:p w14:paraId="1ED2B10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（七）基金管理人代表基金行使股东或债权人权利的处理原则及方法</w:t>
      </w:r>
    </w:p>
    <w:p w14:paraId="13DE51B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1、基金管理人按照国家有关规定代表基金独立行使股东或债权人权利，保护基金份额持有人的利益；</w:t>
      </w:r>
    </w:p>
    <w:p w14:paraId="52F233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w:t>
      </w:r>
    </w:p>
    <w:p w14:paraId="30BDC48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3、有利于基金财产的安全与增值；</w:t>
      </w:r>
    </w:p>
    <w:p w14:paraId="7B29AEA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091D6827"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（八）侧袋机制的实施和投资运作安排</w:t>
      </w:r>
    </w:p>
    <w:p w14:paraId="483157D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803AB5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2FD234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2E2D512E"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（九）基金投资组合报告</w:t>
      </w:r>
    </w:p>
    <w:p w14:paraId="1B90181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01F8338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本基金托管人中国光大银行股份有限公司根据本基金合同规定，于2022年07月19日复核了本报告中的财务指标、净值表现和投资组合报告等内容，保证复核内容不存在虚假记载、误导性陈述或者重大遗漏。</w:t>
      </w:r>
    </w:p>
    <w:p w14:paraId="29DD4C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本报告期为2022年04月01日至06月30日。本报告财务资料未经审计师审计。</w:t>
      </w:r>
    </w:p>
    <w:p w14:paraId="29B9C8A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2609C9" w14:paraId="540302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752F2E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43C572A"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9E8AD4A"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E4CD13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609C9" w14:paraId="6273FA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94E13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490087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54A28EA2"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210,700,804.68</w:t>
            </w:r>
          </w:p>
        </w:tc>
        <w:tc>
          <w:tcPr>
            <w:tcW w:w="400" w:type="pct"/>
            <w:tcBorders>
              <w:top w:val="single" w:sz="4" w:space="0" w:color="auto"/>
              <w:left w:val="single" w:sz="4" w:space="0" w:color="auto"/>
              <w:bottom w:val="single" w:sz="4" w:space="0" w:color="auto"/>
              <w:right w:val="single" w:sz="4" w:space="0" w:color="auto"/>
            </w:tcBorders>
            <w:vAlign w:val="center"/>
          </w:tcPr>
          <w:p w14:paraId="7B46B3FD"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6.19</w:t>
            </w:r>
          </w:p>
        </w:tc>
      </w:tr>
      <w:tr w:rsidR="002609C9" w14:paraId="5E7658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62C6E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6768D7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6D1F36B2"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210,700,804.68</w:t>
            </w:r>
          </w:p>
        </w:tc>
        <w:tc>
          <w:tcPr>
            <w:tcW w:w="400" w:type="pct"/>
            <w:tcBorders>
              <w:top w:val="single" w:sz="4" w:space="0" w:color="auto"/>
              <w:left w:val="single" w:sz="4" w:space="0" w:color="auto"/>
              <w:bottom w:val="single" w:sz="4" w:space="0" w:color="auto"/>
              <w:right w:val="single" w:sz="4" w:space="0" w:color="auto"/>
            </w:tcBorders>
            <w:vAlign w:val="center"/>
          </w:tcPr>
          <w:p w14:paraId="61824AA4"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6.19</w:t>
            </w:r>
          </w:p>
        </w:tc>
      </w:tr>
      <w:tr w:rsidR="002609C9" w14:paraId="58BEE1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35FD81"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B4B3155"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2EB039E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3,128,467,339.42</w:t>
            </w:r>
          </w:p>
        </w:tc>
        <w:tc>
          <w:tcPr>
            <w:tcW w:w="400" w:type="pct"/>
            <w:tcBorders>
              <w:top w:val="single" w:sz="4" w:space="0" w:color="auto"/>
              <w:left w:val="single" w:sz="4" w:space="0" w:color="auto"/>
              <w:bottom w:val="single" w:sz="4" w:space="0" w:color="auto"/>
              <w:right w:val="single" w:sz="4" w:space="0" w:color="auto"/>
            </w:tcBorders>
            <w:vAlign w:val="center"/>
          </w:tcPr>
          <w:p w14:paraId="39AA63AE"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91.98</w:t>
            </w:r>
          </w:p>
        </w:tc>
      </w:tr>
      <w:tr w:rsidR="002609C9" w14:paraId="550338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D81D0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6DF500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500D908E"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36F6F07"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24E6A6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97D7F4"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744943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3CF7D7E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B21A5EA"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6D0254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9F80C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51D587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31D6DFB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B50275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318B4B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81E365"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AFD4992"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71FC427F"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59007E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170398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E71A09"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7DEB812"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0648342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B048233"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0931BF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FC36E9"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9D37F42"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1C5CF23"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13,000,000.00</w:t>
            </w:r>
          </w:p>
        </w:tc>
        <w:tc>
          <w:tcPr>
            <w:tcW w:w="400" w:type="pct"/>
            <w:tcBorders>
              <w:top w:val="single" w:sz="4" w:space="0" w:color="auto"/>
              <w:left w:val="single" w:sz="4" w:space="0" w:color="auto"/>
              <w:bottom w:val="single" w:sz="4" w:space="0" w:color="auto"/>
              <w:right w:val="single" w:sz="4" w:space="0" w:color="auto"/>
            </w:tcBorders>
            <w:vAlign w:val="center"/>
          </w:tcPr>
          <w:p w14:paraId="6CA8221E"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0.38</w:t>
            </w:r>
          </w:p>
        </w:tc>
      </w:tr>
      <w:tr w:rsidR="002609C9" w14:paraId="15398B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96F7E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EB1451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1B54E77"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38FF86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52A94C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98EA7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46872B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0604830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38,937,241.39</w:t>
            </w:r>
          </w:p>
        </w:tc>
        <w:tc>
          <w:tcPr>
            <w:tcW w:w="400" w:type="pct"/>
            <w:tcBorders>
              <w:top w:val="single" w:sz="4" w:space="0" w:color="auto"/>
              <w:left w:val="single" w:sz="4" w:space="0" w:color="auto"/>
              <w:bottom w:val="single" w:sz="4" w:space="0" w:color="auto"/>
              <w:right w:val="single" w:sz="4" w:space="0" w:color="auto"/>
            </w:tcBorders>
            <w:vAlign w:val="center"/>
          </w:tcPr>
          <w:p w14:paraId="7623B37A"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1.14</w:t>
            </w:r>
          </w:p>
        </w:tc>
      </w:tr>
      <w:tr w:rsidR="002609C9" w14:paraId="6799D6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F7FDE1"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BD370E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99F822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10,298,279.73</w:t>
            </w:r>
          </w:p>
        </w:tc>
        <w:tc>
          <w:tcPr>
            <w:tcW w:w="400" w:type="pct"/>
            <w:tcBorders>
              <w:top w:val="single" w:sz="4" w:space="0" w:color="auto"/>
              <w:left w:val="single" w:sz="4" w:space="0" w:color="auto"/>
              <w:bottom w:val="single" w:sz="4" w:space="0" w:color="auto"/>
              <w:right w:val="single" w:sz="4" w:space="0" w:color="auto"/>
            </w:tcBorders>
            <w:vAlign w:val="center"/>
          </w:tcPr>
          <w:p w14:paraId="174FB32F"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rsidR="002609C9" w14:paraId="201BEF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C066E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739691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0816CC6"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3,401,403,665.22</w:t>
            </w:r>
          </w:p>
        </w:tc>
        <w:tc>
          <w:tcPr>
            <w:tcW w:w="400" w:type="pct"/>
            <w:tcBorders>
              <w:top w:val="single" w:sz="4" w:space="0" w:color="auto"/>
              <w:left w:val="single" w:sz="4" w:space="0" w:color="auto"/>
              <w:bottom w:val="single" w:sz="4" w:space="0" w:color="auto"/>
              <w:right w:val="single" w:sz="4" w:space="0" w:color="auto"/>
            </w:tcBorders>
            <w:vAlign w:val="center"/>
          </w:tcPr>
          <w:p w14:paraId="1036C478"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6AC3059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56BB33B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2609C9" w14:paraId="798909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6BD0CD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DA16D03"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4E00A0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1EE2EE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609C9" w14:paraId="2F2721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4E14E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63839822"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4A704A7C"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0E653BC"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630CE4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325DF4"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264B0FB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28A7A50C"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9,404,701.00</w:t>
            </w:r>
          </w:p>
        </w:tc>
        <w:tc>
          <w:tcPr>
            <w:tcW w:w="400" w:type="pct"/>
            <w:tcBorders>
              <w:top w:val="single" w:sz="4" w:space="0" w:color="auto"/>
              <w:left w:val="single" w:sz="4" w:space="0" w:color="auto"/>
              <w:bottom w:val="single" w:sz="4" w:space="0" w:color="auto"/>
              <w:right w:val="single" w:sz="4" w:space="0" w:color="auto"/>
            </w:tcBorders>
            <w:vAlign w:val="center"/>
          </w:tcPr>
          <w:p w14:paraId="4273799A"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0.28</w:t>
            </w:r>
          </w:p>
        </w:tc>
      </w:tr>
      <w:tr w:rsidR="002609C9" w14:paraId="5E288B6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9E881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5CD8478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703BF594"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155,726,992.99</w:t>
            </w:r>
          </w:p>
        </w:tc>
        <w:tc>
          <w:tcPr>
            <w:tcW w:w="400" w:type="pct"/>
            <w:tcBorders>
              <w:top w:val="single" w:sz="4" w:space="0" w:color="auto"/>
              <w:left w:val="single" w:sz="4" w:space="0" w:color="auto"/>
              <w:bottom w:val="single" w:sz="4" w:space="0" w:color="auto"/>
              <w:right w:val="single" w:sz="4" w:space="0" w:color="auto"/>
            </w:tcBorders>
            <w:vAlign w:val="center"/>
          </w:tcPr>
          <w:p w14:paraId="474932A4"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4.59</w:t>
            </w:r>
          </w:p>
        </w:tc>
      </w:tr>
      <w:tr w:rsidR="002609C9" w14:paraId="2DF2E6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79CA3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5F50406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24C2A84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2,051,140.00</w:t>
            </w:r>
          </w:p>
        </w:tc>
        <w:tc>
          <w:tcPr>
            <w:tcW w:w="400" w:type="pct"/>
            <w:tcBorders>
              <w:top w:val="single" w:sz="4" w:space="0" w:color="auto"/>
              <w:left w:val="single" w:sz="4" w:space="0" w:color="auto"/>
              <w:bottom w:val="single" w:sz="4" w:space="0" w:color="auto"/>
              <w:right w:val="single" w:sz="4" w:space="0" w:color="auto"/>
            </w:tcBorders>
            <w:vAlign w:val="center"/>
          </w:tcPr>
          <w:p w14:paraId="5ABD5F03"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r>
      <w:tr w:rsidR="002609C9" w14:paraId="677455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6FA8F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08B28A7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4477A71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339,150.00</w:t>
            </w:r>
          </w:p>
        </w:tc>
        <w:tc>
          <w:tcPr>
            <w:tcW w:w="400" w:type="pct"/>
            <w:tcBorders>
              <w:top w:val="single" w:sz="4" w:space="0" w:color="auto"/>
              <w:left w:val="single" w:sz="4" w:space="0" w:color="auto"/>
              <w:bottom w:val="single" w:sz="4" w:space="0" w:color="auto"/>
              <w:right w:val="single" w:sz="4" w:space="0" w:color="auto"/>
            </w:tcBorders>
            <w:vAlign w:val="center"/>
          </w:tcPr>
          <w:p w14:paraId="3D50FFDB"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2609C9" w14:paraId="625B78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0A240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2115F23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61FB278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4,721,135.00</w:t>
            </w:r>
          </w:p>
        </w:tc>
        <w:tc>
          <w:tcPr>
            <w:tcW w:w="400" w:type="pct"/>
            <w:tcBorders>
              <w:top w:val="single" w:sz="4" w:space="0" w:color="auto"/>
              <w:left w:val="single" w:sz="4" w:space="0" w:color="auto"/>
              <w:bottom w:val="single" w:sz="4" w:space="0" w:color="auto"/>
              <w:right w:val="single" w:sz="4" w:space="0" w:color="auto"/>
            </w:tcBorders>
            <w:vAlign w:val="center"/>
          </w:tcPr>
          <w:p w14:paraId="7B28AC0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0.14</w:t>
            </w:r>
          </w:p>
        </w:tc>
      </w:tr>
      <w:tr w:rsidR="002609C9" w14:paraId="7BAADB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1D6F9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064FFF7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4608C78F"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2,522,272.00</w:t>
            </w:r>
          </w:p>
        </w:tc>
        <w:tc>
          <w:tcPr>
            <w:tcW w:w="400" w:type="pct"/>
            <w:tcBorders>
              <w:top w:val="single" w:sz="4" w:space="0" w:color="auto"/>
              <w:left w:val="single" w:sz="4" w:space="0" w:color="auto"/>
              <w:bottom w:val="single" w:sz="4" w:space="0" w:color="auto"/>
              <w:right w:val="single" w:sz="4" w:space="0" w:color="auto"/>
            </w:tcBorders>
            <w:vAlign w:val="center"/>
          </w:tcPr>
          <w:p w14:paraId="59DC836D"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2609C9" w14:paraId="54F59E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B623E3"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3A8BAFF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1BEAF4F8"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FC49E32"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1DA7DE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C714B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097380E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2F25340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7,268,623.52</w:t>
            </w:r>
          </w:p>
        </w:tc>
        <w:tc>
          <w:tcPr>
            <w:tcW w:w="400" w:type="pct"/>
            <w:tcBorders>
              <w:top w:val="single" w:sz="4" w:space="0" w:color="auto"/>
              <w:left w:val="single" w:sz="4" w:space="0" w:color="auto"/>
              <w:bottom w:val="single" w:sz="4" w:space="0" w:color="auto"/>
              <w:right w:val="single" w:sz="4" w:space="0" w:color="auto"/>
            </w:tcBorders>
            <w:vAlign w:val="center"/>
          </w:tcPr>
          <w:p w14:paraId="4148B72C"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2609C9" w14:paraId="50A874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07856A"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579606C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318DEC63"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13,246,724.00</w:t>
            </w:r>
          </w:p>
        </w:tc>
        <w:tc>
          <w:tcPr>
            <w:tcW w:w="400" w:type="pct"/>
            <w:tcBorders>
              <w:top w:val="single" w:sz="4" w:space="0" w:color="auto"/>
              <w:left w:val="single" w:sz="4" w:space="0" w:color="auto"/>
              <w:bottom w:val="single" w:sz="4" w:space="0" w:color="auto"/>
              <w:right w:val="single" w:sz="4" w:space="0" w:color="auto"/>
            </w:tcBorders>
            <w:vAlign w:val="center"/>
          </w:tcPr>
          <w:p w14:paraId="2CB2566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0.39</w:t>
            </w:r>
          </w:p>
        </w:tc>
      </w:tr>
      <w:tr w:rsidR="002609C9" w14:paraId="29B123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89FAE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6D6AACA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306D985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77A4B8C"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515039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9AD131"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4D57F70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42ABAFAA"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19,959.78</w:t>
            </w:r>
          </w:p>
        </w:tc>
        <w:tc>
          <w:tcPr>
            <w:tcW w:w="400" w:type="pct"/>
            <w:tcBorders>
              <w:top w:val="single" w:sz="4" w:space="0" w:color="auto"/>
              <w:left w:val="single" w:sz="4" w:space="0" w:color="auto"/>
              <w:bottom w:val="single" w:sz="4" w:space="0" w:color="auto"/>
              <w:right w:val="single" w:sz="4" w:space="0" w:color="auto"/>
            </w:tcBorders>
            <w:vAlign w:val="center"/>
          </w:tcPr>
          <w:p w14:paraId="4F7EDF7A"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2609C9" w14:paraId="175D8E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BC4465"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0A98815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17A6348E"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6,886,730.82</w:t>
            </w:r>
          </w:p>
        </w:tc>
        <w:tc>
          <w:tcPr>
            <w:tcW w:w="400" w:type="pct"/>
            <w:tcBorders>
              <w:top w:val="single" w:sz="4" w:space="0" w:color="auto"/>
              <w:left w:val="single" w:sz="4" w:space="0" w:color="auto"/>
              <w:bottom w:val="single" w:sz="4" w:space="0" w:color="auto"/>
              <w:right w:val="single" w:sz="4" w:space="0" w:color="auto"/>
            </w:tcBorders>
            <w:vAlign w:val="center"/>
          </w:tcPr>
          <w:p w14:paraId="5E3AF88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rsidR="002609C9" w14:paraId="4FAF05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31234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27229BD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75C1E437"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8,319,989.02</w:t>
            </w:r>
          </w:p>
        </w:tc>
        <w:tc>
          <w:tcPr>
            <w:tcW w:w="400" w:type="pct"/>
            <w:tcBorders>
              <w:top w:val="single" w:sz="4" w:space="0" w:color="auto"/>
              <w:left w:val="single" w:sz="4" w:space="0" w:color="auto"/>
              <w:bottom w:val="single" w:sz="4" w:space="0" w:color="auto"/>
              <w:right w:val="single" w:sz="4" w:space="0" w:color="auto"/>
            </w:tcBorders>
            <w:vAlign w:val="center"/>
          </w:tcPr>
          <w:p w14:paraId="2A5D1302"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0.25</w:t>
            </w:r>
          </w:p>
        </w:tc>
      </w:tr>
      <w:tr w:rsidR="002609C9" w14:paraId="2ECBC6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71D35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11C4948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3D82F18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378DD3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60BEF1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851AB9"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3F5F159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3DCCB273"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0E6C92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390E49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492E1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4A7B134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6EA0927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193,386.55</w:t>
            </w:r>
          </w:p>
        </w:tc>
        <w:tc>
          <w:tcPr>
            <w:tcW w:w="400" w:type="pct"/>
            <w:tcBorders>
              <w:top w:val="single" w:sz="4" w:space="0" w:color="auto"/>
              <w:left w:val="single" w:sz="4" w:space="0" w:color="auto"/>
              <w:bottom w:val="single" w:sz="4" w:space="0" w:color="auto"/>
              <w:right w:val="single" w:sz="4" w:space="0" w:color="auto"/>
            </w:tcBorders>
            <w:vAlign w:val="center"/>
          </w:tcPr>
          <w:p w14:paraId="211EE39A"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2609C9" w14:paraId="69C932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32733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4E7C2B0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0C8C729C"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31578D5"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12EC1D3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A94879"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074E3AF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5F3852D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CE1444"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0270C7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2A9145"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713AAF5"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89236E6"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210,700,804.68</w:t>
            </w:r>
          </w:p>
        </w:tc>
        <w:tc>
          <w:tcPr>
            <w:tcW w:w="400" w:type="pct"/>
            <w:tcBorders>
              <w:top w:val="single" w:sz="4" w:space="0" w:color="auto"/>
              <w:left w:val="single" w:sz="4" w:space="0" w:color="auto"/>
              <w:bottom w:val="single" w:sz="4" w:space="0" w:color="auto"/>
              <w:right w:val="single" w:sz="4" w:space="0" w:color="auto"/>
            </w:tcBorders>
            <w:vAlign w:val="center"/>
          </w:tcPr>
          <w:p w14:paraId="3C50CA6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6.21</w:t>
            </w:r>
          </w:p>
        </w:tc>
      </w:tr>
    </w:tbl>
    <w:p w14:paraId="3B98BE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6DC50C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B79E1E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4DDB1E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4A0" w:firstRow="1" w:lastRow="0" w:firstColumn="1" w:lastColumn="0" w:noHBand="0" w:noVBand="1"/>
      </w:tblPr>
      <w:tblGrid>
        <w:gridCol w:w="540"/>
        <w:gridCol w:w="1622"/>
        <w:gridCol w:w="1622"/>
        <w:gridCol w:w="1622"/>
        <w:gridCol w:w="1622"/>
        <w:gridCol w:w="1622"/>
      </w:tblGrid>
      <w:tr w:rsidR="002609C9" w14:paraId="687F95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A1BA93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23879E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BAA611A"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25BDA6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8D708A6"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C73909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609C9" w14:paraId="0121D8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926283"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7D9FEE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14:paraId="3113B59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14:paraId="5C29209D"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6,900</w:t>
            </w:r>
          </w:p>
        </w:tc>
        <w:tc>
          <w:tcPr>
            <w:tcW w:w="750" w:type="pct"/>
            <w:tcBorders>
              <w:top w:val="single" w:sz="4" w:space="0" w:color="auto"/>
              <w:left w:val="single" w:sz="4" w:space="0" w:color="auto"/>
              <w:bottom w:val="single" w:sz="4" w:space="0" w:color="auto"/>
              <w:right w:val="single" w:sz="4" w:space="0" w:color="auto"/>
            </w:tcBorders>
            <w:vAlign w:val="center"/>
          </w:tcPr>
          <w:p w14:paraId="30D515EE"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14,110,500.00</w:t>
            </w:r>
          </w:p>
        </w:tc>
        <w:tc>
          <w:tcPr>
            <w:tcW w:w="750" w:type="pct"/>
            <w:tcBorders>
              <w:top w:val="single" w:sz="4" w:space="0" w:color="auto"/>
              <w:left w:val="single" w:sz="4" w:space="0" w:color="auto"/>
              <w:bottom w:val="single" w:sz="4" w:space="0" w:color="auto"/>
              <w:right w:val="single" w:sz="4" w:space="0" w:color="auto"/>
            </w:tcBorders>
            <w:vAlign w:val="center"/>
          </w:tcPr>
          <w:p w14:paraId="79B71EB4"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0.42</w:t>
            </w:r>
          </w:p>
        </w:tc>
      </w:tr>
      <w:tr w:rsidR="002609C9" w14:paraId="24FFA2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69491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4264C0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14:paraId="4C3E945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14:paraId="17CEE614"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25,200</w:t>
            </w:r>
          </w:p>
        </w:tc>
        <w:tc>
          <w:tcPr>
            <w:tcW w:w="750" w:type="pct"/>
            <w:tcBorders>
              <w:top w:val="single" w:sz="4" w:space="0" w:color="auto"/>
              <w:left w:val="single" w:sz="4" w:space="0" w:color="auto"/>
              <w:bottom w:val="single" w:sz="4" w:space="0" w:color="auto"/>
              <w:right w:val="single" w:sz="4" w:space="0" w:color="auto"/>
            </w:tcBorders>
            <w:vAlign w:val="center"/>
          </w:tcPr>
          <w:p w14:paraId="775D5C16"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13,456,800.00</w:t>
            </w:r>
          </w:p>
        </w:tc>
        <w:tc>
          <w:tcPr>
            <w:tcW w:w="750" w:type="pct"/>
            <w:tcBorders>
              <w:top w:val="single" w:sz="4" w:space="0" w:color="auto"/>
              <w:left w:val="single" w:sz="4" w:space="0" w:color="auto"/>
              <w:bottom w:val="single" w:sz="4" w:space="0" w:color="auto"/>
              <w:right w:val="single" w:sz="4" w:space="0" w:color="auto"/>
            </w:tcBorders>
            <w:vAlign w:val="center"/>
          </w:tcPr>
          <w:p w14:paraId="53A2BB7E"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0.40</w:t>
            </w:r>
          </w:p>
        </w:tc>
      </w:tr>
      <w:tr w:rsidR="002609C9" w14:paraId="6BD4CF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FF293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0DC1764"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000568</w:t>
            </w:r>
          </w:p>
        </w:tc>
        <w:tc>
          <w:tcPr>
            <w:tcW w:w="750" w:type="pct"/>
            <w:tcBorders>
              <w:top w:val="single" w:sz="4" w:space="0" w:color="auto"/>
              <w:left w:val="single" w:sz="4" w:space="0" w:color="auto"/>
              <w:bottom w:val="single" w:sz="4" w:space="0" w:color="auto"/>
              <w:right w:val="single" w:sz="4" w:space="0" w:color="auto"/>
            </w:tcBorders>
            <w:vAlign w:val="center"/>
          </w:tcPr>
          <w:p w14:paraId="567A220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泸州老窖</w:t>
            </w:r>
          </w:p>
        </w:tc>
        <w:tc>
          <w:tcPr>
            <w:tcW w:w="750" w:type="pct"/>
            <w:tcBorders>
              <w:top w:val="single" w:sz="4" w:space="0" w:color="auto"/>
              <w:left w:val="single" w:sz="4" w:space="0" w:color="auto"/>
              <w:bottom w:val="single" w:sz="4" w:space="0" w:color="auto"/>
              <w:right w:val="single" w:sz="4" w:space="0" w:color="auto"/>
            </w:tcBorders>
            <w:vAlign w:val="center"/>
          </w:tcPr>
          <w:p w14:paraId="26786A6B"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23,300</w:t>
            </w:r>
          </w:p>
        </w:tc>
        <w:tc>
          <w:tcPr>
            <w:tcW w:w="750" w:type="pct"/>
            <w:tcBorders>
              <w:top w:val="single" w:sz="4" w:space="0" w:color="auto"/>
              <w:left w:val="single" w:sz="4" w:space="0" w:color="auto"/>
              <w:bottom w:val="single" w:sz="4" w:space="0" w:color="auto"/>
              <w:right w:val="single" w:sz="4" w:space="0" w:color="auto"/>
            </w:tcBorders>
            <w:vAlign w:val="center"/>
          </w:tcPr>
          <w:p w14:paraId="749758B8"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5,744,382.00</w:t>
            </w:r>
          </w:p>
        </w:tc>
        <w:tc>
          <w:tcPr>
            <w:tcW w:w="750" w:type="pct"/>
            <w:tcBorders>
              <w:top w:val="single" w:sz="4" w:space="0" w:color="auto"/>
              <w:left w:val="single" w:sz="4" w:space="0" w:color="auto"/>
              <w:bottom w:val="single" w:sz="4" w:space="0" w:color="auto"/>
              <w:right w:val="single" w:sz="4" w:space="0" w:color="auto"/>
            </w:tcBorders>
            <w:vAlign w:val="center"/>
          </w:tcPr>
          <w:p w14:paraId="6D33807B"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0.17</w:t>
            </w:r>
          </w:p>
        </w:tc>
      </w:tr>
      <w:tr w:rsidR="002609C9" w14:paraId="590182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26028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33BD9F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688090</w:t>
            </w:r>
          </w:p>
        </w:tc>
        <w:tc>
          <w:tcPr>
            <w:tcW w:w="750" w:type="pct"/>
            <w:tcBorders>
              <w:top w:val="single" w:sz="4" w:space="0" w:color="auto"/>
              <w:left w:val="single" w:sz="4" w:space="0" w:color="auto"/>
              <w:bottom w:val="single" w:sz="4" w:space="0" w:color="auto"/>
              <w:right w:val="single" w:sz="4" w:space="0" w:color="auto"/>
            </w:tcBorders>
            <w:vAlign w:val="center"/>
          </w:tcPr>
          <w:p w14:paraId="5A25F2A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瑞松科技</w:t>
            </w:r>
          </w:p>
        </w:tc>
        <w:tc>
          <w:tcPr>
            <w:tcW w:w="750" w:type="pct"/>
            <w:tcBorders>
              <w:top w:val="single" w:sz="4" w:space="0" w:color="auto"/>
              <w:left w:val="single" w:sz="4" w:space="0" w:color="auto"/>
              <w:bottom w:val="single" w:sz="4" w:space="0" w:color="auto"/>
              <w:right w:val="single" w:sz="4" w:space="0" w:color="auto"/>
            </w:tcBorders>
            <w:vAlign w:val="center"/>
          </w:tcPr>
          <w:p w14:paraId="7CDA0E49"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180,471</w:t>
            </w:r>
          </w:p>
        </w:tc>
        <w:tc>
          <w:tcPr>
            <w:tcW w:w="750" w:type="pct"/>
            <w:tcBorders>
              <w:top w:val="single" w:sz="4" w:space="0" w:color="auto"/>
              <w:left w:val="single" w:sz="4" w:space="0" w:color="auto"/>
              <w:bottom w:val="single" w:sz="4" w:space="0" w:color="auto"/>
              <w:right w:val="single" w:sz="4" w:space="0" w:color="auto"/>
            </w:tcBorders>
            <w:vAlign w:val="center"/>
          </w:tcPr>
          <w:p w14:paraId="5462F3C4"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5,581,968.03</w:t>
            </w:r>
          </w:p>
        </w:tc>
        <w:tc>
          <w:tcPr>
            <w:tcW w:w="750" w:type="pct"/>
            <w:tcBorders>
              <w:top w:val="single" w:sz="4" w:space="0" w:color="auto"/>
              <w:left w:val="single" w:sz="4" w:space="0" w:color="auto"/>
              <w:bottom w:val="single" w:sz="4" w:space="0" w:color="auto"/>
              <w:right w:val="single" w:sz="4" w:space="0" w:color="auto"/>
            </w:tcBorders>
            <w:vAlign w:val="center"/>
          </w:tcPr>
          <w:p w14:paraId="732E79BF"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r>
      <w:tr w:rsidR="002609C9" w14:paraId="6AD3AC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F975D9"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22AC286"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600809</w:t>
            </w:r>
          </w:p>
        </w:tc>
        <w:tc>
          <w:tcPr>
            <w:tcW w:w="750" w:type="pct"/>
            <w:tcBorders>
              <w:top w:val="single" w:sz="4" w:space="0" w:color="auto"/>
              <w:left w:val="single" w:sz="4" w:space="0" w:color="auto"/>
              <w:bottom w:val="single" w:sz="4" w:space="0" w:color="auto"/>
              <w:right w:val="single" w:sz="4" w:space="0" w:color="auto"/>
            </w:tcBorders>
            <w:vAlign w:val="center"/>
          </w:tcPr>
          <w:p w14:paraId="1D756D7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山西汾酒</w:t>
            </w:r>
          </w:p>
        </w:tc>
        <w:tc>
          <w:tcPr>
            <w:tcW w:w="750" w:type="pct"/>
            <w:tcBorders>
              <w:top w:val="single" w:sz="4" w:space="0" w:color="auto"/>
              <w:left w:val="single" w:sz="4" w:space="0" w:color="auto"/>
              <w:bottom w:val="single" w:sz="4" w:space="0" w:color="auto"/>
              <w:right w:val="single" w:sz="4" w:space="0" w:color="auto"/>
            </w:tcBorders>
            <w:vAlign w:val="center"/>
          </w:tcPr>
          <w:p w14:paraId="3CF53F74"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15,040</w:t>
            </w:r>
          </w:p>
        </w:tc>
        <w:tc>
          <w:tcPr>
            <w:tcW w:w="750" w:type="pct"/>
            <w:tcBorders>
              <w:top w:val="single" w:sz="4" w:space="0" w:color="auto"/>
              <w:left w:val="single" w:sz="4" w:space="0" w:color="auto"/>
              <w:bottom w:val="single" w:sz="4" w:space="0" w:color="auto"/>
              <w:right w:val="single" w:sz="4" w:space="0" w:color="auto"/>
            </w:tcBorders>
            <w:vAlign w:val="center"/>
          </w:tcPr>
          <w:p w14:paraId="27901B16"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4,884,992.00</w:t>
            </w:r>
          </w:p>
        </w:tc>
        <w:tc>
          <w:tcPr>
            <w:tcW w:w="750" w:type="pct"/>
            <w:tcBorders>
              <w:top w:val="single" w:sz="4" w:space="0" w:color="auto"/>
              <w:left w:val="single" w:sz="4" w:space="0" w:color="auto"/>
              <w:bottom w:val="single" w:sz="4" w:space="0" w:color="auto"/>
              <w:right w:val="single" w:sz="4" w:space="0" w:color="auto"/>
            </w:tcBorders>
            <w:vAlign w:val="center"/>
          </w:tcPr>
          <w:p w14:paraId="5E6BDB94"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0.14</w:t>
            </w:r>
          </w:p>
        </w:tc>
      </w:tr>
      <w:tr w:rsidR="002609C9" w14:paraId="43DE94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92A3F5"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5A8D76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sz="4" w:space="0" w:color="auto"/>
              <w:left w:val="single" w:sz="4" w:space="0" w:color="auto"/>
              <w:bottom w:val="single" w:sz="4" w:space="0" w:color="auto"/>
              <w:right w:val="single" w:sz="4" w:space="0" w:color="auto"/>
            </w:tcBorders>
            <w:vAlign w:val="center"/>
          </w:tcPr>
          <w:p w14:paraId="695D603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sz="4" w:space="0" w:color="auto"/>
              <w:left w:val="single" w:sz="4" w:space="0" w:color="auto"/>
              <w:bottom w:val="single" w:sz="4" w:space="0" w:color="auto"/>
              <w:right w:val="single" w:sz="4" w:space="0" w:color="auto"/>
            </w:tcBorders>
            <w:vAlign w:val="center"/>
          </w:tcPr>
          <w:p w14:paraId="3E41F6E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307,700</w:t>
            </w:r>
          </w:p>
        </w:tc>
        <w:tc>
          <w:tcPr>
            <w:tcW w:w="750" w:type="pct"/>
            <w:tcBorders>
              <w:top w:val="single" w:sz="4" w:space="0" w:color="auto"/>
              <w:left w:val="single" w:sz="4" w:space="0" w:color="auto"/>
              <w:bottom w:val="single" w:sz="4" w:space="0" w:color="auto"/>
              <w:right w:val="single" w:sz="4" w:space="0" w:color="auto"/>
            </w:tcBorders>
            <w:vAlign w:val="center"/>
          </w:tcPr>
          <w:p w14:paraId="03A8CCBD"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4,609,346.00</w:t>
            </w:r>
          </w:p>
        </w:tc>
        <w:tc>
          <w:tcPr>
            <w:tcW w:w="750" w:type="pct"/>
            <w:tcBorders>
              <w:top w:val="single" w:sz="4" w:space="0" w:color="auto"/>
              <w:left w:val="single" w:sz="4" w:space="0" w:color="auto"/>
              <w:bottom w:val="single" w:sz="4" w:space="0" w:color="auto"/>
              <w:right w:val="single" w:sz="4" w:space="0" w:color="auto"/>
            </w:tcBorders>
            <w:vAlign w:val="center"/>
          </w:tcPr>
          <w:p w14:paraId="7DC32E92"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0.14</w:t>
            </w:r>
          </w:p>
        </w:tc>
      </w:tr>
      <w:tr w:rsidR="002609C9" w14:paraId="11F8C7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03DB34"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7FD3FF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605277</w:t>
            </w:r>
          </w:p>
        </w:tc>
        <w:tc>
          <w:tcPr>
            <w:tcW w:w="750" w:type="pct"/>
            <w:tcBorders>
              <w:top w:val="single" w:sz="4" w:space="0" w:color="auto"/>
              <w:left w:val="single" w:sz="4" w:space="0" w:color="auto"/>
              <w:bottom w:val="single" w:sz="4" w:space="0" w:color="auto"/>
              <w:right w:val="single" w:sz="4" w:space="0" w:color="auto"/>
            </w:tcBorders>
            <w:vAlign w:val="center"/>
          </w:tcPr>
          <w:p w14:paraId="398AE98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新亚电子</w:t>
            </w:r>
          </w:p>
        </w:tc>
        <w:tc>
          <w:tcPr>
            <w:tcW w:w="750" w:type="pct"/>
            <w:tcBorders>
              <w:top w:val="single" w:sz="4" w:space="0" w:color="auto"/>
              <w:left w:val="single" w:sz="4" w:space="0" w:color="auto"/>
              <w:bottom w:val="single" w:sz="4" w:space="0" w:color="auto"/>
              <w:right w:val="single" w:sz="4" w:space="0" w:color="auto"/>
            </w:tcBorders>
            <w:vAlign w:val="center"/>
          </w:tcPr>
          <w:p w14:paraId="212DA5E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213,470</w:t>
            </w:r>
          </w:p>
        </w:tc>
        <w:tc>
          <w:tcPr>
            <w:tcW w:w="750" w:type="pct"/>
            <w:tcBorders>
              <w:top w:val="single" w:sz="4" w:space="0" w:color="auto"/>
              <w:left w:val="single" w:sz="4" w:space="0" w:color="auto"/>
              <w:bottom w:val="single" w:sz="4" w:space="0" w:color="auto"/>
              <w:right w:val="single" w:sz="4" w:space="0" w:color="auto"/>
            </w:tcBorders>
            <w:vAlign w:val="center"/>
          </w:tcPr>
          <w:p w14:paraId="6F41674D"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4,369,730.90</w:t>
            </w:r>
          </w:p>
        </w:tc>
        <w:tc>
          <w:tcPr>
            <w:tcW w:w="750" w:type="pct"/>
            <w:tcBorders>
              <w:top w:val="single" w:sz="4" w:space="0" w:color="auto"/>
              <w:left w:val="single" w:sz="4" w:space="0" w:color="auto"/>
              <w:bottom w:val="single" w:sz="4" w:space="0" w:color="auto"/>
              <w:right w:val="single" w:sz="4" w:space="0" w:color="auto"/>
            </w:tcBorders>
            <w:vAlign w:val="center"/>
          </w:tcPr>
          <w:p w14:paraId="3B24E883"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2609C9" w14:paraId="7F9793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F81E6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CB40EF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002812</w:t>
            </w:r>
          </w:p>
        </w:tc>
        <w:tc>
          <w:tcPr>
            <w:tcW w:w="750" w:type="pct"/>
            <w:tcBorders>
              <w:top w:val="single" w:sz="4" w:space="0" w:color="auto"/>
              <w:left w:val="single" w:sz="4" w:space="0" w:color="auto"/>
              <w:bottom w:val="single" w:sz="4" w:space="0" w:color="auto"/>
              <w:right w:val="single" w:sz="4" w:space="0" w:color="auto"/>
            </w:tcBorders>
            <w:vAlign w:val="center"/>
          </w:tcPr>
          <w:p w14:paraId="62B0067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恩捷股份</w:t>
            </w:r>
          </w:p>
        </w:tc>
        <w:tc>
          <w:tcPr>
            <w:tcW w:w="750" w:type="pct"/>
            <w:tcBorders>
              <w:top w:val="single" w:sz="4" w:space="0" w:color="auto"/>
              <w:left w:val="single" w:sz="4" w:space="0" w:color="auto"/>
              <w:bottom w:val="single" w:sz="4" w:space="0" w:color="auto"/>
              <w:right w:val="single" w:sz="4" w:space="0" w:color="auto"/>
            </w:tcBorders>
            <w:vAlign w:val="center"/>
          </w:tcPr>
          <w:p w14:paraId="15F57F38"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17,085</w:t>
            </w:r>
          </w:p>
        </w:tc>
        <w:tc>
          <w:tcPr>
            <w:tcW w:w="750" w:type="pct"/>
            <w:tcBorders>
              <w:top w:val="single" w:sz="4" w:space="0" w:color="auto"/>
              <w:left w:val="single" w:sz="4" w:space="0" w:color="auto"/>
              <w:bottom w:val="single" w:sz="4" w:space="0" w:color="auto"/>
              <w:right w:val="single" w:sz="4" w:space="0" w:color="auto"/>
            </w:tcBorders>
            <w:vAlign w:val="center"/>
          </w:tcPr>
          <w:p w14:paraId="061E355B"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4,278,938.25</w:t>
            </w:r>
          </w:p>
        </w:tc>
        <w:tc>
          <w:tcPr>
            <w:tcW w:w="750" w:type="pct"/>
            <w:tcBorders>
              <w:top w:val="single" w:sz="4" w:space="0" w:color="auto"/>
              <w:left w:val="single" w:sz="4" w:space="0" w:color="auto"/>
              <w:bottom w:val="single" w:sz="4" w:space="0" w:color="auto"/>
              <w:right w:val="single" w:sz="4" w:space="0" w:color="auto"/>
            </w:tcBorders>
            <w:vAlign w:val="center"/>
          </w:tcPr>
          <w:p w14:paraId="4FF18567"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2609C9" w14:paraId="19AD88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0B92E6"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80F684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300787</w:t>
            </w:r>
          </w:p>
        </w:tc>
        <w:tc>
          <w:tcPr>
            <w:tcW w:w="750" w:type="pct"/>
            <w:tcBorders>
              <w:top w:val="single" w:sz="4" w:space="0" w:color="auto"/>
              <w:left w:val="single" w:sz="4" w:space="0" w:color="auto"/>
              <w:bottom w:val="single" w:sz="4" w:space="0" w:color="auto"/>
              <w:right w:val="single" w:sz="4" w:space="0" w:color="auto"/>
            </w:tcBorders>
            <w:vAlign w:val="center"/>
          </w:tcPr>
          <w:p w14:paraId="62206D31"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海能实业</w:t>
            </w:r>
          </w:p>
        </w:tc>
        <w:tc>
          <w:tcPr>
            <w:tcW w:w="750" w:type="pct"/>
            <w:tcBorders>
              <w:top w:val="single" w:sz="4" w:space="0" w:color="auto"/>
              <w:left w:val="single" w:sz="4" w:space="0" w:color="auto"/>
              <w:bottom w:val="single" w:sz="4" w:space="0" w:color="auto"/>
              <w:right w:val="single" w:sz="4" w:space="0" w:color="auto"/>
            </w:tcBorders>
            <w:vAlign w:val="center"/>
          </w:tcPr>
          <w:p w14:paraId="1109E53E"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140,200</w:t>
            </w:r>
          </w:p>
        </w:tc>
        <w:tc>
          <w:tcPr>
            <w:tcW w:w="750" w:type="pct"/>
            <w:tcBorders>
              <w:top w:val="single" w:sz="4" w:space="0" w:color="auto"/>
              <w:left w:val="single" w:sz="4" w:space="0" w:color="auto"/>
              <w:bottom w:val="single" w:sz="4" w:space="0" w:color="auto"/>
              <w:right w:val="single" w:sz="4" w:space="0" w:color="auto"/>
            </w:tcBorders>
            <w:vAlign w:val="center"/>
          </w:tcPr>
          <w:p w14:paraId="43AC3957"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4,057,388.00</w:t>
            </w:r>
          </w:p>
        </w:tc>
        <w:tc>
          <w:tcPr>
            <w:tcW w:w="750" w:type="pct"/>
            <w:tcBorders>
              <w:top w:val="single" w:sz="4" w:space="0" w:color="auto"/>
              <w:left w:val="single" w:sz="4" w:space="0" w:color="auto"/>
              <w:bottom w:val="single" w:sz="4" w:space="0" w:color="auto"/>
              <w:right w:val="single" w:sz="4" w:space="0" w:color="auto"/>
            </w:tcBorders>
            <w:vAlign w:val="center"/>
          </w:tcPr>
          <w:p w14:paraId="412092D3"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2609C9" w14:paraId="7CDECB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656295"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983C69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300545</w:t>
            </w:r>
          </w:p>
        </w:tc>
        <w:tc>
          <w:tcPr>
            <w:tcW w:w="750" w:type="pct"/>
            <w:tcBorders>
              <w:top w:val="single" w:sz="4" w:space="0" w:color="auto"/>
              <w:left w:val="single" w:sz="4" w:space="0" w:color="auto"/>
              <w:bottom w:val="single" w:sz="4" w:space="0" w:color="auto"/>
              <w:right w:val="single" w:sz="4" w:space="0" w:color="auto"/>
            </w:tcBorders>
            <w:vAlign w:val="center"/>
          </w:tcPr>
          <w:p w14:paraId="6F67891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联得装备</w:t>
            </w:r>
          </w:p>
        </w:tc>
        <w:tc>
          <w:tcPr>
            <w:tcW w:w="750" w:type="pct"/>
            <w:tcBorders>
              <w:top w:val="single" w:sz="4" w:space="0" w:color="auto"/>
              <w:left w:val="single" w:sz="4" w:space="0" w:color="auto"/>
              <w:bottom w:val="single" w:sz="4" w:space="0" w:color="auto"/>
              <w:right w:val="single" w:sz="4" w:space="0" w:color="auto"/>
            </w:tcBorders>
            <w:vAlign w:val="center"/>
          </w:tcPr>
          <w:p w14:paraId="7203348F"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220,000</w:t>
            </w:r>
          </w:p>
        </w:tc>
        <w:tc>
          <w:tcPr>
            <w:tcW w:w="750" w:type="pct"/>
            <w:tcBorders>
              <w:top w:val="single" w:sz="4" w:space="0" w:color="auto"/>
              <w:left w:val="single" w:sz="4" w:space="0" w:color="auto"/>
              <w:bottom w:val="single" w:sz="4" w:space="0" w:color="auto"/>
              <w:right w:val="single" w:sz="4" w:space="0" w:color="auto"/>
            </w:tcBorders>
            <w:vAlign w:val="center"/>
          </w:tcPr>
          <w:p w14:paraId="00043FE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3,984,200.00</w:t>
            </w:r>
          </w:p>
        </w:tc>
        <w:tc>
          <w:tcPr>
            <w:tcW w:w="750" w:type="pct"/>
            <w:tcBorders>
              <w:top w:val="single" w:sz="4" w:space="0" w:color="auto"/>
              <w:left w:val="single" w:sz="4" w:space="0" w:color="auto"/>
              <w:bottom w:val="single" w:sz="4" w:space="0" w:color="auto"/>
              <w:right w:val="single" w:sz="4" w:space="0" w:color="auto"/>
            </w:tcBorders>
            <w:vAlign w:val="center"/>
          </w:tcPr>
          <w:p w14:paraId="3E131378"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bl>
    <w:p w14:paraId="0A2054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p w14:paraId="155BE3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143FE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p w14:paraId="2893A4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31D26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504F112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4513A1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3B2E5E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CDAB61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6D88985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C4982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1B1684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14:paraId="49EEA53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34614E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129D23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15D808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6B196D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497F1E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CBE76B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10.2 报告期末本基金投资的国债期货持仓和损益明细</w:t>
      </w:r>
    </w:p>
    <w:p w14:paraId="21DE0D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EAFFD6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2098995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93F079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14:paraId="221381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14:paraId="616959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2189D47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2021年9月29日，国家外汇管理局深圳市分局公示深外管检[2021]40号行政处罚决定书，给予平安银行处罚款人民币187万元人民币罚款的行政处罚，没收违法所得1.58万元。</w:t>
      </w:r>
    </w:p>
    <w:p w14:paraId="3FA8881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2022年3月25日，中国银行保险监督管理委员会公示银保监罚决字〔2022〕24号行政处罚决定书，给予平安银行处罚款人民币400万元人民币罚款的行政处罚。</w:t>
      </w:r>
    </w:p>
    <w:p w14:paraId="3F7895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100A02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6B18F69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37B7D8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22FCF0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4A0" w:firstRow="1" w:lastRow="0" w:firstColumn="1" w:lastColumn="0" w:noHBand="0" w:noVBand="1"/>
      </w:tblPr>
      <w:tblGrid>
        <w:gridCol w:w="1544"/>
        <w:gridCol w:w="4634"/>
        <w:gridCol w:w="2472"/>
      </w:tblGrid>
      <w:tr w:rsidR="002609C9" w14:paraId="0EE2D2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CA12C3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E2A1BEA"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07DA2F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2609C9" w14:paraId="6EE4A8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C3849A"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DC2D6F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56BEC05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120,628.61</w:t>
            </w:r>
          </w:p>
        </w:tc>
      </w:tr>
      <w:tr w:rsidR="002609C9" w14:paraId="290F4E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1E8F54"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06D5DA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4EAEF58F"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9,876,143.80</w:t>
            </w:r>
          </w:p>
        </w:tc>
      </w:tr>
      <w:tr w:rsidR="002609C9" w14:paraId="3F59A0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4874F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5BC18F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0C15E75D"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569CDF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6B12B6"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2B9D005"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0D6E2C0E"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37E842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39864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8E1525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0721D4AA"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1155FA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4D9E9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0CA0DB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327D709D"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301,507.32</w:t>
            </w:r>
          </w:p>
        </w:tc>
      </w:tr>
      <w:tr w:rsidR="002609C9" w14:paraId="5E4BB6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87F8F1"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7</w:t>
            </w:r>
          </w:p>
        </w:tc>
        <w:tc>
          <w:tcPr>
            <w:tcW w:w="750" w:type="pct"/>
            <w:tcBorders>
              <w:top w:val="single" w:sz="4" w:space="0" w:color="auto"/>
              <w:left w:val="single" w:sz="4" w:space="0" w:color="auto"/>
              <w:bottom w:val="single" w:sz="4" w:space="0" w:color="auto"/>
              <w:right w:val="single" w:sz="4" w:space="0" w:color="auto"/>
            </w:tcBorders>
            <w:vAlign w:val="center"/>
          </w:tcPr>
          <w:p w14:paraId="3D65FAC9"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0C52C491"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609C9" w14:paraId="0EF55E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A380C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090C0D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3C43C550" w14:textId="77777777" w:rsidR="002609C9" w:rsidRDefault="000E6610">
            <w:pPr>
              <w:widowControl/>
              <w:snapToGrid w:val="0"/>
              <w:jc w:val="right"/>
              <w:rPr>
                <w:rFonts w:ascii="宋体" w:hAnsi="宋体"/>
                <w:color w:val="000000"/>
                <w:kern w:val="0"/>
                <w:sz w:val="25"/>
                <w:szCs w:val="24"/>
              </w:rPr>
            </w:pPr>
            <w:r>
              <w:rPr>
                <w:rFonts w:ascii="Times New Roman" w:hAnsi="Times New Roman"/>
                <w:color w:val="000000"/>
                <w:kern w:val="0"/>
                <w:sz w:val="25"/>
                <w:szCs w:val="24"/>
              </w:rPr>
              <w:t>10,298,279.73</w:t>
            </w:r>
          </w:p>
        </w:tc>
      </w:tr>
    </w:tbl>
    <w:p w14:paraId="76388AC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14:paraId="722FF7E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54691C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14:paraId="6F52EA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AF0FE6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6A5D74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1E4C9CEA"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2C7B1F" w14:textId="77777777" w:rsidR="002609C9" w:rsidRDefault="000E6610">
      <w:pPr>
        <w:pStyle w:val="1"/>
        <w:snapToGrid w:val="0"/>
        <w:spacing w:beforeLines="0" w:before="240" w:after="240"/>
        <w:rPr>
          <w:rFonts w:ascii="宋体" w:hAnsi="宋体"/>
          <w:szCs w:val="30"/>
        </w:rPr>
      </w:pPr>
      <w:bookmarkStart w:id="14" w:name="_Toc116553083"/>
      <w:r>
        <w:rPr>
          <w:rFonts w:ascii="Times New Roman" w:hAnsi="Times New Roman"/>
          <w:sz w:val="30"/>
        </w:rPr>
        <w:lastRenderedPageBreak/>
        <w:t>十一、基金的业绩</w:t>
      </w:r>
      <w:bookmarkEnd w:id="14"/>
    </w:p>
    <w:p w14:paraId="517C445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基金业绩截止日为2022年06月30日，所载财务数据未经审计师审计。</w:t>
      </w:r>
    </w:p>
    <w:p w14:paraId="275726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574CAD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7C957E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0E1C448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（1）交银智选星光一年封闭运作混合（FOF-LOF）A</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2609C9" w14:paraId="1A4BD79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D7D5A49"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CFD96A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78999DA"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64E00C8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24E3439"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0D362EA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72A7614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2609C9" w14:paraId="3F7402B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A9BBC9C"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39FA24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7.56%</w:t>
            </w:r>
          </w:p>
        </w:tc>
        <w:tc>
          <w:tcPr>
            <w:tcW w:w="750" w:type="pct"/>
            <w:tcBorders>
              <w:top w:val="single" w:sz="4" w:space="0" w:color="auto"/>
              <w:left w:val="single" w:sz="4" w:space="0" w:color="auto"/>
              <w:bottom w:val="single" w:sz="4" w:space="0" w:color="auto"/>
              <w:right w:val="single" w:sz="4" w:space="0" w:color="auto"/>
            </w:tcBorders>
            <w:vAlign w:val="center"/>
          </w:tcPr>
          <w:p w14:paraId="4E22914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14:paraId="1F2C563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5.11%</w:t>
            </w:r>
          </w:p>
        </w:tc>
        <w:tc>
          <w:tcPr>
            <w:tcW w:w="750" w:type="pct"/>
            <w:tcBorders>
              <w:top w:val="single" w:sz="4" w:space="0" w:color="auto"/>
              <w:left w:val="single" w:sz="4" w:space="0" w:color="auto"/>
              <w:bottom w:val="single" w:sz="4" w:space="0" w:color="auto"/>
              <w:right w:val="single" w:sz="4" w:space="0" w:color="auto"/>
            </w:tcBorders>
            <w:vAlign w:val="center"/>
          </w:tcPr>
          <w:p w14:paraId="02F54F4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14:paraId="17EE5C7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2.45%</w:t>
            </w:r>
          </w:p>
        </w:tc>
        <w:tc>
          <w:tcPr>
            <w:tcW w:w="750" w:type="pct"/>
            <w:tcBorders>
              <w:top w:val="single" w:sz="4" w:space="0" w:color="auto"/>
              <w:left w:val="single" w:sz="4" w:space="0" w:color="auto"/>
              <w:bottom w:val="single" w:sz="4" w:space="0" w:color="auto"/>
              <w:right w:val="single" w:sz="4" w:space="0" w:color="auto"/>
            </w:tcBorders>
            <w:vAlign w:val="center"/>
          </w:tcPr>
          <w:p w14:paraId="2E5CF6C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2609C9" w14:paraId="7676F5D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098F8D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678EA86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-1.94%</w:t>
            </w:r>
          </w:p>
        </w:tc>
        <w:tc>
          <w:tcPr>
            <w:tcW w:w="750" w:type="pct"/>
            <w:tcBorders>
              <w:top w:val="single" w:sz="4" w:space="0" w:color="auto"/>
              <w:left w:val="single" w:sz="4" w:space="0" w:color="auto"/>
              <w:bottom w:val="single" w:sz="4" w:space="0" w:color="auto"/>
              <w:right w:val="single" w:sz="4" w:space="0" w:color="auto"/>
            </w:tcBorders>
            <w:vAlign w:val="center"/>
          </w:tcPr>
          <w:p w14:paraId="66DEFA3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1.02%</w:t>
            </w:r>
          </w:p>
        </w:tc>
        <w:tc>
          <w:tcPr>
            <w:tcW w:w="750" w:type="pct"/>
            <w:tcBorders>
              <w:top w:val="single" w:sz="4" w:space="0" w:color="auto"/>
              <w:left w:val="single" w:sz="4" w:space="0" w:color="auto"/>
              <w:bottom w:val="single" w:sz="4" w:space="0" w:color="auto"/>
              <w:right w:val="single" w:sz="4" w:space="0" w:color="auto"/>
            </w:tcBorders>
            <w:vAlign w:val="center"/>
          </w:tcPr>
          <w:p w14:paraId="1330F8E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-7.19%</w:t>
            </w:r>
          </w:p>
        </w:tc>
        <w:tc>
          <w:tcPr>
            <w:tcW w:w="750" w:type="pct"/>
            <w:tcBorders>
              <w:top w:val="single" w:sz="4" w:space="0" w:color="auto"/>
              <w:left w:val="single" w:sz="4" w:space="0" w:color="auto"/>
              <w:bottom w:val="single" w:sz="4" w:space="0" w:color="auto"/>
              <w:right w:val="single" w:sz="4" w:space="0" w:color="auto"/>
            </w:tcBorders>
            <w:vAlign w:val="center"/>
          </w:tcPr>
          <w:p w14:paraId="58CA6EB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14:paraId="6907564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5.25%</w:t>
            </w:r>
          </w:p>
        </w:tc>
        <w:tc>
          <w:tcPr>
            <w:tcW w:w="750" w:type="pct"/>
            <w:tcBorders>
              <w:top w:val="single" w:sz="4" w:space="0" w:color="auto"/>
              <w:left w:val="single" w:sz="4" w:space="0" w:color="auto"/>
              <w:bottom w:val="single" w:sz="4" w:space="0" w:color="auto"/>
              <w:right w:val="single" w:sz="4" w:space="0" w:color="auto"/>
            </w:tcBorders>
            <w:vAlign w:val="center"/>
          </w:tcPr>
          <w:p w14:paraId="5985A0C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r>
      <w:tr w:rsidR="002609C9" w14:paraId="7CFDF0B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CC1643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2021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22E4D4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c>
          <w:tcPr>
            <w:tcW w:w="750" w:type="pct"/>
            <w:tcBorders>
              <w:top w:val="single" w:sz="4" w:space="0" w:color="auto"/>
              <w:left w:val="single" w:sz="4" w:space="0" w:color="auto"/>
              <w:bottom w:val="single" w:sz="4" w:space="0" w:color="auto"/>
              <w:right w:val="single" w:sz="4" w:space="0" w:color="auto"/>
            </w:tcBorders>
            <w:vAlign w:val="center"/>
          </w:tcPr>
          <w:p w14:paraId="35565DB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4D567B5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1.68%</w:t>
            </w:r>
          </w:p>
        </w:tc>
        <w:tc>
          <w:tcPr>
            <w:tcW w:w="750" w:type="pct"/>
            <w:tcBorders>
              <w:top w:val="single" w:sz="4" w:space="0" w:color="auto"/>
              <w:left w:val="single" w:sz="4" w:space="0" w:color="auto"/>
              <w:bottom w:val="single" w:sz="4" w:space="0" w:color="auto"/>
              <w:right w:val="single" w:sz="4" w:space="0" w:color="auto"/>
            </w:tcBorders>
            <w:vAlign w:val="center"/>
          </w:tcPr>
          <w:p w14:paraId="09C793F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14:paraId="4884949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-1.83%</w:t>
            </w:r>
          </w:p>
        </w:tc>
        <w:tc>
          <w:tcPr>
            <w:tcW w:w="750" w:type="pct"/>
            <w:tcBorders>
              <w:top w:val="single" w:sz="4" w:space="0" w:color="auto"/>
              <w:left w:val="single" w:sz="4" w:space="0" w:color="auto"/>
              <w:bottom w:val="single" w:sz="4" w:space="0" w:color="auto"/>
              <w:right w:val="single" w:sz="4" w:space="0" w:color="auto"/>
            </w:tcBorders>
            <w:vAlign w:val="center"/>
          </w:tcPr>
          <w:p w14:paraId="21455C9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r>
    </w:tbl>
    <w:p w14:paraId="35093B0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（2）交银智选星光一年封闭运作混合（FOF-LOF）C</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2609C9" w14:paraId="3B8B1B3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2985F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5A05C83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ADFFF7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6E584541"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B65C453"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1A298BC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46E43326"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2609C9" w14:paraId="0137120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29EC6D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04028F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7.39%</w:t>
            </w:r>
          </w:p>
        </w:tc>
        <w:tc>
          <w:tcPr>
            <w:tcW w:w="750" w:type="pct"/>
            <w:tcBorders>
              <w:top w:val="single" w:sz="4" w:space="0" w:color="auto"/>
              <w:left w:val="single" w:sz="4" w:space="0" w:color="auto"/>
              <w:bottom w:val="single" w:sz="4" w:space="0" w:color="auto"/>
              <w:right w:val="single" w:sz="4" w:space="0" w:color="auto"/>
            </w:tcBorders>
            <w:vAlign w:val="center"/>
          </w:tcPr>
          <w:p w14:paraId="387037F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14:paraId="441ED279"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5.11%</w:t>
            </w:r>
          </w:p>
        </w:tc>
        <w:tc>
          <w:tcPr>
            <w:tcW w:w="750" w:type="pct"/>
            <w:tcBorders>
              <w:top w:val="single" w:sz="4" w:space="0" w:color="auto"/>
              <w:left w:val="single" w:sz="4" w:space="0" w:color="auto"/>
              <w:bottom w:val="single" w:sz="4" w:space="0" w:color="auto"/>
              <w:right w:val="single" w:sz="4" w:space="0" w:color="auto"/>
            </w:tcBorders>
            <w:vAlign w:val="center"/>
          </w:tcPr>
          <w:p w14:paraId="6D7D3D7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14:paraId="78AC6322"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2.28%</w:t>
            </w:r>
          </w:p>
        </w:tc>
        <w:tc>
          <w:tcPr>
            <w:tcW w:w="750" w:type="pct"/>
            <w:tcBorders>
              <w:top w:val="single" w:sz="4" w:space="0" w:color="auto"/>
              <w:left w:val="single" w:sz="4" w:space="0" w:color="auto"/>
              <w:bottom w:val="single" w:sz="4" w:space="0" w:color="auto"/>
              <w:right w:val="single" w:sz="4" w:space="0" w:color="auto"/>
            </w:tcBorders>
            <w:vAlign w:val="center"/>
          </w:tcPr>
          <w:p w14:paraId="08640C4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2609C9" w14:paraId="5783FAA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8BB460C"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037B1A59"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-2.25%</w:t>
            </w:r>
          </w:p>
        </w:tc>
        <w:tc>
          <w:tcPr>
            <w:tcW w:w="750" w:type="pct"/>
            <w:tcBorders>
              <w:top w:val="single" w:sz="4" w:space="0" w:color="auto"/>
              <w:left w:val="single" w:sz="4" w:space="0" w:color="auto"/>
              <w:bottom w:val="single" w:sz="4" w:space="0" w:color="auto"/>
              <w:right w:val="single" w:sz="4" w:space="0" w:color="auto"/>
            </w:tcBorders>
            <w:vAlign w:val="center"/>
          </w:tcPr>
          <w:p w14:paraId="24AE7B0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1.02%</w:t>
            </w:r>
          </w:p>
        </w:tc>
        <w:tc>
          <w:tcPr>
            <w:tcW w:w="750" w:type="pct"/>
            <w:tcBorders>
              <w:top w:val="single" w:sz="4" w:space="0" w:color="auto"/>
              <w:left w:val="single" w:sz="4" w:space="0" w:color="auto"/>
              <w:bottom w:val="single" w:sz="4" w:space="0" w:color="auto"/>
              <w:right w:val="single" w:sz="4" w:space="0" w:color="auto"/>
            </w:tcBorders>
            <w:vAlign w:val="center"/>
          </w:tcPr>
          <w:p w14:paraId="54B3C72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-7.19%</w:t>
            </w:r>
          </w:p>
        </w:tc>
        <w:tc>
          <w:tcPr>
            <w:tcW w:w="750" w:type="pct"/>
            <w:tcBorders>
              <w:top w:val="single" w:sz="4" w:space="0" w:color="auto"/>
              <w:left w:val="single" w:sz="4" w:space="0" w:color="auto"/>
              <w:bottom w:val="single" w:sz="4" w:space="0" w:color="auto"/>
              <w:right w:val="single" w:sz="4" w:space="0" w:color="auto"/>
            </w:tcBorders>
            <w:vAlign w:val="center"/>
          </w:tcPr>
          <w:p w14:paraId="0FEC727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14:paraId="7CF13C9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4.94%</w:t>
            </w:r>
          </w:p>
        </w:tc>
        <w:tc>
          <w:tcPr>
            <w:tcW w:w="750" w:type="pct"/>
            <w:tcBorders>
              <w:top w:val="single" w:sz="4" w:space="0" w:color="auto"/>
              <w:left w:val="single" w:sz="4" w:space="0" w:color="auto"/>
              <w:bottom w:val="single" w:sz="4" w:space="0" w:color="auto"/>
              <w:right w:val="single" w:sz="4" w:space="0" w:color="auto"/>
            </w:tcBorders>
            <w:vAlign w:val="center"/>
          </w:tcPr>
          <w:p w14:paraId="4DAF420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r>
      <w:tr w:rsidR="002609C9" w14:paraId="75CEA4D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D33ADC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2021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29EDF0C"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14:paraId="63DF9FE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15066B3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1.68%</w:t>
            </w:r>
          </w:p>
        </w:tc>
        <w:tc>
          <w:tcPr>
            <w:tcW w:w="750" w:type="pct"/>
            <w:tcBorders>
              <w:top w:val="single" w:sz="4" w:space="0" w:color="auto"/>
              <w:left w:val="single" w:sz="4" w:space="0" w:color="auto"/>
              <w:bottom w:val="single" w:sz="4" w:space="0" w:color="auto"/>
              <w:right w:val="single" w:sz="4" w:space="0" w:color="auto"/>
            </w:tcBorders>
            <w:vAlign w:val="center"/>
          </w:tcPr>
          <w:p w14:paraId="324CC27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14:paraId="45CD887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-1.91%</w:t>
            </w:r>
          </w:p>
        </w:tc>
        <w:tc>
          <w:tcPr>
            <w:tcW w:w="750" w:type="pct"/>
            <w:tcBorders>
              <w:top w:val="single" w:sz="4" w:space="0" w:color="auto"/>
              <w:left w:val="single" w:sz="4" w:space="0" w:color="auto"/>
              <w:bottom w:val="single" w:sz="4" w:space="0" w:color="auto"/>
              <w:right w:val="single" w:sz="4" w:space="0" w:color="auto"/>
            </w:tcBorders>
            <w:vAlign w:val="center"/>
          </w:tcPr>
          <w:p w14:paraId="78F8A49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r>
    </w:tbl>
    <w:p w14:paraId="1BED0CEC" w14:textId="6F01ECA1" w:rsidR="008E6FA3" w:rsidRPr="00AF3482" w:rsidRDefault="000E6610" w:rsidP="00A6117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注：</w:t>
      </w:r>
      <w:r w:rsidR="008E6FA3" w:rsidRPr="00AF3482">
        <w:rPr>
          <w:rFonts w:ascii="宋体" w:hAnsi="宋体" w:hint="eastAsia"/>
          <w:sz w:val="24"/>
        </w:rPr>
        <w:t>本基金的业绩比较基准自</w:t>
      </w:r>
      <w:r w:rsidR="008E6FA3" w:rsidRPr="00AF3482">
        <w:rPr>
          <w:rFonts w:ascii="宋体" w:hAnsi="宋体"/>
          <w:sz w:val="24"/>
        </w:rPr>
        <w:t>202</w:t>
      </w:r>
      <w:r w:rsidR="008D58C5">
        <w:rPr>
          <w:rFonts w:ascii="宋体" w:hAnsi="宋体"/>
          <w:sz w:val="24"/>
        </w:rPr>
        <w:t>3</w:t>
      </w:r>
      <w:r w:rsidR="008E6FA3" w:rsidRPr="00AF3482">
        <w:rPr>
          <w:rFonts w:ascii="宋体" w:hAnsi="宋体"/>
          <w:sz w:val="24"/>
        </w:rPr>
        <w:t>年</w:t>
      </w:r>
      <w:r w:rsidR="008D58C5">
        <w:rPr>
          <w:rFonts w:ascii="宋体" w:hAnsi="宋体"/>
          <w:sz w:val="24"/>
        </w:rPr>
        <w:t>2</w:t>
      </w:r>
      <w:r w:rsidR="008E6FA3" w:rsidRPr="00AF3482">
        <w:rPr>
          <w:rFonts w:ascii="宋体" w:hAnsi="宋体"/>
          <w:sz w:val="24"/>
        </w:rPr>
        <w:t>月</w:t>
      </w:r>
      <w:r w:rsidR="008D58C5">
        <w:rPr>
          <w:rFonts w:ascii="宋体" w:hAnsi="宋体"/>
          <w:sz w:val="24"/>
        </w:rPr>
        <w:t>7</w:t>
      </w:r>
      <w:r w:rsidR="008E6FA3" w:rsidRPr="00AF3482">
        <w:rPr>
          <w:rFonts w:ascii="宋体" w:hAnsi="宋体"/>
          <w:sz w:val="24"/>
        </w:rPr>
        <w:t>日起，</w:t>
      </w:r>
      <w:r w:rsidR="00903834">
        <w:rPr>
          <w:rFonts w:ascii="宋体" w:hAnsi="宋体" w:hint="eastAsia"/>
          <w:sz w:val="24"/>
        </w:rPr>
        <w:t>由“</w:t>
      </w:r>
      <w:r w:rsidR="00903834">
        <w:rPr>
          <w:rFonts w:ascii="宋体" w:hAnsi="宋体"/>
          <w:sz w:val="24"/>
        </w:rPr>
        <w:t>80%×沪深300指数收益率+20%×中债综合全价指数收益率</w:t>
      </w:r>
      <w:r w:rsidR="00903834">
        <w:rPr>
          <w:rFonts w:ascii="宋体" w:hAnsi="宋体" w:hint="eastAsia"/>
          <w:sz w:val="24"/>
        </w:rPr>
        <w:t>”</w:t>
      </w:r>
      <w:r w:rsidR="008E6FA3" w:rsidRPr="00AF3482">
        <w:rPr>
          <w:rFonts w:ascii="宋体" w:hAnsi="宋体" w:hint="eastAsia"/>
          <w:sz w:val="24"/>
        </w:rPr>
        <w:t>变更为“</w:t>
      </w:r>
      <w:r w:rsidR="008E6FA3" w:rsidRPr="00AF3482">
        <w:rPr>
          <w:rFonts w:ascii="宋体" w:hAnsi="宋体"/>
          <w:sz w:val="24"/>
        </w:rPr>
        <w:t>90%×中证偏股型基金指数收益率</w:t>
      </w:r>
      <w:r w:rsidR="008E6FA3" w:rsidRPr="00AF3482">
        <w:rPr>
          <w:rFonts w:ascii="宋体" w:hAnsi="宋体"/>
          <w:sz w:val="24"/>
        </w:rPr>
        <w:lastRenderedPageBreak/>
        <w:t>+10%×中债综合全价指数收益率”。</w:t>
      </w:r>
      <w:r w:rsidR="00A61178">
        <w:rPr>
          <w:rFonts w:ascii="宋体" w:hAnsi="宋体" w:hint="eastAsia"/>
          <w:sz w:val="24"/>
        </w:rPr>
        <w:t>本章节</w:t>
      </w:r>
      <w:r w:rsidR="00A61178">
        <w:rPr>
          <w:rFonts w:ascii="宋体" w:hAnsi="宋体"/>
          <w:sz w:val="24"/>
        </w:rPr>
        <w:t>所</w:t>
      </w:r>
      <w:r w:rsidR="00A61178">
        <w:rPr>
          <w:rFonts w:ascii="宋体" w:hAnsi="宋体" w:hint="eastAsia"/>
          <w:sz w:val="24"/>
        </w:rPr>
        <w:t>列</w:t>
      </w:r>
      <w:r w:rsidR="00A61178">
        <w:rPr>
          <w:rFonts w:ascii="宋体" w:hAnsi="宋体"/>
          <w:sz w:val="24"/>
        </w:rPr>
        <w:t>“业绩比较基准”</w:t>
      </w:r>
      <w:r w:rsidR="00A61178">
        <w:rPr>
          <w:rFonts w:ascii="宋体" w:hAnsi="宋体" w:hint="eastAsia"/>
          <w:sz w:val="24"/>
        </w:rPr>
        <w:t>指的是“</w:t>
      </w:r>
      <w:r w:rsidR="00A61178">
        <w:rPr>
          <w:rFonts w:ascii="宋体" w:hAnsi="宋体"/>
          <w:sz w:val="24"/>
        </w:rPr>
        <w:t>80%×沪深300指数收益率+20%×中债综合全价指数收益率</w:t>
      </w:r>
      <w:r w:rsidR="00A61178">
        <w:rPr>
          <w:rFonts w:ascii="宋体" w:hAnsi="宋体" w:hint="eastAsia"/>
          <w:sz w:val="24"/>
        </w:rPr>
        <w:t>”</w:t>
      </w:r>
      <w:r w:rsidR="00A61178">
        <w:rPr>
          <w:rFonts w:ascii="宋体" w:hAnsi="宋体"/>
          <w:sz w:val="24"/>
        </w:rPr>
        <w:t>，</w:t>
      </w:r>
      <w:r w:rsidR="00A61178">
        <w:rPr>
          <w:rFonts w:ascii="宋体" w:hAnsi="宋体" w:hint="eastAsia"/>
          <w:sz w:val="24"/>
        </w:rPr>
        <w:t>下图同</w:t>
      </w:r>
      <w:r w:rsidR="00A61178">
        <w:rPr>
          <w:rFonts w:ascii="宋体" w:hAnsi="宋体"/>
          <w:sz w:val="24"/>
        </w:rPr>
        <w:t>。</w:t>
      </w:r>
    </w:p>
    <w:p w14:paraId="796DC8F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03C29A39" w14:textId="77777777" w:rsidR="002609C9" w:rsidRDefault="000E6610">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交银施罗德智选星光一年混合型（FOF-LOF）证券投资基金</w:t>
      </w:r>
    </w:p>
    <w:p w14:paraId="5BA33A12" w14:textId="77777777" w:rsidR="002609C9" w:rsidRDefault="000E6610">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1FF7BBAD" w14:textId="77777777" w:rsidR="002609C9" w:rsidRDefault="000E6610">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（2021年11月10日至2022年06月30日）</w:t>
      </w:r>
    </w:p>
    <w:p w14:paraId="7DE7AE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（1）交银智选星光一年封闭运作混合（FOF-LOF）A</w:t>
      </w:r>
    </w:p>
    <w:p w14:paraId="3C183F49" w14:textId="1D084F72" w:rsidR="002609C9" w:rsidRDefault="008423FD">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6D1F6DEA" wp14:editId="2585E754">
            <wp:extent cx="5584825" cy="4551045"/>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4825" cy="4551045"/>
                    </a:xfrm>
                    <a:prstGeom prst="rect">
                      <a:avLst/>
                    </a:prstGeom>
                    <a:noFill/>
                    <a:ln>
                      <a:noFill/>
                    </a:ln>
                  </pic:spPr>
                </pic:pic>
              </a:graphicData>
            </a:graphic>
          </wp:inline>
        </w:drawing>
      </w:r>
    </w:p>
    <w:p w14:paraId="09409A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（2）交银智选星光一年封闭运作混合（FOF-LOF）C</w:t>
      </w:r>
    </w:p>
    <w:p w14:paraId="0E7E942B" w14:textId="1FB952F1" w:rsidR="002609C9" w:rsidRDefault="008423FD">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69C8A809" wp14:editId="3A77C47A">
            <wp:extent cx="5584825" cy="4551045"/>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4825" cy="4551045"/>
                    </a:xfrm>
                    <a:prstGeom prst="rect">
                      <a:avLst/>
                    </a:prstGeom>
                    <a:noFill/>
                    <a:ln>
                      <a:noFill/>
                    </a:ln>
                  </pic:spPr>
                </pic:pic>
              </a:graphicData>
            </a:graphic>
          </wp:inline>
        </w:drawing>
      </w:r>
    </w:p>
    <w:p w14:paraId="2907013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基金合同生效日为2021年11月10日，基金合同生效日至报告期期末，本基金运作时间未满一年。本基金建仓期为自基金合同生效日起的6个月。截至建仓期结束，本基金各项资产配置比例符合基金合同及招募说明书有关投资比例的约定。</w:t>
      </w:r>
    </w:p>
    <w:p w14:paraId="0CC6CC1D"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191374C" w14:textId="77777777" w:rsidR="002609C9" w:rsidRDefault="000E6610">
      <w:pPr>
        <w:pStyle w:val="1"/>
        <w:snapToGrid w:val="0"/>
        <w:spacing w:beforeLines="0" w:before="240" w:after="240"/>
        <w:rPr>
          <w:rFonts w:ascii="宋体" w:hAnsi="宋体"/>
          <w:szCs w:val="30"/>
        </w:rPr>
      </w:pPr>
      <w:bookmarkStart w:id="15" w:name="_Toc116553084"/>
      <w:r>
        <w:rPr>
          <w:rFonts w:ascii="Times New Roman" w:hAnsi="Times New Roman"/>
          <w:sz w:val="30"/>
        </w:rPr>
        <w:lastRenderedPageBreak/>
        <w:t>十二、基金的财产</w:t>
      </w:r>
      <w:bookmarkEnd w:id="15"/>
    </w:p>
    <w:p w14:paraId="7B033260"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（一）基金资产总值</w:t>
      </w:r>
    </w:p>
    <w:p w14:paraId="44B08F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基金资产总值是指基金拥有的各类有价证券、证券投资基金份额、银行存款本息、基金应收款项及其他资产的价值总和。</w:t>
      </w:r>
    </w:p>
    <w:p w14:paraId="448E4519"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（二）基金资产净值</w:t>
      </w:r>
    </w:p>
    <w:p w14:paraId="20FDAD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3EEDEE96"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（三）基金财产的账户</w:t>
      </w:r>
    </w:p>
    <w:p w14:paraId="48E6D0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证券投资基金账户以及投资所需的其他专用账户。开立的基金专用账户与基金管理人、基金托管人、基金销售机构和基金登记机构自有的财产账户以及其他基金财产账户相独立。</w:t>
      </w:r>
    </w:p>
    <w:p w14:paraId="59D00655"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（四）基金财产的保管和处分</w:t>
      </w:r>
    </w:p>
    <w:p w14:paraId="1C8FD7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5D574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8EA273D"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9F0574E" w14:textId="77777777" w:rsidR="002609C9" w:rsidRDefault="000E6610">
      <w:pPr>
        <w:pStyle w:val="1"/>
        <w:snapToGrid w:val="0"/>
        <w:spacing w:beforeLines="0" w:before="240" w:after="240"/>
        <w:rPr>
          <w:rFonts w:ascii="宋体" w:hAnsi="宋体"/>
          <w:szCs w:val="30"/>
        </w:rPr>
      </w:pPr>
      <w:bookmarkStart w:id="16" w:name="_Toc116553085"/>
      <w:r>
        <w:rPr>
          <w:rFonts w:ascii="Times New Roman" w:hAnsi="Times New Roman"/>
          <w:sz w:val="30"/>
        </w:rPr>
        <w:lastRenderedPageBreak/>
        <w:t>十三、基金资产的估值</w:t>
      </w:r>
      <w:bookmarkEnd w:id="16"/>
    </w:p>
    <w:p w14:paraId="245226D3"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（一）估值日</w:t>
      </w:r>
    </w:p>
    <w:p w14:paraId="7EA83E2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本基金的估值日为本基金相关的证券交易场所的交易日以及国家法律法规规定需要对外披露基金净值的非交易日。所投资基金的估值日是指该基金基金份额净值和基金份额累计净值的归属日。</w:t>
      </w:r>
    </w:p>
    <w:p w14:paraId="17660FCE"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（二）估值对象</w:t>
      </w:r>
    </w:p>
    <w:p w14:paraId="4179020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基金所拥有的证券投资基金份额、股票、债券、资产支持证券和其他投资等持续以公允价值计量的金融资产及负债。</w:t>
      </w:r>
    </w:p>
    <w:p w14:paraId="5A4F256C"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（三）估值原则</w:t>
      </w:r>
    </w:p>
    <w:p w14:paraId="295B95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39830D3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39FD0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519202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FF4866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22D5541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（四）估值方法</w:t>
      </w:r>
    </w:p>
    <w:p w14:paraId="6D07F0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1、证券投资基金的估值</w:t>
      </w:r>
    </w:p>
    <w:p w14:paraId="649EE83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（1）本基金投资于非上市的非货币市场基金，按所投资基金估值日的份额净值进行估值；</w:t>
      </w:r>
    </w:p>
    <w:p w14:paraId="3F3FCB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（2）本基金投资于非上市的货币市场基金，按所投资基金前一估值日后至估值日期间（含节假日）的万份收益计提估值日基金收益；如所投资基金披露份额净值，则按所投资基金估值日的份额净值估值；</w:t>
      </w:r>
    </w:p>
    <w:p w14:paraId="0D6013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（3）本基金投资的ETF基金，按所投资ETF基金估值日的收盘价进行估值；</w:t>
      </w:r>
    </w:p>
    <w:p w14:paraId="39E326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（4）本基金投资的上市开放式基金（LOF），按所投资基金估值日的份额净值估值；</w:t>
      </w:r>
    </w:p>
    <w:p w14:paraId="5A3CCD1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（5）本基金投资的上市定期开放式基金、封闭式基金，按所投资基金估值日的收盘价估值；</w:t>
      </w:r>
    </w:p>
    <w:p w14:paraId="6993BF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42824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（7）如遇所投资基金不公布基金份额净值、进行折算或拆分、估值日无交易等特殊情况，基金管理人根据以下原则进行估值：</w:t>
      </w:r>
    </w:p>
    <w:p w14:paraId="730AE0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以所投资基金的基金份额净值估值的，若所投资基金与本基金估值频率一致但未公布估值日基金份额净值，以其最近公布的基金份额净值估值；</w:t>
      </w:r>
    </w:p>
    <w:p w14:paraId="0364218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3366A5F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如果所投资基金前一估值日至估值日期间发生分红除权、折算或拆分，基金管理人应根据基金份额净值或收盘价、单位基金份额分红金额、折算拆分比例、持仓份额等因素合理确定公允价值；</w:t>
      </w:r>
    </w:p>
    <w:p w14:paraId="03FA970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（8）当基金管理人认为所投资基金按上述第（1）至第（7）条进行估值存在不公允时，应与基金托管人协商一致采用合理的估值技术或估值标准确定其公允价值。</w:t>
      </w:r>
    </w:p>
    <w:p w14:paraId="3F7FCEC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2、证券交易所上市的有价证券的估值</w:t>
      </w:r>
    </w:p>
    <w:p w14:paraId="252C01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3062D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（2）交易所上市交易或挂牌转让的固定收益品种（另有规定的除外），选取估值日第三方估值机构提供的相应品种当日的估值净价进行估值；</w:t>
      </w:r>
    </w:p>
    <w:p w14:paraId="6F4D21F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7D1C88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（4）交易所上市实行全价交易的债券（可转债除外），选取第三方估值机构提供的估值全价减去估值全价中所含的债券（税后）应收利息得到的净价进行估值；</w:t>
      </w:r>
    </w:p>
    <w:p w14:paraId="4ABCB1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（5）交易所上市不存在活跃市场的有价证券，采用估值技术确定公允价值。交易所市场挂牌转让的资产支持证券，采用估值技术确定公允价值；</w:t>
      </w:r>
    </w:p>
    <w:p w14:paraId="43FBF6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4315D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3、处于未上市期间的有价证券应区分如下情况处理：</w:t>
      </w:r>
    </w:p>
    <w:p w14:paraId="64D137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14:paraId="4955CDB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（2）首次公开发行未上市的股票和债券，采用估值技术确定公允价值，在估值技术难以可靠计量公允价值的情况下，按成本估值；</w:t>
      </w:r>
    </w:p>
    <w:p w14:paraId="7BC1F26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（3）在发行时明确一定期限限售期的股票，包括但不限于非公开发行股票、首次公开发行股票时公司股东公开发售股份、通过大宗交易取得的带限售期的股票</w:t>
      </w:r>
      <w:r>
        <w:rPr>
          <w:rFonts w:ascii="宋体" w:hAnsi="宋体"/>
          <w:sz w:val="24"/>
        </w:rPr>
        <w:lastRenderedPageBreak/>
        <w:t>等，不包括停牌、新发行未上市、回购交易中的质押券等流通受限股票，按监管机构或行业协会有关规定确定公允价值。</w:t>
      </w:r>
    </w:p>
    <w:p w14:paraId="5A7DE6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AF767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7051B2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6、估值计算中涉及港币对人民币汇率的，将依据下列信息提供机构所提供的汇率为基准：当日中国人民银行公布的人民币与港币的中间价。</w:t>
      </w:r>
    </w:p>
    <w:p w14:paraId="093940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7、当发生大额申购或赎回情形时，基金管理人可以采用摆动定价机制，以确保基金估值的公平性。</w:t>
      </w:r>
    </w:p>
    <w:p w14:paraId="74648A2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8、本基金投资存托凭证的估值核算依照境内上市交易的股票执行。</w:t>
      </w:r>
    </w:p>
    <w:p w14:paraId="501620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9、相关法律法规以及监管部门有强制规定的，从其规定。如有新增事项，按国家最新规定估值。</w:t>
      </w:r>
    </w:p>
    <w:p w14:paraId="7BE8449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9BC95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B870377"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（五）估值程序</w:t>
      </w:r>
    </w:p>
    <w:p w14:paraId="759CBA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14:paraId="18A4268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基金管理人于每个工作日分别计算A类基金份额、C类基金份额的基金资产净值及基金份额净值，并按规定公告。如遇特殊情况，经履行适当程序，可以适当延迟计算或公告。</w:t>
      </w:r>
    </w:p>
    <w:p w14:paraId="6C666A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对基金资产估值后，将各类基金份额净值结果发送基金托管人，经基金托管人复核无误后，由基金管理人依据基金合同和相关法律法规的规定对外公布。</w:t>
      </w:r>
    </w:p>
    <w:p w14:paraId="3006D9FD"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（六）估值错误的处理</w:t>
      </w:r>
    </w:p>
    <w:p w14:paraId="11E5965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 发生估值错误时，视为基金份额净值错误。</w:t>
      </w:r>
    </w:p>
    <w:p w14:paraId="2FC5D39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5351FF1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BB530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12057A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10CF01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7082EE0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F3579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37751B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w:t>
      </w:r>
      <w:r>
        <w:rPr>
          <w:rFonts w:ascii="宋体" w:hAnsi="宋体"/>
          <w:sz w:val="24"/>
        </w:rPr>
        <w:lastRenderedPageBreak/>
        <w:t>错误责任方应对更正的情况向有关当事人进行确认，确保估值错误已得到更正。</w:t>
      </w:r>
    </w:p>
    <w:p w14:paraId="22B25B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2F62116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41FC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5E91C50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194073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58A3E29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22395E2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0DDEC6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3674FA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40BFA45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30F89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56111D3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699A8CF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（2）错误偏差达到该类基金份额净值的0.25%时，基金管理人应当通报基金托管人并报中国证监会备案；错误偏差达到该类基金份额净值的0.5%时，基金管理人应当公告，并报中国证监会备案。</w:t>
      </w:r>
    </w:p>
    <w:p w14:paraId="691EAC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（3）前述内容如法律法规或者监管部门另有规定的，从其规定。</w:t>
      </w:r>
    </w:p>
    <w:p w14:paraId="58C23EBB"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（七）暂停估值的情形</w:t>
      </w:r>
    </w:p>
    <w:p w14:paraId="2EED69F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1、基金投资所涉及的证券交易市场遇法定节假日或因其他原因暂停营业时；</w:t>
      </w:r>
    </w:p>
    <w:p w14:paraId="6507275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5E7DCD3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3、由于本基金持有的相当比例的基金暂停估值，导致基金管理人无法计算当日基金资产净值；</w:t>
      </w:r>
    </w:p>
    <w:p w14:paraId="1B3673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14:paraId="13062C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5、法律法规、中国证监会和基金合同认定的其它情形。</w:t>
      </w:r>
    </w:p>
    <w:p w14:paraId="6ED33811"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（八）基金净值的确认</w:t>
      </w:r>
    </w:p>
    <w:p w14:paraId="381AE1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工作日计算各类基金份额的基金资产净值和基金份额净值并发送给基金托管人。基金托管人对净值计算结果复核确认后发送给基金管理人，由基金管理人依据基金合同和相关法律法规的规定对基金净值予以公布。</w:t>
      </w:r>
    </w:p>
    <w:p w14:paraId="7A3F746A"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（九）特殊情形的处理</w:t>
      </w:r>
    </w:p>
    <w:p w14:paraId="6F61FA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14:paraId="1CD3BAD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2、对于因税收规定调整或其他原因导致基金实际交纳税金与基金按照权责发生制进行估值的应交税金有差异的，相关估值调整不作为基金资产估值错误处理。</w:t>
      </w:r>
    </w:p>
    <w:p w14:paraId="01B4C3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不可抗力原因，或由于证券交易所、证券经纪机构、登记结算公司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EC35BFA"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（十）实施侧袋机制期间的基金资产估值</w:t>
      </w:r>
    </w:p>
    <w:p w14:paraId="77AC4C0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27EDA0F4"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448695" w14:textId="77777777" w:rsidR="002609C9" w:rsidRDefault="000E6610">
      <w:pPr>
        <w:pStyle w:val="1"/>
        <w:snapToGrid w:val="0"/>
        <w:spacing w:beforeLines="0" w:before="240" w:after="240"/>
        <w:rPr>
          <w:rFonts w:ascii="宋体" w:hAnsi="宋体"/>
          <w:szCs w:val="30"/>
        </w:rPr>
      </w:pPr>
      <w:bookmarkStart w:id="17" w:name="_Toc116553086"/>
      <w:r>
        <w:rPr>
          <w:rFonts w:ascii="Times New Roman" w:hAnsi="Times New Roman"/>
          <w:sz w:val="30"/>
        </w:rPr>
        <w:lastRenderedPageBreak/>
        <w:t>十四、基金收益与分配</w:t>
      </w:r>
      <w:bookmarkEnd w:id="17"/>
    </w:p>
    <w:p w14:paraId="79EBE914"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（一）基金利润的构成</w:t>
      </w:r>
    </w:p>
    <w:p w14:paraId="6A59942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0994BD8A"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（二）基金可供分配利润</w:t>
      </w:r>
    </w:p>
    <w:p w14:paraId="2A37FA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09D4FA2"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（三）基金收益分配原则</w:t>
      </w:r>
    </w:p>
    <w:p w14:paraId="6E04C66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1、在符合有关基金分红条件的前提下，本基金管理人可以根据实际情况进行收益分配，具体分配方案以公告为准，若《基金合同》生效不满3个月可不进行收益分配；</w:t>
      </w:r>
    </w:p>
    <w:p w14:paraId="483D35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相应类别的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14:paraId="6F48394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3、基金收益分配后各类基金份额净值不能低于面值；即基金收益分配基准日的各类基金份额净值减去每单位该类基金份额收益分配金额后不能低于面值；</w:t>
      </w:r>
    </w:p>
    <w:p w14:paraId="40CA120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4、由于本基金A类基金份额不收取销售服务费，C类基金份额收取销售服务费，各基金份额类别对应的可供分配利润将有所不同；本基金同一类别的每份基金份额享有同等分配权；</w:t>
      </w:r>
    </w:p>
    <w:p w14:paraId="2322DA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0B2FF9A2"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（四）收益分配方案</w:t>
      </w:r>
    </w:p>
    <w:p w14:paraId="4A8880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71B8DD71"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（五）收益分配方案的确定、公告与实施</w:t>
      </w:r>
    </w:p>
    <w:p w14:paraId="5C141CA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本基金收益分配方案由基金管理人拟定，并由基金托管人复核，依照《信息披露办法》的有关规定在规定媒介公告。</w:t>
      </w:r>
    </w:p>
    <w:p w14:paraId="0A9D16F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47865D04"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（六）基金收益分配中发生的费用</w:t>
      </w:r>
    </w:p>
    <w:p w14:paraId="08AB3C2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场外份额，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对于场内份额，现金分红的计算方法等有关事项遵循上海证券交易所及中国证券登记结算有限责任公司的相关规定。</w:t>
      </w:r>
    </w:p>
    <w:p w14:paraId="2C2F1B2E"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（七）收益分配方式的修改</w:t>
      </w:r>
    </w:p>
    <w:p w14:paraId="26326EF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7D860A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43010631"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（八）实施侧袋机制期间的收益分配</w:t>
      </w:r>
    </w:p>
    <w:p w14:paraId="195754B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46593B22"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3E549A" w14:textId="77777777" w:rsidR="002609C9" w:rsidRDefault="000E6610">
      <w:pPr>
        <w:pStyle w:val="1"/>
        <w:snapToGrid w:val="0"/>
        <w:spacing w:beforeLines="0" w:before="240" w:after="240"/>
        <w:rPr>
          <w:rFonts w:ascii="宋体" w:hAnsi="宋体"/>
          <w:szCs w:val="30"/>
        </w:rPr>
      </w:pPr>
      <w:bookmarkStart w:id="18" w:name="_Toc116553087"/>
      <w:r>
        <w:rPr>
          <w:rFonts w:ascii="Times New Roman" w:hAnsi="Times New Roman"/>
          <w:sz w:val="30"/>
        </w:rPr>
        <w:lastRenderedPageBreak/>
        <w:t>十五、基金的费用与税收</w:t>
      </w:r>
      <w:bookmarkEnd w:id="18"/>
    </w:p>
    <w:p w14:paraId="3A407C33"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（一）基金费用的种类</w:t>
      </w:r>
    </w:p>
    <w:p w14:paraId="56E98B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8A1C77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16F08B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2BAE031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4DB93C1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5642CA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6、基金的证券、基金交易费用；</w:t>
      </w:r>
    </w:p>
    <w:p w14:paraId="5B596E3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10E5B1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6E041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9、从A类基金份额的基金财产中计提的基金上市费用；</w:t>
      </w:r>
    </w:p>
    <w:p w14:paraId="744D152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10、从C类基金份额的基金财产中计提的销售服务费；</w:t>
      </w:r>
    </w:p>
    <w:p w14:paraId="4C3087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11、本基金投资其他基金产生的其他基金的销售费用（如申购费、赎回费、销售服务费等），但法律法规禁止从基金财产中列支的除外；</w:t>
      </w:r>
    </w:p>
    <w:p w14:paraId="7CCB24B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12、因投资港股通标的股票而产生的各项合理费用；</w:t>
      </w:r>
    </w:p>
    <w:p w14:paraId="184CA44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13、按照国家有关规定和《基金合同》约定，可以在基金财产中列支的其他费用。</w:t>
      </w:r>
    </w:p>
    <w:p w14:paraId="4F46EDF7"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（二）基金费用计提方法、计提标准和支付方式</w:t>
      </w:r>
    </w:p>
    <w:p w14:paraId="6F24031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53971B1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66F8035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财产中持有的基金管理人自身管理的基金部分不收取管理费。本基金的管理费按前一日基金资产净值扣除基金财产中持有的基金管理人自身管理的基金部分所对应资产后剩余部分的1%年费率计提。管理费的计算方法如下：</w:t>
      </w:r>
    </w:p>
    <w:p w14:paraId="53A44E2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H＝E×1%÷当年天数</w:t>
      </w:r>
    </w:p>
    <w:p w14:paraId="615842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11F867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E为前一日的基金资产净值扣除基金财产中持有的基金管理人自身管理的基金部分所对应资产后剩余部分，若为负数，则E取0。</w:t>
      </w:r>
    </w:p>
    <w:p w14:paraId="01B0ED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基金管理费每日计提，按月支付，经管理人授权后，由基金托管人根据与基金管理人核对一致的财务数据，自动在月初5个工作日内、按照指定的账户路径进行</w:t>
      </w:r>
      <w:r>
        <w:rPr>
          <w:rFonts w:ascii="宋体" w:hAnsi="宋体"/>
          <w:sz w:val="24"/>
        </w:rPr>
        <w:lastRenderedPageBreak/>
        <w:t>资金支付，基金管理人无需再出具资金划拨指令。若遇法定节假日、休息日等，支付日期顺延。</w:t>
      </w:r>
    </w:p>
    <w:p w14:paraId="7B9A86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224AEA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财产中持有的基金托管人自身托管的基金部分不收取托管费。本基金的托管费按前一日基金资产净值扣除基金财产中持有的基金托管人自身托管的基金部分所对应资产后剩余部分的0.2%的年费率计提。托管费的计算方法如下：</w:t>
      </w:r>
    </w:p>
    <w:p w14:paraId="044C91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14:paraId="086E70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0FEEA1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E为前一日的基金资产净值扣除基金财产中持有的基金托管人自身托管的基金部分所对应资产后剩余部分，若为负数，则E取0。</w:t>
      </w:r>
    </w:p>
    <w:p w14:paraId="50AB9D8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经管理人授权后，由基金托管人根据与基金管理人核对一致的财务数据，自动在月初5个工作日内、按照指定的账户路径进行资金支付，基金管理人无需再出具资金划拨指令。若遇法定节假日、休息日等，支付日期顺延。</w:t>
      </w:r>
    </w:p>
    <w:p w14:paraId="62C67EF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74016B1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本基金A类基金份额不收取销售服务费，C类基金份额的销售服务费按前一日C类基金资产净值的0.6%年费率计提。计算方法如下：</w:t>
      </w:r>
    </w:p>
    <w:p w14:paraId="75758B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14:paraId="396AE2F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49144A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6403228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每日计提，按月支付，经管理人授权后，由基金托管人根据与基金管理人核对一致的财务数据，自动在月初5个工作日内、按照指定的账户路径进行资金支付，基金管理人无需再出具资金划拨指令。若遇法定节假日、休息日等，支付日期顺延。</w:t>
      </w:r>
    </w:p>
    <w:p w14:paraId="6750F59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27EAFD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（4）上述“（一）基金费用的种类”中第3－9、11-13项费用，根据有关法规及相应协议规定，按费用实际支出金额列入当期费用，由基金托管人从基金财产中支付。</w:t>
      </w:r>
    </w:p>
    <w:p w14:paraId="7D022D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（5）基金管理人运用本基金的基金财产申购自身管理的基金的（ETF除外），</w:t>
      </w:r>
      <w:r>
        <w:rPr>
          <w:rFonts w:ascii="宋体" w:hAnsi="宋体"/>
          <w:sz w:val="24"/>
        </w:rPr>
        <w:lastRenderedPageBreak/>
        <w:t>应当通过直销渠道申购且不得收取申购费、赎回费（按照相关法规、基金招募说明书约定应当收取，并计入基金财产的赎回费用除外）、销售服务费（如有）等销售费用。</w:t>
      </w:r>
    </w:p>
    <w:p w14:paraId="57A1429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608464C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521C3DC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2079E5D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F72281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5978D7CA"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（三）不列入基金费用的项目</w:t>
      </w:r>
    </w:p>
    <w:p w14:paraId="0BFB4D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42E0CCC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451BE4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5A0E5B6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73D6822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74CAB74"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（四）实施侧袋机制期间的基金费用</w:t>
      </w:r>
    </w:p>
    <w:p w14:paraId="235A301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55F4EAD4"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（五）基金税收</w:t>
      </w:r>
    </w:p>
    <w:p w14:paraId="2FE1B17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0062E68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14:paraId="6D325B8C"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FEF04E5" w14:textId="77777777" w:rsidR="002609C9" w:rsidRDefault="000E6610">
      <w:pPr>
        <w:pStyle w:val="1"/>
        <w:snapToGrid w:val="0"/>
        <w:spacing w:beforeLines="0" w:before="240" w:after="240"/>
        <w:rPr>
          <w:rFonts w:ascii="宋体" w:hAnsi="宋体"/>
          <w:szCs w:val="30"/>
        </w:rPr>
      </w:pPr>
      <w:bookmarkStart w:id="19" w:name="_Toc116553088"/>
      <w:r>
        <w:rPr>
          <w:rFonts w:ascii="Times New Roman" w:hAnsi="Times New Roman"/>
          <w:sz w:val="30"/>
        </w:rPr>
        <w:lastRenderedPageBreak/>
        <w:t>十六、基金的会计与审计</w:t>
      </w:r>
      <w:bookmarkEnd w:id="19"/>
    </w:p>
    <w:p w14:paraId="4F9B90CB"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（一）基金会计政策</w:t>
      </w:r>
    </w:p>
    <w:p w14:paraId="1E0EA0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3222BA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796A103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74FD841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CC2674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090052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6C6EA36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6B80B4F6"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（二）基金的年度审计</w:t>
      </w:r>
    </w:p>
    <w:p w14:paraId="43AB20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14:paraId="171A082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5CB85A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3、基金管理人认为有充足理由更换会计师事务所，须通报基金托管人。更换会计师事务所需依照《信息披露办法》的有关规定在规定媒介公告。</w:t>
      </w:r>
    </w:p>
    <w:p w14:paraId="276364F0"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241837" w14:textId="77777777" w:rsidR="002609C9" w:rsidRDefault="000E6610">
      <w:pPr>
        <w:pStyle w:val="1"/>
        <w:snapToGrid w:val="0"/>
        <w:spacing w:beforeLines="0" w:before="240" w:after="240"/>
        <w:rPr>
          <w:rFonts w:ascii="宋体" w:hAnsi="宋体"/>
          <w:szCs w:val="30"/>
        </w:rPr>
      </w:pPr>
      <w:bookmarkStart w:id="20" w:name="_Toc116553089"/>
      <w:r>
        <w:rPr>
          <w:rFonts w:ascii="Times New Roman" w:hAnsi="Times New Roman"/>
          <w:sz w:val="30"/>
        </w:rPr>
        <w:lastRenderedPageBreak/>
        <w:t>十七、基金的信息披露</w:t>
      </w:r>
      <w:bookmarkEnd w:id="20"/>
    </w:p>
    <w:p w14:paraId="22C1C555"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w:t>
      </w:r>
      <w:r>
        <w:rPr>
          <w:rFonts w:ascii="宋体" w:hAnsi="宋体" w:hint="eastAsia"/>
          <w:kern w:val="0"/>
          <w:sz w:val="24"/>
        </w:rPr>
        <w:t>本基金的信息披露应符合《基金法》、《运作办法》、《信息披露办法》、《流动性风险管理规定》、《基金合同》及其他有关规定。</w:t>
      </w:r>
    </w:p>
    <w:p w14:paraId="7EBC0F10"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（二）信息披露义务人</w:t>
      </w:r>
    </w:p>
    <w:p w14:paraId="0F9ADA1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42AC7E6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6E798F5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487D656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（三）本基金信息披露义务人承诺公开披露的基金信息，不得有下列行为：</w:t>
      </w:r>
    </w:p>
    <w:p w14:paraId="0DA82E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08092DA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328A89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9D8BC0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AB1B5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0E8902F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3944845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w:t>
      </w:r>
      <w:r>
        <w:rPr>
          <w:rFonts w:ascii="宋体" w:hAnsi="宋体" w:hint="eastAsia"/>
          <w:kern w:val="0"/>
          <w:sz w:val="24"/>
        </w:rPr>
        <w:t>本基金公开披露的信息应采用中文文本。如同时采用外文文本的，基金信息披露义务人应保证不同文本的内容一致。不同文本之间发生歧义的，以中文文本为准。</w:t>
      </w:r>
    </w:p>
    <w:p w14:paraId="1495F5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57E66F00"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（五）公开披露的基金信息</w:t>
      </w:r>
    </w:p>
    <w:p w14:paraId="3E3D42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4F2140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49C45F8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0D915D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CC02F6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3E6D86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A08054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40BEB72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6F84340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14:paraId="3DCC852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6A1CDA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基金管理人应当在收到中国证监会确认文件的次日在规定媒介上登载《基金合同》生效公告。</w:t>
      </w:r>
    </w:p>
    <w:p w14:paraId="70047A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4、上市交易公告书</w:t>
      </w:r>
    </w:p>
    <w:p w14:paraId="76E4AE0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基金份额获准在证券交易所上市交易的，基金管理人应当在基金份额上市交易的三个工作日前，将基金份额上市交易公告书登载在规定网站上，并将上市交易公告书提示性公告登载在规定报刊上。</w:t>
      </w:r>
    </w:p>
    <w:p w14:paraId="3DF5EE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5、基金净值信息</w:t>
      </w:r>
    </w:p>
    <w:p w14:paraId="1EB983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《基金合同》生效后，在A类基金份额上市交易或开始办理基金份额申购或者赎回前，基金管理人应当至少每周在规定网站披露一次A类基金份额和C类基金份额所对应的基金份额净值和基金份额累计净值。</w:t>
      </w:r>
    </w:p>
    <w:p w14:paraId="4DF669C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A类基金份额上市交易或开始办理基金份额申购或者赎回后，基金管理人应当在不晚于每个开放日后的2个工作日内，通过规定网站、基金销售机构网站或者营业网点，分别披露开放日的A类基金份额和C类基金份额所对应的基金份额净值和基金份额累计净值。</w:t>
      </w:r>
    </w:p>
    <w:p w14:paraId="01445A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基金管理人应当在不晚于半年度和年度最后一日后的2个工作日内，在规定网站披露半年度和年度最后一日A类基金份额和C类基金份额所对应的基金份额净值和基金份额累计净值。</w:t>
      </w:r>
    </w:p>
    <w:p w14:paraId="365A235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6、基金份额申购、赎回价格</w:t>
      </w:r>
    </w:p>
    <w:p w14:paraId="3B0B4F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BEEEC5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7、基金定期报告，包括基金年度报告、基金中期报告和基金季度报告</w:t>
      </w:r>
    </w:p>
    <w:p w14:paraId="57EE4AA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6BB2E2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14:paraId="48AB0F8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14:paraId="658048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05626E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w:t>
      </w:r>
      <w:r>
        <w:rPr>
          <w:rFonts w:ascii="宋体" w:hAnsi="宋体"/>
          <w:sz w:val="24"/>
        </w:rPr>
        <w:lastRenderedPageBreak/>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C3C4E8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209DFBB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8、临时报告</w:t>
      </w:r>
    </w:p>
    <w:p w14:paraId="67CE97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本基金发生重大事件，有关信息披露义务人应当在2日内编制临时报告书，并登载在规定报刊和规定网站上。</w:t>
      </w:r>
    </w:p>
    <w:p w14:paraId="7BA1E0F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C4079F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2093B38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5D5BF2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2B696C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067EB48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45DFAB2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30B4EA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27A478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6BB1DB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2133C1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59A429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09CE2E0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45C960F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99AD9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24A710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3840ED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2DE6F0F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0FB67E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6715831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3F53B5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96D3B9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（21）基金管理人采用摆动定价机制进行估值；</w:t>
      </w:r>
    </w:p>
    <w:p w14:paraId="3E92C00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（22）本基金A类基金份额停复牌或终止上市；</w:t>
      </w:r>
    </w:p>
    <w:p w14:paraId="1EDCC52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（23）本基金封闭期结束转为开放式运作后，发生涉及基金申购、赎回事项调整或潜在影响投资者赎回等重大事项时；</w:t>
      </w:r>
    </w:p>
    <w:p w14:paraId="168414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（24）本基金增加或调整基金份额类别；</w:t>
      </w:r>
    </w:p>
    <w:p w14:paraId="640126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（25）本基金推出新业务或服务；</w:t>
      </w:r>
    </w:p>
    <w:p w14:paraId="1B2E4A0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（26）《基金合同》生效后，连续30个工作日、40个工作日、45个工作日出现基金份额持有人数量不满200人或者基金资产净值低于5000万元情形的，基金管理人应当发布提示性公告；</w:t>
      </w:r>
    </w:p>
    <w:p w14:paraId="59D9AB8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（27）基金信息披露义务人认为可能对基金份额持有人权益或者基金份额的价格产生重大影响的其他事项或中国证监会规定的其他事项。</w:t>
      </w:r>
    </w:p>
    <w:p w14:paraId="0E9554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9、澄清公告</w:t>
      </w:r>
    </w:p>
    <w:p w14:paraId="11E9978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基金上市交易的证券交易所。</w:t>
      </w:r>
    </w:p>
    <w:p w14:paraId="4966929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10、基金份额持有人大会决议</w:t>
      </w:r>
    </w:p>
    <w:p w14:paraId="7F12C3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0DEDC5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w:t>
      </w:r>
      <w:r>
        <w:rPr>
          <w:rFonts w:ascii="宋体" w:hAnsi="宋体"/>
          <w:sz w:val="24"/>
        </w:rPr>
        <w:lastRenderedPageBreak/>
        <w:t>对基金份额持有人大会决定的事项不依法履行信息披露义务的，召集人应当履行相关信息披露义务。</w:t>
      </w:r>
    </w:p>
    <w:p w14:paraId="75BC6E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11、实施侧袋机制期间的信息披露</w:t>
      </w:r>
    </w:p>
    <w:p w14:paraId="58EAADC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3E1A9E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12、清算报告</w:t>
      </w:r>
    </w:p>
    <w:p w14:paraId="1E4D54C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17B973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13、基金投资资产支持证券情况</w:t>
      </w:r>
    </w:p>
    <w:p w14:paraId="408F5F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755E8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14、基金投资证券投资基金情况</w:t>
      </w:r>
    </w:p>
    <w:p w14:paraId="15D3DDB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定期报告和招募说明书（更新）中应设立专门章节披露所持基金的相关情况并揭示相关风险：（1）投资策略、持仓情况、损益情况、净值披露时间等；（2）交易及持有基金产生的费用，包括申购费、赎回费、销售服务费、管理费、托管费等，在招募说明书（更新）中列明计算方法并举例说明；（3）持有的基金发生的重大影响事件，如转换运作方式、与其他基金合并、终止基金合同以及召开基金份额持有人大会等；（4）本基金投资于基金管理人以及基金管理人关联方所管理基金的情况。</w:t>
      </w:r>
    </w:p>
    <w:p w14:paraId="7BECED5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15、基金投资港股通标的股票情况</w:t>
      </w:r>
    </w:p>
    <w:p w14:paraId="4B59661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基金应当在季度报告、中期报告、年度报告等定期报告和招募说明书（更新）等文件中披露港股通标的股票的投资情况。法律法规或中国证监会另有规定的，从其规定。</w:t>
      </w:r>
    </w:p>
    <w:p w14:paraId="3FAD56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16、参与所持有基金的份额持有人大会表决意见的信息披露</w:t>
      </w:r>
    </w:p>
    <w:p w14:paraId="77E1C1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基金管理人代表份额持有人的利益参与所持有基金的份额持有人大会，需将表</w:t>
      </w:r>
      <w:r>
        <w:rPr>
          <w:rFonts w:ascii="宋体" w:hAnsi="宋体"/>
          <w:sz w:val="24"/>
        </w:rPr>
        <w:lastRenderedPageBreak/>
        <w:t>决意见事先征求基金托管人的意见，并将表决意见在定期报告中予以披露。</w:t>
      </w:r>
    </w:p>
    <w:p w14:paraId="2AD572E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17、中国证监会规定的其他信息。</w:t>
      </w:r>
    </w:p>
    <w:p w14:paraId="59A4D044"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（六）信息披露事务管理</w:t>
      </w:r>
    </w:p>
    <w:p w14:paraId="22D6B9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228B434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53A0B0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5697FB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1F8E7D1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386200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22B70EF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3C7055B"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（七）信息披露文件的存放与查阅</w:t>
      </w:r>
    </w:p>
    <w:p w14:paraId="652561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依法必须披露的信息发布后，基金管理人、基金托管人应当按照相关法律法规规定将信息置备于各自办公场所和基金上市交易的证券交易所网站，供社会公众查阅、复制。</w:t>
      </w:r>
    </w:p>
    <w:p w14:paraId="660D00FD"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BEBD25D" w14:textId="77777777" w:rsidR="002609C9" w:rsidRDefault="000E6610">
      <w:pPr>
        <w:pStyle w:val="1"/>
        <w:snapToGrid w:val="0"/>
        <w:spacing w:beforeLines="0" w:before="240" w:after="240"/>
        <w:rPr>
          <w:rFonts w:ascii="宋体" w:hAnsi="宋体"/>
          <w:szCs w:val="30"/>
        </w:rPr>
      </w:pPr>
      <w:bookmarkStart w:id="21" w:name="_Toc116553090"/>
      <w:r>
        <w:rPr>
          <w:rFonts w:ascii="Times New Roman" w:hAnsi="Times New Roman"/>
          <w:sz w:val="30"/>
        </w:rPr>
        <w:lastRenderedPageBreak/>
        <w:t>十八、侧袋机制</w:t>
      </w:r>
      <w:bookmarkEnd w:id="21"/>
    </w:p>
    <w:p w14:paraId="40F1F534"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（一）侧袋机制的实施条件</w:t>
      </w:r>
    </w:p>
    <w:p w14:paraId="1D58A7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D1725E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2C156B67"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（二）实施侧袋机制期间基金份额的申购与赎回</w:t>
      </w:r>
    </w:p>
    <w:p w14:paraId="4CC624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87943D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0F2D07F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工作日主袋账户总份额的10%认定。</w:t>
      </w:r>
    </w:p>
    <w:p w14:paraId="4D968B2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（三）实施侧袋机制期间的基金投资</w:t>
      </w:r>
    </w:p>
    <w:p w14:paraId="236558D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020F269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1A488F4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6CAD6C83"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（四）实施侧袋机制期间的基金估值</w:t>
      </w:r>
    </w:p>
    <w:p w14:paraId="5428C6A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3B594E8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（五）实施侧袋账户期间的基金费用</w:t>
      </w:r>
    </w:p>
    <w:p w14:paraId="6C267F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14:paraId="1C012DB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7442B9E3"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（六）侧袋账户中特定资产的处置变现和支付</w:t>
      </w:r>
    </w:p>
    <w:p w14:paraId="3EE22A7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583A10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5C61B5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3C135AC7"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（七）侧袋机制的信息披露</w:t>
      </w:r>
    </w:p>
    <w:p w14:paraId="4D8E68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6B47DE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3F283A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55C8E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AC7D7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6FACB4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4F934F22"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614F9D65" w14:textId="77777777" w:rsidR="002609C9" w:rsidRDefault="000E6610">
      <w:pPr>
        <w:pStyle w:val="1"/>
        <w:snapToGrid w:val="0"/>
        <w:spacing w:beforeLines="0" w:before="240" w:after="240"/>
        <w:rPr>
          <w:rFonts w:ascii="宋体" w:hAnsi="宋体"/>
          <w:szCs w:val="30"/>
        </w:rPr>
      </w:pPr>
      <w:bookmarkStart w:id="22" w:name="_Toc116553091"/>
      <w:r>
        <w:rPr>
          <w:rFonts w:ascii="Times New Roman" w:hAnsi="Times New Roman"/>
          <w:sz w:val="30"/>
        </w:rPr>
        <w:lastRenderedPageBreak/>
        <w:t>十九、风险揭示</w:t>
      </w:r>
      <w:bookmarkEnd w:id="22"/>
    </w:p>
    <w:p w14:paraId="465627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24668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本基金封闭期结束转为开放式运作后，在单个开放日基金的净赎回申请（赎回申请份额总数加上基金转换中转出申请份额总数后扣除申购申请份额总数及基金转换中转入申请份额总数后的余额）超过上一工作日基金总份额的百分之十时，投资人将可能无法及时赎回持有的全部基金份额。</w:t>
      </w:r>
    </w:p>
    <w:p w14:paraId="122C287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p>
    <w:p w14:paraId="431964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402AB1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0D8E9F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5C9499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基金管理人承诺以诚实信用、谨慎勤勉的原则管理和运用基金资产，但不保证投资于本基金一定盈利，也不保证最低收益。基金管理人管理的其他基金的业绩不</w:t>
      </w:r>
      <w:r>
        <w:rPr>
          <w:rFonts w:ascii="宋体" w:hAnsi="宋体"/>
          <w:sz w:val="24"/>
        </w:rPr>
        <w:lastRenderedPageBreak/>
        <w:t>构成对本基金业绩表现的保证。基金管理人提醒投资人基金投资的“买者自负”原则，在做出投资决策后，基金运营状况与基金净值变化引致的投资风险，由投资人自行负担。</w:t>
      </w:r>
    </w:p>
    <w:p w14:paraId="4BCEA54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51A7042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（一）市场风险</w:t>
      </w:r>
    </w:p>
    <w:p w14:paraId="0F5766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26FC3D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35CDC4A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31FD579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F16F6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F0BDA9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54CD62F7"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（二）管理风险</w:t>
      </w:r>
    </w:p>
    <w:p w14:paraId="665A79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7F78A3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（三）流动性风险</w:t>
      </w:r>
    </w:p>
    <w:p w14:paraId="2E7E638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因市场交易量不足，导致证券不能迅速、低成本地转变为现金的风险。流动性</w:t>
      </w:r>
      <w:r>
        <w:rPr>
          <w:rFonts w:ascii="宋体" w:hAnsi="宋体"/>
          <w:sz w:val="24"/>
        </w:rPr>
        <w:lastRenderedPageBreak/>
        <w:t>风险还包括由于本基金封闭期结束转为开放式运作后出现投资者大额或巨额赎回，致使本基金没有足够的现金应付基金赎回支付的要求所导致的风险和本基金在封闭期内无法赎回的风险，但本基金A类基金份额上市交易后，可通过二级市场进行份额转让。</w:t>
      </w:r>
    </w:p>
    <w:p w14:paraId="41BE16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348261D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基金合同生效后，前一年封闭运作，在封闭期内，本基金不办理申购、赎回业务，但投资人可在本基金A类基金份额上市交易后通过上海证券交易所转让A类基金份额。</w:t>
      </w:r>
    </w:p>
    <w:p w14:paraId="08F0ED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投资人方可进行A类/C类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14:paraId="1DD999A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在确定申购开始与赎回开始时间后，基金管理人应在申购、赎回开放日前依照《信息披露办法》的有关规定在规定媒介上公告申购与赎回的开始时间。</w:t>
      </w:r>
    </w:p>
    <w:p w14:paraId="3FE9474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736163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基金中基金，投资于公开募集证券投资基金的基金份额的资产不低于基金资产的80%，主要投资对象为具有良好流动性的金融工具，同时本基金基于分散投资的原则在行业和个券方面未有高集中度的特征，综合评估在正常市场环境下本基金的流动性风险适中。</w:t>
      </w:r>
    </w:p>
    <w:p w14:paraId="7A3DF7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36584EF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封闭期结束转为开放式运作后，在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74DA04F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（1）巨额赎回的场外处理方式</w:t>
      </w:r>
    </w:p>
    <w:p w14:paraId="6AFD4A2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12128C8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CA56F6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14:paraId="21AFBF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3）本基金如发生巨额赎回且单个开放日内单个基金份额持有人申请赎回的基金份额超过前一工作日的基金总份额的20%时，本基金管理人有权采取如下措施：</w:t>
      </w:r>
    </w:p>
    <w:p w14:paraId="6E48C56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78C9E15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73D7FB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3FD8B02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（2）巨额赎回的场内处理方式</w:t>
      </w:r>
    </w:p>
    <w:p w14:paraId="76E985E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77C1E2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6426B9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本基金在面临大规模赎回的情况下有可能因为无法变现造成流动性风险。</w:t>
      </w:r>
    </w:p>
    <w:p w14:paraId="3C9BB4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C6AEC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D0965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1C982F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156A065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1F823989"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（四）信用风险</w:t>
      </w:r>
    </w:p>
    <w:p w14:paraId="61E5EE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基金在交易过程中发生交收违约，或者基金所投资债券之发行人出现违约、拒绝支付到期本息，都可能导致基金资产损失和收益变化，从而产生风险。</w:t>
      </w:r>
    </w:p>
    <w:p w14:paraId="4D0AB4E3"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（五）本基金的特有风险</w:t>
      </w:r>
    </w:p>
    <w:p w14:paraId="2ECA3F4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1、基金上市交易的风险</w:t>
      </w:r>
    </w:p>
    <w:p w14:paraId="1FEB812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本基金A类基金份额在符合相关法律法规要求的前提下将申请在上海证券交易</w:t>
      </w:r>
      <w:r>
        <w:rPr>
          <w:rFonts w:ascii="宋体" w:hAnsi="宋体"/>
          <w:sz w:val="24"/>
        </w:rPr>
        <w:lastRenderedPageBreak/>
        <w:t>所挂牌上市，由于上市期间可能因信息披露导致基金停牌，投资者在停牌期间不能买卖本基金上市交易份额，产生风险；同时，可能因上市后交易对手不足而产生流动性风险。</w:t>
      </w:r>
    </w:p>
    <w:p w14:paraId="28C7A67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2、基金份额二级市场交易价格折溢价的风险</w:t>
      </w:r>
    </w:p>
    <w:p w14:paraId="0E4AEF0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本基金将通过有效的套利机制使A类基金份额二级市场交易价格的折溢价控制在一定范围内，但A类基金份额在证券交易所的交易价格受诸多因素影响，存在不同于A类基金份额净值的情形，即存在价格折溢价的风险。</w:t>
      </w:r>
    </w:p>
    <w:p w14:paraId="6BC02B9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46562AF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因本基金A类基金份额不再符合证券交易所上市条件被终止上市，或被基金份额持有人大会决议提前终止上市，导致A类基金份额不能继续进行二级市场交易的风险。</w:t>
      </w:r>
    </w:p>
    <w:p w14:paraId="72BADBD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一年之内（含一年）为封闭期，在此期间投资者不能申购、赎回基金份额，但可在A类基金份额上市交易后通过上海证券交易所转让A类基金份额。本基金封闭期结束转为开放式运作后，投资人方可进行A类/C类基金份额的申购与赎回。投资者将面临封闭期内无法赎回基金份额的风险。</w:t>
      </w:r>
    </w:p>
    <w:p w14:paraId="05906A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为混合型基金中基金，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因此本基金所持有的基金的业绩表现、持有基金的基金管理人水平等因素将影响到本基金的基金业绩表现。</w:t>
      </w:r>
    </w:p>
    <w:p w14:paraId="105733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7C5F71E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74A121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为基金中基金，本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14:paraId="647FC43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1497C09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10、本基金可投资创业板股票，创业板个股上市后的前五个交易日不设价格涨跌幅限制，第六个交易日开始涨跌幅限制比例为20%。</w:t>
      </w:r>
    </w:p>
    <w:p w14:paraId="1CC2FF79"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（六）投资资产支持证券的特定风险</w:t>
      </w:r>
    </w:p>
    <w:p w14:paraId="7FCF90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8E3E29C"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（七）投资流通受限证券的特定风险</w:t>
      </w:r>
    </w:p>
    <w:p w14:paraId="39796C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2384E66"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（八）基金合同提前终止风险</w:t>
      </w:r>
    </w:p>
    <w:p w14:paraId="4524542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连续50个工作日出现基金份额持有人数量不满200人或基金资产净值低于5000万元情形时，基金合同终止，不需召开基金份额持有人大会。</w:t>
      </w:r>
    </w:p>
    <w:p w14:paraId="1DBE3A3D"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（九）投资港股通标的股票的特定风险</w:t>
      </w:r>
    </w:p>
    <w:p w14:paraId="25CCF24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本基金可投资港股通标的股票，会面临港股通机制下因投资环境、投资标的、市场制度以及交易规则等差异带来的特有风险，具体如下：</w:t>
      </w:r>
    </w:p>
    <w:p w14:paraId="4276750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（1）港股交易失败风险</w:t>
      </w:r>
    </w:p>
    <w:p w14:paraId="5573E64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5A562B1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（2）汇率风险</w:t>
      </w:r>
    </w:p>
    <w:p w14:paraId="36C0613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0D5E032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6AAB9A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（3）境外市场的风险</w:t>
      </w:r>
    </w:p>
    <w:p w14:paraId="546352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017176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2）香港市场交易规则有别于内地A股市场规则，此外，在“内地与香港股票市场交易互联互通机制”下参与香港股票投资还将面临包括但不限于如下特殊风险：</w:t>
      </w:r>
    </w:p>
    <w:p w14:paraId="78E30B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a）香港市场实行T+0回转交易机制（即当日买入的股票，在交收前可以于当日卖出），且证券交易价格并无涨跌幅上下限的规定，因此每日涨跌幅空间相对较大，可能表现出比A股更为剧烈的股价波动；</w:t>
      </w:r>
    </w:p>
    <w:p w14:paraId="394DD3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w:t>
      </w:r>
      <w:r>
        <w:rPr>
          <w:rFonts w:ascii="宋体" w:hAnsi="宋体"/>
          <w:sz w:val="24"/>
        </w:rPr>
        <w:lastRenderedPageBreak/>
        <w:t>开市交易中集中体现市场反应而造成其价格波动骤然增大，进而导致本基金所持港股组合在资产估值上出现波动增大的风险；</w:t>
      </w:r>
    </w:p>
    <w:p w14:paraId="79B3D3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2D6568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73C2900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0A1C10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（4）本基金可根据投资策略需要或不同配置地市场环境的变化，选择将部分基金资产投资于港股或选择不将基金资产投资于港股，基金资产并非必然投资港股。</w:t>
      </w:r>
    </w:p>
    <w:p w14:paraId="71A8182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以上所述因素可能会给本基金投资带来特殊交易风险。</w:t>
      </w:r>
    </w:p>
    <w:p w14:paraId="58B467A3"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（十）投资科创板股票的特定风险</w:t>
      </w:r>
    </w:p>
    <w:p w14:paraId="1BF8CAA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32826A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（1）市场风险</w:t>
      </w:r>
    </w:p>
    <w:p w14:paraId="50365C0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5074686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14:paraId="1CD53F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3BE4CD4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53A3FE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555EA95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B92FC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40FD91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5AC1A69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5220E9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53A84DD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7ABE4CD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71971FAF"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（十一）投资存托凭证的特定风险</w:t>
      </w:r>
    </w:p>
    <w:p w14:paraId="4DA76A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AA78FD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9468E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14:paraId="22E47B80"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（十二）其他风险</w:t>
      </w:r>
    </w:p>
    <w:p w14:paraId="326299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BAE097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2EAEEE7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07FFB80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7842D79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3756159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7C8762B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70E352BB"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E9D621" w14:textId="77777777" w:rsidR="002609C9" w:rsidRDefault="000E6610">
      <w:pPr>
        <w:pStyle w:val="1"/>
        <w:snapToGrid w:val="0"/>
        <w:spacing w:beforeLines="0" w:before="240" w:after="240"/>
        <w:rPr>
          <w:rFonts w:ascii="宋体" w:hAnsi="宋体"/>
          <w:szCs w:val="30"/>
        </w:rPr>
      </w:pPr>
      <w:bookmarkStart w:id="23" w:name="_Toc116553092"/>
      <w:r>
        <w:rPr>
          <w:rFonts w:ascii="Times New Roman" w:hAnsi="Times New Roman"/>
          <w:sz w:val="30"/>
        </w:rPr>
        <w:lastRenderedPageBreak/>
        <w:t>二十、基金合同的变更、终止与基金财产的清算</w:t>
      </w:r>
      <w:bookmarkEnd w:id="23"/>
    </w:p>
    <w:p w14:paraId="34C8961E"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（一）《基金合同》的变更</w:t>
      </w:r>
    </w:p>
    <w:p w14:paraId="0E33C67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3521E6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14:paraId="3064EDFF"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（二）《基金合同》的终止事由</w:t>
      </w:r>
    </w:p>
    <w:p w14:paraId="2B0B194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63D61A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7D3D74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04F6AF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14:paraId="06AB899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7DCA7F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5C7D13CC"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（三）基金财产的清算</w:t>
      </w:r>
    </w:p>
    <w:p w14:paraId="456D53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E19C5B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DC1E87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62FF52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78167AD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1172B9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794E124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432052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9FDC2F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72E76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C727F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0F8A6C8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4C71B8A1"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（四）清算费用</w:t>
      </w:r>
    </w:p>
    <w:p w14:paraId="41C4C69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502667E"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（五）基金财产清算剩余资产的分配</w:t>
      </w:r>
    </w:p>
    <w:p w14:paraId="3822C3F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8C5C76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（六）基金财产清算的公告</w:t>
      </w:r>
    </w:p>
    <w:p w14:paraId="467FBC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D695476"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（七）基金财产清算账册及文件的保存</w:t>
      </w:r>
    </w:p>
    <w:p w14:paraId="3CD9FA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14:paraId="11604D5F"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684FCFF" w14:textId="77777777" w:rsidR="002609C9" w:rsidRDefault="000E6610">
      <w:pPr>
        <w:pStyle w:val="1"/>
        <w:snapToGrid w:val="0"/>
        <w:spacing w:beforeLines="0" w:before="240" w:after="240"/>
        <w:rPr>
          <w:rFonts w:ascii="宋体" w:hAnsi="宋体"/>
          <w:szCs w:val="30"/>
        </w:rPr>
      </w:pPr>
      <w:bookmarkStart w:id="24" w:name="_Toc116553093"/>
      <w:r>
        <w:rPr>
          <w:rFonts w:ascii="Times New Roman" w:hAnsi="Times New Roman"/>
          <w:sz w:val="30"/>
        </w:rPr>
        <w:lastRenderedPageBreak/>
        <w:t>二十一、基金合同内容摘要</w:t>
      </w:r>
      <w:bookmarkEnd w:id="24"/>
    </w:p>
    <w:p w14:paraId="26EA810E"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（一）基金份额持有人、基金管理人和基金托管人的权利与义务</w:t>
      </w:r>
    </w:p>
    <w:p w14:paraId="0D65B5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11EA16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5C74EF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0D1F3B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0230C2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2396B7A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680F6F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3337AA2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79874E8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56DD030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77CB4B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4D1329F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733F01C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533385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12）依照法律法规为基金的利益对被投资公司行使股东权利，为基金的利益行使因基金财产投资所产生的权利；</w:t>
      </w:r>
    </w:p>
    <w:p w14:paraId="7AA031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6EA677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035599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05F80BD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w:t>
      </w:r>
      <w:r>
        <w:rPr>
          <w:rFonts w:ascii="宋体" w:hAnsi="宋体"/>
          <w:sz w:val="24"/>
        </w:rPr>
        <w:lastRenderedPageBreak/>
        <w:t>回、转换等的业务规则；</w:t>
      </w:r>
    </w:p>
    <w:p w14:paraId="17EA9C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17）以基金管理人的名义，参与本基金持有的基金所召开的基金份额持有人大会；</w:t>
      </w:r>
    </w:p>
    <w:p w14:paraId="1E914DE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18）法律法规及中国证监会规定的和《基金合同》约定的其他权利。</w:t>
      </w:r>
    </w:p>
    <w:p w14:paraId="4766CC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DB6563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7175B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062586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68B7A0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6799ED5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5）建立健全内部风险控制、监察与稽核、财务管理及人事管理等制度，保证所管理的基金财产和基金管理人的财产相互独立，对所管理的不同基金分别管理，分别记账，进行证券、基金投资；</w:t>
      </w:r>
    </w:p>
    <w:p w14:paraId="173427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46E70E6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292165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0142D3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7BC734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24457DC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18F7040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576328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w:t>
      </w:r>
      <w:r>
        <w:rPr>
          <w:rFonts w:ascii="宋体" w:hAnsi="宋体"/>
          <w:sz w:val="24"/>
        </w:rPr>
        <w:lastRenderedPageBreak/>
        <w:t>配基金收益；</w:t>
      </w:r>
    </w:p>
    <w:p w14:paraId="1215EF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E91C7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698D6D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16）按规定保存基金财产管理业务活动的会计账册、报表、记录和其他相关资料不低于法律法规规定的最低期限；</w:t>
      </w:r>
    </w:p>
    <w:p w14:paraId="71A7E6E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51753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3D0ACE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62AB24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5AB165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627DD9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11549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78BDD40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57D03F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480DDD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56F13E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000323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1371F39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w:t>
      </w:r>
      <w:r>
        <w:rPr>
          <w:rFonts w:ascii="宋体" w:hAnsi="宋体"/>
          <w:sz w:val="24"/>
        </w:rPr>
        <w:lastRenderedPageBreak/>
        <w:t>但不限于：</w:t>
      </w:r>
    </w:p>
    <w:p w14:paraId="159AEB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7349A0F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6AB232C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152361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4）根据相关市场规则，为基金开设资金账户、证券账户、证券投资基金账户等投资所需账户，为基金办理基金、证券交易资金清算；</w:t>
      </w:r>
    </w:p>
    <w:p w14:paraId="59F1BC4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29D0411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355EC9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1057D24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142AEA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4D6C47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4E05687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084BF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3FB8FBC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36A0BFA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6）按规定开设基金财产的资金账户、证券账户、证券投资基金账户等投资所需账户，按照《基金合同》的约定，根据基金管理人的投资指令，及时办理清算、交割事宜；</w:t>
      </w:r>
    </w:p>
    <w:p w14:paraId="4FE5AE9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39674B1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8）复核、审查基金管理人计算的基金资产净值、基金份额净值、基金份额申购、赎回价格；</w:t>
      </w:r>
    </w:p>
    <w:p w14:paraId="4AB89DB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2786CE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9BBEC1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11）保存基金托管业务活动的记录、账册、报表和其他相关资料不低于法律法规规定的最低期限；</w:t>
      </w:r>
    </w:p>
    <w:p w14:paraId="395E65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756EDCB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3916F80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4137105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7879EE7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78BDE21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279728E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6D0907B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0E7939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B9D6E9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41A8FF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0B6D57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7CB6E7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w:t>
      </w:r>
      <w:r>
        <w:rPr>
          <w:rFonts w:ascii="宋体" w:hAnsi="宋体"/>
          <w:sz w:val="24"/>
        </w:rPr>
        <w:lastRenderedPageBreak/>
        <w:t>《基金合同》的当事人，直至其不再持有本基金的基金份额。基金份额持有人作为《基金合同》当事人并不以在《基金合同》上书面签章或签字为必要条件。</w:t>
      </w:r>
    </w:p>
    <w:p w14:paraId="0FE3329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1A17A0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176B53E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0B7D7A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67D882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3）依法并按照基金合同和招募说明书的规定转让或者申请赎回其持有的基金份额；</w:t>
      </w:r>
    </w:p>
    <w:p w14:paraId="780A136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3596AF0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70C4A4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2F665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018F230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6B406B3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215DC70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25A8C61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56C4077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395F596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9F520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6BDF55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71D862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154F9D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2A64EE6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D19C8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w:t>
      </w:r>
      <w:r>
        <w:rPr>
          <w:rFonts w:ascii="宋体" w:hAnsi="宋体"/>
          <w:sz w:val="24"/>
        </w:rPr>
        <w:lastRenderedPageBreak/>
        <w:t>则；</w:t>
      </w:r>
    </w:p>
    <w:p w14:paraId="6122E30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126CB04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6EB27B3D"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（二）基金份额持有人大会召集、议事及表决的程序和规则</w:t>
      </w:r>
    </w:p>
    <w:p w14:paraId="502EB3E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2AB81E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74844F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12F1D92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632441E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0101E0A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4013A84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4D2A93B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7570B69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5）调整基金管理人、基金托管人的报酬标准或提高销售服务费率；</w:t>
      </w:r>
    </w:p>
    <w:p w14:paraId="00193E5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6379126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36C2E25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6D72EA1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6C8A77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171DF8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11）终止基金份额上市，但因基金不再具备上市条件而被上海证券交易所终止上市的或基金合同另有约定的除外；</w:t>
      </w:r>
    </w:p>
    <w:p w14:paraId="73C39F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12）单独或合计持有本基金总份额10%以上（含10%）基金份额的基金份额持有人（以基金管理人收到提议当日的基金份额计算，下同）就同一事项书面要求召开基金份额持有人大会；</w:t>
      </w:r>
    </w:p>
    <w:p w14:paraId="32C0BD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13）对基金合同当事人权利和义务产生重大影响的其他事项；</w:t>
      </w:r>
    </w:p>
    <w:p w14:paraId="2743142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14）法律法规、《基金合同》或中国证监会规定的其他应当召开基金份额持有人大会的事项。</w:t>
      </w:r>
    </w:p>
    <w:p w14:paraId="5367E0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（2）在法律法规规定和《基金合同》约定的范围内且对基金份额持有人利益无实质性不利影响的前提下，以下情况可由基金管理人和基金托管人协商后修改，不需召开基金份额持有人大会：</w:t>
      </w:r>
    </w:p>
    <w:p w14:paraId="530CFC1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1）调低基金销售服务费率；</w:t>
      </w:r>
    </w:p>
    <w:p w14:paraId="342F01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0A6B99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3）在法律法规和《基金合同》规定的范围内调整本基金的申购费率、调低赎回费率、在对现有基金份额持有人利益无实质性不利影响的前提下变更收费方式；</w:t>
      </w:r>
    </w:p>
    <w:p w14:paraId="5CEFA0B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4）因相应的法律法规、上海证券交易所或登记机构的相关业务规则发生变动而应当对《基金合同》进行修改；</w:t>
      </w:r>
    </w:p>
    <w:p w14:paraId="6FF5D0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445AB1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665A9DC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3D63CB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8）在不违反法律法规及对基金份额持有人利益无实质性不利影响的前提下，基金管理人、登记机构、销售机构调整有关基金认购、申购、赎回、转换、收益分配、非交易过户、转托管、上市交易等业务的规则；</w:t>
      </w:r>
    </w:p>
    <w:p w14:paraId="3884245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40738B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（3）基金合同生效后的存续期内，若连续50个工作日出现基金份额持有人数量不满200人或者基金资产净值低于5000万元情形，基金合同终止，不需召开基金份额持有人大会。</w:t>
      </w:r>
    </w:p>
    <w:p w14:paraId="2BCA01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7FB768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3A3BC28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21A1C6D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w:t>
      </w:r>
      <w:r>
        <w:rPr>
          <w:rFonts w:ascii="宋体" w:hAnsi="宋体"/>
          <w:sz w:val="24"/>
        </w:rPr>
        <w:lastRenderedPageBreak/>
        <w:t>开；基金管理人决定不召集，基金托管人仍认为有必要召开的，应当由基金托管人自行召集，并自出具书面决定之日起60日内召开并告知基金管理人，基金管理人应当配合；</w:t>
      </w:r>
    </w:p>
    <w:p w14:paraId="56555F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42D2E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45418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941A7F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46D6641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14:paraId="29CB5FC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7A26852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32CEE8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46BC83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9021F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718A16D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599B387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32D2A2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5B582B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F6519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547DD3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7A36D46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4804A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B499C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37D5BF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2B3EBED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212B43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1）会议召集人按《基金合同》约定公布会议通知后，在2个工作日内连续公布相关提示性公告；</w:t>
      </w:r>
    </w:p>
    <w:p w14:paraId="13D89E9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8486D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D9625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42963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2CDF6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2789D8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2840D64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A695A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基金份额持有人大会的召集人发出召集会议的通知后，对原有提案的修改应当在基金份额持有人大会召开前及时公告。</w:t>
      </w:r>
    </w:p>
    <w:p w14:paraId="16C1D23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24AB64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5E29094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6756C7F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0742CF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91CBAB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4E335C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35DCA0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01BB6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223AC4D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39D367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13FDB2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9C688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基金份额持有人大会采取记名方式进行投票表决。</w:t>
      </w:r>
    </w:p>
    <w:p w14:paraId="205C9A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BA7D8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1138C8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4A638B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67EB6AF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D73E74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727BEB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706788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E4988A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60CA42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E01F6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2C6914F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w:t>
      </w:r>
      <w:r>
        <w:rPr>
          <w:rFonts w:ascii="宋体" w:hAnsi="宋体"/>
          <w:sz w:val="24"/>
        </w:rPr>
        <w:lastRenderedPageBreak/>
        <w:t>案。基金份额持有人大会的决议自表决通过之日起生效。法律法规另有规定的，从其规定。</w:t>
      </w:r>
    </w:p>
    <w:p w14:paraId="5656320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43CB13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60AEB2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2900E01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法律法规对于本基金参与本基金持有的基金召开基金份额持有人大会的程序或要求另有规定的，从其规定。</w:t>
      </w:r>
    </w:p>
    <w:p w14:paraId="21A08A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10、实施侧袋机制期间基金份额持有人大会的特殊约定</w:t>
      </w:r>
    </w:p>
    <w:p w14:paraId="26DDC09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43211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2FD597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30208CC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6BC5218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w:t>
      </w:r>
      <w:r>
        <w:rPr>
          <w:rFonts w:ascii="宋体" w:hAnsi="宋体"/>
          <w:sz w:val="24"/>
        </w:rPr>
        <w:lastRenderedPageBreak/>
        <w:t>应当有代表三分之一以上（含三分之一）相关基金份额的持有人参与或授权他人参与基金份额持有人大会投票；</w:t>
      </w:r>
    </w:p>
    <w:p w14:paraId="04A523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4E3F455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6C536E8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57C4D2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34C079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70F175A"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（三）基金合同解除和终止的事由、程序</w:t>
      </w:r>
    </w:p>
    <w:p w14:paraId="78FFC74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078C40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AA40A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（2）关于《基金合同》变更的基金份额持有人大会决议自生效后方可执行，自决议生效后依照《信息披露办法》的规定在规定媒介公告。</w:t>
      </w:r>
    </w:p>
    <w:p w14:paraId="723C96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956578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2069B7C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2BC3B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5A3B52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（3）连续50个工作日出现基金份额持有人数量不满200人或者基金资产净值低于5000万元情形的，基金合同终止，不需召开基金份额持有人大会；</w:t>
      </w:r>
    </w:p>
    <w:p w14:paraId="30CEA52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A2D5D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（5）相关法律法规和中国证监会规定的其他情况。</w:t>
      </w:r>
    </w:p>
    <w:p w14:paraId="3BF13D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30D9755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21767B1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95E0DC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84484D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47A9AA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52FB6AB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1239CFE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4EE916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5F0D263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67FD9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1CECFE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60B067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00407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15AE235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548F99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240380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356E681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679C12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w:t>
      </w:r>
      <w:r>
        <w:rPr>
          <w:rFonts w:ascii="宋体" w:hAnsi="宋体"/>
          <w:sz w:val="24"/>
        </w:rPr>
        <w:lastRenderedPageBreak/>
        <w:t>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974D73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427090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14:paraId="73768B4D"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（四）争议解决方式</w:t>
      </w:r>
    </w:p>
    <w:p w14:paraId="25CB09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794893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705AFCF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6DA81D65"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（五）基金合同存放及投资者取得基金合同的方式</w:t>
      </w:r>
    </w:p>
    <w:p w14:paraId="657CA16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《基金合同》正本一式三份，除上报有关监管机构一份外，基金管理人、基金托管人各持有一份，每份具有同等的法律效力。</w:t>
      </w:r>
    </w:p>
    <w:p w14:paraId="7948D40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w:t>
      </w:r>
    </w:p>
    <w:p w14:paraId="79FB8BD9"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2310CBA" w14:textId="77777777" w:rsidR="002609C9" w:rsidRDefault="000E6610">
      <w:pPr>
        <w:pStyle w:val="1"/>
        <w:snapToGrid w:val="0"/>
        <w:spacing w:beforeLines="0" w:before="240" w:after="240"/>
        <w:rPr>
          <w:rFonts w:ascii="宋体" w:hAnsi="宋体"/>
          <w:szCs w:val="30"/>
        </w:rPr>
      </w:pPr>
      <w:bookmarkStart w:id="25" w:name="_Toc116553094"/>
      <w:r>
        <w:rPr>
          <w:rFonts w:ascii="Times New Roman" w:hAnsi="Times New Roman"/>
          <w:sz w:val="30"/>
        </w:rPr>
        <w:lastRenderedPageBreak/>
        <w:t>二十二、托管协议的内容摘要</w:t>
      </w:r>
      <w:bookmarkEnd w:id="25"/>
    </w:p>
    <w:p w14:paraId="6EC21003"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（一）托管协议当事人</w:t>
      </w:r>
    </w:p>
    <w:p w14:paraId="25ED382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188F195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4CBDFC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C5549A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EF6B25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925131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E5B395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1CB4B2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5B29F89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7431810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2A30E0A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0268C1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51D8C45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03F024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2EAAA5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邮政编码：100033</w:t>
      </w:r>
    </w:p>
    <w:p w14:paraId="63AA764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1D88CEA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成立日期：1992年6月18日</w:t>
      </w:r>
    </w:p>
    <w:p w14:paraId="246C810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719E07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56887D0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注册资本：466.79095亿元人民币</w:t>
      </w:r>
    </w:p>
    <w:p w14:paraId="4D30AB7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F2DCF3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基金托管资格批文及文号：中国证监会证监基金字[2002]75号</w:t>
      </w:r>
    </w:p>
    <w:p w14:paraId="7B74320B"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（二）基金托管人对基金管理人的业务监督和核查</w:t>
      </w:r>
    </w:p>
    <w:p w14:paraId="33B0DCD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p>
    <w:p w14:paraId="2315D0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基金托管人根据有关法律法规的规定及基金合同的约定，对基金投资范围、投资比例进行监督。</w:t>
      </w:r>
    </w:p>
    <w:p w14:paraId="16E6937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本基金的投资范围为具有良好流动性的金融工具，包括经中国证监会依法核准</w:t>
      </w:r>
      <w:r>
        <w:rPr>
          <w:rFonts w:ascii="宋体" w:hAnsi="宋体"/>
          <w:sz w:val="24"/>
        </w:rPr>
        <w:lastRenderedPageBreak/>
        <w:t>或注册的公开募集证券投资基金（含ETF和LOF、香港互认基金，不含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26B316D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管理人在首次投资港股通前，需通知托管人相关投资事宜。</w:t>
      </w:r>
    </w:p>
    <w:p w14:paraId="3F80FAB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521E53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14:paraId="7072A75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14:paraId="798A26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43F7706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2、基金托管人根据有关法律法规的规定及基金合同的约定，对基金投资比例进行监督。基金托管人按下述比例和调整期限进行监督：</w:t>
      </w:r>
    </w:p>
    <w:p w14:paraId="06A021D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w:t>
      </w:r>
      <w:r>
        <w:rPr>
          <w:rFonts w:ascii="宋体" w:hAnsi="宋体"/>
          <w:sz w:val="24"/>
        </w:rPr>
        <w:lastRenderedPageBreak/>
        <w:t>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14:paraId="4840248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14:paraId="5FC72C6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（3）本基金持有单只基金的市值，不得高于本基金资产净值的20%，且不得持有其他基金中基金；</w:t>
      </w:r>
    </w:p>
    <w:p w14:paraId="770077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（4）本基金管理人管理的全部基金（除ETF联接基金外）持有单只基金不得超过被投资基金净资产的20%，被投资基金净资产规模以最近定期报告披露的规模为准；</w:t>
      </w:r>
    </w:p>
    <w:p w14:paraId="680055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（5）本基金不得持有具有复杂、衍生品性质的基金份额，包括分级基金和中国证监会认定的其他基金份额；</w:t>
      </w:r>
    </w:p>
    <w:p w14:paraId="6FDFD67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（6）本基金投资其他基金时，被投资基金的运作期限不少于1年、最近定期报告披露的基金净资产应当不低于1亿元；</w:t>
      </w:r>
    </w:p>
    <w:p w14:paraId="7933B34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（7）本基金封闭期结束转为开放式运作后，投资于封闭运作基金、定期开放基金等流通受限基金的，其公允价值不得超过本基金资产净值的10%；</w:t>
      </w:r>
    </w:p>
    <w:p w14:paraId="4F7184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（8）基金管理人运用本基金财产投资于股票、债券等金融工具的，投资品种和比例应当符合本基金的投资目标和投资策略；</w:t>
      </w:r>
    </w:p>
    <w:p w14:paraId="50E30DA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（9）本基金持有一家公司发行的证券（同一家公司在内地和香港同时上市的A+H股合并计算，不含本基金所投资的基金份额），其市值不超过基金资产净值的10%；</w:t>
      </w:r>
    </w:p>
    <w:p w14:paraId="318EDAD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14:paraId="506D4B0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w:t>
      </w:r>
      <w:r>
        <w:rPr>
          <w:rFonts w:ascii="宋体" w:hAnsi="宋体"/>
          <w:sz w:val="24"/>
        </w:rPr>
        <w:lastRenderedPageBreak/>
        <w:t>股票，不得超过该上市公司可流通股票的30%；完全按照有关指数的构成比例进行证券投资的开放式基金以及中国证监会认定的特殊投资组合可不受前述比例限制；</w:t>
      </w:r>
    </w:p>
    <w:p w14:paraId="0BE45A3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封闭期结束转为开放式运作后，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5265771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14:paraId="1996DDB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（14）本基金投资于同一原始权益人的各类资产支持证券的比例，不得超过基金资产净值的10%；</w:t>
      </w:r>
    </w:p>
    <w:p w14:paraId="4BC565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（15）本基金持有的全部资产支持证券，其市值不得超过基金资产净值的20%；</w:t>
      </w:r>
    </w:p>
    <w:p w14:paraId="6ED25CD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（16）本基金持有的同一（指同一信用级别）资产支持证券的比例，不得超过该资产支持证券规模的10%；</w:t>
      </w:r>
    </w:p>
    <w:p w14:paraId="1740C9C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（17）本基金管理人管理的全部基金投资于同一原始权益人的各类资产支持证券，不得超过其各类资产支持证券合计规模的10%；</w:t>
      </w:r>
    </w:p>
    <w:p w14:paraId="2B897BC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（18）本基金应投资于信用级别评级为BBB以上（含BBB）的资产支持证券。基金持有资产支持证券期间，如果其信用等级下降、不再符合投资标准，应在评级报告发布之日起3个月内予以全部卖出；</w:t>
      </w:r>
    </w:p>
    <w:p w14:paraId="545E931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（19）基金财产参与股票发行申购，本基金所申报的金额不超过本基金的总资产，本基金所申报的股票数量不超过拟发行股票公司本次发行股票的总量；</w:t>
      </w:r>
    </w:p>
    <w:p w14:paraId="4B3E386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封闭期内，本基金债券正回购资金余额或逆回购资金余额不得超过其上一日基金资产净值的100%；本基金封闭期结束转为开放式运作后，本基金债券正回购资金余额或逆回购资金余额不得超过其上一日基金资产净值的 40%。本基金进入全国银行间同业市场进行债券回购的最长期限为1年，债券回购到期后不得展期；</w:t>
      </w:r>
    </w:p>
    <w:p w14:paraId="2D0730E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（21）封闭期内，本基金资产总值不得超过基金资产净值的200%；本基金封闭期结束转为开放式运作后，基金资产总值不得超过基金资产净值的140%；</w:t>
      </w:r>
    </w:p>
    <w:p w14:paraId="07EB9AB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14:paraId="749BD41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（23）本基金投资于货币市场基金的比例不得超过基金资产的15%；</w:t>
      </w:r>
    </w:p>
    <w:p w14:paraId="1924869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（24）法律法规及中国证监会规定的和《基金合同》约定的其他投资限制。</w:t>
      </w:r>
    </w:p>
    <w:p w14:paraId="294C42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12）项、第（13）项及第（18）项以外的其他情形，基金管理人应当在10个交易日内进行调整，但中国证监会规定的特殊情形除外。法律法规另有规定的，从其规定。</w:t>
      </w:r>
    </w:p>
    <w:p w14:paraId="6D8D9A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C71B9A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61ECFB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3、基金托管人根据有关法律法规的规定及基金合同的约定，对本托管协议第十五条第（十二）款基金投资禁止行为进行监督。</w:t>
      </w:r>
    </w:p>
    <w:p w14:paraId="5B8060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6709F9E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04C60FE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w:t>
      </w:r>
    </w:p>
    <w:p w14:paraId="3D5DE99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w:t>
      </w:r>
      <w:r>
        <w:rPr>
          <w:rFonts w:ascii="宋体" w:hAnsi="宋体"/>
          <w:sz w:val="24"/>
        </w:rPr>
        <w:lastRenderedPageBreak/>
        <w:t>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56D70E4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134CDF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5、基金托管人根据有关法律法规的规定及基金合同的约定，对基金投资流通受限证券进行监督。</w:t>
      </w:r>
    </w:p>
    <w:p w14:paraId="0720E30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（1）基金投资流通受限证券，应遵守《关于基金投资非公开发行股票等流通受限证券有关问题的通知》等有关法律法规规定。</w:t>
      </w:r>
    </w:p>
    <w:p w14:paraId="13B13B0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1329F6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5E1A627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14:paraId="35419CC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w:t>
      </w:r>
      <w:r>
        <w:rPr>
          <w:rFonts w:ascii="宋体" w:hAnsi="宋体"/>
          <w:sz w:val="24"/>
        </w:rPr>
        <w:lastRenderedPageBreak/>
        <w:t>通受限证券市值占基金资产净值的比例、划款账号、划款金额、划款时间文件等。基金管理人应保证上述信息的真实、完整。</w:t>
      </w:r>
    </w:p>
    <w:p w14:paraId="3128FED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0CC5A24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在基金投资非公开发行股票后两个交易日内，在中国证监会规定媒介披露所投资非公开发行股票的名称、数量、总成本、账面价值，以及总成本和账面价值占基金资产净值的比例、锁定期等信息。</w:t>
      </w:r>
    </w:p>
    <w:p w14:paraId="14EF30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在力所能及的范围内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371C97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w:t>
      </w:r>
      <w:r>
        <w:rPr>
          <w:rFonts w:ascii="宋体" w:hAnsi="宋体"/>
          <w:sz w:val="24"/>
        </w:rPr>
        <w:lastRenderedPageBreak/>
        <w:t>制之外的资产不承担保管责任。跨行定期存款账户的预留印鉴为基金托管人托管业务专用章与托管业务授权人名章。</w:t>
      </w:r>
    </w:p>
    <w:p w14:paraId="5EE9CC7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A56075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14:paraId="61635B3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8、基金托管人发现基金管理人的上述事项及投资指令或实际投资运作违反法律法规、基金合同和本托管协议的规定，应及时以电话提醒或书面提示等方式通知基金管理人限期纠正。</w:t>
      </w:r>
    </w:p>
    <w:p w14:paraId="3BAFD81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40225F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w:t>
      </w:r>
    </w:p>
    <w:p w14:paraId="4177BB1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29504D7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10、若基金托管人发现基金管理人依据交易程序已经生效的指令违反法律、行政法规和其他有关规定，或者违反基金合同约定的，应当立即通知基金管理人。</w:t>
      </w:r>
    </w:p>
    <w:p w14:paraId="08B7F93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11、基金托管人发现基金管理人有重大违规行为，应及时报告中国证监会，同时通知基金管理人限期纠正，并将纠正结果报告中国证监会。</w:t>
      </w:r>
    </w:p>
    <w:p w14:paraId="14DF7A0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基金管理人无正当理由，拒绝、阻挠对方根据本托管协议规定行使监督权，或采取拖延、欺诈等手段妨碍对方进行有效监督，情节严重或经基金托管人提出警告</w:t>
      </w:r>
      <w:r>
        <w:rPr>
          <w:rFonts w:ascii="宋体" w:hAnsi="宋体"/>
          <w:sz w:val="24"/>
        </w:rPr>
        <w:lastRenderedPageBreak/>
        <w:t>仍不改正的，基金托管人应报告中国证监会。</w:t>
      </w:r>
    </w:p>
    <w:p w14:paraId="5C5A603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12、侧袋机制的实施和投资运作安排</w:t>
      </w:r>
    </w:p>
    <w:p w14:paraId="12295AB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78934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侧袋机制实施期间，本部分约定的投资组合比例、组合限制等约定仅适用于主袋账户。</w:t>
      </w:r>
    </w:p>
    <w:p w14:paraId="45A2C60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侧袋账户的实施条件、实施程序、运作安排、投资安排、特定资产的处置变现和支付等对投资者权益有重大影响的事项详见招募说明书的规定。</w:t>
      </w:r>
    </w:p>
    <w:p w14:paraId="10942981"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（三）基金管理人对基金托管人的业务核查</w:t>
      </w:r>
    </w:p>
    <w:p w14:paraId="1F08F25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证券投资基金账户以及投资所需的其他专用账户、复核基金管理人计算的各类基金份额的基金资产净值和基金份额净值、根据基金管理人指令办理清算交收、相关信息披露和监督基金投资运作等行为。</w:t>
      </w:r>
    </w:p>
    <w:p w14:paraId="35468B9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6E66D7D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73D3E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w:t>
      </w:r>
    </w:p>
    <w:p w14:paraId="4894718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01D3F53B"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（四）基金财产的保管</w:t>
      </w:r>
    </w:p>
    <w:p w14:paraId="3B7379D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1、基金财产保管的原则</w:t>
      </w:r>
    </w:p>
    <w:p w14:paraId="58167A7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7165D32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6A62F69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（3）基金托管人按照规定开设基金财产的资金账户、证券账户、证券投资基金账户以及投资所需的其他专用账户；</w:t>
      </w:r>
    </w:p>
    <w:p w14:paraId="719A83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4FB689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28BC36F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5796607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3EFFF69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7CA5047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（1）基金募集期间募集的资金应存于基金管理人开立的“基金募集专户”。该账户由基金管理人开立并管理。</w:t>
      </w:r>
    </w:p>
    <w:p w14:paraId="61A9D0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4AC00F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（3）若基金募集期限届满或基金停止募集时，未能达到基金合同生效的条件，由基金管理人按规定办理退款等事宜，基金托管人应提供充分协助。</w:t>
      </w:r>
    </w:p>
    <w:p w14:paraId="4515E2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w:t>
      </w:r>
    </w:p>
    <w:p w14:paraId="73943B4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（1）基金托管人以基金的名义在其营业机构开设基金托管专户，保管基金的银行存款。本基金的一切货币收支活动，包括但不限于投资、支付赎回金额、支付</w:t>
      </w:r>
      <w:r>
        <w:rPr>
          <w:rFonts w:ascii="宋体" w:hAnsi="宋体"/>
          <w:sz w:val="24"/>
        </w:rPr>
        <w:lastRenderedPageBreak/>
        <w:t>基金收益、收取申购款，均需通过基金托管专户进行。</w:t>
      </w:r>
    </w:p>
    <w:p w14:paraId="18B246A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0A4DD2F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（3）基金托管专户的开立和管理应符合有关法律法规以及银行业监督管理机构的其他有关规定。</w:t>
      </w:r>
    </w:p>
    <w:p w14:paraId="66A3BE4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32C679A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03353AA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C17193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0D2F2DF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66027B0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0836746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5、银行间债券托管专户的开设和管理</w:t>
      </w:r>
    </w:p>
    <w:p w14:paraId="2C1CDB2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14:paraId="6A1130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308EDD4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3CC875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法律法规等有关规定对相关账户的开立和管理另有规定的，从其规定办理。</w:t>
      </w:r>
    </w:p>
    <w:p w14:paraId="087139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7AC6FB0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3E98360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705D43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不低于法律法规规定的最低期限。</w:t>
      </w:r>
    </w:p>
    <w:p w14:paraId="4504647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对于无法取得二份以上正本的，基金管理人应向基金托管人提供与合同原件核对一致的加盖公章的合同传真件或复印件，未经双方协商一致或未在合同约定范围内，合同原件不得转移。</w:t>
      </w:r>
    </w:p>
    <w:p w14:paraId="54901DFF"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（五）基金资产净值计算与复核</w:t>
      </w:r>
    </w:p>
    <w:p w14:paraId="37DBB2E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026A2328"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基金资产净值是指基金资产总值减去负债后的价值。各类基金份额净值是指计算日该类基金资产净值除以计算日该类基金份额总数后的数值。</w:t>
      </w:r>
    </w:p>
    <w:p w14:paraId="3CD3589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各类基金份额的基金份额净值是按照每个估值日，基金资产净值除以当日该类</w:t>
      </w:r>
      <w:r>
        <w:rPr>
          <w:rFonts w:ascii="宋体" w:hAnsi="宋体"/>
          <w:sz w:val="24"/>
        </w:rPr>
        <w:lastRenderedPageBreak/>
        <w:t>估值日基金份额的余额数量计算，精确到0.0001元，小数点后第5位四舍五入。基金管理人可以设立大额赎回情形下的净值精度应急调整机制，具体可参见相关公告。国家另有规定的，从其规定。</w:t>
      </w:r>
    </w:p>
    <w:p w14:paraId="12FABFB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基金管理人于每个工作日分别计算A类基金份额、C类基金份额的基金资产净值及基金份额净值，并按规定公告。如遇特殊情况，经履行适当程序，可以适当延迟计算或公告。</w:t>
      </w:r>
    </w:p>
    <w:p w14:paraId="3899FA6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0627B48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3C4595F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4969598"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（六）基金份额持有人名册的保管</w:t>
      </w:r>
    </w:p>
    <w:p w14:paraId="2FF5CDE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低于法律法规规定的最低期限。如不能妥善保管，则按相关法规承担责任。</w:t>
      </w:r>
    </w:p>
    <w:p w14:paraId="03E8B6B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11B55861"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（七）争议解决方式</w:t>
      </w:r>
    </w:p>
    <w:p w14:paraId="750C3DE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双方当事人同意，因基金合同及本协议而产生的或与基金合同或本协议有关的一切争议，如经友好协商未能解决的，任何一方均有权将争议提交中国国际经济贸</w:t>
      </w:r>
      <w:r>
        <w:rPr>
          <w:rFonts w:ascii="宋体" w:hAnsi="宋体"/>
          <w:sz w:val="24"/>
        </w:rPr>
        <w:lastRenderedPageBreak/>
        <w:t>易仲裁委员会，按照该会届时有效的仲裁规则进行仲裁。仲裁地点为北京市。仲裁裁决是终局的，对双方当事人均有约束力，仲裁费用由败诉方承担，除非仲裁裁决另有规定。</w:t>
      </w:r>
    </w:p>
    <w:p w14:paraId="71B0B23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22B2EC3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本协议受中国法律（不含港澳台地区法律）管辖并从其解释。</w:t>
      </w:r>
    </w:p>
    <w:p w14:paraId="451BA40F"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（八）托管协议的变更与终止</w:t>
      </w:r>
    </w:p>
    <w:p w14:paraId="5071BD3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3676060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14:paraId="68D158A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14:paraId="4244293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4BEEBFB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213D659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4B6EF55F"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7AC81B18"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9C462E6" w14:textId="77777777" w:rsidR="002609C9" w:rsidRDefault="000E6610">
      <w:pPr>
        <w:pStyle w:val="1"/>
        <w:snapToGrid w:val="0"/>
        <w:spacing w:beforeLines="0" w:before="240" w:after="240"/>
        <w:rPr>
          <w:rFonts w:ascii="宋体" w:hAnsi="宋体"/>
          <w:szCs w:val="30"/>
        </w:rPr>
      </w:pPr>
      <w:bookmarkStart w:id="26" w:name="_Toc116553095"/>
      <w:r>
        <w:rPr>
          <w:rFonts w:ascii="Times New Roman" w:hAnsi="Times New Roman"/>
          <w:sz w:val="30"/>
        </w:rPr>
        <w:lastRenderedPageBreak/>
        <w:t>二十三、对基金份额持有人的服务</w:t>
      </w:r>
      <w:bookmarkEnd w:id="26"/>
    </w:p>
    <w:p w14:paraId="2E13031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2A69AA7F"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（一）持有人交易资料的寄送服务</w:t>
      </w:r>
    </w:p>
    <w:p w14:paraId="32BEA5A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56E4BCA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2025F7C2"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（二）网上直销服务</w:t>
      </w:r>
    </w:p>
    <w:p w14:paraId="6B9EA3F1"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w:t>
      </w:r>
    </w:p>
    <w:p w14:paraId="400445E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7EFB1B7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14:paraId="02598EEF"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（三）信息咨询、查询服务</w:t>
      </w:r>
    </w:p>
    <w:p w14:paraId="40CD0D1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157CE46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73535693"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5F2D3BB6"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（四）基金红利再投资</w:t>
      </w:r>
    </w:p>
    <w:p w14:paraId="6558AE2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w:t>
      </w:r>
      <w:r>
        <w:rPr>
          <w:rFonts w:ascii="宋体" w:hAnsi="宋体" w:hint="eastAsia"/>
          <w:sz w:val="24"/>
        </w:rPr>
        <w:t>相应</w:t>
      </w:r>
      <w:r>
        <w:rPr>
          <w:rFonts w:ascii="宋体" w:hAnsi="宋体"/>
          <w:sz w:val="24"/>
        </w:rPr>
        <w:t>类别的基金份额进行再投资，若投资人不选择，本基金默认的收益分配方式是现金分红；</w:t>
      </w:r>
      <w:r>
        <w:rPr>
          <w:rFonts w:hint="eastAsia"/>
          <w:kern w:val="0"/>
          <w:sz w:val="24"/>
        </w:rPr>
        <w:t>登记在基金份额持有人上海证券账户下的</w:t>
      </w:r>
      <w:r>
        <w:rPr>
          <w:rFonts w:hint="eastAsia"/>
          <w:kern w:val="0"/>
          <w:sz w:val="24"/>
        </w:rPr>
        <w:t>A</w:t>
      </w:r>
      <w:r>
        <w:rPr>
          <w:rFonts w:hint="eastAsia"/>
          <w:kern w:val="0"/>
          <w:sz w:val="24"/>
        </w:rPr>
        <w:t>类基金份额，只能选择现金分红的方式，具体权益分配程序等有关事项遵循上海证</w:t>
      </w:r>
      <w:r>
        <w:rPr>
          <w:rFonts w:hint="eastAsia"/>
          <w:kern w:val="0"/>
          <w:sz w:val="24"/>
        </w:rPr>
        <w:lastRenderedPageBreak/>
        <w:t>券交易所及中国证券登记结算有限责任公司的相关规定。</w:t>
      </w:r>
      <w:r>
        <w:rPr>
          <w:rFonts w:ascii="宋体" w:hAnsi="宋体"/>
          <w:sz w:val="24"/>
        </w:rPr>
        <w:t>再投资红利按红利再投日（即除息日）除息后的基金份额净值自动转为基金份额，并免收申购费用。</w:t>
      </w:r>
    </w:p>
    <w:p w14:paraId="161CE8E1"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（五）定期定额投资计划</w:t>
      </w:r>
    </w:p>
    <w:p w14:paraId="6E1EBEC0"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待技术条件成熟时，基金管理人可通过销售机构为投资人提供定期定额投资的服务。通过定期定额投资计划，投资人可以定期定额申购基金份额，具体实施方法另行公告。</w:t>
      </w:r>
    </w:p>
    <w:p w14:paraId="2C88C2B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15A3913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3F06F2E7"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8A14E6E"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2F4A828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587DD067" w14:textId="77777777" w:rsidR="002609C9" w:rsidRDefault="000E661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14:paraId="6DB0E013"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911EE1" w14:textId="77777777" w:rsidR="002609C9" w:rsidRDefault="000E6610">
      <w:pPr>
        <w:pStyle w:val="1"/>
        <w:snapToGrid w:val="0"/>
        <w:spacing w:beforeLines="0" w:before="240" w:after="240"/>
        <w:rPr>
          <w:rFonts w:ascii="宋体" w:hAnsi="宋体"/>
          <w:szCs w:val="30"/>
        </w:rPr>
      </w:pPr>
      <w:bookmarkStart w:id="27" w:name="_Toc116553096"/>
      <w:r>
        <w:rPr>
          <w:rFonts w:ascii="Times New Roman" w:hAnsi="Times New Roman"/>
          <w:sz w:val="30"/>
        </w:rPr>
        <w:lastRenderedPageBreak/>
        <w:t>二十四、其他应披露事项</w:t>
      </w:r>
      <w:bookmarkEnd w:id="27"/>
    </w:p>
    <w:p w14:paraId="1B5A7FD2"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2609C9" w14:paraId="04BC82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E66C35"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7D2340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7623A7D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50EBE4F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2609C9" w14:paraId="740C43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F196A2"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52CA13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14:paraId="3C32799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6EE320"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2021-09-29</w:t>
            </w:r>
          </w:p>
        </w:tc>
      </w:tr>
      <w:tr w:rsidR="002609C9" w14:paraId="5C732D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97AEE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71D7D8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基金合同及招募说明书提示性公告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164906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05D2C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2021-09-29</w:t>
            </w:r>
          </w:p>
        </w:tc>
      </w:tr>
      <w:tr w:rsidR="002609C9" w14:paraId="753A25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A7423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0A49A4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35BEEB7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85BCFA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2021-09-29</w:t>
            </w:r>
          </w:p>
        </w:tc>
      </w:tr>
      <w:tr w:rsidR="002609C9" w14:paraId="6B00EE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CE5429"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07F78F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）基金合同摘要</w:t>
            </w:r>
          </w:p>
        </w:tc>
        <w:tc>
          <w:tcPr>
            <w:tcW w:w="750" w:type="pct"/>
            <w:tcBorders>
              <w:top w:val="single" w:sz="4" w:space="0" w:color="auto"/>
              <w:left w:val="single" w:sz="4" w:space="0" w:color="auto"/>
              <w:bottom w:val="single" w:sz="4" w:space="0" w:color="auto"/>
              <w:right w:val="single" w:sz="4" w:space="0" w:color="auto"/>
            </w:tcBorders>
            <w:vAlign w:val="center"/>
          </w:tcPr>
          <w:p w14:paraId="455188C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F938B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2021-09-29</w:t>
            </w:r>
          </w:p>
        </w:tc>
      </w:tr>
      <w:tr w:rsidR="002609C9" w14:paraId="00063B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DA503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B44134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5DA4D865"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80E84B8"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2021-09-29</w:t>
            </w:r>
          </w:p>
        </w:tc>
      </w:tr>
      <w:tr w:rsidR="002609C9" w14:paraId="09B535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17CC0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DFB6E0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）招募说明书</w:t>
            </w:r>
          </w:p>
        </w:tc>
        <w:tc>
          <w:tcPr>
            <w:tcW w:w="750" w:type="pct"/>
            <w:tcBorders>
              <w:top w:val="single" w:sz="4" w:space="0" w:color="auto"/>
              <w:left w:val="single" w:sz="4" w:space="0" w:color="auto"/>
              <w:bottom w:val="single" w:sz="4" w:space="0" w:color="auto"/>
              <w:right w:val="single" w:sz="4" w:space="0" w:color="auto"/>
            </w:tcBorders>
            <w:vAlign w:val="center"/>
          </w:tcPr>
          <w:p w14:paraId="41B9EF1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5160B1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2021-09-29</w:t>
            </w:r>
          </w:p>
        </w:tc>
      </w:tr>
      <w:tr w:rsidR="002609C9" w14:paraId="67958A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D21A7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24CF13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7CCF6DA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AD835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2021-09-29</w:t>
            </w:r>
          </w:p>
        </w:tc>
      </w:tr>
      <w:tr w:rsidR="002609C9" w14:paraId="31EDBA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FDE2D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CF4D4D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7795D12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985ED4F"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2021-09-29</w:t>
            </w:r>
          </w:p>
        </w:tc>
      </w:tr>
      <w:tr w:rsidR="002609C9" w14:paraId="0ACF90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0F1F3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72C4A88"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93411E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DA0BF1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2021-10-20</w:t>
            </w:r>
          </w:p>
        </w:tc>
      </w:tr>
      <w:tr w:rsidR="002609C9" w14:paraId="207E05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F4B73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62257F69"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）延长募集期限的公告</w:t>
            </w:r>
          </w:p>
        </w:tc>
        <w:tc>
          <w:tcPr>
            <w:tcW w:w="750" w:type="pct"/>
            <w:tcBorders>
              <w:top w:val="single" w:sz="4" w:space="0" w:color="auto"/>
              <w:left w:val="single" w:sz="4" w:space="0" w:color="auto"/>
              <w:bottom w:val="single" w:sz="4" w:space="0" w:color="auto"/>
              <w:right w:val="single" w:sz="4" w:space="0" w:color="auto"/>
            </w:tcBorders>
            <w:vAlign w:val="center"/>
          </w:tcPr>
          <w:p w14:paraId="5395D575"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2ABC13"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2021-10-28</w:t>
            </w:r>
          </w:p>
        </w:tc>
      </w:tr>
      <w:tr w:rsidR="002609C9" w14:paraId="2E92CC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99C59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2F3D68A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）可投资科创板股票的公告</w:t>
            </w:r>
          </w:p>
        </w:tc>
        <w:tc>
          <w:tcPr>
            <w:tcW w:w="750" w:type="pct"/>
            <w:tcBorders>
              <w:top w:val="single" w:sz="4" w:space="0" w:color="auto"/>
              <w:left w:val="single" w:sz="4" w:space="0" w:color="auto"/>
              <w:bottom w:val="single" w:sz="4" w:space="0" w:color="auto"/>
              <w:right w:val="single" w:sz="4" w:space="0" w:color="auto"/>
            </w:tcBorders>
            <w:vAlign w:val="center"/>
          </w:tcPr>
          <w:p w14:paraId="61E496B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978138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2021-11-11</w:t>
            </w:r>
          </w:p>
        </w:tc>
      </w:tr>
      <w:tr w:rsidR="002609C9" w14:paraId="072F07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C9D615"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6A26CC6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）基金合同生效公告</w:t>
            </w:r>
          </w:p>
        </w:tc>
        <w:tc>
          <w:tcPr>
            <w:tcW w:w="750" w:type="pct"/>
            <w:tcBorders>
              <w:top w:val="single" w:sz="4" w:space="0" w:color="auto"/>
              <w:left w:val="single" w:sz="4" w:space="0" w:color="auto"/>
              <w:bottom w:val="single" w:sz="4" w:space="0" w:color="auto"/>
              <w:right w:val="single" w:sz="4" w:space="0" w:color="auto"/>
            </w:tcBorders>
            <w:vAlign w:val="center"/>
          </w:tcPr>
          <w:p w14:paraId="6D7B7C8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5653856"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2021-11-11</w:t>
            </w:r>
          </w:p>
        </w:tc>
      </w:tr>
      <w:tr w:rsidR="002609C9" w14:paraId="3733CE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37B019"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1D6B7F7C"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w:t>
            </w:r>
            <w:r>
              <w:rPr>
                <w:rFonts w:ascii="Times New Roman" w:hAnsi="Times New Roman"/>
                <w:color w:val="000000"/>
                <w:kern w:val="0"/>
                <w:sz w:val="25"/>
                <w:szCs w:val="24"/>
              </w:rPr>
              <w:t>A</w:t>
            </w:r>
            <w:r>
              <w:rPr>
                <w:rFonts w:ascii="Times New Roman" w:hAnsi="Times New Roman"/>
                <w:color w:val="000000"/>
                <w:kern w:val="0"/>
                <w:sz w:val="25"/>
                <w:szCs w:val="24"/>
              </w:rPr>
              <w:t>类基金份额上市交易公告书</w:t>
            </w:r>
          </w:p>
        </w:tc>
        <w:tc>
          <w:tcPr>
            <w:tcW w:w="750" w:type="pct"/>
            <w:tcBorders>
              <w:top w:val="single" w:sz="4" w:space="0" w:color="auto"/>
              <w:left w:val="single" w:sz="4" w:space="0" w:color="auto"/>
              <w:bottom w:val="single" w:sz="4" w:space="0" w:color="auto"/>
              <w:right w:val="single" w:sz="4" w:space="0" w:color="auto"/>
            </w:tcBorders>
            <w:vAlign w:val="center"/>
          </w:tcPr>
          <w:p w14:paraId="400667B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0C52BF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2021-11-16</w:t>
            </w:r>
          </w:p>
        </w:tc>
      </w:tr>
      <w:tr w:rsidR="002609C9" w14:paraId="5A88C6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8C0AE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6C8A194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w:t>
            </w:r>
            <w:r>
              <w:rPr>
                <w:rFonts w:ascii="Times New Roman" w:hAnsi="Times New Roman"/>
                <w:color w:val="000000"/>
                <w:kern w:val="0"/>
                <w:sz w:val="25"/>
                <w:szCs w:val="24"/>
              </w:rPr>
              <w:t>A</w:t>
            </w:r>
            <w:r>
              <w:rPr>
                <w:rFonts w:ascii="Times New Roman" w:hAnsi="Times New Roman"/>
                <w:color w:val="000000"/>
                <w:kern w:val="0"/>
                <w:sz w:val="25"/>
                <w:szCs w:val="24"/>
              </w:rPr>
              <w:t>类基金份额上市交易公告书提示性公告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8F893D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34C2087"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2021-11-16</w:t>
            </w:r>
          </w:p>
        </w:tc>
      </w:tr>
      <w:tr w:rsidR="002609C9" w14:paraId="3AA3C1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2815E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8DCF91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14:paraId="104BB2D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3193F72"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2021-11-30</w:t>
            </w:r>
          </w:p>
        </w:tc>
      </w:tr>
      <w:tr w:rsidR="002609C9" w14:paraId="15ED52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47B5F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551DCB2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30891D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AD058D9"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2609C9" w14:paraId="01DF4E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709E2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1770F0B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62CEE06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5831C3E"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2609C9" w14:paraId="3CA8F3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C1B57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185B7C4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08BBD63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915995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2022-01-29</w:t>
            </w:r>
          </w:p>
        </w:tc>
      </w:tr>
      <w:tr w:rsidR="002609C9" w14:paraId="5C5FCD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8BAAF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612BA51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交银施罗德基金管理有限公司关于旗下部分公开募集证券投资基金可投资北交所上市股票的风险提示性公告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268725D"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BF836EB"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2022-03-15</w:t>
            </w:r>
          </w:p>
        </w:tc>
      </w:tr>
      <w:tr w:rsidR="002609C9" w14:paraId="4AB319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4C68B0"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285906A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7A60D88E"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060C003"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2609C9" w14:paraId="65B780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F241F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21</w:t>
            </w:r>
          </w:p>
        </w:tc>
        <w:tc>
          <w:tcPr>
            <w:tcW w:w="750" w:type="pct"/>
            <w:tcBorders>
              <w:top w:val="single" w:sz="4" w:space="0" w:color="auto"/>
              <w:left w:val="single" w:sz="4" w:space="0" w:color="auto"/>
              <w:bottom w:val="single" w:sz="4" w:space="0" w:color="auto"/>
              <w:right w:val="single" w:sz="4" w:space="0" w:color="auto"/>
            </w:tcBorders>
            <w:vAlign w:val="center"/>
          </w:tcPr>
          <w:p w14:paraId="0FD96ECF"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交银施罗德基金管理有限公司关于增加上海钜派钰茂基金销售有限公司为旗下基金销售机构的公告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37CB904"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2D2A2A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2609C9" w14:paraId="33894A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CE08F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3A3AB4DC"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939408C"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6E38E4"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2609C9" w14:paraId="59568E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F77D59"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1590A0D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8763176"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9547D45"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2609C9" w14:paraId="4887C8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97DF41"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255CBB3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71864D4B"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50382C"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2609C9" w14:paraId="754E92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287765"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57792C4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交银施罗德智选星光一年封闭运作混合型基金中基金（</w:t>
            </w:r>
            <w:r>
              <w:rPr>
                <w:rFonts w:ascii="Times New Roman" w:hAnsi="Times New Roman"/>
                <w:color w:val="000000"/>
                <w:kern w:val="0"/>
                <w:sz w:val="25"/>
                <w:szCs w:val="24"/>
              </w:rPr>
              <w:t>FOF-LOF</w:t>
            </w:r>
            <w:r>
              <w:rPr>
                <w:rFonts w:ascii="Times New Roman" w:hAnsi="Times New Roman"/>
                <w:color w:val="000000"/>
                <w:kern w:val="0"/>
                <w:sz w:val="25"/>
                <w:szCs w:val="24"/>
              </w:rPr>
              <w:t>）</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5EA5017A"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B36830D"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2609C9" w14:paraId="4888CA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642B87"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37E6C9C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2BD71103" w14:textId="77777777" w:rsidR="002609C9" w:rsidRDefault="000E661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4B46B64" w14:textId="77777777" w:rsidR="002609C9" w:rsidRDefault="000E661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bl>
    <w:p w14:paraId="42C2BFF4"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44AC5E9" w14:textId="77777777" w:rsidR="002609C9" w:rsidRDefault="000E6610">
      <w:pPr>
        <w:pStyle w:val="1"/>
        <w:snapToGrid w:val="0"/>
        <w:spacing w:beforeLines="0" w:before="240" w:after="240"/>
        <w:rPr>
          <w:rFonts w:ascii="宋体" w:hAnsi="宋体"/>
          <w:szCs w:val="30"/>
        </w:rPr>
      </w:pPr>
      <w:bookmarkStart w:id="28" w:name="_Toc116553097"/>
      <w:r>
        <w:rPr>
          <w:rFonts w:ascii="Times New Roman" w:hAnsi="Times New Roman"/>
          <w:sz w:val="30"/>
        </w:rPr>
        <w:lastRenderedPageBreak/>
        <w:t>二十五、招募说明书的存放及查阅方式</w:t>
      </w:r>
      <w:bookmarkEnd w:id="28"/>
    </w:p>
    <w:p w14:paraId="0397666C"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6240EA7D"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6F70B285" w14:textId="77777777" w:rsidR="002609C9" w:rsidRDefault="000E661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7D94D9" w14:textId="77777777" w:rsidR="002609C9" w:rsidRDefault="000E6610">
      <w:pPr>
        <w:pStyle w:val="1"/>
        <w:snapToGrid w:val="0"/>
        <w:spacing w:beforeLines="0" w:before="240" w:after="240"/>
        <w:rPr>
          <w:rFonts w:ascii="宋体" w:hAnsi="宋体"/>
          <w:szCs w:val="30"/>
        </w:rPr>
      </w:pPr>
      <w:bookmarkStart w:id="29" w:name="_Toc116553098"/>
      <w:r>
        <w:rPr>
          <w:rFonts w:ascii="Times New Roman" w:hAnsi="Times New Roman"/>
          <w:sz w:val="30"/>
        </w:rPr>
        <w:lastRenderedPageBreak/>
        <w:t>二十六、备查文件</w:t>
      </w:r>
      <w:bookmarkEnd w:id="29"/>
    </w:p>
    <w:p w14:paraId="59C41E79"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53D1F966"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（一）中国证监会准予交银施罗德智选星光一年封闭运作混合型基金中基金（FOF-LOF）募集注册的文件</w:t>
      </w:r>
    </w:p>
    <w:p w14:paraId="3959980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（二）《交银施罗德智选星光混合型基金中基金（FOF-LOF）基金合同》</w:t>
      </w:r>
    </w:p>
    <w:p w14:paraId="3D2ABD9B"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（三）《交银施罗德智选星光混合型基金中基金（FOF-LOF）托管协议》</w:t>
      </w:r>
    </w:p>
    <w:p w14:paraId="2BB8B475"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67EFBB7A"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72F82264" w14:textId="77777777" w:rsidR="002609C9" w:rsidRDefault="000E661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（六）关于申请募集注册交银施罗德智选星光一年封闭运作混合型基金中基金（FOF-LOF）的法律意见书</w:t>
      </w:r>
    </w:p>
    <w:sectPr w:rsidR="002609C9">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C3397C" w16cid:durableId="271753D3"/>
  <w16cid:commentId w16cid:paraId="69814B72" w16cid:durableId="27175F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5ED48" w14:textId="77777777" w:rsidR="00C90517" w:rsidRDefault="00C90517">
      <w:r>
        <w:separator/>
      </w:r>
    </w:p>
  </w:endnote>
  <w:endnote w:type="continuationSeparator" w:id="0">
    <w:p w14:paraId="39A17FE0" w14:textId="77777777" w:rsidR="00C90517" w:rsidRDefault="00C9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2B57" w14:textId="1610DE69" w:rsidR="000803AE" w:rsidRDefault="000803A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423E32C" wp14:editId="34B4C5B1">
              <wp:simplePos x="0" y="0"/>
              <wp:positionH relativeFrom="page">
                <wp:posOffset>3726180</wp:posOffset>
              </wp:positionH>
              <wp:positionV relativeFrom="page">
                <wp:posOffset>9939020</wp:posOffset>
              </wp:positionV>
              <wp:extent cx="274320" cy="139700"/>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F3E64" w14:textId="49AF2DE2" w:rsidR="000803AE" w:rsidRDefault="000803A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C63E5">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3E32C" id="_x0000_t202" coordsize="21600,21600" o:spt="202" path="m,l,21600r21600,l21600,xe">
              <v:stroke joinstyle="miter"/>
              <v:path gradientshapeok="t" o:connecttype="rect"/>
            </v:shapetype>
            <v:shape id="Text Box 1027"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" o:allowincell="f" filled="f" stroked="f">
              <v:textbox inset="0,0,0,0">
                <w:txbxContent>
                  <w:p w14:paraId="65EF3E64" w14:textId="49AF2DE2" w:rsidR="000803AE" w:rsidRDefault="000803A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C63E5">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4AE2" w14:textId="67096AEC" w:rsidR="000803AE" w:rsidRDefault="000803A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11939607" wp14:editId="2A6104FF">
              <wp:simplePos x="0" y="0"/>
              <wp:positionH relativeFrom="page">
                <wp:posOffset>3698875</wp:posOffset>
              </wp:positionH>
              <wp:positionV relativeFrom="page">
                <wp:posOffset>9827895</wp:posOffset>
              </wp:positionV>
              <wp:extent cx="425450" cy="139700"/>
              <wp:effectExtent l="0" t="0" r="0" b="0"/>
              <wp:wrapNone/>
              <wp:docPr id="1"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10142" w14:textId="4EDC3CE0" w:rsidR="000803AE" w:rsidRDefault="000803A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C63E5">
                            <w:rPr>
                              <w:rFonts w:ascii="Times New Roman" w:hAnsi="Times New Roman"/>
                              <w:noProof/>
                              <w:kern w:val="0"/>
                              <w:sz w:val="18"/>
                              <w:szCs w:val="18"/>
                            </w:rPr>
                            <w:t>16</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39607" id="_x0000_t202" coordsize="21600,21600" o:spt="202" path="m,l,21600r21600,l21600,xe">
              <v:stroke joinstyle="miter"/>
              <v:path gradientshapeok="t" o:connecttype="rect"/>
            </v:shapetype>
            <v:shape id="Text Box 1029"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Odw4FsgIAALIF&#10;AAAOAAAAAAAAAAAAAAAAAC4CAABkcnMvZTJvRG9jLnhtbFBLAQItABQABgAIAAAAIQC6ialB4QAA&#10;AA0BAAAPAAAAAAAAAAAAAAAAAAwFAABkcnMvZG93bnJldi54bWxQSwUGAAAAAAQABADzAAAAGgYA&#10;AAAA&#10;" o:allowincell="f" filled="f" stroked="f">
              <v:textbox inset="0,0,0,0">
                <w:txbxContent>
                  <w:p w14:paraId="05910142" w14:textId="4EDC3CE0" w:rsidR="000803AE" w:rsidRDefault="000803A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C63E5">
                      <w:rPr>
                        <w:rFonts w:ascii="Times New Roman" w:hAnsi="Times New Roman"/>
                        <w:noProof/>
                        <w:kern w:val="0"/>
                        <w:sz w:val="18"/>
                        <w:szCs w:val="18"/>
                      </w:rPr>
                      <w:t>16</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4D4E2" w14:textId="77777777" w:rsidR="00C90517" w:rsidRDefault="00C90517">
      <w:r>
        <w:separator/>
      </w:r>
    </w:p>
  </w:footnote>
  <w:footnote w:type="continuationSeparator" w:id="0">
    <w:p w14:paraId="395AD942" w14:textId="77777777" w:rsidR="00C90517" w:rsidRDefault="00C9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A1A70" w14:textId="12BC4CBA" w:rsidR="000803AE" w:rsidRDefault="000803AE">
    <w:pPr>
      <w:pStyle w:val="aa"/>
      <w:jc w:val="right"/>
    </w:pPr>
    <w:r>
      <w:rPr>
        <w:noProof/>
      </w:rPr>
      <w:drawing>
        <wp:anchor distT="0" distB="0" distL="114300" distR="114300" simplePos="0" relativeHeight="251656704" behindDoc="0" locked="0" layoutInCell="1" allowOverlap="1" wp14:anchorId="63072504" wp14:editId="129C56D8">
          <wp:simplePos x="0" y="0"/>
          <wp:positionH relativeFrom="column">
            <wp:posOffset>19050</wp:posOffset>
          </wp:positionH>
          <wp:positionV relativeFrom="paragraph">
            <wp:posOffset>-152400</wp:posOffset>
          </wp:positionV>
          <wp:extent cx="1714500" cy="238125"/>
          <wp:effectExtent l="0" t="0" r="0" b="0"/>
          <wp:wrapNone/>
          <wp:docPr id="1026"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E54F31B" w14:textId="77777777" w:rsidR="000803AE" w:rsidRDefault="000803AE">
    <w:pPr>
      <w:pStyle w:val="aa"/>
      <w:jc w:val="right"/>
      <w:rPr>
        <w:rFonts w:ascii="宋体" w:hAnsi="宋体"/>
      </w:rPr>
    </w:pPr>
    <w:r>
      <w:rPr>
        <w:rFonts w:ascii="宋体" w:hAnsi="宋体" w:hint="eastAsia"/>
      </w:rPr>
      <w:t>交银施罗德智选星光一年封闭运作混合型基金中基金（FOF-LOF）(更新)招募说明书(2022年第1号)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F48A" w14:textId="77777777" w:rsidR="000803AE" w:rsidRDefault="000803AE">
    <w:pPr>
      <w:pStyle w:val="11"/>
      <w:jc w:val="right"/>
    </w:pPr>
  </w:p>
  <w:p w14:paraId="157141C7" w14:textId="77777777" w:rsidR="000803AE" w:rsidRDefault="000803AE">
    <w:pPr>
      <w:pStyle w:val="11"/>
      <w:jc w:val="right"/>
    </w:pPr>
  </w:p>
  <w:p w14:paraId="34F53BA5" w14:textId="77777777" w:rsidR="000803AE" w:rsidRDefault="000803AE">
    <w:pPr>
      <w:pStyle w:val="aa"/>
      <w:jc w:val="right"/>
    </w:pPr>
  </w:p>
  <w:p w14:paraId="3EFE064D" w14:textId="55F5B726" w:rsidR="000803AE" w:rsidRDefault="000803AE">
    <w:pPr>
      <w:pStyle w:val="aa"/>
      <w:jc w:val="right"/>
    </w:pPr>
    <w:r>
      <w:rPr>
        <w:noProof/>
      </w:rPr>
      <w:drawing>
        <wp:anchor distT="0" distB="0" distL="114300" distR="114300" simplePos="0" relativeHeight="251655680" behindDoc="0" locked="0" layoutInCell="1" allowOverlap="1" wp14:anchorId="0FCEC4DC" wp14:editId="1AAF6656">
          <wp:simplePos x="0" y="0"/>
          <wp:positionH relativeFrom="column">
            <wp:posOffset>19050</wp:posOffset>
          </wp:positionH>
          <wp:positionV relativeFrom="paragraph">
            <wp:posOffset>-152400</wp:posOffset>
          </wp:positionV>
          <wp:extent cx="1714500" cy="238125"/>
          <wp:effectExtent l="0" t="0" r="0" b="0"/>
          <wp:wrapNone/>
          <wp:docPr id="102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2449E40" w14:textId="1D961880" w:rsidR="000803AE" w:rsidRDefault="000803AE">
    <w:pPr>
      <w:pStyle w:val="aa"/>
      <w:jc w:val="right"/>
      <w:rPr>
        <w:rFonts w:ascii="宋体" w:hAnsi="宋体"/>
      </w:rPr>
    </w:pPr>
    <w:r>
      <w:rPr>
        <w:rFonts w:ascii="宋体" w:hAnsi="宋体" w:hint="eastAsia"/>
      </w:rPr>
      <w:t>交银施罗德智选星光混合型基金中基金（FOF-LOF）(更新)招募说明书(202</w:t>
    </w:r>
    <w:r w:rsidR="00B8619B">
      <w:rPr>
        <w:rFonts w:ascii="宋体" w:hAnsi="宋体"/>
      </w:rPr>
      <w:t>3</w:t>
    </w:r>
    <w:r>
      <w:rPr>
        <w:rFonts w:ascii="宋体" w:hAnsi="宋体" w:hint="eastAsia"/>
      </w:rPr>
      <w:t>年第</w:t>
    </w:r>
    <w:r w:rsidR="00B8619B">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4309" w14:textId="77777777" w:rsidR="000803AE" w:rsidRDefault="000803AE">
    <w:pPr>
      <w:pStyle w:val="aa"/>
      <w:jc w:val="right"/>
    </w:pPr>
  </w:p>
  <w:p w14:paraId="755A9652" w14:textId="77777777" w:rsidR="000803AE" w:rsidRDefault="000803AE">
    <w:pPr>
      <w:pStyle w:val="aa"/>
      <w:jc w:val="right"/>
    </w:pPr>
  </w:p>
  <w:p w14:paraId="2F45B0C4" w14:textId="77777777" w:rsidR="000803AE" w:rsidRDefault="000803AE">
    <w:pPr>
      <w:pStyle w:val="aa"/>
      <w:jc w:val="right"/>
    </w:pPr>
  </w:p>
  <w:p w14:paraId="1F9B151D" w14:textId="532A12DA" w:rsidR="000803AE" w:rsidRDefault="000803AE">
    <w:pPr>
      <w:pStyle w:val="aa"/>
      <w:jc w:val="right"/>
    </w:pPr>
    <w:r>
      <w:rPr>
        <w:noProof/>
      </w:rPr>
      <w:drawing>
        <wp:anchor distT="0" distB="0" distL="114300" distR="114300" simplePos="0" relativeHeight="251657728" behindDoc="0" locked="0" layoutInCell="1" allowOverlap="1" wp14:anchorId="0A62F667" wp14:editId="7B67AB78">
          <wp:simplePos x="0" y="0"/>
          <wp:positionH relativeFrom="column">
            <wp:posOffset>19050</wp:posOffset>
          </wp:positionH>
          <wp:positionV relativeFrom="paragraph">
            <wp:posOffset>-152400</wp:posOffset>
          </wp:positionV>
          <wp:extent cx="1714500" cy="238125"/>
          <wp:effectExtent l="0" t="0" r="0" b="0"/>
          <wp:wrapNone/>
          <wp:docPr id="1028"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B85BF12" w14:textId="28ABC4B8" w:rsidR="000803AE" w:rsidRDefault="000803AE">
    <w:pPr>
      <w:pStyle w:val="aa"/>
      <w:jc w:val="right"/>
      <w:rPr>
        <w:rFonts w:ascii="宋体" w:hAnsi="宋体"/>
      </w:rPr>
    </w:pPr>
    <w:r>
      <w:rPr>
        <w:rFonts w:ascii="宋体" w:hAnsi="宋体" w:hint="eastAsia"/>
      </w:rPr>
      <w:t>交银施罗德智选星光混合型基金中基金（FOF-LOF）(更新)招募说明书(202</w:t>
    </w:r>
    <w:r w:rsidR="00CA343C">
      <w:rPr>
        <w:rFonts w:ascii="宋体" w:hAnsi="宋体"/>
      </w:rPr>
      <w:t>3</w:t>
    </w:r>
    <w:r>
      <w:rPr>
        <w:rFonts w:ascii="宋体" w:hAnsi="宋体" w:hint="eastAsia"/>
      </w:rPr>
      <w:t>年第</w:t>
    </w:r>
    <w:r w:rsidR="00CA343C">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30A7"/>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55E1"/>
    <w:rsid w:val="0007638A"/>
    <w:rsid w:val="00076B6E"/>
    <w:rsid w:val="000803A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1DA1"/>
    <w:rsid w:val="000B359E"/>
    <w:rsid w:val="000B3894"/>
    <w:rsid w:val="000B4E04"/>
    <w:rsid w:val="000B62DE"/>
    <w:rsid w:val="000C1E1E"/>
    <w:rsid w:val="000C38F1"/>
    <w:rsid w:val="000C5E77"/>
    <w:rsid w:val="000C68E9"/>
    <w:rsid w:val="000D0ADE"/>
    <w:rsid w:val="000D179E"/>
    <w:rsid w:val="000D61F1"/>
    <w:rsid w:val="000D66DC"/>
    <w:rsid w:val="000E1F3B"/>
    <w:rsid w:val="000E3AB4"/>
    <w:rsid w:val="000E6610"/>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37261"/>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0DE0"/>
    <w:rsid w:val="001917D4"/>
    <w:rsid w:val="001917FC"/>
    <w:rsid w:val="00191D7F"/>
    <w:rsid w:val="00192464"/>
    <w:rsid w:val="001925A2"/>
    <w:rsid w:val="00195218"/>
    <w:rsid w:val="00197A55"/>
    <w:rsid w:val="00197F7E"/>
    <w:rsid w:val="001A1623"/>
    <w:rsid w:val="001A2263"/>
    <w:rsid w:val="001A7BF6"/>
    <w:rsid w:val="001B4531"/>
    <w:rsid w:val="001B5BDB"/>
    <w:rsid w:val="001B75F9"/>
    <w:rsid w:val="001C2B9E"/>
    <w:rsid w:val="001C38DA"/>
    <w:rsid w:val="001C7A48"/>
    <w:rsid w:val="001C7C12"/>
    <w:rsid w:val="001D009A"/>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6E4C"/>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6F26"/>
    <w:rsid w:val="002377E0"/>
    <w:rsid w:val="00240BB6"/>
    <w:rsid w:val="002432CA"/>
    <w:rsid w:val="00243D40"/>
    <w:rsid w:val="00245250"/>
    <w:rsid w:val="002477CB"/>
    <w:rsid w:val="00247BF6"/>
    <w:rsid w:val="00250A33"/>
    <w:rsid w:val="00251126"/>
    <w:rsid w:val="002524D2"/>
    <w:rsid w:val="00252802"/>
    <w:rsid w:val="002609C9"/>
    <w:rsid w:val="00261A50"/>
    <w:rsid w:val="002634C3"/>
    <w:rsid w:val="00265B3A"/>
    <w:rsid w:val="0027052E"/>
    <w:rsid w:val="00271E9D"/>
    <w:rsid w:val="00271F7D"/>
    <w:rsid w:val="00274E85"/>
    <w:rsid w:val="00277418"/>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C3C7B"/>
    <w:rsid w:val="002D15BB"/>
    <w:rsid w:val="002D1C13"/>
    <w:rsid w:val="002D3109"/>
    <w:rsid w:val="002D378C"/>
    <w:rsid w:val="002D6413"/>
    <w:rsid w:val="002D6476"/>
    <w:rsid w:val="002D6F14"/>
    <w:rsid w:val="002D74D5"/>
    <w:rsid w:val="002E4922"/>
    <w:rsid w:val="002E4B2C"/>
    <w:rsid w:val="002E5261"/>
    <w:rsid w:val="002F00BB"/>
    <w:rsid w:val="002F0D42"/>
    <w:rsid w:val="002F1DE7"/>
    <w:rsid w:val="002F2627"/>
    <w:rsid w:val="002F2748"/>
    <w:rsid w:val="002F4B86"/>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17974"/>
    <w:rsid w:val="00323F65"/>
    <w:rsid w:val="00326147"/>
    <w:rsid w:val="0033051E"/>
    <w:rsid w:val="0033401D"/>
    <w:rsid w:val="00334456"/>
    <w:rsid w:val="0033598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6AC8"/>
    <w:rsid w:val="0036702F"/>
    <w:rsid w:val="00367F3A"/>
    <w:rsid w:val="00370BDF"/>
    <w:rsid w:val="00372FA2"/>
    <w:rsid w:val="003735E9"/>
    <w:rsid w:val="003739FE"/>
    <w:rsid w:val="003749D5"/>
    <w:rsid w:val="00375819"/>
    <w:rsid w:val="0038254F"/>
    <w:rsid w:val="003828EC"/>
    <w:rsid w:val="00383488"/>
    <w:rsid w:val="003843BB"/>
    <w:rsid w:val="00384A7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5F"/>
    <w:rsid w:val="003E33DE"/>
    <w:rsid w:val="003E3593"/>
    <w:rsid w:val="003E585F"/>
    <w:rsid w:val="003E6049"/>
    <w:rsid w:val="003E67F9"/>
    <w:rsid w:val="003F0D27"/>
    <w:rsid w:val="003F1C98"/>
    <w:rsid w:val="003F317C"/>
    <w:rsid w:val="003F4813"/>
    <w:rsid w:val="00406654"/>
    <w:rsid w:val="00410E59"/>
    <w:rsid w:val="0041100B"/>
    <w:rsid w:val="004114F3"/>
    <w:rsid w:val="00412894"/>
    <w:rsid w:val="004130C3"/>
    <w:rsid w:val="00413A11"/>
    <w:rsid w:val="00413E71"/>
    <w:rsid w:val="00415971"/>
    <w:rsid w:val="00421363"/>
    <w:rsid w:val="00421921"/>
    <w:rsid w:val="00422100"/>
    <w:rsid w:val="00422E9F"/>
    <w:rsid w:val="004254D3"/>
    <w:rsid w:val="0042746B"/>
    <w:rsid w:val="00433B69"/>
    <w:rsid w:val="004369AD"/>
    <w:rsid w:val="00436DD6"/>
    <w:rsid w:val="00444FB7"/>
    <w:rsid w:val="004451AC"/>
    <w:rsid w:val="00450052"/>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3B5"/>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25E0E"/>
    <w:rsid w:val="005267A1"/>
    <w:rsid w:val="00530703"/>
    <w:rsid w:val="00530763"/>
    <w:rsid w:val="00530BB0"/>
    <w:rsid w:val="00534EFD"/>
    <w:rsid w:val="005362F2"/>
    <w:rsid w:val="005409CE"/>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2BF8"/>
    <w:rsid w:val="00563A0E"/>
    <w:rsid w:val="005647D0"/>
    <w:rsid w:val="00567AA8"/>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2F19"/>
    <w:rsid w:val="005E3FB6"/>
    <w:rsid w:val="005F4583"/>
    <w:rsid w:val="005F4ABB"/>
    <w:rsid w:val="005F6066"/>
    <w:rsid w:val="005F6562"/>
    <w:rsid w:val="005F6C6D"/>
    <w:rsid w:val="005F6F09"/>
    <w:rsid w:val="005F71C5"/>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445E"/>
    <w:rsid w:val="00696339"/>
    <w:rsid w:val="00696982"/>
    <w:rsid w:val="006A3F85"/>
    <w:rsid w:val="006A48FA"/>
    <w:rsid w:val="006A56F1"/>
    <w:rsid w:val="006A6E5C"/>
    <w:rsid w:val="006A71C8"/>
    <w:rsid w:val="006B0972"/>
    <w:rsid w:val="006B3153"/>
    <w:rsid w:val="006B5871"/>
    <w:rsid w:val="006B6BB1"/>
    <w:rsid w:val="006B7212"/>
    <w:rsid w:val="006C0177"/>
    <w:rsid w:val="006C14C3"/>
    <w:rsid w:val="006C4B6F"/>
    <w:rsid w:val="006C589D"/>
    <w:rsid w:val="006C5DA3"/>
    <w:rsid w:val="006C769C"/>
    <w:rsid w:val="006C7A95"/>
    <w:rsid w:val="006D11E8"/>
    <w:rsid w:val="006D1AE0"/>
    <w:rsid w:val="006D4B0E"/>
    <w:rsid w:val="006D753C"/>
    <w:rsid w:val="006E0A00"/>
    <w:rsid w:val="006E306D"/>
    <w:rsid w:val="006E4BEC"/>
    <w:rsid w:val="006E6968"/>
    <w:rsid w:val="006F04C6"/>
    <w:rsid w:val="006F08A0"/>
    <w:rsid w:val="006F2A97"/>
    <w:rsid w:val="006F61DC"/>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3C96"/>
    <w:rsid w:val="0075000E"/>
    <w:rsid w:val="00752156"/>
    <w:rsid w:val="00753A7A"/>
    <w:rsid w:val="00756E77"/>
    <w:rsid w:val="007577C2"/>
    <w:rsid w:val="0076038F"/>
    <w:rsid w:val="00760D77"/>
    <w:rsid w:val="007617E5"/>
    <w:rsid w:val="0076326C"/>
    <w:rsid w:val="0077124E"/>
    <w:rsid w:val="00772FA7"/>
    <w:rsid w:val="0077578C"/>
    <w:rsid w:val="00781ACA"/>
    <w:rsid w:val="007823CF"/>
    <w:rsid w:val="00783E35"/>
    <w:rsid w:val="00784F67"/>
    <w:rsid w:val="00786754"/>
    <w:rsid w:val="00786D49"/>
    <w:rsid w:val="00786F5B"/>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12CE"/>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1B58"/>
    <w:rsid w:val="008423FD"/>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296D"/>
    <w:rsid w:val="008849E6"/>
    <w:rsid w:val="0088513E"/>
    <w:rsid w:val="00886300"/>
    <w:rsid w:val="00890009"/>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17F1"/>
    <w:rsid w:val="008C4D11"/>
    <w:rsid w:val="008D368C"/>
    <w:rsid w:val="008D48DE"/>
    <w:rsid w:val="008D54FA"/>
    <w:rsid w:val="008D58C5"/>
    <w:rsid w:val="008D5C05"/>
    <w:rsid w:val="008D6490"/>
    <w:rsid w:val="008D6FFD"/>
    <w:rsid w:val="008E1191"/>
    <w:rsid w:val="008E342E"/>
    <w:rsid w:val="008E4D9C"/>
    <w:rsid w:val="008E566D"/>
    <w:rsid w:val="008E588C"/>
    <w:rsid w:val="008E6FA3"/>
    <w:rsid w:val="008F52D9"/>
    <w:rsid w:val="008F6BC6"/>
    <w:rsid w:val="00902B4C"/>
    <w:rsid w:val="00903834"/>
    <w:rsid w:val="00903FC5"/>
    <w:rsid w:val="0090403F"/>
    <w:rsid w:val="009071FF"/>
    <w:rsid w:val="009108DB"/>
    <w:rsid w:val="009112EB"/>
    <w:rsid w:val="00913191"/>
    <w:rsid w:val="009131F2"/>
    <w:rsid w:val="00913768"/>
    <w:rsid w:val="00916431"/>
    <w:rsid w:val="00917DBE"/>
    <w:rsid w:val="0092605A"/>
    <w:rsid w:val="0092689A"/>
    <w:rsid w:val="00931E53"/>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4F5A"/>
    <w:rsid w:val="00955882"/>
    <w:rsid w:val="00955ABF"/>
    <w:rsid w:val="00956F74"/>
    <w:rsid w:val="00956F84"/>
    <w:rsid w:val="009575A0"/>
    <w:rsid w:val="00957C6C"/>
    <w:rsid w:val="00960AA2"/>
    <w:rsid w:val="00963E41"/>
    <w:rsid w:val="009649DC"/>
    <w:rsid w:val="00966EB2"/>
    <w:rsid w:val="00970C67"/>
    <w:rsid w:val="009724DF"/>
    <w:rsid w:val="00974456"/>
    <w:rsid w:val="00982B72"/>
    <w:rsid w:val="00991483"/>
    <w:rsid w:val="0099296D"/>
    <w:rsid w:val="00993453"/>
    <w:rsid w:val="009935AA"/>
    <w:rsid w:val="00993F94"/>
    <w:rsid w:val="009951B2"/>
    <w:rsid w:val="009977AF"/>
    <w:rsid w:val="009A039C"/>
    <w:rsid w:val="009A2859"/>
    <w:rsid w:val="009A4E90"/>
    <w:rsid w:val="009A50B8"/>
    <w:rsid w:val="009A737B"/>
    <w:rsid w:val="009B1823"/>
    <w:rsid w:val="009B406F"/>
    <w:rsid w:val="009B443A"/>
    <w:rsid w:val="009B4D09"/>
    <w:rsid w:val="009B6DD1"/>
    <w:rsid w:val="009C1332"/>
    <w:rsid w:val="009C4A4F"/>
    <w:rsid w:val="009C5DD3"/>
    <w:rsid w:val="009C6D34"/>
    <w:rsid w:val="009D2E97"/>
    <w:rsid w:val="009D328E"/>
    <w:rsid w:val="009D3438"/>
    <w:rsid w:val="009D3B88"/>
    <w:rsid w:val="009D40B6"/>
    <w:rsid w:val="009D4D3A"/>
    <w:rsid w:val="009D7AD4"/>
    <w:rsid w:val="009E1231"/>
    <w:rsid w:val="009E1A57"/>
    <w:rsid w:val="009E36CA"/>
    <w:rsid w:val="009E4B6B"/>
    <w:rsid w:val="009E6470"/>
    <w:rsid w:val="009E7001"/>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1178"/>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0F3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3482"/>
    <w:rsid w:val="00AF4A88"/>
    <w:rsid w:val="00AF60FC"/>
    <w:rsid w:val="00AF619D"/>
    <w:rsid w:val="00B01A75"/>
    <w:rsid w:val="00B0274D"/>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19B"/>
    <w:rsid w:val="00B86BAC"/>
    <w:rsid w:val="00B97B35"/>
    <w:rsid w:val="00BA3196"/>
    <w:rsid w:val="00BA3509"/>
    <w:rsid w:val="00BA38EB"/>
    <w:rsid w:val="00BA3B56"/>
    <w:rsid w:val="00BA5877"/>
    <w:rsid w:val="00BA5D8B"/>
    <w:rsid w:val="00BA6DA3"/>
    <w:rsid w:val="00BB124C"/>
    <w:rsid w:val="00BB17E3"/>
    <w:rsid w:val="00BB1CDB"/>
    <w:rsid w:val="00BB2110"/>
    <w:rsid w:val="00BB3645"/>
    <w:rsid w:val="00BB4075"/>
    <w:rsid w:val="00BB547E"/>
    <w:rsid w:val="00BB69B7"/>
    <w:rsid w:val="00BC03F2"/>
    <w:rsid w:val="00BC2581"/>
    <w:rsid w:val="00BC3F55"/>
    <w:rsid w:val="00BC481A"/>
    <w:rsid w:val="00BC4D26"/>
    <w:rsid w:val="00BC555D"/>
    <w:rsid w:val="00BC658E"/>
    <w:rsid w:val="00BD0218"/>
    <w:rsid w:val="00BD1869"/>
    <w:rsid w:val="00BD200B"/>
    <w:rsid w:val="00BD63DF"/>
    <w:rsid w:val="00BD64D4"/>
    <w:rsid w:val="00BD7C4B"/>
    <w:rsid w:val="00BE1B16"/>
    <w:rsid w:val="00BE33E8"/>
    <w:rsid w:val="00BE5173"/>
    <w:rsid w:val="00BF2BEB"/>
    <w:rsid w:val="00BF3197"/>
    <w:rsid w:val="00BF5E23"/>
    <w:rsid w:val="00BF6AD1"/>
    <w:rsid w:val="00C01DB8"/>
    <w:rsid w:val="00C0300F"/>
    <w:rsid w:val="00C04C13"/>
    <w:rsid w:val="00C0523E"/>
    <w:rsid w:val="00C059ED"/>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25719"/>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517"/>
    <w:rsid w:val="00C907F0"/>
    <w:rsid w:val="00C93A91"/>
    <w:rsid w:val="00C95601"/>
    <w:rsid w:val="00CA1947"/>
    <w:rsid w:val="00CA1C91"/>
    <w:rsid w:val="00CA323D"/>
    <w:rsid w:val="00CA343C"/>
    <w:rsid w:val="00CA54A0"/>
    <w:rsid w:val="00CB5515"/>
    <w:rsid w:val="00CB76EF"/>
    <w:rsid w:val="00CB7840"/>
    <w:rsid w:val="00CC0E24"/>
    <w:rsid w:val="00CC2390"/>
    <w:rsid w:val="00CC34E2"/>
    <w:rsid w:val="00CC4A5C"/>
    <w:rsid w:val="00CC5BB7"/>
    <w:rsid w:val="00CC5F62"/>
    <w:rsid w:val="00CC63E5"/>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001C"/>
    <w:rsid w:val="00CF41D0"/>
    <w:rsid w:val="00D00CF9"/>
    <w:rsid w:val="00D012FF"/>
    <w:rsid w:val="00D04CD8"/>
    <w:rsid w:val="00D04DEC"/>
    <w:rsid w:val="00D0631E"/>
    <w:rsid w:val="00D114ED"/>
    <w:rsid w:val="00D1261E"/>
    <w:rsid w:val="00D13DDD"/>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292F"/>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2CA1"/>
    <w:rsid w:val="00DE3A2B"/>
    <w:rsid w:val="00DE45D0"/>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83A"/>
    <w:rsid w:val="00E45DAA"/>
    <w:rsid w:val="00E46560"/>
    <w:rsid w:val="00E47307"/>
    <w:rsid w:val="00E47601"/>
    <w:rsid w:val="00E50DB1"/>
    <w:rsid w:val="00E51053"/>
    <w:rsid w:val="00E51A6B"/>
    <w:rsid w:val="00E51A9F"/>
    <w:rsid w:val="00E52CA8"/>
    <w:rsid w:val="00E550CE"/>
    <w:rsid w:val="00E60B86"/>
    <w:rsid w:val="00E616FA"/>
    <w:rsid w:val="00E62E45"/>
    <w:rsid w:val="00E62F7D"/>
    <w:rsid w:val="00E700B8"/>
    <w:rsid w:val="00E702B9"/>
    <w:rsid w:val="00E70588"/>
    <w:rsid w:val="00E73C4B"/>
    <w:rsid w:val="00E75FA1"/>
    <w:rsid w:val="00E76419"/>
    <w:rsid w:val="00E77787"/>
    <w:rsid w:val="00E77CD7"/>
    <w:rsid w:val="00E80A0E"/>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1F93"/>
    <w:rsid w:val="00EC5ACF"/>
    <w:rsid w:val="00EC60F1"/>
    <w:rsid w:val="00ED22A8"/>
    <w:rsid w:val="00ED2479"/>
    <w:rsid w:val="00ED4EB4"/>
    <w:rsid w:val="00ED5D09"/>
    <w:rsid w:val="00ED7107"/>
    <w:rsid w:val="00EE2221"/>
    <w:rsid w:val="00EE276F"/>
    <w:rsid w:val="00EE2982"/>
    <w:rsid w:val="00EE2CFA"/>
    <w:rsid w:val="00EE634F"/>
    <w:rsid w:val="00EF2A9C"/>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502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CB7"/>
    <w:rsid w:val="00FC7D31"/>
    <w:rsid w:val="00FD13AC"/>
    <w:rsid w:val="00FD2D28"/>
    <w:rsid w:val="00FD6BFE"/>
    <w:rsid w:val="00FE3FF3"/>
    <w:rsid w:val="00FE4350"/>
    <w:rsid w:val="00FE60E2"/>
    <w:rsid w:val="00FE6D8B"/>
    <w:rsid w:val="00FF1D0A"/>
    <w:rsid w:val="00FF459F"/>
    <w:rsid w:val="00FF4D4F"/>
    <w:rsid w:val="1A113708"/>
    <w:rsid w:val="258C0B39"/>
    <w:rsid w:val="38E36DAA"/>
    <w:rsid w:val="3FDA5C10"/>
    <w:rsid w:val="4D8212ED"/>
    <w:rsid w:val="4EE3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C0E49"/>
  <w15:docId w15:val="{B7B79B71-48FF-4BB6-BCCF-7EA4AADA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E0E"/>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nhideWhenUsed/>
    <w:qFormat/>
    <w:pPr>
      <w:jc w:val="left"/>
    </w:pPr>
  </w:style>
  <w:style w:type="paragraph" w:styleId="a7">
    <w:name w:val="Balloon Text"/>
    <w:basedOn w:val="a"/>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qFormat/>
    <w:pPr>
      <w:ind w:leftChars="200" w:left="480"/>
    </w:pPr>
  </w:style>
  <w:style w:type="paragraph" w:styleId="ae">
    <w:name w:val="annotation subject"/>
    <w:basedOn w:val="a5"/>
    <w:next w:val="a5"/>
    <w:link w:val="af"/>
    <w:uiPriority w:val="99"/>
    <w:unhideWhenUsed/>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1">
    <w:name w:val="Hyperlink"/>
    <w:uiPriority w:val="99"/>
    <w:unhideWhenUsed/>
    <w:qFormat/>
    <w:rPr>
      <w:color w:val="0000FF"/>
      <w:u w:val="single"/>
    </w:rPr>
  </w:style>
  <w:style w:type="character" w:styleId="af2">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c"/>
    <w:next w:val="4"/>
    <w:qFormat/>
    <w:pPr>
      <w:keepNext/>
      <w:keepLines/>
      <w:numPr>
        <w:ilvl w:val="5"/>
        <w:numId w:val="1"/>
      </w:numPr>
      <w:ind w:left="0" w:firstLine="0"/>
      <w:jc w:val="left"/>
    </w:pPr>
    <w:rPr>
      <w:bCs w:val="0"/>
      <w:sz w:val="24"/>
    </w:rPr>
  </w:style>
  <w:style w:type="paragraph" w:customStyle="1" w:styleId="Style21">
    <w:name w:val="_Style 21"/>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c"/>
    <w:next w:val="4"/>
    <w:qFormat/>
    <w:pPr>
      <w:keepNext/>
      <w:keepLines/>
      <w:numPr>
        <w:ilvl w:val="1"/>
        <w:numId w:val="1"/>
      </w:numPr>
      <w:jc w:val="left"/>
    </w:pPr>
    <w:rPr>
      <w:bCs w:val="0"/>
      <w:sz w:val="24"/>
    </w:rPr>
  </w:style>
  <w:style w:type="paragraph" w:customStyle="1" w:styleId="XBRLTitle3">
    <w:name w:val="XBRLTitle3"/>
    <w:basedOn w:val="ac"/>
    <w:next w:val="4"/>
    <w:qFormat/>
    <w:pPr>
      <w:keepNext/>
      <w:keepLines/>
      <w:numPr>
        <w:ilvl w:val="2"/>
        <w:numId w:val="1"/>
      </w:numPr>
      <w:ind w:left="0" w:firstLine="0"/>
      <w:jc w:val="left"/>
    </w:pPr>
    <w:rPr>
      <w:bCs w:val="0"/>
      <w:sz w:val="24"/>
    </w:rPr>
  </w:style>
  <w:style w:type="paragraph" w:customStyle="1" w:styleId="XBRLTitle5">
    <w:name w:val="XBRLTitle5"/>
    <w:basedOn w:val="ac"/>
    <w:next w:val="4"/>
    <w:qFormat/>
    <w:pPr>
      <w:keepNext/>
      <w:keepLines/>
      <w:numPr>
        <w:ilvl w:val="4"/>
        <w:numId w:val="1"/>
      </w:numPr>
      <w:ind w:left="0" w:firstLine="0"/>
      <w:jc w:val="left"/>
    </w:pPr>
    <w:rPr>
      <w:bCs w:val="0"/>
      <w:sz w:val="24"/>
    </w:rPr>
  </w:style>
  <w:style w:type="paragraph" w:customStyle="1" w:styleId="XBRLTitle4">
    <w:name w:val="XBRLTitle4"/>
    <w:basedOn w:val="ac"/>
    <w:next w:val="4"/>
    <w:qFormat/>
    <w:pPr>
      <w:keepNext/>
      <w:keepLines/>
      <w:numPr>
        <w:ilvl w:val="3"/>
        <w:numId w:val="1"/>
      </w:numPr>
      <w:ind w:left="0" w:firstLine="0"/>
      <w:jc w:val="left"/>
    </w:pPr>
    <w:rPr>
      <w:bCs w:val="0"/>
      <w:sz w:val="24"/>
    </w:rPr>
  </w:style>
  <w:style w:type="character" w:customStyle="1" w:styleId="Char1">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6">
    <w:name w:val="批注文字 字符"/>
    <w:link w:val="a5"/>
    <w:qFormat/>
    <w:rPr>
      <w:kern w:val="2"/>
      <w:sz w:val="21"/>
      <w:szCs w:val="22"/>
    </w:rPr>
  </w:style>
  <w:style w:type="character" w:customStyle="1" w:styleId="af">
    <w:name w:val="批注主题 字符"/>
    <w:link w:val="ae"/>
    <w:uiPriority w:val="99"/>
    <w:semiHidden/>
    <w:qFormat/>
    <w:rPr>
      <w:b/>
      <w:bCs/>
      <w:kern w:val="2"/>
      <w:sz w:val="21"/>
      <w:szCs w:val="22"/>
    </w:rPr>
  </w:style>
  <w:style w:type="character" w:customStyle="1" w:styleId="ab">
    <w:name w:val="页眉 字符"/>
    <w:link w:val="aa"/>
    <w:uiPriority w:val="99"/>
    <w:qFormat/>
    <w:rPr>
      <w:sz w:val="18"/>
      <w:szCs w:val="18"/>
    </w:rPr>
  </w:style>
  <w:style w:type="character" w:customStyle="1" w:styleId="ad">
    <w:name w:val="副标题 字符"/>
    <w:link w:val="ac"/>
    <w:qFormat/>
    <w:rPr>
      <w:rFonts w:ascii="Cambria" w:hAnsi="Cambria" w:cs="Times New Roman"/>
      <w:b/>
      <w:bCs/>
      <w:kern w:val="28"/>
      <w:sz w:val="32"/>
      <w:szCs w:val="32"/>
    </w:rPr>
  </w:style>
  <w:style w:type="character" w:customStyle="1" w:styleId="a4">
    <w:name w:val="文档结构图 字符"/>
    <w:link w:val="a3"/>
    <w:uiPriority w:val="99"/>
    <w:semiHidden/>
    <w:qFormat/>
    <w:rPr>
      <w:rFonts w:ascii="宋体"/>
      <w:kern w:val="2"/>
      <w:sz w:val="18"/>
      <w:szCs w:val="18"/>
    </w:rPr>
  </w:style>
  <w:style w:type="character" w:customStyle="1" w:styleId="a9">
    <w:name w:val="页脚 字符"/>
    <w:link w:val="a8"/>
    <w:uiPriority w:val="99"/>
    <w:qFormat/>
    <w:rPr>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40">
    <w:name w:val="标题 4 字符"/>
    <w:link w:val="4"/>
    <w:uiPriority w:val="9"/>
    <w:semiHidden/>
    <w:qFormat/>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 w:type="paragraph" w:styleId="af3">
    <w:name w:val="Revision"/>
    <w:hidden/>
    <w:uiPriority w:val="99"/>
    <w:semiHidden/>
    <w:rsid w:val="008C17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162</Pages>
  <Words>17190</Words>
  <Characters>97985</Characters>
  <Application>Microsoft Office Word</Application>
  <DocSecurity>0</DocSecurity>
  <Lines>816</Lines>
  <Paragraphs>229</Paragraphs>
  <ScaleCrop>false</ScaleCrop>
  <Company>Microsoft</Company>
  <LinksUpToDate>false</LinksUpToDate>
  <CharactersWithSpaces>114946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63</cp:revision>
  <cp:lastPrinted>2013-02-18T03:10:00Z</cp:lastPrinted>
  <dcterms:created xsi:type="dcterms:W3CDTF">2022-11-10T03:34:00Z</dcterms:created>
  <dcterms:modified xsi:type="dcterms:W3CDTF">2023-02-06T01:55:00Z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