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ascii="Times New Roman" w:hAnsi="Times New Roman" w:cs="Times New Roman"/>
          <w:b/>
          <w:sz w:val="28"/>
          <w:szCs w:val="28"/>
        </w:rPr>
      </w:pPr>
      <w:r>
        <w:rPr>
          <w:rFonts w:hint="eastAsia" w:ascii="Times New Roman" w:hAnsi="Times New Roman" w:cs="Times New Roman"/>
          <w:b/>
          <w:sz w:val="28"/>
          <w:szCs w:val="28"/>
        </w:rPr>
        <w:t>交银施罗德基金管理有限公司关于旗下部分基金投资非公开发行股票的公告</w:t>
      </w:r>
    </w:p>
    <w:p>
      <w:pPr>
        <w:widowControl/>
        <w:spacing w:line="360" w:lineRule="auto"/>
        <w:ind w:firstLine="48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交银施罗德基金管理有限公司（以下简称“本公司”）旗下部分基金参加了</w:t>
      </w:r>
    </w:p>
    <w:p>
      <w:pPr>
        <w:widowControl/>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TCL</w:t>
      </w:r>
      <w:r>
        <w:rPr>
          <w:rFonts w:hint="eastAsia" w:ascii="Times New Roman" w:hAnsi="Times New Roman" w:eastAsia="宋体" w:cs="Times New Roman"/>
          <w:sz w:val="24"/>
          <w:szCs w:val="24"/>
        </w:rPr>
        <w:t>科技集团股份有限公司（股票简称：T</w:t>
      </w:r>
      <w:r>
        <w:rPr>
          <w:rFonts w:ascii="Times New Roman" w:hAnsi="Times New Roman" w:eastAsia="宋体" w:cs="Times New Roman"/>
          <w:sz w:val="24"/>
          <w:szCs w:val="24"/>
        </w:rPr>
        <w:t>CL</w:t>
      </w:r>
      <w:r>
        <w:rPr>
          <w:rFonts w:hint="eastAsia" w:ascii="Times New Roman" w:hAnsi="Times New Roman" w:eastAsia="宋体" w:cs="Times New Roman"/>
          <w:sz w:val="24"/>
          <w:szCs w:val="24"/>
        </w:rPr>
        <w:t>科技，代码：</w:t>
      </w:r>
      <w:r>
        <w:rPr>
          <w:rFonts w:ascii="Times New Roman" w:hAnsi="Times New Roman" w:eastAsia="宋体" w:cs="Times New Roman"/>
          <w:sz w:val="24"/>
          <w:szCs w:val="24"/>
        </w:rPr>
        <w:t>000100</w:t>
      </w:r>
      <w:r>
        <w:rPr>
          <w:rFonts w:hint="eastAsia" w:ascii="Times New Roman" w:hAnsi="Times New Roman" w:eastAsia="宋体" w:cs="Times New Roman"/>
          <w:sz w:val="24"/>
          <w:szCs w:val="24"/>
        </w:rPr>
        <w:t>）非公开发行股票的认购。</w:t>
      </w:r>
      <w:r>
        <w:rPr>
          <w:rFonts w:ascii="Times New Roman" w:hAnsi="Times New Roman" w:eastAsia="宋体" w:cs="Times New Roman"/>
          <w:sz w:val="24"/>
          <w:szCs w:val="24"/>
        </w:rPr>
        <w:t>TCL</w:t>
      </w:r>
      <w:r>
        <w:rPr>
          <w:rFonts w:hint="eastAsia" w:ascii="Times New Roman" w:hAnsi="Times New Roman" w:eastAsia="宋体" w:cs="Times New Roman"/>
          <w:sz w:val="24"/>
          <w:szCs w:val="24"/>
        </w:rPr>
        <w:t>科技集团股份有限公司已发布《非公开发行股票上市公告书》，公布了本次非公开发行结果。</w:t>
      </w:r>
    </w:p>
    <w:p>
      <w:pPr>
        <w:widowControl/>
        <w:spacing w:line="360" w:lineRule="auto"/>
        <w:ind w:firstLine="48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根据中国证监会《公开募集证券投资基金信息披露管理办法》、《关于基金投资非公开发行股票等流通受限证券有关问题的通知》（证监基金字</w:t>
      </w:r>
      <w:r>
        <w:rPr>
          <w:rFonts w:ascii="Times New Roman" w:hAnsi="Times New Roman" w:eastAsia="宋体" w:cs="Times New Roman"/>
          <w:sz w:val="24"/>
          <w:szCs w:val="24"/>
        </w:rPr>
        <w:t>[2006]141</w:t>
      </w:r>
      <w:r>
        <w:rPr>
          <w:rFonts w:hint="eastAsia" w:ascii="Times New Roman" w:hAnsi="Times New Roman" w:eastAsia="宋体" w:cs="Times New Roman"/>
          <w:sz w:val="24"/>
          <w:szCs w:val="24"/>
        </w:rPr>
        <w:t>号）等有关规定，本公司现将旗下部分基金投资非公开发行股票的相关信息公告如下：</w:t>
      </w:r>
    </w:p>
    <w:tbl>
      <w:tblPr>
        <w:tblStyle w:val="5"/>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0"/>
        <w:gridCol w:w="1560"/>
        <w:gridCol w:w="1450"/>
        <w:gridCol w:w="1050"/>
        <w:gridCol w:w="1540"/>
        <w:gridCol w:w="993"/>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0" w:type="dxa"/>
            <w:vAlign w:val="center"/>
          </w:tcPr>
          <w:p>
            <w:pPr>
              <w:autoSpaceDE w:val="0"/>
              <w:autoSpaceDN w:val="0"/>
              <w:adjustRightInd w:val="0"/>
              <w:spacing w:line="360" w:lineRule="auto"/>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基金名称</w:t>
            </w:r>
          </w:p>
        </w:tc>
        <w:tc>
          <w:tcPr>
            <w:tcW w:w="1560" w:type="dxa"/>
            <w:vAlign w:val="center"/>
          </w:tcPr>
          <w:p>
            <w:pPr>
              <w:autoSpaceDE w:val="0"/>
              <w:autoSpaceDN w:val="0"/>
              <w:adjustRightInd w:val="0"/>
              <w:spacing w:line="360" w:lineRule="auto"/>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认购数量（股）</w:t>
            </w:r>
          </w:p>
        </w:tc>
        <w:tc>
          <w:tcPr>
            <w:tcW w:w="1450" w:type="dxa"/>
            <w:vAlign w:val="center"/>
          </w:tcPr>
          <w:p>
            <w:pPr>
              <w:autoSpaceDE w:val="0"/>
              <w:autoSpaceDN w:val="0"/>
              <w:adjustRightInd w:val="0"/>
              <w:spacing w:line="360" w:lineRule="auto"/>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总成本（元）</w:t>
            </w:r>
          </w:p>
        </w:tc>
        <w:tc>
          <w:tcPr>
            <w:tcW w:w="1050" w:type="dxa"/>
            <w:vAlign w:val="center"/>
          </w:tcPr>
          <w:p>
            <w:pPr>
              <w:autoSpaceDE w:val="0"/>
              <w:autoSpaceDN w:val="0"/>
              <w:adjustRightInd w:val="0"/>
              <w:spacing w:line="360" w:lineRule="auto"/>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总成本占基金资产净值比例</w:t>
            </w:r>
          </w:p>
        </w:tc>
        <w:tc>
          <w:tcPr>
            <w:tcW w:w="1540" w:type="dxa"/>
            <w:vAlign w:val="center"/>
          </w:tcPr>
          <w:p>
            <w:pPr>
              <w:autoSpaceDE w:val="0"/>
              <w:autoSpaceDN w:val="0"/>
              <w:adjustRightInd w:val="0"/>
              <w:spacing w:line="360" w:lineRule="auto"/>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账面价值（元）</w:t>
            </w:r>
          </w:p>
        </w:tc>
        <w:tc>
          <w:tcPr>
            <w:tcW w:w="993" w:type="dxa"/>
            <w:vAlign w:val="center"/>
          </w:tcPr>
          <w:p>
            <w:pPr>
              <w:autoSpaceDE w:val="0"/>
              <w:autoSpaceDN w:val="0"/>
              <w:adjustRightInd w:val="0"/>
              <w:spacing w:line="360" w:lineRule="auto"/>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账面价值占基金资产净值比例</w:t>
            </w:r>
          </w:p>
        </w:tc>
        <w:tc>
          <w:tcPr>
            <w:tcW w:w="855" w:type="dxa"/>
            <w:vAlign w:val="center"/>
          </w:tcPr>
          <w:p>
            <w:pPr>
              <w:autoSpaceDE w:val="0"/>
              <w:autoSpaceDN w:val="0"/>
              <w:adjustRightInd w:val="0"/>
              <w:spacing w:line="360" w:lineRule="auto"/>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限售期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1520" w:type="dxa"/>
            <w:vAlign w:val="center"/>
          </w:tcPr>
          <w:p>
            <w:pPr>
              <w:autoSpaceDE w:val="0"/>
              <w:autoSpaceDN w:val="0"/>
              <w:adjustRightInd w:val="0"/>
              <w:spacing w:line="360" w:lineRule="auto"/>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交银施罗德先进制造混合型证券投资基金</w:t>
            </w:r>
          </w:p>
        </w:tc>
        <w:tc>
          <w:tcPr>
            <w:tcW w:w="1560" w:type="dxa"/>
            <w:vAlign w:val="center"/>
          </w:tcPr>
          <w:p>
            <w:pPr>
              <w:jc w:val="center"/>
              <w:rPr>
                <w:rFonts w:ascii="Times New Roman" w:hAnsi="Times New Roman" w:eastAsia="等线" w:cs="Times New Roman"/>
                <w:color w:val="000000"/>
                <w:kern w:val="0"/>
                <w:sz w:val="22"/>
                <w:szCs w:val="22"/>
              </w:rPr>
            </w:pPr>
            <w:r>
              <w:rPr>
                <w:rFonts w:hint="eastAsia" w:ascii="Times New Roman" w:hAnsi="Times New Roman" w:eastAsia="等线" w:cs="Times New Roman"/>
                <w:color w:val="000000"/>
                <w:kern w:val="0"/>
                <w:sz w:val="22"/>
                <w:szCs w:val="22"/>
              </w:rPr>
              <w:t>24,397,661.00</w:t>
            </w:r>
          </w:p>
        </w:tc>
        <w:tc>
          <w:tcPr>
            <w:tcW w:w="1450" w:type="dxa"/>
            <w:vAlign w:val="center"/>
          </w:tcPr>
          <w:p>
            <w:pPr>
              <w:jc w:val="center"/>
              <w:rPr>
                <w:rFonts w:ascii="Times New Roman" w:hAnsi="Times New Roman" w:eastAsia="等线" w:cs="Times New Roman"/>
                <w:color w:val="000000"/>
                <w:kern w:val="0"/>
                <w:sz w:val="22"/>
                <w:szCs w:val="22"/>
              </w:rPr>
            </w:pPr>
            <w:r>
              <w:rPr>
                <w:rFonts w:hint="eastAsia" w:ascii="Times New Roman" w:hAnsi="Times New Roman" w:eastAsia="等线" w:cs="Times New Roman"/>
                <w:color w:val="000000"/>
                <w:kern w:val="0"/>
                <w:sz w:val="22"/>
                <w:szCs w:val="22"/>
              </w:rPr>
              <w:t>83,440,000.62</w:t>
            </w:r>
          </w:p>
        </w:tc>
        <w:tc>
          <w:tcPr>
            <w:tcW w:w="1050" w:type="dxa"/>
            <w:vAlign w:val="center"/>
          </w:tcPr>
          <w:p>
            <w:pPr>
              <w:jc w:val="center"/>
              <w:rPr>
                <w:rFonts w:ascii="Times New Roman" w:hAnsi="Times New Roman" w:eastAsia="等线" w:cs="Times New Roman"/>
                <w:color w:val="000000"/>
                <w:kern w:val="0"/>
                <w:sz w:val="22"/>
                <w:szCs w:val="22"/>
              </w:rPr>
            </w:pPr>
            <w:r>
              <w:rPr>
                <w:rFonts w:hint="eastAsia" w:ascii="Times New Roman" w:hAnsi="Times New Roman" w:eastAsia="等线" w:cs="Times New Roman"/>
                <w:color w:val="000000"/>
                <w:kern w:val="0"/>
                <w:sz w:val="22"/>
                <w:szCs w:val="22"/>
              </w:rPr>
              <w:t>0.84%</w:t>
            </w:r>
          </w:p>
        </w:tc>
        <w:tc>
          <w:tcPr>
            <w:tcW w:w="1540" w:type="dxa"/>
            <w:vAlign w:val="center"/>
          </w:tcPr>
          <w:p>
            <w:pPr>
              <w:jc w:val="center"/>
              <w:rPr>
                <w:rFonts w:ascii="Times New Roman" w:hAnsi="Times New Roman" w:eastAsia="等线" w:cs="Times New Roman"/>
                <w:color w:val="000000"/>
                <w:kern w:val="0"/>
                <w:sz w:val="22"/>
                <w:szCs w:val="22"/>
              </w:rPr>
            </w:pPr>
            <w:r>
              <w:rPr>
                <w:rFonts w:hint="eastAsia" w:ascii="Times New Roman" w:hAnsi="Times New Roman" w:eastAsia="等线" w:cs="Times New Roman"/>
                <w:color w:val="000000"/>
                <w:kern w:val="0"/>
                <w:sz w:val="22"/>
                <w:szCs w:val="22"/>
              </w:rPr>
              <w:t>85,391,813.50</w:t>
            </w:r>
          </w:p>
        </w:tc>
        <w:tc>
          <w:tcPr>
            <w:tcW w:w="993" w:type="dxa"/>
            <w:vAlign w:val="center"/>
          </w:tcPr>
          <w:p>
            <w:pPr>
              <w:jc w:val="center"/>
              <w:rPr>
                <w:rFonts w:ascii="Times New Roman" w:hAnsi="Times New Roman" w:eastAsia="等线" w:cs="Times New Roman"/>
                <w:color w:val="000000"/>
                <w:kern w:val="0"/>
                <w:sz w:val="22"/>
                <w:szCs w:val="22"/>
              </w:rPr>
            </w:pPr>
            <w:r>
              <w:rPr>
                <w:rFonts w:hint="eastAsia" w:ascii="Times New Roman" w:hAnsi="Times New Roman" w:eastAsia="等线" w:cs="Times New Roman"/>
                <w:color w:val="000000"/>
                <w:kern w:val="0"/>
                <w:sz w:val="22"/>
                <w:szCs w:val="22"/>
              </w:rPr>
              <w:t>0.86%</w:t>
            </w:r>
          </w:p>
        </w:tc>
        <w:tc>
          <w:tcPr>
            <w:tcW w:w="855" w:type="dxa"/>
            <w:vAlign w:val="center"/>
          </w:tcPr>
          <w:p>
            <w:pPr>
              <w:autoSpaceDE w:val="0"/>
              <w:autoSpaceDN w:val="0"/>
              <w:adjustRightInd w:val="0"/>
              <w:spacing w:line="360" w:lineRule="auto"/>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6</w:t>
            </w:r>
            <w:r>
              <w:rPr>
                <w:rFonts w:hint="eastAsia" w:ascii="Times New Roman" w:hAnsi="Times New Roman" w:eastAsia="宋体" w:cs="Times New Roman"/>
                <w:color w:val="000000"/>
                <w:kern w:val="0"/>
                <w:sz w:val="21"/>
                <w:szCs w:val="21"/>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0" w:type="dxa"/>
            <w:vAlign w:val="center"/>
          </w:tcPr>
          <w:p>
            <w:pPr>
              <w:autoSpaceDE w:val="0"/>
              <w:autoSpaceDN w:val="0"/>
              <w:adjustRightInd w:val="0"/>
              <w:spacing w:line="360" w:lineRule="auto"/>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交银施罗德瑞卓三年持有期混合型证券投资基金</w:t>
            </w:r>
          </w:p>
        </w:tc>
        <w:tc>
          <w:tcPr>
            <w:tcW w:w="1560" w:type="dxa"/>
            <w:vAlign w:val="center"/>
          </w:tcPr>
          <w:p>
            <w:pPr>
              <w:jc w:val="center"/>
              <w:rPr>
                <w:rFonts w:ascii="Times New Roman" w:hAnsi="Times New Roman" w:eastAsia="等线" w:cs="Times New Roman"/>
                <w:color w:val="000000"/>
                <w:kern w:val="0"/>
                <w:sz w:val="22"/>
                <w:szCs w:val="22"/>
              </w:rPr>
            </w:pPr>
            <w:r>
              <w:rPr>
                <w:rFonts w:hint="eastAsia" w:ascii="Times New Roman" w:hAnsi="Times New Roman" w:eastAsia="等线" w:cs="Times New Roman"/>
                <w:color w:val="000000"/>
                <w:kern w:val="0"/>
                <w:sz w:val="22"/>
                <w:szCs w:val="22"/>
              </w:rPr>
              <w:t>5,652,046.00</w:t>
            </w:r>
          </w:p>
        </w:tc>
        <w:tc>
          <w:tcPr>
            <w:tcW w:w="1450" w:type="dxa"/>
            <w:vAlign w:val="center"/>
          </w:tcPr>
          <w:p>
            <w:pPr>
              <w:jc w:val="center"/>
              <w:rPr>
                <w:rFonts w:ascii="Times New Roman" w:hAnsi="Times New Roman" w:eastAsia="等线" w:cs="Times New Roman"/>
                <w:color w:val="000000"/>
                <w:kern w:val="0"/>
                <w:sz w:val="22"/>
                <w:szCs w:val="22"/>
              </w:rPr>
            </w:pPr>
            <w:r>
              <w:rPr>
                <w:rFonts w:hint="eastAsia" w:ascii="Times New Roman" w:hAnsi="Times New Roman" w:eastAsia="等线" w:cs="Times New Roman"/>
                <w:color w:val="000000"/>
                <w:kern w:val="0"/>
                <w:sz w:val="22"/>
                <w:szCs w:val="22"/>
              </w:rPr>
              <w:t>19,329,997.32</w:t>
            </w:r>
          </w:p>
        </w:tc>
        <w:tc>
          <w:tcPr>
            <w:tcW w:w="1050" w:type="dxa"/>
            <w:vAlign w:val="center"/>
          </w:tcPr>
          <w:p>
            <w:pPr>
              <w:jc w:val="center"/>
              <w:rPr>
                <w:rFonts w:ascii="Times New Roman" w:hAnsi="Times New Roman" w:eastAsia="等线" w:cs="Times New Roman"/>
                <w:color w:val="000000"/>
                <w:kern w:val="0"/>
                <w:sz w:val="22"/>
                <w:szCs w:val="22"/>
              </w:rPr>
            </w:pPr>
            <w:r>
              <w:rPr>
                <w:rFonts w:hint="eastAsia" w:ascii="Times New Roman" w:hAnsi="Times New Roman" w:eastAsia="等线" w:cs="Times New Roman"/>
                <w:color w:val="000000"/>
                <w:kern w:val="0"/>
                <w:sz w:val="22"/>
                <w:szCs w:val="22"/>
              </w:rPr>
              <w:t>0.99%</w:t>
            </w:r>
          </w:p>
        </w:tc>
        <w:tc>
          <w:tcPr>
            <w:tcW w:w="1540" w:type="dxa"/>
            <w:vAlign w:val="center"/>
          </w:tcPr>
          <w:p>
            <w:pPr>
              <w:jc w:val="center"/>
              <w:rPr>
                <w:rFonts w:ascii="Times New Roman" w:hAnsi="Times New Roman" w:eastAsia="等线" w:cs="Times New Roman"/>
                <w:color w:val="000000"/>
                <w:kern w:val="0"/>
                <w:sz w:val="22"/>
                <w:szCs w:val="22"/>
              </w:rPr>
            </w:pPr>
            <w:r>
              <w:rPr>
                <w:rFonts w:hint="eastAsia" w:ascii="Times New Roman" w:hAnsi="Times New Roman" w:eastAsia="等线" w:cs="Times New Roman"/>
                <w:color w:val="000000"/>
                <w:kern w:val="0"/>
                <w:sz w:val="22"/>
                <w:szCs w:val="22"/>
              </w:rPr>
              <w:t>19,782,161.00</w:t>
            </w:r>
          </w:p>
        </w:tc>
        <w:tc>
          <w:tcPr>
            <w:tcW w:w="993" w:type="dxa"/>
            <w:vAlign w:val="center"/>
          </w:tcPr>
          <w:p>
            <w:pPr>
              <w:jc w:val="center"/>
              <w:rPr>
                <w:rFonts w:ascii="Times New Roman" w:hAnsi="Times New Roman" w:eastAsia="等线" w:cs="Times New Roman"/>
                <w:color w:val="000000"/>
                <w:kern w:val="0"/>
                <w:sz w:val="22"/>
                <w:szCs w:val="22"/>
              </w:rPr>
            </w:pPr>
            <w:r>
              <w:rPr>
                <w:rFonts w:hint="eastAsia" w:ascii="Times New Roman" w:hAnsi="Times New Roman" w:eastAsia="等线" w:cs="Times New Roman"/>
                <w:color w:val="000000"/>
                <w:kern w:val="0"/>
                <w:sz w:val="22"/>
                <w:szCs w:val="22"/>
              </w:rPr>
              <w:t>1.01%</w:t>
            </w:r>
          </w:p>
        </w:tc>
        <w:tc>
          <w:tcPr>
            <w:tcW w:w="855" w:type="dxa"/>
            <w:vAlign w:val="center"/>
          </w:tcPr>
          <w:p>
            <w:pPr>
              <w:autoSpaceDE w:val="0"/>
              <w:autoSpaceDN w:val="0"/>
              <w:adjustRightInd w:val="0"/>
              <w:spacing w:line="360" w:lineRule="auto"/>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6</w:t>
            </w:r>
            <w:r>
              <w:rPr>
                <w:rFonts w:hint="eastAsia" w:ascii="Times New Roman" w:hAnsi="Times New Roman" w:eastAsia="宋体" w:cs="Times New Roman"/>
                <w:color w:val="000000"/>
                <w:kern w:val="0"/>
                <w:sz w:val="21"/>
                <w:szCs w:val="21"/>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0" w:type="dxa"/>
            <w:vAlign w:val="center"/>
          </w:tcPr>
          <w:p>
            <w:pPr>
              <w:autoSpaceDE w:val="0"/>
              <w:autoSpaceDN w:val="0"/>
              <w:adjustRightInd w:val="0"/>
              <w:spacing w:line="360" w:lineRule="auto"/>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交银施罗德经济新动力混合型证券投资基金</w:t>
            </w:r>
          </w:p>
        </w:tc>
        <w:tc>
          <w:tcPr>
            <w:tcW w:w="1560" w:type="dxa"/>
            <w:vAlign w:val="center"/>
          </w:tcPr>
          <w:p>
            <w:pPr>
              <w:jc w:val="center"/>
              <w:rPr>
                <w:rFonts w:ascii="Times New Roman" w:hAnsi="Times New Roman" w:eastAsia="等线" w:cs="Times New Roman"/>
                <w:color w:val="000000"/>
                <w:kern w:val="0"/>
                <w:sz w:val="22"/>
                <w:szCs w:val="22"/>
              </w:rPr>
            </w:pPr>
            <w:r>
              <w:rPr>
                <w:rFonts w:hint="eastAsia" w:ascii="Times New Roman" w:hAnsi="Times New Roman" w:eastAsia="等线" w:cs="Times New Roman"/>
                <w:color w:val="000000"/>
                <w:kern w:val="0"/>
                <w:sz w:val="22"/>
                <w:szCs w:val="22"/>
              </w:rPr>
              <w:t>11,959,064.00</w:t>
            </w:r>
          </w:p>
        </w:tc>
        <w:tc>
          <w:tcPr>
            <w:tcW w:w="1450" w:type="dxa"/>
            <w:vAlign w:val="center"/>
          </w:tcPr>
          <w:p>
            <w:pPr>
              <w:jc w:val="center"/>
              <w:rPr>
                <w:rFonts w:ascii="Times New Roman" w:hAnsi="Times New Roman" w:eastAsia="等线" w:cs="Times New Roman"/>
                <w:color w:val="000000"/>
                <w:kern w:val="0"/>
                <w:sz w:val="22"/>
                <w:szCs w:val="22"/>
              </w:rPr>
            </w:pPr>
            <w:r>
              <w:rPr>
                <w:rFonts w:hint="eastAsia" w:ascii="Times New Roman" w:hAnsi="Times New Roman" w:eastAsia="等线" w:cs="Times New Roman"/>
                <w:color w:val="000000"/>
                <w:kern w:val="0"/>
                <w:sz w:val="22"/>
                <w:szCs w:val="22"/>
              </w:rPr>
              <w:t>40,899,998.88</w:t>
            </w:r>
          </w:p>
        </w:tc>
        <w:tc>
          <w:tcPr>
            <w:tcW w:w="1050" w:type="dxa"/>
            <w:vAlign w:val="center"/>
          </w:tcPr>
          <w:p>
            <w:pPr>
              <w:jc w:val="center"/>
              <w:rPr>
                <w:rFonts w:ascii="Times New Roman" w:hAnsi="Times New Roman" w:eastAsia="等线" w:cs="Times New Roman"/>
                <w:color w:val="000000"/>
                <w:kern w:val="0"/>
                <w:sz w:val="22"/>
                <w:szCs w:val="22"/>
              </w:rPr>
            </w:pPr>
            <w:r>
              <w:rPr>
                <w:rFonts w:hint="eastAsia" w:ascii="Times New Roman" w:hAnsi="Times New Roman" w:eastAsia="等线" w:cs="Times New Roman"/>
                <w:color w:val="000000"/>
                <w:kern w:val="0"/>
                <w:sz w:val="22"/>
                <w:szCs w:val="22"/>
              </w:rPr>
              <w:t>1.00%</w:t>
            </w:r>
          </w:p>
        </w:tc>
        <w:tc>
          <w:tcPr>
            <w:tcW w:w="1540" w:type="dxa"/>
            <w:vAlign w:val="center"/>
          </w:tcPr>
          <w:p>
            <w:pPr>
              <w:jc w:val="center"/>
              <w:rPr>
                <w:rFonts w:ascii="Times New Roman" w:hAnsi="Times New Roman" w:eastAsia="等线" w:cs="Times New Roman"/>
                <w:color w:val="000000"/>
                <w:kern w:val="0"/>
                <w:sz w:val="22"/>
                <w:szCs w:val="22"/>
              </w:rPr>
            </w:pPr>
            <w:r>
              <w:rPr>
                <w:rFonts w:hint="eastAsia" w:ascii="Times New Roman" w:hAnsi="Times New Roman" w:eastAsia="等线" w:cs="Times New Roman"/>
                <w:color w:val="000000"/>
                <w:kern w:val="0"/>
                <w:sz w:val="22"/>
                <w:szCs w:val="22"/>
              </w:rPr>
              <w:t>41,856,724.00</w:t>
            </w:r>
          </w:p>
        </w:tc>
        <w:tc>
          <w:tcPr>
            <w:tcW w:w="993" w:type="dxa"/>
            <w:vAlign w:val="center"/>
          </w:tcPr>
          <w:p>
            <w:pPr>
              <w:jc w:val="center"/>
              <w:rPr>
                <w:rFonts w:ascii="Times New Roman" w:hAnsi="Times New Roman" w:eastAsia="等线" w:cs="Times New Roman"/>
                <w:color w:val="000000"/>
                <w:kern w:val="0"/>
                <w:sz w:val="22"/>
                <w:szCs w:val="22"/>
              </w:rPr>
            </w:pPr>
            <w:r>
              <w:rPr>
                <w:rFonts w:hint="eastAsia" w:ascii="Times New Roman" w:hAnsi="Times New Roman" w:eastAsia="等线" w:cs="Times New Roman"/>
                <w:color w:val="000000"/>
                <w:kern w:val="0"/>
                <w:sz w:val="22"/>
                <w:szCs w:val="22"/>
              </w:rPr>
              <w:t>1.02%</w:t>
            </w:r>
          </w:p>
        </w:tc>
        <w:tc>
          <w:tcPr>
            <w:tcW w:w="855" w:type="dxa"/>
            <w:vAlign w:val="center"/>
          </w:tcPr>
          <w:p>
            <w:pPr>
              <w:autoSpaceDE w:val="0"/>
              <w:autoSpaceDN w:val="0"/>
              <w:adjustRightInd w:val="0"/>
              <w:spacing w:line="360" w:lineRule="auto"/>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6</w:t>
            </w:r>
            <w:r>
              <w:rPr>
                <w:rFonts w:hint="eastAsia" w:ascii="Times New Roman" w:hAnsi="Times New Roman" w:eastAsia="宋体" w:cs="Times New Roman"/>
                <w:color w:val="000000"/>
                <w:kern w:val="0"/>
                <w:sz w:val="21"/>
                <w:szCs w:val="21"/>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0" w:type="dxa"/>
            <w:vAlign w:val="center"/>
          </w:tcPr>
          <w:p>
            <w:pPr>
              <w:autoSpaceDE w:val="0"/>
              <w:autoSpaceDN w:val="0"/>
              <w:adjustRightInd w:val="0"/>
              <w:spacing w:line="360" w:lineRule="auto"/>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交银施罗德成长30混合型证券投资基金</w:t>
            </w:r>
          </w:p>
        </w:tc>
        <w:tc>
          <w:tcPr>
            <w:tcW w:w="1560" w:type="dxa"/>
            <w:vAlign w:val="center"/>
          </w:tcPr>
          <w:p>
            <w:pPr>
              <w:jc w:val="center"/>
              <w:rPr>
                <w:rFonts w:ascii="Times New Roman" w:hAnsi="Times New Roman" w:eastAsia="等线" w:cs="Times New Roman"/>
                <w:color w:val="000000"/>
                <w:kern w:val="0"/>
                <w:sz w:val="22"/>
                <w:szCs w:val="22"/>
              </w:rPr>
            </w:pPr>
            <w:r>
              <w:rPr>
                <w:rFonts w:hint="eastAsia" w:ascii="Times New Roman" w:hAnsi="Times New Roman" w:eastAsia="等线" w:cs="Times New Roman"/>
                <w:color w:val="000000"/>
                <w:kern w:val="0"/>
                <w:sz w:val="22"/>
                <w:szCs w:val="22"/>
              </w:rPr>
              <w:t>3,391,813.00</w:t>
            </w:r>
          </w:p>
        </w:tc>
        <w:tc>
          <w:tcPr>
            <w:tcW w:w="1450" w:type="dxa"/>
            <w:vAlign w:val="center"/>
          </w:tcPr>
          <w:p>
            <w:pPr>
              <w:jc w:val="center"/>
              <w:rPr>
                <w:rFonts w:ascii="Times New Roman" w:hAnsi="Times New Roman" w:eastAsia="等线" w:cs="Times New Roman"/>
                <w:color w:val="000000"/>
                <w:kern w:val="0"/>
                <w:sz w:val="22"/>
                <w:szCs w:val="22"/>
              </w:rPr>
            </w:pPr>
            <w:r>
              <w:rPr>
                <w:rFonts w:hint="eastAsia" w:ascii="Times New Roman" w:hAnsi="Times New Roman" w:eastAsia="等线" w:cs="Times New Roman"/>
                <w:color w:val="000000"/>
                <w:kern w:val="0"/>
                <w:sz w:val="22"/>
                <w:szCs w:val="22"/>
              </w:rPr>
              <w:t>11,600,000.46</w:t>
            </w:r>
          </w:p>
        </w:tc>
        <w:tc>
          <w:tcPr>
            <w:tcW w:w="1050" w:type="dxa"/>
            <w:vAlign w:val="center"/>
          </w:tcPr>
          <w:p>
            <w:pPr>
              <w:jc w:val="center"/>
              <w:rPr>
                <w:rFonts w:ascii="Times New Roman" w:hAnsi="Times New Roman" w:eastAsia="等线" w:cs="Times New Roman"/>
                <w:color w:val="000000"/>
                <w:kern w:val="0"/>
                <w:sz w:val="22"/>
                <w:szCs w:val="22"/>
              </w:rPr>
            </w:pPr>
            <w:r>
              <w:rPr>
                <w:rFonts w:hint="eastAsia" w:ascii="Times New Roman" w:hAnsi="Times New Roman" w:eastAsia="等线" w:cs="Times New Roman"/>
                <w:color w:val="000000"/>
                <w:kern w:val="0"/>
                <w:sz w:val="22"/>
                <w:szCs w:val="22"/>
              </w:rPr>
              <w:t>1.00%</w:t>
            </w:r>
          </w:p>
        </w:tc>
        <w:tc>
          <w:tcPr>
            <w:tcW w:w="1540" w:type="dxa"/>
            <w:vAlign w:val="center"/>
          </w:tcPr>
          <w:p>
            <w:pPr>
              <w:jc w:val="center"/>
              <w:rPr>
                <w:rFonts w:ascii="Times New Roman" w:hAnsi="Times New Roman" w:eastAsia="等线" w:cs="Times New Roman"/>
                <w:color w:val="000000"/>
                <w:kern w:val="0"/>
                <w:sz w:val="22"/>
                <w:szCs w:val="22"/>
              </w:rPr>
            </w:pPr>
            <w:r>
              <w:rPr>
                <w:rFonts w:hint="eastAsia" w:ascii="Times New Roman" w:hAnsi="Times New Roman" w:eastAsia="等线" w:cs="Times New Roman"/>
                <w:color w:val="000000"/>
                <w:kern w:val="0"/>
                <w:sz w:val="22"/>
                <w:szCs w:val="22"/>
              </w:rPr>
              <w:t>11,871,345.50</w:t>
            </w:r>
          </w:p>
        </w:tc>
        <w:tc>
          <w:tcPr>
            <w:tcW w:w="993" w:type="dxa"/>
            <w:vAlign w:val="center"/>
          </w:tcPr>
          <w:p>
            <w:pPr>
              <w:jc w:val="center"/>
              <w:rPr>
                <w:rFonts w:ascii="Times New Roman" w:hAnsi="Times New Roman" w:eastAsia="等线" w:cs="Times New Roman"/>
                <w:color w:val="000000"/>
                <w:kern w:val="0"/>
                <w:sz w:val="22"/>
                <w:szCs w:val="22"/>
              </w:rPr>
            </w:pPr>
            <w:r>
              <w:rPr>
                <w:rFonts w:hint="eastAsia" w:ascii="Times New Roman" w:hAnsi="Times New Roman" w:eastAsia="等线" w:cs="Times New Roman"/>
                <w:color w:val="000000"/>
                <w:kern w:val="0"/>
                <w:sz w:val="22"/>
                <w:szCs w:val="22"/>
              </w:rPr>
              <w:t>1.02%</w:t>
            </w:r>
          </w:p>
        </w:tc>
        <w:tc>
          <w:tcPr>
            <w:tcW w:w="855" w:type="dxa"/>
            <w:vAlign w:val="center"/>
          </w:tcPr>
          <w:p>
            <w:pPr>
              <w:autoSpaceDE w:val="0"/>
              <w:autoSpaceDN w:val="0"/>
              <w:adjustRightInd w:val="0"/>
              <w:spacing w:line="360" w:lineRule="auto"/>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6</w:t>
            </w:r>
            <w:r>
              <w:rPr>
                <w:rFonts w:hint="eastAsia" w:ascii="Times New Roman" w:hAnsi="Times New Roman" w:eastAsia="宋体" w:cs="Times New Roman"/>
                <w:color w:val="000000"/>
                <w:kern w:val="0"/>
                <w:sz w:val="21"/>
                <w:szCs w:val="21"/>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0" w:type="dxa"/>
            <w:vAlign w:val="center"/>
          </w:tcPr>
          <w:p>
            <w:pPr>
              <w:autoSpaceDE w:val="0"/>
              <w:autoSpaceDN w:val="0"/>
              <w:adjustRightInd w:val="0"/>
              <w:spacing w:line="360" w:lineRule="auto"/>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交银施罗德均衡成长一年持有期混合型证券投资基金</w:t>
            </w:r>
          </w:p>
        </w:tc>
        <w:tc>
          <w:tcPr>
            <w:tcW w:w="1560" w:type="dxa"/>
            <w:vAlign w:val="center"/>
          </w:tcPr>
          <w:p>
            <w:pPr>
              <w:jc w:val="center"/>
              <w:rPr>
                <w:rFonts w:ascii="Times New Roman" w:hAnsi="Times New Roman" w:eastAsia="等线" w:cs="Times New Roman"/>
                <w:color w:val="000000"/>
                <w:kern w:val="0"/>
                <w:sz w:val="22"/>
                <w:szCs w:val="22"/>
              </w:rPr>
            </w:pPr>
            <w:r>
              <w:rPr>
                <w:rFonts w:hint="eastAsia" w:ascii="Times New Roman" w:hAnsi="Times New Roman" w:eastAsia="等线" w:cs="Times New Roman"/>
                <w:color w:val="000000"/>
                <w:kern w:val="0"/>
                <w:sz w:val="22"/>
                <w:szCs w:val="22"/>
              </w:rPr>
              <w:t>13,859,649.00</w:t>
            </w:r>
          </w:p>
        </w:tc>
        <w:tc>
          <w:tcPr>
            <w:tcW w:w="1450" w:type="dxa"/>
            <w:vAlign w:val="center"/>
          </w:tcPr>
          <w:p>
            <w:pPr>
              <w:jc w:val="center"/>
              <w:rPr>
                <w:rFonts w:ascii="Times New Roman" w:hAnsi="Times New Roman" w:eastAsia="等线" w:cs="Times New Roman"/>
                <w:color w:val="000000"/>
                <w:kern w:val="0"/>
                <w:sz w:val="22"/>
                <w:szCs w:val="22"/>
              </w:rPr>
            </w:pPr>
            <w:r>
              <w:rPr>
                <w:rFonts w:hint="eastAsia" w:ascii="Times New Roman" w:hAnsi="Times New Roman" w:eastAsia="等线" w:cs="Times New Roman"/>
                <w:color w:val="000000"/>
                <w:kern w:val="0"/>
                <w:sz w:val="22"/>
                <w:szCs w:val="22"/>
              </w:rPr>
              <w:t>47,399,999.58</w:t>
            </w:r>
          </w:p>
        </w:tc>
        <w:tc>
          <w:tcPr>
            <w:tcW w:w="1050" w:type="dxa"/>
            <w:vAlign w:val="center"/>
          </w:tcPr>
          <w:p>
            <w:pPr>
              <w:jc w:val="center"/>
              <w:rPr>
                <w:rFonts w:ascii="Times New Roman" w:hAnsi="Times New Roman" w:eastAsia="等线" w:cs="Times New Roman"/>
                <w:color w:val="000000"/>
                <w:kern w:val="0"/>
                <w:sz w:val="22"/>
                <w:szCs w:val="22"/>
              </w:rPr>
            </w:pPr>
            <w:r>
              <w:rPr>
                <w:rFonts w:hint="eastAsia" w:ascii="Times New Roman" w:hAnsi="Times New Roman" w:eastAsia="等线" w:cs="Times New Roman"/>
                <w:color w:val="000000"/>
                <w:kern w:val="0"/>
                <w:sz w:val="22"/>
                <w:szCs w:val="22"/>
              </w:rPr>
              <w:t>1.05%</w:t>
            </w:r>
          </w:p>
        </w:tc>
        <w:tc>
          <w:tcPr>
            <w:tcW w:w="1540" w:type="dxa"/>
            <w:vAlign w:val="center"/>
          </w:tcPr>
          <w:p>
            <w:pPr>
              <w:jc w:val="center"/>
              <w:rPr>
                <w:rFonts w:ascii="Times New Roman" w:hAnsi="Times New Roman" w:eastAsia="等线" w:cs="Times New Roman"/>
                <w:color w:val="000000"/>
                <w:kern w:val="0"/>
                <w:sz w:val="22"/>
                <w:szCs w:val="22"/>
              </w:rPr>
            </w:pPr>
            <w:r>
              <w:rPr>
                <w:rFonts w:hint="eastAsia" w:ascii="Times New Roman" w:hAnsi="Times New Roman" w:eastAsia="等线" w:cs="Times New Roman"/>
                <w:color w:val="000000"/>
                <w:kern w:val="0"/>
                <w:sz w:val="22"/>
                <w:szCs w:val="22"/>
              </w:rPr>
              <w:t>48,508,771.50</w:t>
            </w:r>
          </w:p>
        </w:tc>
        <w:tc>
          <w:tcPr>
            <w:tcW w:w="993" w:type="dxa"/>
            <w:vAlign w:val="center"/>
          </w:tcPr>
          <w:p>
            <w:pPr>
              <w:jc w:val="center"/>
              <w:rPr>
                <w:rFonts w:ascii="Times New Roman" w:hAnsi="Times New Roman" w:eastAsia="等线" w:cs="Times New Roman"/>
                <w:color w:val="000000"/>
                <w:kern w:val="0"/>
                <w:sz w:val="22"/>
                <w:szCs w:val="22"/>
              </w:rPr>
            </w:pPr>
            <w:r>
              <w:rPr>
                <w:rFonts w:hint="eastAsia" w:ascii="Times New Roman" w:hAnsi="Times New Roman" w:eastAsia="等线" w:cs="Times New Roman"/>
                <w:color w:val="000000"/>
                <w:kern w:val="0"/>
                <w:sz w:val="22"/>
                <w:szCs w:val="22"/>
              </w:rPr>
              <w:t>1.08%</w:t>
            </w:r>
          </w:p>
        </w:tc>
        <w:tc>
          <w:tcPr>
            <w:tcW w:w="855" w:type="dxa"/>
            <w:vAlign w:val="center"/>
          </w:tcPr>
          <w:p>
            <w:pPr>
              <w:autoSpaceDE w:val="0"/>
              <w:autoSpaceDN w:val="0"/>
              <w:adjustRightInd w:val="0"/>
              <w:spacing w:line="360" w:lineRule="auto"/>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6</w:t>
            </w:r>
            <w:r>
              <w:rPr>
                <w:rFonts w:hint="eastAsia" w:ascii="Times New Roman" w:hAnsi="Times New Roman" w:eastAsia="宋体" w:cs="Times New Roman"/>
                <w:color w:val="000000"/>
                <w:kern w:val="0"/>
                <w:sz w:val="21"/>
                <w:szCs w:val="21"/>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0" w:type="dxa"/>
            <w:vAlign w:val="center"/>
          </w:tcPr>
          <w:p>
            <w:pPr>
              <w:autoSpaceDE w:val="0"/>
              <w:autoSpaceDN w:val="0"/>
              <w:adjustRightInd w:val="0"/>
              <w:spacing w:line="360" w:lineRule="auto"/>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交银施罗德科锐科技创新混合型证券投资基金</w:t>
            </w:r>
          </w:p>
        </w:tc>
        <w:tc>
          <w:tcPr>
            <w:tcW w:w="1560" w:type="dxa"/>
            <w:vAlign w:val="center"/>
          </w:tcPr>
          <w:p>
            <w:pPr>
              <w:jc w:val="center"/>
              <w:rPr>
                <w:rFonts w:ascii="Times New Roman" w:hAnsi="Times New Roman" w:eastAsia="等线" w:cs="Times New Roman"/>
                <w:color w:val="000000"/>
                <w:kern w:val="0"/>
                <w:sz w:val="22"/>
                <w:szCs w:val="22"/>
              </w:rPr>
            </w:pPr>
            <w:r>
              <w:rPr>
                <w:rFonts w:hint="eastAsia" w:ascii="Times New Roman" w:hAnsi="Times New Roman" w:eastAsia="等线" w:cs="Times New Roman"/>
                <w:color w:val="000000"/>
                <w:kern w:val="0"/>
                <w:sz w:val="22"/>
                <w:szCs w:val="22"/>
              </w:rPr>
              <w:t>1,754,386.00</w:t>
            </w:r>
          </w:p>
        </w:tc>
        <w:tc>
          <w:tcPr>
            <w:tcW w:w="1450" w:type="dxa"/>
            <w:vAlign w:val="center"/>
          </w:tcPr>
          <w:p>
            <w:pPr>
              <w:jc w:val="center"/>
              <w:rPr>
                <w:rFonts w:ascii="Times New Roman" w:hAnsi="Times New Roman" w:eastAsia="等线" w:cs="Times New Roman"/>
                <w:color w:val="000000"/>
                <w:kern w:val="0"/>
                <w:sz w:val="22"/>
                <w:szCs w:val="22"/>
              </w:rPr>
            </w:pPr>
            <w:r>
              <w:rPr>
                <w:rFonts w:hint="eastAsia" w:ascii="Times New Roman" w:hAnsi="Times New Roman" w:eastAsia="等线" w:cs="Times New Roman"/>
                <w:color w:val="000000"/>
                <w:kern w:val="0"/>
                <w:sz w:val="22"/>
                <w:szCs w:val="22"/>
              </w:rPr>
              <w:t>6,000,000.12</w:t>
            </w:r>
          </w:p>
        </w:tc>
        <w:tc>
          <w:tcPr>
            <w:tcW w:w="1050" w:type="dxa"/>
            <w:vAlign w:val="center"/>
          </w:tcPr>
          <w:p>
            <w:pPr>
              <w:jc w:val="center"/>
              <w:rPr>
                <w:rFonts w:ascii="Times New Roman" w:hAnsi="Times New Roman" w:eastAsia="等线" w:cs="Times New Roman"/>
                <w:color w:val="000000"/>
                <w:kern w:val="0"/>
                <w:sz w:val="22"/>
                <w:szCs w:val="22"/>
              </w:rPr>
            </w:pPr>
            <w:r>
              <w:rPr>
                <w:rFonts w:hint="eastAsia" w:ascii="Times New Roman" w:hAnsi="Times New Roman" w:eastAsia="等线" w:cs="Times New Roman"/>
                <w:color w:val="000000"/>
                <w:kern w:val="0"/>
                <w:sz w:val="22"/>
                <w:szCs w:val="22"/>
              </w:rPr>
              <w:t>0.85%</w:t>
            </w:r>
          </w:p>
        </w:tc>
        <w:tc>
          <w:tcPr>
            <w:tcW w:w="1540" w:type="dxa"/>
            <w:vAlign w:val="center"/>
          </w:tcPr>
          <w:p>
            <w:pPr>
              <w:jc w:val="center"/>
              <w:rPr>
                <w:rFonts w:ascii="Times New Roman" w:hAnsi="Times New Roman" w:eastAsia="等线" w:cs="Times New Roman"/>
                <w:color w:val="000000"/>
                <w:kern w:val="0"/>
                <w:sz w:val="22"/>
                <w:szCs w:val="22"/>
              </w:rPr>
            </w:pPr>
            <w:r>
              <w:rPr>
                <w:rFonts w:hint="eastAsia" w:ascii="Times New Roman" w:hAnsi="Times New Roman" w:eastAsia="等线" w:cs="Times New Roman"/>
                <w:color w:val="000000"/>
                <w:kern w:val="0"/>
                <w:sz w:val="22"/>
                <w:szCs w:val="22"/>
              </w:rPr>
              <w:t>6,140,351.00</w:t>
            </w:r>
          </w:p>
        </w:tc>
        <w:tc>
          <w:tcPr>
            <w:tcW w:w="993" w:type="dxa"/>
            <w:vAlign w:val="center"/>
          </w:tcPr>
          <w:p>
            <w:pPr>
              <w:jc w:val="center"/>
              <w:rPr>
                <w:rFonts w:ascii="Times New Roman" w:hAnsi="Times New Roman" w:eastAsia="等线" w:cs="Times New Roman"/>
                <w:color w:val="000000"/>
                <w:kern w:val="0"/>
                <w:sz w:val="22"/>
                <w:szCs w:val="22"/>
              </w:rPr>
            </w:pPr>
            <w:r>
              <w:rPr>
                <w:rFonts w:hint="eastAsia" w:ascii="Times New Roman" w:hAnsi="Times New Roman" w:eastAsia="等线" w:cs="Times New Roman"/>
                <w:color w:val="000000"/>
                <w:kern w:val="0"/>
                <w:sz w:val="22"/>
                <w:szCs w:val="22"/>
              </w:rPr>
              <w:t>0.87%</w:t>
            </w:r>
          </w:p>
        </w:tc>
        <w:tc>
          <w:tcPr>
            <w:tcW w:w="855" w:type="dxa"/>
            <w:vAlign w:val="center"/>
          </w:tcPr>
          <w:p>
            <w:pPr>
              <w:autoSpaceDE w:val="0"/>
              <w:autoSpaceDN w:val="0"/>
              <w:adjustRightInd w:val="0"/>
              <w:spacing w:line="360" w:lineRule="auto"/>
              <w:jc w:val="center"/>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1"/>
                <w:szCs w:val="21"/>
              </w:rPr>
              <w:t>6</w:t>
            </w:r>
            <w:r>
              <w:rPr>
                <w:rFonts w:hint="eastAsia" w:ascii="Times New Roman" w:hAnsi="Times New Roman" w:eastAsia="宋体" w:cs="Times New Roman"/>
                <w:color w:val="000000"/>
                <w:kern w:val="0"/>
                <w:sz w:val="21"/>
                <w:szCs w:val="21"/>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0" w:type="dxa"/>
            <w:vAlign w:val="center"/>
          </w:tcPr>
          <w:p>
            <w:pPr>
              <w:autoSpaceDE w:val="0"/>
              <w:autoSpaceDN w:val="0"/>
              <w:adjustRightInd w:val="0"/>
              <w:spacing w:line="360" w:lineRule="auto"/>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交银施罗德增利增强债券型证券投资基金</w:t>
            </w:r>
          </w:p>
        </w:tc>
        <w:tc>
          <w:tcPr>
            <w:tcW w:w="1560" w:type="dxa"/>
            <w:vAlign w:val="center"/>
          </w:tcPr>
          <w:p>
            <w:pPr>
              <w:jc w:val="center"/>
              <w:rPr>
                <w:rFonts w:ascii="Times New Roman" w:hAnsi="Times New Roman" w:eastAsia="等线" w:cs="Times New Roman"/>
                <w:color w:val="000000"/>
                <w:kern w:val="0"/>
                <w:sz w:val="22"/>
                <w:szCs w:val="22"/>
              </w:rPr>
            </w:pPr>
            <w:r>
              <w:rPr>
                <w:rFonts w:hint="eastAsia" w:ascii="Times New Roman" w:hAnsi="Times New Roman" w:eastAsia="等线" w:cs="Times New Roman"/>
                <w:color w:val="000000"/>
                <w:kern w:val="0"/>
                <w:sz w:val="22"/>
                <w:szCs w:val="22"/>
              </w:rPr>
              <w:t>2,923,977.00</w:t>
            </w:r>
          </w:p>
        </w:tc>
        <w:tc>
          <w:tcPr>
            <w:tcW w:w="1450" w:type="dxa"/>
            <w:vAlign w:val="center"/>
          </w:tcPr>
          <w:p>
            <w:pPr>
              <w:jc w:val="center"/>
              <w:rPr>
                <w:rFonts w:ascii="Times New Roman" w:hAnsi="Times New Roman" w:eastAsia="等线" w:cs="Times New Roman"/>
                <w:color w:val="000000"/>
                <w:kern w:val="0"/>
                <w:sz w:val="22"/>
                <w:szCs w:val="22"/>
              </w:rPr>
            </w:pPr>
            <w:r>
              <w:rPr>
                <w:rFonts w:hint="eastAsia" w:ascii="Times New Roman" w:hAnsi="Times New Roman" w:eastAsia="等线" w:cs="Times New Roman"/>
                <w:color w:val="000000"/>
                <w:kern w:val="0"/>
                <w:sz w:val="22"/>
                <w:szCs w:val="22"/>
              </w:rPr>
              <w:t>10,000,001.34</w:t>
            </w:r>
          </w:p>
        </w:tc>
        <w:tc>
          <w:tcPr>
            <w:tcW w:w="1050" w:type="dxa"/>
            <w:vAlign w:val="center"/>
          </w:tcPr>
          <w:p>
            <w:pPr>
              <w:jc w:val="center"/>
              <w:rPr>
                <w:rFonts w:ascii="Times New Roman" w:hAnsi="Times New Roman" w:eastAsia="等线" w:cs="Times New Roman"/>
                <w:color w:val="000000"/>
                <w:kern w:val="0"/>
                <w:sz w:val="22"/>
                <w:szCs w:val="22"/>
              </w:rPr>
            </w:pPr>
            <w:r>
              <w:rPr>
                <w:rFonts w:hint="eastAsia" w:ascii="Times New Roman" w:hAnsi="Times New Roman" w:eastAsia="等线" w:cs="Times New Roman"/>
                <w:color w:val="000000"/>
                <w:kern w:val="0"/>
                <w:sz w:val="22"/>
                <w:szCs w:val="22"/>
              </w:rPr>
              <w:t>0.19%</w:t>
            </w:r>
          </w:p>
        </w:tc>
        <w:tc>
          <w:tcPr>
            <w:tcW w:w="1540" w:type="dxa"/>
            <w:vAlign w:val="center"/>
          </w:tcPr>
          <w:p>
            <w:pPr>
              <w:jc w:val="center"/>
              <w:rPr>
                <w:rFonts w:ascii="Times New Roman" w:hAnsi="Times New Roman" w:eastAsia="等线" w:cs="Times New Roman"/>
                <w:color w:val="000000"/>
                <w:kern w:val="0"/>
                <w:sz w:val="22"/>
                <w:szCs w:val="22"/>
              </w:rPr>
            </w:pPr>
            <w:r>
              <w:rPr>
                <w:rFonts w:hint="eastAsia" w:ascii="Times New Roman" w:hAnsi="Times New Roman" w:eastAsia="等线" w:cs="Times New Roman"/>
                <w:color w:val="000000"/>
                <w:kern w:val="0"/>
                <w:sz w:val="22"/>
                <w:szCs w:val="22"/>
              </w:rPr>
              <w:t>10,233,919.50</w:t>
            </w:r>
          </w:p>
        </w:tc>
        <w:tc>
          <w:tcPr>
            <w:tcW w:w="993" w:type="dxa"/>
            <w:vAlign w:val="center"/>
          </w:tcPr>
          <w:p>
            <w:pPr>
              <w:jc w:val="center"/>
              <w:rPr>
                <w:rFonts w:ascii="Times New Roman" w:hAnsi="Times New Roman" w:eastAsia="等线" w:cs="Times New Roman"/>
                <w:color w:val="000000"/>
                <w:kern w:val="0"/>
                <w:sz w:val="22"/>
                <w:szCs w:val="22"/>
              </w:rPr>
            </w:pPr>
            <w:r>
              <w:rPr>
                <w:rFonts w:hint="eastAsia" w:ascii="Times New Roman" w:hAnsi="Times New Roman" w:eastAsia="等线" w:cs="Times New Roman"/>
                <w:color w:val="000000"/>
                <w:kern w:val="0"/>
                <w:sz w:val="22"/>
                <w:szCs w:val="22"/>
              </w:rPr>
              <w:t>0.20%</w:t>
            </w:r>
          </w:p>
        </w:tc>
        <w:tc>
          <w:tcPr>
            <w:tcW w:w="855" w:type="dxa"/>
            <w:vAlign w:val="center"/>
          </w:tcPr>
          <w:p>
            <w:pPr>
              <w:rPr>
                <w:rFonts w:ascii="Times New Roman" w:hAnsi="Times New Roman" w:cs="Times New Roman"/>
                <w:kern w:val="0"/>
                <w:sz w:val="20"/>
                <w:szCs w:val="20"/>
              </w:rPr>
            </w:pPr>
            <w:r>
              <w:rPr>
                <w:rFonts w:ascii="Times New Roman" w:hAnsi="Times New Roman" w:eastAsia="宋体" w:cs="Times New Roman"/>
                <w:color w:val="000000"/>
                <w:kern w:val="0"/>
                <w:sz w:val="21"/>
                <w:szCs w:val="21"/>
              </w:rPr>
              <w:t>6</w:t>
            </w:r>
            <w:r>
              <w:rPr>
                <w:rFonts w:hint="eastAsia" w:ascii="Times New Roman" w:hAnsi="Times New Roman" w:eastAsia="宋体" w:cs="Times New Roman"/>
                <w:color w:val="000000"/>
                <w:kern w:val="0"/>
                <w:sz w:val="21"/>
                <w:szCs w:val="21"/>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0" w:type="dxa"/>
            <w:vAlign w:val="center"/>
          </w:tcPr>
          <w:p>
            <w:pPr>
              <w:autoSpaceDE w:val="0"/>
              <w:autoSpaceDN w:val="0"/>
              <w:adjustRightInd w:val="0"/>
              <w:spacing w:line="360" w:lineRule="auto"/>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交银施罗德启明混合型证券投资基金</w:t>
            </w:r>
          </w:p>
        </w:tc>
        <w:tc>
          <w:tcPr>
            <w:tcW w:w="1560" w:type="dxa"/>
            <w:vAlign w:val="center"/>
          </w:tcPr>
          <w:p>
            <w:pPr>
              <w:jc w:val="center"/>
              <w:rPr>
                <w:rFonts w:ascii="Times New Roman" w:hAnsi="Times New Roman" w:eastAsia="等线" w:cs="Times New Roman"/>
                <w:color w:val="000000"/>
                <w:kern w:val="0"/>
                <w:sz w:val="22"/>
                <w:szCs w:val="22"/>
              </w:rPr>
            </w:pPr>
            <w:r>
              <w:rPr>
                <w:rFonts w:hint="eastAsia" w:ascii="Times New Roman" w:hAnsi="Times New Roman" w:eastAsia="等线" w:cs="Times New Roman"/>
                <w:color w:val="000000"/>
                <w:kern w:val="0"/>
                <w:sz w:val="22"/>
                <w:szCs w:val="22"/>
              </w:rPr>
              <w:t>15,543,860.00</w:t>
            </w:r>
          </w:p>
        </w:tc>
        <w:tc>
          <w:tcPr>
            <w:tcW w:w="1450" w:type="dxa"/>
            <w:vAlign w:val="center"/>
          </w:tcPr>
          <w:p>
            <w:pPr>
              <w:jc w:val="center"/>
              <w:rPr>
                <w:rFonts w:ascii="Times New Roman" w:hAnsi="Times New Roman" w:eastAsia="等线" w:cs="Times New Roman"/>
                <w:color w:val="000000"/>
                <w:kern w:val="0"/>
                <w:sz w:val="22"/>
                <w:szCs w:val="22"/>
              </w:rPr>
            </w:pPr>
            <w:r>
              <w:rPr>
                <w:rFonts w:hint="eastAsia" w:ascii="Times New Roman" w:hAnsi="Times New Roman" w:eastAsia="等线" w:cs="Times New Roman"/>
                <w:color w:val="000000"/>
                <w:kern w:val="0"/>
                <w:sz w:val="22"/>
                <w:szCs w:val="22"/>
              </w:rPr>
              <w:t>53,160,001.20</w:t>
            </w:r>
          </w:p>
        </w:tc>
        <w:tc>
          <w:tcPr>
            <w:tcW w:w="1050" w:type="dxa"/>
            <w:vAlign w:val="center"/>
          </w:tcPr>
          <w:p>
            <w:pPr>
              <w:jc w:val="center"/>
              <w:rPr>
                <w:rFonts w:ascii="Times New Roman" w:hAnsi="Times New Roman" w:eastAsia="等线" w:cs="Times New Roman"/>
                <w:color w:val="000000"/>
                <w:kern w:val="0"/>
                <w:sz w:val="22"/>
                <w:szCs w:val="22"/>
              </w:rPr>
            </w:pPr>
            <w:r>
              <w:rPr>
                <w:rFonts w:hint="eastAsia" w:ascii="Times New Roman" w:hAnsi="Times New Roman" w:eastAsia="等线" w:cs="Times New Roman"/>
                <w:color w:val="000000"/>
                <w:kern w:val="0"/>
                <w:sz w:val="22"/>
                <w:szCs w:val="22"/>
              </w:rPr>
              <w:t>0.89%</w:t>
            </w:r>
          </w:p>
        </w:tc>
        <w:tc>
          <w:tcPr>
            <w:tcW w:w="1540" w:type="dxa"/>
            <w:vAlign w:val="center"/>
          </w:tcPr>
          <w:p>
            <w:pPr>
              <w:jc w:val="center"/>
              <w:rPr>
                <w:rFonts w:ascii="Times New Roman" w:hAnsi="Times New Roman" w:eastAsia="等线" w:cs="Times New Roman"/>
                <w:color w:val="000000"/>
                <w:kern w:val="0"/>
                <w:sz w:val="22"/>
                <w:szCs w:val="22"/>
              </w:rPr>
            </w:pPr>
            <w:r>
              <w:rPr>
                <w:rFonts w:hint="eastAsia" w:ascii="Times New Roman" w:hAnsi="Times New Roman" w:eastAsia="等线" w:cs="Times New Roman"/>
                <w:color w:val="000000"/>
                <w:kern w:val="0"/>
                <w:sz w:val="22"/>
                <w:szCs w:val="22"/>
              </w:rPr>
              <w:t>54,403,510.00</w:t>
            </w:r>
          </w:p>
        </w:tc>
        <w:tc>
          <w:tcPr>
            <w:tcW w:w="993" w:type="dxa"/>
            <w:vAlign w:val="center"/>
          </w:tcPr>
          <w:p>
            <w:pPr>
              <w:jc w:val="center"/>
              <w:rPr>
                <w:rFonts w:ascii="Times New Roman" w:hAnsi="Times New Roman" w:eastAsia="等线" w:cs="Times New Roman"/>
                <w:color w:val="000000"/>
                <w:kern w:val="0"/>
                <w:sz w:val="22"/>
                <w:szCs w:val="22"/>
              </w:rPr>
            </w:pPr>
            <w:r>
              <w:rPr>
                <w:rFonts w:hint="eastAsia" w:ascii="Times New Roman" w:hAnsi="Times New Roman" w:eastAsia="等线" w:cs="Times New Roman"/>
                <w:color w:val="000000"/>
                <w:kern w:val="0"/>
                <w:sz w:val="22"/>
                <w:szCs w:val="22"/>
              </w:rPr>
              <w:t>0.92%</w:t>
            </w:r>
          </w:p>
        </w:tc>
        <w:tc>
          <w:tcPr>
            <w:tcW w:w="855" w:type="dxa"/>
            <w:vAlign w:val="center"/>
          </w:tcPr>
          <w:p>
            <w:pPr>
              <w:rPr>
                <w:rFonts w:ascii="Times New Roman" w:hAnsi="Times New Roman" w:cs="Times New Roman"/>
                <w:kern w:val="0"/>
                <w:sz w:val="20"/>
                <w:szCs w:val="20"/>
              </w:rPr>
            </w:pPr>
            <w:r>
              <w:rPr>
                <w:rFonts w:ascii="Times New Roman" w:hAnsi="Times New Roman" w:eastAsia="宋体" w:cs="Times New Roman"/>
                <w:color w:val="000000"/>
                <w:kern w:val="0"/>
                <w:sz w:val="21"/>
                <w:szCs w:val="21"/>
              </w:rPr>
              <w:t>6</w:t>
            </w:r>
            <w:r>
              <w:rPr>
                <w:rFonts w:hint="eastAsia" w:ascii="Times New Roman" w:hAnsi="Times New Roman" w:eastAsia="宋体" w:cs="Times New Roman"/>
                <w:color w:val="000000"/>
                <w:kern w:val="0"/>
                <w:sz w:val="21"/>
                <w:szCs w:val="21"/>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0" w:type="dxa"/>
            <w:vAlign w:val="center"/>
          </w:tcPr>
          <w:p>
            <w:pPr>
              <w:autoSpaceDE w:val="0"/>
              <w:autoSpaceDN w:val="0"/>
              <w:adjustRightInd w:val="0"/>
              <w:spacing w:line="360" w:lineRule="auto"/>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交银施罗德创新领航混合型证券投资基金</w:t>
            </w:r>
          </w:p>
        </w:tc>
        <w:tc>
          <w:tcPr>
            <w:tcW w:w="1560" w:type="dxa"/>
            <w:vAlign w:val="center"/>
          </w:tcPr>
          <w:p>
            <w:pPr>
              <w:jc w:val="center"/>
              <w:rPr>
                <w:rFonts w:ascii="Times New Roman" w:hAnsi="Times New Roman" w:eastAsia="等线" w:cs="Times New Roman"/>
                <w:color w:val="000000"/>
                <w:kern w:val="0"/>
                <w:sz w:val="22"/>
                <w:szCs w:val="22"/>
              </w:rPr>
            </w:pPr>
            <w:r>
              <w:rPr>
                <w:rFonts w:hint="eastAsia" w:ascii="Times New Roman" w:hAnsi="Times New Roman" w:eastAsia="等线" w:cs="Times New Roman"/>
                <w:color w:val="000000"/>
                <w:kern w:val="0"/>
                <w:sz w:val="22"/>
                <w:szCs w:val="22"/>
              </w:rPr>
              <w:t>8,236,842.00</w:t>
            </w:r>
          </w:p>
        </w:tc>
        <w:tc>
          <w:tcPr>
            <w:tcW w:w="1450" w:type="dxa"/>
            <w:vAlign w:val="center"/>
          </w:tcPr>
          <w:p>
            <w:pPr>
              <w:jc w:val="center"/>
              <w:rPr>
                <w:rFonts w:ascii="Times New Roman" w:hAnsi="Times New Roman" w:eastAsia="等线" w:cs="Times New Roman"/>
                <w:color w:val="000000"/>
                <w:kern w:val="0"/>
                <w:sz w:val="22"/>
                <w:szCs w:val="22"/>
              </w:rPr>
            </w:pPr>
            <w:r>
              <w:rPr>
                <w:rFonts w:hint="eastAsia" w:ascii="Times New Roman" w:hAnsi="Times New Roman" w:eastAsia="等线" w:cs="Times New Roman"/>
                <w:color w:val="000000"/>
                <w:kern w:val="0"/>
                <w:sz w:val="22"/>
                <w:szCs w:val="22"/>
              </w:rPr>
              <w:t>28,169,999.64</w:t>
            </w:r>
          </w:p>
        </w:tc>
        <w:tc>
          <w:tcPr>
            <w:tcW w:w="1050" w:type="dxa"/>
            <w:vAlign w:val="center"/>
          </w:tcPr>
          <w:p>
            <w:pPr>
              <w:jc w:val="center"/>
              <w:rPr>
                <w:rFonts w:ascii="Times New Roman" w:hAnsi="Times New Roman" w:eastAsia="等线" w:cs="Times New Roman"/>
                <w:color w:val="000000"/>
                <w:kern w:val="0"/>
                <w:sz w:val="22"/>
                <w:szCs w:val="22"/>
              </w:rPr>
            </w:pPr>
            <w:r>
              <w:rPr>
                <w:rFonts w:hint="eastAsia" w:ascii="Times New Roman" w:hAnsi="Times New Roman" w:eastAsia="等线" w:cs="Times New Roman"/>
                <w:color w:val="000000"/>
                <w:kern w:val="0"/>
                <w:sz w:val="22"/>
                <w:szCs w:val="22"/>
              </w:rPr>
              <w:t>1.00%</w:t>
            </w:r>
          </w:p>
        </w:tc>
        <w:tc>
          <w:tcPr>
            <w:tcW w:w="1540" w:type="dxa"/>
            <w:vAlign w:val="center"/>
          </w:tcPr>
          <w:p>
            <w:pPr>
              <w:jc w:val="center"/>
              <w:rPr>
                <w:rFonts w:ascii="Times New Roman" w:hAnsi="Times New Roman" w:eastAsia="等线" w:cs="Times New Roman"/>
                <w:color w:val="000000"/>
                <w:kern w:val="0"/>
                <w:sz w:val="22"/>
                <w:szCs w:val="22"/>
              </w:rPr>
            </w:pPr>
            <w:r>
              <w:rPr>
                <w:rFonts w:hint="eastAsia" w:ascii="Times New Roman" w:hAnsi="Times New Roman" w:eastAsia="等线" w:cs="Times New Roman"/>
                <w:color w:val="000000"/>
                <w:kern w:val="0"/>
                <w:sz w:val="22"/>
                <w:szCs w:val="22"/>
              </w:rPr>
              <w:t>28,828,947.00</w:t>
            </w:r>
          </w:p>
        </w:tc>
        <w:tc>
          <w:tcPr>
            <w:tcW w:w="993" w:type="dxa"/>
            <w:vAlign w:val="center"/>
          </w:tcPr>
          <w:p>
            <w:pPr>
              <w:jc w:val="center"/>
              <w:rPr>
                <w:rFonts w:ascii="Times New Roman" w:hAnsi="Times New Roman" w:eastAsia="等线" w:cs="Times New Roman"/>
                <w:color w:val="000000"/>
                <w:kern w:val="0"/>
                <w:sz w:val="22"/>
                <w:szCs w:val="22"/>
              </w:rPr>
            </w:pPr>
            <w:r>
              <w:rPr>
                <w:rFonts w:hint="eastAsia" w:ascii="Times New Roman" w:hAnsi="Times New Roman" w:eastAsia="等线" w:cs="Times New Roman"/>
                <w:color w:val="000000"/>
                <w:kern w:val="0"/>
                <w:sz w:val="22"/>
                <w:szCs w:val="22"/>
              </w:rPr>
              <w:t>1.03%</w:t>
            </w:r>
          </w:p>
        </w:tc>
        <w:tc>
          <w:tcPr>
            <w:tcW w:w="855" w:type="dxa"/>
            <w:vAlign w:val="center"/>
          </w:tcPr>
          <w:p>
            <w:pPr>
              <w:rPr>
                <w:rFonts w:ascii="Times New Roman" w:hAnsi="Times New Roman" w:cs="Times New Roman"/>
                <w:kern w:val="0"/>
                <w:sz w:val="20"/>
                <w:szCs w:val="20"/>
              </w:rPr>
            </w:pPr>
            <w:r>
              <w:rPr>
                <w:rFonts w:ascii="Times New Roman" w:hAnsi="Times New Roman" w:eastAsia="宋体" w:cs="Times New Roman"/>
                <w:color w:val="000000"/>
                <w:kern w:val="0"/>
                <w:sz w:val="21"/>
                <w:szCs w:val="21"/>
              </w:rPr>
              <w:t>6</w:t>
            </w:r>
            <w:r>
              <w:rPr>
                <w:rFonts w:hint="eastAsia" w:ascii="Times New Roman" w:hAnsi="Times New Roman" w:eastAsia="宋体" w:cs="Times New Roman"/>
                <w:color w:val="000000"/>
                <w:kern w:val="0"/>
                <w:sz w:val="21"/>
                <w:szCs w:val="21"/>
              </w:rPr>
              <w:t>个月</w:t>
            </w:r>
          </w:p>
        </w:tc>
      </w:tr>
    </w:tbl>
    <w:p>
      <w:pPr>
        <w:autoSpaceDE w:val="0"/>
        <w:autoSpaceDN w:val="0"/>
        <w:adjustRightInd w:val="0"/>
        <w:spacing w:line="360" w:lineRule="auto"/>
        <w:ind w:firstLine="600" w:firstLineChars="25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注：上述基金资产净值、账面价值为</w:t>
      </w:r>
      <w:r>
        <w:rPr>
          <w:rFonts w:ascii="Times New Roman" w:hAnsi="Times New Roman" w:eastAsia="宋体" w:cs="Times New Roman"/>
          <w:sz w:val="24"/>
          <w:szCs w:val="24"/>
        </w:rPr>
        <w:t>2022</w:t>
      </w:r>
      <w:r>
        <w:rPr>
          <w:rFonts w:hint="eastAsia" w:ascii="Times New Roman" w:hAnsi="Times New Roman" w:eastAsia="宋体" w:cs="Times New Roman"/>
          <w:sz w:val="24"/>
          <w:szCs w:val="24"/>
        </w:rPr>
        <w:t>年</w:t>
      </w:r>
      <w:r>
        <w:rPr>
          <w:rFonts w:ascii="Times New Roman" w:hAnsi="Times New Roman" w:eastAsia="宋体" w:cs="Times New Roman"/>
          <w:sz w:val="24"/>
          <w:szCs w:val="24"/>
        </w:rPr>
        <w:t>12</w:t>
      </w:r>
      <w:r>
        <w:rPr>
          <w:rFonts w:hint="eastAsia" w:ascii="Times New Roman" w:hAnsi="Times New Roman" w:eastAsia="宋体" w:cs="Times New Roman"/>
          <w:sz w:val="24"/>
          <w:szCs w:val="24"/>
        </w:rPr>
        <w:t>月</w:t>
      </w:r>
      <w:r>
        <w:rPr>
          <w:rFonts w:ascii="Times New Roman" w:hAnsi="Times New Roman" w:eastAsia="宋体" w:cs="Times New Roman"/>
          <w:sz w:val="24"/>
          <w:szCs w:val="24"/>
        </w:rPr>
        <w:t>22</w:t>
      </w:r>
      <w:r>
        <w:rPr>
          <w:rFonts w:hint="eastAsia" w:ascii="Times New Roman" w:hAnsi="Times New Roman" w:eastAsia="宋体" w:cs="Times New Roman"/>
          <w:sz w:val="24"/>
          <w:szCs w:val="24"/>
        </w:rPr>
        <w:t>日数据。</w:t>
      </w:r>
    </w:p>
    <w:p>
      <w:pPr>
        <w:autoSpaceDE w:val="0"/>
        <w:autoSpaceDN w:val="0"/>
        <w:adjustRightInd w:val="0"/>
        <w:spacing w:line="360" w:lineRule="auto"/>
        <w:ind w:firstLine="600" w:firstLineChars="25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投资者可以登录本公司网站（</w:t>
      </w:r>
      <w:r>
        <w:rPr>
          <w:rFonts w:ascii="Times New Roman" w:hAnsi="Times New Roman" w:eastAsia="宋体" w:cs="Times New Roman"/>
          <w:sz w:val="24"/>
          <w:szCs w:val="24"/>
        </w:rPr>
        <w:t>www.fund001.com</w:t>
      </w:r>
      <w:r>
        <w:rPr>
          <w:rFonts w:hint="eastAsia" w:ascii="Times New Roman" w:hAnsi="Times New Roman" w:eastAsia="宋体" w:cs="Times New Roman"/>
          <w:sz w:val="24"/>
          <w:szCs w:val="24"/>
        </w:rPr>
        <w:t>）或拨打客户服务电话（</w:t>
      </w:r>
      <w:r>
        <w:rPr>
          <w:rFonts w:ascii="Times New Roman" w:hAnsi="Times New Roman" w:eastAsia="宋体" w:cs="Times New Roman"/>
          <w:sz w:val="24"/>
          <w:szCs w:val="24"/>
        </w:rPr>
        <w:t>400-700-5000</w:t>
      </w:r>
      <w:r>
        <w:rPr>
          <w:rFonts w:hint="eastAsia" w:ascii="Times New Roman" w:hAnsi="Times New Roman" w:eastAsia="宋体" w:cs="Times New Roman"/>
          <w:sz w:val="24"/>
          <w:szCs w:val="24"/>
        </w:rPr>
        <w:t>，</w:t>
      </w:r>
      <w:r>
        <w:rPr>
          <w:rFonts w:ascii="Times New Roman" w:hAnsi="Times New Roman" w:eastAsia="宋体" w:cs="Times New Roman"/>
          <w:sz w:val="24"/>
          <w:szCs w:val="24"/>
        </w:rPr>
        <w:t>021-61055000</w:t>
      </w:r>
      <w:r>
        <w:rPr>
          <w:rFonts w:hint="eastAsia" w:ascii="Times New Roman" w:hAnsi="Times New Roman" w:eastAsia="宋体" w:cs="Times New Roman"/>
          <w:sz w:val="24"/>
          <w:szCs w:val="24"/>
        </w:rPr>
        <w:t>）咨询基金相关信息。</w:t>
      </w:r>
    </w:p>
    <w:p>
      <w:pPr>
        <w:autoSpaceDE w:val="0"/>
        <w:autoSpaceDN w:val="0"/>
        <w:adjustRightInd w:val="0"/>
        <w:spacing w:line="360" w:lineRule="auto"/>
        <w:ind w:firstLine="600" w:firstLineChars="25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特此公告。</w:t>
      </w:r>
    </w:p>
    <w:p>
      <w:pPr>
        <w:pStyle w:val="9"/>
        <w:spacing w:line="360" w:lineRule="auto"/>
        <w:jc w:val="right"/>
        <w:rPr>
          <w:rFonts w:ascii="Times New Roman" w:hAnsi="Times New Roman" w:cs="Times New Roman"/>
        </w:rPr>
      </w:pPr>
      <w:r>
        <w:rPr>
          <w:rFonts w:hint="eastAsia" w:ascii="Times New Roman" w:hAnsi="Times New Roman" w:cs="Times New Roman"/>
        </w:rPr>
        <w:t>交银施罗德基金管理有限公司</w:t>
      </w:r>
      <w:r>
        <w:rPr>
          <w:rFonts w:ascii="Times New Roman" w:hAnsi="Times New Roman" w:cs="Times New Roman"/>
        </w:rPr>
        <w:t xml:space="preserve"> </w:t>
      </w:r>
    </w:p>
    <w:p>
      <w:pPr>
        <w:pStyle w:val="9"/>
        <w:spacing w:line="360" w:lineRule="auto"/>
        <w:jc w:val="right"/>
        <w:rPr>
          <w:rFonts w:ascii="Times New Roman" w:hAnsi="Times New Roman" w:cs="Times New Roman"/>
        </w:rPr>
      </w:pPr>
      <w:r>
        <w:rPr>
          <w:rFonts w:ascii="Times New Roman" w:hAnsi="Times New Roman" w:cs="Times New Roman"/>
        </w:rPr>
        <w:t>2022</w:t>
      </w:r>
      <w:r>
        <w:rPr>
          <w:rFonts w:hint="eastAsia" w:ascii="Times New Roman" w:hAnsi="Times New Roman" w:cs="Times New Roman"/>
        </w:rPr>
        <w:t>年</w:t>
      </w:r>
      <w:r>
        <w:rPr>
          <w:rFonts w:ascii="Times New Roman" w:hAnsi="Times New Roman" w:cs="Times New Roman"/>
        </w:rPr>
        <w:t>12</w:t>
      </w:r>
      <w:r>
        <w:rPr>
          <w:rFonts w:hint="eastAsia" w:ascii="Times New Roman" w:hAnsi="Times New Roman" w:cs="Times New Roman"/>
        </w:rPr>
        <w:t>月</w:t>
      </w:r>
      <w:r>
        <w:rPr>
          <w:rFonts w:ascii="Times New Roman" w:hAnsi="Times New Roman" w:cs="Times New Roman"/>
        </w:rPr>
        <w:t>2</w:t>
      </w:r>
      <w:r>
        <w:rPr>
          <w:rFonts w:hint="eastAsia" w:ascii="Times New Roman" w:hAnsi="Times New Roman" w:cs="Times New Roman"/>
          <w:lang w:val="en-US" w:eastAsia="zh-CN"/>
        </w:rPr>
        <w:t>6</w:t>
      </w:r>
      <w:bookmarkStart w:id="0" w:name="_GoBack"/>
      <w:bookmarkEnd w:id="0"/>
      <w:r>
        <w:rPr>
          <w:rFonts w:hint="eastAsia" w:ascii="Times New Roman" w:hAnsi="Times New Roman" w:cs="Times New Roman"/>
        </w:rPr>
        <w:t>日</w:t>
      </w:r>
    </w:p>
    <w:p>
      <w:pPr>
        <w:rPr>
          <w:rFonts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宋体衲....">
    <w:altName w:val="宋体"/>
    <w:panose1 w:val="00000000000000000000"/>
    <w:charset w:val="86"/>
    <w:family w:val="roman"/>
    <w:pitch w:val="default"/>
    <w:sig w:usb0="00000000" w:usb1="00000000" w:usb2="00000010" w:usb3="00000000" w:csb0="00040000" w:csb1="00000000"/>
  </w:font>
  <w:font w:name="t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7D8"/>
    <w:rsid w:val="00004803"/>
    <w:rsid w:val="000168DC"/>
    <w:rsid w:val="00017D5B"/>
    <w:rsid w:val="00040646"/>
    <w:rsid w:val="000A0D2B"/>
    <w:rsid w:val="000C22E4"/>
    <w:rsid w:val="000F0DDD"/>
    <w:rsid w:val="001B1081"/>
    <w:rsid w:val="0047090C"/>
    <w:rsid w:val="004932AB"/>
    <w:rsid w:val="004940D8"/>
    <w:rsid w:val="004C5320"/>
    <w:rsid w:val="005113E3"/>
    <w:rsid w:val="005361C3"/>
    <w:rsid w:val="00566281"/>
    <w:rsid w:val="005B67D8"/>
    <w:rsid w:val="00680A5C"/>
    <w:rsid w:val="006A384F"/>
    <w:rsid w:val="007B0FAC"/>
    <w:rsid w:val="007B67E4"/>
    <w:rsid w:val="007C351F"/>
    <w:rsid w:val="0092412F"/>
    <w:rsid w:val="00972BA0"/>
    <w:rsid w:val="009A1FEE"/>
    <w:rsid w:val="009B0518"/>
    <w:rsid w:val="009C0352"/>
    <w:rsid w:val="00B16C0D"/>
    <w:rsid w:val="00BB26BD"/>
    <w:rsid w:val="00BC417F"/>
    <w:rsid w:val="00BF4FC2"/>
    <w:rsid w:val="00C04CA3"/>
    <w:rsid w:val="00C53DAD"/>
    <w:rsid w:val="00C56102"/>
    <w:rsid w:val="00CC5293"/>
    <w:rsid w:val="00D46FE5"/>
    <w:rsid w:val="00E020A0"/>
    <w:rsid w:val="00EE2783"/>
    <w:rsid w:val="00EE6D1B"/>
    <w:rsid w:val="00F02E6F"/>
    <w:rsid w:val="00F8356B"/>
    <w:rsid w:val="00F84655"/>
    <w:rsid w:val="00FE715C"/>
    <w:rsid w:val="46345B1B"/>
    <w:rsid w:val="64885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uiPriority w:val="99"/>
    <w:rPr>
      <w:sz w:val="18"/>
      <w:szCs w:val="18"/>
    </w:rPr>
  </w:style>
  <w:style w:type="paragraph" w:customStyle="1" w:styleId="9">
    <w:name w:val="Defaul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175</Words>
  <Characters>999</Characters>
  <Lines>8</Lines>
  <Paragraphs>2</Paragraphs>
  <TotalTime>350</TotalTime>
  <ScaleCrop>false</ScaleCrop>
  <LinksUpToDate>false</LinksUpToDate>
  <CharactersWithSpaces>1172</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2022-08-16T09:55:00Z</dcterms:created>
  <dc:creator>赵钰妍</dc:creator>
  <cp:lastModifiedBy>haotingting</cp:lastModifiedBy>
  <dcterms:modified xsi:type="dcterms:W3CDTF">2022-12-26T02:17:55Z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