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348A4" w14:textId="1AF5971A" w:rsidR="00006FD1" w:rsidRPr="008C6BAB" w:rsidRDefault="00056933">
      <w:pPr>
        <w:spacing w:line="360" w:lineRule="auto"/>
        <w:jc w:val="left"/>
        <w:rPr>
          <w:rFonts w:ascii="仿宋" w:hAnsi="仿宋"/>
          <w:b/>
          <w:color w:val="000000"/>
          <w:sz w:val="24"/>
          <w:szCs w:val="24"/>
        </w:rPr>
      </w:pPr>
      <w:r w:rsidRPr="008C6BAB">
        <w:rPr>
          <w:rFonts w:ascii="宋体" w:hAnsi="宋体" w:hint="eastAsia"/>
          <w:sz w:val="24"/>
          <w:szCs w:val="24"/>
        </w:rPr>
        <w:t>合同编码:光银托管总</w:t>
      </w:r>
      <w:r w:rsidR="00822EA2">
        <w:rPr>
          <w:rFonts w:ascii="宋体" w:hAnsi="宋体" w:hint="eastAsia"/>
          <w:sz w:val="24"/>
          <w:szCs w:val="24"/>
        </w:rPr>
        <w:t>202</w:t>
      </w:r>
      <w:r w:rsidR="00822EA2">
        <w:rPr>
          <w:rFonts w:ascii="宋体" w:hAnsi="宋体"/>
          <w:sz w:val="24"/>
          <w:szCs w:val="24"/>
        </w:rPr>
        <w:t>2JJ0036</w:t>
      </w:r>
    </w:p>
    <w:p w14:paraId="0346B33E" w14:textId="77777777" w:rsidR="00006FD1" w:rsidRPr="008C6BAB" w:rsidRDefault="00006FD1">
      <w:pPr>
        <w:spacing w:line="360" w:lineRule="auto"/>
        <w:jc w:val="center"/>
        <w:rPr>
          <w:rFonts w:ascii="仿宋" w:eastAsia="仿宋" w:hAnsi="仿宋"/>
          <w:b/>
          <w:color w:val="000000"/>
          <w:sz w:val="32"/>
        </w:rPr>
      </w:pPr>
    </w:p>
    <w:p w14:paraId="4A570825" w14:textId="77777777" w:rsidR="00006FD1" w:rsidRPr="008C6BAB" w:rsidRDefault="00006FD1">
      <w:pPr>
        <w:spacing w:line="360" w:lineRule="auto"/>
        <w:jc w:val="center"/>
        <w:rPr>
          <w:rFonts w:ascii="仿宋" w:eastAsia="仿宋" w:hAnsi="仿宋"/>
          <w:b/>
          <w:color w:val="000000"/>
          <w:sz w:val="32"/>
        </w:rPr>
      </w:pPr>
    </w:p>
    <w:p w14:paraId="07E05D3F" w14:textId="77777777" w:rsidR="00006FD1" w:rsidRPr="008C6BAB" w:rsidRDefault="00006FD1">
      <w:pPr>
        <w:spacing w:line="360" w:lineRule="auto"/>
        <w:jc w:val="center"/>
        <w:rPr>
          <w:rFonts w:ascii="仿宋" w:eastAsia="仿宋" w:hAnsi="仿宋"/>
          <w:b/>
          <w:color w:val="000000"/>
          <w:sz w:val="32"/>
        </w:rPr>
      </w:pPr>
    </w:p>
    <w:p w14:paraId="4565F049" w14:textId="77777777" w:rsidR="00006FD1" w:rsidRPr="008C6BAB" w:rsidRDefault="00006FD1">
      <w:pPr>
        <w:spacing w:line="360" w:lineRule="auto"/>
        <w:jc w:val="center"/>
        <w:rPr>
          <w:rFonts w:ascii="仿宋" w:eastAsia="仿宋" w:hAnsi="仿宋"/>
          <w:b/>
          <w:color w:val="000000"/>
          <w:sz w:val="32"/>
        </w:rPr>
      </w:pPr>
    </w:p>
    <w:p w14:paraId="72BFF569" w14:textId="77777777" w:rsidR="00006FD1" w:rsidRPr="008C6BAB" w:rsidRDefault="00006FD1">
      <w:pPr>
        <w:spacing w:line="360" w:lineRule="auto"/>
        <w:rPr>
          <w:rFonts w:ascii="仿宋" w:eastAsia="仿宋" w:hAnsi="仿宋"/>
          <w:b/>
          <w:color w:val="000000"/>
          <w:sz w:val="32"/>
        </w:rPr>
      </w:pPr>
    </w:p>
    <w:p w14:paraId="52E2BE53" w14:textId="6DAD61C3" w:rsidR="00006FD1" w:rsidRPr="008C6BAB" w:rsidRDefault="00032252" w:rsidP="00120248">
      <w:pPr>
        <w:spacing w:line="360" w:lineRule="auto"/>
        <w:jc w:val="center"/>
        <w:rPr>
          <w:rFonts w:ascii="宋体" w:hAnsi="宋体" w:cs="宋体"/>
          <w:b/>
          <w:color w:val="000000"/>
          <w:sz w:val="44"/>
          <w:szCs w:val="44"/>
        </w:rPr>
      </w:pPr>
      <w:r>
        <w:rPr>
          <w:rFonts w:ascii="宋体" w:hAnsi="宋体" w:cs="宋体" w:hint="eastAsia"/>
          <w:b/>
          <w:color w:val="000000"/>
          <w:sz w:val="44"/>
          <w:szCs w:val="44"/>
        </w:rPr>
        <w:t>交银施罗德稳益短债债券型证券投资基金</w:t>
      </w:r>
      <w:r w:rsidR="00056933" w:rsidRPr="008C6BAB">
        <w:rPr>
          <w:rFonts w:ascii="宋体" w:hAnsi="宋体" w:cs="宋体" w:hint="eastAsia"/>
          <w:b/>
          <w:color w:val="000000"/>
          <w:sz w:val="44"/>
          <w:szCs w:val="44"/>
        </w:rPr>
        <w:t>托管协议</w:t>
      </w:r>
    </w:p>
    <w:p w14:paraId="5FAC5203" w14:textId="77777777" w:rsidR="00006FD1" w:rsidRPr="008C6BAB" w:rsidRDefault="00006FD1">
      <w:pPr>
        <w:spacing w:line="360" w:lineRule="auto"/>
        <w:jc w:val="center"/>
        <w:rPr>
          <w:rFonts w:ascii="仿宋" w:eastAsia="仿宋" w:hAnsi="仿宋"/>
          <w:color w:val="000000"/>
          <w:sz w:val="30"/>
        </w:rPr>
      </w:pPr>
    </w:p>
    <w:p w14:paraId="70D33173" w14:textId="77777777" w:rsidR="00006FD1" w:rsidRPr="008C6BAB" w:rsidRDefault="00006FD1">
      <w:pPr>
        <w:spacing w:line="360" w:lineRule="auto"/>
        <w:jc w:val="center"/>
        <w:rPr>
          <w:rFonts w:ascii="仿宋" w:eastAsia="仿宋" w:hAnsi="仿宋"/>
          <w:color w:val="000000"/>
          <w:sz w:val="30"/>
        </w:rPr>
      </w:pPr>
    </w:p>
    <w:p w14:paraId="711D0C59" w14:textId="77777777" w:rsidR="00006FD1" w:rsidRPr="008C6BAB" w:rsidRDefault="00006FD1">
      <w:pPr>
        <w:spacing w:line="360" w:lineRule="auto"/>
        <w:jc w:val="center"/>
        <w:rPr>
          <w:rFonts w:ascii="仿宋" w:eastAsia="仿宋" w:hAnsi="仿宋"/>
          <w:color w:val="000000"/>
          <w:sz w:val="30"/>
        </w:rPr>
      </w:pPr>
      <w:bookmarkStart w:id="0" w:name="_GoBack"/>
      <w:bookmarkEnd w:id="0"/>
    </w:p>
    <w:p w14:paraId="026FB10A" w14:textId="77777777" w:rsidR="00006FD1" w:rsidRPr="008C6BAB" w:rsidRDefault="00006FD1">
      <w:pPr>
        <w:spacing w:line="360" w:lineRule="auto"/>
        <w:jc w:val="center"/>
        <w:rPr>
          <w:rFonts w:ascii="仿宋" w:eastAsia="仿宋" w:hAnsi="仿宋"/>
          <w:color w:val="000000"/>
          <w:sz w:val="30"/>
        </w:rPr>
      </w:pPr>
    </w:p>
    <w:p w14:paraId="11E7861B" w14:textId="77777777" w:rsidR="00006FD1" w:rsidRPr="008C6BAB" w:rsidRDefault="00006FD1">
      <w:pPr>
        <w:spacing w:line="360" w:lineRule="auto"/>
        <w:jc w:val="center"/>
        <w:rPr>
          <w:rFonts w:ascii="仿宋" w:eastAsia="仿宋" w:hAnsi="仿宋"/>
          <w:color w:val="000000"/>
          <w:sz w:val="30"/>
        </w:rPr>
      </w:pPr>
    </w:p>
    <w:p w14:paraId="7A10797F" w14:textId="77777777" w:rsidR="00006FD1" w:rsidRPr="008C6BAB" w:rsidRDefault="00006FD1">
      <w:pPr>
        <w:spacing w:line="360" w:lineRule="auto"/>
        <w:jc w:val="center"/>
        <w:rPr>
          <w:rFonts w:ascii="仿宋" w:eastAsia="仿宋" w:hAnsi="仿宋"/>
          <w:color w:val="000000"/>
          <w:sz w:val="30"/>
        </w:rPr>
      </w:pPr>
    </w:p>
    <w:p w14:paraId="6511FD1D" w14:textId="77777777" w:rsidR="00006FD1" w:rsidRPr="008C6BAB" w:rsidRDefault="00006FD1">
      <w:pPr>
        <w:spacing w:line="360" w:lineRule="auto"/>
        <w:jc w:val="center"/>
        <w:rPr>
          <w:rFonts w:ascii="仿宋" w:eastAsia="仿宋" w:hAnsi="仿宋"/>
          <w:color w:val="000000"/>
          <w:sz w:val="30"/>
        </w:rPr>
      </w:pPr>
    </w:p>
    <w:p w14:paraId="7E2824A9" w14:textId="77777777" w:rsidR="00006FD1" w:rsidRPr="008C6BAB" w:rsidRDefault="00006FD1">
      <w:pPr>
        <w:spacing w:line="360" w:lineRule="auto"/>
        <w:jc w:val="center"/>
        <w:rPr>
          <w:rFonts w:ascii="仿宋" w:eastAsia="仿宋" w:hAnsi="仿宋"/>
          <w:color w:val="000000"/>
          <w:sz w:val="30"/>
        </w:rPr>
      </w:pPr>
    </w:p>
    <w:p w14:paraId="65137382" w14:textId="77777777" w:rsidR="00006FD1" w:rsidRPr="008C6BAB" w:rsidRDefault="00006FD1">
      <w:pPr>
        <w:spacing w:line="360" w:lineRule="auto"/>
        <w:jc w:val="center"/>
        <w:rPr>
          <w:rFonts w:ascii="仿宋" w:eastAsia="仿宋" w:hAnsi="仿宋"/>
          <w:color w:val="000000"/>
          <w:sz w:val="30"/>
        </w:rPr>
      </w:pPr>
    </w:p>
    <w:p w14:paraId="364335D8" w14:textId="15851982" w:rsidR="00006FD1" w:rsidRPr="008C6BAB" w:rsidRDefault="00056933">
      <w:pPr>
        <w:spacing w:line="360" w:lineRule="auto"/>
        <w:jc w:val="center"/>
        <w:rPr>
          <w:rFonts w:ascii="宋体" w:hAnsi="宋体"/>
          <w:b/>
          <w:sz w:val="28"/>
          <w:szCs w:val="28"/>
        </w:rPr>
      </w:pPr>
      <w:bookmarkStart w:id="1" w:name="_Toc322632716"/>
      <w:r w:rsidRPr="008C6BAB">
        <w:rPr>
          <w:rFonts w:ascii="宋体" w:hAnsi="宋体" w:hint="eastAsia"/>
          <w:b/>
          <w:sz w:val="28"/>
          <w:szCs w:val="28"/>
        </w:rPr>
        <w:t>基金管理人：</w:t>
      </w:r>
      <w:bookmarkStart w:id="2" w:name="_Toc322632717"/>
      <w:bookmarkEnd w:id="1"/>
      <w:r w:rsidRPr="008C6BAB">
        <w:rPr>
          <w:rFonts w:ascii="宋体" w:hAnsi="宋体" w:hint="eastAsia"/>
          <w:b/>
          <w:sz w:val="28"/>
          <w:szCs w:val="28"/>
        </w:rPr>
        <w:t>交银施罗德基金管理有限公司</w:t>
      </w:r>
    </w:p>
    <w:p w14:paraId="4B755D5C" w14:textId="77777777" w:rsidR="00006FD1" w:rsidRPr="008C6BAB" w:rsidRDefault="00056933">
      <w:pPr>
        <w:spacing w:line="360" w:lineRule="auto"/>
        <w:jc w:val="center"/>
        <w:rPr>
          <w:rFonts w:ascii="宋体" w:hAnsi="宋体"/>
          <w:b/>
          <w:sz w:val="28"/>
          <w:szCs w:val="28"/>
        </w:rPr>
      </w:pPr>
      <w:r w:rsidRPr="008C6BAB">
        <w:rPr>
          <w:rFonts w:ascii="宋体" w:hAnsi="宋体" w:hint="eastAsia"/>
          <w:b/>
          <w:sz w:val="28"/>
          <w:szCs w:val="28"/>
        </w:rPr>
        <w:t xml:space="preserve">   基金托管人：中国光大银行股份有限公司</w:t>
      </w:r>
      <w:bookmarkEnd w:id="2"/>
    </w:p>
    <w:p w14:paraId="708B6D9B" w14:textId="77777777" w:rsidR="00006FD1" w:rsidRPr="008C6BAB" w:rsidRDefault="00006FD1">
      <w:pPr>
        <w:spacing w:line="360" w:lineRule="auto"/>
        <w:ind w:left="2698" w:hanging="2698"/>
        <w:outlineLvl w:val="0"/>
        <w:rPr>
          <w:rFonts w:ascii="宋体" w:hAnsi="宋体"/>
          <w:b/>
          <w:color w:val="000000"/>
          <w:sz w:val="28"/>
          <w:szCs w:val="28"/>
        </w:rPr>
      </w:pPr>
    </w:p>
    <w:p w14:paraId="2FF8D5AF" w14:textId="289C7357" w:rsidR="00006FD1" w:rsidRPr="008C6BAB" w:rsidRDefault="00242C66">
      <w:pPr>
        <w:spacing w:line="360" w:lineRule="auto"/>
        <w:jc w:val="center"/>
        <w:rPr>
          <w:rFonts w:ascii="宋体" w:hAnsi="宋体"/>
          <w:b/>
          <w:sz w:val="30"/>
          <w:szCs w:val="30"/>
        </w:rPr>
        <w:sectPr w:rsidR="00006FD1" w:rsidRPr="008C6BAB">
          <w:pgSz w:w="11906" w:h="16838"/>
          <w:pgMar w:top="1440" w:right="1800" w:bottom="1440" w:left="1800" w:header="851" w:footer="992" w:gutter="0"/>
          <w:cols w:space="425"/>
          <w:titlePg/>
          <w:docGrid w:type="lines" w:linePitch="312"/>
        </w:sectPr>
      </w:pPr>
      <w:r w:rsidRPr="008C6BAB">
        <w:rPr>
          <w:rFonts w:ascii="宋体" w:hAnsi="宋体" w:hint="eastAsia"/>
          <w:b/>
          <w:sz w:val="28"/>
          <w:szCs w:val="28"/>
        </w:rPr>
        <w:t>202</w:t>
      </w:r>
      <w:r>
        <w:rPr>
          <w:rFonts w:ascii="宋体" w:hAnsi="宋体"/>
          <w:b/>
          <w:sz w:val="28"/>
          <w:szCs w:val="28"/>
        </w:rPr>
        <w:t>2</w:t>
      </w:r>
      <w:r w:rsidRPr="008C6BAB">
        <w:rPr>
          <w:rFonts w:ascii="宋体" w:hAnsi="宋体" w:hint="eastAsia"/>
          <w:b/>
          <w:sz w:val="28"/>
          <w:szCs w:val="28"/>
        </w:rPr>
        <w:t>年</w:t>
      </w:r>
      <w:r w:rsidR="00AF4D77">
        <w:rPr>
          <w:rFonts w:ascii="宋体" w:hAnsi="宋体"/>
          <w:b/>
          <w:sz w:val="28"/>
          <w:szCs w:val="28"/>
        </w:rPr>
        <w:t>8</w:t>
      </w:r>
      <w:r w:rsidR="00056933" w:rsidRPr="008C6BAB">
        <w:rPr>
          <w:rFonts w:ascii="宋体" w:hAnsi="宋体" w:hint="eastAsia"/>
          <w:b/>
          <w:sz w:val="28"/>
          <w:szCs w:val="28"/>
        </w:rPr>
        <w:t>月</w:t>
      </w:r>
    </w:p>
    <w:p w14:paraId="782A7682" w14:textId="77777777" w:rsidR="00006FD1" w:rsidRPr="008C6BAB" w:rsidRDefault="00056933">
      <w:pPr>
        <w:spacing w:line="360" w:lineRule="auto"/>
        <w:jc w:val="center"/>
        <w:rPr>
          <w:rFonts w:ascii="宋体" w:hAnsi="宋体"/>
          <w:b/>
          <w:sz w:val="30"/>
          <w:szCs w:val="30"/>
        </w:rPr>
      </w:pPr>
      <w:r w:rsidRPr="008C6BAB">
        <w:rPr>
          <w:rFonts w:ascii="宋体" w:hAnsi="宋体" w:hint="eastAsia"/>
          <w:b/>
          <w:sz w:val="30"/>
          <w:szCs w:val="30"/>
        </w:rPr>
        <w:lastRenderedPageBreak/>
        <w:t>目  录</w:t>
      </w:r>
    </w:p>
    <w:p w14:paraId="21B0D717" w14:textId="77777777" w:rsidR="00006FD1" w:rsidRPr="008C6BAB" w:rsidRDefault="00006FD1">
      <w:pPr>
        <w:spacing w:line="360" w:lineRule="auto"/>
        <w:jc w:val="center"/>
        <w:rPr>
          <w:rFonts w:ascii="仿宋" w:eastAsia="仿宋" w:hAnsi="仿宋"/>
          <w:b/>
          <w:color w:val="000000"/>
          <w:sz w:val="28"/>
          <w:szCs w:val="28"/>
        </w:rPr>
      </w:pPr>
    </w:p>
    <w:p w14:paraId="1838615A" w14:textId="6A759AC0" w:rsidR="00006FD1" w:rsidRPr="008C6BAB" w:rsidRDefault="00056933">
      <w:pPr>
        <w:pStyle w:val="1"/>
        <w:tabs>
          <w:tab w:val="right" w:leader="hyphen" w:pos="8296"/>
        </w:tabs>
        <w:spacing w:line="360" w:lineRule="auto"/>
        <w:rPr>
          <w:rFonts w:ascii="宋体" w:hAnsi="宋体" w:cs="宋体"/>
          <w:noProof/>
          <w:color w:val="000000"/>
          <w:sz w:val="24"/>
          <w:szCs w:val="24"/>
        </w:rPr>
      </w:pPr>
      <w:r w:rsidRPr="008C6BAB">
        <w:rPr>
          <w:rFonts w:ascii="宋体" w:hAnsi="宋体" w:cs="宋体" w:hint="eastAsia"/>
          <w:color w:val="000000"/>
          <w:sz w:val="24"/>
          <w:szCs w:val="24"/>
        </w:rPr>
        <w:fldChar w:fldCharType="begin"/>
      </w:r>
      <w:r w:rsidRPr="008C6BAB">
        <w:rPr>
          <w:rFonts w:ascii="宋体" w:hAnsi="宋体" w:cs="宋体" w:hint="eastAsia"/>
          <w:color w:val="000000"/>
          <w:sz w:val="24"/>
          <w:szCs w:val="24"/>
        </w:rPr>
        <w:instrText xml:space="preserve"> TOC \o "1-1" \h \z \u </w:instrText>
      </w:r>
      <w:r w:rsidRPr="008C6BAB">
        <w:rPr>
          <w:rFonts w:ascii="宋体" w:hAnsi="宋体" w:cs="宋体" w:hint="eastAsia"/>
          <w:color w:val="000000"/>
          <w:sz w:val="24"/>
          <w:szCs w:val="24"/>
        </w:rPr>
        <w:fldChar w:fldCharType="separate"/>
      </w:r>
      <w:hyperlink w:anchor="_Toc264617141" w:tooltip="Current Document" w:history="1">
        <w:r w:rsidRPr="008C6BAB">
          <w:rPr>
            <w:rFonts w:ascii="宋体" w:hAnsi="宋体"/>
            <w:noProof/>
            <w:sz w:val="24"/>
            <w:szCs w:val="24"/>
          </w:rPr>
          <w:t>一、基金托管协议当事人</w:t>
        </w:r>
        <w:r w:rsidRPr="008C6BAB">
          <w:rPr>
            <w:rFonts w:ascii="宋体" w:hAnsi="宋体"/>
            <w:noProof/>
            <w:sz w:val="24"/>
            <w:szCs w:val="24"/>
          </w:rPr>
          <w:tab/>
        </w:r>
        <w:r w:rsidRPr="008C6BAB">
          <w:rPr>
            <w:rFonts w:ascii="宋体" w:hAnsi="宋体"/>
            <w:noProof/>
            <w:sz w:val="24"/>
            <w:szCs w:val="24"/>
          </w:rPr>
          <w:fldChar w:fldCharType="begin"/>
        </w:r>
        <w:r w:rsidRPr="008C6BAB">
          <w:rPr>
            <w:rFonts w:ascii="宋体" w:hAnsi="宋体"/>
            <w:noProof/>
            <w:sz w:val="24"/>
            <w:szCs w:val="24"/>
          </w:rPr>
          <w:instrText xml:space="preserve"> PAGEREF _Toc264617141 \h </w:instrText>
        </w:r>
        <w:r w:rsidRPr="008C6BAB">
          <w:rPr>
            <w:rFonts w:ascii="宋体" w:hAnsi="宋体"/>
            <w:noProof/>
            <w:sz w:val="24"/>
            <w:szCs w:val="24"/>
          </w:rPr>
        </w:r>
        <w:r w:rsidRPr="008C6BAB">
          <w:rPr>
            <w:rFonts w:ascii="宋体" w:hAnsi="宋体"/>
            <w:noProof/>
            <w:sz w:val="24"/>
            <w:szCs w:val="24"/>
          </w:rPr>
          <w:fldChar w:fldCharType="separate"/>
        </w:r>
        <w:r w:rsidR="00DA523E">
          <w:rPr>
            <w:rFonts w:ascii="宋体" w:hAnsi="宋体"/>
            <w:noProof/>
            <w:sz w:val="24"/>
            <w:szCs w:val="24"/>
          </w:rPr>
          <w:t>1</w:t>
        </w:r>
        <w:r w:rsidRPr="008C6BAB">
          <w:rPr>
            <w:rFonts w:ascii="宋体" w:hAnsi="宋体"/>
            <w:noProof/>
            <w:sz w:val="24"/>
            <w:szCs w:val="24"/>
          </w:rPr>
          <w:fldChar w:fldCharType="end"/>
        </w:r>
      </w:hyperlink>
    </w:p>
    <w:p w14:paraId="45FB84EC" w14:textId="5A581BD8" w:rsidR="00006FD1" w:rsidRPr="008C6BAB" w:rsidRDefault="00963B89">
      <w:pPr>
        <w:pStyle w:val="1"/>
        <w:tabs>
          <w:tab w:val="right" w:leader="hyphen" w:pos="8296"/>
        </w:tabs>
        <w:spacing w:line="360" w:lineRule="auto"/>
        <w:rPr>
          <w:rFonts w:ascii="宋体" w:hAnsi="宋体" w:cs="宋体"/>
          <w:noProof/>
          <w:color w:val="000000"/>
          <w:sz w:val="24"/>
          <w:szCs w:val="24"/>
        </w:rPr>
      </w:pPr>
      <w:hyperlink w:anchor="_Toc264617142" w:tooltip="Current Document" w:history="1">
        <w:r w:rsidR="00056933" w:rsidRPr="008C6BAB">
          <w:rPr>
            <w:rFonts w:ascii="宋体" w:hAnsi="宋体"/>
            <w:noProof/>
            <w:sz w:val="24"/>
            <w:szCs w:val="24"/>
          </w:rPr>
          <w:t>二、基金托管协议的依据、目的、原则和解释</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_Toc264617142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2</w:t>
        </w:r>
        <w:r w:rsidR="00056933" w:rsidRPr="008C6BAB">
          <w:rPr>
            <w:rFonts w:ascii="宋体" w:hAnsi="宋体"/>
            <w:noProof/>
            <w:sz w:val="24"/>
            <w:szCs w:val="24"/>
          </w:rPr>
          <w:fldChar w:fldCharType="end"/>
        </w:r>
      </w:hyperlink>
    </w:p>
    <w:p w14:paraId="5D2739A9" w14:textId="51A18B7B"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43" w:tooltip="Current Document" w:history="1">
        <w:r w:rsidR="00056933" w:rsidRPr="008C6BAB">
          <w:rPr>
            <w:rFonts w:ascii="宋体" w:hAnsi="宋体"/>
            <w:noProof/>
            <w:sz w:val="24"/>
            <w:szCs w:val="24"/>
          </w:rPr>
          <w:t>三、基金托管人对基金管理人的业务监督和核查</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_Toc264617143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3</w:t>
        </w:r>
        <w:r w:rsidR="00056933" w:rsidRPr="008C6BAB">
          <w:rPr>
            <w:rFonts w:ascii="宋体" w:hAnsi="宋体"/>
            <w:noProof/>
            <w:sz w:val="24"/>
            <w:szCs w:val="24"/>
          </w:rPr>
          <w:fldChar w:fldCharType="end"/>
        </w:r>
      </w:hyperlink>
    </w:p>
    <w:p w14:paraId="44DBDFC3" w14:textId="2D243FFA"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44" w:tooltip="Current Document" w:history="1">
        <w:r w:rsidR="00056933" w:rsidRPr="008C6BAB">
          <w:rPr>
            <w:rFonts w:ascii="宋体" w:hAnsi="宋体"/>
            <w:noProof/>
            <w:sz w:val="24"/>
            <w:szCs w:val="24"/>
          </w:rPr>
          <w:t>四、基金管理人对基金托管人的业务核查</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_Toc264617144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9</w:t>
        </w:r>
        <w:r w:rsidR="00056933" w:rsidRPr="008C6BAB">
          <w:rPr>
            <w:rFonts w:ascii="宋体" w:hAnsi="宋体"/>
            <w:noProof/>
            <w:sz w:val="24"/>
            <w:szCs w:val="24"/>
          </w:rPr>
          <w:fldChar w:fldCharType="end"/>
        </w:r>
      </w:hyperlink>
    </w:p>
    <w:p w14:paraId="42240DBD" w14:textId="2842F7B5"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45" w:tooltip="Current Document" w:history="1">
        <w:r w:rsidR="00056933" w:rsidRPr="008C6BAB">
          <w:rPr>
            <w:rFonts w:ascii="宋体" w:hAnsi="宋体"/>
            <w:noProof/>
            <w:sz w:val="24"/>
            <w:szCs w:val="24"/>
          </w:rPr>
          <w:t>五、基金财产的保管</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_Toc264617145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10</w:t>
        </w:r>
        <w:r w:rsidR="00056933" w:rsidRPr="008C6BAB">
          <w:rPr>
            <w:rFonts w:ascii="宋体" w:hAnsi="宋体"/>
            <w:noProof/>
            <w:sz w:val="24"/>
            <w:szCs w:val="24"/>
          </w:rPr>
          <w:fldChar w:fldCharType="end"/>
        </w:r>
      </w:hyperlink>
    </w:p>
    <w:p w14:paraId="7C2FD397" w14:textId="3B9413A7" w:rsidR="00006FD1" w:rsidRPr="008C6BAB" w:rsidRDefault="00963B89">
      <w:pPr>
        <w:pStyle w:val="1"/>
        <w:tabs>
          <w:tab w:val="right" w:leader="hyphen" w:pos="8296"/>
        </w:tabs>
        <w:spacing w:line="360" w:lineRule="auto"/>
        <w:rPr>
          <w:rFonts w:ascii="宋体" w:hAnsi="宋体" w:cs="宋体"/>
          <w:noProof/>
          <w:color w:val="000000"/>
          <w:sz w:val="24"/>
          <w:szCs w:val="24"/>
        </w:rPr>
      </w:pPr>
      <w:hyperlink w:anchor="_Toc264617146" w:tooltip="Current Document" w:history="1">
        <w:r w:rsidR="00056933" w:rsidRPr="008C6BAB">
          <w:rPr>
            <w:rFonts w:ascii="宋体" w:hAnsi="宋体"/>
            <w:noProof/>
            <w:sz w:val="24"/>
            <w:szCs w:val="24"/>
          </w:rPr>
          <w:t>六、指令的发送、确认及执行</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_Toc264617146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14</w:t>
        </w:r>
        <w:r w:rsidR="00056933" w:rsidRPr="008C6BAB">
          <w:rPr>
            <w:rFonts w:ascii="宋体" w:hAnsi="宋体"/>
            <w:noProof/>
            <w:sz w:val="24"/>
            <w:szCs w:val="24"/>
          </w:rPr>
          <w:fldChar w:fldCharType="end"/>
        </w:r>
      </w:hyperlink>
    </w:p>
    <w:p w14:paraId="51D53014" w14:textId="5CD15EE1"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47" w:tooltip="Current Document" w:history="1">
        <w:r w:rsidR="00056933" w:rsidRPr="008C6BAB">
          <w:rPr>
            <w:rFonts w:ascii="宋体" w:hAnsi="宋体"/>
            <w:noProof/>
            <w:sz w:val="24"/>
            <w:szCs w:val="24"/>
          </w:rPr>
          <w:t>七、交易及清算交收安排</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_Toc264617147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18</w:t>
        </w:r>
        <w:r w:rsidR="00056933" w:rsidRPr="008C6BAB">
          <w:rPr>
            <w:rFonts w:ascii="宋体" w:hAnsi="宋体"/>
            <w:noProof/>
            <w:sz w:val="24"/>
            <w:szCs w:val="24"/>
          </w:rPr>
          <w:fldChar w:fldCharType="end"/>
        </w:r>
      </w:hyperlink>
    </w:p>
    <w:p w14:paraId="7AA26294" w14:textId="7DE5C630"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48" w:tooltip="Current Document" w:history="1">
        <w:r w:rsidR="00056933" w:rsidRPr="008C6BAB">
          <w:rPr>
            <w:rFonts w:ascii="宋体" w:hAnsi="宋体"/>
            <w:noProof/>
            <w:sz w:val="24"/>
            <w:szCs w:val="24"/>
          </w:rPr>
          <w:t>八、基金资产净值计算和会计核算</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_Toc264617148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23</w:t>
        </w:r>
        <w:r w:rsidR="00056933" w:rsidRPr="008C6BAB">
          <w:rPr>
            <w:rFonts w:ascii="宋体" w:hAnsi="宋体"/>
            <w:noProof/>
            <w:sz w:val="24"/>
            <w:szCs w:val="24"/>
          </w:rPr>
          <w:fldChar w:fldCharType="end"/>
        </w:r>
      </w:hyperlink>
    </w:p>
    <w:p w14:paraId="42ACB683" w14:textId="24FC037C"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49" w:tooltip="Current Document" w:history="1">
        <w:r w:rsidR="00056933" w:rsidRPr="008C6BAB">
          <w:rPr>
            <w:rFonts w:ascii="宋体" w:hAnsi="宋体"/>
            <w:noProof/>
            <w:sz w:val="24"/>
            <w:szCs w:val="24"/>
          </w:rPr>
          <w:t>九、基金收益分配</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_Toc264617149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29</w:t>
        </w:r>
        <w:r w:rsidR="00056933" w:rsidRPr="008C6BAB">
          <w:rPr>
            <w:rFonts w:ascii="宋体" w:hAnsi="宋体"/>
            <w:noProof/>
            <w:sz w:val="24"/>
            <w:szCs w:val="24"/>
          </w:rPr>
          <w:fldChar w:fldCharType="end"/>
        </w:r>
      </w:hyperlink>
    </w:p>
    <w:p w14:paraId="76E2850C" w14:textId="737678FB" w:rsidR="00006FD1" w:rsidRPr="008C6BAB" w:rsidRDefault="00963B89">
      <w:pPr>
        <w:pStyle w:val="1"/>
        <w:tabs>
          <w:tab w:val="right" w:leader="hyphen" w:pos="8296"/>
        </w:tabs>
        <w:spacing w:line="360" w:lineRule="auto"/>
        <w:rPr>
          <w:rFonts w:ascii="宋体" w:hAnsi="宋体" w:cs="宋体"/>
          <w:noProof/>
          <w:color w:val="000000"/>
          <w:sz w:val="24"/>
          <w:szCs w:val="24"/>
        </w:rPr>
      </w:pPr>
      <w:hyperlink w:anchor="_Toc264617150" w:tooltip="Current Document" w:history="1">
        <w:r w:rsidR="00056933" w:rsidRPr="008C6BAB">
          <w:rPr>
            <w:rFonts w:ascii="宋体" w:hAnsi="宋体"/>
            <w:noProof/>
            <w:sz w:val="24"/>
            <w:szCs w:val="24"/>
          </w:rPr>
          <w:t>十、基金信息披露</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_Toc264617150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30</w:t>
        </w:r>
        <w:r w:rsidR="00056933" w:rsidRPr="008C6BAB">
          <w:rPr>
            <w:rFonts w:ascii="宋体" w:hAnsi="宋体"/>
            <w:noProof/>
            <w:sz w:val="24"/>
            <w:szCs w:val="24"/>
          </w:rPr>
          <w:fldChar w:fldCharType="end"/>
        </w:r>
      </w:hyperlink>
    </w:p>
    <w:p w14:paraId="6B1705CF" w14:textId="2554F521"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51" w:tooltip="Current Document" w:history="1">
        <w:r w:rsidR="00056933" w:rsidRPr="008C6BAB">
          <w:rPr>
            <w:rFonts w:ascii="宋体" w:hAnsi="宋体"/>
            <w:noProof/>
            <w:sz w:val="24"/>
            <w:szCs w:val="24"/>
          </w:rPr>
          <w:t>十一、基金费用</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_Toc264617151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32</w:t>
        </w:r>
        <w:r w:rsidR="00056933" w:rsidRPr="008C6BAB">
          <w:rPr>
            <w:rFonts w:ascii="宋体" w:hAnsi="宋体"/>
            <w:noProof/>
            <w:sz w:val="24"/>
            <w:szCs w:val="24"/>
          </w:rPr>
          <w:fldChar w:fldCharType="end"/>
        </w:r>
      </w:hyperlink>
    </w:p>
    <w:p w14:paraId="6D46B821" w14:textId="6560F4F5"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52" w:tooltip="Current Document" w:history="1">
        <w:r w:rsidR="00056933" w:rsidRPr="008C6BAB">
          <w:rPr>
            <w:rFonts w:ascii="宋体" w:hAnsi="宋体"/>
            <w:noProof/>
            <w:sz w:val="24"/>
            <w:szCs w:val="24"/>
          </w:rPr>
          <w:t>十二、基金份额持有人名册的保管</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_Toc264617152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35</w:t>
        </w:r>
        <w:r w:rsidR="00056933" w:rsidRPr="008C6BAB">
          <w:rPr>
            <w:rFonts w:ascii="宋体" w:hAnsi="宋体"/>
            <w:noProof/>
            <w:sz w:val="24"/>
            <w:szCs w:val="24"/>
          </w:rPr>
          <w:fldChar w:fldCharType="end"/>
        </w:r>
      </w:hyperlink>
    </w:p>
    <w:p w14:paraId="4D12B369" w14:textId="136FD603"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53" w:tooltip="Current Document" w:history="1">
        <w:r w:rsidR="00056933" w:rsidRPr="008C6BAB">
          <w:rPr>
            <w:rFonts w:ascii="宋体" w:hAnsi="宋体"/>
            <w:noProof/>
            <w:sz w:val="24"/>
            <w:szCs w:val="24"/>
          </w:rPr>
          <w:t>十三、基金有关文件档案的保存</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_Toc264617153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36</w:t>
        </w:r>
        <w:r w:rsidR="00056933" w:rsidRPr="008C6BAB">
          <w:rPr>
            <w:rFonts w:ascii="宋体" w:hAnsi="宋体"/>
            <w:noProof/>
            <w:sz w:val="24"/>
            <w:szCs w:val="24"/>
          </w:rPr>
          <w:fldChar w:fldCharType="end"/>
        </w:r>
      </w:hyperlink>
    </w:p>
    <w:p w14:paraId="6179B2DC" w14:textId="601E0310"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54" w:tooltip="Current Document" w:history="1">
        <w:r w:rsidR="00056933" w:rsidRPr="008C6BAB">
          <w:rPr>
            <w:rFonts w:ascii="宋体" w:hAnsi="宋体"/>
            <w:noProof/>
            <w:sz w:val="24"/>
            <w:szCs w:val="24"/>
          </w:rPr>
          <w:t>十四、基金管理人和基金托管人的更换</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_Toc264617154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37</w:t>
        </w:r>
        <w:r w:rsidR="00056933" w:rsidRPr="008C6BAB">
          <w:rPr>
            <w:rFonts w:ascii="宋体" w:hAnsi="宋体"/>
            <w:noProof/>
            <w:sz w:val="24"/>
            <w:szCs w:val="24"/>
          </w:rPr>
          <w:fldChar w:fldCharType="end"/>
        </w:r>
      </w:hyperlink>
    </w:p>
    <w:p w14:paraId="14CF9B75" w14:textId="1138662D"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55" w:tooltip="Current Document" w:history="1">
        <w:r w:rsidR="00056933" w:rsidRPr="008C6BAB">
          <w:rPr>
            <w:rFonts w:ascii="宋体" w:hAnsi="宋体"/>
            <w:noProof/>
            <w:sz w:val="24"/>
            <w:szCs w:val="24"/>
          </w:rPr>
          <w:t>十五、禁止行为</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_Toc264617155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40</w:t>
        </w:r>
        <w:r w:rsidR="00056933" w:rsidRPr="008C6BAB">
          <w:rPr>
            <w:rFonts w:ascii="宋体" w:hAnsi="宋体"/>
            <w:noProof/>
            <w:sz w:val="24"/>
            <w:szCs w:val="24"/>
          </w:rPr>
          <w:fldChar w:fldCharType="end"/>
        </w:r>
      </w:hyperlink>
    </w:p>
    <w:p w14:paraId="7B8BA2CE" w14:textId="19D46E15"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56" w:tooltip="Current Document" w:history="1">
        <w:r w:rsidR="00056933" w:rsidRPr="008C6BAB">
          <w:rPr>
            <w:rFonts w:ascii="宋体" w:hAnsi="宋体"/>
            <w:noProof/>
            <w:sz w:val="24"/>
            <w:szCs w:val="24"/>
          </w:rPr>
          <w:t>十六、托管协议的变更、终止与基金财产的清算</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_Toc264617156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42</w:t>
        </w:r>
        <w:r w:rsidR="00056933" w:rsidRPr="008C6BAB">
          <w:rPr>
            <w:rFonts w:ascii="宋体" w:hAnsi="宋体"/>
            <w:noProof/>
            <w:sz w:val="24"/>
            <w:szCs w:val="24"/>
          </w:rPr>
          <w:fldChar w:fldCharType="end"/>
        </w:r>
      </w:hyperlink>
    </w:p>
    <w:p w14:paraId="36F1A7BB" w14:textId="7953CD1D" w:rsidR="00006FD1" w:rsidRPr="008C6BAB" w:rsidRDefault="00963B89">
      <w:pPr>
        <w:pStyle w:val="1"/>
        <w:tabs>
          <w:tab w:val="right" w:leader="dot" w:pos="8302"/>
        </w:tabs>
        <w:spacing w:after="0" w:line="360" w:lineRule="auto"/>
        <w:jc w:val="center"/>
        <w:rPr>
          <w:rFonts w:ascii="宋体" w:hAnsi="宋体" w:cs="宋体"/>
          <w:noProof/>
          <w:color w:val="000000"/>
          <w:sz w:val="24"/>
          <w:szCs w:val="24"/>
        </w:rPr>
      </w:pPr>
      <w:hyperlink w:anchor="_Toc264617157" w:tooltip="Current Document" w:history="1">
        <w:r w:rsidR="00056933" w:rsidRPr="008C6BAB">
          <w:rPr>
            <w:rFonts w:ascii="宋体" w:hAnsi="宋体"/>
            <w:noProof/>
            <w:sz w:val="24"/>
            <w:szCs w:val="24"/>
          </w:rPr>
          <w:t>十七、违约责任</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_Toc264617157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44</w:t>
        </w:r>
        <w:r w:rsidR="00056933" w:rsidRPr="008C6BAB">
          <w:rPr>
            <w:rFonts w:ascii="宋体" w:hAnsi="宋体"/>
            <w:noProof/>
            <w:sz w:val="24"/>
            <w:szCs w:val="24"/>
          </w:rPr>
          <w:fldChar w:fldCharType="end"/>
        </w:r>
      </w:hyperlink>
    </w:p>
    <w:p w14:paraId="6FBC842D" w14:textId="18CA847A"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58" w:tooltip="Current Document" w:history="1">
        <w:r w:rsidR="00056933" w:rsidRPr="008C6BAB">
          <w:rPr>
            <w:rFonts w:ascii="宋体" w:hAnsi="宋体"/>
            <w:noProof/>
            <w:sz w:val="24"/>
            <w:szCs w:val="24"/>
          </w:rPr>
          <w:t>十八、争议解决方式</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_Toc264617158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46</w:t>
        </w:r>
        <w:r w:rsidR="00056933" w:rsidRPr="008C6BAB">
          <w:rPr>
            <w:rFonts w:ascii="宋体" w:hAnsi="宋体"/>
            <w:noProof/>
            <w:sz w:val="24"/>
            <w:szCs w:val="24"/>
          </w:rPr>
          <w:fldChar w:fldCharType="end"/>
        </w:r>
      </w:hyperlink>
    </w:p>
    <w:p w14:paraId="2E27AAFC" w14:textId="0799BA76" w:rsidR="00006FD1" w:rsidRPr="008C6BAB" w:rsidRDefault="00963B89">
      <w:pPr>
        <w:pStyle w:val="1"/>
        <w:tabs>
          <w:tab w:val="right" w:leader="dot" w:pos="8302"/>
        </w:tabs>
        <w:spacing w:after="0" w:line="360" w:lineRule="auto"/>
        <w:jc w:val="center"/>
        <w:rPr>
          <w:rFonts w:ascii="宋体" w:hAnsi="宋体"/>
          <w:noProof/>
          <w:sz w:val="24"/>
          <w:szCs w:val="24"/>
        </w:rPr>
      </w:pPr>
      <w:hyperlink w:anchor="_Toc264617159" w:tooltip="Current Document" w:history="1">
        <w:r w:rsidR="00056933" w:rsidRPr="008C6BAB">
          <w:rPr>
            <w:rFonts w:ascii="宋体" w:hAnsi="宋体"/>
            <w:noProof/>
            <w:sz w:val="24"/>
            <w:szCs w:val="24"/>
          </w:rPr>
          <w:t>十九、托管协议的效力</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_Toc264617159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47</w:t>
        </w:r>
        <w:r w:rsidR="00056933" w:rsidRPr="008C6BAB">
          <w:rPr>
            <w:rFonts w:ascii="宋体" w:hAnsi="宋体"/>
            <w:noProof/>
            <w:sz w:val="24"/>
            <w:szCs w:val="24"/>
          </w:rPr>
          <w:fldChar w:fldCharType="end"/>
        </w:r>
      </w:hyperlink>
    </w:p>
    <w:p w14:paraId="42D74A1B" w14:textId="365DE6FE" w:rsidR="00006FD1" w:rsidRPr="008C6BAB" w:rsidRDefault="00963B89">
      <w:pPr>
        <w:pStyle w:val="1"/>
        <w:tabs>
          <w:tab w:val="right" w:leader="hyphen" w:pos="8296"/>
        </w:tabs>
        <w:spacing w:line="360" w:lineRule="auto"/>
        <w:rPr>
          <w:rFonts w:ascii="宋体" w:hAnsi="宋体" w:cs="宋体"/>
          <w:noProof/>
          <w:color w:val="000000"/>
          <w:sz w:val="24"/>
          <w:szCs w:val="24"/>
        </w:rPr>
      </w:pPr>
      <w:hyperlink w:anchor="_Toc264617160" w:tooltip="Current Document" w:history="1">
        <w:r w:rsidR="00056933" w:rsidRPr="008C6BAB">
          <w:rPr>
            <w:rFonts w:ascii="宋体" w:hAnsi="宋体"/>
            <w:noProof/>
            <w:sz w:val="24"/>
            <w:szCs w:val="24"/>
          </w:rPr>
          <w:t>二十、其他事项</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_Toc264617160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48</w:t>
        </w:r>
        <w:r w:rsidR="00056933" w:rsidRPr="008C6BAB">
          <w:rPr>
            <w:rFonts w:ascii="宋体" w:hAnsi="宋体"/>
            <w:noProof/>
            <w:sz w:val="24"/>
            <w:szCs w:val="24"/>
          </w:rPr>
          <w:fldChar w:fldCharType="end"/>
        </w:r>
      </w:hyperlink>
    </w:p>
    <w:p w14:paraId="5842CF5D" w14:textId="251F0160" w:rsidR="00006FD1" w:rsidRPr="008C6BAB" w:rsidRDefault="00963B89">
      <w:pPr>
        <w:pStyle w:val="1"/>
        <w:tabs>
          <w:tab w:val="right" w:leader="hyphen" w:pos="8296"/>
        </w:tabs>
        <w:spacing w:line="360" w:lineRule="auto"/>
        <w:rPr>
          <w:rFonts w:ascii="宋体" w:hAnsi="宋体" w:cs="宋体"/>
          <w:noProof/>
          <w:color w:val="000000"/>
          <w:sz w:val="24"/>
          <w:szCs w:val="24"/>
        </w:rPr>
      </w:pPr>
      <w:hyperlink w:anchor="_Toc264617161" w:tooltip="Current Document" w:history="1">
        <w:r w:rsidR="00056933" w:rsidRPr="008C6BAB">
          <w:rPr>
            <w:rFonts w:ascii="宋体" w:hAnsi="宋体"/>
            <w:noProof/>
            <w:sz w:val="24"/>
            <w:szCs w:val="24"/>
          </w:rPr>
          <w:t>二十一、托管协议</w:t>
        </w:r>
        <w:bookmarkStart w:id="3" w:name="_Hlt322636246"/>
        <w:bookmarkStart w:id="4" w:name="_Hlt322636245"/>
        <w:r w:rsidR="00056933" w:rsidRPr="008C6BAB">
          <w:rPr>
            <w:rFonts w:ascii="宋体" w:hAnsi="宋体"/>
            <w:noProof/>
            <w:sz w:val="24"/>
            <w:szCs w:val="24"/>
          </w:rPr>
          <w:t>的</w:t>
        </w:r>
        <w:bookmarkEnd w:id="3"/>
        <w:bookmarkEnd w:id="4"/>
        <w:r w:rsidR="00056933" w:rsidRPr="008C6BAB">
          <w:rPr>
            <w:rFonts w:ascii="宋体" w:hAnsi="宋体"/>
            <w:noProof/>
            <w:sz w:val="24"/>
            <w:szCs w:val="24"/>
          </w:rPr>
          <w:t>签订</w:t>
        </w:r>
        <w:r w:rsidR="00056933" w:rsidRPr="008C6BAB">
          <w:rPr>
            <w:rFonts w:ascii="宋体" w:hAnsi="宋体"/>
            <w:noProof/>
            <w:sz w:val="24"/>
            <w:szCs w:val="24"/>
          </w:rPr>
          <w:tab/>
        </w:r>
        <w:r w:rsidR="00056933" w:rsidRPr="008C6BAB">
          <w:rPr>
            <w:rFonts w:ascii="宋体" w:hAnsi="宋体"/>
            <w:noProof/>
            <w:sz w:val="24"/>
            <w:szCs w:val="24"/>
          </w:rPr>
          <w:fldChar w:fldCharType="begin"/>
        </w:r>
        <w:r w:rsidR="00056933" w:rsidRPr="008C6BAB">
          <w:rPr>
            <w:rFonts w:ascii="宋体" w:hAnsi="宋体"/>
            <w:noProof/>
            <w:sz w:val="24"/>
            <w:szCs w:val="24"/>
          </w:rPr>
          <w:instrText xml:space="preserve"> PAGEREF _Toc264617161 \h </w:instrText>
        </w:r>
        <w:r w:rsidR="00056933" w:rsidRPr="008C6BAB">
          <w:rPr>
            <w:rFonts w:ascii="宋体" w:hAnsi="宋体"/>
            <w:noProof/>
            <w:sz w:val="24"/>
            <w:szCs w:val="24"/>
          </w:rPr>
        </w:r>
        <w:r w:rsidR="00056933" w:rsidRPr="008C6BAB">
          <w:rPr>
            <w:rFonts w:ascii="宋体" w:hAnsi="宋体"/>
            <w:noProof/>
            <w:sz w:val="24"/>
            <w:szCs w:val="24"/>
          </w:rPr>
          <w:fldChar w:fldCharType="separate"/>
        </w:r>
        <w:r w:rsidR="00DA523E">
          <w:rPr>
            <w:rFonts w:ascii="宋体" w:hAnsi="宋体"/>
            <w:noProof/>
            <w:sz w:val="24"/>
            <w:szCs w:val="24"/>
          </w:rPr>
          <w:t>49</w:t>
        </w:r>
        <w:r w:rsidR="00056933" w:rsidRPr="008C6BAB">
          <w:rPr>
            <w:rFonts w:ascii="宋体" w:hAnsi="宋体"/>
            <w:noProof/>
            <w:sz w:val="24"/>
            <w:szCs w:val="24"/>
          </w:rPr>
          <w:fldChar w:fldCharType="end"/>
        </w:r>
      </w:hyperlink>
    </w:p>
    <w:p w14:paraId="161A0FA9" w14:textId="77777777" w:rsidR="00006FD1" w:rsidRPr="008C6BAB" w:rsidRDefault="00056933">
      <w:pPr>
        <w:spacing w:line="360" w:lineRule="auto"/>
        <w:ind w:firstLine="480"/>
        <w:rPr>
          <w:rFonts w:ascii="仿宋" w:eastAsia="仿宋" w:hAnsi="仿宋"/>
          <w:color w:val="000000"/>
          <w:sz w:val="24"/>
          <w:szCs w:val="24"/>
        </w:rPr>
      </w:pPr>
      <w:r w:rsidRPr="008C6BAB">
        <w:rPr>
          <w:rFonts w:ascii="宋体" w:hAnsi="宋体" w:cs="宋体" w:hint="eastAsia"/>
          <w:color w:val="000000"/>
          <w:sz w:val="24"/>
          <w:szCs w:val="24"/>
        </w:rPr>
        <w:fldChar w:fldCharType="end"/>
      </w:r>
    </w:p>
    <w:p w14:paraId="00D776F4" w14:textId="77777777" w:rsidR="00006FD1" w:rsidRPr="008C6BAB" w:rsidRDefault="00006FD1">
      <w:pPr>
        <w:spacing w:line="360" w:lineRule="auto"/>
        <w:ind w:firstLine="480"/>
        <w:rPr>
          <w:rFonts w:ascii="仿宋" w:eastAsia="仿宋" w:hAnsi="仿宋"/>
          <w:color w:val="000000"/>
          <w:sz w:val="24"/>
          <w:szCs w:val="24"/>
        </w:rPr>
        <w:sectPr w:rsidR="00006FD1" w:rsidRPr="008C6BAB">
          <w:pgSz w:w="11906" w:h="16838"/>
          <w:pgMar w:top="1440" w:right="1800" w:bottom="1440" w:left="1800" w:header="851" w:footer="992" w:gutter="0"/>
          <w:cols w:space="425"/>
          <w:docGrid w:type="lines" w:linePitch="312"/>
        </w:sectPr>
      </w:pPr>
    </w:p>
    <w:p w14:paraId="64FB16BA" w14:textId="41BB1869"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lastRenderedPageBreak/>
        <w:t>鉴于交银施罗德基金管理有限公司系一家依照中国法律合法成立并有效存续的有限责任公司，按照相关法律法规的规定具备担任基金管理人的资格和能力；</w:t>
      </w:r>
    </w:p>
    <w:p w14:paraId="0FA3BE3B" w14:textId="77777777"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鉴于中国光大银行股份有限公司系一家依照中国法律合法成立并有效存续的银行，按照相关法律法规的规定具备担任基金托管人的资格和能力；</w:t>
      </w:r>
    </w:p>
    <w:p w14:paraId="17C5A884" w14:textId="1E47C96E"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鉴于交银施罗德基金管理有限公司拟担任</w:t>
      </w:r>
      <w:r w:rsidR="00032252">
        <w:rPr>
          <w:rFonts w:ascii="宋体" w:hAnsi="宋体" w:hint="eastAsia"/>
          <w:sz w:val="24"/>
          <w:szCs w:val="24"/>
        </w:rPr>
        <w:t>交银施罗德稳益短债债券型证券投资基金</w:t>
      </w:r>
      <w:r w:rsidRPr="008C6BAB">
        <w:rPr>
          <w:rFonts w:ascii="宋体" w:hAnsi="宋体" w:hint="eastAsia"/>
          <w:sz w:val="24"/>
          <w:szCs w:val="24"/>
        </w:rPr>
        <w:t>的基金管理人，中国光大银行股份有限公司拟担任</w:t>
      </w:r>
      <w:r w:rsidR="00032252">
        <w:rPr>
          <w:rFonts w:ascii="宋体" w:hAnsi="宋体" w:hint="eastAsia"/>
          <w:sz w:val="24"/>
          <w:szCs w:val="24"/>
        </w:rPr>
        <w:t>交银施罗德稳益短债债券型证券投资基金</w:t>
      </w:r>
      <w:r w:rsidRPr="008C6BAB">
        <w:rPr>
          <w:rFonts w:ascii="宋体" w:hAnsi="宋体" w:hint="eastAsia"/>
          <w:sz w:val="24"/>
          <w:szCs w:val="24"/>
        </w:rPr>
        <w:t>的基金托管人；</w:t>
      </w:r>
    </w:p>
    <w:p w14:paraId="14DE8395" w14:textId="14540A7C"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为明确</w:t>
      </w:r>
      <w:r w:rsidR="00032252">
        <w:rPr>
          <w:rFonts w:ascii="宋体" w:hAnsi="宋体" w:hint="eastAsia"/>
          <w:sz w:val="24"/>
          <w:szCs w:val="24"/>
        </w:rPr>
        <w:t>交银施罗德稳益短债债券型证券投资基金</w:t>
      </w:r>
      <w:r w:rsidRPr="008C6BAB">
        <w:rPr>
          <w:rFonts w:ascii="宋体" w:hAnsi="宋体" w:hint="eastAsia"/>
          <w:sz w:val="24"/>
          <w:szCs w:val="24"/>
        </w:rPr>
        <w:t>的基金管理人和基金托管人之间的权利义务关系，特制订本托管协议；</w:t>
      </w:r>
    </w:p>
    <w:p w14:paraId="376AA460" w14:textId="69C4C07F"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除非另有约定，《</w:t>
      </w:r>
      <w:r w:rsidR="00032252">
        <w:rPr>
          <w:rFonts w:ascii="宋体" w:hAnsi="宋体" w:hint="eastAsia"/>
          <w:sz w:val="24"/>
          <w:szCs w:val="24"/>
        </w:rPr>
        <w:t>交银施罗德稳益短债债券型证券投资基金</w:t>
      </w:r>
      <w:r w:rsidRPr="008C6BAB">
        <w:rPr>
          <w:rFonts w:ascii="宋体" w:hAnsi="宋体" w:hint="eastAsia"/>
          <w:sz w:val="24"/>
          <w:szCs w:val="24"/>
        </w:rPr>
        <w:t>基金合同》中定义的术语在用于本托管协议时应具有相同的含义；若有抵触应以</w:t>
      </w:r>
      <w:r w:rsidRPr="008C6BAB">
        <w:rPr>
          <w:rFonts w:ascii="宋体" w:hAnsi="宋体"/>
          <w:sz w:val="24"/>
          <w:szCs w:val="24"/>
        </w:rPr>
        <w:t>基金合同</w:t>
      </w:r>
      <w:r w:rsidRPr="008C6BAB">
        <w:rPr>
          <w:rFonts w:ascii="宋体" w:hAnsi="宋体" w:hint="eastAsia"/>
          <w:sz w:val="24"/>
          <w:szCs w:val="24"/>
        </w:rPr>
        <w:t>为准，并依其条款解释。</w:t>
      </w:r>
    </w:p>
    <w:p w14:paraId="1130C807" w14:textId="77777777" w:rsidR="00006FD1" w:rsidRPr="008C6BAB" w:rsidRDefault="00056933">
      <w:pPr>
        <w:spacing w:line="360" w:lineRule="auto"/>
        <w:ind w:firstLineChars="200" w:firstLine="480"/>
        <w:rPr>
          <w:rFonts w:ascii="宋体" w:hAnsi="宋体"/>
          <w:sz w:val="24"/>
          <w:szCs w:val="24"/>
        </w:rPr>
      </w:pPr>
      <w:r w:rsidRPr="008C6BAB">
        <w:rPr>
          <w:rFonts w:ascii="宋体" w:hAnsi="宋体" w:hint="eastAsia"/>
          <w:sz w:val="24"/>
          <w:szCs w:val="24"/>
        </w:rPr>
        <w:t>若本基金实施侧袋机制的，侧袋机制实施期间的相关安排见基金合同和招募说明书的规定。</w:t>
      </w:r>
    </w:p>
    <w:p w14:paraId="17765D28" w14:textId="77777777" w:rsidR="00006FD1" w:rsidRPr="008C6BAB" w:rsidRDefault="00006FD1">
      <w:pPr>
        <w:spacing w:line="360" w:lineRule="auto"/>
        <w:ind w:firstLine="480"/>
        <w:rPr>
          <w:rFonts w:ascii="宋体" w:hAnsi="宋体"/>
          <w:sz w:val="24"/>
          <w:szCs w:val="24"/>
        </w:rPr>
      </w:pPr>
    </w:p>
    <w:p w14:paraId="32E08C3E" w14:textId="77777777" w:rsidR="00006FD1" w:rsidRPr="008C6BAB" w:rsidRDefault="00006FD1">
      <w:pPr>
        <w:pStyle w:val="af3"/>
        <w:jc w:val="both"/>
        <w:rPr>
          <w:b w:val="0"/>
          <w:bCs w:val="0"/>
          <w:sz w:val="24"/>
          <w:szCs w:val="24"/>
        </w:rPr>
        <w:sectPr w:rsidR="00006FD1" w:rsidRPr="008C6BAB">
          <w:pgSz w:w="11906" w:h="16838"/>
          <w:pgMar w:top="1440" w:right="1800" w:bottom="1440" w:left="1800" w:header="851" w:footer="992" w:gutter="0"/>
          <w:cols w:space="425"/>
          <w:titlePg/>
          <w:docGrid w:type="lines" w:linePitch="312"/>
        </w:sectPr>
      </w:pPr>
      <w:bookmarkStart w:id="5" w:name="_Toc264617141"/>
    </w:p>
    <w:p w14:paraId="6B70EFA7" w14:textId="77777777" w:rsidR="00006FD1" w:rsidRPr="008C6BAB" w:rsidRDefault="00056933">
      <w:pPr>
        <w:pStyle w:val="af3"/>
        <w:rPr>
          <w:rFonts w:ascii="宋体" w:hAnsi="宋体" w:cs="宋体"/>
          <w:sz w:val="30"/>
          <w:szCs w:val="30"/>
        </w:rPr>
      </w:pPr>
      <w:r w:rsidRPr="008C6BAB">
        <w:rPr>
          <w:rFonts w:ascii="宋体" w:hAnsi="宋体" w:cs="宋体" w:hint="eastAsia"/>
          <w:sz w:val="30"/>
          <w:szCs w:val="30"/>
        </w:rPr>
        <w:lastRenderedPageBreak/>
        <w:t>一、基金托管协议当事人</w:t>
      </w:r>
      <w:bookmarkEnd w:id="5"/>
    </w:p>
    <w:p w14:paraId="66A6BE4B" w14:textId="77777777"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（一）基金管理人</w:t>
      </w:r>
    </w:p>
    <w:p w14:paraId="25DF415A" w14:textId="77777777" w:rsidR="00006FD1" w:rsidRPr="008C6BAB" w:rsidRDefault="00056933">
      <w:pPr>
        <w:spacing w:line="360" w:lineRule="auto"/>
        <w:ind w:firstLineChars="200" w:firstLine="480"/>
        <w:rPr>
          <w:rFonts w:ascii="宋体" w:hAnsi="宋体"/>
          <w:sz w:val="24"/>
          <w:szCs w:val="24"/>
        </w:rPr>
      </w:pPr>
      <w:r w:rsidRPr="008C6BAB">
        <w:rPr>
          <w:rFonts w:ascii="宋体" w:hAnsi="宋体" w:hint="eastAsia"/>
          <w:sz w:val="24"/>
          <w:szCs w:val="24"/>
        </w:rPr>
        <w:t>名称：交银施罗德基金管理有限公司</w:t>
      </w:r>
    </w:p>
    <w:p w14:paraId="00DAE813" w14:textId="77777777" w:rsidR="00006FD1" w:rsidRPr="008C6BAB" w:rsidRDefault="00056933">
      <w:pPr>
        <w:spacing w:line="360" w:lineRule="auto"/>
        <w:ind w:firstLineChars="200" w:firstLine="480"/>
        <w:rPr>
          <w:rFonts w:ascii="宋体" w:hAnsi="宋体"/>
          <w:sz w:val="24"/>
          <w:szCs w:val="24"/>
        </w:rPr>
      </w:pPr>
      <w:r w:rsidRPr="008C6BAB">
        <w:rPr>
          <w:rFonts w:ascii="宋体" w:hAnsi="宋体" w:hint="eastAsia"/>
          <w:sz w:val="24"/>
          <w:szCs w:val="24"/>
        </w:rPr>
        <w:t>住所：中国（上海）自由贸易试验区银城中路188号交通银行大楼二层（裙）</w:t>
      </w:r>
    </w:p>
    <w:p w14:paraId="6905D43A" w14:textId="77777777" w:rsidR="00006FD1" w:rsidRPr="008C6BAB" w:rsidRDefault="00056933">
      <w:pPr>
        <w:spacing w:line="360" w:lineRule="auto"/>
        <w:ind w:firstLineChars="200" w:firstLine="480"/>
        <w:rPr>
          <w:rFonts w:ascii="宋体" w:hAnsi="宋体"/>
          <w:sz w:val="24"/>
          <w:szCs w:val="24"/>
        </w:rPr>
      </w:pPr>
      <w:r w:rsidRPr="008C6BAB">
        <w:rPr>
          <w:rFonts w:ascii="宋体" w:hAnsi="宋体" w:hint="eastAsia"/>
          <w:sz w:val="24"/>
          <w:szCs w:val="24"/>
        </w:rPr>
        <w:t>办公地址：上海市浦东新区世纪大道8号国金中心二期21-22楼</w:t>
      </w:r>
    </w:p>
    <w:p w14:paraId="1FAB9F2C" w14:textId="77777777" w:rsidR="00006FD1" w:rsidRPr="008C6BAB" w:rsidRDefault="00056933">
      <w:pPr>
        <w:spacing w:line="360" w:lineRule="auto"/>
        <w:ind w:firstLineChars="200" w:firstLine="480"/>
        <w:rPr>
          <w:rFonts w:ascii="宋体" w:hAnsi="宋体"/>
          <w:sz w:val="24"/>
          <w:szCs w:val="24"/>
        </w:rPr>
      </w:pPr>
      <w:r w:rsidRPr="008C6BAB">
        <w:rPr>
          <w:rFonts w:ascii="宋体" w:hAnsi="宋体" w:hint="eastAsia"/>
          <w:sz w:val="24"/>
          <w:szCs w:val="24"/>
        </w:rPr>
        <w:t>邮政编码：</w:t>
      </w:r>
      <w:r w:rsidRPr="008C6BAB">
        <w:rPr>
          <w:rFonts w:ascii="宋体" w:hAnsi="宋体"/>
          <w:sz w:val="24"/>
          <w:szCs w:val="24"/>
        </w:rPr>
        <w:t>200120</w:t>
      </w:r>
    </w:p>
    <w:p w14:paraId="160621B8" w14:textId="77777777" w:rsidR="00006FD1" w:rsidRPr="008C6BAB" w:rsidRDefault="00056933">
      <w:pPr>
        <w:spacing w:line="360" w:lineRule="auto"/>
        <w:ind w:firstLineChars="200" w:firstLine="480"/>
        <w:rPr>
          <w:rFonts w:ascii="宋体" w:hAnsi="宋体"/>
          <w:sz w:val="24"/>
          <w:szCs w:val="24"/>
        </w:rPr>
      </w:pPr>
      <w:r w:rsidRPr="008C6BAB">
        <w:rPr>
          <w:rFonts w:ascii="宋体" w:hAnsi="宋体" w:hint="eastAsia"/>
          <w:sz w:val="24"/>
          <w:szCs w:val="24"/>
        </w:rPr>
        <w:t>法定代表人：阮红</w:t>
      </w:r>
    </w:p>
    <w:p w14:paraId="0448554E" w14:textId="77777777" w:rsidR="00006FD1" w:rsidRPr="008C6BAB" w:rsidRDefault="00056933">
      <w:pPr>
        <w:spacing w:line="360" w:lineRule="auto"/>
        <w:ind w:firstLineChars="200" w:firstLine="480"/>
        <w:rPr>
          <w:rFonts w:ascii="宋体" w:hAnsi="宋体"/>
          <w:sz w:val="24"/>
          <w:szCs w:val="24"/>
        </w:rPr>
      </w:pPr>
      <w:r w:rsidRPr="008C6BAB">
        <w:rPr>
          <w:rFonts w:ascii="宋体" w:hAnsi="宋体" w:hint="eastAsia"/>
          <w:sz w:val="24"/>
          <w:szCs w:val="24"/>
        </w:rPr>
        <w:t>成立日期：2005年8月4日</w:t>
      </w:r>
    </w:p>
    <w:p w14:paraId="65FD536C" w14:textId="77777777" w:rsidR="00006FD1" w:rsidRPr="008C6BAB" w:rsidRDefault="00056933">
      <w:pPr>
        <w:spacing w:line="360" w:lineRule="auto"/>
        <w:ind w:firstLineChars="200" w:firstLine="480"/>
        <w:rPr>
          <w:rFonts w:ascii="宋体" w:hAnsi="宋体"/>
          <w:sz w:val="24"/>
          <w:szCs w:val="24"/>
        </w:rPr>
      </w:pPr>
      <w:r w:rsidRPr="008C6BAB">
        <w:rPr>
          <w:rFonts w:ascii="宋体" w:hAnsi="宋体" w:hint="eastAsia"/>
          <w:sz w:val="24"/>
          <w:szCs w:val="24"/>
        </w:rPr>
        <w:t>批准设立机关及批准设立文号：中国证监会证监基金字</w:t>
      </w:r>
      <w:r w:rsidRPr="008C6BAB">
        <w:rPr>
          <w:rFonts w:ascii="宋体" w:hAnsi="宋体"/>
          <w:sz w:val="24"/>
          <w:szCs w:val="24"/>
        </w:rPr>
        <w:t>[2005]128</w:t>
      </w:r>
      <w:r w:rsidRPr="008C6BAB">
        <w:rPr>
          <w:rFonts w:ascii="宋体" w:hAnsi="宋体" w:hint="eastAsia"/>
          <w:sz w:val="24"/>
          <w:szCs w:val="24"/>
        </w:rPr>
        <w:t>号</w:t>
      </w:r>
    </w:p>
    <w:p w14:paraId="42763804" w14:textId="77777777" w:rsidR="00006FD1" w:rsidRPr="008C6BAB" w:rsidRDefault="00056933">
      <w:pPr>
        <w:spacing w:line="360" w:lineRule="auto"/>
        <w:ind w:firstLineChars="200" w:firstLine="480"/>
        <w:rPr>
          <w:rFonts w:ascii="宋体" w:hAnsi="宋体"/>
          <w:sz w:val="24"/>
          <w:szCs w:val="24"/>
        </w:rPr>
      </w:pPr>
      <w:r w:rsidRPr="008C6BAB">
        <w:rPr>
          <w:rFonts w:ascii="宋体" w:hAnsi="宋体" w:hint="eastAsia"/>
          <w:sz w:val="24"/>
          <w:szCs w:val="24"/>
        </w:rPr>
        <w:t>组织形式：有限责任公司</w:t>
      </w:r>
    </w:p>
    <w:p w14:paraId="4C4FCCDD" w14:textId="77777777" w:rsidR="00006FD1" w:rsidRPr="008C6BAB" w:rsidRDefault="00056933">
      <w:pPr>
        <w:spacing w:line="360" w:lineRule="auto"/>
        <w:ind w:firstLineChars="200" w:firstLine="480"/>
        <w:rPr>
          <w:rFonts w:ascii="宋体" w:hAnsi="宋体"/>
          <w:sz w:val="24"/>
          <w:szCs w:val="24"/>
        </w:rPr>
      </w:pPr>
      <w:r w:rsidRPr="008C6BAB">
        <w:rPr>
          <w:rFonts w:ascii="宋体" w:hAnsi="宋体" w:hint="eastAsia"/>
          <w:sz w:val="24"/>
          <w:szCs w:val="24"/>
        </w:rPr>
        <w:t>注册资本：2亿元人民币</w:t>
      </w:r>
    </w:p>
    <w:p w14:paraId="2C732B34" w14:textId="77777777" w:rsidR="00006FD1" w:rsidRPr="008C6BAB" w:rsidRDefault="00056933">
      <w:pPr>
        <w:spacing w:line="360" w:lineRule="auto"/>
        <w:ind w:firstLineChars="200" w:firstLine="480"/>
        <w:rPr>
          <w:rFonts w:ascii="宋体" w:hAnsi="宋体"/>
          <w:sz w:val="24"/>
          <w:szCs w:val="24"/>
        </w:rPr>
      </w:pPr>
      <w:r w:rsidRPr="008C6BAB">
        <w:rPr>
          <w:rFonts w:ascii="宋体" w:hAnsi="宋体" w:hint="eastAsia"/>
          <w:sz w:val="24"/>
          <w:szCs w:val="24"/>
        </w:rPr>
        <w:t>存续期间：持续经营</w:t>
      </w:r>
    </w:p>
    <w:p w14:paraId="235A3E22" w14:textId="77777777" w:rsidR="00006FD1" w:rsidRPr="008C6BAB" w:rsidRDefault="00006FD1">
      <w:pPr>
        <w:spacing w:line="360" w:lineRule="auto"/>
        <w:ind w:firstLine="480"/>
        <w:rPr>
          <w:rFonts w:ascii="宋体" w:hAnsi="宋体"/>
          <w:sz w:val="24"/>
          <w:szCs w:val="24"/>
        </w:rPr>
      </w:pPr>
    </w:p>
    <w:p w14:paraId="580E611D" w14:textId="77777777"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（二）基金托管人</w:t>
      </w:r>
    </w:p>
    <w:p w14:paraId="3AB0694E" w14:textId="77777777"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名称：中国光大银行股份有限公司</w:t>
      </w:r>
    </w:p>
    <w:p w14:paraId="1CC4B206" w14:textId="4F16309A"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住所：北京市西城区太平桥大街25号、甲25号中国光大中心</w:t>
      </w:r>
    </w:p>
    <w:p w14:paraId="40EE5E1B" w14:textId="77777777"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邮政编码：100033</w:t>
      </w:r>
    </w:p>
    <w:p w14:paraId="139D080E" w14:textId="77777777"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法定代表人：李晓鹏</w:t>
      </w:r>
    </w:p>
    <w:p w14:paraId="0A4AB730" w14:textId="77777777"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成立日期：1992年6月18日</w:t>
      </w:r>
    </w:p>
    <w:p w14:paraId="6F626575" w14:textId="77777777"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批准设立机关和批准设立文号：国务院、国函[1992]7号</w:t>
      </w:r>
    </w:p>
    <w:p w14:paraId="2CDB1C1C" w14:textId="77777777"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组织形式：股份有限公司</w:t>
      </w:r>
    </w:p>
    <w:p w14:paraId="6CD23982" w14:textId="77777777"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注册资本：466.79095亿元人民币</w:t>
      </w:r>
    </w:p>
    <w:p w14:paraId="57F51A2D" w14:textId="77777777" w:rsidR="00006FD1" w:rsidRPr="008C6BAB" w:rsidRDefault="00056933">
      <w:pPr>
        <w:spacing w:line="360" w:lineRule="auto"/>
        <w:ind w:firstLine="480"/>
        <w:rPr>
          <w:rFonts w:ascii="宋体" w:hAnsi="宋体"/>
          <w:sz w:val="24"/>
          <w:szCs w:val="24"/>
        </w:rPr>
      </w:pPr>
      <w:r w:rsidRPr="008C6BAB">
        <w:rPr>
          <w:rFonts w:ascii="宋体" w:hAnsi="宋体" w:hint="eastAsia"/>
          <w:sz w:val="24"/>
          <w:szCs w:val="24"/>
        </w:rPr>
        <w:t>存续期间：持续经营</w:t>
      </w:r>
    </w:p>
    <w:p w14:paraId="70FA0431" w14:textId="1E445F48" w:rsidR="00006FD1" w:rsidRPr="008C6BAB" w:rsidRDefault="00056933">
      <w:pPr>
        <w:spacing w:line="360" w:lineRule="auto"/>
        <w:ind w:firstLine="480"/>
        <w:rPr>
          <w:rFonts w:ascii="宋体" w:hAnsi="宋体"/>
          <w:sz w:val="24"/>
          <w:szCs w:val="24"/>
        </w:rPr>
      </w:pPr>
      <w:r w:rsidRPr="008C6BAB">
        <w:rPr>
          <w:rFonts w:ascii="宋体" w:hAnsi="宋体" w:hint="eastAsia"/>
          <w:color w:val="000000"/>
          <w:sz w:val="24"/>
        </w:rPr>
        <w:t>基金托管资格批文及文号：证监基金字[2002]75号</w:t>
      </w:r>
    </w:p>
    <w:p w14:paraId="427FAF75" w14:textId="77777777" w:rsidR="00006FD1" w:rsidRPr="008C6BAB" w:rsidRDefault="00056933">
      <w:pPr>
        <w:spacing w:line="360" w:lineRule="auto"/>
        <w:ind w:firstLine="480"/>
        <w:jc w:val="center"/>
        <w:rPr>
          <w:rFonts w:ascii="宋体" w:hAnsi="宋体" w:cs="宋体"/>
          <w:bCs/>
          <w:color w:val="000000"/>
          <w:sz w:val="30"/>
          <w:szCs w:val="30"/>
        </w:rPr>
      </w:pPr>
      <w:r w:rsidRPr="008C6BAB">
        <w:rPr>
          <w:rFonts w:ascii="仿宋" w:eastAsia="仿宋" w:hAnsi="仿宋" w:hint="eastAsia"/>
          <w:color w:val="000000"/>
          <w:sz w:val="24"/>
          <w:szCs w:val="24"/>
        </w:rPr>
        <w:br w:type="page"/>
      </w:r>
      <w:bookmarkStart w:id="6" w:name="_Toc264617142"/>
      <w:r w:rsidRPr="008C6BAB">
        <w:rPr>
          <w:rFonts w:ascii="宋体" w:hAnsi="宋体" w:cs="宋体" w:hint="eastAsia"/>
          <w:b/>
          <w:bCs/>
          <w:sz w:val="30"/>
          <w:szCs w:val="30"/>
        </w:rPr>
        <w:lastRenderedPageBreak/>
        <w:t>二、基金托管协议的依据、目的、原则和解释</w:t>
      </w:r>
      <w:bookmarkEnd w:id="6"/>
    </w:p>
    <w:p w14:paraId="377AE575" w14:textId="77777777" w:rsidR="00006FD1" w:rsidRPr="008C6BAB" w:rsidRDefault="00006FD1">
      <w:pPr>
        <w:spacing w:line="360" w:lineRule="auto"/>
        <w:ind w:firstLine="480"/>
        <w:rPr>
          <w:rFonts w:ascii="仿宋" w:eastAsia="仿宋" w:hAnsi="仿宋"/>
          <w:color w:val="000000"/>
          <w:sz w:val="24"/>
          <w:szCs w:val="24"/>
        </w:rPr>
      </w:pPr>
    </w:p>
    <w:p w14:paraId="00C19E1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（一）订立托管协议的依据</w:t>
      </w:r>
    </w:p>
    <w:p w14:paraId="1ED97626" w14:textId="75FCB617" w:rsidR="00006FD1" w:rsidRPr="008C6BAB" w:rsidRDefault="00056933">
      <w:pPr>
        <w:spacing w:line="360" w:lineRule="auto"/>
        <w:ind w:firstLine="480"/>
        <w:rPr>
          <w:rFonts w:ascii="宋体" w:hAnsi="宋体" w:cs="宋体"/>
          <w:color w:val="000000"/>
          <w:sz w:val="24"/>
          <w:szCs w:val="24"/>
          <w:shd w:val="pct10" w:color="auto" w:fill="FFFFFF"/>
        </w:rPr>
      </w:pPr>
      <w:r w:rsidRPr="008C6BAB">
        <w:rPr>
          <w:rFonts w:ascii="宋体" w:hAnsi="宋体" w:cs="宋体" w:hint="eastAsia"/>
          <w:color w:val="000000"/>
          <w:sz w:val="24"/>
          <w:szCs w:val="24"/>
        </w:rPr>
        <w:t>本协议依据《中华人民共和国民法典》、《中华人民共和国证券投资基金法》(以下简称“《基金法》”)、《公开募集证券投资基金运作管理办法》（以下称“《运作办法》”）、《公开募集证券投资基金信息披露管理办法》（以下称“《信息披露办法》”）、《公开募集开放式证券投资基金流动性风险管理规定》（以下称“《流动性风险管理规定》”）等有关法律法规、《</w:t>
      </w:r>
      <w:r w:rsidR="00032252">
        <w:rPr>
          <w:rFonts w:ascii="宋体" w:hAnsi="宋体" w:cs="宋体" w:hint="eastAsia"/>
          <w:color w:val="000000"/>
          <w:sz w:val="24"/>
          <w:szCs w:val="24"/>
        </w:rPr>
        <w:t>交银施罗德稳益短债债券型证券投资基金</w:t>
      </w:r>
      <w:r w:rsidRPr="008C6BAB">
        <w:rPr>
          <w:rFonts w:ascii="宋体" w:hAnsi="宋体" w:cs="宋体" w:hint="eastAsia"/>
          <w:color w:val="000000"/>
          <w:sz w:val="24"/>
          <w:szCs w:val="24"/>
        </w:rPr>
        <w:t>基金合同》（以下称“</w:t>
      </w:r>
      <w:r w:rsidRPr="008C6BAB">
        <w:rPr>
          <w:rFonts w:ascii="宋体" w:hAnsi="宋体" w:cs="宋体"/>
          <w:color w:val="000000"/>
          <w:sz w:val="24"/>
          <w:szCs w:val="24"/>
        </w:rPr>
        <w:t>基金合同</w:t>
      </w:r>
      <w:r w:rsidRPr="008C6BAB">
        <w:rPr>
          <w:rFonts w:ascii="宋体" w:hAnsi="宋体" w:cs="宋体" w:hint="eastAsia"/>
          <w:color w:val="000000"/>
          <w:sz w:val="24"/>
          <w:szCs w:val="24"/>
        </w:rPr>
        <w:t>”）及其他有关规定制订。</w:t>
      </w:r>
    </w:p>
    <w:p w14:paraId="17965B5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（二）订立托管协议的目的</w:t>
      </w:r>
    </w:p>
    <w:p w14:paraId="7E3AB4D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D378B7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（三）订立托管协议的原则</w:t>
      </w:r>
    </w:p>
    <w:p w14:paraId="46EDDB5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基金管理人和基金托管人本着平等自愿、诚实信用、充分保护基金份额持有人合法权益的原则，经协商一致，签订本协议。</w:t>
      </w:r>
    </w:p>
    <w:p w14:paraId="2E04C8F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（四）解释</w:t>
      </w:r>
    </w:p>
    <w:p w14:paraId="089F5BB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除非文义另有所指，本托管协议的所有术语与</w:t>
      </w:r>
      <w:r w:rsidRPr="008C6BAB">
        <w:rPr>
          <w:rFonts w:ascii="宋体" w:hAnsi="宋体" w:cs="宋体"/>
          <w:color w:val="000000"/>
          <w:sz w:val="24"/>
          <w:szCs w:val="24"/>
        </w:rPr>
        <w:t>基金合同</w:t>
      </w:r>
      <w:r w:rsidRPr="008C6BAB">
        <w:rPr>
          <w:rFonts w:ascii="宋体" w:hAnsi="宋体" w:cs="宋体" w:hint="eastAsia"/>
          <w:color w:val="000000"/>
          <w:sz w:val="24"/>
          <w:szCs w:val="24"/>
        </w:rPr>
        <w:t>的相应术语具有相同含义；若有抵触应以</w:t>
      </w:r>
      <w:r w:rsidRPr="008C6BAB">
        <w:rPr>
          <w:rFonts w:ascii="宋体" w:hAnsi="宋体" w:cs="宋体"/>
          <w:color w:val="000000"/>
          <w:sz w:val="24"/>
          <w:szCs w:val="24"/>
        </w:rPr>
        <w:t>基金合同</w:t>
      </w:r>
      <w:r w:rsidRPr="008C6BAB">
        <w:rPr>
          <w:rFonts w:ascii="宋体" w:hAnsi="宋体" w:cs="宋体" w:hint="eastAsia"/>
          <w:color w:val="000000"/>
          <w:sz w:val="24"/>
          <w:szCs w:val="24"/>
        </w:rPr>
        <w:t>为准，并依其条款解释。</w:t>
      </w:r>
    </w:p>
    <w:p w14:paraId="648E5218" w14:textId="77777777" w:rsidR="00006FD1" w:rsidRPr="008C6BAB" w:rsidRDefault="00006FD1">
      <w:pPr>
        <w:spacing w:line="360" w:lineRule="auto"/>
        <w:ind w:firstLine="480"/>
        <w:rPr>
          <w:rFonts w:ascii="仿宋" w:eastAsia="仿宋" w:hAnsi="仿宋"/>
          <w:color w:val="000000"/>
          <w:sz w:val="24"/>
          <w:szCs w:val="24"/>
        </w:rPr>
      </w:pPr>
    </w:p>
    <w:p w14:paraId="42F06206" w14:textId="77777777" w:rsidR="00006FD1" w:rsidRPr="008C6BAB" w:rsidRDefault="00056933">
      <w:pPr>
        <w:pStyle w:val="212"/>
        <w:spacing w:line="360" w:lineRule="auto"/>
        <w:jc w:val="center"/>
        <w:rPr>
          <w:rFonts w:ascii="宋体" w:hAnsi="宋体"/>
          <w:color w:val="000000"/>
        </w:rPr>
      </w:pPr>
      <w:r w:rsidRPr="008C6BAB">
        <w:rPr>
          <w:rFonts w:ascii="仿宋" w:eastAsia="仿宋" w:hAnsi="仿宋" w:hint="eastAsia"/>
          <w:b w:val="0"/>
          <w:bCs w:val="0"/>
          <w:color w:val="000000"/>
        </w:rPr>
        <w:br w:type="page"/>
      </w:r>
      <w:bookmarkStart w:id="7" w:name="_Toc264617143"/>
      <w:r w:rsidRPr="008C6BAB">
        <w:rPr>
          <w:rFonts w:ascii="宋体" w:hAnsi="宋体" w:hint="eastAsia"/>
          <w:sz w:val="30"/>
          <w:szCs w:val="30"/>
        </w:rPr>
        <w:lastRenderedPageBreak/>
        <w:t>三、基金托管人对基金管理人的业务监督和核查</w:t>
      </w:r>
      <w:bookmarkEnd w:id="7"/>
    </w:p>
    <w:p w14:paraId="1AED4AF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（一）基金托管人根据有关法律法规的规定及</w:t>
      </w:r>
      <w:r w:rsidRPr="008C6BAB">
        <w:rPr>
          <w:rFonts w:ascii="宋体" w:hAnsi="宋体" w:cs="宋体"/>
          <w:color w:val="000000"/>
          <w:sz w:val="24"/>
          <w:szCs w:val="24"/>
        </w:rPr>
        <w:t>基金合同</w:t>
      </w:r>
      <w:r w:rsidRPr="008C6BAB">
        <w:rPr>
          <w:rFonts w:ascii="宋体" w:hAnsi="宋体" w:cs="宋体" w:hint="eastAsia"/>
          <w:color w:val="000000"/>
          <w:sz w:val="24"/>
          <w:szCs w:val="24"/>
        </w:rPr>
        <w:t>的约定，对基金投资范围、投资比例进行监督。</w:t>
      </w:r>
    </w:p>
    <w:p w14:paraId="1C617D7C" w14:textId="2273026A" w:rsidR="00006FD1" w:rsidRPr="008C6BAB" w:rsidRDefault="00AB5FE0">
      <w:pPr>
        <w:spacing w:line="360" w:lineRule="auto"/>
        <w:ind w:firstLineChars="200" w:firstLine="480"/>
        <w:rPr>
          <w:bCs/>
          <w:sz w:val="24"/>
        </w:rPr>
      </w:pPr>
      <w:bookmarkStart w:id="8" w:name="_Hlk84698838"/>
      <w:r w:rsidRPr="00AB5FE0">
        <w:rPr>
          <w:rFonts w:hint="eastAsia"/>
          <w:bCs/>
          <w:sz w:val="24"/>
        </w:rPr>
        <w:t>本基金的投资范围为具有良好流动性的金融工具，包括债券（含国债、金融债、央行票据、地方政府债、政府支持债、政府支持机构债、企业债、公司债、可分离交易可转债的纯债部分、公开发行的次级债、短期融资券、超短期融资券、中期票据）、资产支持证券、债券回购、银行存款（包括定期存款、协议存款、通知存款等）、同业存单、货币市场工具以及法律法规</w:t>
      </w:r>
      <w:r w:rsidR="004A6ECE">
        <w:rPr>
          <w:bCs/>
          <w:sz w:val="24"/>
        </w:rPr>
        <w:t>或中国证监会</w:t>
      </w:r>
      <w:r w:rsidRPr="00AB5FE0">
        <w:rPr>
          <w:rFonts w:hint="eastAsia"/>
          <w:bCs/>
          <w:sz w:val="24"/>
        </w:rPr>
        <w:t>允许</w:t>
      </w:r>
      <w:r w:rsidR="004A6ECE">
        <w:rPr>
          <w:rFonts w:hint="eastAsia"/>
          <w:bCs/>
          <w:sz w:val="24"/>
        </w:rPr>
        <w:t>基金</w:t>
      </w:r>
      <w:r w:rsidRPr="00AB5FE0">
        <w:rPr>
          <w:rFonts w:hint="eastAsia"/>
          <w:bCs/>
          <w:sz w:val="24"/>
        </w:rPr>
        <w:t>投资的其他金融工具</w:t>
      </w:r>
      <w:r w:rsidR="004A6ECE">
        <w:rPr>
          <w:rFonts w:hint="eastAsia"/>
          <w:bCs/>
          <w:sz w:val="24"/>
        </w:rPr>
        <w:t>（</w:t>
      </w:r>
      <w:r w:rsidR="004A6ECE">
        <w:rPr>
          <w:bCs/>
          <w:sz w:val="24"/>
        </w:rPr>
        <w:t>但须符合中国证监会相关规定</w:t>
      </w:r>
      <w:r w:rsidR="004A6ECE">
        <w:rPr>
          <w:rFonts w:hint="eastAsia"/>
          <w:bCs/>
          <w:sz w:val="24"/>
        </w:rPr>
        <w:t>）</w:t>
      </w:r>
      <w:r w:rsidRPr="00AB5FE0">
        <w:rPr>
          <w:rFonts w:hint="eastAsia"/>
          <w:bCs/>
          <w:sz w:val="24"/>
        </w:rPr>
        <w:t>。本基金不投资于股票等</w:t>
      </w:r>
      <w:r w:rsidR="004A6ECE">
        <w:rPr>
          <w:rFonts w:hint="eastAsia"/>
          <w:bCs/>
          <w:sz w:val="24"/>
        </w:rPr>
        <w:t>权益类</w:t>
      </w:r>
      <w:r w:rsidRPr="00AB5FE0">
        <w:rPr>
          <w:rFonts w:hint="eastAsia"/>
          <w:bCs/>
          <w:sz w:val="24"/>
        </w:rPr>
        <w:t>资产，也不投资于可转换债券（可分离交易可转债的纯债部分除外）、可交换债券。</w:t>
      </w:r>
    </w:p>
    <w:p w14:paraId="2229B69D" w14:textId="1035D481" w:rsidR="00006FD1" w:rsidRPr="008C6BAB" w:rsidRDefault="00056933">
      <w:pPr>
        <w:spacing w:line="360" w:lineRule="auto"/>
        <w:ind w:firstLine="480"/>
        <w:rPr>
          <w:rFonts w:ascii="宋体" w:hAnsi="宋体"/>
          <w:sz w:val="24"/>
        </w:rPr>
      </w:pPr>
      <w:r w:rsidRPr="008C6BAB">
        <w:rPr>
          <w:bCs/>
          <w:sz w:val="24"/>
        </w:rPr>
        <w:t>如法律法规或监管机构以后允许基金投资其他品种，基金管理人在履行适当程序后，可以将其纳入投资范围。</w:t>
      </w:r>
    </w:p>
    <w:p w14:paraId="437303B0" w14:textId="72CE3AB4" w:rsidR="00006FD1" w:rsidRDefault="00961B87">
      <w:pPr>
        <w:spacing w:line="360" w:lineRule="auto"/>
        <w:ind w:firstLine="480"/>
        <w:rPr>
          <w:rFonts w:hAnsi="宋体"/>
          <w:sz w:val="24"/>
          <w:szCs w:val="24"/>
        </w:rPr>
      </w:pPr>
      <w:r w:rsidRPr="00961B87">
        <w:rPr>
          <w:rFonts w:hint="eastAsia"/>
          <w:bCs/>
          <w:sz w:val="24"/>
        </w:rPr>
        <w:t>本</w:t>
      </w:r>
      <w:r w:rsidR="00AB5FE0" w:rsidRPr="002877EA">
        <w:rPr>
          <w:rFonts w:hint="eastAsia"/>
          <w:bCs/>
          <w:sz w:val="24"/>
        </w:rPr>
        <w:t>基金的投资组合比例为：本基金投资于债券资产的比例不低于基金资产的</w:t>
      </w:r>
      <w:r w:rsidR="00AB5FE0" w:rsidRPr="002877EA">
        <w:rPr>
          <w:rFonts w:hint="eastAsia"/>
          <w:bCs/>
          <w:sz w:val="24"/>
        </w:rPr>
        <w:t>80%</w:t>
      </w:r>
      <w:r w:rsidR="00AB5FE0" w:rsidRPr="002877EA">
        <w:rPr>
          <w:rFonts w:hint="eastAsia"/>
          <w:bCs/>
          <w:sz w:val="24"/>
        </w:rPr>
        <w:t>，其中投资于短期债券的比例不低于非现金资产的</w:t>
      </w:r>
      <w:r w:rsidR="00AB5FE0" w:rsidRPr="002877EA">
        <w:rPr>
          <w:rFonts w:hint="eastAsia"/>
          <w:bCs/>
          <w:sz w:val="24"/>
        </w:rPr>
        <w:t>80%</w:t>
      </w:r>
      <w:r w:rsidR="00AB5FE0" w:rsidRPr="002877EA">
        <w:rPr>
          <w:rFonts w:hint="eastAsia"/>
          <w:bCs/>
          <w:sz w:val="24"/>
        </w:rPr>
        <w:t>。本基金持有的现金或到期日在一年以内的政府债券的比例合计不低于基金资产净值的</w:t>
      </w:r>
      <w:r w:rsidR="00AB5FE0" w:rsidRPr="002877EA">
        <w:rPr>
          <w:rFonts w:hint="eastAsia"/>
          <w:bCs/>
          <w:sz w:val="24"/>
        </w:rPr>
        <w:t>5%</w:t>
      </w:r>
      <w:r w:rsidR="00AB5FE0" w:rsidRPr="002877EA">
        <w:rPr>
          <w:rFonts w:hint="eastAsia"/>
          <w:bCs/>
          <w:sz w:val="24"/>
        </w:rPr>
        <w:t>，其中现金不包括结算备付金、存出保证金、应收申购款等。</w:t>
      </w:r>
    </w:p>
    <w:p w14:paraId="73D307F9" w14:textId="01E5E182" w:rsidR="00AB5FE0" w:rsidRPr="008C6BAB" w:rsidRDefault="00AB5FE0">
      <w:pPr>
        <w:spacing w:line="360" w:lineRule="auto"/>
        <w:ind w:firstLine="480"/>
        <w:rPr>
          <w:rFonts w:ascii="宋体" w:hAnsi="宋体" w:cs="宋体"/>
          <w:color w:val="000000"/>
          <w:sz w:val="24"/>
          <w:szCs w:val="24"/>
        </w:rPr>
      </w:pPr>
      <w:r w:rsidRPr="00CD45CD">
        <w:rPr>
          <w:rFonts w:hint="eastAsia"/>
          <w:bCs/>
          <w:sz w:val="24"/>
        </w:rPr>
        <w:t>本基金所指的短期债券是指剩余期限不超过</w:t>
      </w:r>
      <w:r w:rsidRPr="00CD45CD">
        <w:rPr>
          <w:bCs/>
          <w:sz w:val="24"/>
        </w:rPr>
        <w:t>397</w:t>
      </w:r>
      <w:r w:rsidRPr="00CD45CD">
        <w:rPr>
          <w:rFonts w:hint="eastAsia"/>
          <w:bCs/>
          <w:sz w:val="24"/>
        </w:rPr>
        <w:t>天</w:t>
      </w:r>
      <w:r w:rsidRPr="00CD45CD">
        <w:rPr>
          <w:bCs/>
          <w:sz w:val="24"/>
        </w:rPr>
        <w:t>(</w:t>
      </w:r>
      <w:r w:rsidRPr="00CD45CD">
        <w:rPr>
          <w:rFonts w:hint="eastAsia"/>
          <w:bCs/>
          <w:sz w:val="24"/>
        </w:rPr>
        <w:t>含</w:t>
      </w:r>
      <w:r w:rsidRPr="00CD45CD">
        <w:rPr>
          <w:bCs/>
          <w:sz w:val="24"/>
        </w:rPr>
        <w:t>397</w:t>
      </w:r>
      <w:r w:rsidRPr="00CD45CD">
        <w:rPr>
          <w:rFonts w:hint="eastAsia"/>
          <w:bCs/>
          <w:sz w:val="24"/>
        </w:rPr>
        <w:t>天</w:t>
      </w:r>
      <w:r w:rsidRPr="00CD45CD">
        <w:rPr>
          <w:bCs/>
          <w:sz w:val="24"/>
        </w:rPr>
        <w:t>)</w:t>
      </w:r>
      <w:r w:rsidRPr="00CD45CD">
        <w:rPr>
          <w:rFonts w:hint="eastAsia"/>
          <w:bCs/>
          <w:sz w:val="24"/>
        </w:rPr>
        <w:t>的债券资产</w:t>
      </w:r>
      <w:r w:rsidRPr="002877EA">
        <w:rPr>
          <w:rFonts w:hint="eastAsia"/>
          <w:bCs/>
          <w:sz w:val="24"/>
        </w:rPr>
        <w:t>，包括国债、金融债、央行票据、地方政府债、</w:t>
      </w:r>
      <w:r>
        <w:rPr>
          <w:rFonts w:hint="eastAsia"/>
          <w:bCs/>
          <w:sz w:val="24"/>
        </w:rPr>
        <w:t>政府支持债</w:t>
      </w:r>
      <w:r w:rsidRPr="008B0CAA">
        <w:rPr>
          <w:rFonts w:hint="eastAsia"/>
          <w:bCs/>
          <w:sz w:val="24"/>
        </w:rPr>
        <w:t>、</w:t>
      </w:r>
      <w:r w:rsidRPr="008D468D">
        <w:rPr>
          <w:rFonts w:hint="eastAsia"/>
          <w:bCs/>
          <w:sz w:val="24"/>
        </w:rPr>
        <w:t>政府支持机构债、</w:t>
      </w:r>
      <w:r w:rsidRPr="002877EA">
        <w:rPr>
          <w:rFonts w:hint="eastAsia"/>
          <w:bCs/>
          <w:sz w:val="24"/>
        </w:rPr>
        <w:t>企业债、公司债、可分离交易可转债的纯债部分、公开发行的次级债、短期融资券、超短期融资券、中期票据。</w:t>
      </w:r>
    </w:p>
    <w:p w14:paraId="2E615546" w14:textId="77777777" w:rsidR="00006FD1" w:rsidRPr="008C6BAB" w:rsidRDefault="00056933">
      <w:pPr>
        <w:spacing w:line="360" w:lineRule="auto"/>
        <w:ind w:firstLine="480"/>
        <w:rPr>
          <w:rFonts w:ascii="宋体" w:hAnsi="宋体" w:cs="宋体"/>
          <w:bCs/>
          <w:sz w:val="24"/>
        </w:rPr>
      </w:pPr>
      <w:r w:rsidRPr="008C6BAB">
        <w:rPr>
          <w:rFonts w:ascii="宋体" w:hAnsi="宋体" w:cs="宋体" w:hint="eastAsia"/>
          <w:bCs/>
          <w:sz w:val="24"/>
        </w:rPr>
        <w:t>如果法律法规或中国证监会变更投资品种的投资比例限制，基金管理人在履行适当程序后，可以调整上述投资品种的投资比例。</w:t>
      </w:r>
    </w:p>
    <w:p w14:paraId="67112C34" w14:textId="77777777" w:rsidR="00006FD1" w:rsidRPr="008C6BAB" w:rsidRDefault="00056933">
      <w:pPr>
        <w:spacing w:line="360" w:lineRule="auto"/>
        <w:ind w:firstLine="480"/>
        <w:rPr>
          <w:rFonts w:ascii="宋体" w:hAnsi="宋体" w:cs="宋体"/>
          <w:bCs/>
          <w:sz w:val="24"/>
        </w:rPr>
      </w:pPr>
      <w:r w:rsidRPr="008C6BAB">
        <w:rPr>
          <w:rFonts w:ascii="宋体" w:hAnsi="宋体" w:cs="宋体" w:hint="eastAsia"/>
          <w:bCs/>
          <w:sz w:val="24"/>
        </w:rPr>
        <w:t>（二）基金托管人根据有关法律法规的规定及</w:t>
      </w:r>
      <w:r w:rsidRPr="008C6BAB">
        <w:rPr>
          <w:rFonts w:ascii="宋体" w:hAnsi="宋体" w:cs="宋体"/>
          <w:bCs/>
          <w:sz w:val="24"/>
        </w:rPr>
        <w:t>基金合同</w:t>
      </w:r>
      <w:r w:rsidRPr="008C6BAB">
        <w:rPr>
          <w:rFonts w:ascii="宋体" w:hAnsi="宋体" w:cs="宋体" w:hint="eastAsia"/>
          <w:bCs/>
          <w:sz w:val="24"/>
        </w:rPr>
        <w:t>的约定，对基金投资比例进行监督。基金托管人按下述比例和调整期限进行监督：</w:t>
      </w:r>
    </w:p>
    <w:p w14:paraId="710D3AC8" w14:textId="77777777" w:rsidR="00AB5FE0" w:rsidRPr="00E25B24" w:rsidRDefault="00AB5FE0" w:rsidP="00AB5FE0">
      <w:pPr>
        <w:spacing w:line="360" w:lineRule="auto"/>
        <w:ind w:firstLineChars="200" w:firstLine="480"/>
        <w:rPr>
          <w:bCs/>
          <w:sz w:val="24"/>
        </w:rPr>
      </w:pPr>
      <w:r w:rsidRPr="00E25B24">
        <w:rPr>
          <w:rFonts w:hint="eastAsia"/>
          <w:bCs/>
          <w:sz w:val="24"/>
        </w:rPr>
        <w:t>（</w:t>
      </w:r>
      <w:r w:rsidRPr="00E25B24">
        <w:rPr>
          <w:rFonts w:hint="eastAsia"/>
          <w:bCs/>
          <w:sz w:val="24"/>
        </w:rPr>
        <w:t>1</w:t>
      </w:r>
      <w:r w:rsidRPr="00E25B24">
        <w:rPr>
          <w:rFonts w:hint="eastAsia"/>
          <w:bCs/>
          <w:sz w:val="24"/>
        </w:rPr>
        <w:t>）本基金投资于债券资产的比例不低于基金资产的</w:t>
      </w:r>
      <w:r w:rsidRPr="00E25B24">
        <w:rPr>
          <w:rFonts w:hint="eastAsia"/>
          <w:bCs/>
          <w:sz w:val="24"/>
        </w:rPr>
        <w:t>80%</w:t>
      </w:r>
      <w:r w:rsidRPr="00E25B24">
        <w:rPr>
          <w:rFonts w:hint="eastAsia"/>
          <w:bCs/>
          <w:sz w:val="24"/>
        </w:rPr>
        <w:t>，其中投资于</w:t>
      </w:r>
      <w:r w:rsidRPr="002877EA">
        <w:rPr>
          <w:rFonts w:hint="eastAsia"/>
          <w:bCs/>
          <w:sz w:val="24"/>
        </w:rPr>
        <w:t>短期</w:t>
      </w:r>
      <w:r w:rsidRPr="00E25B24">
        <w:rPr>
          <w:rFonts w:hint="eastAsia"/>
          <w:bCs/>
          <w:sz w:val="24"/>
        </w:rPr>
        <w:t>债券的比例不低于非现金资产的</w:t>
      </w:r>
      <w:r w:rsidRPr="00E25B24">
        <w:rPr>
          <w:rFonts w:hint="eastAsia"/>
          <w:bCs/>
          <w:sz w:val="24"/>
        </w:rPr>
        <w:t>80%</w:t>
      </w:r>
      <w:r w:rsidRPr="00E25B24">
        <w:rPr>
          <w:rFonts w:hint="eastAsia"/>
          <w:bCs/>
          <w:sz w:val="24"/>
        </w:rPr>
        <w:t>；</w:t>
      </w:r>
    </w:p>
    <w:p w14:paraId="2394F85A" w14:textId="6CAF0512" w:rsidR="00AB5FE0" w:rsidRPr="00E25B24" w:rsidRDefault="00AB5FE0" w:rsidP="00AB5FE0">
      <w:pPr>
        <w:spacing w:line="360" w:lineRule="auto"/>
        <w:ind w:firstLineChars="200" w:firstLine="480"/>
        <w:rPr>
          <w:bCs/>
          <w:sz w:val="24"/>
        </w:rPr>
      </w:pPr>
      <w:r w:rsidRPr="00E25B24">
        <w:rPr>
          <w:rFonts w:hint="eastAsia"/>
          <w:bCs/>
          <w:sz w:val="24"/>
        </w:rPr>
        <w:t>（</w:t>
      </w:r>
      <w:r w:rsidRPr="00E25B24">
        <w:rPr>
          <w:rFonts w:hint="eastAsia"/>
          <w:bCs/>
          <w:sz w:val="24"/>
        </w:rPr>
        <w:t>2</w:t>
      </w:r>
      <w:r>
        <w:rPr>
          <w:rFonts w:hint="eastAsia"/>
          <w:bCs/>
          <w:sz w:val="24"/>
        </w:rPr>
        <w:t>）本基金持有的现金或</w:t>
      </w:r>
      <w:r w:rsidRPr="00E25B24">
        <w:rPr>
          <w:rFonts w:hint="eastAsia"/>
          <w:bCs/>
          <w:sz w:val="24"/>
        </w:rPr>
        <w:t>到期日在一年以内的政府债券的比例合计不低于</w:t>
      </w:r>
      <w:r w:rsidRPr="00E25B24">
        <w:rPr>
          <w:rFonts w:hint="eastAsia"/>
          <w:bCs/>
          <w:sz w:val="24"/>
        </w:rPr>
        <w:lastRenderedPageBreak/>
        <w:t>基金资产净值的</w:t>
      </w:r>
      <w:r w:rsidRPr="00E25B24">
        <w:rPr>
          <w:rFonts w:hint="eastAsia"/>
          <w:bCs/>
          <w:sz w:val="24"/>
        </w:rPr>
        <w:t>5%</w:t>
      </w:r>
      <w:r w:rsidRPr="00E25B24">
        <w:rPr>
          <w:rFonts w:hint="eastAsia"/>
          <w:bCs/>
          <w:sz w:val="24"/>
        </w:rPr>
        <w:t>，其中现金不包括结算备付金、存出保证金、应收申购款等；</w:t>
      </w:r>
    </w:p>
    <w:p w14:paraId="25086B8A" w14:textId="0372BC63" w:rsidR="00AB5FE0" w:rsidRPr="00D541EA" w:rsidRDefault="00AB5FE0" w:rsidP="00AB5FE0">
      <w:pPr>
        <w:spacing w:line="360" w:lineRule="auto"/>
        <w:ind w:firstLineChars="200" w:firstLine="480"/>
        <w:rPr>
          <w:bCs/>
          <w:sz w:val="24"/>
        </w:rPr>
      </w:pPr>
      <w:r w:rsidRPr="00E25B24">
        <w:rPr>
          <w:rFonts w:hint="eastAsia"/>
          <w:bCs/>
          <w:sz w:val="24"/>
        </w:rPr>
        <w:t>（</w:t>
      </w:r>
      <w:r w:rsidRPr="00E25B24">
        <w:rPr>
          <w:rFonts w:hint="eastAsia"/>
          <w:bCs/>
          <w:sz w:val="24"/>
        </w:rPr>
        <w:t>3</w:t>
      </w:r>
      <w:r w:rsidRPr="00E25B24">
        <w:rPr>
          <w:rFonts w:hint="eastAsia"/>
          <w:bCs/>
          <w:sz w:val="24"/>
        </w:rPr>
        <w:t>）本基金持有一家公司发行的证券，其市值不超过基金资产净值的</w:t>
      </w:r>
      <w:r w:rsidRPr="00E25B24">
        <w:rPr>
          <w:rFonts w:hint="eastAsia"/>
          <w:bCs/>
          <w:sz w:val="24"/>
        </w:rPr>
        <w:t>10%</w:t>
      </w:r>
      <w:r w:rsidRPr="00E25B24">
        <w:rPr>
          <w:rFonts w:hint="eastAsia"/>
          <w:bCs/>
          <w:sz w:val="24"/>
        </w:rPr>
        <w:t>；</w:t>
      </w:r>
    </w:p>
    <w:p w14:paraId="4F12549D" w14:textId="77777777" w:rsidR="00AB5FE0" w:rsidRPr="0038447B" w:rsidRDefault="00AB5FE0" w:rsidP="00AB5FE0">
      <w:pPr>
        <w:spacing w:line="360" w:lineRule="auto"/>
        <w:ind w:firstLineChars="200" w:firstLine="480"/>
        <w:rPr>
          <w:bCs/>
          <w:sz w:val="24"/>
        </w:rPr>
      </w:pPr>
      <w:r w:rsidRPr="00A51324">
        <w:rPr>
          <w:bCs/>
          <w:sz w:val="24"/>
        </w:rPr>
        <w:t>（</w:t>
      </w:r>
      <w:r w:rsidRPr="0038447B">
        <w:rPr>
          <w:rFonts w:hint="eastAsia"/>
          <w:bCs/>
          <w:sz w:val="24"/>
        </w:rPr>
        <w:t>4</w:t>
      </w:r>
      <w:r w:rsidRPr="0038447B">
        <w:rPr>
          <w:bCs/>
          <w:sz w:val="24"/>
        </w:rPr>
        <w:t>）本基金管理人管理的全部基金持有一家公司发行的证券，不超过该证券的</w:t>
      </w:r>
      <w:r w:rsidRPr="0038447B">
        <w:rPr>
          <w:bCs/>
          <w:sz w:val="24"/>
        </w:rPr>
        <w:t>10</w:t>
      </w:r>
      <w:r w:rsidRPr="0038447B">
        <w:rPr>
          <w:bCs/>
          <w:sz w:val="24"/>
        </w:rPr>
        <w:t>％</w:t>
      </w:r>
      <w:r w:rsidRPr="00DC19C1">
        <w:rPr>
          <w:bCs/>
          <w:sz w:val="24"/>
        </w:rPr>
        <w:t>，完全按照有关指数的构成比例进行证券投资的基金品种可以不受此条款规定的比例限制</w:t>
      </w:r>
      <w:r w:rsidRPr="0038447B">
        <w:rPr>
          <w:bCs/>
          <w:sz w:val="24"/>
        </w:rPr>
        <w:t>；</w:t>
      </w:r>
    </w:p>
    <w:p w14:paraId="0D44EFD1" w14:textId="77777777" w:rsidR="00AB5FE0" w:rsidRPr="0038447B" w:rsidRDefault="00AB5FE0" w:rsidP="00AB5FE0">
      <w:pPr>
        <w:spacing w:line="360" w:lineRule="auto"/>
        <w:ind w:firstLineChars="200" w:firstLine="480"/>
        <w:rPr>
          <w:bCs/>
          <w:sz w:val="24"/>
        </w:rPr>
      </w:pPr>
      <w:r w:rsidRPr="0038447B">
        <w:rPr>
          <w:bCs/>
          <w:sz w:val="24"/>
        </w:rPr>
        <w:t>（</w:t>
      </w:r>
      <w:r w:rsidRPr="0038447B">
        <w:rPr>
          <w:rFonts w:hint="eastAsia"/>
          <w:bCs/>
          <w:sz w:val="24"/>
        </w:rPr>
        <w:t>5</w:t>
      </w:r>
      <w:r w:rsidRPr="0038447B">
        <w:rPr>
          <w:bCs/>
          <w:sz w:val="24"/>
        </w:rPr>
        <w:t>）本基金投资于同一原始权益人的各类资产支持证券的比例，不得超过基金资产净值的</w:t>
      </w:r>
      <w:r w:rsidRPr="0038447B">
        <w:rPr>
          <w:bCs/>
          <w:sz w:val="24"/>
        </w:rPr>
        <w:t>10</w:t>
      </w:r>
      <w:r w:rsidRPr="0038447B">
        <w:rPr>
          <w:bCs/>
          <w:sz w:val="24"/>
        </w:rPr>
        <w:t>％；</w:t>
      </w:r>
    </w:p>
    <w:p w14:paraId="28B0E42B" w14:textId="77777777" w:rsidR="00AB5FE0" w:rsidRPr="0038447B" w:rsidRDefault="00AB5FE0" w:rsidP="00AB5FE0">
      <w:pPr>
        <w:spacing w:line="360" w:lineRule="auto"/>
        <w:ind w:firstLineChars="200" w:firstLine="480"/>
        <w:rPr>
          <w:bCs/>
          <w:sz w:val="24"/>
        </w:rPr>
      </w:pPr>
      <w:r w:rsidRPr="0038447B">
        <w:rPr>
          <w:bCs/>
          <w:sz w:val="24"/>
        </w:rPr>
        <w:t>（</w:t>
      </w:r>
      <w:r>
        <w:rPr>
          <w:rFonts w:hint="eastAsia"/>
          <w:bCs/>
          <w:sz w:val="24"/>
        </w:rPr>
        <w:t>6</w:t>
      </w:r>
      <w:r w:rsidRPr="0038447B">
        <w:rPr>
          <w:bCs/>
          <w:sz w:val="24"/>
        </w:rPr>
        <w:t>）本基金持有的全部资产支持证券，其市值不得超过基金资产净值的</w:t>
      </w:r>
      <w:r w:rsidRPr="0038447B">
        <w:rPr>
          <w:bCs/>
          <w:sz w:val="24"/>
        </w:rPr>
        <w:t>20</w:t>
      </w:r>
      <w:r w:rsidRPr="0038447B">
        <w:rPr>
          <w:bCs/>
          <w:sz w:val="24"/>
        </w:rPr>
        <w:t>％；</w:t>
      </w:r>
    </w:p>
    <w:p w14:paraId="252E04CA" w14:textId="77777777" w:rsidR="00AB5FE0" w:rsidRPr="0038447B" w:rsidRDefault="00AB5FE0" w:rsidP="00AB5FE0">
      <w:pPr>
        <w:spacing w:line="360" w:lineRule="auto"/>
        <w:ind w:firstLineChars="200" w:firstLine="480"/>
        <w:rPr>
          <w:bCs/>
          <w:sz w:val="24"/>
        </w:rPr>
      </w:pPr>
      <w:r w:rsidRPr="0038447B">
        <w:rPr>
          <w:bCs/>
          <w:sz w:val="24"/>
        </w:rPr>
        <w:t>（</w:t>
      </w:r>
      <w:r>
        <w:rPr>
          <w:rFonts w:hint="eastAsia"/>
          <w:bCs/>
          <w:sz w:val="24"/>
        </w:rPr>
        <w:t>7</w:t>
      </w:r>
      <w:r w:rsidRPr="0038447B">
        <w:rPr>
          <w:bCs/>
          <w:sz w:val="24"/>
        </w:rPr>
        <w:t>）本基金持有的同一（指同一信用级别）资产支持证券的比例，不得超过该资产支持证券规模的</w:t>
      </w:r>
      <w:r w:rsidRPr="0038447B">
        <w:rPr>
          <w:bCs/>
          <w:sz w:val="24"/>
        </w:rPr>
        <w:t>10</w:t>
      </w:r>
      <w:r w:rsidRPr="0038447B">
        <w:rPr>
          <w:bCs/>
          <w:sz w:val="24"/>
        </w:rPr>
        <w:t>％；</w:t>
      </w:r>
    </w:p>
    <w:p w14:paraId="717A7194" w14:textId="77777777" w:rsidR="00AB5FE0" w:rsidRPr="0038447B" w:rsidRDefault="00AB5FE0" w:rsidP="00AB5FE0">
      <w:pPr>
        <w:spacing w:line="360" w:lineRule="auto"/>
        <w:ind w:firstLineChars="200" w:firstLine="480"/>
        <w:rPr>
          <w:bCs/>
          <w:sz w:val="24"/>
        </w:rPr>
      </w:pPr>
      <w:r w:rsidRPr="0038447B">
        <w:rPr>
          <w:bCs/>
          <w:sz w:val="24"/>
        </w:rPr>
        <w:t>（</w:t>
      </w:r>
      <w:r>
        <w:rPr>
          <w:rFonts w:hint="eastAsia"/>
          <w:bCs/>
          <w:sz w:val="24"/>
        </w:rPr>
        <w:t>8</w:t>
      </w:r>
      <w:r w:rsidRPr="0038447B">
        <w:rPr>
          <w:bCs/>
          <w:sz w:val="24"/>
        </w:rPr>
        <w:t>）本基金管理人管理的全部基金投资于同一原始权益人的各类资产支持证券，不得超过其各类资产支持证券合计规模的</w:t>
      </w:r>
      <w:r w:rsidRPr="0038447B">
        <w:rPr>
          <w:bCs/>
          <w:sz w:val="24"/>
        </w:rPr>
        <w:t>10</w:t>
      </w:r>
      <w:r w:rsidRPr="0038447B">
        <w:rPr>
          <w:bCs/>
          <w:sz w:val="24"/>
        </w:rPr>
        <w:t>％；</w:t>
      </w:r>
    </w:p>
    <w:p w14:paraId="01641D73" w14:textId="349A6388" w:rsidR="00AB5FE0" w:rsidRPr="0038447B" w:rsidRDefault="00AB5FE0" w:rsidP="00AB5FE0">
      <w:pPr>
        <w:spacing w:line="360" w:lineRule="auto"/>
        <w:ind w:firstLineChars="200" w:firstLine="480"/>
        <w:rPr>
          <w:bCs/>
          <w:sz w:val="24"/>
        </w:rPr>
      </w:pPr>
      <w:r w:rsidRPr="0038447B">
        <w:rPr>
          <w:bCs/>
          <w:sz w:val="24"/>
        </w:rPr>
        <w:t>（</w:t>
      </w:r>
      <w:r>
        <w:rPr>
          <w:rFonts w:hint="eastAsia"/>
          <w:bCs/>
          <w:sz w:val="24"/>
        </w:rPr>
        <w:t>9</w:t>
      </w:r>
      <w:r w:rsidRPr="0038447B">
        <w:rPr>
          <w:bCs/>
          <w:sz w:val="24"/>
        </w:rPr>
        <w:t>）本基金应投资于信用级别评级为</w:t>
      </w:r>
      <w:r w:rsidR="00683722">
        <w:rPr>
          <w:rFonts w:hint="eastAsia"/>
          <w:bCs/>
          <w:sz w:val="24"/>
        </w:rPr>
        <w:t>AA+</w:t>
      </w:r>
      <w:r w:rsidRPr="0038447B">
        <w:rPr>
          <w:bCs/>
          <w:sz w:val="24"/>
        </w:rPr>
        <w:t>以上（含</w:t>
      </w:r>
      <w:r w:rsidR="00683722">
        <w:rPr>
          <w:rFonts w:hint="eastAsia"/>
          <w:bCs/>
          <w:sz w:val="24"/>
        </w:rPr>
        <w:t>AA+</w:t>
      </w:r>
      <w:r w:rsidRPr="0038447B">
        <w:rPr>
          <w:bCs/>
          <w:sz w:val="24"/>
        </w:rPr>
        <w:t>）的资产支持证券。基金持有资产支持证券期间，如果其信用等级下降、不再符合投资标准，应在评级报告发布之日起</w:t>
      </w:r>
      <w:r w:rsidRPr="0038447B">
        <w:rPr>
          <w:bCs/>
          <w:sz w:val="24"/>
        </w:rPr>
        <w:t>3</w:t>
      </w:r>
      <w:r w:rsidRPr="0038447B">
        <w:rPr>
          <w:bCs/>
          <w:sz w:val="24"/>
        </w:rPr>
        <w:t>个月内予以全部卖出；</w:t>
      </w:r>
    </w:p>
    <w:p w14:paraId="78CA80CB" w14:textId="77777777" w:rsidR="00AB5FE0" w:rsidRPr="0038447B" w:rsidRDefault="00AB5FE0" w:rsidP="00AB5FE0">
      <w:pPr>
        <w:spacing w:line="360" w:lineRule="auto"/>
        <w:ind w:firstLineChars="200" w:firstLine="480"/>
        <w:rPr>
          <w:bCs/>
          <w:sz w:val="24"/>
        </w:rPr>
      </w:pPr>
      <w:r w:rsidRPr="0038447B">
        <w:rPr>
          <w:bCs/>
          <w:sz w:val="24"/>
        </w:rPr>
        <w:t>（</w:t>
      </w:r>
      <w:r w:rsidRPr="0038447B">
        <w:rPr>
          <w:bCs/>
          <w:sz w:val="24"/>
        </w:rPr>
        <w:t>1</w:t>
      </w:r>
      <w:r>
        <w:rPr>
          <w:bCs/>
          <w:sz w:val="24"/>
        </w:rPr>
        <w:t>0</w:t>
      </w:r>
      <w:r w:rsidRPr="0038447B">
        <w:rPr>
          <w:bCs/>
          <w:sz w:val="24"/>
        </w:rPr>
        <w:t>）本基金进入全国银行间同业市场进行债券回购的资金余额不得超过基金资产净值的</w:t>
      </w:r>
      <w:r w:rsidRPr="0038447B">
        <w:rPr>
          <w:bCs/>
          <w:sz w:val="24"/>
        </w:rPr>
        <w:t>40%</w:t>
      </w:r>
      <w:r w:rsidRPr="0038447B">
        <w:rPr>
          <w:rFonts w:hint="eastAsia"/>
          <w:bCs/>
          <w:sz w:val="24"/>
        </w:rPr>
        <w:t>，进入全国银行间同业市场进行债券回购的最长期限为</w:t>
      </w:r>
      <w:r w:rsidRPr="0038447B">
        <w:rPr>
          <w:rFonts w:hint="eastAsia"/>
          <w:bCs/>
          <w:sz w:val="24"/>
        </w:rPr>
        <w:t>1</w:t>
      </w:r>
      <w:r w:rsidRPr="0038447B">
        <w:rPr>
          <w:rFonts w:hint="eastAsia"/>
          <w:bCs/>
          <w:sz w:val="24"/>
        </w:rPr>
        <w:t>年，债券回购到期后不得展期</w:t>
      </w:r>
      <w:r w:rsidRPr="0038447B">
        <w:rPr>
          <w:bCs/>
          <w:sz w:val="24"/>
        </w:rPr>
        <w:t>；</w:t>
      </w:r>
    </w:p>
    <w:p w14:paraId="0BBBD88C" w14:textId="11628325" w:rsidR="00AB5FE0" w:rsidRPr="0038447B" w:rsidRDefault="00AB5FE0" w:rsidP="00AB5FE0">
      <w:pPr>
        <w:spacing w:line="360" w:lineRule="auto"/>
        <w:ind w:firstLineChars="200" w:firstLine="480"/>
        <w:rPr>
          <w:bCs/>
          <w:sz w:val="24"/>
        </w:rPr>
      </w:pPr>
      <w:r w:rsidRPr="0038447B">
        <w:rPr>
          <w:bCs/>
          <w:sz w:val="24"/>
        </w:rPr>
        <w:t>（</w:t>
      </w:r>
      <w:r w:rsidRPr="0038447B">
        <w:rPr>
          <w:bCs/>
          <w:sz w:val="24"/>
        </w:rPr>
        <w:t>1</w:t>
      </w:r>
      <w:r>
        <w:rPr>
          <w:bCs/>
          <w:sz w:val="24"/>
        </w:rPr>
        <w:t>1</w:t>
      </w:r>
      <w:r w:rsidRPr="0038447B">
        <w:rPr>
          <w:bCs/>
          <w:sz w:val="24"/>
        </w:rPr>
        <w:t>）本基金主动投资于流动性受限资产的市值合计不得超过基金资产净值的</w:t>
      </w:r>
      <w:r w:rsidRPr="0038447B">
        <w:rPr>
          <w:bCs/>
          <w:sz w:val="24"/>
        </w:rPr>
        <w:t>15%</w:t>
      </w:r>
      <w:r w:rsidRPr="0038447B">
        <w:rPr>
          <w:bCs/>
          <w:sz w:val="24"/>
        </w:rPr>
        <w:t>；因证券市场波动、基金规模变动等基金管理人之外的因素致使基金不符合该比例限制的，基金管理人不得主动新增流动性受限资产的投资；</w:t>
      </w:r>
    </w:p>
    <w:p w14:paraId="406F27FC" w14:textId="0B4DE2CF" w:rsidR="00AB5FE0" w:rsidRDefault="00AB5FE0" w:rsidP="00AB5FE0">
      <w:pPr>
        <w:spacing w:line="360" w:lineRule="auto"/>
        <w:ind w:firstLineChars="200" w:firstLine="480"/>
        <w:rPr>
          <w:bCs/>
          <w:sz w:val="24"/>
        </w:rPr>
      </w:pPr>
      <w:r w:rsidRPr="0038447B">
        <w:rPr>
          <w:bCs/>
          <w:sz w:val="24"/>
        </w:rPr>
        <w:t>（</w:t>
      </w:r>
      <w:r w:rsidRPr="0038447B">
        <w:rPr>
          <w:bCs/>
          <w:sz w:val="24"/>
        </w:rPr>
        <w:t>1</w:t>
      </w:r>
      <w:r>
        <w:rPr>
          <w:bCs/>
          <w:sz w:val="24"/>
        </w:rPr>
        <w:t>2</w:t>
      </w:r>
      <w:r w:rsidRPr="0038447B">
        <w:rPr>
          <w:bCs/>
          <w:sz w:val="24"/>
        </w:rPr>
        <w:t>）本基金与私募类证券资管产品及中国证监会认定的其他主体为交易对手开展逆回购交易的，可接受质押品的资质要求应当与基金合同约定的投资范围保持一致；</w:t>
      </w:r>
    </w:p>
    <w:p w14:paraId="035DC013" w14:textId="77777777" w:rsidR="00AB5FE0" w:rsidRDefault="00AB5FE0" w:rsidP="00AB5FE0">
      <w:pPr>
        <w:spacing w:line="360" w:lineRule="auto"/>
        <w:ind w:firstLineChars="200" w:firstLine="480"/>
        <w:rPr>
          <w:bCs/>
          <w:sz w:val="24"/>
        </w:rPr>
      </w:pPr>
      <w:r>
        <w:rPr>
          <w:bCs/>
          <w:sz w:val="24"/>
        </w:rPr>
        <w:t>（</w:t>
      </w:r>
      <w:r>
        <w:rPr>
          <w:bCs/>
          <w:sz w:val="24"/>
        </w:rPr>
        <w:t>13</w:t>
      </w:r>
      <w:r>
        <w:rPr>
          <w:bCs/>
          <w:sz w:val="24"/>
        </w:rPr>
        <w:t>）本基金资产总值不超过基金资产净值的</w:t>
      </w:r>
      <w:r>
        <w:rPr>
          <w:bCs/>
          <w:sz w:val="24"/>
        </w:rPr>
        <w:t>140%</w:t>
      </w:r>
      <w:r>
        <w:rPr>
          <w:bCs/>
          <w:sz w:val="24"/>
        </w:rPr>
        <w:t>；</w:t>
      </w:r>
    </w:p>
    <w:p w14:paraId="3E9E3DFE" w14:textId="77777777" w:rsidR="00AB5FE0" w:rsidRDefault="00AB5FE0" w:rsidP="00AB5FE0">
      <w:pPr>
        <w:spacing w:line="360" w:lineRule="auto"/>
        <w:ind w:firstLineChars="200" w:firstLine="480"/>
        <w:rPr>
          <w:bCs/>
          <w:sz w:val="24"/>
        </w:rPr>
      </w:pPr>
      <w:r w:rsidRPr="00E25B24">
        <w:rPr>
          <w:rFonts w:hint="eastAsia"/>
          <w:bCs/>
          <w:sz w:val="24"/>
        </w:rPr>
        <w:t>（</w:t>
      </w:r>
      <w:r w:rsidRPr="00E25B24">
        <w:rPr>
          <w:rFonts w:hint="eastAsia"/>
          <w:bCs/>
          <w:sz w:val="24"/>
        </w:rPr>
        <w:t>14</w:t>
      </w:r>
      <w:r w:rsidRPr="00E25B24">
        <w:rPr>
          <w:rFonts w:hint="eastAsia"/>
          <w:bCs/>
          <w:sz w:val="24"/>
        </w:rPr>
        <w:t>）</w:t>
      </w:r>
      <w:r>
        <w:rPr>
          <w:rFonts w:hint="eastAsia"/>
          <w:bCs/>
          <w:sz w:val="24"/>
        </w:rPr>
        <w:t>法律法规及中国证监会规定的和《基金合同》约定的其他投资限</w:t>
      </w:r>
      <w:r>
        <w:rPr>
          <w:rFonts w:hint="eastAsia"/>
          <w:bCs/>
          <w:sz w:val="24"/>
        </w:rPr>
        <w:lastRenderedPageBreak/>
        <w:t>制。</w:t>
      </w:r>
    </w:p>
    <w:p w14:paraId="57BD0FBD" w14:textId="77777777" w:rsidR="00AB5FE0" w:rsidRDefault="00AB5FE0" w:rsidP="00AB5FE0">
      <w:pPr>
        <w:spacing w:line="360" w:lineRule="auto"/>
        <w:ind w:firstLineChars="200" w:firstLine="480"/>
        <w:rPr>
          <w:bCs/>
        </w:rPr>
      </w:pPr>
      <w:r>
        <w:rPr>
          <w:bCs/>
          <w:sz w:val="24"/>
        </w:rPr>
        <w:t>除上述（</w:t>
      </w:r>
      <w:r>
        <w:rPr>
          <w:bCs/>
          <w:sz w:val="24"/>
        </w:rPr>
        <w:t>2</w:t>
      </w:r>
      <w:r>
        <w:rPr>
          <w:bCs/>
          <w:sz w:val="24"/>
        </w:rPr>
        <w:t>）、</w:t>
      </w:r>
      <w:r>
        <w:rPr>
          <w:rFonts w:hint="eastAsia"/>
          <w:bCs/>
          <w:sz w:val="24"/>
        </w:rPr>
        <w:t>（</w:t>
      </w:r>
      <w:r>
        <w:rPr>
          <w:rFonts w:hint="eastAsia"/>
          <w:bCs/>
          <w:sz w:val="24"/>
        </w:rPr>
        <w:t>9</w:t>
      </w:r>
      <w:r>
        <w:rPr>
          <w:bCs/>
          <w:sz w:val="24"/>
        </w:rPr>
        <w:t>）</w:t>
      </w:r>
      <w:r>
        <w:rPr>
          <w:rFonts w:hint="eastAsia"/>
          <w:bCs/>
          <w:sz w:val="24"/>
        </w:rPr>
        <w:t>、</w:t>
      </w:r>
      <w:r>
        <w:rPr>
          <w:bCs/>
          <w:sz w:val="24"/>
        </w:rPr>
        <w:t>（</w:t>
      </w:r>
      <w:r>
        <w:rPr>
          <w:rFonts w:hint="eastAsia"/>
          <w:bCs/>
          <w:sz w:val="24"/>
        </w:rPr>
        <w:t>1</w:t>
      </w:r>
      <w:r>
        <w:rPr>
          <w:bCs/>
          <w:sz w:val="24"/>
        </w:rPr>
        <w:t>1</w:t>
      </w:r>
      <w:r>
        <w:rPr>
          <w:bCs/>
          <w:sz w:val="24"/>
        </w:rPr>
        <w:t>）、（</w:t>
      </w:r>
      <w:r>
        <w:rPr>
          <w:bCs/>
          <w:sz w:val="24"/>
        </w:rPr>
        <w:t>12</w:t>
      </w:r>
      <w:r>
        <w:rPr>
          <w:bCs/>
          <w:sz w:val="24"/>
        </w:rPr>
        <w:t>）情形之外，因证券市场波动、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sidRPr="007560F2">
        <w:rPr>
          <w:rFonts w:hint="eastAsia"/>
          <w:bCs/>
          <w:sz w:val="24"/>
        </w:rPr>
        <w:t>法律法规另有规定的，从其规定。</w:t>
      </w:r>
    </w:p>
    <w:p w14:paraId="0B11B708" w14:textId="4602D3CD" w:rsidR="00AB5FE0" w:rsidRDefault="00AB5FE0" w:rsidP="00AB5FE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34311921" w14:textId="16258951" w:rsidR="00006FD1" w:rsidRPr="008C6BAB" w:rsidRDefault="00AB5FE0">
      <w:pPr>
        <w:tabs>
          <w:tab w:val="left" w:pos="1260"/>
        </w:tabs>
        <w:spacing w:line="336" w:lineRule="auto"/>
        <w:ind w:firstLineChars="200" w:firstLine="480"/>
        <w:rPr>
          <w:rFonts w:ascii="宋体" w:hAnsi="宋体"/>
          <w:color w:val="000000"/>
          <w:sz w:val="24"/>
        </w:rPr>
      </w:pPr>
      <w:r w:rsidRPr="007560F2">
        <w:rPr>
          <w:rFonts w:hint="eastAsia"/>
          <w:bCs/>
          <w:sz w:val="24"/>
        </w:rPr>
        <w:t>法律法规对上述投资组合比例限制进行变更的，以变更后的规定为准。</w:t>
      </w:r>
      <w:r>
        <w:rPr>
          <w:bCs/>
          <w:sz w:val="24"/>
        </w:rPr>
        <w:t>法律法规或监管部门取消上述限制，如适用于本基金，基金管理人</w:t>
      </w:r>
      <w:r>
        <w:rPr>
          <w:rFonts w:hint="eastAsia"/>
          <w:bCs/>
          <w:sz w:val="24"/>
        </w:rPr>
        <w:t>在</w:t>
      </w:r>
      <w:r>
        <w:rPr>
          <w:bCs/>
          <w:sz w:val="24"/>
        </w:rPr>
        <w:t>履行适当程序后，则本基金投资不再受相关限制。</w:t>
      </w:r>
      <w:bookmarkEnd w:id="8"/>
    </w:p>
    <w:p w14:paraId="5A9DD65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（三）基金托管人根据有关法律法规的规定及</w:t>
      </w:r>
      <w:r w:rsidRPr="008C6BAB">
        <w:rPr>
          <w:rFonts w:ascii="宋体" w:hAnsi="宋体" w:cs="宋体"/>
          <w:color w:val="000000"/>
          <w:sz w:val="24"/>
          <w:szCs w:val="24"/>
        </w:rPr>
        <w:t>基金合同</w:t>
      </w:r>
      <w:r w:rsidRPr="008C6BAB">
        <w:rPr>
          <w:rFonts w:ascii="宋体" w:hAnsi="宋体" w:cs="宋体" w:hint="eastAsia"/>
          <w:color w:val="000000"/>
          <w:sz w:val="24"/>
          <w:szCs w:val="24"/>
        </w:rPr>
        <w:t>的约定，对本托管协议第十五条第（十二）款基金投资禁止行为进行监督。</w:t>
      </w:r>
    </w:p>
    <w:p w14:paraId="604674C7" w14:textId="77777777" w:rsidR="00120248" w:rsidRDefault="00056933">
      <w:pPr>
        <w:spacing w:line="360" w:lineRule="auto"/>
        <w:ind w:firstLine="480"/>
        <w:rPr>
          <w:bCs/>
          <w:sz w:val="24"/>
        </w:rPr>
      </w:pPr>
      <w:r w:rsidRPr="008C6BA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E70AEA3" w14:textId="6138EF70" w:rsidR="00006FD1" w:rsidRPr="008C6BAB" w:rsidRDefault="00056933">
      <w:pPr>
        <w:spacing w:line="360" w:lineRule="auto"/>
        <w:ind w:firstLine="480"/>
        <w:rPr>
          <w:bCs/>
          <w:sz w:val="24"/>
        </w:rPr>
      </w:pPr>
      <w:r w:rsidRPr="008C6BAB">
        <w:rPr>
          <w:rFonts w:hint="eastAsia"/>
          <w:bCs/>
          <w:sz w:val="24"/>
        </w:rPr>
        <w:t>如法律、行政法规或监管部门取消上述规定，如适用于本基金，基金管理人在履行适当程序后，本基金可不受上述规定的限制。</w:t>
      </w:r>
    </w:p>
    <w:p w14:paraId="63E8636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（四）基金托管人根据有关法律法规的规定及</w:t>
      </w:r>
      <w:r w:rsidRPr="008C6BAB">
        <w:rPr>
          <w:rFonts w:ascii="宋体" w:hAnsi="宋体" w:cs="宋体"/>
          <w:color w:val="000000"/>
          <w:sz w:val="24"/>
          <w:szCs w:val="24"/>
        </w:rPr>
        <w:t>基金合同</w:t>
      </w:r>
      <w:r w:rsidRPr="008C6BAB">
        <w:rPr>
          <w:rFonts w:ascii="宋体" w:hAnsi="宋体" w:cs="宋体" w:hint="eastAsia"/>
          <w:color w:val="000000"/>
          <w:sz w:val="24"/>
          <w:szCs w:val="24"/>
        </w:rPr>
        <w:t>的约定，对基金管理人参与银行间债券市场进行监督。</w:t>
      </w:r>
    </w:p>
    <w:p w14:paraId="653B3FFC" w14:textId="74625066"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color w:val="000000"/>
          <w:sz w:val="24"/>
          <w:szCs w:val="24"/>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w:t>
      </w:r>
      <w:r w:rsidRPr="008C6BAB">
        <w:rPr>
          <w:rFonts w:ascii="宋体" w:hAnsi="宋体" w:cs="宋体"/>
          <w:color w:val="000000"/>
          <w:sz w:val="24"/>
          <w:szCs w:val="24"/>
        </w:rPr>
        <w:lastRenderedPageBreak/>
        <w:t>围在银行间债券市场选择交易对手。基金托管人事后监督基金管理人是否按事前提供的银行间债券市场交易对手名单进行交易。基金管理人可以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与基金托管人协商解决。</w:t>
      </w:r>
    </w:p>
    <w:p w14:paraId="2D129C43" w14:textId="0E090AB2"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负责对交易对手的资信控制，按银行间债券市场的交易规则进行交易，基金托管人则根据银行间债券市场成交单对合同履行情况进行监督。如基金托管人事后发现基金管理人没有按照事先约定的交易对手进行交易时，基金托管人应及时提醒基金管理人，基金托管人不承担由此造成的</w:t>
      </w:r>
      <w:r w:rsidR="00C113B2">
        <w:rPr>
          <w:rFonts w:ascii="宋体" w:hAnsi="宋体" w:cs="宋体" w:hint="eastAsia"/>
          <w:color w:val="000000"/>
          <w:sz w:val="24"/>
          <w:szCs w:val="24"/>
        </w:rPr>
        <w:t>相应</w:t>
      </w:r>
      <w:r w:rsidRPr="008C6BAB">
        <w:rPr>
          <w:rFonts w:ascii="宋体" w:hAnsi="宋体" w:cs="宋体" w:hint="eastAsia"/>
          <w:color w:val="000000"/>
          <w:sz w:val="24"/>
          <w:szCs w:val="24"/>
        </w:rPr>
        <w:t>损失和责任。</w:t>
      </w:r>
    </w:p>
    <w:p w14:paraId="70D790AE" w14:textId="784EAE6B" w:rsidR="00961B87" w:rsidRPr="008C6BAB" w:rsidRDefault="00056933">
      <w:pPr>
        <w:spacing w:line="360" w:lineRule="auto"/>
        <w:ind w:firstLine="480"/>
        <w:rPr>
          <w:rFonts w:ascii="宋体" w:hAnsi="宋体"/>
          <w:sz w:val="24"/>
          <w:szCs w:val="24"/>
        </w:rPr>
      </w:pPr>
      <w:r w:rsidRPr="008C6BAB">
        <w:rPr>
          <w:rFonts w:ascii="宋体" w:hAnsi="宋体" w:cs="宋体" w:hint="eastAsia"/>
          <w:color w:val="000000"/>
          <w:sz w:val="24"/>
          <w:szCs w:val="24"/>
        </w:rPr>
        <w:t>（五）</w:t>
      </w:r>
      <w:r w:rsidRPr="008C6BAB">
        <w:rPr>
          <w:rFonts w:ascii="宋体" w:hAnsi="宋体" w:hint="eastAsia"/>
          <w:sz w:val="24"/>
          <w:szCs w:val="24"/>
        </w:rPr>
        <w:t>基金管理人投资银行定期存款应符合相关法律法规约定。基金管理人在投资银行定期存款的过程中，必须符合</w:t>
      </w:r>
      <w:r w:rsidRPr="008C6BAB">
        <w:rPr>
          <w:rFonts w:ascii="宋体" w:hAnsi="宋体"/>
          <w:sz w:val="24"/>
          <w:szCs w:val="24"/>
        </w:rPr>
        <w:t>基金合同</w:t>
      </w:r>
      <w:r w:rsidRPr="008C6BAB">
        <w:rPr>
          <w:rFonts w:ascii="宋体" w:hAnsi="宋体" w:hint="eastAsia"/>
          <w:sz w:val="24"/>
          <w:szCs w:val="24"/>
        </w:rPr>
        <w:t>就投资品种、投资比例、存款期限等方面的限制。基金管理人应基于审慎原则评估存款银行信用风险并据此选择存款银行。因基金管理人违反上述原则给基金造成的损失，基金托管人不承担</w:t>
      </w:r>
      <w:r w:rsidR="00C113B2">
        <w:rPr>
          <w:rFonts w:ascii="宋体" w:hAnsi="宋体" w:hint="eastAsia"/>
          <w:sz w:val="24"/>
          <w:szCs w:val="24"/>
        </w:rPr>
        <w:t>相应</w:t>
      </w:r>
      <w:r w:rsidRPr="008C6BAB">
        <w:rPr>
          <w:rFonts w:ascii="宋体" w:hAnsi="宋体" w:hint="eastAsia"/>
          <w:sz w:val="24"/>
          <w:szCs w:val="24"/>
        </w:rPr>
        <w:t>责任。开立定期存款账户时，定期存款账户的户名应与托管账户户名一致。对于跨行定期存款投资，基金管理人必须和存款机构签订定期存款协议，约定双方的权利和义务，该协议作为划款指令附件。该协议中必须体现如下条款：“存款证实书不得被质押或以任何方式被抵押，并不得用于转让和背书；本息到期归还或提前支取的所有款项必须划至托管专户（明确户名、开户行、账号等），不得划入其他任何账户”，</w:t>
      </w:r>
      <w:r w:rsidRPr="008C6BAB">
        <w:rPr>
          <w:rFonts w:ascii="宋体" w:hAnsi="宋体"/>
          <w:sz w:val="24"/>
          <w:szCs w:val="24"/>
        </w:rPr>
        <w:t>并依照本协议交接原则对存单交接流程予以明确。对于跨行存款，</w:t>
      </w:r>
      <w:r w:rsidRPr="008C6BAB">
        <w:rPr>
          <w:rFonts w:ascii="宋体" w:hAnsi="宋体" w:hint="eastAsia"/>
          <w:sz w:val="24"/>
          <w:szCs w:val="24"/>
        </w:rPr>
        <w:t>基金</w:t>
      </w:r>
      <w:r w:rsidRPr="008C6BAB">
        <w:rPr>
          <w:rFonts w:ascii="宋体" w:hAnsi="宋体"/>
          <w:sz w:val="24"/>
          <w:szCs w:val="24"/>
        </w:rPr>
        <w:t>管理人需提前与</w:t>
      </w:r>
      <w:r w:rsidRPr="008C6BAB">
        <w:rPr>
          <w:rFonts w:ascii="宋体" w:hAnsi="宋体" w:hint="eastAsia"/>
          <w:sz w:val="24"/>
          <w:szCs w:val="24"/>
        </w:rPr>
        <w:t>基金</w:t>
      </w:r>
      <w:r w:rsidRPr="008C6BAB">
        <w:rPr>
          <w:rFonts w:ascii="宋体" w:hAnsi="宋体"/>
          <w:sz w:val="24"/>
          <w:szCs w:val="24"/>
        </w:rPr>
        <w:t>托管人就定期存款协议及存单交接流程进行沟通。在取得存款证实书后，</w:t>
      </w:r>
      <w:r w:rsidRPr="008C6BAB">
        <w:rPr>
          <w:rFonts w:ascii="宋体" w:hAnsi="宋体" w:hint="eastAsia"/>
          <w:sz w:val="24"/>
          <w:szCs w:val="24"/>
        </w:rPr>
        <w:t>基金</w:t>
      </w:r>
      <w:r w:rsidRPr="008C6BAB">
        <w:rPr>
          <w:rFonts w:ascii="宋体" w:hAnsi="宋体"/>
          <w:sz w:val="24"/>
          <w:szCs w:val="24"/>
        </w:rPr>
        <w:t>托管人保管证实书正本。</w:t>
      </w:r>
      <w:r w:rsidRPr="008C6BAB">
        <w:rPr>
          <w:rFonts w:ascii="宋体" w:hAnsi="宋体" w:hint="eastAsia"/>
          <w:sz w:val="24"/>
          <w:szCs w:val="24"/>
        </w:rPr>
        <w:t>基金托管人不</w:t>
      </w:r>
      <w:r w:rsidRPr="008C6BAB">
        <w:rPr>
          <w:rFonts w:ascii="宋体" w:hAnsi="宋体"/>
          <w:sz w:val="24"/>
          <w:szCs w:val="24"/>
        </w:rPr>
        <w:t>对跨行存款的利率政策风险、存款行的选择及存款协议承担责任，</w:t>
      </w:r>
      <w:r w:rsidRPr="008C6BAB">
        <w:rPr>
          <w:rFonts w:ascii="宋体" w:hAnsi="宋体" w:hint="eastAsia"/>
          <w:sz w:val="24"/>
          <w:szCs w:val="24"/>
        </w:rPr>
        <w:t>基金管理人</w:t>
      </w:r>
      <w:r w:rsidRPr="008C6BAB">
        <w:rPr>
          <w:rFonts w:ascii="宋体" w:hAnsi="宋体"/>
          <w:sz w:val="24"/>
          <w:szCs w:val="24"/>
        </w:rPr>
        <w:t>指定专人在核实存款行授权人员身份信息后，负责印鉴卡与存款证实书等凭证的监交或交接，以确保与</w:t>
      </w:r>
      <w:r w:rsidRPr="008C6BAB">
        <w:rPr>
          <w:rFonts w:ascii="宋体" w:hAnsi="宋体" w:hint="eastAsia"/>
          <w:sz w:val="24"/>
          <w:szCs w:val="24"/>
        </w:rPr>
        <w:t>基金</w:t>
      </w:r>
      <w:r w:rsidRPr="008C6BAB">
        <w:rPr>
          <w:rFonts w:ascii="宋体" w:hAnsi="宋体"/>
          <w:sz w:val="24"/>
          <w:szCs w:val="24"/>
        </w:rPr>
        <w:t>托管人所交接凭证的真实性、准确性和完整性。</w:t>
      </w:r>
      <w:r w:rsidRPr="008C6BAB">
        <w:rPr>
          <w:rFonts w:ascii="宋体" w:hAnsi="宋体" w:hint="eastAsia"/>
          <w:sz w:val="24"/>
          <w:szCs w:val="24"/>
        </w:rPr>
        <w:t>基金</w:t>
      </w:r>
      <w:r w:rsidRPr="008C6BAB">
        <w:rPr>
          <w:rFonts w:ascii="宋体" w:hAnsi="宋体"/>
          <w:sz w:val="24"/>
          <w:szCs w:val="24"/>
        </w:rPr>
        <w:t>托管人对投资后处于</w:t>
      </w:r>
      <w:r w:rsidRPr="008C6BAB">
        <w:rPr>
          <w:rFonts w:ascii="宋体" w:hAnsi="宋体" w:hint="eastAsia"/>
          <w:sz w:val="24"/>
          <w:szCs w:val="24"/>
        </w:rPr>
        <w:t>基金</w:t>
      </w:r>
      <w:r w:rsidRPr="008C6BAB">
        <w:rPr>
          <w:rFonts w:ascii="宋体" w:hAnsi="宋体"/>
          <w:sz w:val="24"/>
          <w:szCs w:val="24"/>
        </w:rPr>
        <w:t>托管人实际控制之外的资产不承担保管责任。跨行定期存款账户的预留印鉴为</w:t>
      </w:r>
      <w:r w:rsidRPr="008C6BAB">
        <w:rPr>
          <w:rFonts w:ascii="宋体" w:hAnsi="宋体" w:hint="eastAsia"/>
          <w:sz w:val="24"/>
          <w:szCs w:val="24"/>
        </w:rPr>
        <w:t>基金</w:t>
      </w:r>
      <w:r w:rsidRPr="008C6BAB">
        <w:rPr>
          <w:rFonts w:ascii="宋体" w:hAnsi="宋体"/>
          <w:sz w:val="24"/>
          <w:szCs w:val="24"/>
        </w:rPr>
        <w:t>托管人托管业务专用章与托管业务授权人名章。</w:t>
      </w:r>
    </w:p>
    <w:p w14:paraId="0C8B1B3F" w14:textId="044E1A51"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lastRenderedPageBreak/>
        <w:t>（</w:t>
      </w:r>
      <w:r w:rsidR="00C02ED0" w:rsidRPr="008C6BAB">
        <w:rPr>
          <w:rFonts w:ascii="宋体" w:hAnsi="宋体" w:cs="宋体" w:hint="eastAsia"/>
          <w:color w:val="000000"/>
          <w:sz w:val="24"/>
          <w:szCs w:val="24"/>
        </w:rPr>
        <w:t>六</w:t>
      </w:r>
      <w:r w:rsidRPr="008C6BAB">
        <w:rPr>
          <w:rFonts w:ascii="宋体" w:hAnsi="宋体" w:cs="宋体" w:hint="eastAsia"/>
          <w:color w:val="000000"/>
          <w:sz w:val="24"/>
          <w:szCs w:val="24"/>
        </w:rPr>
        <w:t>）基金托管人根据有关法律法规的规定及</w:t>
      </w:r>
      <w:r w:rsidRPr="008C6BAB">
        <w:rPr>
          <w:rFonts w:ascii="宋体" w:hAnsi="宋体" w:cs="宋体"/>
          <w:color w:val="000000"/>
          <w:sz w:val="24"/>
          <w:szCs w:val="24"/>
        </w:rPr>
        <w:t>基金合同</w:t>
      </w:r>
      <w:r w:rsidRPr="008C6BAB">
        <w:rPr>
          <w:rFonts w:ascii="宋体" w:hAnsi="宋体" w:cs="宋体" w:hint="eastAsia"/>
          <w:color w:val="000000"/>
          <w:sz w:val="24"/>
          <w:szCs w:val="24"/>
        </w:rPr>
        <w:t>的约定，对基金资产净值计算、各类基金份额净值计算、应收资金到账、基金费用开支及收入确定、基金收益分配、相关信息披露、基金宣传推介材料中登载基金业绩表现数据等进行监督和核查。</w:t>
      </w:r>
    </w:p>
    <w:p w14:paraId="4FA0F3D0" w14:textId="7D86412B"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如果基金管理人未经基金托管人的审核擅自将不实的业绩表现数据印制在宣传推介材料上，则基金托管人对此不承担</w:t>
      </w:r>
      <w:r w:rsidR="00526D81">
        <w:rPr>
          <w:rFonts w:ascii="宋体" w:hAnsi="宋体" w:cs="宋体" w:hint="eastAsia"/>
          <w:color w:val="000000"/>
          <w:sz w:val="24"/>
          <w:szCs w:val="24"/>
        </w:rPr>
        <w:t>相应</w:t>
      </w:r>
      <w:r w:rsidRPr="008C6BAB">
        <w:rPr>
          <w:rFonts w:ascii="宋体" w:hAnsi="宋体" w:cs="宋体" w:hint="eastAsia"/>
          <w:color w:val="000000"/>
          <w:sz w:val="24"/>
          <w:szCs w:val="24"/>
        </w:rPr>
        <w:t>责任，并将在发现后立即报告中国证监会。</w:t>
      </w:r>
    </w:p>
    <w:p w14:paraId="6CB647AE" w14:textId="4354447B"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w:t>
      </w:r>
      <w:r w:rsidR="00C02ED0" w:rsidRPr="008C6BAB">
        <w:rPr>
          <w:rFonts w:ascii="宋体" w:hAnsi="宋体" w:cs="宋体" w:hint="eastAsia"/>
          <w:color w:val="000000"/>
          <w:sz w:val="24"/>
          <w:szCs w:val="24"/>
        </w:rPr>
        <w:t>七</w:t>
      </w:r>
      <w:r w:rsidRPr="008C6BAB">
        <w:rPr>
          <w:rFonts w:ascii="宋体" w:hAnsi="宋体" w:cs="宋体" w:hint="eastAsia"/>
          <w:color w:val="000000"/>
          <w:sz w:val="24"/>
          <w:szCs w:val="24"/>
        </w:rPr>
        <w:t>）基金托管人发现基金管理人的上述事项及投资指令或实际投资运作违反法律法规、</w:t>
      </w:r>
      <w:r w:rsidRPr="008C6BAB">
        <w:rPr>
          <w:rFonts w:ascii="宋体" w:hAnsi="宋体" w:cs="宋体"/>
          <w:color w:val="000000"/>
          <w:sz w:val="24"/>
          <w:szCs w:val="24"/>
        </w:rPr>
        <w:t>基金合同</w:t>
      </w:r>
      <w:r w:rsidRPr="008C6BAB">
        <w:rPr>
          <w:rFonts w:ascii="宋体" w:hAnsi="宋体" w:cs="宋体" w:hint="eastAsia"/>
          <w:color w:val="000000"/>
          <w:sz w:val="24"/>
          <w:szCs w:val="24"/>
        </w:rPr>
        <w:t>和本托管协议的规定，应及时以电话提醒或书面提示等方式通知基金管理人限期纠正。</w:t>
      </w:r>
    </w:p>
    <w:p w14:paraId="27E8C53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应积极配合和协助基金托管人的监督和核查。基金管理人收到书面通知后应在下一工作日及时核对并以书面形式给基金托管人发出回函，就基金托管人合理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7E385B6" w14:textId="12D3FF39"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w:t>
      </w:r>
      <w:r w:rsidR="00C02ED0" w:rsidRPr="008C6BAB">
        <w:rPr>
          <w:rFonts w:ascii="宋体" w:hAnsi="宋体" w:cs="宋体" w:hint="eastAsia"/>
          <w:color w:val="000000"/>
          <w:sz w:val="24"/>
          <w:szCs w:val="24"/>
        </w:rPr>
        <w:t>八</w:t>
      </w:r>
      <w:r w:rsidRPr="008C6BAB">
        <w:rPr>
          <w:rFonts w:ascii="宋体" w:hAnsi="宋体" w:cs="宋体" w:hint="eastAsia"/>
          <w:color w:val="000000"/>
          <w:sz w:val="24"/>
          <w:szCs w:val="24"/>
        </w:rPr>
        <w:t>）基金管理人有义务配合和协助基金托管人依照法律法规、</w:t>
      </w:r>
      <w:r w:rsidRPr="008C6BAB">
        <w:rPr>
          <w:rFonts w:ascii="宋体" w:hAnsi="宋体" w:cs="宋体"/>
          <w:color w:val="000000"/>
          <w:sz w:val="24"/>
          <w:szCs w:val="24"/>
        </w:rPr>
        <w:t>基金合同</w:t>
      </w:r>
      <w:r w:rsidRPr="008C6BAB">
        <w:rPr>
          <w:rFonts w:ascii="宋体" w:hAnsi="宋体" w:cs="宋体" w:hint="eastAsia"/>
          <w:color w:val="000000"/>
          <w:sz w:val="24"/>
          <w:szCs w:val="24"/>
        </w:rPr>
        <w:t>和本托管协议对基金业务执行核查。</w:t>
      </w:r>
    </w:p>
    <w:p w14:paraId="5E8D54B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对基金托管人发出的书面提示，基金管理人应在规定时间内答复并改正，或就基金托管人合理的疑义进行解释或举证；对基金托管人按照法律法规、</w:t>
      </w:r>
      <w:r w:rsidRPr="008C6BAB">
        <w:rPr>
          <w:rFonts w:ascii="宋体" w:hAnsi="宋体" w:cs="宋体"/>
          <w:color w:val="000000"/>
          <w:sz w:val="24"/>
          <w:szCs w:val="24"/>
        </w:rPr>
        <w:t>基金合同</w:t>
      </w:r>
      <w:r w:rsidRPr="008C6BAB">
        <w:rPr>
          <w:rFonts w:ascii="宋体" w:hAnsi="宋体" w:cs="宋体" w:hint="eastAsia"/>
          <w:color w:val="000000"/>
          <w:sz w:val="24"/>
          <w:szCs w:val="24"/>
        </w:rPr>
        <w:t>和本托管协议的要求需向中国证监会报送基金监督报告的事项，基金管理人应积极配合提供相关数据资料和制度等。</w:t>
      </w:r>
    </w:p>
    <w:p w14:paraId="6EF7896E" w14:textId="69F2EDB2"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w:t>
      </w:r>
      <w:r w:rsidR="00C02ED0" w:rsidRPr="008C6BAB">
        <w:rPr>
          <w:rFonts w:ascii="宋体" w:hAnsi="宋体" w:cs="宋体" w:hint="eastAsia"/>
          <w:color w:val="000000"/>
          <w:sz w:val="24"/>
          <w:szCs w:val="24"/>
        </w:rPr>
        <w:t>九</w:t>
      </w:r>
      <w:r w:rsidRPr="008C6BAB">
        <w:rPr>
          <w:rFonts w:ascii="宋体" w:hAnsi="宋体" w:cs="宋体" w:hint="eastAsia"/>
          <w:color w:val="000000"/>
          <w:sz w:val="24"/>
          <w:szCs w:val="24"/>
        </w:rPr>
        <w:t>）若基金托管人发现基金管理人依据交易程序已经生效的指令违反法律、行政法规和其他有关规定，或者违反</w:t>
      </w:r>
      <w:r w:rsidRPr="008C6BAB">
        <w:rPr>
          <w:rFonts w:ascii="宋体" w:hAnsi="宋体" w:cs="宋体"/>
          <w:color w:val="000000"/>
          <w:sz w:val="24"/>
          <w:szCs w:val="24"/>
        </w:rPr>
        <w:t>基金合同</w:t>
      </w:r>
      <w:r w:rsidRPr="008C6BAB">
        <w:rPr>
          <w:rFonts w:ascii="宋体" w:hAnsi="宋体" w:cs="宋体" w:hint="eastAsia"/>
          <w:color w:val="000000"/>
          <w:sz w:val="24"/>
          <w:szCs w:val="24"/>
        </w:rPr>
        <w:t>约定的，应当立即通知基金管理人。</w:t>
      </w:r>
    </w:p>
    <w:p w14:paraId="29602D75" w14:textId="2795A42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（十）基金托管人发现基金管理人有重大违规行为，应及时报告中国证监会，同时通知基金管理人限期纠正，并将纠正结果报告中国证监会。</w:t>
      </w:r>
    </w:p>
    <w:p w14:paraId="69BCBBF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基金管理人无正当理由，拒绝、阻挠对方根据本托管协议规定行使监督权，或采取拖延、欺诈等手段妨碍对方进行有效监督，情节严重或经基金托管</w:t>
      </w:r>
      <w:r w:rsidRPr="008C6BAB">
        <w:rPr>
          <w:rFonts w:ascii="宋体" w:hAnsi="宋体" w:cs="宋体" w:hint="eastAsia"/>
          <w:color w:val="000000"/>
          <w:sz w:val="24"/>
          <w:szCs w:val="24"/>
        </w:rPr>
        <w:lastRenderedPageBreak/>
        <w:t>人提出警告仍不改正的，基金托管人应报告中国证监会。</w:t>
      </w:r>
    </w:p>
    <w:p w14:paraId="0882EF9C" w14:textId="090947F6" w:rsidR="00006FD1" w:rsidRPr="008C6BAB" w:rsidRDefault="00056933">
      <w:pPr>
        <w:spacing w:line="360" w:lineRule="auto"/>
        <w:ind w:firstLineChars="200" w:firstLine="480"/>
        <w:rPr>
          <w:rFonts w:ascii="宋体" w:hAnsi="宋体" w:cs="宋体"/>
          <w:color w:val="000000"/>
          <w:sz w:val="24"/>
          <w:szCs w:val="24"/>
        </w:rPr>
      </w:pPr>
      <w:r w:rsidRPr="008C6BAB">
        <w:rPr>
          <w:rFonts w:ascii="宋体" w:hAnsi="宋体" w:cs="宋体" w:hint="eastAsia"/>
          <w:color w:val="000000"/>
          <w:sz w:val="24"/>
          <w:szCs w:val="24"/>
        </w:rPr>
        <w:t>（十</w:t>
      </w:r>
      <w:r w:rsidR="00C02ED0" w:rsidRPr="008C6BAB">
        <w:rPr>
          <w:rFonts w:ascii="宋体" w:hAnsi="宋体" w:cs="宋体" w:hint="eastAsia"/>
          <w:color w:val="000000"/>
          <w:sz w:val="24"/>
          <w:szCs w:val="24"/>
        </w:rPr>
        <w:t>一</w:t>
      </w:r>
      <w:r w:rsidRPr="008C6BAB">
        <w:rPr>
          <w:rFonts w:ascii="宋体" w:hAnsi="宋体" w:cs="宋体" w:hint="eastAsia"/>
          <w:color w:val="000000"/>
          <w:sz w:val="24"/>
          <w:szCs w:val="24"/>
        </w:rPr>
        <w:t>）侧袋机制的实施和投资运作安排</w:t>
      </w:r>
    </w:p>
    <w:p w14:paraId="222EEC18" w14:textId="77777777" w:rsidR="00006FD1" w:rsidRPr="008C6BAB" w:rsidRDefault="00056933">
      <w:pPr>
        <w:spacing w:line="360" w:lineRule="auto"/>
        <w:ind w:firstLineChars="200" w:firstLine="480"/>
        <w:rPr>
          <w:rFonts w:ascii="宋体" w:hAnsi="宋体" w:cs="宋体"/>
          <w:color w:val="000000"/>
          <w:sz w:val="24"/>
          <w:szCs w:val="24"/>
        </w:rPr>
      </w:pPr>
      <w:r w:rsidRPr="008C6BAB">
        <w:rPr>
          <w:rFonts w:ascii="宋体" w:hAnsi="宋体" w:cs="宋体" w:hint="eastAsia"/>
          <w:color w:val="00000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D2425F0" w14:textId="77777777" w:rsidR="00006FD1" w:rsidRPr="008C6BAB" w:rsidRDefault="00056933">
      <w:pPr>
        <w:spacing w:line="360" w:lineRule="auto"/>
        <w:ind w:firstLineChars="200" w:firstLine="480"/>
        <w:rPr>
          <w:rFonts w:ascii="宋体" w:hAnsi="宋体" w:cs="宋体"/>
          <w:color w:val="000000"/>
          <w:sz w:val="24"/>
          <w:szCs w:val="24"/>
        </w:rPr>
      </w:pPr>
      <w:r w:rsidRPr="008C6BAB">
        <w:rPr>
          <w:rFonts w:ascii="宋体" w:hAnsi="宋体" w:cs="宋体" w:hint="eastAsia"/>
          <w:color w:val="000000"/>
          <w:sz w:val="24"/>
          <w:szCs w:val="24"/>
        </w:rPr>
        <w:t>侧袋机制实施期间，本部分约定的投资组合比例、组合限制等约定仅适用于主袋账户。</w:t>
      </w:r>
    </w:p>
    <w:p w14:paraId="6ED0647E" w14:textId="77777777" w:rsidR="00006FD1" w:rsidRPr="008C6BAB" w:rsidRDefault="00056933">
      <w:pPr>
        <w:spacing w:line="360" w:lineRule="auto"/>
        <w:ind w:firstLine="480"/>
        <w:rPr>
          <w:rFonts w:ascii="仿宋" w:eastAsia="仿宋" w:hAnsi="仿宋"/>
          <w:color w:val="000000"/>
          <w:sz w:val="24"/>
          <w:szCs w:val="24"/>
        </w:rPr>
      </w:pPr>
      <w:r w:rsidRPr="008C6BAB">
        <w:rPr>
          <w:rFonts w:ascii="宋体" w:hAnsi="宋体" w:cs="宋体" w:hint="eastAsia"/>
          <w:color w:val="000000"/>
          <w:sz w:val="24"/>
          <w:szCs w:val="24"/>
        </w:rPr>
        <w:t>侧袋账户的实施条件、实施程序、运作安排、投资安排、特定资产的处置变现和支付等对投资者权益有重大影响的事项详见招募说明书的规定。</w:t>
      </w:r>
    </w:p>
    <w:p w14:paraId="4BAC1CCD"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9" w:name="_Toc264617144"/>
      <w:r w:rsidRPr="008C6BAB">
        <w:rPr>
          <w:rFonts w:ascii="宋体" w:hAnsi="宋体" w:hint="eastAsia"/>
          <w:sz w:val="30"/>
          <w:szCs w:val="30"/>
        </w:rPr>
        <w:lastRenderedPageBreak/>
        <w:t>四、基金管理人对基金托管人的业务核查</w:t>
      </w:r>
      <w:bookmarkEnd w:id="9"/>
    </w:p>
    <w:p w14:paraId="24D9B506" w14:textId="32C72185"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基金管理人对基金托管人履行托管职责情况进行核查，核查事项包括基金托管人安全保管基金财产、开设基金财产的资金账户、证券账户以及投资所需的其他专用账户、复核基金管理人计算的各类基金份额的基金资产净值和基金份额净值、根据基金管理人指令办理清算交收、相关信息披露和监督基金投资运作等行为。</w:t>
      </w:r>
    </w:p>
    <w:p w14:paraId="4F0264C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（二）基金管理人发现基金托管人擅自挪用基金财产、未对基金财产实行分账管理、未执行或无故延迟执行基金管理人资金划拨指令、泄露基金投资信息等违反《基金法》、</w:t>
      </w:r>
      <w:r w:rsidRPr="008C6BAB">
        <w:rPr>
          <w:rFonts w:ascii="宋体" w:hAnsi="宋体" w:cs="宋体"/>
          <w:color w:val="000000"/>
          <w:sz w:val="24"/>
          <w:szCs w:val="24"/>
        </w:rPr>
        <w:t>基金合同</w:t>
      </w:r>
      <w:r w:rsidRPr="008C6BAB">
        <w:rPr>
          <w:rFonts w:ascii="宋体" w:hAnsi="宋体" w:cs="宋体" w:hint="eastAsia"/>
          <w:color w:val="000000"/>
          <w:sz w:val="24"/>
          <w:szCs w:val="24"/>
        </w:rPr>
        <w:t>、本协议及其他有关规定时，应及时以书面形式通知基金托管人限期纠正。</w:t>
      </w:r>
    </w:p>
    <w:p w14:paraId="29E0BF3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E159A0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（三）基金管理人发现基金托管人有重大违规行为，应及时报告中国证监会，同时通知基金托管人限期纠正，并将纠正结果报告中国证监会。</w:t>
      </w:r>
    </w:p>
    <w:p w14:paraId="0DC28C4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基金托管人无正当理由，拒绝、阻挠对方根据本协议规定行使监督权，或采取拖延、欺诈等手段妨碍对方进行有效监督，情节严重或经基金管理人提出警告仍不改正的，基金管理人应报告中国证监会。</w:t>
      </w:r>
    </w:p>
    <w:p w14:paraId="7B8B7CAA" w14:textId="77777777" w:rsidR="00006FD1" w:rsidRPr="008C6BAB" w:rsidRDefault="00006FD1">
      <w:pPr>
        <w:spacing w:line="360" w:lineRule="auto"/>
        <w:ind w:firstLine="480"/>
        <w:rPr>
          <w:rFonts w:ascii="仿宋" w:eastAsia="仿宋" w:hAnsi="仿宋"/>
          <w:color w:val="000000"/>
          <w:sz w:val="24"/>
          <w:szCs w:val="24"/>
        </w:rPr>
      </w:pPr>
    </w:p>
    <w:p w14:paraId="313A8AE8"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10" w:name="_Toc264617145"/>
      <w:r w:rsidRPr="008C6BAB">
        <w:rPr>
          <w:rFonts w:ascii="宋体" w:hAnsi="宋体" w:hint="eastAsia"/>
          <w:color w:val="000000"/>
          <w:sz w:val="30"/>
          <w:szCs w:val="30"/>
        </w:rPr>
        <w:lastRenderedPageBreak/>
        <w:t>五、基金财产的保管</w:t>
      </w:r>
      <w:bookmarkEnd w:id="10"/>
    </w:p>
    <w:p w14:paraId="2DEFB794"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（一）基金财产保管的原则</w:t>
      </w:r>
    </w:p>
    <w:p w14:paraId="606285A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1．基金财产应独立于基金管理人、基金托管人的固有财产；</w:t>
      </w:r>
    </w:p>
    <w:p w14:paraId="3EAF20A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2．基金托管人应安全保管基金财产；</w:t>
      </w:r>
    </w:p>
    <w:p w14:paraId="5F857D1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3．基金托管人按照规定开设基金财产的资金账户、证券账户以及投资所需的其他专用账户；</w:t>
      </w:r>
    </w:p>
    <w:p w14:paraId="1F1CB8F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 xml:space="preserve">4．基金托管人对所托管的不同基金财产分别设置账户，确保基金财产的完整与独立； </w:t>
      </w:r>
    </w:p>
    <w:p w14:paraId="2BEFCA5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5．基金托管人根据基金管理人的指令，按照</w:t>
      </w:r>
      <w:r w:rsidRPr="008C6BAB">
        <w:rPr>
          <w:rFonts w:ascii="宋体" w:hAnsi="宋体" w:cs="宋体"/>
          <w:color w:val="000000"/>
          <w:sz w:val="24"/>
          <w:szCs w:val="24"/>
        </w:rPr>
        <w:t>基金合同</w:t>
      </w:r>
      <w:r w:rsidRPr="008C6BAB">
        <w:rPr>
          <w:rFonts w:ascii="宋体" w:hAnsi="宋体" w:cs="宋体" w:hint="eastAsia"/>
          <w:color w:val="000000"/>
          <w:sz w:val="24"/>
          <w:szCs w:val="24"/>
        </w:rPr>
        <w:t>和本协议的约定保管基金财产，如有特殊情况双方可另行协商解决；</w:t>
      </w:r>
    </w:p>
    <w:p w14:paraId="293369A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6．对于因为基金投资产生的应收资产，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财产的损失，基金托管人对基金管理人的追偿行为应予以必要的协助；</w:t>
      </w:r>
    </w:p>
    <w:p w14:paraId="34697FB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7．除依据法律法规和</w:t>
      </w:r>
      <w:r w:rsidRPr="008C6BAB">
        <w:rPr>
          <w:rFonts w:ascii="宋体" w:hAnsi="宋体" w:cs="宋体"/>
          <w:color w:val="000000"/>
          <w:sz w:val="24"/>
          <w:szCs w:val="24"/>
        </w:rPr>
        <w:t>基金合同</w:t>
      </w:r>
      <w:r w:rsidRPr="008C6BAB">
        <w:rPr>
          <w:rFonts w:ascii="宋体" w:hAnsi="宋体" w:cs="宋体" w:hint="eastAsia"/>
          <w:color w:val="000000"/>
          <w:sz w:val="24"/>
          <w:szCs w:val="24"/>
        </w:rPr>
        <w:t>的规定外，基金托管人不得委托第三人托管基金财产。</w:t>
      </w:r>
    </w:p>
    <w:p w14:paraId="4E556AF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（二）基金募集期间及募集资金的验资</w:t>
      </w:r>
    </w:p>
    <w:p w14:paraId="3DF57D9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1．基金募集期间募集的资金应存于基金管理人开立的“基金募集专户”。该账户由基金管理人开立并管理。</w:t>
      </w:r>
    </w:p>
    <w:p w14:paraId="0DE0E1D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募集期满或基金停止募集时，募集的基金份额总额、基金募集金额、基金份额持有人人数符合《基金法》、《运作办法》等有关规定后，基金管理人应将属于基金财产的全部资金划入基金托管人为本基金开立的基金托管专户，同时在规定时间内，聘请符合《中华人民共和国证券法》规定的会计师事务所进行验资，出具验资报告。出具的验资报告由参加验资的2名或2名以上中国注册会计师签字方为有效。</w:t>
      </w:r>
    </w:p>
    <w:p w14:paraId="07453EA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3．若基金募集期限届满或基金停止募集时，未能达到</w:t>
      </w:r>
      <w:r w:rsidRPr="008C6BAB">
        <w:rPr>
          <w:rFonts w:ascii="宋体" w:hAnsi="宋体" w:cs="宋体"/>
          <w:color w:val="000000"/>
          <w:sz w:val="24"/>
          <w:szCs w:val="24"/>
        </w:rPr>
        <w:t>基金合同</w:t>
      </w:r>
      <w:r w:rsidRPr="008C6BAB">
        <w:rPr>
          <w:rFonts w:ascii="宋体" w:hAnsi="宋体" w:cs="宋体" w:hint="eastAsia"/>
          <w:color w:val="000000"/>
          <w:sz w:val="24"/>
          <w:szCs w:val="24"/>
        </w:rPr>
        <w:t>生效的条件，由基金管理人按规定办理退款等事宜，基金托管人应提供充分协助。</w:t>
      </w:r>
    </w:p>
    <w:p w14:paraId="0681CAC4"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lastRenderedPageBreak/>
        <w:t>（三）基金托管专户的开立和管理</w:t>
      </w:r>
    </w:p>
    <w:p w14:paraId="3C4C6DD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1．基金托管人以基金的名义在其营业机构开设基金托管专户，保管基金的银行存款。本基金的一切货币收支活动，包括但不限于投资、支付赎回金额、支付基金收益、收取申购款，均需通过基金托管专户进行。</w:t>
      </w:r>
    </w:p>
    <w:p w14:paraId="661CF08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2．基金托管专户的开立和使用，限于满足开展本基金业务的需要。基金托管人和基金管理人不得假借本基金的名义开立任何其他银行账户；亦不得使用基金的任何账户进行本基金业务以外的活动。</w:t>
      </w:r>
    </w:p>
    <w:p w14:paraId="7F45042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3．基金托管专户的开立和管理应符合有关法律法规以及银行业监督管理机构的其他有关规定。</w:t>
      </w:r>
    </w:p>
    <w:p w14:paraId="15BDF99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（四）基金证券账户和结算备付金账户的开立和管理</w:t>
      </w:r>
    </w:p>
    <w:p w14:paraId="341D7F4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1．基金托管人在中国证券登记结算有限责任公司上海分公司、深圳分公司为基金开立基金托管人与基金联名的证券账户。</w:t>
      </w:r>
    </w:p>
    <w:p w14:paraId="6AA7D98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451B024"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3．基金证券账户的开立和证券账户卡的保管由基金托管人负责，账户资产的管理和运用由基金管理人负责。</w:t>
      </w:r>
    </w:p>
    <w:p w14:paraId="0CDF3E9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交收价差资金等的收取按照中国证券登记结算有限责任公司的规定执行。</w:t>
      </w:r>
    </w:p>
    <w:p w14:paraId="6B70840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5685558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（五）银行间债券托管专户的开设和管理</w:t>
      </w:r>
    </w:p>
    <w:p w14:paraId="542F38B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color w:val="000000"/>
          <w:sz w:val="24"/>
          <w:szCs w:val="24"/>
        </w:rPr>
        <w:t>基金合同</w:t>
      </w:r>
      <w:r w:rsidRPr="008C6BAB">
        <w:rPr>
          <w:rFonts w:ascii="宋体" w:hAnsi="宋体" w:cs="宋体" w:hint="eastAsia"/>
          <w:color w:val="000000"/>
          <w:sz w:val="24"/>
          <w:szCs w:val="24"/>
        </w:rPr>
        <w:t>生效后，基金管理人负责以基金的名义申请并取得进入全国银行间同业拆借市场的交易资格，并代表基金进行交易；基金托管人负责根据中国人民银行、银行间市场登记结算机构的有关规定，以本基金的名义在中央国债登记结算有限责任公司和银行间市场清算所股份有限公司开设银行间债券市场</w:t>
      </w:r>
      <w:r w:rsidRPr="008C6BAB">
        <w:rPr>
          <w:rFonts w:ascii="宋体" w:hAnsi="宋体" w:cs="宋体" w:hint="eastAsia"/>
          <w:color w:val="000000"/>
          <w:sz w:val="24"/>
          <w:szCs w:val="24"/>
        </w:rPr>
        <w:lastRenderedPageBreak/>
        <w:t>债券托管账户，并代表基金进行银行间市场债券的结算。基金管理人和基金托管人共同代表基金签订全国银行间债券市场债券回购主协议，基金托管人保管协议正本，基金管理人保存协议副本。</w:t>
      </w:r>
    </w:p>
    <w:p w14:paraId="329FBD6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（六）其他账户的开立和管理</w:t>
      </w:r>
    </w:p>
    <w:p w14:paraId="35326BC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在本托管协议签订日之后，本基金被允许从事符合法律法规规定和</w:t>
      </w:r>
      <w:r w:rsidRPr="008C6BAB">
        <w:rPr>
          <w:rFonts w:ascii="宋体" w:hAnsi="宋体" w:cs="宋体"/>
          <w:color w:val="000000"/>
          <w:sz w:val="24"/>
          <w:szCs w:val="24"/>
        </w:rPr>
        <w:t>基金合同</w:t>
      </w:r>
      <w:r w:rsidRPr="008C6BAB">
        <w:rPr>
          <w:rFonts w:ascii="宋体" w:hAnsi="宋体" w:cs="宋体" w:hint="eastAsia"/>
          <w:color w:val="000000"/>
          <w:sz w:val="24"/>
          <w:szCs w:val="24"/>
        </w:rPr>
        <w:t>约定的其他投资品种的投资业务时，如果涉及相关账户的开设和使用，由基金管理人协助基金托管人根据有关法律法规的规定和</w:t>
      </w:r>
      <w:r w:rsidRPr="008C6BAB">
        <w:rPr>
          <w:rFonts w:ascii="宋体" w:hAnsi="宋体" w:cs="宋体"/>
          <w:color w:val="000000"/>
          <w:sz w:val="24"/>
          <w:szCs w:val="24"/>
        </w:rPr>
        <w:t>基金合同</w:t>
      </w:r>
      <w:r w:rsidRPr="008C6BAB">
        <w:rPr>
          <w:rFonts w:ascii="宋体" w:hAnsi="宋体" w:cs="宋体" w:hint="eastAsia"/>
          <w:color w:val="000000"/>
          <w:sz w:val="24"/>
          <w:szCs w:val="24"/>
        </w:rPr>
        <w:t>的约定，开立有关账户。该账户按有关规则使用并管理。</w:t>
      </w:r>
    </w:p>
    <w:p w14:paraId="6A5E0DE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法律法规等有关规定对相关账户的开立和管理另有规定的，从其规定办理。</w:t>
      </w:r>
    </w:p>
    <w:p w14:paraId="3547675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（七）基金财产投资的有关有价凭证等的保管</w:t>
      </w:r>
    </w:p>
    <w:p w14:paraId="0F54AFC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财产投资的有关实物证券、银行存款开户证实书等有价凭证由基金托管人存放于基金托管人的保管库，也可存入中央国债登记结算有限责任公司、中国证券登记结算有限责任公司上海分公司/深圳分公司、银行间市场清算所股份有限公司或票据营业中心的代保管库，保管凭证由基金托管人持有。实物证券、银行存款开户证实书等有价凭证的购买和转让，由基金管理人和基金托管人共同办理。基金托管人对由基金托管人及基金托管人委托保管的机构以外机构实际有效控制的证券不承担保管责任。</w:t>
      </w:r>
    </w:p>
    <w:p w14:paraId="3EE8351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（八）与基金财产有关的重大合同的保管</w:t>
      </w:r>
    </w:p>
    <w:p w14:paraId="6D499E5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通过传真、电子邮件或双方认可的其他书面形式给基金托管人，并在30个工作日内将正本送达基金托管人处。重大合同的保管期限</w:t>
      </w:r>
      <w:r w:rsidRPr="008C6BAB">
        <w:rPr>
          <w:rFonts w:ascii="Arial" w:hAnsi="Arial" w:cs="Arial" w:hint="eastAsia"/>
          <w:bCs/>
          <w:sz w:val="24"/>
        </w:rPr>
        <w:t>不低于法律法规规定的最低期限</w:t>
      </w:r>
      <w:r w:rsidRPr="008C6BAB">
        <w:rPr>
          <w:rFonts w:ascii="宋体" w:hAnsi="宋体" w:cs="宋体" w:hint="eastAsia"/>
          <w:color w:val="000000"/>
          <w:sz w:val="24"/>
          <w:szCs w:val="24"/>
        </w:rPr>
        <w:t>。</w:t>
      </w:r>
    </w:p>
    <w:p w14:paraId="3C4CCB39" w14:textId="77777777" w:rsidR="00006FD1" w:rsidRPr="008C6BAB" w:rsidRDefault="00056933">
      <w:pPr>
        <w:spacing w:line="360" w:lineRule="auto"/>
        <w:ind w:firstLine="480"/>
        <w:rPr>
          <w:rFonts w:ascii="仿宋" w:eastAsia="仿宋" w:hAnsi="仿宋"/>
          <w:color w:val="000000"/>
          <w:sz w:val="24"/>
          <w:szCs w:val="24"/>
        </w:rPr>
      </w:pPr>
      <w:r w:rsidRPr="008C6BAB">
        <w:rPr>
          <w:rFonts w:ascii="宋体" w:hAnsi="宋体" w:cs="宋体" w:hint="eastAsia"/>
          <w:color w:val="000000"/>
          <w:sz w:val="24"/>
          <w:szCs w:val="24"/>
        </w:rPr>
        <w:t xml:space="preserve"> 对于无法取得二份以上正本的，基金管理人应向基金托管人提供与合同原件核对一致的加盖公章的合同传真件或复印件，未经双方协商一致或未在合同</w:t>
      </w:r>
      <w:r w:rsidRPr="008C6BAB">
        <w:rPr>
          <w:rFonts w:ascii="宋体" w:hAnsi="宋体" w:cs="宋体" w:hint="eastAsia"/>
          <w:color w:val="000000"/>
          <w:sz w:val="24"/>
          <w:szCs w:val="24"/>
        </w:rPr>
        <w:lastRenderedPageBreak/>
        <w:t>约定范围内，合同原件不得转移。</w:t>
      </w:r>
    </w:p>
    <w:p w14:paraId="691D0C2B" w14:textId="77777777" w:rsidR="00006FD1" w:rsidRPr="008C6BAB" w:rsidRDefault="00006FD1">
      <w:pPr>
        <w:spacing w:line="360" w:lineRule="auto"/>
        <w:ind w:firstLine="480"/>
        <w:rPr>
          <w:rFonts w:ascii="仿宋" w:eastAsia="仿宋" w:hAnsi="仿宋"/>
          <w:color w:val="000000"/>
          <w:sz w:val="24"/>
          <w:szCs w:val="24"/>
        </w:rPr>
      </w:pPr>
    </w:p>
    <w:p w14:paraId="1A68ABE2" w14:textId="77777777" w:rsidR="00006FD1" w:rsidRPr="008C6BAB" w:rsidRDefault="00056933">
      <w:pPr>
        <w:widowControl/>
        <w:pBdr>
          <w:top w:val="none" w:sz="0" w:space="0" w:color="auto"/>
          <w:left w:val="none" w:sz="0" w:space="0" w:color="auto"/>
          <w:bottom w:val="none" w:sz="0" w:space="0" w:color="auto"/>
          <w:right w:val="none" w:sz="0" w:space="0" w:color="auto"/>
          <w:between w:val="none" w:sz="0" w:space="0" w:color="auto"/>
        </w:pBdr>
        <w:jc w:val="left"/>
        <w:rPr>
          <w:rFonts w:ascii="仿宋" w:eastAsia="仿宋" w:hAnsi="仿宋"/>
          <w:color w:val="000000"/>
          <w:sz w:val="24"/>
          <w:szCs w:val="24"/>
        </w:rPr>
      </w:pPr>
      <w:r w:rsidRPr="008C6BAB">
        <w:rPr>
          <w:rFonts w:ascii="仿宋" w:eastAsia="仿宋" w:hAnsi="仿宋"/>
          <w:color w:val="000000"/>
          <w:sz w:val="24"/>
          <w:szCs w:val="24"/>
        </w:rPr>
        <w:br w:type="page"/>
      </w:r>
    </w:p>
    <w:p w14:paraId="3C96C3E9" w14:textId="77777777" w:rsidR="00006FD1" w:rsidRPr="008C6BAB" w:rsidRDefault="00006FD1">
      <w:pPr>
        <w:spacing w:line="360" w:lineRule="auto"/>
        <w:ind w:firstLine="480"/>
        <w:rPr>
          <w:rFonts w:ascii="仿宋" w:eastAsia="仿宋" w:hAnsi="仿宋"/>
          <w:color w:val="000000"/>
          <w:sz w:val="24"/>
          <w:szCs w:val="24"/>
        </w:rPr>
      </w:pPr>
    </w:p>
    <w:p w14:paraId="7EE68E11" w14:textId="77777777" w:rsidR="00006FD1" w:rsidRPr="008C6BAB" w:rsidRDefault="00056933">
      <w:pPr>
        <w:pStyle w:val="212"/>
        <w:spacing w:line="360" w:lineRule="auto"/>
        <w:jc w:val="center"/>
        <w:rPr>
          <w:rFonts w:ascii="宋体" w:hAnsi="宋体"/>
          <w:color w:val="000000"/>
          <w:sz w:val="30"/>
          <w:szCs w:val="30"/>
        </w:rPr>
      </w:pPr>
      <w:bookmarkStart w:id="11" w:name="_Toc264617146"/>
      <w:r w:rsidRPr="008C6BAB">
        <w:rPr>
          <w:rFonts w:ascii="宋体" w:hAnsi="宋体" w:hint="eastAsia"/>
          <w:color w:val="000000"/>
          <w:sz w:val="30"/>
          <w:szCs w:val="30"/>
        </w:rPr>
        <w:t>六、指令的发送、确认及执行</w:t>
      </w:r>
      <w:bookmarkEnd w:id="11"/>
    </w:p>
    <w:p w14:paraId="6DE52CD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基金管理人在运用基金财产时向基金托管人发送资金划拨及其他款项付款指令，基金托管人执行基金管理人的指令、办理基金名下的资金往来等有关事项。</w:t>
      </w:r>
    </w:p>
    <w:p w14:paraId="0BF722E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（一）基金管理人对发送指令人员的书面授权</w:t>
      </w:r>
    </w:p>
    <w:p w14:paraId="2301F0A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1．基金管理人应指定专人向基金托管人发送指令。</w:t>
      </w:r>
    </w:p>
    <w:p w14:paraId="1C7AD5A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2．基金管理人应向基金托管人提供书面授权文件，内容包括被授权人名单、预留印鉴及被授权人签字样本，授权文件应注明被授权人相应的权限</w:t>
      </w:r>
      <w:r w:rsidRPr="008C6BAB">
        <w:rPr>
          <w:rFonts w:ascii="宋体" w:hAnsi="宋体" w:hint="eastAsia"/>
          <w:sz w:val="24"/>
          <w:szCs w:val="24"/>
        </w:rPr>
        <w:t>及授权时间</w:t>
      </w:r>
      <w:r w:rsidRPr="008C6BAB">
        <w:rPr>
          <w:rFonts w:ascii="宋体" w:hAnsi="宋体" w:cs="宋体" w:hint="eastAsia"/>
          <w:color w:val="000000"/>
          <w:sz w:val="24"/>
          <w:szCs w:val="24"/>
        </w:rPr>
        <w:t>。</w:t>
      </w:r>
    </w:p>
    <w:p w14:paraId="2F62E8A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基金托管人在收到授权文件原件并经基金管理人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0083C34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4．基金管理人和基金托管人对授权文件负有保密义务，其内容不得向被授权人及相关操作人员以外的任何人泄漏。但法律法规规定或有权机关要求的除外。</w:t>
      </w:r>
    </w:p>
    <w:p w14:paraId="59E7639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（二）指令的内容</w:t>
      </w:r>
    </w:p>
    <w:p w14:paraId="1CE582A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1．指令包括赎回、分红付款指令、回购到期付款指令、与投资有关的付款指令、实物债券出入库指令以及其他资金划拨指令等。</w:t>
      </w:r>
    </w:p>
    <w:p w14:paraId="2BD25FA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2．基金管理人发给基金托管人的指令应写明款项事由、支付时间、到账时间、金额、账户等，加盖预留印鉴并由被授权人签字或盖章。</w:t>
      </w:r>
    </w:p>
    <w:p w14:paraId="40ACE78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（三）指令的发送、确认及执行的时间和程序</w:t>
      </w:r>
    </w:p>
    <w:p w14:paraId="443B200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1．指令的发送</w:t>
      </w:r>
    </w:p>
    <w:p w14:paraId="2B487B4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基金管理人发送指令应采用传真、深证通或托管网银电子指令方式或双方协商一致的其他方式。</w:t>
      </w:r>
    </w:p>
    <w:p w14:paraId="16AEC26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基金管理人应按照法律法规和</w:t>
      </w:r>
      <w:r w:rsidRPr="008C6BAB">
        <w:rPr>
          <w:rFonts w:ascii="宋体" w:hAnsi="宋体" w:cs="宋体"/>
          <w:color w:val="000000"/>
          <w:sz w:val="24"/>
          <w:szCs w:val="24"/>
        </w:rPr>
        <w:t>基金合同</w:t>
      </w:r>
      <w:r w:rsidRPr="008C6BAB">
        <w:rPr>
          <w:rFonts w:ascii="宋体" w:hAnsi="宋体" w:cs="宋体" w:hint="eastAsia"/>
          <w:color w:val="000000"/>
          <w:sz w:val="24"/>
          <w:szCs w:val="24"/>
        </w:rPr>
        <w:t>的规定，在其合法的经营权限和交易权限内发送指令；被授权人应严格按照其授权权限发送指令。对于被授权人</w:t>
      </w:r>
      <w:r w:rsidRPr="008C6BAB">
        <w:rPr>
          <w:rFonts w:ascii="宋体" w:hAnsi="宋体" w:cs="宋体" w:hint="eastAsia"/>
          <w:color w:val="000000"/>
          <w:sz w:val="24"/>
          <w:szCs w:val="24"/>
        </w:rPr>
        <w:lastRenderedPageBreak/>
        <w:t>依约定程序发出的指令，基金管理人不得否认其效力。但如果基金管理人已经撤销或更改对交易指令发送人员的授权，并且基金托管人根据本协议确认后，则对于此后该交易指令发送人员无权发送的指令，或超权限发送的指令，基金管理人不承担责任，授权已更改但未经基金托管人确认的情况除外。</w:t>
      </w:r>
    </w:p>
    <w:p w14:paraId="4965320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指令发出后，基金管理人应及时以电话方式或双方认可的其他方式向基金托管人确认。</w:t>
      </w:r>
    </w:p>
    <w:p w14:paraId="4A3C0D8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应在交易结束后将银行间同业市场债券交易成交单加盖预留印鉴后及时传真给基金托管人，并以电话或双方认可的其他方式确认。如果银行间簿记系统已经生成的交易需要取消或终止，基金管理人要书面通知基金托管人。</w:t>
      </w:r>
    </w:p>
    <w:p w14:paraId="7CDEF017" w14:textId="77777777" w:rsidR="00006FD1" w:rsidRPr="008C6BAB" w:rsidRDefault="00056933">
      <w:pPr>
        <w:spacing w:line="360" w:lineRule="auto"/>
        <w:ind w:firstLine="480"/>
        <w:rPr>
          <w:rFonts w:ascii="宋体" w:hAnsi="宋体" w:cs="宋体"/>
          <w:color w:val="000000"/>
          <w:sz w:val="24"/>
          <w:szCs w:val="24"/>
          <w:shd w:val="pct10" w:color="auto" w:fill="FFFFFF"/>
        </w:rPr>
      </w:pPr>
      <w:r w:rsidRPr="008C6BAB">
        <w:rPr>
          <w:rFonts w:ascii="宋体" w:hAnsi="宋体" w:cs="宋体" w:hint="eastAsia"/>
          <w:color w:val="000000"/>
          <w:sz w:val="24"/>
          <w:szCs w:val="24"/>
        </w:rPr>
        <w:t>基金管理人应于划款前一日向基金托管人发送投资划款指令并确认，如需在划款当日下达投资划款指令，在发送指令时，应为基金托管人留出执行指令所必需的时间</w:t>
      </w:r>
      <w:r w:rsidRPr="008C6BAB">
        <w:rPr>
          <w:rFonts w:ascii="宋体" w:hAnsi="宋体" w:cs="宋体" w:hint="eastAsia"/>
          <w:color w:val="000000"/>
          <w:sz w:val="24"/>
        </w:rPr>
        <w:t>（该必需的时间不长于正常情况下基金托管人日常处理该指令所用的平均时间）</w:t>
      </w:r>
      <w:r w:rsidRPr="008C6BAB">
        <w:rPr>
          <w:rFonts w:ascii="宋体" w:hAnsi="宋体" w:cs="宋体" w:hint="eastAsia"/>
          <w:color w:val="000000"/>
          <w:sz w:val="24"/>
          <w:szCs w:val="24"/>
        </w:rPr>
        <w:t>。基金管理人发送有效指令（包括原指令被撤销、变更后再次发送的新指令）的截止时间为当天的15:00。如基金管理人要求当天某一时点到账，则交易结算指令需提前2个工作小时发送，并进行电话确认。由于基金管理人原因导致的指令传输不及时、未能留出足够的划款时间，致使资金未能及时到账所造成的损失由基金管理人承担。</w:t>
      </w:r>
      <w:r w:rsidRPr="008C6BAB">
        <w:rPr>
          <w:rFonts w:ascii="宋体" w:hAnsi="宋体" w:cs="宋体" w:hint="eastAsia"/>
          <w:color w:val="000000"/>
          <w:sz w:val="24"/>
        </w:rPr>
        <w:t>由于基金托管人原因导致资金未能及时到账所造成的损失由基金托管人承担。</w:t>
      </w:r>
    </w:p>
    <w:p w14:paraId="0FADA79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2．指令的确认</w:t>
      </w:r>
    </w:p>
    <w:p w14:paraId="1402B11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14:paraId="4651389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3．指令的时间和执行</w:t>
      </w:r>
    </w:p>
    <w:p w14:paraId="34F3F1C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基金托管人对指令验证</w:t>
      </w:r>
      <w:r w:rsidRPr="008C6BAB">
        <w:rPr>
          <w:rFonts w:ascii="宋体" w:hAnsi="宋体" w:hint="eastAsia"/>
          <w:sz w:val="24"/>
          <w:szCs w:val="24"/>
        </w:rPr>
        <w:t>通过</w:t>
      </w:r>
      <w:r w:rsidRPr="008C6BAB">
        <w:rPr>
          <w:rFonts w:ascii="宋体" w:hAnsi="宋体" w:cs="宋体" w:hint="eastAsia"/>
          <w:color w:val="000000"/>
          <w:sz w:val="24"/>
          <w:szCs w:val="24"/>
        </w:rPr>
        <w:t>后，应及时办理。指令执行完毕后，基金托管人应及时通知基金管理人。</w:t>
      </w:r>
    </w:p>
    <w:p w14:paraId="0D8E8C9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基金管理人向基金托管人下达指令时，应确保基金资金账户有足够的资金余额，对基金管理人在没有充足资金的情况下向基金托管人发出的投资指令、</w:t>
      </w:r>
      <w:r w:rsidRPr="008C6BAB">
        <w:rPr>
          <w:rFonts w:ascii="宋体" w:hAnsi="宋体" w:cs="宋体" w:hint="eastAsia"/>
          <w:color w:val="000000"/>
          <w:sz w:val="24"/>
          <w:szCs w:val="24"/>
        </w:rPr>
        <w:lastRenderedPageBreak/>
        <w:t>赎回、分红资金等的划拨指令，基金托管人可不予执行，但应立即通知基金管理人，由基金管理人审核、查明原因，出具书面文件确认此交易指令无效。基金托管人不承担因未执行该指令造成损失的责任。</w:t>
      </w:r>
    </w:p>
    <w:p w14:paraId="30B3A8D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（四）基金管理人发送错误指令的情形和处理程序</w:t>
      </w:r>
    </w:p>
    <w:p w14:paraId="7761E85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基金管理人发送错误指令的情形包括指令违反法律法规和</w:t>
      </w:r>
      <w:r w:rsidRPr="008C6BAB">
        <w:rPr>
          <w:rFonts w:ascii="宋体" w:hAnsi="宋体" w:cs="宋体"/>
          <w:color w:val="000000"/>
          <w:sz w:val="24"/>
          <w:szCs w:val="24"/>
        </w:rPr>
        <w:t>基金合同</w:t>
      </w:r>
      <w:r w:rsidRPr="008C6BAB">
        <w:rPr>
          <w:rFonts w:ascii="宋体" w:hAnsi="宋体" w:cs="宋体" w:hint="eastAsia"/>
          <w:color w:val="000000"/>
          <w:sz w:val="24"/>
          <w:szCs w:val="24"/>
        </w:rPr>
        <w:t>，指令发送人员无权或超越权限发送指令。</w:t>
      </w:r>
    </w:p>
    <w:p w14:paraId="021C664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基金托管人在履行监督职能时，发现基金管理人的指令错误时，有权拒绝执行，并及时通知基金管理人改正。如需撤销指令，基金管理人应出具书面说明，并加盖业务用章。</w:t>
      </w:r>
    </w:p>
    <w:p w14:paraId="168D26B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（五）基金托管人依照法律法规暂缓、拒绝执行指令的情形和处理程序</w:t>
      </w:r>
    </w:p>
    <w:p w14:paraId="4013CBD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若基金托管人发现基金管理人的指令违反法律法规，或者违反</w:t>
      </w:r>
      <w:r w:rsidRPr="008C6BAB">
        <w:rPr>
          <w:rFonts w:ascii="宋体" w:hAnsi="宋体" w:cs="宋体"/>
          <w:color w:val="000000"/>
          <w:sz w:val="24"/>
          <w:szCs w:val="24"/>
        </w:rPr>
        <w:t>基金合同</w:t>
      </w:r>
      <w:r w:rsidRPr="008C6BAB">
        <w:rPr>
          <w:rFonts w:ascii="宋体" w:hAnsi="宋体" w:cs="宋体" w:hint="eastAsia"/>
          <w:color w:val="000000"/>
          <w:sz w:val="24"/>
          <w:szCs w:val="24"/>
        </w:rPr>
        <w:t>约定的，应当视情况暂缓或拒绝执行，并立即通知基金管理人。</w:t>
      </w:r>
    </w:p>
    <w:p w14:paraId="527F19B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（六）基金托管人未按照基金管理人指令执行的处理方法</w:t>
      </w:r>
    </w:p>
    <w:p w14:paraId="710B81C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基金托管人由于自身原因，未按照基金管理人发送的</w:t>
      </w:r>
      <w:r w:rsidRPr="008C6BAB">
        <w:rPr>
          <w:rFonts w:ascii="宋体" w:hAnsi="宋体" w:hint="eastAsia"/>
          <w:sz w:val="24"/>
          <w:szCs w:val="24"/>
        </w:rPr>
        <w:t>符合法律法规、</w:t>
      </w:r>
      <w:r w:rsidRPr="008C6BAB">
        <w:rPr>
          <w:rFonts w:ascii="宋体" w:hAnsi="宋体"/>
          <w:sz w:val="24"/>
          <w:szCs w:val="24"/>
        </w:rPr>
        <w:t>基金合同</w:t>
      </w:r>
      <w:r w:rsidRPr="008C6BAB">
        <w:rPr>
          <w:rFonts w:ascii="宋体" w:hAnsi="宋体" w:hint="eastAsia"/>
          <w:sz w:val="24"/>
          <w:szCs w:val="24"/>
        </w:rPr>
        <w:t>、本协议的</w:t>
      </w:r>
      <w:r w:rsidRPr="008C6BAB">
        <w:rPr>
          <w:rFonts w:ascii="宋体" w:hAnsi="宋体" w:cs="宋体" w:hint="eastAsia"/>
          <w:color w:val="000000"/>
          <w:sz w:val="24"/>
          <w:szCs w:val="24"/>
        </w:rPr>
        <w:t>指令执行并对基金管理人、基金财产或投资人造成的损失，由基金托管人承担相应的责任。</w:t>
      </w:r>
    </w:p>
    <w:p w14:paraId="617EEE3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（七）更换被授权人的程序</w:t>
      </w:r>
    </w:p>
    <w:p w14:paraId="5D85609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基金管理人更换被授权人、更改或终止对被授权人的授权，应当至少提前一个工作日</w:t>
      </w:r>
      <w:r w:rsidRPr="008C6BAB">
        <w:rPr>
          <w:rFonts w:ascii="宋体" w:hAnsi="宋体" w:hint="eastAsia"/>
          <w:sz w:val="24"/>
          <w:szCs w:val="24"/>
        </w:rPr>
        <w:t>书面</w:t>
      </w:r>
      <w:r w:rsidRPr="008C6BAB">
        <w:rPr>
          <w:rFonts w:ascii="宋体" w:hAnsi="宋体" w:cs="宋体" w:hint="eastAsia"/>
          <w:color w:val="000000"/>
          <w:sz w:val="24"/>
          <w:szCs w:val="24"/>
        </w:rPr>
        <w:t>通知基金托管人，同时基金管理人向基金托管人提供新的被授权人的姓名、权限、预留印鉴和签字样本。基金托管人在收到授权文件原件并经电话与基金管理人确认后，授权文件即生效。被授权人变更通知生效前，基金托管人仍应按原约定执行指令，基金管理人不得否认其效力。</w:t>
      </w:r>
    </w:p>
    <w:p w14:paraId="60D6511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基金托管人更换接受基金管理人指令的人员，应提前书面通知基金管理人并电话确认。</w:t>
      </w:r>
    </w:p>
    <w:p w14:paraId="18F11AC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（八）其他事项</w:t>
      </w:r>
    </w:p>
    <w:p w14:paraId="749DD63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在接收指令时，应对指令的要素是否齐全、印鉴与被授权人是否与预留的授权文件内容相符进行检查，如发现问题，应及时报告基金管理人。基金托管人对正确执行基金管理人的合法指令对基金财产造成的损失不承担赔偿责任；基金托管人</w:t>
      </w:r>
      <w:r w:rsidRPr="008C6BAB">
        <w:rPr>
          <w:rFonts w:ascii="宋体" w:hAnsi="宋体" w:hint="eastAsia"/>
          <w:sz w:val="24"/>
          <w:szCs w:val="24"/>
        </w:rPr>
        <w:t>无正当理由</w:t>
      </w:r>
      <w:r w:rsidRPr="008C6BAB">
        <w:rPr>
          <w:rFonts w:ascii="宋体" w:hAnsi="宋体" w:cs="宋体" w:hint="eastAsia"/>
          <w:color w:val="000000"/>
          <w:sz w:val="24"/>
          <w:szCs w:val="24"/>
        </w:rPr>
        <w:t>未执行或未及时执行基金管理人的合法指</w:t>
      </w:r>
      <w:r w:rsidRPr="008C6BAB">
        <w:rPr>
          <w:rFonts w:ascii="宋体" w:hAnsi="宋体" w:cs="宋体" w:hint="eastAsia"/>
          <w:color w:val="000000"/>
          <w:sz w:val="24"/>
          <w:szCs w:val="24"/>
        </w:rPr>
        <w:lastRenderedPageBreak/>
        <w:t>令，导致基金财产遭受损失的，由基金托管人赔偿由此造成的直接损失。</w:t>
      </w:r>
    </w:p>
    <w:p w14:paraId="66307245" w14:textId="77777777" w:rsidR="00006FD1" w:rsidRPr="008C6BAB" w:rsidRDefault="00006FD1">
      <w:pPr>
        <w:spacing w:line="360" w:lineRule="auto"/>
        <w:ind w:firstLine="480"/>
        <w:rPr>
          <w:rFonts w:ascii="仿宋" w:eastAsia="仿宋" w:hAnsi="仿宋"/>
          <w:color w:val="000000"/>
          <w:sz w:val="24"/>
          <w:szCs w:val="24"/>
        </w:rPr>
      </w:pPr>
    </w:p>
    <w:p w14:paraId="6B9C9D00"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12" w:name="_Toc264617147"/>
      <w:r w:rsidRPr="008C6BAB">
        <w:rPr>
          <w:rFonts w:ascii="宋体" w:hAnsi="宋体" w:hint="eastAsia"/>
          <w:bCs w:val="0"/>
          <w:color w:val="000000"/>
          <w:sz w:val="30"/>
          <w:szCs w:val="30"/>
        </w:rPr>
        <w:lastRenderedPageBreak/>
        <w:t>七、交易及清算交收安排</w:t>
      </w:r>
      <w:bookmarkEnd w:id="12"/>
    </w:p>
    <w:p w14:paraId="72400454"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（一）选择代理证券买卖的证券经营机构</w:t>
      </w:r>
    </w:p>
    <w:p w14:paraId="1CF30A1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应设计选择代理证券买卖的证券经营机构的标准和程序。基金管理人负责选择证券经营机构，租用其交易单元作为基金的交易单元。基金管理人和被选中的证券经营机构签订委托协议，基金管理人应提前通知基金托管人，并将被选中证券经营机构提供的《基金用户交易单位变更申请书》及时送达基金托管人，确保基金托管人申请接收结算数据。交易单元保证金由被选中的证券经营机构交付。基金管理人应根据有关规定，在基金的</w:t>
      </w:r>
      <w:r w:rsidRPr="008C6BAB">
        <w:rPr>
          <w:rFonts w:ascii="宋体" w:hAnsi="宋体" w:hint="eastAsia"/>
          <w:sz w:val="24"/>
          <w:szCs w:val="24"/>
        </w:rPr>
        <w:t>中期</w:t>
      </w:r>
      <w:r w:rsidRPr="008C6BAB">
        <w:rPr>
          <w:rFonts w:ascii="宋体" w:hAnsi="宋体" w:cs="宋体" w:hint="eastAsia"/>
          <w:color w:val="000000"/>
          <w:sz w:val="24"/>
          <w:szCs w:val="24"/>
        </w:rPr>
        <w:t>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32D807A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（二）基金投资证券后的清算交收安排</w:t>
      </w:r>
    </w:p>
    <w:p w14:paraId="24A9601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1．清算与交割</w:t>
      </w:r>
    </w:p>
    <w:p w14:paraId="10D81977" w14:textId="09D80A64"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根据《中国证券登记结算有限责任公司结算备付金管理办法》，在每月前2个工作日内，中国证券登记结算有限责任公司对结算参与人的最低结算备付金限额进行重新核算、调整。基金托管人在中国证券登记结算有限责任公司调整最低结算备付金当日，在资金流量表中反映最低备付金调整的情况。基金管理人应预留最低备付金，并根据中国证券登记结算有限责任公司确定的实际下月最低备付金数据为依据安排资金运作，调整所需的现金头寸。</w:t>
      </w:r>
    </w:p>
    <w:p w14:paraId="4D55AC2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根据《中国证券登记结算有限责任公司证券结算保证金管理办法》，在每月前2个营业日内，中国证券登记结算有限责任公司对结算参与人的结算保证金进行调整，基金托管人在调整当日，在资金流量表中反映结算保证金的调整情况，基金管理人应预留足够头寸。</w:t>
      </w:r>
    </w:p>
    <w:p w14:paraId="6ABAC17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99CD5E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如果因为基金托管人自身原因在清算上造成基金财产的损失，应由基金托管人负责赔偿；如果因为基金管理人未事先通知基金托管人增加交易单元等事</w:t>
      </w:r>
      <w:r w:rsidRPr="008C6BAB">
        <w:rPr>
          <w:rFonts w:ascii="宋体" w:hAnsi="宋体" w:cs="宋体" w:hint="eastAsia"/>
          <w:color w:val="000000"/>
          <w:sz w:val="24"/>
          <w:szCs w:val="24"/>
        </w:rPr>
        <w:lastRenderedPageBreak/>
        <w:t>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等原因造成基金投资清算困难和风险的，基金托管人发现后应立即通知基金管理人，由基金管理人负责解决，并确保于交收日11点前完成融资，</w:t>
      </w:r>
      <w:r w:rsidRPr="008C6BAB">
        <w:rPr>
          <w:rFonts w:ascii="Arial" w:hAnsi="Arial" w:cs="Arial"/>
          <w:sz w:val="24"/>
        </w:rPr>
        <w:t>并及时补足欠库券</w:t>
      </w:r>
      <w:r w:rsidRPr="008C6BAB">
        <w:rPr>
          <w:rFonts w:ascii="Arial" w:hAnsi="Arial" w:cs="Arial" w:hint="eastAsia"/>
          <w:sz w:val="24"/>
        </w:rPr>
        <w:t>,</w:t>
      </w:r>
      <w:r w:rsidRPr="008C6BAB">
        <w:rPr>
          <w:rFonts w:ascii="宋体" w:hAnsi="宋体" w:cs="宋体" w:hint="eastAsia"/>
          <w:color w:val="000000"/>
          <w:sz w:val="24"/>
          <w:szCs w:val="24"/>
        </w:rPr>
        <w:t>用以完成清算交收，基金托管人应给予必要的配合，由此给基金托管人、本基金造成的直接损失由基金管理人承担。</w:t>
      </w:r>
    </w:p>
    <w:p w14:paraId="30C62F45" w14:textId="7BFE8620"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基金管理人应采取合理措施，确保在T+1日上午</w:t>
      </w:r>
      <w:r w:rsidRPr="008C6BAB">
        <w:rPr>
          <w:rFonts w:ascii="宋体" w:hAnsi="宋体" w:cs="宋体"/>
          <w:color w:val="000000"/>
          <w:sz w:val="24"/>
          <w:szCs w:val="24"/>
        </w:rPr>
        <w:t>12</w:t>
      </w:r>
      <w:r w:rsidRPr="008C6BAB">
        <w:rPr>
          <w:rFonts w:ascii="宋体" w:hAnsi="宋体" w:cs="宋体" w:hint="eastAsia"/>
          <w:color w:val="000000"/>
          <w:sz w:val="24"/>
          <w:szCs w:val="24"/>
        </w:rPr>
        <w:t>:00前有足够的资金头寸用于中国证券登记结算有限责任公司上海分公司和深圳分公司的资金结算。</w:t>
      </w:r>
    </w:p>
    <w:p w14:paraId="3E1040A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中国证券登记结算有限责任公司上海分公司目前实行</w:t>
      </w:r>
      <w:r w:rsidRPr="008C6BAB">
        <w:rPr>
          <w:rFonts w:ascii="宋体" w:hAnsi="宋体" w:cs="宋体"/>
          <w:color w:val="000000"/>
          <w:sz w:val="24"/>
          <w:szCs w:val="24"/>
        </w:rPr>
        <w:t>T</w:t>
      </w:r>
      <w:r w:rsidRPr="008C6BAB">
        <w:rPr>
          <w:rFonts w:ascii="宋体" w:hAnsi="宋体" w:cs="宋体" w:hint="eastAsia"/>
          <w:color w:val="000000"/>
          <w:sz w:val="24"/>
          <w:szCs w:val="24"/>
        </w:rPr>
        <w:t>＋</w:t>
      </w:r>
      <w:r w:rsidRPr="008C6BAB">
        <w:rPr>
          <w:rFonts w:ascii="宋体" w:hAnsi="宋体" w:cs="宋体"/>
          <w:color w:val="000000"/>
          <w:sz w:val="24"/>
          <w:szCs w:val="24"/>
        </w:rPr>
        <w:t>0</w:t>
      </w:r>
      <w:r w:rsidRPr="008C6BAB">
        <w:rPr>
          <w:rFonts w:ascii="宋体" w:hAnsi="宋体" w:cs="宋体" w:hint="eastAsia"/>
          <w:color w:val="000000"/>
          <w:sz w:val="24"/>
          <w:szCs w:val="24"/>
        </w:rPr>
        <w:t>预交收制度，因此基金管理人须于</w:t>
      </w:r>
      <w:r w:rsidRPr="008C6BAB">
        <w:rPr>
          <w:rFonts w:ascii="宋体" w:hAnsi="宋体" w:cs="宋体"/>
          <w:color w:val="000000"/>
          <w:sz w:val="24"/>
          <w:szCs w:val="24"/>
        </w:rPr>
        <w:t>T</w:t>
      </w:r>
      <w:r w:rsidRPr="008C6BAB">
        <w:rPr>
          <w:rFonts w:ascii="宋体" w:hAnsi="宋体" w:cs="宋体" w:hint="eastAsia"/>
          <w:color w:val="000000"/>
          <w:sz w:val="24"/>
          <w:szCs w:val="24"/>
        </w:rPr>
        <w:t>日</w:t>
      </w:r>
      <w:r w:rsidRPr="008C6BAB">
        <w:rPr>
          <w:rFonts w:ascii="宋体" w:hAnsi="宋体" w:cs="宋体"/>
          <w:color w:val="000000"/>
          <w:sz w:val="24"/>
          <w:szCs w:val="24"/>
        </w:rPr>
        <w:t>15</w:t>
      </w:r>
      <w:r w:rsidRPr="008C6BAB">
        <w:rPr>
          <w:rFonts w:ascii="宋体" w:hAnsi="宋体" w:cs="宋体" w:hint="eastAsia"/>
          <w:color w:val="000000"/>
          <w:sz w:val="24"/>
          <w:szCs w:val="24"/>
        </w:rPr>
        <w:t>：</w:t>
      </w:r>
      <w:r w:rsidRPr="008C6BAB">
        <w:rPr>
          <w:rFonts w:ascii="宋体" w:hAnsi="宋体" w:cs="宋体"/>
          <w:color w:val="000000"/>
          <w:sz w:val="24"/>
          <w:szCs w:val="24"/>
        </w:rPr>
        <w:t>30</w:t>
      </w:r>
      <w:r w:rsidRPr="008C6BAB">
        <w:rPr>
          <w:rFonts w:ascii="宋体" w:hAnsi="宋体" w:cs="宋体" w:hint="eastAsia"/>
          <w:color w:val="000000"/>
          <w:sz w:val="24"/>
          <w:szCs w:val="24"/>
        </w:rPr>
        <w:t>之前备足当日上海市场交易担保交收需支付的资金头寸，以便基金托管人履行</w:t>
      </w:r>
      <w:r w:rsidRPr="008C6BAB">
        <w:rPr>
          <w:rFonts w:ascii="宋体" w:hAnsi="宋体" w:cs="宋体"/>
          <w:color w:val="000000"/>
          <w:sz w:val="24"/>
          <w:szCs w:val="24"/>
        </w:rPr>
        <w:t>T</w:t>
      </w:r>
      <w:r w:rsidRPr="008C6BAB">
        <w:rPr>
          <w:rFonts w:ascii="宋体" w:hAnsi="宋体" w:cs="宋体" w:hint="eastAsia"/>
          <w:color w:val="000000"/>
          <w:sz w:val="24"/>
          <w:szCs w:val="24"/>
        </w:rPr>
        <w:t>＋</w:t>
      </w:r>
      <w:r w:rsidRPr="008C6BAB">
        <w:rPr>
          <w:rFonts w:ascii="宋体" w:hAnsi="宋体" w:cs="宋体"/>
          <w:color w:val="000000"/>
          <w:sz w:val="24"/>
          <w:szCs w:val="24"/>
        </w:rPr>
        <w:t>0</w:t>
      </w:r>
      <w:r w:rsidRPr="008C6BAB">
        <w:rPr>
          <w:rFonts w:ascii="宋体" w:hAnsi="宋体" w:cs="宋体" w:hint="eastAsia"/>
          <w:color w:val="000000"/>
          <w:sz w:val="24"/>
          <w:szCs w:val="24"/>
        </w:rPr>
        <w:t>预交收职责；若有大宗交易，基金管理人还需于</w:t>
      </w:r>
      <w:r w:rsidRPr="008C6BAB">
        <w:rPr>
          <w:rFonts w:ascii="宋体" w:hAnsi="宋体" w:cs="宋体"/>
          <w:color w:val="000000"/>
          <w:sz w:val="24"/>
          <w:szCs w:val="24"/>
        </w:rPr>
        <w:t>T</w:t>
      </w:r>
      <w:r w:rsidRPr="008C6BAB">
        <w:rPr>
          <w:rFonts w:ascii="宋体" w:hAnsi="宋体" w:cs="宋体" w:hint="eastAsia"/>
          <w:color w:val="000000"/>
          <w:sz w:val="24"/>
          <w:szCs w:val="24"/>
        </w:rPr>
        <w:t>日</w:t>
      </w:r>
      <w:r w:rsidRPr="008C6BAB">
        <w:rPr>
          <w:rFonts w:ascii="宋体" w:hAnsi="宋体" w:cs="宋体"/>
          <w:color w:val="000000"/>
          <w:sz w:val="24"/>
          <w:szCs w:val="24"/>
        </w:rPr>
        <w:t>15</w:t>
      </w:r>
      <w:r w:rsidRPr="008C6BAB">
        <w:rPr>
          <w:rFonts w:ascii="宋体" w:hAnsi="宋体" w:cs="宋体" w:hint="eastAsia"/>
          <w:color w:val="000000"/>
          <w:sz w:val="24"/>
          <w:szCs w:val="24"/>
        </w:rPr>
        <w:t>：</w:t>
      </w:r>
      <w:r w:rsidRPr="008C6BAB">
        <w:rPr>
          <w:rFonts w:ascii="宋体" w:hAnsi="宋体" w:cs="宋体"/>
          <w:color w:val="000000"/>
          <w:sz w:val="24"/>
          <w:szCs w:val="24"/>
        </w:rPr>
        <w:t>30</w:t>
      </w:r>
      <w:r w:rsidRPr="008C6BAB">
        <w:rPr>
          <w:rFonts w:ascii="宋体" w:hAnsi="宋体" w:cs="宋体" w:hint="eastAsia"/>
          <w:color w:val="000000"/>
          <w:sz w:val="24"/>
          <w:szCs w:val="24"/>
        </w:rPr>
        <w:t>之前通知基金托管人交易金额。若由于基金管理人的原因导致预交收失败，由此引起的后果由基金管理人承担。基金管理人应采取合理措施，确保在</w:t>
      </w:r>
      <w:r w:rsidRPr="008C6BAB">
        <w:rPr>
          <w:rFonts w:ascii="宋体" w:hAnsi="宋体" w:cs="宋体"/>
          <w:color w:val="000000"/>
          <w:sz w:val="24"/>
          <w:szCs w:val="24"/>
        </w:rPr>
        <w:t>T</w:t>
      </w:r>
      <w:r w:rsidRPr="008C6BAB">
        <w:rPr>
          <w:rFonts w:ascii="宋体" w:hAnsi="宋体" w:cs="宋体" w:hint="eastAsia"/>
          <w:color w:val="000000"/>
          <w:sz w:val="24"/>
          <w:szCs w:val="24"/>
        </w:rPr>
        <w:t>日日终有足够的资金头寸用于</w:t>
      </w:r>
      <w:r w:rsidRPr="008C6BAB">
        <w:rPr>
          <w:rFonts w:ascii="宋体" w:hAnsi="宋体" w:cs="宋体"/>
          <w:color w:val="000000"/>
          <w:sz w:val="24"/>
          <w:szCs w:val="24"/>
        </w:rPr>
        <w:t>T</w:t>
      </w:r>
      <w:r w:rsidRPr="008C6BAB">
        <w:rPr>
          <w:rFonts w:ascii="宋体" w:hAnsi="宋体" w:cs="宋体" w:hint="eastAsia"/>
          <w:color w:val="000000"/>
          <w:sz w:val="24"/>
          <w:szCs w:val="24"/>
        </w:rPr>
        <w:t>＋</w:t>
      </w:r>
      <w:r w:rsidRPr="008C6BAB">
        <w:rPr>
          <w:rFonts w:ascii="宋体" w:hAnsi="宋体" w:cs="宋体"/>
          <w:color w:val="000000"/>
          <w:sz w:val="24"/>
          <w:szCs w:val="24"/>
        </w:rPr>
        <w:t>1</w:t>
      </w:r>
      <w:r w:rsidRPr="008C6BAB">
        <w:rPr>
          <w:rFonts w:ascii="宋体" w:hAnsi="宋体" w:cs="宋体" w:hint="eastAsia"/>
          <w:color w:val="000000"/>
          <w:sz w:val="24"/>
          <w:szCs w:val="24"/>
        </w:rPr>
        <w:t>日中国证券登记结算有限责任公司上海分公司和深圳分公司的资金结算。若由于基金管理人的原因导致基金托管人交收失败，由此引起的后果由基金管理人承担。若结算机构的交收规则发生变化，基金托管人和基金管理人应根据新的交收规则作出相应变动，基金管理人应配合基金托管人为完成交收提供必要的帮助。</w:t>
      </w:r>
    </w:p>
    <w:p w14:paraId="108E5284" w14:textId="57195A1C"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非担保交收业务的交易告知。非担保交收业务是指中国证券登记结算有限责任公司上海分公司组织交易双方根据业务规则规定或双方约定的结算模式完成交收，中国证券登记结算有限责任公司不作为双方的共同对手方，不提供交收担保。为确保非担保交收业务的正常交收，基金管理人务必高度重视此类业务交易告知的重要性，即于发生国债买断式回购到期购回、大宗专场、专项资产管理计划转让以及通过深圳综合协议平台的公司债转让等非担保交收业务，基金管理人应于交易当日及时将该交易书面告知基金托管人并进行电话确认。其中通过深圳综合协议平台达成的公司债转让交易告知时间为申报当日15:30；其余产品非担保交易告知截止时点为交易当日17:00。</w:t>
      </w:r>
    </w:p>
    <w:p w14:paraId="3F005CBB" w14:textId="77777777" w:rsidR="00006FD1" w:rsidRPr="008C6BAB" w:rsidRDefault="00056933">
      <w:pPr>
        <w:spacing w:line="360" w:lineRule="auto"/>
        <w:ind w:firstLine="480"/>
        <w:rPr>
          <w:rStyle w:val="af9"/>
          <w:szCs w:val="24"/>
        </w:rPr>
      </w:pPr>
      <w:r w:rsidRPr="008C6BAB">
        <w:rPr>
          <w:rFonts w:ascii="宋体" w:hAnsi="宋体" w:cs="宋体" w:hint="eastAsia"/>
          <w:color w:val="000000"/>
          <w:sz w:val="24"/>
          <w:szCs w:val="24"/>
        </w:rPr>
        <w:t>通过深圳综合协议平台的公司债，结算方式为逐笔全额非担保交收，最终</w:t>
      </w:r>
      <w:r w:rsidRPr="008C6BAB">
        <w:rPr>
          <w:rFonts w:ascii="宋体" w:hAnsi="宋体" w:cs="宋体" w:hint="eastAsia"/>
          <w:color w:val="000000"/>
          <w:sz w:val="24"/>
          <w:szCs w:val="24"/>
        </w:rPr>
        <w:lastRenderedPageBreak/>
        <w:t>交收时点为T日16:00，因此基金管理人应于T日15:30分之前向基金托管人发送非担保交收债券的买入指令。</w:t>
      </w:r>
    </w:p>
    <w:p w14:paraId="0BF2566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应保证基金托管人在执行基金管理人发送的划款指令时，基金托管专户或资金交收账户（除登记公司收保或冻结资金外）上有充足的资金。基金的资金头寸不足时，基金托管人有权拒绝基金管理人发送的划款指令，但应及时通知基金管理人。基金管理人在发送划款指令时应充分考虑基金托管人的划款处理时间（该必需的时间不长于正常情况下基金托管人日常处理该指令所用的平均时间）。在基金资金头寸充足的情况下，基金托管人对基金管理人符合法律法规、</w:t>
      </w:r>
      <w:r w:rsidRPr="008C6BAB">
        <w:rPr>
          <w:rFonts w:ascii="宋体" w:hAnsi="宋体" w:cs="宋体"/>
          <w:color w:val="000000"/>
          <w:sz w:val="24"/>
          <w:szCs w:val="24"/>
        </w:rPr>
        <w:t>基金合同</w:t>
      </w:r>
      <w:r w:rsidRPr="008C6BAB">
        <w:rPr>
          <w:rFonts w:ascii="宋体" w:hAnsi="宋体" w:cs="宋体" w:hint="eastAsia"/>
          <w:color w:val="000000"/>
          <w:sz w:val="24"/>
          <w:szCs w:val="24"/>
        </w:rPr>
        <w:t>、本协议的指令不得拖延或拒绝执行。</w:t>
      </w:r>
    </w:p>
    <w:p w14:paraId="6AE9EA3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若由于结算机构的交收规则发生变化，基金托管人和基金管理人应根据新的交收规则作出相应变动，基金管理人应配合基金托管人为完成交收提供必要的帮助。</w:t>
      </w:r>
    </w:p>
    <w:p w14:paraId="2ACBF5D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2．交易记录、资金和证券账目核对的时间和方式</w:t>
      </w:r>
    </w:p>
    <w:p w14:paraId="6DA1E35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（1）交易记录的核对</w:t>
      </w:r>
    </w:p>
    <w:p w14:paraId="769B2B9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与基金托管人按日进行交易记录的核对。对外披露净值之前，基金管理人必须保证当天所有实际交易记录与基金会计账簿上的交易记录完全一致。如果实际交易记录与会计账簿记录不一致，造成基金会计核算不完整或不真实，由此导致的损失由责任方承担。</w:t>
      </w:r>
    </w:p>
    <w:p w14:paraId="39E50A1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（2）资金账目的核对</w:t>
      </w:r>
    </w:p>
    <w:p w14:paraId="22BFF48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资金账目按日核实。</w:t>
      </w:r>
    </w:p>
    <w:p w14:paraId="3914F4C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（3）证券账目的核对</w:t>
      </w:r>
    </w:p>
    <w:p w14:paraId="73FE407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基金管理人和基金托管人每交易日结束后核对基金证券账目，确保双方账目相符。基金管理人和基金托管人每月月末核对实物证券账目。</w:t>
      </w:r>
    </w:p>
    <w:p w14:paraId="7BFB0EF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（三）基金申购和赎回业务处理的基本规定</w:t>
      </w:r>
    </w:p>
    <w:p w14:paraId="6979BA0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1．基金份额申购、赎回的确认、清算由基金管理人或其委托的登记机构负责。</w:t>
      </w:r>
    </w:p>
    <w:p w14:paraId="7DE25D1B" w14:textId="7EB08EAC"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2．基金管理人应将每个开放日的申购、赎回、转换</w:t>
      </w:r>
      <w:r w:rsidR="002F1287">
        <w:rPr>
          <w:rFonts w:ascii="宋体" w:hAnsi="宋体" w:cs="宋体" w:hint="eastAsia"/>
          <w:color w:val="000000"/>
          <w:sz w:val="24"/>
          <w:szCs w:val="24"/>
        </w:rPr>
        <w:t>本</w:t>
      </w:r>
      <w:r w:rsidRPr="008C6BAB">
        <w:rPr>
          <w:rFonts w:ascii="宋体" w:hAnsi="宋体" w:cs="宋体" w:hint="eastAsia"/>
          <w:color w:val="000000"/>
          <w:sz w:val="24"/>
          <w:szCs w:val="24"/>
        </w:rPr>
        <w:t>基金的数据传送给基金托管人。基金管理人应对传递的申购、赎回、转换</w:t>
      </w:r>
      <w:r w:rsidR="002F1287">
        <w:rPr>
          <w:rFonts w:ascii="宋体" w:hAnsi="宋体" w:cs="宋体" w:hint="eastAsia"/>
          <w:color w:val="000000"/>
          <w:sz w:val="24"/>
          <w:szCs w:val="24"/>
        </w:rPr>
        <w:t>本</w:t>
      </w:r>
      <w:r w:rsidRPr="008C6BAB">
        <w:rPr>
          <w:rFonts w:ascii="宋体" w:hAnsi="宋体" w:cs="宋体" w:hint="eastAsia"/>
          <w:color w:val="000000"/>
          <w:sz w:val="24"/>
          <w:szCs w:val="24"/>
        </w:rPr>
        <w:t>基金的数据真实性负责。基金托管人应及时查收申购及转入资金的到账情况并根据基金管理人指令</w:t>
      </w:r>
      <w:r w:rsidRPr="008C6BAB">
        <w:rPr>
          <w:rFonts w:ascii="宋体" w:hAnsi="宋体" w:cs="宋体" w:hint="eastAsia"/>
          <w:color w:val="000000"/>
          <w:sz w:val="24"/>
          <w:szCs w:val="24"/>
        </w:rPr>
        <w:lastRenderedPageBreak/>
        <w:t>及时划付赎回及转出款项。</w:t>
      </w:r>
    </w:p>
    <w:p w14:paraId="701AC85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3．基金管理人应保证本基金的登记机构在工作日15:00前向基金托管人发送前一开放日上述有关数据，并保证相关数据的准确、完整。</w:t>
      </w:r>
    </w:p>
    <w:p w14:paraId="4E84DBC4"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4．基金管理人或其委托登记机构应通过与基金托管人建立的数据传输系统发送有关数据（包括电子数据和盖章生效的纸制清算汇总表），如因各种原因，该系统无法正常发送，双方可协商解决处理方式。基金管理人向基金托管人发送的数据，双方各自按有关规定保存。</w:t>
      </w:r>
    </w:p>
    <w:p w14:paraId="59EFDB8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5．关于清算专用账户的设立和管理</w:t>
      </w:r>
    </w:p>
    <w:p w14:paraId="61C57E0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为满足申购、赎回及分红资金汇划的需要，由基金管理人开立资金清算的专用账户，该账户由登记机构管理。</w:t>
      </w:r>
    </w:p>
    <w:p w14:paraId="7081481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6．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在合理范围内予以必要的协助与配合。</w:t>
      </w:r>
    </w:p>
    <w:p w14:paraId="2AB7308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7．赎回和分红资金划拨规定</w:t>
      </w:r>
    </w:p>
    <w:p w14:paraId="50CDC89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拨付赎回款或进行基金分红时，如基金资金账户有足够的资金，基金托管人应按时拨付；因基金资金账户没有足够的资金，导致基金托管人不能按时拨付，基金托管人不承担垫款义务。</w:t>
      </w:r>
    </w:p>
    <w:p w14:paraId="01962ED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8．资金指令</w:t>
      </w:r>
    </w:p>
    <w:p w14:paraId="7990A97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除申购款项到达基金资金账户需双方按约定方式对账外，回购到期付款和与投资有关的付款、赎回和分红资金划拨时，基金管理人需向基金托管人下达指令。</w:t>
      </w:r>
    </w:p>
    <w:p w14:paraId="3DC29B5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资金指令的格式、内容、发送、接收和确认方式等与投资指令相同。</w:t>
      </w:r>
    </w:p>
    <w:p w14:paraId="6DCD4A50" w14:textId="02A2CAD4"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（四）开放式基金申购、赎回和基金转换的资金清算</w:t>
      </w:r>
    </w:p>
    <w:p w14:paraId="77A8E1BC" w14:textId="6EBDD84B"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账户与基金管理人开立的“基金清算账户”间的资金结算遵循“全额清算、净额交收”的原则，每个开放日按照托管账户应收资金与应付资金的差额来确定托管账户净应收额或净应付额，以此确定资金交收额。当存在托管账户净应收额时，基金管理人应在交收日15:00之前从基金清算账户划到</w:t>
      </w:r>
      <w:r w:rsidRPr="008C6BAB">
        <w:rPr>
          <w:rFonts w:ascii="宋体" w:hAnsi="宋体" w:cs="宋体" w:hint="eastAsia"/>
          <w:color w:val="000000"/>
          <w:sz w:val="24"/>
          <w:szCs w:val="24"/>
        </w:rPr>
        <w:lastRenderedPageBreak/>
        <w:t>基金托管账户，基金托管人在资金到账后应立即通知基金管理人，并将有关书面凭证传真给基金管理人进行账务管理；当存在托管账户净应付额时，基金管理人应提前一个工作日将划款指令发送给基金托管人，基金托管人按基金管理人的划款指令将托管账户净应付额在交收日12:00之前划往基金清算账户，基金托管人在资金划出后立即通知基金管理人，并将有关书面凭证交给基金管理人进行账务管理。</w:t>
      </w:r>
    </w:p>
    <w:p w14:paraId="24E8E11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当存在托管账户净应付额时，如基金托管专户有足够的资金，基金托管人应按时拨付；因基金托管专户没有足够的资金，导致基金托管人不能按时拨付，基金托管人应及时通知基金管理人，基金托管人不承担垫款义务。</w:t>
      </w:r>
    </w:p>
    <w:p w14:paraId="1510B3B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（五）基金转换</w:t>
      </w:r>
    </w:p>
    <w:p w14:paraId="3CCBEE7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1．在本基金与基金管理人管理的其它基金开展转换业务之前，基金管理人应函告基金托管人并就相关事宜进行协商。</w:t>
      </w:r>
    </w:p>
    <w:p w14:paraId="76891E4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2．基金托管人将根据基金管理人传送的基金转换数据进行账务处理，具体资金清算和数据传递的时间、程序及托管协议当事人承担的权责按基金管理人届时的公告执行。</w:t>
      </w:r>
    </w:p>
    <w:p w14:paraId="055B8714"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3．本基金开展基金转换业务应按相关法律法规规定及</w:t>
      </w:r>
      <w:r w:rsidRPr="008C6BAB">
        <w:rPr>
          <w:rFonts w:ascii="宋体" w:hAnsi="宋体" w:cs="宋体"/>
          <w:color w:val="000000"/>
          <w:sz w:val="24"/>
          <w:szCs w:val="24"/>
        </w:rPr>
        <w:t>基金合同</w:t>
      </w:r>
      <w:r w:rsidRPr="008C6BAB">
        <w:rPr>
          <w:rFonts w:ascii="宋体" w:hAnsi="宋体" w:cs="宋体" w:hint="eastAsia"/>
          <w:color w:val="000000"/>
          <w:sz w:val="24"/>
          <w:szCs w:val="24"/>
        </w:rPr>
        <w:t>的约定进行公告。</w:t>
      </w:r>
    </w:p>
    <w:p w14:paraId="2359B25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（六）基金现金分红</w:t>
      </w:r>
    </w:p>
    <w:p w14:paraId="431C075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1．基金管理人确定分红方案通知基金托管人，双方核定后，</w:t>
      </w:r>
      <w:r w:rsidRPr="008C6BAB">
        <w:rPr>
          <w:rFonts w:ascii="宋体" w:hAnsi="宋体"/>
          <w:sz w:val="24"/>
          <w:szCs w:val="24"/>
        </w:rPr>
        <w:t>基金管理人</w:t>
      </w:r>
      <w:r w:rsidRPr="008C6BAB">
        <w:rPr>
          <w:rFonts w:ascii="宋体" w:hAnsi="宋体" w:cs="宋体" w:hint="eastAsia"/>
          <w:color w:val="000000"/>
          <w:sz w:val="24"/>
          <w:szCs w:val="24"/>
        </w:rPr>
        <w:t>依照《信息披露办法》的有关规定在中国证监会规定媒介上公告。</w:t>
      </w:r>
    </w:p>
    <w:p w14:paraId="2552EDAD" w14:textId="041FA019"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2．基金托管人和基金管理人对基金分红进行账务处理并核对后，基金管理人向基金托管人发送现金红利的划款指令，基金托管人应在交收日12:00之前将资金划入专用账户。</w:t>
      </w:r>
    </w:p>
    <w:p w14:paraId="7974C17D" w14:textId="77777777" w:rsidR="00006FD1" w:rsidRPr="008C6BAB" w:rsidRDefault="00056933">
      <w:pPr>
        <w:spacing w:line="360" w:lineRule="auto"/>
        <w:ind w:firstLine="480"/>
        <w:rPr>
          <w:rFonts w:ascii="仿宋" w:eastAsia="仿宋" w:hAnsi="仿宋"/>
          <w:color w:val="000000"/>
          <w:sz w:val="24"/>
          <w:szCs w:val="24"/>
        </w:rPr>
      </w:pPr>
      <w:r w:rsidRPr="008C6BAB">
        <w:rPr>
          <w:rFonts w:ascii="宋体" w:hAnsi="宋体" w:cs="宋体" w:hint="eastAsia"/>
          <w:color w:val="000000"/>
          <w:sz w:val="24"/>
          <w:szCs w:val="24"/>
        </w:rPr>
        <w:t>3．基金管理人在下达指令时，应给基金托管人留出必需的划款时间。</w:t>
      </w:r>
    </w:p>
    <w:p w14:paraId="0F2FC8BB" w14:textId="77777777" w:rsidR="00006FD1" w:rsidRPr="008C6BAB" w:rsidRDefault="00006FD1">
      <w:pPr>
        <w:spacing w:line="360" w:lineRule="auto"/>
        <w:ind w:firstLine="480"/>
        <w:rPr>
          <w:rFonts w:ascii="仿宋" w:eastAsia="仿宋" w:hAnsi="仿宋"/>
          <w:color w:val="000000"/>
          <w:sz w:val="24"/>
          <w:szCs w:val="24"/>
        </w:rPr>
      </w:pPr>
    </w:p>
    <w:p w14:paraId="37346C33"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13" w:name="_Toc264617148"/>
      <w:r w:rsidRPr="008C6BAB">
        <w:rPr>
          <w:rFonts w:ascii="宋体" w:hAnsi="宋体" w:hint="eastAsia"/>
          <w:bCs w:val="0"/>
          <w:color w:val="000000"/>
          <w:sz w:val="30"/>
          <w:szCs w:val="30"/>
        </w:rPr>
        <w:lastRenderedPageBreak/>
        <w:t>八、基金资产净值计算和会计核算</w:t>
      </w:r>
      <w:bookmarkEnd w:id="13"/>
    </w:p>
    <w:p w14:paraId="7127B83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（一）基金资产净值的计算、复核与完成的时间及程序</w:t>
      </w:r>
    </w:p>
    <w:p w14:paraId="1BD21D9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1．基金资产净值</w:t>
      </w:r>
    </w:p>
    <w:p w14:paraId="66C547EC" w14:textId="77777777" w:rsidR="00006FD1" w:rsidRPr="008C6BAB" w:rsidRDefault="00056933">
      <w:pPr>
        <w:widowControl/>
        <w:spacing w:line="360" w:lineRule="auto"/>
        <w:ind w:firstLine="480"/>
        <w:rPr>
          <w:rFonts w:ascii="宋体" w:hAnsi="宋体" w:cs="宋体"/>
          <w:color w:val="000000"/>
          <w:sz w:val="24"/>
          <w:szCs w:val="24"/>
        </w:rPr>
      </w:pPr>
      <w:r w:rsidRPr="008C6BAB">
        <w:rPr>
          <w:rFonts w:ascii="宋体" w:hAnsi="宋体" w:cs="宋体" w:hint="eastAsia"/>
          <w:color w:val="000000"/>
          <w:sz w:val="24"/>
        </w:rPr>
        <w:t>基金资产净值是指基金资产总值减去基金负债后的价值。</w:t>
      </w:r>
    </w:p>
    <w:p w14:paraId="3965196D" w14:textId="565E5E69" w:rsidR="00006FD1" w:rsidRPr="008C6BAB" w:rsidRDefault="00056933">
      <w:pPr>
        <w:widowControl/>
        <w:spacing w:line="360" w:lineRule="auto"/>
        <w:ind w:firstLine="480"/>
        <w:rPr>
          <w:rFonts w:ascii="宋体" w:hAnsi="宋体" w:cs="宋体"/>
          <w:bCs/>
          <w:color w:val="000000"/>
          <w:sz w:val="24"/>
        </w:rPr>
      </w:pPr>
      <w:r w:rsidRPr="008C6BAB">
        <w:rPr>
          <w:rFonts w:ascii="宋体" w:hAnsi="宋体" w:cs="宋体" w:hint="eastAsia"/>
          <w:bCs/>
          <w:color w:val="000000"/>
          <w:sz w:val="24"/>
        </w:rPr>
        <w:t>由于基金费用的不同，本基金各类基金份额将分别计算基金份额净值。</w:t>
      </w:r>
      <w:bookmarkStart w:id="14" w:name="_Hlk84700134"/>
      <w:r w:rsidRPr="008C6BAB">
        <w:rPr>
          <w:rFonts w:ascii="宋体" w:hAnsi="宋体" w:cs="宋体" w:hint="eastAsia"/>
          <w:bCs/>
          <w:color w:val="000000"/>
          <w:sz w:val="24"/>
        </w:rPr>
        <w:t>各类基金份额的基金份额净值是按照每个工作日闭市后，</w:t>
      </w:r>
      <w:r w:rsidR="002F1287" w:rsidRPr="002F1287">
        <w:rPr>
          <w:rFonts w:ascii="宋体" w:hAnsi="宋体" w:cs="宋体" w:hint="eastAsia"/>
          <w:bCs/>
          <w:color w:val="000000"/>
          <w:sz w:val="24"/>
        </w:rPr>
        <w:t>任一类</w:t>
      </w:r>
      <w:r w:rsidRPr="008C6BAB">
        <w:rPr>
          <w:rFonts w:ascii="宋体" w:hAnsi="宋体" w:cs="宋体"/>
          <w:bCs/>
          <w:color w:val="000000"/>
          <w:sz w:val="24"/>
        </w:rPr>
        <w:t>基金份额的</w:t>
      </w:r>
      <w:r w:rsidRPr="008C6BAB">
        <w:rPr>
          <w:rFonts w:ascii="宋体" w:hAnsi="宋体" w:cs="宋体" w:hint="eastAsia"/>
          <w:bCs/>
          <w:color w:val="000000"/>
          <w:sz w:val="24"/>
        </w:rPr>
        <w:t>基金资产净值除以当日</w:t>
      </w:r>
      <w:r w:rsidRPr="008C6BAB">
        <w:rPr>
          <w:rFonts w:ascii="宋体" w:hAnsi="宋体" w:cs="宋体"/>
          <w:bCs/>
          <w:color w:val="000000"/>
          <w:sz w:val="24"/>
        </w:rPr>
        <w:t>该</w:t>
      </w:r>
      <w:r w:rsidRPr="008C6BAB">
        <w:rPr>
          <w:rFonts w:ascii="宋体" w:hAnsi="宋体" w:cs="宋体" w:hint="eastAsia"/>
          <w:bCs/>
          <w:color w:val="000000"/>
          <w:sz w:val="24"/>
        </w:rPr>
        <w:t>类基金份额的余额数量计算，精确到</w:t>
      </w:r>
      <w:r w:rsidRPr="008C6BAB">
        <w:rPr>
          <w:rFonts w:ascii="宋体" w:hAnsi="宋体" w:cs="宋体"/>
          <w:bCs/>
          <w:color w:val="000000"/>
          <w:sz w:val="24"/>
        </w:rPr>
        <w:t>0.0001</w:t>
      </w:r>
      <w:r w:rsidRPr="008C6BAB">
        <w:rPr>
          <w:rFonts w:ascii="宋体" w:hAnsi="宋体" w:cs="宋体" w:hint="eastAsia"/>
          <w:bCs/>
          <w:color w:val="000000"/>
          <w:sz w:val="24"/>
        </w:rPr>
        <w:t>元，小数点后第</w:t>
      </w:r>
      <w:r w:rsidRPr="008C6BAB">
        <w:rPr>
          <w:rFonts w:ascii="宋体" w:hAnsi="宋体" w:cs="宋体"/>
          <w:bCs/>
          <w:color w:val="000000"/>
          <w:sz w:val="24"/>
        </w:rPr>
        <w:t>5</w:t>
      </w:r>
      <w:r w:rsidRPr="008C6BAB">
        <w:rPr>
          <w:rFonts w:ascii="宋体" w:hAnsi="宋体" w:cs="宋体" w:hint="eastAsia"/>
          <w:bCs/>
          <w:color w:val="000000"/>
          <w:sz w:val="24"/>
        </w:rPr>
        <w:t>位四舍五入。基金管理人可以设立大额赎回情形下的净值精度应急调整机制</w:t>
      </w:r>
      <w:r w:rsidRPr="008C6BAB">
        <w:rPr>
          <w:rFonts w:ascii="宋体" w:hAnsi="宋体" w:cs="宋体" w:hint="eastAsia"/>
          <w:color w:val="000000"/>
          <w:sz w:val="24"/>
        </w:rPr>
        <w:t>，具体可参见相关公告</w:t>
      </w:r>
      <w:r w:rsidRPr="008C6BAB">
        <w:rPr>
          <w:rFonts w:ascii="宋体" w:hAnsi="宋体" w:cs="宋体" w:hint="eastAsia"/>
          <w:bCs/>
          <w:color w:val="000000"/>
          <w:sz w:val="24"/>
        </w:rPr>
        <w:t>。国家另有规定的，从其规定。</w:t>
      </w:r>
    </w:p>
    <w:p w14:paraId="768D4BA0" w14:textId="4C4D9375" w:rsidR="00006FD1" w:rsidRPr="008C6BAB" w:rsidRDefault="00056933">
      <w:pPr>
        <w:widowControl/>
        <w:spacing w:line="360" w:lineRule="auto"/>
        <w:ind w:firstLine="480"/>
        <w:rPr>
          <w:rFonts w:ascii="宋体" w:hAnsi="宋体" w:cs="宋体"/>
          <w:color w:val="000000"/>
          <w:sz w:val="24"/>
        </w:rPr>
      </w:pPr>
      <w:r w:rsidRPr="008C6BAB">
        <w:rPr>
          <w:rFonts w:ascii="宋体" w:hAnsi="宋体" w:cs="宋体" w:hint="eastAsia"/>
          <w:bCs/>
          <w:color w:val="000000"/>
          <w:sz w:val="24"/>
        </w:rPr>
        <w:t>基金管理人应每个工作日计算各类基金份额的基金资产净值及基金份额净值，并按规定公告。</w:t>
      </w:r>
      <w:bookmarkEnd w:id="14"/>
      <w:r w:rsidRPr="008C6BAB">
        <w:rPr>
          <w:rFonts w:ascii="宋体" w:hAnsi="宋体" w:cs="宋体" w:hint="eastAsia"/>
          <w:color w:val="000000"/>
          <w:sz w:val="24"/>
        </w:rPr>
        <w:t>如遇特殊情况，经履行适当程序，可以适当延迟计算或公告。</w:t>
      </w:r>
    </w:p>
    <w:p w14:paraId="259B41F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2．复核程序</w:t>
      </w:r>
    </w:p>
    <w:p w14:paraId="503DAE77" w14:textId="3FC92EF5" w:rsidR="00006FD1" w:rsidRPr="008C6BAB" w:rsidRDefault="00056933">
      <w:pPr>
        <w:widowControl/>
        <w:spacing w:line="360" w:lineRule="auto"/>
        <w:ind w:firstLine="480"/>
        <w:rPr>
          <w:rFonts w:ascii="宋体" w:hAnsi="宋体" w:cs="宋体"/>
          <w:color w:val="000000"/>
          <w:sz w:val="24"/>
        </w:rPr>
      </w:pPr>
      <w:bookmarkStart w:id="15" w:name="_Hlk84700215"/>
      <w:r w:rsidRPr="008C6BAB">
        <w:rPr>
          <w:rFonts w:hint="eastAsia"/>
          <w:bCs/>
          <w:sz w:val="24"/>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bookmarkEnd w:id="15"/>
    </w:p>
    <w:p w14:paraId="695AE4FE" w14:textId="581BD01F"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w:t>
      </w:r>
      <w:bookmarkStart w:id="16" w:name="_Hlk84700258"/>
      <w:r w:rsidRPr="008C6BAB">
        <w:rPr>
          <w:rFonts w:ascii="宋体" w:hAnsi="宋体" w:cs="宋体" w:hint="eastAsia"/>
          <w:color w:val="000000"/>
          <w:sz w:val="24"/>
          <w:szCs w:val="24"/>
        </w:rPr>
        <w:t>根据有关法律法规，基金净值信息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r w:rsidRPr="008C6BAB">
        <w:rPr>
          <w:rFonts w:ascii="宋体" w:hAnsi="宋体" w:hint="eastAsia"/>
          <w:sz w:val="24"/>
          <w:szCs w:val="24"/>
        </w:rPr>
        <w:t>，基金托管人对该结果不承认</w:t>
      </w:r>
      <w:r w:rsidR="00AA1279">
        <w:rPr>
          <w:rFonts w:ascii="宋体" w:hAnsi="宋体" w:hint="eastAsia"/>
          <w:sz w:val="24"/>
          <w:szCs w:val="24"/>
        </w:rPr>
        <w:t>相应</w:t>
      </w:r>
      <w:r w:rsidRPr="008C6BAB">
        <w:rPr>
          <w:rFonts w:ascii="宋体" w:hAnsi="宋体" w:hint="eastAsia"/>
          <w:sz w:val="24"/>
          <w:szCs w:val="24"/>
        </w:rPr>
        <w:t>责任</w:t>
      </w:r>
      <w:r w:rsidRPr="008C6BAB">
        <w:rPr>
          <w:rFonts w:ascii="宋体" w:hAnsi="宋体" w:cs="宋体" w:hint="eastAsia"/>
          <w:color w:val="000000"/>
          <w:sz w:val="24"/>
          <w:szCs w:val="24"/>
        </w:rPr>
        <w:t>。</w:t>
      </w:r>
    </w:p>
    <w:bookmarkEnd w:id="16"/>
    <w:p w14:paraId="5F0FD55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（二）基金资产估值方法和特殊情形的处理</w:t>
      </w:r>
    </w:p>
    <w:p w14:paraId="7D78481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1．估值对象</w:t>
      </w:r>
    </w:p>
    <w:p w14:paraId="0A7374C1" w14:textId="3E9876A6" w:rsidR="00006FD1" w:rsidRPr="008C6BAB" w:rsidRDefault="00032252">
      <w:pPr>
        <w:spacing w:line="360" w:lineRule="auto"/>
        <w:ind w:firstLine="480"/>
        <w:rPr>
          <w:bCs/>
          <w:sz w:val="24"/>
        </w:rPr>
      </w:pPr>
      <w:r w:rsidRPr="006566C6">
        <w:rPr>
          <w:bCs/>
          <w:sz w:val="24"/>
        </w:rPr>
        <w:t>基金所拥有的债券</w:t>
      </w:r>
      <w:r w:rsidR="002F1287" w:rsidRPr="002F1287">
        <w:rPr>
          <w:rFonts w:hint="eastAsia"/>
          <w:bCs/>
          <w:sz w:val="24"/>
        </w:rPr>
        <w:t>、</w:t>
      </w:r>
      <w:r w:rsidR="002F1287" w:rsidRPr="002F1287">
        <w:rPr>
          <w:bCs/>
          <w:sz w:val="24"/>
        </w:rPr>
        <w:t>资产支持证券</w:t>
      </w:r>
      <w:r w:rsidRPr="006566C6">
        <w:rPr>
          <w:bCs/>
          <w:sz w:val="24"/>
        </w:rPr>
        <w:t>和</w:t>
      </w:r>
      <w:r w:rsidRPr="006566C6">
        <w:rPr>
          <w:rFonts w:hint="eastAsia"/>
          <w:bCs/>
          <w:sz w:val="24"/>
        </w:rPr>
        <w:t>其他投资等持续以公允价值计量的金融资产及负债</w:t>
      </w:r>
      <w:r w:rsidRPr="006566C6">
        <w:rPr>
          <w:bCs/>
          <w:sz w:val="24"/>
        </w:rPr>
        <w:t>。</w:t>
      </w:r>
    </w:p>
    <w:p w14:paraId="2293DBA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2．估值方法</w:t>
      </w:r>
    </w:p>
    <w:p w14:paraId="1064107A" w14:textId="3A57206A" w:rsidR="00032252" w:rsidRPr="006566C6" w:rsidRDefault="00032252" w:rsidP="00032252">
      <w:pPr>
        <w:spacing w:line="360" w:lineRule="auto"/>
        <w:ind w:firstLineChars="200" w:firstLine="480"/>
        <w:rPr>
          <w:bCs/>
          <w:sz w:val="24"/>
        </w:rPr>
      </w:pPr>
      <w:bookmarkStart w:id="17" w:name="_Hlk99477047"/>
      <w:bookmarkStart w:id="18" w:name="_Hlk84700650"/>
      <w:r>
        <w:rPr>
          <w:rFonts w:hint="eastAsia"/>
          <w:bCs/>
          <w:sz w:val="24"/>
        </w:rPr>
        <w:t>（</w:t>
      </w:r>
      <w:r>
        <w:rPr>
          <w:rFonts w:hint="eastAsia"/>
          <w:bCs/>
          <w:sz w:val="24"/>
        </w:rPr>
        <w:t>1</w:t>
      </w:r>
      <w:r>
        <w:rPr>
          <w:rFonts w:hint="eastAsia"/>
          <w:bCs/>
          <w:sz w:val="24"/>
        </w:rPr>
        <w:t>）</w:t>
      </w:r>
      <w:r w:rsidRPr="006566C6">
        <w:rPr>
          <w:bCs/>
          <w:sz w:val="24"/>
        </w:rPr>
        <w:t>证券交易所上市的有价证券的估值</w:t>
      </w:r>
    </w:p>
    <w:p w14:paraId="69D8D6E2" w14:textId="7A0C8AF4" w:rsidR="00032252" w:rsidRPr="006566C6" w:rsidRDefault="00032252" w:rsidP="00032252">
      <w:pPr>
        <w:spacing w:line="360" w:lineRule="auto"/>
        <w:ind w:firstLineChars="200" w:firstLine="480"/>
        <w:rPr>
          <w:bCs/>
          <w:sz w:val="24"/>
        </w:rPr>
      </w:pPr>
      <w:r w:rsidRPr="006566C6">
        <w:rPr>
          <w:rFonts w:hint="eastAsia"/>
          <w:bCs/>
          <w:sz w:val="24"/>
        </w:rPr>
        <w:lastRenderedPageBreak/>
        <w:t>1</w:t>
      </w:r>
      <w:r w:rsidRPr="006566C6">
        <w:rPr>
          <w:rFonts w:hint="eastAsia"/>
          <w:bCs/>
          <w:sz w:val="24"/>
        </w:rPr>
        <w:t>）交易所市场上市交易或挂牌转让的固定收益品种（另有规定的除外），选取第三方估值机构提供的相应品种当日的估值净价进行估值；交易所上市实行全价交易的债券（可转债除外），选取第三方估值机构提供的估值全价减去估值全价中所含的债券应收利息得到的净价进行估值；</w:t>
      </w:r>
    </w:p>
    <w:p w14:paraId="3EB88FA4" w14:textId="47CE7011" w:rsidR="00032252" w:rsidRPr="006566C6" w:rsidRDefault="00032252" w:rsidP="00032252">
      <w:pPr>
        <w:spacing w:line="360" w:lineRule="auto"/>
        <w:ind w:firstLineChars="200" w:firstLine="480"/>
        <w:rPr>
          <w:bCs/>
          <w:sz w:val="24"/>
        </w:rPr>
      </w:pPr>
      <w:r w:rsidRPr="006566C6">
        <w:rPr>
          <w:rFonts w:hint="eastAsia"/>
          <w:bCs/>
          <w:sz w:val="24"/>
        </w:rPr>
        <w:t>2</w:t>
      </w:r>
      <w:r w:rsidRPr="006566C6">
        <w:rPr>
          <w:bCs/>
          <w:sz w:val="24"/>
        </w:rPr>
        <w:t>）交易所上市交易的可转换债券</w:t>
      </w:r>
      <w:r w:rsidRPr="006566C6">
        <w:rPr>
          <w:rFonts w:hint="eastAsia"/>
          <w:bCs/>
          <w:sz w:val="24"/>
        </w:rPr>
        <w:t>以每日收盘价作为估值全价；</w:t>
      </w:r>
    </w:p>
    <w:p w14:paraId="30C86AC4" w14:textId="484DEDD4" w:rsidR="005E3139" w:rsidRDefault="00032252" w:rsidP="00032252">
      <w:pPr>
        <w:spacing w:line="360" w:lineRule="auto"/>
        <w:ind w:firstLineChars="200" w:firstLine="480"/>
        <w:rPr>
          <w:bCs/>
          <w:sz w:val="24"/>
        </w:rPr>
      </w:pPr>
      <w:r w:rsidRPr="006566C6">
        <w:rPr>
          <w:rFonts w:hint="eastAsia"/>
          <w:bCs/>
          <w:sz w:val="24"/>
        </w:rPr>
        <w:t>3</w:t>
      </w:r>
      <w:r w:rsidRPr="006566C6">
        <w:rPr>
          <w:bCs/>
          <w:sz w:val="24"/>
        </w:rPr>
        <w:t>）交易所上市不存在活跃市场的有价证券，采用估值技术确定公允价值。</w:t>
      </w:r>
      <w:r w:rsidRPr="006566C6">
        <w:rPr>
          <w:rFonts w:hint="eastAsia"/>
          <w:bCs/>
          <w:sz w:val="24"/>
        </w:rPr>
        <w:t>交易所市场挂牌转让</w:t>
      </w:r>
      <w:r w:rsidRPr="006566C6">
        <w:rPr>
          <w:bCs/>
          <w:sz w:val="24"/>
        </w:rPr>
        <w:t>的资产支持证券，采用估值技术确定公允价值</w:t>
      </w:r>
      <w:r w:rsidRPr="006566C6">
        <w:rPr>
          <w:rFonts w:hint="eastAsia"/>
          <w:bCs/>
          <w:sz w:val="24"/>
        </w:rPr>
        <w:t>。</w:t>
      </w:r>
    </w:p>
    <w:p w14:paraId="37E2F498" w14:textId="70A9AEB6" w:rsidR="00032252" w:rsidRPr="006566C6" w:rsidRDefault="00032252" w:rsidP="0003225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6566C6">
        <w:rPr>
          <w:rFonts w:hint="eastAsia"/>
          <w:bCs/>
          <w:sz w:val="24"/>
        </w:rPr>
        <w:t>首次公开发行未上市的债券，采用估值技术确定公允价值。</w:t>
      </w:r>
    </w:p>
    <w:p w14:paraId="18CE46DC" w14:textId="2C15E2A0" w:rsidR="00032252" w:rsidRDefault="00032252" w:rsidP="0003225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6566C6">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6566C6">
        <w:rPr>
          <w:rFonts w:hint="eastAsia"/>
          <w:bCs/>
          <w:sz w:val="24"/>
        </w:rPr>
        <w:t>期</w:t>
      </w:r>
      <w:r w:rsidRPr="006566C6">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w:t>
      </w:r>
      <w:r w:rsidR="0016607D" w:rsidRPr="006434A8">
        <w:rPr>
          <w:rFonts w:hint="eastAsia"/>
          <w:bCs/>
          <w:sz w:val="24"/>
        </w:rPr>
        <w:t>采用估值技术确定公允价值</w:t>
      </w:r>
      <w:r w:rsidRPr="006566C6">
        <w:rPr>
          <w:bCs/>
          <w:sz w:val="24"/>
        </w:rPr>
        <w:t>。</w:t>
      </w:r>
    </w:p>
    <w:p w14:paraId="5F138862" w14:textId="51F612EA" w:rsidR="00300886" w:rsidRPr="006566C6" w:rsidRDefault="00300886" w:rsidP="00032252">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）同一债券同时在两个或两个以上市场交易的，按债券所处的市场分别估值。</w:t>
      </w:r>
    </w:p>
    <w:p w14:paraId="3C811F05" w14:textId="4E3BABE0" w:rsidR="00032252" w:rsidRPr="006566C6" w:rsidRDefault="00032252" w:rsidP="002F1287">
      <w:pPr>
        <w:spacing w:line="360" w:lineRule="auto"/>
        <w:ind w:firstLineChars="200" w:firstLine="480"/>
        <w:rPr>
          <w:bCs/>
        </w:rPr>
      </w:pPr>
      <w:r>
        <w:rPr>
          <w:rFonts w:hint="eastAsia"/>
          <w:bCs/>
          <w:sz w:val="24"/>
        </w:rPr>
        <w:t>（</w:t>
      </w:r>
      <w:r w:rsidR="00300886">
        <w:rPr>
          <w:bCs/>
          <w:sz w:val="24"/>
        </w:rPr>
        <w:t>5</w:t>
      </w:r>
      <w:r>
        <w:rPr>
          <w:rFonts w:hint="eastAsia"/>
          <w:bCs/>
          <w:sz w:val="24"/>
        </w:rPr>
        <w:t>）</w:t>
      </w:r>
      <w:r w:rsidRPr="006566C6">
        <w:rPr>
          <w:bCs/>
          <w:sz w:val="24"/>
        </w:rPr>
        <w:t>如有确凿证据表明按上述方法进行估值不能客观反映其公允价值的，基金管理人可根据具体情况与基金托管人商定后，按最能反映公允价值的价格估值。</w:t>
      </w:r>
    </w:p>
    <w:p w14:paraId="408FC607" w14:textId="623D8651" w:rsidR="00032252" w:rsidRDefault="00032252" w:rsidP="00032252">
      <w:pPr>
        <w:spacing w:line="360" w:lineRule="auto"/>
        <w:ind w:firstLineChars="200" w:firstLine="480"/>
        <w:rPr>
          <w:bCs/>
          <w:sz w:val="24"/>
        </w:rPr>
      </w:pPr>
      <w:r>
        <w:rPr>
          <w:rFonts w:hint="eastAsia"/>
          <w:bCs/>
          <w:sz w:val="24"/>
        </w:rPr>
        <w:t>（</w:t>
      </w:r>
      <w:r w:rsidR="00300886">
        <w:rPr>
          <w:bCs/>
          <w:sz w:val="24"/>
        </w:rPr>
        <w:t>6</w:t>
      </w:r>
      <w:r>
        <w:rPr>
          <w:rFonts w:hint="eastAsia"/>
          <w:bCs/>
          <w:sz w:val="24"/>
        </w:rPr>
        <w:t>）</w:t>
      </w:r>
      <w:r w:rsidRPr="006566C6">
        <w:rPr>
          <w:bCs/>
          <w:sz w:val="24"/>
        </w:rPr>
        <w:t>当发生大额申购或赎回情形时，基金管理人可以采用摆动定价机制，以确保基金估值的公平性。</w:t>
      </w:r>
    </w:p>
    <w:p w14:paraId="7B3ADA8B" w14:textId="6D03C736" w:rsidR="001C4692" w:rsidRPr="006566C6" w:rsidRDefault="001C4692" w:rsidP="00032252">
      <w:pPr>
        <w:spacing w:line="360" w:lineRule="auto"/>
        <w:ind w:firstLineChars="200" w:firstLine="480"/>
        <w:rPr>
          <w:bCs/>
        </w:rPr>
      </w:pPr>
      <w:r>
        <w:rPr>
          <w:rFonts w:hint="eastAsia"/>
          <w:bCs/>
          <w:sz w:val="24"/>
        </w:rPr>
        <w:t>（</w:t>
      </w:r>
      <w:r>
        <w:rPr>
          <w:rFonts w:hint="eastAsia"/>
          <w:bCs/>
          <w:sz w:val="24"/>
        </w:rPr>
        <w:t>7</w:t>
      </w:r>
      <w:r>
        <w:rPr>
          <w:rFonts w:hint="eastAsia"/>
          <w:bCs/>
          <w:sz w:val="24"/>
        </w:rPr>
        <w:t>）</w:t>
      </w:r>
      <w:r w:rsidRPr="00460328">
        <w:rPr>
          <w:rFonts w:hint="eastAsia"/>
          <w:bCs/>
          <w:sz w:val="24"/>
        </w:rPr>
        <w:t>对于因税收规定调整或其他原因导致产品实际交纳税金与估算的应交税金有差异的，产品将在相关税金调整日或实际支付日进行相应的会计处理。</w:t>
      </w:r>
    </w:p>
    <w:p w14:paraId="61593C6D" w14:textId="77777777" w:rsidR="00310D56" w:rsidRDefault="00032252">
      <w:pPr>
        <w:spacing w:line="360" w:lineRule="auto"/>
        <w:ind w:firstLineChars="200" w:firstLine="480"/>
        <w:rPr>
          <w:bCs/>
          <w:sz w:val="24"/>
        </w:rPr>
      </w:pPr>
      <w:r>
        <w:rPr>
          <w:rFonts w:hint="eastAsia"/>
          <w:bCs/>
          <w:sz w:val="24"/>
        </w:rPr>
        <w:t>（</w:t>
      </w:r>
      <w:r w:rsidR="001C4692">
        <w:rPr>
          <w:bCs/>
          <w:sz w:val="24"/>
        </w:rPr>
        <w:t>8</w:t>
      </w:r>
      <w:r>
        <w:rPr>
          <w:rFonts w:hint="eastAsia"/>
          <w:bCs/>
          <w:sz w:val="24"/>
        </w:rPr>
        <w:t>）</w:t>
      </w:r>
      <w:r w:rsidRPr="006566C6">
        <w:rPr>
          <w:bCs/>
          <w:sz w:val="24"/>
        </w:rPr>
        <w:t>相关法律法规以及监管部门有强制规定的，从其规定。如有新增事项，按国家最新规定估值。</w:t>
      </w:r>
      <w:bookmarkEnd w:id="17"/>
    </w:p>
    <w:p w14:paraId="08698F94" w14:textId="77777777" w:rsidR="00006FD1" w:rsidRPr="008C6BAB" w:rsidRDefault="00056933">
      <w:pPr>
        <w:spacing w:line="360" w:lineRule="auto"/>
        <w:ind w:firstLineChars="200" w:firstLine="480"/>
        <w:rPr>
          <w:bCs/>
          <w:sz w:val="24"/>
        </w:rPr>
      </w:pPr>
      <w:bookmarkStart w:id="19" w:name="_Hlk99477117"/>
      <w:r w:rsidRPr="008C6BAB">
        <w:rPr>
          <w:rFonts w:hint="eastAsia"/>
          <w:bCs/>
          <w:sz w:val="24"/>
        </w:rPr>
        <w:t>如基金管理人或基金托管人发现基金估值违反基金合同订明的估值方法、程序及相关法律法规的规定或者未能充分维护基金份额持有人利益时，应立即</w:t>
      </w:r>
      <w:r w:rsidRPr="008C6BAB">
        <w:rPr>
          <w:rFonts w:hint="eastAsia"/>
          <w:bCs/>
          <w:sz w:val="24"/>
        </w:rPr>
        <w:lastRenderedPageBreak/>
        <w:t>通知对方，共同查明原因，双方协商解决。</w:t>
      </w:r>
    </w:p>
    <w:p w14:paraId="54B5D31E" w14:textId="77777777" w:rsidR="00006FD1" w:rsidRPr="008C6BAB" w:rsidRDefault="00056933">
      <w:pPr>
        <w:spacing w:line="360" w:lineRule="auto"/>
        <w:ind w:firstLine="480"/>
        <w:rPr>
          <w:bCs/>
          <w:sz w:val="24"/>
        </w:rPr>
      </w:pPr>
      <w:r w:rsidRPr="008C6BAB">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bookmarkEnd w:id="18"/>
    <w:bookmarkEnd w:id="19"/>
    <w:p w14:paraId="3819EA2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3．特殊情形的处理</w:t>
      </w:r>
    </w:p>
    <w:p w14:paraId="55379DA6" w14:textId="1C94C261"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（1）基金管理人或基金托管人按估值方法的第（</w:t>
      </w:r>
      <w:r w:rsidR="00A559E4">
        <w:rPr>
          <w:rFonts w:ascii="宋体" w:hAnsi="宋体" w:cs="宋体"/>
          <w:color w:val="000000"/>
          <w:sz w:val="24"/>
          <w:szCs w:val="24"/>
        </w:rPr>
        <w:t>5</w:t>
      </w:r>
      <w:r w:rsidRPr="008C6BAB">
        <w:rPr>
          <w:rFonts w:ascii="宋体" w:hAnsi="宋体" w:cs="宋体" w:hint="eastAsia"/>
          <w:color w:val="000000"/>
          <w:sz w:val="24"/>
          <w:szCs w:val="24"/>
        </w:rPr>
        <w:t>）项进行估值时，所造成的误差不作为基金资产估值错误处理。</w:t>
      </w:r>
    </w:p>
    <w:p w14:paraId="2BEAB4A2" w14:textId="20275F4B" w:rsidR="00006FD1" w:rsidRPr="008C6BAB" w:rsidRDefault="00056933" w:rsidP="00AA1279">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w:t>
      </w:r>
      <w:r w:rsidRPr="008C6BAB">
        <w:rPr>
          <w:rFonts w:ascii="宋体" w:hAnsi="宋体" w:cs="宋体"/>
          <w:color w:val="000000"/>
          <w:sz w:val="24"/>
          <w:szCs w:val="24"/>
        </w:rPr>
        <w:t>由于</w:t>
      </w:r>
      <w:r w:rsidRPr="008C6BAB">
        <w:rPr>
          <w:rFonts w:ascii="宋体" w:hAnsi="宋体" w:cs="宋体" w:hint="eastAsia"/>
          <w:color w:val="000000"/>
          <w:sz w:val="24"/>
          <w:szCs w:val="24"/>
        </w:rPr>
        <w:t>不可抗力原因，或由于</w:t>
      </w:r>
      <w:r w:rsidRPr="008C6BAB">
        <w:rPr>
          <w:rFonts w:ascii="宋体" w:hAnsi="宋体" w:cs="宋体"/>
          <w:color w:val="000000"/>
          <w:sz w:val="24"/>
          <w:szCs w:val="24"/>
        </w:rPr>
        <w:t>证券交易所</w:t>
      </w:r>
      <w:r w:rsidRPr="008C6BAB">
        <w:rPr>
          <w:rFonts w:ascii="宋体" w:hAnsi="宋体" w:cs="宋体" w:hint="eastAsia"/>
          <w:color w:val="000000"/>
          <w:sz w:val="24"/>
          <w:szCs w:val="24"/>
        </w:rPr>
        <w:t>、证券经纪机构及</w:t>
      </w:r>
      <w:r w:rsidRPr="008C6BAB">
        <w:rPr>
          <w:rFonts w:ascii="宋体" w:hAnsi="宋体" w:cs="宋体"/>
          <w:color w:val="000000"/>
          <w:sz w:val="24"/>
          <w:szCs w:val="24"/>
        </w:rPr>
        <w:t>登记结算公司发送的数据错误，</w:t>
      </w:r>
      <w:r w:rsidRPr="008C6BAB">
        <w:rPr>
          <w:rFonts w:ascii="宋体" w:hAnsi="宋体" w:cs="宋体" w:hint="eastAsia"/>
          <w:color w:val="000000"/>
          <w:sz w:val="24"/>
          <w:szCs w:val="24"/>
        </w:rPr>
        <w:t>或国家会计政策变更、市场规则变更等</w:t>
      </w:r>
      <w:r w:rsidRPr="008C6BAB">
        <w:rPr>
          <w:rFonts w:ascii="宋体" w:hAnsi="宋体" w:cs="宋体"/>
          <w:color w:val="000000"/>
          <w:sz w:val="24"/>
          <w:szCs w:val="24"/>
        </w:rPr>
        <w:t>，基金管理人和基金托管人虽然已经采取必要、适当、合理的措施进行检查，但是未能发现该错误而造成的基金</w:t>
      </w:r>
      <w:r w:rsidRPr="008C6BAB">
        <w:rPr>
          <w:rFonts w:ascii="宋体" w:hAnsi="宋体" w:cs="宋体" w:hint="eastAsia"/>
          <w:color w:val="000000"/>
          <w:sz w:val="24"/>
          <w:szCs w:val="24"/>
        </w:rPr>
        <w:t>资产估值</w:t>
      </w:r>
      <w:r w:rsidRPr="008C6BAB">
        <w:rPr>
          <w:rFonts w:ascii="宋体" w:hAnsi="宋体" w:cs="宋体"/>
          <w:color w:val="000000"/>
          <w:sz w:val="24"/>
          <w:szCs w:val="24"/>
        </w:rPr>
        <w:t>错误，基金管理人、基金托管人免除赔偿责任。但基金管理人、基金托管人应积极采取必要的措施</w:t>
      </w:r>
      <w:r w:rsidRPr="008C6BAB">
        <w:rPr>
          <w:rFonts w:ascii="宋体" w:hAnsi="宋体" w:cs="宋体" w:hint="eastAsia"/>
          <w:color w:val="000000"/>
          <w:sz w:val="24"/>
          <w:szCs w:val="24"/>
        </w:rPr>
        <w:t>减轻或</w:t>
      </w:r>
      <w:r w:rsidRPr="008C6BAB">
        <w:rPr>
          <w:rFonts w:ascii="宋体" w:hAnsi="宋体" w:cs="宋体"/>
          <w:color w:val="000000"/>
          <w:sz w:val="24"/>
          <w:szCs w:val="24"/>
        </w:rPr>
        <w:t>消除由此造成的影响。</w:t>
      </w:r>
    </w:p>
    <w:p w14:paraId="66206E5C" w14:textId="77777777" w:rsidR="00006FD1" w:rsidRPr="008C6BAB" w:rsidRDefault="00056933">
      <w:pPr>
        <w:spacing w:line="360" w:lineRule="auto"/>
        <w:ind w:firstLine="480"/>
        <w:rPr>
          <w:rFonts w:ascii="宋体" w:hAnsi="宋体" w:cs="宋体"/>
          <w:color w:val="000000"/>
          <w:sz w:val="24"/>
          <w:szCs w:val="24"/>
        </w:rPr>
      </w:pPr>
      <w:bookmarkStart w:id="20" w:name="_Hlk99477075"/>
      <w:r w:rsidRPr="008C6BAB">
        <w:rPr>
          <w:rFonts w:ascii="宋体" w:hAnsi="宋体" w:cs="宋体" w:hint="eastAsia"/>
          <w:color w:val="000000"/>
          <w:sz w:val="24"/>
          <w:szCs w:val="24"/>
        </w:rPr>
        <w:t>（三）基金份额净值错误的处理方式</w:t>
      </w:r>
    </w:p>
    <w:p w14:paraId="0536B284" w14:textId="77777777" w:rsidR="00006FD1" w:rsidRPr="008C6BAB" w:rsidRDefault="00056933">
      <w:pPr>
        <w:spacing w:line="360" w:lineRule="auto"/>
        <w:ind w:firstLine="480"/>
        <w:rPr>
          <w:rFonts w:ascii="宋体" w:hAnsi="宋体" w:cs="宋体"/>
          <w:bCs/>
          <w:color w:val="000000"/>
          <w:sz w:val="24"/>
          <w:szCs w:val="24"/>
        </w:rPr>
      </w:pPr>
      <w:bookmarkStart w:id="21" w:name="_Hlk84700869"/>
      <w:r w:rsidRPr="008C6BAB">
        <w:rPr>
          <w:rFonts w:ascii="宋体" w:hAnsi="宋体" w:cs="宋体" w:hint="eastAsia"/>
          <w:bCs/>
          <w:color w:val="000000"/>
          <w:sz w:val="24"/>
          <w:szCs w:val="24"/>
        </w:rPr>
        <w:t>基金管理人和基金托管人将采取必要、适当、合理的措施确保基金资产估值的准确性、及时性。当任一类基金份额净值小数点后4位以内(含第4位)发生估值错误时，视为该类基金份额净值错误。</w:t>
      </w:r>
    </w:p>
    <w:p w14:paraId="1E6B256E"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bCs/>
          <w:color w:val="000000"/>
          <w:sz w:val="24"/>
          <w:szCs w:val="24"/>
        </w:rPr>
        <w:t>基金合同</w:t>
      </w:r>
      <w:r w:rsidRPr="008C6BAB">
        <w:rPr>
          <w:rFonts w:ascii="宋体" w:hAnsi="宋体" w:cs="宋体" w:hint="eastAsia"/>
          <w:bCs/>
          <w:color w:val="000000"/>
          <w:sz w:val="24"/>
          <w:szCs w:val="24"/>
        </w:rPr>
        <w:t>的当事人应按照以下约定处理：</w:t>
      </w:r>
    </w:p>
    <w:p w14:paraId="0F87BEA3"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1、估值错误类型</w:t>
      </w:r>
    </w:p>
    <w:p w14:paraId="65A9263D"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52CE6C0"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上述估值错误的主要类型包括但不限于：资料申报差错、数据传输差错、数据计算差错、系统故障差错、下达指令差错等。</w:t>
      </w:r>
    </w:p>
    <w:p w14:paraId="469D1F81"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对于因技术原因引起的差错，若系同行业现有技术水平无法预见、无法避免、无法抗拒，则属不可抗力，按照下述规定执行。</w:t>
      </w:r>
    </w:p>
    <w:p w14:paraId="14CE63D8"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由于不可抗力原因造成投资人的交易资料灭失或被错误处理或造成其他错误等，因不可抗力原因出现估值错误的当事人不对其他当事人承担赔偿责任，</w:t>
      </w:r>
      <w:r w:rsidRPr="008C6BAB">
        <w:rPr>
          <w:rFonts w:ascii="宋体" w:hAnsi="宋体" w:cs="宋体" w:hint="eastAsia"/>
          <w:bCs/>
          <w:color w:val="000000"/>
          <w:sz w:val="24"/>
          <w:szCs w:val="24"/>
        </w:rPr>
        <w:lastRenderedPageBreak/>
        <w:t>但因该估值错误取得不当得利的当事人仍应负有返还不当得利的义务。</w:t>
      </w:r>
    </w:p>
    <w:p w14:paraId="4CD90FFD"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2、估值错误处理原则</w:t>
      </w:r>
    </w:p>
    <w:p w14:paraId="3E47316E"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C401E9B"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（2）估值错误的责任方对有关当事人的直接损失负责，不对间接损失负责，并且仅对估值错误的有关直接当事人负责，不对第三方负责。</w:t>
      </w:r>
    </w:p>
    <w:p w14:paraId="52E2EB63"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66D0EF4"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（4）估值错误调整采用尽量恢复至假设未发生估值错误的正确情形的方式。</w:t>
      </w:r>
    </w:p>
    <w:p w14:paraId="00E38641"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（5）按法律法规规定的其他原则处理估值错误。</w:t>
      </w:r>
    </w:p>
    <w:p w14:paraId="33A21666"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3、估值错误处理程序</w:t>
      </w:r>
    </w:p>
    <w:p w14:paraId="6C421607"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估值错误被发现后，有关的当事人应当及时进行处理，处理的程序如下：</w:t>
      </w:r>
    </w:p>
    <w:p w14:paraId="3E54011E"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（1）查明估值错误发生的原因，列明所有的当事人，并根据估值错误发生的原因确定估值错误的责任方；</w:t>
      </w:r>
    </w:p>
    <w:p w14:paraId="37BBB3CA"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（2）根据估值错误处理原则或当事人协商的方法对因估值错误造成的损失进行评估；</w:t>
      </w:r>
    </w:p>
    <w:p w14:paraId="36ED28B2"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（3）根据估值错误处理原则或当事人协商的方法由估值错误的责任方进行</w:t>
      </w:r>
      <w:r w:rsidRPr="008C6BAB">
        <w:rPr>
          <w:rFonts w:ascii="宋体" w:hAnsi="宋体" w:cs="宋体" w:hint="eastAsia"/>
          <w:bCs/>
          <w:color w:val="000000"/>
          <w:sz w:val="24"/>
          <w:szCs w:val="24"/>
        </w:rPr>
        <w:lastRenderedPageBreak/>
        <w:t>更正和赔偿损失；</w:t>
      </w:r>
    </w:p>
    <w:p w14:paraId="433F061C"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（4）根据估值错误处理的方法，需要修改基金登记机构交易数据的，由基金登记机构进行更正，并就估值错误的更正向有关当事人进行确认。</w:t>
      </w:r>
    </w:p>
    <w:p w14:paraId="63DA4B05"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4、基金份额净值估值错误处理的方法如下：</w:t>
      </w:r>
    </w:p>
    <w:p w14:paraId="487CD968"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（1）基金份额净值计算出现错误时，基金管理人应当立即予以纠正，通报基金托管人，并采取合理的措施防止损失进一步扩大；</w:t>
      </w:r>
    </w:p>
    <w:p w14:paraId="78AD3568" w14:textId="77777777"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（2）任一类基金份额的错误偏差达到该类基金份额净值的0.25%时，基金管理人应当通报基金托管人并报中国证监会备案；错误偏差达到该类基金份额净值的0.5%时，基金管理人应当公告，并报中国证监会备案；</w:t>
      </w:r>
    </w:p>
    <w:p w14:paraId="27E6D3B0" w14:textId="3F727235" w:rsidR="00006FD1" w:rsidRPr="008C6BAB" w:rsidRDefault="00056933">
      <w:pPr>
        <w:spacing w:line="360" w:lineRule="auto"/>
        <w:ind w:firstLine="480"/>
        <w:rPr>
          <w:rFonts w:ascii="宋体" w:hAnsi="宋体" w:cs="宋体"/>
          <w:bCs/>
          <w:color w:val="000000"/>
          <w:sz w:val="24"/>
          <w:szCs w:val="24"/>
        </w:rPr>
      </w:pPr>
      <w:r w:rsidRPr="008C6BAB">
        <w:rPr>
          <w:rFonts w:ascii="宋体" w:hAnsi="宋体" w:cs="宋体" w:hint="eastAsia"/>
          <w:bCs/>
          <w:color w:val="000000"/>
          <w:sz w:val="24"/>
          <w:szCs w:val="24"/>
        </w:rPr>
        <w:t>（3）前述内容如法律法规或监管机关另有规定的，从其规定处理。</w:t>
      </w:r>
    </w:p>
    <w:p w14:paraId="5D53D8F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（四）暂停估值的情形</w:t>
      </w:r>
    </w:p>
    <w:p w14:paraId="74B81169"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1、</w:t>
      </w:r>
      <w:r w:rsidRPr="008C6BAB">
        <w:rPr>
          <w:rFonts w:hint="eastAsia"/>
          <w:bCs/>
          <w:sz w:val="24"/>
        </w:rPr>
        <w:t>基金投资所涉及的证券交易市场遇法定节假日或因其他原因暂停营业时</w:t>
      </w:r>
      <w:r w:rsidRPr="008C6BAB">
        <w:rPr>
          <w:rFonts w:ascii="宋体" w:hAnsi="宋体" w:cs="宋体" w:hint="eastAsia"/>
          <w:bCs/>
          <w:color w:val="000000"/>
          <w:sz w:val="24"/>
        </w:rPr>
        <w:t>；</w:t>
      </w:r>
    </w:p>
    <w:p w14:paraId="5480EF7D"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2、因不可抗力致使基金管理人、基金托管人无法准确评估基金资产价值时；</w:t>
      </w:r>
    </w:p>
    <w:p w14:paraId="71708279"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3、当特定资产占前一估值日基金资产净值50%以上的，经与基金托管人协商确认后，基金管理人应当暂停估值；</w:t>
      </w:r>
    </w:p>
    <w:p w14:paraId="044A43A9"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4、法律法规规定、中国证监会和</w:t>
      </w:r>
      <w:r w:rsidRPr="008C6BAB">
        <w:rPr>
          <w:rFonts w:ascii="宋体" w:hAnsi="宋体" w:cs="宋体"/>
          <w:bCs/>
          <w:color w:val="000000"/>
          <w:sz w:val="24"/>
        </w:rPr>
        <w:t>基金合同</w:t>
      </w:r>
      <w:r w:rsidRPr="008C6BAB">
        <w:rPr>
          <w:rFonts w:ascii="宋体" w:hAnsi="宋体" w:cs="宋体" w:hint="eastAsia"/>
          <w:bCs/>
          <w:color w:val="000000"/>
          <w:sz w:val="24"/>
        </w:rPr>
        <w:t>认定的其他情形。</w:t>
      </w:r>
    </w:p>
    <w:bookmarkEnd w:id="20"/>
    <w:bookmarkEnd w:id="21"/>
    <w:p w14:paraId="30126CD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（五）基金会计制度</w:t>
      </w:r>
    </w:p>
    <w:p w14:paraId="4DE6EBD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按国家有关部门规定的会计制度执行。</w:t>
      </w:r>
    </w:p>
    <w:p w14:paraId="2EF19E1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（六）基金账册的建立</w:t>
      </w:r>
    </w:p>
    <w:p w14:paraId="064AF18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041FEC8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（七）基金财务报表与报告的编制和复核</w:t>
      </w:r>
    </w:p>
    <w:p w14:paraId="57C2E5B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1．财务报表的编制</w:t>
      </w:r>
    </w:p>
    <w:p w14:paraId="6AF481E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基金财务报表由基金管理人编制，基金托管人复核。</w:t>
      </w:r>
    </w:p>
    <w:p w14:paraId="4128CA5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lastRenderedPageBreak/>
        <w:t>2．报表复核</w:t>
      </w:r>
    </w:p>
    <w:p w14:paraId="54E67D3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基金托管人在收到基金管理人编制的基金财务报表后，进行独立的复核。核对不符时，应及时通知基金管理人共同查出原因，进行调整，直至双方数据完全一致。</w:t>
      </w:r>
    </w:p>
    <w:p w14:paraId="295F51A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3．财务报表的编制与复核时间安排</w:t>
      </w:r>
    </w:p>
    <w:p w14:paraId="48CC018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（1）报表的编制</w:t>
      </w:r>
    </w:p>
    <w:p w14:paraId="55638909" w14:textId="18712EA4"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基金管理人应当在每月结束后5个工作日内完成月度报表的编制；</w:t>
      </w:r>
      <w:r w:rsidRPr="008C6BAB">
        <w:rPr>
          <w:rFonts w:ascii="宋体" w:hAnsi="宋体" w:cs="宋体"/>
          <w:color w:val="000000"/>
          <w:sz w:val="24"/>
          <w:szCs w:val="24"/>
        </w:rPr>
        <w:t>在季度结束之日起15个工作日内完成基金季度报告的编制并公告；在上半年结束之日起两个月内完成基金</w:t>
      </w:r>
      <w:r w:rsidRPr="008C6BAB">
        <w:rPr>
          <w:rFonts w:ascii="宋体" w:hAnsi="宋体" w:cs="宋体" w:hint="eastAsia"/>
          <w:color w:val="000000"/>
          <w:sz w:val="24"/>
          <w:szCs w:val="24"/>
        </w:rPr>
        <w:t>中期</w:t>
      </w:r>
      <w:r w:rsidRPr="008C6BAB">
        <w:rPr>
          <w:rFonts w:ascii="宋体" w:hAnsi="宋体" w:cs="宋体"/>
          <w:color w:val="000000"/>
          <w:sz w:val="24"/>
          <w:szCs w:val="24"/>
        </w:rPr>
        <w:t>报告的编制并公告；在每年结束之日起</w:t>
      </w:r>
      <w:r w:rsidRPr="008C6BAB">
        <w:rPr>
          <w:rFonts w:ascii="宋体" w:hAnsi="宋体" w:cs="宋体" w:hint="eastAsia"/>
          <w:color w:val="000000"/>
          <w:sz w:val="24"/>
          <w:szCs w:val="24"/>
        </w:rPr>
        <w:t>三个月</w:t>
      </w:r>
      <w:r w:rsidRPr="008C6BAB">
        <w:rPr>
          <w:rFonts w:ascii="宋体" w:hAnsi="宋体" w:cs="宋体"/>
          <w:color w:val="000000"/>
          <w:sz w:val="24"/>
          <w:szCs w:val="24"/>
        </w:rPr>
        <w:t>内完成基金年度报告的编制并公告。</w:t>
      </w:r>
      <w:r w:rsidRPr="008C6BAB">
        <w:rPr>
          <w:rFonts w:ascii="宋体" w:hAnsi="宋体" w:cs="宋体" w:hint="eastAsia"/>
          <w:color w:val="000000"/>
          <w:sz w:val="24"/>
          <w:szCs w:val="24"/>
        </w:rPr>
        <w:t>基金年度报告的财务会计报告应当经过</w:t>
      </w:r>
      <w:r w:rsidRPr="008C6BAB">
        <w:rPr>
          <w:rFonts w:ascii="宋体" w:hAnsi="宋体" w:cs="宋体" w:hint="eastAsia"/>
          <w:bCs/>
          <w:color w:val="000000"/>
          <w:sz w:val="24"/>
          <w:szCs w:val="24"/>
        </w:rPr>
        <w:t>符合《中华人民共和国证券法》规定的会计师事务所</w:t>
      </w:r>
      <w:r w:rsidRPr="008C6BAB">
        <w:rPr>
          <w:rFonts w:ascii="宋体" w:hAnsi="宋体" w:cs="宋体" w:hint="eastAsia"/>
          <w:color w:val="000000"/>
          <w:sz w:val="24"/>
          <w:szCs w:val="24"/>
        </w:rPr>
        <w:t>审计。</w:t>
      </w:r>
      <w:r w:rsidRPr="008C6BAB">
        <w:rPr>
          <w:rFonts w:ascii="宋体" w:hAnsi="宋体" w:cs="宋体"/>
          <w:color w:val="000000"/>
          <w:sz w:val="24"/>
          <w:szCs w:val="24"/>
        </w:rPr>
        <w:t>基金合同</w:t>
      </w:r>
      <w:r w:rsidRPr="008C6BAB">
        <w:rPr>
          <w:rFonts w:ascii="宋体" w:hAnsi="宋体" w:cs="宋体" w:hint="eastAsia"/>
          <w:color w:val="000000"/>
          <w:sz w:val="24"/>
          <w:szCs w:val="24"/>
        </w:rPr>
        <w:t>生效不足两个月的，基金管理人可以不编制当期季度报告、中期报告或者年度报告。</w:t>
      </w:r>
    </w:p>
    <w:p w14:paraId="668CF4C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（2）报表的复核</w:t>
      </w:r>
    </w:p>
    <w:p w14:paraId="4898A18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279D3A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基金管理人应留足充分的时间，便于基金托管人复核相关报表及报告。</w:t>
      </w:r>
    </w:p>
    <w:p w14:paraId="36BA2B3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（八）实施侧袋机制期间的基金资产估值</w:t>
      </w:r>
    </w:p>
    <w:p w14:paraId="1F191D53" w14:textId="2136F239"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本基金实施侧袋机制的，应根据基金合同的约定对主袋账户资产进行估值并披露主袋账户的基金净值信息，暂停披露侧袋账户份额净值。</w:t>
      </w:r>
    </w:p>
    <w:p w14:paraId="2186B70C" w14:textId="77777777" w:rsidR="00006FD1" w:rsidRPr="008C6BAB" w:rsidRDefault="00006FD1">
      <w:pPr>
        <w:spacing w:line="360" w:lineRule="auto"/>
        <w:ind w:firstLine="480"/>
        <w:rPr>
          <w:rFonts w:ascii="宋体" w:hAnsi="宋体" w:cs="宋体"/>
          <w:color w:val="000000"/>
          <w:sz w:val="24"/>
          <w:szCs w:val="24"/>
        </w:rPr>
      </w:pPr>
    </w:p>
    <w:p w14:paraId="4828FC2F" w14:textId="77777777" w:rsidR="00006FD1" w:rsidRPr="008C6BAB" w:rsidRDefault="00056933">
      <w:pPr>
        <w:pStyle w:val="212"/>
        <w:spacing w:line="360" w:lineRule="auto"/>
        <w:jc w:val="center"/>
        <w:rPr>
          <w:rFonts w:ascii="宋体" w:hAnsi="宋体"/>
          <w:bCs w:val="0"/>
          <w:color w:val="000000"/>
          <w:sz w:val="30"/>
          <w:szCs w:val="30"/>
        </w:rPr>
      </w:pPr>
      <w:r w:rsidRPr="008C6BAB">
        <w:rPr>
          <w:rFonts w:ascii="仿宋" w:eastAsia="仿宋" w:hAnsi="仿宋" w:hint="eastAsia"/>
          <w:b w:val="0"/>
          <w:color w:val="000000"/>
          <w:sz w:val="30"/>
          <w:szCs w:val="30"/>
        </w:rPr>
        <w:br w:type="page"/>
      </w:r>
      <w:bookmarkStart w:id="22" w:name="_Toc264617149"/>
      <w:r w:rsidRPr="008C6BAB">
        <w:rPr>
          <w:rFonts w:ascii="宋体" w:hAnsi="宋体" w:hint="eastAsia"/>
          <w:bCs w:val="0"/>
          <w:color w:val="000000"/>
          <w:sz w:val="30"/>
          <w:szCs w:val="30"/>
        </w:rPr>
        <w:lastRenderedPageBreak/>
        <w:t>九、基金收益分配</w:t>
      </w:r>
      <w:bookmarkEnd w:id="22"/>
    </w:p>
    <w:p w14:paraId="675F731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基金收益分配是指按规定将基金的可分配收益按基金份额进行比例分配。</w:t>
      </w:r>
    </w:p>
    <w:p w14:paraId="53CEEEEE" w14:textId="77777777" w:rsidR="00006FD1" w:rsidRPr="008C6BAB" w:rsidRDefault="00056933">
      <w:pPr>
        <w:spacing w:line="360" w:lineRule="auto"/>
        <w:ind w:firstLine="480"/>
        <w:rPr>
          <w:rFonts w:ascii="宋体" w:hAnsi="宋体" w:cs="宋体"/>
          <w:sz w:val="24"/>
          <w:szCs w:val="24"/>
        </w:rPr>
      </w:pPr>
      <w:r w:rsidRPr="008C6BAB">
        <w:rPr>
          <w:rFonts w:ascii="宋体" w:hAnsi="宋体" w:cs="宋体" w:hint="eastAsia"/>
          <w:sz w:val="24"/>
          <w:szCs w:val="24"/>
        </w:rPr>
        <w:t>（一）基金收益分配的原则</w:t>
      </w:r>
    </w:p>
    <w:p w14:paraId="44B0F56E" w14:textId="77777777" w:rsidR="00006FD1" w:rsidRPr="008C6BAB" w:rsidRDefault="00056933">
      <w:pPr>
        <w:spacing w:line="360" w:lineRule="auto"/>
        <w:ind w:firstLineChars="225" w:firstLine="540"/>
        <w:rPr>
          <w:bCs/>
          <w:sz w:val="24"/>
        </w:rPr>
      </w:pPr>
      <w:r w:rsidRPr="008C6BAB">
        <w:rPr>
          <w:rFonts w:hint="eastAsia"/>
          <w:bCs/>
          <w:sz w:val="24"/>
        </w:rPr>
        <w:t>1</w:t>
      </w:r>
      <w:r w:rsidRPr="008C6BAB">
        <w:rPr>
          <w:rFonts w:hint="eastAsia"/>
          <w:bCs/>
          <w:sz w:val="24"/>
        </w:rPr>
        <w:t>、由于本基金</w:t>
      </w:r>
      <w:r w:rsidRPr="008C6BAB">
        <w:rPr>
          <w:rFonts w:ascii="宋体" w:hAnsi="宋体" w:cs="宋体"/>
          <w:color w:val="000000"/>
          <w:sz w:val="24"/>
          <w:szCs w:val="24"/>
        </w:rPr>
        <w:t>A</w:t>
      </w:r>
      <w:r w:rsidRPr="008C6BAB">
        <w:rPr>
          <w:rFonts w:ascii="宋体" w:hAnsi="宋体" w:cs="宋体" w:hint="eastAsia"/>
          <w:color w:val="000000"/>
          <w:sz w:val="24"/>
          <w:szCs w:val="24"/>
        </w:rPr>
        <w:t>类</w:t>
      </w:r>
      <w:r w:rsidRPr="008C6BAB">
        <w:rPr>
          <w:rFonts w:hint="eastAsia"/>
          <w:bCs/>
          <w:sz w:val="24"/>
        </w:rPr>
        <w:t>基金份额不收取销售服务费，</w:t>
      </w:r>
      <w:r w:rsidRPr="008C6BAB">
        <w:rPr>
          <w:rFonts w:ascii="宋体" w:hAnsi="宋体" w:cs="宋体"/>
          <w:color w:val="000000"/>
          <w:sz w:val="24"/>
          <w:szCs w:val="24"/>
        </w:rPr>
        <w:t>C</w:t>
      </w:r>
      <w:r w:rsidRPr="008C6BAB">
        <w:rPr>
          <w:rFonts w:ascii="宋体" w:hAnsi="宋体" w:cs="宋体" w:hint="eastAsia"/>
          <w:color w:val="000000"/>
          <w:sz w:val="24"/>
          <w:szCs w:val="24"/>
        </w:rPr>
        <w:t>类基</w:t>
      </w:r>
      <w:r w:rsidRPr="008C6BAB">
        <w:rPr>
          <w:rFonts w:hint="eastAsia"/>
          <w:bCs/>
          <w:sz w:val="24"/>
        </w:rPr>
        <w:t>金份额收取销售服务费，各基金份额类别对应的可供分配利润将有所不同；</w:t>
      </w:r>
    </w:p>
    <w:p w14:paraId="53C4560D" w14:textId="47FB025F" w:rsidR="00006FD1" w:rsidRPr="008C6BAB" w:rsidRDefault="00056933">
      <w:pPr>
        <w:spacing w:line="360" w:lineRule="auto"/>
        <w:ind w:firstLineChars="225" w:firstLine="540"/>
        <w:rPr>
          <w:bCs/>
          <w:sz w:val="24"/>
        </w:rPr>
      </w:pPr>
      <w:r w:rsidRPr="008C6BAB">
        <w:rPr>
          <w:rFonts w:hint="eastAsia"/>
          <w:bCs/>
          <w:sz w:val="24"/>
        </w:rPr>
        <w:t>2</w:t>
      </w:r>
      <w:r w:rsidRPr="008C6BAB">
        <w:rPr>
          <w:rFonts w:hint="eastAsia"/>
          <w:bCs/>
          <w:sz w:val="24"/>
        </w:rPr>
        <w:t>、在符合有关基金分红条件的前提下，</w:t>
      </w:r>
      <w:r w:rsidR="00EF7C40" w:rsidRPr="00EF7C40">
        <w:rPr>
          <w:rFonts w:hint="eastAsia"/>
          <w:bCs/>
          <w:sz w:val="24"/>
        </w:rPr>
        <w:t>本</w:t>
      </w:r>
      <w:r w:rsidRPr="008C6BAB">
        <w:rPr>
          <w:rFonts w:hint="eastAsia"/>
          <w:bCs/>
          <w:sz w:val="24"/>
        </w:rPr>
        <w:t>基金管理人可以根据实际情况进行收益分配，具体分配方案以公告为准，若基金合同生效不满</w:t>
      </w:r>
      <w:r w:rsidRPr="008C6BAB">
        <w:rPr>
          <w:rFonts w:asciiTheme="minorEastAsia" w:eastAsiaTheme="minorEastAsia" w:hAnsiTheme="minorEastAsia"/>
          <w:bCs/>
          <w:sz w:val="24"/>
        </w:rPr>
        <w:t>3</w:t>
      </w:r>
      <w:r w:rsidRPr="008C6BAB">
        <w:rPr>
          <w:rFonts w:asciiTheme="minorEastAsia" w:eastAsiaTheme="minorEastAsia" w:hAnsiTheme="minorEastAsia" w:hint="eastAsia"/>
          <w:bCs/>
          <w:sz w:val="24"/>
        </w:rPr>
        <w:t>个月</w:t>
      </w:r>
      <w:r w:rsidRPr="008C6BAB">
        <w:rPr>
          <w:rFonts w:hint="eastAsia"/>
          <w:bCs/>
          <w:sz w:val="24"/>
        </w:rPr>
        <w:t>可不进行收益分配；</w:t>
      </w:r>
    </w:p>
    <w:p w14:paraId="2E260970" w14:textId="217F8CAD" w:rsidR="00006FD1" w:rsidRPr="008C6BAB" w:rsidRDefault="00056933">
      <w:pPr>
        <w:spacing w:line="360" w:lineRule="auto"/>
        <w:ind w:firstLineChars="225" w:firstLine="540"/>
        <w:rPr>
          <w:bCs/>
          <w:sz w:val="24"/>
        </w:rPr>
      </w:pPr>
      <w:r w:rsidRPr="008C6BAB">
        <w:rPr>
          <w:rFonts w:hint="eastAsia"/>
          <w:bCs/>
          <w:sz w:val="24"/>
        </w:rPr>
        <w:t>3</w:t>
      </w:r>
      <w:r w:rsidRPr="008C6BAB">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w:t>
      </w:r>
      <w:r w:rsidRPr="008C6BAB">
        <w:rPr>
          <w:rFonts w:asciiTheme="minorEastAsia" w:eastAsiaTheme="minorEastAsia" w:hAnsiTheme="minorEastAsia" w:hint="eastAsia"/>
          <w:bCs/>
          <w:sz w:val="24"/>
        </w:rPr>
        <w:t>的</w:t>
      </w:r>
      <w:r w:rsidRPr="008C6BAB">
        <w:rPr>
          <w:rFonts w:asciiTheme="minorEastAsia" w:eastAsiaTheme="minorEastAsia" w:hAnsiTheme="minorEastAsia"/>
          <w:bCs/>
          <w:sz w:val="24"/>
        </w:rPr>
        <w:t>A</w:t>
      </w:r>
      <w:r w:rsidRPr="008C6BAB">
        <w:rPr>
          <w:rFonts w:asciiTheme="minorEastAsia" w:eastAsiaTheme="minorEastAsia" w:hAnsiTheme="minorEastAsia" w:hint="eastAsia"/>
          <w:bCs/>
          <w:sz w:val="24"/>
        </w:rPr>
        <w:t>类基金份额和</w:t>
      </w:r>
      <w:r w:rsidRPr="008C6BAB">
        <w:rPr>
          <w:rFonts w:asciiTheme="minorEastAsia" w:eastAsiaTheme="minorEastAsia" w:hAnsiTheme="minorEastAsia"/>
          <w:bCs/>
          <w:sz w:val="24"/>
        </w:rPr>
        <w:t>C</w:t>
      </w:r>
      <w:r w:rsidRPr="008C6BAB">
        <w:rPr>
          <w:rFonts w:asciiTheme="minorEastAsia" w:eastAsiaTheme="minorEastAsia" w:hAnsiTheme="minorEastAsia" w:hint="eastAsia"/>
          <w:bCs/>
          <w:sz w:val="24"/>
        </w:rPr>
        <w:t>类</w:t>
      </w:r>
      <w:r w:rsidRPr="008C6BAB">
        <w:rPr>
          <w:rFonts w:hint="eastAsia"/>
          <w:bCs/>
          <w:sz w:val="24"/>
        </w:rPr>
        <w:t>基金份额分别选择不同的收益分配方式；</w:t>
      </w:r>
    </w:p>
    <w:p w14:paraId="64DD206A" w14:textId="354486D0" w:rsidR="008A009A" w:rsidRPr="00310D56" w:rsidRDefault="00056933">
      <w:pPr>
        <w:spacing w:line="360" w:lineRule="auto"/>
        <w:ind w:firstLineChars="225" w:firstLine="540"/>
        <w:rPr>
          <w:bCs/>
          <w:sz w:val="24"/>
        </w:rPr>
      </w:pPr>
      <w:r w:rsidRPr="008C6BAB">
        <w:rPr>
          <w:rFonts w:hint="eastAsia"/>
          <w:bCs/>
          <w:sz w:val="24"/>
        </w:rPr>
        <w:t>4</w:t>
      </w:r>
      <w:r w:rsidRPr="008C6BAB">
        <w:rPr>
          <w:rFonts w:hint="eastAsia"/>
          <w:bCs/>
          <w:sz w:val="24"/>
        </w:rPr>
        <w:t>、基金收益分配后任一类基金份额净值不能低于面值，即基金收益分配基准日的任一类基金份额净值减去该类每单位基金份额收益分配金额后不能低于面值；</w:t>
      </w:r>
    </w:p>
    <w:p w14:paraId="62CEF393" w14:textId="13B49DF9" w:rsidR="00006FD1" w:rsidRPr="008C6BAB" w:rsidRDefault="00056933">
      <w:pPr>
        <w:spacing w:line="360" w:lineRule="auto"/>
        <w:ind w:firstLineChars="225" w:firstLine="540"/>
        <w:rPr>
          <w:bCs/>
          <w:sz w:val="24"/>
        </w:rPr>
      </w:pPr>
      <w:r w:rsidRPr="008C6BAB">
        <w:rPr>
          <w:rFonts w:hint="eastAsia"/>
          <w:bCs/>
          <w:sz w:val="24"/>
        </w:rPr>
        <w:t>5</w:t>
      </w:r>
      <w:r w:rsidRPr="008C6BAB">
        <w:rPr>
          <w:rFonts w:hint="eastAsia"/>
          <w:bCs/>
          <w:sz w:val="24"/>
        </w:rPr>
        <w:t>、本基金同一基金份额类别的每一基金份额享有同等分配权；</w:t>
      </w:r>
    </w:p>
    <w:p w14:paraId="3B7F7205" w14:textId="131D18D9" w:rsidR="00006FD1" w:rsidRPr="008C6BAB" w:rsidRDefault="00056933" w:rsidP="005E3139">
      <w:pPr>
        <w:spacing w:line="360" w:lineRule="auto"/>
        <w:ind w:firstLineChars="200" w:firstLine="480"/>
        <w:rPr>
          <w:bCs/>
          <w:sz w:val="24"/>
        </w:rPr>
      </w:pPr>
      <w:r w:rsidRPr="008C6BAB">
        <w:rPr>
          <w:rFonts w:hint="eastAsia"/>
          <w:bCs/>
          <w:sz w:val="24"/>
        </w:rPr>
        <w:t>6</w:t>
      </w:r>
      <w:r w:rsidRPr="008C6BAB">
        <w:rPr>
          <w:rFonts w:hint="eastAsia"/>
          <w:bCs/>
          <w:sz w:val="24"/>
        </w:rPr>
        <w:t>、法律法规或监管机关另有规定的，从其规定。</w:t>
      </w:r>
    </w:p>
    <w:p w14:paraId="234601DC" w14:textId="77777777" w:rsidR="00006FD1" w:rsidRPr="008C6BAB" w:rsidRDefault="00056933">
      <w:pPr>
        <w:spacing w:line="360" w:lineRule="auto"/>
        <w:ind w:firstLine="480"/>
        <w:rPr>
          <w:rFonts w:ascii="宋体" w:hAnsi="宋体" w:cs="宋体"/>
          <w:sz w:val="24"/>
          <w:szCs w:val="24"/>
        </w:rPr>
      </w:pPr>
      <w:r w:rsidRPr="008C6BAB">
        <w:rPr>
          <w:rFonts w:ascii="宋体" w:hAnsi="宋体" w:cs="宋体" w:hint="eastAsia"/>
          <w:sz w:val="24"/>
          <w:szCs w:val="24"/>
        </w:rPr>
        <w:t>（二）基金收益分配方案的制定和实施程序</w:t>
      </w:r>
    </w:p>
    <w:p w14:paraId="4FC218CE" w14:textId="77777777" w:rsidR="00006FD1" w:rsidRPr="008C6BAB" w:rsidRDefault="00056933">
      <w:pPr>
        <w:spacing w:line="360" w:lineRule="auto"/>
        <w:ind w:firstLine="480"/>
        <w:rPr>
          <w:rFonts w:ascii="宋体" w:hAnsi="宋体" w:cs="宋体"/>
          <w:sz w:val="24"/>
          <w:szCs w:val="24"/>
        </w:rPr>
      </w:pPr>
      <w:r w:rsidRPr="008C6BAB">
        <w:rPr>
          <w:rFonts w:ascii="宋体" w:hAnsi="宋体" w:cs="宋体" w:hint="eastAsia"/>
          <w:sz w:val="24"/>
          <w:szCs w:val="24"/>
        </w:rPr>
        <w:t>本基金收益分配方案由基金管理人拟定，并由基金托管人复核，依照《信息披露办法》的有关规定在规定媒介公告。</w:t>
      </w:r>
    </w:p>
    <w:p w14:paraId="643E866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sz w:val="24"/>
          <w:szCs w:val="24"/>
        </w:rPr>
        <w:t>基金管理人向基金托管人下达收益分配的付款指令，基金托管人按指令将收益分配的全部资金划入基金管理人的指定账户。</w:t>
      </w:r>
    </w:p>
    <w:p w14:paraId="4DB70904"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（三）实施侧袋机制期间的收益分配</w:t>
      </w:r>
    </w:p>
    <w:p w14:paraId="01E1B20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本基金实施侧袋机制的，侧袋账户不进行收益分配，详见招募说明书的规定。</w:t>
      </w:r>
    </w:p>
    <w:p w14:paraId="4A7671C8"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23" w:name="_Toc264617150"/>
      <w:r w:rsidRPr="008C6BAB">
        <w:rPr>
          <w:rFonts w:ascii="宋体" w:hAnsi="宋体" w:hint="eastAsia"/>
          <w:bCs w:val="0"/>
          <w:color w:val="000000"/>
          <w:sz w:val="30"/>
          <w:szCs w:val="30"/>
        </w:rPr>
        <w:lastRenderedPageBreak/>
        <w:t>十、基金信息披露</w:t>
      </w:r>
      <w:bookmarkEnd w:id="23"/>
    </w:p>
    <w:p w14:paraId="3CF7DFF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（一）保密义务</w:t>
      </w:r>
    </w:p>
    <w:p w14:paraId="0C57330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基金托管人和基金管理人应按法律法规、</w:t>
      </w:r>
      <w:r w:rsidRPr="008C6BAB">
        <w:rPr>
          <w:rFonts w:ascii="宋体" w:hAnsi="宋体" w:cs="宋体"/>
          <w:color w:val="000000"/>
          <w:sz w:val="24"/>
          <w:szCs w:val="24"/>
        </w:rPr>
        <w:t>基金合同</w:t>
      </w:r>
      <w:r w:rsidRPr="008C6BAB">
        <w:rPr>
          <w:rFonts w:ascii="宋体" w:hAnsi="宋体" w:cs="宋体" w:hint="eastAsia"/>
          <w:color w:val="000000"/>
          <w:sz w:val="24"/>
          <w:szCs w:val="24"/>
        </w:rPr>
        <w:t>的有关规定进行信息披露，拟公开披露的信息在公开披露之前应予保密。除按《基金法》、</w:t>
      </w:r>
      <w:r w:rsidRPr="008C6BAB">
        <w:rPr>
          <w:rFonts w:ascii="宋体" w:hAnsi="宋体" w:cs="宋体"/>
          <w:color w:val="000000"/>
          <w:sz w:val="24"/>
          <w:szCs w:val="24"/>
        </w:rPr>
        <w:t>基金合同</w:t>
      </w:r>
      <w:r w:rsidRPr="008C6BAB">
        <w:rPr>
          <w:rFonts w:ascii="宋体" w:hAnsi="宋体" w:cs="宋体" w:hint="eastAsia"/>
          <w:color w:val="000000"/>
          <w:sz w:val="24"/>
          <w:szCs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14:paraId="084DBE3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1．非因基金管理人和基金托管人的原因导致保密信息被披露、泄露或公开；</w:t>
      </w:r>
    </w:p>
    <w:p w14:paraId="2987AEB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2．基金管理人和基金托管人为遵守和服从法院判决或裁定、仲裁裁决或中国证监会等监管机构的命令、决定所做出的信息披露或公开。</w:t>
      </w:r>
    </w:p>
    <w:p w14:paraId="554718D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（二）信息披露的内容</w:t>
      </w:r>
    </w:p>
    <w:p w14:paraId="2390F94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hint="eastAsia"/>
          <w:sz w:val="24"/>
          <w:szCs w:val="24"/>
        </w:rPr>
        <w:t>基金的信息披露内容主要包括基金招募说明书</w:t>
      </w:r>
      <w:r w:rsidRPr="008C6BAB">
        <w:rPr>
          <w:rFonts w:ascii="宋体" w:hAnsi="宋体" w:hint="eastAsia"/>
          <w:sz w:val="24"/>
        </w:rPr>
        <w:t>及其更新</w:t>
      </w:r>
      <w:r w:rsidRPr="008C6BAB">
        <w:rPr>
          <w:rFonts w:ascii="宋体" w:hAnsi="宋体" w:hint="eastAsia"/>
          <w:sz w:val="24"/>
          <w:szCs w:val="24"/>
        </w:rPr>
        <w:t>、</w:t>
      </w:r>
      <w:r w:rsidRPr="008C6BAB">
        <w:rPr>
          <w:rFonts w:ascii="宋体" w:hAnsi="宋体"/>
          <w:sz w:val="24"/>
          <w:szCs w:val="24"/>
        </w:rPr>
        <w:t>基金合同</w:t>
      </w:r>
      <w:r w:rsidRPr="008C6BAB">
        <w:rPr>
          <w:rFonts w:ascii="宋体" w:hAnsi="宋体" w:hint="eastAsia"/>
          <w:sz w:val="24"/>
          <w:szCs w:val="24"/>
        </w:rPr>
        <w:t>、托管协议、基金份额发售公告、</w:t>
      </w:r>
      <w:r w:rsidRPr="008C6BAB">
        <w:rPr>
          <w:rFonts w:ascii="宋体" w:hAnsi="宋体"/>
          <w:sz w:val="24"/>
          <w:szCs w:val="24"/>
        </w:rPr>
        <w:t>基金合同</w:t>
      </w:r>
      <w:r w:rsidRPr="008C6BAB">
        <w:rPr>
          <w:rFonts w:ascii="宋体" w:hAnsi="宋体" w:hint="eastAsia"/>
          <w:sz w:val="24"/>
          <w:szCs w:val="24"/>
        </w:rPr>
        <w:t>生效公告、基金净值信息、基金份额申购、赎回价格、基金定期报告（包括基金年度报告、基金中期报告和基金季度报告）、临时报告、澄清公告、基金产品资料概要</w:t>
      </w:r>
      <w:r w:rsidRPr="008C6BAB">
        <w:rPr>
          <w:rFonts w:ascii="宋体" w:hAnsi="宋体" w:hint="eastAsia"/>
          <w:sz w:val="24"/>
        </w:rPr>
        <w:t>及其更新</w:t>
      </w:r>
      <w:r w:rsidRPr="008C6BAB">
        <w:rPr>
          <w:rFonts w:ascii="宋体" w:hAnsi="宋体" w:hint="eastAsia"/>
          <w:sz w:val="24"/>
          <w:szCs w:val="24"/>
        </w:rPr>
        <w:t>、基金清算报告、基金份额持有人大会决议、投资于资产支持证券的信息、</w:t>
      </w:r>
      <w:r w:rsidRPr="008C6BAB">
        <w:rPr>
          <w:rFonts w:hint="eastAsia"/>
          <w:bCs/>
          <w:sz w:val="24"/>
        </w:rPr>
        <w:t>实施侧袋机制期间的信息</w:t>
      </w:r>
      <w:r w:rsidRPr="008C6BAB">
        <w:rPr>
          <w:rFonts w:ascii="宋体" w:hAnsi="宋体" w:hint="eastAsia"/>
          <w:sz w:val="24"/>
          <w:szCs w:val="24"/>
        </w:rPr>
        <w:t>及中国证监会规定的其他信息。基金年度报告中</w:t>
      </w:r>
      <w:r w:rsidRPr="008C6BAB">
        <w:rPr>
          <w:rFonts w:ascii="宋体" w:hAnsi="宋体"/>
          <w:sz w:val="24"/>
          <w:szCs w:val="24"/>
        </w:rPr>
        <w:t>的财务会计报告</w:t>
      </w:r>
      <w:r w:rsidRPr="008C6BAB">
        <w:rPr>
          <w:rFonts w:ascii="宋体" w:hAnsi="宋体" w:hint="eastAsia"/>
          <w:sz w:val="24"/>
          <w:szCs w:val="24"/>
        </w:rPr>
        <w:t>需经过</w:t>
      </w:r>
      <w:r w:rsidRPr="008C6BAB">
        <w:rPr>
          <w:rFonts w:hint="eastAsia"/>
          <w:bCs/>
          <w:sz w:val="24"/>
        </w:rPr>
        <w:t>符合《中华人民共和国证券法》规定的</w:t>
      </w:r>
      <w:r w:rsidRPr="008C6BAB">
        <w:rPr>
          <w:rFonts w:ascii="宋体" w:hAnsi="宋体" w:hint="eastAsia"/>
          <w:sz w:val="24"/>
          <w:szCs w:val="24"/>
        </w:rPr>
        <w:t>会计师事务所审计后，方可披露。</w:t>
      </w:r>
    </w:p>
    <w:p w14:paraId="0BB8C8D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（三）基金托管人和基金管理人在信息披露中的职责和信息披露程序</w:t>
      </w:r>
    </w:p>
    <w:p w14:paraId="4AFE30C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1．职责</w:t>
      </w:r>
    </w:p>
    <w:p w14:paraId="14A23D7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基金托管人和基金管理人在信息披露过程中应以保护基金份额持有人利益为宗旨，诚实信用，严守秘密。基金管理人负责办理与基金有关的信息披露事宜，基金托管人应当按照相关法律法规和</w:t>
      </w:r>
      <w:r w:rsidRPr="008C6BAB">
        <w:rPr>
          <w:rFonts w:ascii="宋体" w:hAnsi="宋体" w:cs="宋体"/>
          <w:color w:val="000000"/>
          <w:sz w:val="24"/>
          <w:szCs w:val="24"/>
        </w:rPr>
        <w:t>基金合同</w:t>
      </w:r>
      <w:r w:rsidRPr="008C6BAB">
        <w:rPr>
          <w:rFonts w:ascii="宋体" w:hAnsi="宋体" w:cs="宋体" w:hint="eastAsia"/>
          <w:color w:val="000000"/>
          <w:sz w:val="24"/>
          <w:szCs w:val="24"/>
        </w:rPr>
        <w:t>的约定，对于本章第（二）条规定的应由基金托管人复核的事项进行复核，基金托管人复核无误后，由基金管理人予以公布。</w:t>
      </w:r>
    </w:p>
    <w:p w14:paraId="0FA5CEE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基金管理人和基金托管人应积极配合、互相监督，保证按照法定方式和时限履行信息披露义务。</w:t>
      </w:r>
    </w:p>
    <w:p w14:paraId="66FFC27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hint="eastAsia"/>
          <w:sz w:val="24"/>
          <w:szCs w:val="24"/>
        </w:rPr>
        <w:lastRenderedPageBreak/>
        <w:t>基金管理人应当在中国证监会规定的时间内，将应予披露的基金信息通过中国</w:t>
      </w:r>
      <w:r w:rsidRPr="008C6BAB">
        <w:rPr>
          <w:rFonts w:ascii="宋体" w:hAnsi="宋体"/>
          <w:sz w:val="24"/>
          <w:szCs w:val="24"/>
        </w:rPr>
        <w:t>证监会</w:t>
      </w:r>
      <w:r w:rsidRPr="008C6BAB">
        <w:rPr>
          <w:rFonts w:ascii="宋体" w:hAnsi="宋体" w:hint="eastAsia"/>
          <w:sz w:val="24"/>
          <w:szCs w:val="24"/>
        </w:rPr>
        <w:t>规定媒介披露。根据法律法规应由基金托管人公开披露的信息，基金托管人将根据</w:t>
      </w:r>
      <w:r w:rsidRPr="008C6BAB">
        <w:rPr>
          <w:rFonts w:ascii="宋体" w:hAnsi="宋体"/>
          <w:sz w:val="24"/>
          <w:szCs w:val="24"/>
        </w:rPr>
        <w:t>《</w:t>
      </w:r>
      <w:r w:rsidRPr="008C6BAB">
        <w:rPr>
          <w:rFonts w:ascii="宋体" w:hAnsi="宋体" w:hint="eastAsia"/>
          <w:sz w:val="24"/>
          <w:szCs w:val="24"/>
        </w:rPr>
        <w:t>信息</w:t>
      </w:r>
      <w:r w:rsidRPr="008C6BAB">
        <w:rPr>
          <w:rFonts w:ascii="宋体" w:hAnsi="宋体"/>
          <w:sz w:val="24"/>
          <w:szCs w:val="24"/>
        </w:rPr>
        <w:t>披露办法》</w:t>
      </w:r>
      <w:r w:rsidRPr="008C6BAB">
        <w:rPr>
          <w:rFonts w:ascii="宋体" w:hAnsi="宋体" w:hint="eastAsia"/>
          <w:sz w:val="24"/>
          <w:szCs w:val="24"/>
        </w:rPr>
        <w:t>的</w:t>
      </w:r>
      <w:r w:rsidRPr="008C6BAB">
        <w:rPr>
          <w:rFonts w:ascii="宋体" w:hAnsi="宋体"/>
          <w:sz w:val="24"/>
          <w:szCs w:val="24"/>
        </w:rPr>
        <w:t>规定进行</w:t>
      </w:r>
      <w:r w:rsidRPr="008C6BAB">
        <w:rPr>
          <w:rFonts w:ascii="宋体" w:hAnsi="宋体" w:hint="eastAsia"/>
          <w:sz w:val="24"/>
          <w:szCs w:val="24"/>
        </w:rPr>
        <w:t>公开披露。</w:t>
      </w:r>
    </w:p>
    <w:p w14:paraId="7CD553A8" w14:textId="77777777" w:rsidR="00006FD1" w:rsidRPr="008C6BAB" w:rsidRDefault="00056933">
      <w:pPr>
        <w:spacing w:line="360" w:lineRule="auto"/>
        <w:ind w:firstLine="480"/>
        <w:rPr>
          <w:rFonts w:ascii="宋体" w:hAnsi="宋体" w:cs="宋体"/>
          <w:color w:val="000000"/>
          <w:sz w:val="24"/>
          <w:szCs w:val="24"/>
        </w:rPr>
      </w:pPr>
      <w:bookmarkStart w:id="24" w:name="_Hlk84701354"/>
      <w:r w:rsidRPr="008C6BAB">
        <w:rPr>
          <w:rFonts w:ascii="宋体" w:hAnsi="宋体" w:cs="宋体" w:hint="eastAsia"/>
          <w:color w:val="000000"/>
          <w:sz w:val="24"/>
          <w:szCs w:val="24"/>
        </w:rPr>
        <w:t>当出现下述情况时，基金管理人和基金托管人可暂停或延迟披露基金相关信息：</w:t>
      </w:r>
    </w:p>
    <w:p w14:paraId="1EF745D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w:t>
      </w:r>
      <w:r w:rsidRPr="008C6BAB">
        <w:rPr>
          <w:rFonts w:ascii="宋体" w:hAnsi="宋体" w:cs="宋体"/>
          <w:color w:val="000000"/>
          <w:sz w:val="24"/>
          <w:szCs w:val="24"/>
        </w:rPr>
        <w:t>1）</w:t>
      </w:r>
      <w:r w:rsidRPr="008C6BAB">
        <w:rPr>
          <w:rFonts w:ascii="宋体" w:hAnsi="宋体" w:cs="宋体" w:hint="eastAsia"/>
          <w:color w:val="000000"/>
          <w:sz w:val="24"/>
          <w:szCs w:val="24"/>
        </w:rPr>
        <w:t>基金投资所涉及的证券交易所遇法定节假日或因其他原因暂停营业时；</w:t>
      </w:r>
    </w:p>
    <w:p w14:paraId="0F3F6C6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w:t>
      </w:r>
      <w:r w:rsidRPr="008C6BAB">
        <w:rPr>
          <w:rFonts w:ascii="宋体" w:hAnsi="宋体" w:cs="宋体"/>
          <w:color w:val="000000"/>
          <w:sz w:val="24"/>
          <w:szCs w:val="24"/>
        </w:rPr>
        <w:t>2）</w:t>
      </w:r>
      <w:r w:rsidRPr="008C6BAB">
        <w:rPr>
          <w:rFonts w:ascii="宋体" w:hAnsi="宋体" w:cs="宋体" w:hint="eastAsia"/>
          <w:color w:val="000000"/>
          <w:sz w:val="24"/>
          <w:szCs w:val="24"/>
        </w:rPr>
        <w:t>因不可抗力致使基金管理人、基金托管人无法准确评估基金资产价值时；</w:t>
      </w:r>
    </w:p>
    <w:p w14:paraId="0F2D70D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w:t>
      </w:r>
      <w:r w:rsidRPr="008C6BAB">
        <w:rPr>
          <w:rFonts w:ascii="宋体" w:hAnsi="宋体" w:cs="宋体"/>
          <w:color w:val="000000"/>
          <w:sz w:val="24"/>
          <w:szCs w:val="24"/>
        </w:rPr>
        <w:t>3）</w:t>
      </w:r>
      <w:r w:rsidRPr="008C6BAB">
        <w:rPr>
          <w:rFonts w:ascii="宋体" w:hAnsi="宋体" w:cs="宋体" w:hint="eastAsia"/>
          <w:color w:val="000000"/>
          <w:sz w:val="24"/>
          <w:szCs w:val="24"/>
        </w:rPr>
        <w:t>法律法规规定、中国证监会或基金合同认定的其他情形。</w:t>
      </w:r>
    </w:p>
    <w:bookmarkEnd w:id="24"/>
    <w:p w14:paraId="5D4F03B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2．程序</w:t>
      </w:r>
    </w:p>
    <w:p w14:paraId="3B4F010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按有关规定须经基金托管人复核的信息披露文件，由基金管理人起草、并经基金托管人复核后由基金管理人公告。发生</w:t>
      </w:r>
      <w:r w:rsidRPr="008C6BAB">
        <w:rPr>
          <w:rFonts w:ascii="宋体" w:hAnsi="宋体" w:cs="宋体"/>
          <w:color w:val="000000"/>
          <w:sz w:val="24"/>
          <w:szCs w:val="24"/>
        </w:rPr>
        <w:t>基金合同</w:t>
      </w:r>
      <w:r w:rsidRPr="008C6BAB">
        <w:rPr>
          <w:rFonts w:ascii="宋体" w:hAnsi="宋体" w:cs="宋体" w:hint="eastAsia"/>
          <w:color w:val="000000"/>
          <w:sz w:val="24"/>
          <w:szCs w:val="24"/>
        </w:rPr>
        <w:t>中规定需要披露的事项时，按</w:t>
      </w:r>
      <w:r w:rsidRPr="008C6BAB">
        <w:rPr>
          <w:rFonts w:ascii="宋体" w:hAnsi="宋体" w:cs="宋体"/>
          <w:color w:val="000000"/>
          <w:sz w:val="24"/>
          <w:szCs w:val="24"/>
        </w:rPr>
        <w:t>基金合同</w:t>
      </w:r>
      <w:r w:rsidRPr="008C6BAB">
        <w:rPr>
          <w:rFonts w:ascii="宋体" w:hAnsi="宋体" w:cs="宋体" w:hint="eastAsia"/>
          <w:color w:val="000000"/>
          <w:sz w:val="24"/>
          <w:szCs w:val="24"/>
        </w:rPr>
        <w:t>规定公布。</w:t>
      </w:r>
    </w:p>
    <w:p w14:paraId="60E7A9E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3．信息文本的存放</w:t>
      </w:r>
    </w:p>
    <w:p w14:paraId="326D275B" w14:textId="41B0AC59"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依法必须披露的信息发布后，基金管理人、基金托管人应当按照相关法律法规规定将信息置备于各自办公场所，供社会公众查阅、复制。基金管理人和基金托管人应保证文本的内容与所公告的内容完全一致。</w:t>
      </w:r>
    </w:p>
    <w:p w14:paraId="208BA940" w14:textId="77777777" w:rsidR="00006FD1" w:rsidRPr="008C6BAB" w:rsidRDefault="00006FD1">
      <w:pPr>
        <w:spacing w:line="360" w:lineRule="auto"/>
        <w:ind w:firstLine="480"/>
        <w:rPr>
          <w:rFonts w:ascii="仿宋" w:eastAsia="仿宋" w:hAnsi="仿宋"/>
          <w:color w:val="000000"/>
          <w:sz w:val="24"/>
          <w:szCs w:val="24"/>
        </w:rPr>
      </w:pPr>
    </w:p>
    <w:p w14:paraId="28E8B1E7"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25" w:name="_Toc264617151"/>
      <w:r w:rsidRPr="008C6BAB">
        <w:rPr>
          <w:rFonts w:ascii="宋体" w:hAnsi="宋体" w:hint="eastAsia"/>
          <w:bCs w:val="0"/>
          <w:color w:val="000000"/>
          <w:sz w:val="30"/>
          <w:szCs w:val="30"/>
        </w:rPr>
        <w:lastRenderedPageBreak/>
        <w:t>十一、基金费用</w:t>
      </w:r>
      <w:bookmarkEnd w:id="25"/>
    </w:p>
    <w:p w14:paraId="01FDA07F" w14:textId="77777777" w:rsidR="00006FD1" w:rsidRPr="008C6BAB" w:rsidRDefault="00056933">
      <w:pPr>
        <w:spacing w:line="360" w:lineRule="auto"/>
        <w:ind w:firstLine="480"/>
        <w:rPr>
          <w:rFonts w:ascii="宋体" w:hAnsi="宋体" w:cs="宋体"/>
          <w:color w:val="000000"/>
          <w:sz w:val="24"/>
          <w:szCs w:val="24"/>
        </w:rPr>
      </w:pPr>
      <w:bookmarkStart w:id="26" w:name="_Hlk84701931"/>
      <w:r w:rsidRPr="008C6BAB">
        <w:rPr>
          <w:rFonts w:ascii="宋体" w:hAnsi="宋体" w:cs="宋体" w:hint="eastAsia"/>
          <w:color w:val="000000"/>
          <w:sz w:val="24"/>
          <w:szCs w:val="24"/>
        </w:rPr>
        <w:t>（一）基金管理费的计提比例和计提方法</w:t>
      </w:r>
    </w:p>
    <w:p w14:paraId="7A02D6BD" w14:textId="5C5B2309"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本基金的管理费按前一日基金资产净值的0.</w:t>
      </w:r>
      <w:r w:rsidR="00AB3526">
        <w:rPr>
          <w:rFonts w:ascii="宋体" w:hAnsi="宋体" w:cs="宋体"/>
          <w:bCs/>
          <w:color w:val="000000"/>
          <w:sz w:val="24"/>
        </w:rPr>
        <w:t>3</w:t>
      </w:r>
      <w:r w:rsidRPr="008C6BAB">
        <w:rPr>
          <w:rFonts w:ascii="宋体" w:hAnsi="宋体" w:cs="宋体" w:hint="eastAsia"/>
          <w:bCs/>
          <w:color w:val="000000"/>
          <w:sz w:val="24"/>
        </w:rPr>
        <w:t>%年费率计提。基金管理费的计算方法如下：</w:t>
      </w:r>
    </w:p>
    <w:p w14:paraId="59F5101D" w14:textId="2F5BEBD5"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H＝E×0.</w:t>
      </w:r>
      <w:r w:rsidR="00AB3526">
        <w:rPr>
          <w:rFonts w:ascii="宋体" w:hAnsi="宋体" w:cs="宋体"/>
          <w:bCs/>
          <w:color w:val="000000"/>
          <w:sz w:val="24"/>
        </w:rPr>
        <w:t>3</w:t>
      </w:r>
      <w:r w:rsidRPr="008C6BAB">
        <w:rPr>
          <w:rFonts w:ascii="宋体" w:hAnsi="宋体" w:cs="宋体" w:hint="eastAsia"/>
          <w:bCs/>
          <w:color w:val="000000"/>
          <w:sz w:val="24"/>
        </w:rPr>
        <w:t>%÷当年天数</w:t>
      </w:r>
    </w:p>
    <w:p w14:paraId="29781841"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H为每日应计提的基金管理费</w:t>
      </w:r>
    </w:p>
    <w:p w14:paraId="7F4748C8"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E为前一日的基金资产净值</w:t>
      </w:r>
    </w:p>
    <w:p w14:paraId="6CC01252" w14:textId="20F4BBB9"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基金管理费每日计提，按月支付，经基金管理人授权后，由基金托管人根据与基金管理人核对一致的财务数据，自动在月初5个工作日内、按照指定的账户路径进行资金支付，基金管理人无需再出具资金划拨指令。</w:t>
      </w:r>
      <w:r w:rsidR="00EF3D53" w:rsidRPr="00EF3D53">
        <w:rPr>
          <w:rFonts w:ascii="宋体" w:hAnsi="宋体" w:cs="宋体" w:hint="eastAsia"/>
          <w:bCs/>
          <w:color w:val="000000"/>
          <w:sz w:val="24"/>
        </w:rPr>
        <w:t>若遇法定节假日、休息日或不可抗力致使无法按时支付的，顺延至最近可支付日支付。</w:t>
      </w:r>
    </w:p>
    <w:p w14:paraId="1F8BC2C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（二）基金托管费的计提比例和计提方法</w:t>
      </w:r>
    </w:p>
    <w:p w14:paraId="4FBB66C4" w14:textId="67D259BC"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本基金的托管费按前一日基金资产净值的</w:t>
      </w:r>
      <w:r w:rsidRPr="008C6BAB">
        <w:rPr>
          <w:rFonts w:ascii="宋体" w:hAnsi="宋体" w:cs="宋体"/>
          <w:bCs/>
          <w:color w:val="000000"/>
          <w:sz w:val="24"/>
        </w:rPr>
        <w:t>0.</w:t>
      </w:r>
      <w:r w:rsidR="005737C3">
        <w:rPr>
          <w:rFonts w:ascii="宋体" w:hAnsi="宋体" w:cs="宋体"/>
          <w:bCs/>
          <w:color w:val="000000"/>
          <w:sz w:val="24"/>
        </w:rPr>
        <w:t>1</w:t>
      </w:r>
      <w:r w:rsidRPr="008C6BAB">
        <w:rPr>
          <w:rFonts w:ascii="宋体" w:hAnsi="宋体" w:cs="宋体" w:hint="eastAsia"/>
          <w:bCs/>
          <w:color w:val="000000"/>
          <w:sz w:val="24"/>
        </w:rPr>
        <w:t>%年费率计提。基金托管费的计算方法如下：</w:t>
      </w:r>
    </w:p>
    <w:p w14:paraId="01526467" w14:textId="0BC95D9D"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H＝E×0.</w:t>
      </w:r>
      <w:r w:rsidR="005737C3">
        <w:rPr>
          <w:rFonts w:ascii="宋体" w:hAnsi="宋体" w:cs="宋体"/>
          <w:bCs/>
          <w:color w:val="000000"/>
          <w:sz w:val="24"/>
        </w:rPr>
        <w:t>1</w:t>
      </w:r>
      <w:r w:rsidRPr="008C6BAB">
        <w:rPr>
          <w:rFonts w:ascii="宋体" w:hAnsi="宋体" w:cs="宋体" w:hint="eastAsia"/>
          <w:bCs/>
          <w:color w:val="000000"/>
          <w:sz w:val="24"/>
        </w:rPr>
        <w:t>%÷当年天数</w:t>
      </w:r>
    </w:p>
    <w:p w14:paraId="50E27A0A"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H为每日应计提的基金托管费</w:t>
      </w:r>
    </w:p>
    <w:p w14:paraId="1B70BB6F"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E为前一日的基金资产净值</w:t>
      </w:r>
    </w:p>
    <w:p w14:paraId="4ED3628C" w14:textId="4718FB1E"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基金托管费每日计提，按月支付，经基金管理人授权后，由基金托管人根据与基金管理人核对一致的财务数据，自动在月初5个工作日内、按照指定的账户路径进行资金支付，基金管理人无需再出具资金划拨指令。</w:t>
      </w:r>
      <w:r w:rsidR="00EF3D53" w:rsidRPr="00D35026">
        <w:rPr>
          <w:rFonts w:hint="eastAsia"/>
          <w:bCs/>
          <w:sz w:val="24"/>
        </w:rPr>
        <w:t>若遇法定节假日、休息日或不可抗力致使无法按时支付的，顺延至最近可支付日支付。</w:t>
      </w:r>
    </w:p>
    <w:p w14:paraId="1E786ACE" w14:textId="77777777" w:rsidR="00006FD1" w:rsidRPr="008C6BAB" w:rsidRDefault="00056933">
      <w:pPr>
        <w:spacing w:line="360" w:lineRule="auto"/>
        <w:ind w:firstLine="480"/>
        <w:rPr>
          <w:rFonts w:ascii="宋体" w:hAnsi="宋体" w:cs="宋体"/>
          <w:color w:val="000000"/>
        </w:rPr>
      </w:pPr>
      <w:r w:rsidRPr="008C6BAB">
        <w:rPr>
          <w:rFonts w:ascii="宋体" w:hAnsi="宋体" w:cs="宋体"/>
          <w:bCs/>
          <w:color w:val="000000"/>
          <w:sz w:val="24"/>
        </w:rPr>
        <w:t>托管费收入账户：</w:t>
      </w:r>
    </w:p>
    <w:p w14:paraId="0CA6216D" w14:textId="77777777" w:rsidR="00006FD1" w:rsidRPr="008C6BAB" w:rsidRDefault="00056933">
      <w:pPr>
        <w:spacing w:line="360" w:lineRule="auto"/>
        <w:ind w:firstLine="480"/>
        <w:rPr>
          <w:rFonts w:ascii="宋体" w:hAnsi="宋体" w:cs="宋体"/>
          <w:color w:val="000000"/>
        </w:rPr>
      </w:pPr>
      <w:r w:rsidRPr="008C6BAB">
        <w:rPr>
          <w:rFonts w:ascii="宋体" w:hAnsi="宋体" w:cs="宋体"/>
          <w:bCs/>
          <w:color w:val="000000"/>
          <w:sz w:val="24"/>
        </w:rPr>
        <w:t>户    名：基金托管费收入</w:t>
      </w:r>
    </w:p>
    <w:p w14:paraId="5C5D1C1A" w14:textId="77777777" w:rsidR="00006FD1" w:rsidRPr="008C6BAB" w:rsidRDefault="00056933">
      <w:pPr>
        <w:spacing w:line="360" w:lineRule="auto"/>
        <w:ind w:firstLine="480"/>
        <w:rPr>
          <w:rFonts w:ascii="宋体" w:hAnsi="宋体" w:cs="宋体"/>
          <w:color w:val="000000"/>
        </w:rPr>
      </w:pPr>
      <w:r w:rsidRPr="008C6BAB">
        <w:rPr>
          <w:rFonts w:ascii="宋体" w:hAnsi="宋体" w:cs="宋体"/>
          <w:bCs/>
          <w:color w:val="000000"/>
          <w:sz w:val="24"/>
        </w:rPr>
        <w:t xml:space="preserve">账    号：10010117380000001 </w:t>
      </w:r>
    </w:p>
    <w:p w14:paraId="7B0BF28D" w14:textId="77777777" w:rsidR="00006FD1" w:rsidRPr="008C6BAB" w:rsidRDefault="00056933">
      <w:pPr>
        <w:spacing w:line="360" w:lineRule="auto"/>
        <w:ind w:firstLine="480"/>
        <w:rPr>
          <w:rFonts w:ascii="宋体" w:hAnsi="宋体" w:cs="宋体"/>
          <w:color w:val="000000"/>
        </w:rPr>
      </w:pPr>
      <w:r w:rsidRPr="008C6BAB">
        <w:rPr>
          <w:rFonts w:ascii="宋体" w:hAnsi="宋体" w:cs="宋体"/>
          <w:bCs/>
          <w:color w:val="000000"/>
          <w:sz w:val="24"/>
        </w:rPr>
        <w:t>开户银行：中国光大银行（系统支付号303100000006）</w:t>
      </w:r>
    </w:p>
    <w:p w14:paraId="1464F4A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 xml:space="preserve">（三） </w:t>
      </w:r>
      <w:r w:rsidRPr="008C6BAB">
        <w:rPr>
          <w:rFonts w:ascii="宋体" w:hAnsi="宋体" w:cs="宋体" w:hint="eastAsia"/>
          <w:bCs/>
          <w:color w:val="000000"/>
          <w:sz w:val="24"/>
          <w:szCs w:val="24"/>
        </w:rPr>
        <w:t>C类基金份额的</w:t>
      </w:r>
      <w:r w:rsidRPr="008C6BAB">
        <w:rPr>
          <w:rFonts w:ascii="宋体" w:hAnsi="宋体" w:cs="宋体" w:hint="eastAsia"/>
          <w:color w:val="000000"/>
          <w:sz w:val="24"/>
          <w:szCs w:val="24"/>
        </w:rPr>
        <w:t>销售服务费的计提比例和计提方法</w:t>
      </w:r>
    </w:p>
    <w:p w14:paraId="000A4DAA" w14:textId="246698C0"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bCs/>
          <w:color w:val="000000"/>
          <w:sz w:val="24"/>
          <w:szCs w:val="24"/>
        </w:rPr>
        <w:t>本基金A类基金份额不收取销售服务费，C类基金份额的销售服务费按前一日C类基金份额的基金资产净值的</w:t>
      </w:r>
      <w:r w:rsidRPr="008C6BAB">
        <w:rPr>
          <w:rFonts w:ascii="宋体" w:hAnsi="宋体" w:cs="宋体"/>
          <w:bCs/>
          <w:color w:val="000000"/>
          <w:sz w:val="24"/>
          <w:szCs w:val="24"/>
        </w:rPr>
        <w:t>0.</w:t>
      </w:r>
      <w:r w:rsidR="006B6C60">
        <w:rPr>
          <w:rFonts w:ascii="宋体" w:hAnsi="宋体" w:cs="宋体"/>
          <w:bCs/>
          <w:color w:val="000000"/>
          <w:sz w:val="24"/>
          <w:szCs w:val="24"/>
        </w:rPr>
        <w:t>20</w:t>
      </w:r>
      <w:r w:rsidRPr="008C6BAB">
        <w:rPr>
          <w:rFonts w:ascii="宋体" w:hAnsi="宋体" w:cs="宋体"/>
          <w:bCs/>
          <w:color w:val="000000"/>
          <w:sz w:val="24"/>
          <w:szCs w:val="24"/>
        </w:rPr>
        <w:t>%</w:t>
      </w:r>
      <w:r w:rsidRPr="008C6BAB">
        <w:rPr>
          <w:rFonts w:ascii="宋体" w:hAnsi="宋体" w:cs="宋体" w:hint="eastAsia"/>
          <w:bCs/>
          <w:color w:val="000000"/>
          <w:sz w:val="24"/>
          <w:szCs w:val="24"/>
        </w:rPr>
        <w:t>年费率计提。</w:t>
      </w:r>
      <w:r w:rsidRPr="008C6BAB">
        <w:rPr>
          <w:rFonts w:ascii="宋体" w:hAnsi="宋体" w:cs="宋体" w:hint="eastAsia"/>
          <w:color w:val="000000"/>
          <w:sz w:val="24"/>
          <w:szCs w:val="24"/>
        </w:rPr>
        <w:t>基金销售服务费的计算方</w:t>
      </w:r>
      <w:r w:rsidRPr="008C6BAB">
        <w:rPr>
          <w:rFonts w:ascii="宋体" w:hAnsi="宋体" w:cs="宋体" w:hint="eastAsia"/>
          <w:color w:val="000000"/>
          <w:sz w:val="24"/>
          <w:szCs w:val="24"/>
        </w:rPr>
        <w:lastRenderedPageBreak/>
        <w:t>法如下：</w:t>
      </w:r>
    </w:p>
    <w:p w14:paraId="26521F91" w14:textId="0EFEB1FA" w:rsidR="00006FD1" w:rsidRPr="008C6BAB" w:rsidRDefault="00056933">
      <w:pPr>
        <w:spacing w:line="360" w:lineRule="auto"/>
        <w:ind w:firstLine="480"/>
        <w:rPr>
          <w:rFonts w:ascii="宋体" w:hAnsi="宋体" w:cs="宋体"/>
          <w:color w:val="000000"/>
          <w:sz w:val="24"/>
          <w:szCs w:val="24"/>
        </w:rPr>
      </w:pPr>
      <w:bookmarkStart w:id="27" w:name="_Hlk84702080"/>
      <w:r w:rsidRPr="008C6BAB">
        <w:rPr>
          <w:rFonts w:ascii="宋体" w:hAnsi="宋体" w:cs="宋体" w:hint="eastAsia"/>
          <w:color w:val="000000"/>
          <w:sz w:val="24"/>
          <w:szCs w:val="24"/>
        </w:rPr>
        <w:t>H＝E×0.</w:t>
      </w:r>
      <w:r w:rsidR="006B6C60">
        <w:rPr>
          <w:rFonts w:ascii="宋体" w:hAnsi="宋体" w:cs="宋体"/>
          <w:color w:val="000000"/>
          <w:sz w:val="24"/>
          <w:szCs w:val="24"/>
        </w:rPr>
        <w:t>20</w:t>
      </w:r>
      <w:r w:rsidRPr="008C6BAB">
        <w:rPr>
          <w:rFonts w:ascii="宋体" w:hAnsi="宋体" w:cs="宋体" w:hint="eastAsia"/>
          <w:color w:val="000000"/>
          <w:sz w:val="24"/>
          <w:szCs w:val="24"/>
        </w:rPr>
        <w:t>%÷当年天数</w:t>
      </w:r>
    </w:p>
    <w:p w14:paraId="3791C8F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color w:val="000000"/>
          <w:sz w:val="24"/>
          <w:szCs w:val="24"/>
        </w:rPr>
        <w:t>H为C类</w:t>
      </w:r>
      <w:r w:rsidRPr="008C6BAB">
        <w:rPr>
          <w:rFonts w:ascii="宋体" w:hAnsi="宋体" w:cs="宋体" w:hint="eastAsia"/>
          <w:color w:val="000000"/>
          <w:sz w:val="24"/>
          <w:szCs w:val="24"/>
        </w:rPr>
        <w:t>基金份额每日应计提的销售服务费</w:t>
      </w:r>
    </w:p>
    <w:p w14:paraId="6ED81B5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color w:val="000000"/>
          <w:sz w:val="24"/>
          <w:szCs w:val="24"/>
        </w:rPr>
        <w:t>E为C类基金份额</w:t>
      </w:r>
      <w:r w:rsidRPr="008C6BAB">
        <w:rPr>
          <w:rFonts w:ascii="宋体" w:hAnsi="宋体" w:cs="宋体" w:hint="eastAsia"/>
          <w:color w:val="000000"/>
          <w:sz w:val="24"/>
          <w:szCs w:val="24"/>
        </w:rPr>
        <w:t>前一日基金资产净值</w:t>
      </w:r>
    </w:p>
    <w:bookmarkEnd w:id="27"/>
    <w:p w14:paraId="739E2130" w14:textId="5BFE8E73"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C类基金份额的销售服务费每日计提，按月支付，</w:t>
      </w:r>
      <w:r w:rsidRPr="008C6BAB">
        <w:rPr>
          <w:rFonts w:ascii="宋体" w:hAnsi="宋体" w:cs="宋体" w:hint="eastAsia"/>
          <w:bCs/>
          <w:color w:val="000000"/>
          <w:sz w:val="24"/>
        </w:rPr>
        <w:t>经基金管理人授权后，</w:t>
      </w:r>
      <w:r w:rsidRPr="008C6BAB">
        <w:rPr>
          <w:rFonts w:ascii="宋体" w:hAnsi="宋体" w:cs="宋体" w:hint="eastAsia"/>
          <w:color w:val="000000"/>
          <w:sz w:val="24"/>
          <w:szCs w:val="24"/>
        </w:rPr>
        <w:t>由基金托管人根据与基金管理人核对一致的财务数据，自动在月初5个工作日内、按照指定的账户路径进行资金支付，基金管理人无需再出具资金划拨指令。</w:t>
      </w:r>
      <w:r w:rsidR="00EF3D53" w:rsidRPr="00D35026">
        <w:rPr>
          <w:rFonts w:hint="eastAsia"/>
          <w:bCs/>
          <w:sz w:val="24"/>
        </w:rPr>
        <w:t>若遇法定节假日、休息日或不可抗力致使无法按时支付的，顺延至最近可支付日支付。</w:t>
      </w:r>
    </w:p>
    <w:bookmarkEnd w:id="26"/>
    <w:p w14:paraId="4A976D70" w14:textId="03225E66" w:rsidR="003C1D5C" w:rsidRDefault="005E3139">
      <w:pPr>
        <w:spacing w:line="360" w:lineRule="auto"/>
        <w:ind w:firstLine="480"/>
        <w:rPr>
          <w:rFonts w:ascii="宋体" w:hAnsi="宋体" w:cs="宋体"/>
          <w:color w:val="000000"/>
          <w:sz w:val="24"/>
          <w:szCs w:val="24"/>
        </w:rPr>
      </w:pPr>
      <w:r w:rsidRPr="00EF3BF7">
        <w:rPr>
          <w:rFonts w:hint="eastAsia"/>
          <w:bCs/>
          <w:sz w:val="24"/>
        </w:rPr>
        <w:t>C</w:t>
      </w:r>
      <w:r w:rsidRPr="00EF3BF7">
        <w:rPr>
          <w:rFonts w:hint="eastAsia"/>
          <w:bCs/>
          <w:sz w:val="24"/>
        </w:rPr>
        <w:t>类基金份额的销售服务费将专门用于本基金的推广、销售与基金份额持有人服务。</w:t>
      </w:r>
      <w:r w:rsidR="00056933" w:rsidRPr="008C6BAB">
        <w:rPr>
          <w:rFonts w:ascii="宋体" w:hAnsi="宋体" w:cs="宋体" w:hint="eastAsia"/>
          <w:color w:val="000000"/>
          <w:sz w:val="24"/>
          <w:szCs w:val="24"/>
        </w:rPr>
        <w:t>销售服务费使用范围不包括基金募集期间的上述费用。</w:t>
      </w:r>
      <w:bookmarkStart w:id="28" w:name="_Hlk84702185"/>
    </w:p>
    <w:p w14:paraId="10FC0CBB" w14:textId="50B854BB"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证券账户开户费用：证券账户开户费经基金管理人与基金托管人核对无误后，自本基金基金合同生效后一个月内由基金托管人从基金财产中划付，如基金财产余额不足支付该开户费用，由基金管理人于本基金基金合同生效一个月后的5个工作日内进行垫付，基金托管人不承担垫付开户费用义务。</w:t>
      </w:r>
    </w:p>
    <w:bookmarkEnd w:id="28"/>
    <w:p w14:paraId="30811D47" w14:textId="5A24732E" w:rsidR="00006FD1" w:rsidRPr="008C6BAB" w:rsidRDefault="00056933">
      <w:pPr>
        <w:spacing w:line="360" w:lineRule="auto"/>
        <w:ind w:firstLine="480"/>
        <w:rPr>
          <w:rFonts w:ascii="宋体" w:hAnsi="宋体" w:cs="宋体"/>
          <w:color w:val="000000"/>
          <w:sz w:val="24"/>
          <w:szCs w:val="24"/>
          <w:shd w:val="pct10" w:color="auto" w:fill="FFFFFF"/>
        </w:rPr>
      </w:pPr>
      <w:r w:rsidRPr="008C6BAB">
        <w:rPr>
          <w:rFonts w:ascii="宋体" w:hAnsi="宋体" w:cs="宋体" w:hint="eastAsia"/>
          <w:color w:val="000000"/>
          <w:sz w:val="24"/>
          <w:szCs w:val="24"/>
        </w:rPr>
        <w:t>（五）证券交易费用、基金财产划拨支付的银行费用、基金的账户开户费用及账户维护费用、</w:t>
      </w:r>
      <w:r w:rsidRPr="008C6BAB">
        <w:rPr>
          <w:rFonts w:ascii="宋体" w:hAnsi="宋体" w:cs="宋体"/>
          <w:color w:val="000000"/>
          <w:sz w:val="24"/>
          <w:szCs w:val="24"/>
        </w:rPr>
        <w:t>基金合同</w:t>
      </w:r>
      <w:r w:rsidRPr="008C6BAB">
        <w:rPr>
          <w:rFonts w:ascii="宋体" w:hAnsi="宋体" w:cs="宋体" w:hint="eastAsia"/>
          <w:color w:val="000000"/>
          <w:sz w:val="24"/>
          <w:szCs w:val="24"/>
        </w:rPr>
        <w:t>生效后与基金相关的信息披露费用、基金份额持有人大会费用、</w:t>
      </w:r>
      <w:r w:rsidRPr="008C6BAB">
        <w:rPr>
          <w:rFonts w:ascii="宋体" w:hAnsi="宋体" w:cs="宋体"/>
          <w:color w:val="000000"/>
          <w:sz w:val="24"/>
          <w:szCs w:val="24"/>
        </w:rPr>
        <w:t>基金合同</w:t>
      </w:r>
      <w:r w:rsidRPr="008C6BAB">
        <w:rPr>
          <w:rFonts w:ascii="宋体" w:hAnsi="宋体" w:cs="宋体" w:hint="eastAsia"/>
          <w:color w:val="000000"/>
          <w:sz w:val="24"/>
          <w:szCs w:val="24"/>
        </w:rPr>
        <w:t>生效后与基金有关的会计师费、律师费、仲裁费、诉讼费等根据有关法律法规、</w:t>
      </w:r>
      <w:r w:rsidRPr="008C6BAB">
        <w:rPr>
          <w:rFonts w:ascii="宋体" w:hAnsi="宋体" w:cs="宋体"/>
          <w:color w:val="000000"/>
          <w:sz w:val="24"/>
          <w:szCs w:val="24"/>
        </w:rPr>
        <w:t>基金合同</w:t>
      </w:r>
      <w:r w:rsidRPr="008C6BAB">
        <w:rPr>
          <w:rFonts w:ascii="宋体" w:hAnsi="宋体" w:cs="宋体" w:hint="eastAsia"/>
          <w:color w:val="000000"/>
          <w:sz w:val="24"/>
          <w:szCs w:val="24"/>
        </w:rPr>
        <w:t>及相应协议的规定，列入当期基金费用。</w:t>
      </w:r>
    </w:p>
    <w:p w14:paraId="644D013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（六）不列入基金费用的项目</w:t>
      </w:r>
    </w:p>
    <w:p w14:paraId="79354FD5" w14:textId="576158E1"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color w:val="000000"/>
          <w:sz w:val="24"/>
          <w:szCs w:val="24"/>
        </w:rPr>
        <w:t>基金合同</w:t>
      </w:r>
      <w:r w:rsidRPr="008C6BAB">
        <w:rPr>
          <w:rFonts w:ascii="宋体" w:hAnsi="宋体" w:cs="宋体" w:hint="eastAsia"/>
          <w:color w:val="000000"/>
          <w:sz w:val="24"/>
          <w:szCs w:val="24"/>
        </w:rPr>
        <w:t>生效前的律师费、会计师费、信息披露费用以及其他费用不得从基金财产中列支。基金管理人与基金托管人因未履行或未完全履行义务导致的费用支出或基金财产的损失、</w:t>
      </w:r>
      <w:r w:rsidR="006E5F6F" w:rsidRPr="006E5F6F">
        <w:rPr>
          <w:rFonts w:ascii="宋体" w:hAnsi="宋体" w:cs="宋体" w:hint="eastAsia"/>
          <w:color w:val="000000"/>
          <w:sz w:val="24"/>
          <w:szCs w:val="24"/>
        </w:rPr>
        <w:t>《基金合同》生效前的相关费用</w:t>
      </w:r>
      <w:r w:rsidRPr="008C6BAB">
        <w:rPr>
          <w:rFonts w:ascii="宋体" w:hAnsi="宋体" w:cs="宋体" w:hint="eastAsia"/>
          <w:color w:val="000000"/>
          <w:sz w:val="24"/>
          <w:szCs w:val="24"/>
        </w:rPr>
        <w:t>，以及处理与基金运作无关的事项发生的费用等不列入基金费用。其他根据相关法律法规及中国证监会的有关规定不得列入基金费用的项目不列入基金费用。</w:t>
      </w:r>
    </w:p>
    <w:p w14:paraId="0D4493F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（七）</w:t>
      </w:r>
      <w:bookmarkStart w:id="29" w:name="_Hlk99479006"/>
      <w:r w:rsidRPr="008C6BAB">
        <w:rPr>
          <w:rFonts w:ascii="宋体" w:hAnsi="宋体" w:cs="宋体" w:hint="eastAsia"/>
          <w:color w:val="000000"/>
          <w:sz w:val="24"/>
          <w:szCs w:val="24"/>
        </w:rPr>
        <w:t>基金管理费、基金托管费、销售服务费的调整</w:t>
      </w:r>
      <w:bookmarkEnd w:id="29"/>
    </w:p>
    <w:p w14:paraId="1AEC5E3E" w14:textId="77777777" w:rsidR="00006FD1" w:rsidRPr="008C6BAB" w:rsidRDefault="00056933">
      <w:pPr>
        <w:spacing w:line="360" w:lineRule="auto"/>
        <w:ind w:firstLine="480"/>
        <w:rPr>
          <w:rFonts w:ascii="宋体" w:hAnsi="宋体" w:cs="宋体"/>
          <w:color w:val="000000"/>
          <w:sz w:val="24"/>
          <w:szCs w:val="24"/>
        </w:rPr>
      </w:pPr>
      <w:bookmarkStart w:id="30" w:name="_Hlk99478987"/>
      <w:r w:rsidRPr="008C6BAB">
        <w:rPr>
          <w:rFonts w:ascii="宋体" w:hAnsi="宋体" w:cs="宋体" w:hint="eastAsia"/>
          <w:color w:val="000000"/>
          <w:sz w:val="24"/>
          <w:szCs w:val="24"/>
        </w:rPr>
        <w:t>在遵守相关的法律法规并履行了必要的程序的前提下，基金管理人和基金托管人协商一致后可酌情调整基金管理费、基金托管费和销售服务费。基金管理人必须于新的费率实施日前按照《信息披露办法》的规定在规定媒介上刊登</w:t>
      </w:r>
      <w:r w:rsidRPr="008C6BAB">
        <w:rPr>
          <w:rFonts w:ascii="宋体" w:hAnsi="宋体" w:cs="宋体" w:hint="eastAsia"/>
          <w:color w:val="000000"/>
          <w:sz w:val="24"/>
          <w:szCs w:val="24"/>
        </w:rPr>
        <w:lastRenderedPageBreak/>
        <w:t>公告。</w:t>
      </w:r>
    </w:p>
    <w:bookmarkEnd w:id="30"/>
    <w:p w14:paraId="78E8344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（八）基金管理费、基金托管费和销售服务费的复核程序</w:t>
      </w:r>
    </w:p>
    <w:p w14:paraId="7F29A99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基金托管人对基金管理人计提的基金管理费、基金托管费和销售服务费等，根据本托管协议和</w:t>
      </w:r>
      <w:r w:rsidRPr="008C6BAB">
        <w:rPr>
          <w:rFonts w:ascii="宋体" w:hAnsi="宋体" w:cs="宋体"/>
          <w:color w:val="000000"/>
          <w:sz w:val="24"/>
          <w:szCs w:val="24"/>
        </w:rPr>
        <w:t>基金合同</w:t>
      </w:r>
      <w:r w:rsidRPr="008C6BAB">
        <w:rPr>
          <w:rFonts w:ascii="宋体" w:hAnsi="宋体" w:cs="宋体" w:hint="eastAsia"/>
          <w:color w:val="000000"/>
          <w:sz w:val="24"/>
          <w:szCs w:val="24"/>
        </w:rPr>
        <w:t>的有关规定进行复核。</w:t>
      </w:r>
    </w:p>
    <w:p w14:paraId="7C5C933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（九）实施侧袋机制期间的基金费用</w:t>
      </w:r>
    </w:p>
    <w:p w14:paraId="0688CB8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48F58B9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（十）违规处理方式</w:t>
      </w:r>
    </w:p>
    <w:p w14:paraId="0EF999A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基金托管人发现基金管理人违反《基金法》、</w:t>
      </w:r>
      <w:r w:rsidRPr="008C6BAB">
        <w:rPr>
          <w:rFonts w:ascii="宋体" w:hAnsi="宋体" w:cs="宋体"/>
          <w:color w:val="000000"/>
          <w:sz w:val="24"/>
          <w:szCs w:val="24"/>
        </w:rPr>
        <w:t>基金合同</w:t>
      </w:r>
      <w:r w:rsidRPr="008C6BAB">
        <w:rPr>
          <w:rFonts w:ascii="宋体" w:hAnsi="宋体" w:cs="宋体" w:hint="eastAsia"/>
          <w:color w:val="000000"/>
          <w:sz w:val="24"/>
          <w:szCs w:val="24"/>
        </w:rPr>
        <w:t>、《运作办法》及其他有关规定从基金财产中列支费用时，基金托管人可要求基金管理人予以说明解释，如基金管理人无正当理由，基金托管人可拒绝支付。</w:t>
      </w:r>
    </w:p>
    <w:p w14:paraId="1888FF3A"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31" w:name="_Toc264617152"/>
      <w:r w:rsidRPr="008C6BAB">
        <w:rPr>
          <w:rFonts w:ascii="宋体" w:hAnsi="宋体" w:hint="eastAsia"/>
          <w:bCs w:val="0"/>
          <w:color w:val="000000"/>
          <w:sz w:val="30"/>
          <w:szCs w:val="30"/>
        </w:rPr>
        <w:lastRenderedPageBreak/>
        <w:t>十二、基金份额持有人名册的保管</w:t>
      </w:r>
      <w:bookmarkEnd w:id="31"/>
    </w:p>
    <w:p w14:paraId="5AB42032" w14:textId="4C9B8F59"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基金份额持有人名册至少应包括基金份额持有人的名称和持有的基金份额。基金份额持有人名册由基金登记机构根据基金管理人的指令编制和保管</w:t>
      </w:r>
      <w:r w:rsidR="00BA27B8">
        <w:rPr>
          <w:rFonts w:ascii="宋体" w:hAnsi="宋体" w:cs="宋体" w:hint="eastAsia"/>
          <w:color w:val="000000"/>
          <w:sz w:val="24"/>
          <w:szCs w:val="24"/>
        </w:rPr>
        <w:t>。</w:t>
      </w:r>
      <w:r w:rsidRPr="008C6BAB">
        <w:rPr>
          <w:rFonts w:ascii="宋体" w:hAnsi="宋体" w:cs="宋体" w:hint="eastAsia"/>
          <w:color w:val="000000"/>
          <w:sz w:val="24"/>
          <w:szCs w:val="24"/>
        </w:rPr>
        <w:t>基金管理人或基金管理人委托的登记机构应定期向基金托管人提供基金份额持有人名册，基金托管人得到基金管理人提供的持有人名册后与基金管理人分别进行保管。保管方式可以采用电子或文档的形式，保存期限</w:t>
      </w:r>
      <w:r w:rsidRPr="008C6BAB">
        <w:rPr>
          <w:rFonts w:ascii="Arial" w:hAnsi="Arial" w:cs="Arial" w:hint="eastAsia"/>
          <w:bCs/>
          <w:sz w:val="24"/>
        </w:rPr>
        <w:t>不低于法律法规规定的最低期限</w:t>
      </w:r>
      <w:r w:rsidRPr="008C6BAB">
        <w:rPr>
          <w:rFonts w:ascii="宋体" w:hAnsi="宋体" w:cs="宋体" w:hint="eastAsia"/>
          <w:color w:val="000000"/>
          <w:sz w:val="24"/>
          <w:szCs w:val="24"/>
        </w:rPr>
        <w:t>。如不能妥善保管，则按相关法规承担责任。</w:t>
      </w:r>
    </w:p>
    <w:p w14:paraId="4B440CF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法律法规另有规定或有权机关另有要求的除外。</w:t>
      </w:r>
    </w:p>
    <w:p w14:paraId="0CB2EBD4" w14:textId="77777777" w:rsidR="00006FD1" w:rsidRPr="008C6BAB" w:rsidRDefault="00006FD1">
      <w:pPr>
        <w:spacing w:line="360" w:lineRule="auto"/>
        <w:ind w:firstLine="480"/>
        <w:rPr>
          <w:rFonts w:ascii="仿宋" w:eastAsia="仿宋" w:hAnsi="仿宋"/>
          <w:color w:val="000000"/>
          <w:sz w:val="24"/>
          <w:szCs w:val="24"/>
        </w:rPr>
      </w:pPr>
    </w:p>
    <w:p w14:paraId="470DD40B"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32" w:name="_Toc264617153"/>
      <w:r w:rsidRPr="008C6BAB">
        <w:rPr>
          <w:rFonts w:ascii="宋体" w:hAnsi="宋体" w:hint="eastAsia"/>
          <w:bCs w:val="0"/>
          <w:color w:val="000000"/>
          <w:sz w:val="30"/>
          <w:szCs w:val="30"/>
        </w:rPr>
        <w:lastRenderedPageBreak/>
        <w:t>十三、基金有关文件档案的保存</w:t>
      </w:r>
      <w:bookmarkEnd w:id="32"/>
    </w:p>
    <w:p w14:paraId="788C9464"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（一）档案保存</w:t>
      </w:r>
    </w:p>
    <w:p w14:paraId="4425BDD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sidRPr="008C6BAB">
        <w:rPr>
          <w:rFonts w:ascii="Arial" w:hAnsi="Arial" w:cs="Arial" w:hint="eastAsia"/>
          <w:bCs/>
          <w:sz w:val="24"/>
        </w:rPr>
        <w:t>不低于法律法规规定的最低期限</w:t>
      </w:r>
      <w:r w:rsidRPr="008C6BAB">
        <w:rPr>
          <w:rFonts w:ascii="宋体" w:hAnsi="宋体" w:cs="宋体" w:hint="eastAsia"/>
          <w:color w:val="000000"/>
          <w:sz w:val="24"/>
          <w:szCs w:val="24"/>
        </w:rPr>
        <w:t>。</w:t>
      </w:r>
    </w:p>
    <w:p w14:paraId="76F077C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（二）合同档案的建立</w:t>
      </w:r>
    </w:p>
    <w:p w14:paraId="02311B7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1．基金管理人签署重大合同文本后，应及时将合同文本正本送达基金托管人处。</w:t>
      </w:r>
    </w:p>
    <w:p w14:paraId="30F7610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2．基金管理人应及时将与本基金账务处理、资金划拨等有关的合同、协议传真基金托管人。</w:t>
      </w:r>
    </w:p>
    <w:p w14:paraId="1D50FC6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（三）变更与协助</w:t>
      </w:r>
    </w:p>
    <w:p w14:paraId="46EF6C6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若基金管理人/基金托管人发生变更，未变更的一方有义务协助变更后的接任人接收相应文件。</w:t>
      </w:r>
    </w:p>
    <w:p w14:paraId="6A1FAB9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（四）基金管理人和基金托管人应按各自职责完整保存原始凭证、记账凭证、基金账册、交易记录和重要合同等，承担保密义务并保存，保存期限</w:t>
      </w:r>
      <w:r w:rsidRPr="008C6BAB">
        <w:rPr>
          <w:rFonts w:ascii="Arial" w:hAnsi="Arial" w:cs="Arial" w:hint="eastAsia"/>
          <w:bCs/>
          <w:sz w:val="24"/>
        </w:rPr>
        <w:t>不低于法律法规规定的最低期限</w:t>
      </w:r>
      <w:r w:rsidRPr="008C6BAB">
        <w:rPr>
          <w:rFonts w:ascii="宋体" w:hAnsi="宋体" w:cs="宋体" w:hint="eastAsia"/>
          <w:color w:val="000000"/>
          <w:sz w:val="24"/>
          <w:szCs w:val="24"/>
        </w:rPr>
        <w:t>。</w:t>
      </w:r>
    </w:p>
    <w:p w14:paraId="5C060AA8" w14:textId="77777777" w:rsidR="00006FD1" w:rsidRPr="008C6BAB" w:rsidRDefault="00006FD1">
      <w:pPr>
        <w:spacing w:line="360" w:lineRule="auto"/>
        <w:ind w:firstLine="480"/>
        <w:rPr>
          <w:rFonts w:ascii="仿宋" w:eastAsia="仿宋" w:hAnsi="仿宋"/>
          <w:color w:val="000000"/>
          <w:sz w:val="24"/>
          <w:szCs w:val="24"/>
        </w:rPr>
      </w:pPr>
    </w:p>
    <w:p w14:paraId="6ED3AA37"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33" w:name="_Toc264617154"/>
      <w:r w:rsidRPr="008C6BAB">
        <w:rPr>
          <w:rFonts w:ascii="宋体" w:hAnsi="宋体" w:hint="eastAsia"/>
          <w:bCs w:val="0"/>
          <w:color w:val="000000"/>
          <w:sz w:val="30"/>
          <w:szCs w:val="30"/>
        </w:rPr>
        <w:lastRenderedPageBreak/>
        <w:t>十四、基金管理人和基金托管人的更换</w:t>
      </w:r>
      <w:bookmarkEnd w:id="33"/>
    </w:p>
    <w:p w14:paraId="4936025B" w14:textId="77777777" w:rsidR="00006FD1" w:rsidRPr="008C6BAB" w:rsidRDefault="00056933">
      <w:pPr>
        <w:spacing w:line="360" w:lineRule="auto"/>
        <w:ind w:firstLine="480"/>
        <w:rPr>
          <w:rFonts w:ascii="宋体" w:hAnsi="宋体" w:cs="宋体"/>
          <w:color w:val="000000"/>
          <w:sz w:val="24"/>
          <w:szCs w:val="24"/>
        </w:rPr>
      </w:pPr>
      <w:bookmarkStart w:id="34" w:name="_Hlk99479069"/>
      <w:r w:rsidRPr="008C6BAB">
        <w:rPr>
          <w:rFonts w:ascii="宋体" w:hAnsi="宋体" w:cs="宋体" w:hint="eastAsia"/>
          <w:color w:val="000000"/>
          <w:sz w:val="24"/>
          <w:szCs w:val="24"/>
        </w:rPr>
        <w:t>（一）基金管理人的更换</w:t>
      </w:r>
    </w:p>
    <w:p w14:paraId="380538F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1、基金管理人职责终止的情形</w:t>
      </w:r>
    </w:p>
    <w:p w14:paraId="3B68639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有下列情形之一的，基金管理人职责终止：</w:t>
      </w:r>
    </w:p>
    <w:p w14:paraId="2EC20A66" w14:textId="06D71A7C"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(1)被依法取消基金管理资格；</w:t>
      </w:r>
    </w:p>
    <w:p w14:paraId="6515C3C5"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(2)被基金份额持有人大会解任；</w:t>
      </w:r>
    </w:p>
    <w:p w14:paraId="0F0438C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(3)依法解散、被依法撤销或被依法宣告破产；</w:t>
      </w:r>
    </w:p>
    <w:p w14:paraId="3004015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(4)法律法规及中国证监会规定的和</w:t>
      </w:r>
      <w:r w:rsidRPr="008C6BAB">
        <w:rPr>
          <w:rFonts w:ascii="宋体" w:hAnsi="宋体" w:cs="宋体"/>
          <w:color w:val="000000"/>
          <w:sz w:val="24"/>
          <w:szCs w:val="24"/>
        </w:rPr>
        <w:t>基金合同</w:t>
      </w:r>
      <w:r w:rsidRPr="008C6BAB">
        <w:rPr>
          <w:rFonts w:ascii="宋体" w:hAnsi="宋体" w:cs="宋体" w:hint="eastAsia"/>
          <w:color w:val="000000"/>
          <w:sz w:val="24"/>
          <w:szCs w:val="24"/>
        </w:rPr>
        <w:t>约定的其他情形。</w:t>
      </w:r>
    </w:p>
    <w:p w14:paraId="24B3490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2、更换基金管理人的程序</w:t>
      </w:r>
    </w:p>
    <w:p w14:paraId="0D059220" w14:textId="77777777" w:rsidR="00006FD1" w:rsidRPr="008C6BAB" w:rsidRDefault="00056933">
      <w:pPr>
        <w:spacing w:line="360" w:lineRule="auto"/>
        <w:ind w:firstLine="480"/>
        <w:rPr>
          <w:rFonts w:ascii="宋体" w:hAnsi="宋体" w:cs="宋体"/>
          <w:color w:val="000000"/>
          <w:sz w:val="24"/>
          <w:szCs w:val="24"/>
        </w:rPr>
      </w:pPr>
      <w:bookmarkStart w:id="35" w:name="_Hlk84702350"/>
      <w:r w:rsidRPr="008C6BAB">
        <w:rPr>
          <w:rFonts w:ascii="宋体" w:hAnsi="宋体" w:cs="宋体" w:hint="eastAsia"/>
          <w:color w:val="000000"/>
          <w:sz w:val="24"/>
          <w:szCs w:val="24"/>
        </w:rPr>
        <w:t>(1)提名：</w:t>
      </w:r>
      <w:r w:rsidRPr="008C6BAB">
        <w:rPr>
          <w:rFonts w:cs="Arial"/>
          <w:bCs/>
          <w:sz w:val="24"/>
        </w:rPr>
        <w:t>新任基金管理人由基金托管人或由单独或合计持有</w:t>
      </w:r>
      <w:r w:rsidRPr="008C6BAB">
        <w:rPr>
          <w:rFonts w:cs="Arial"/>
          <w:bCs/>
          <w:sz w:val="24"/>
        </w:rPr>
        <w:t>10%</w:t>
      </w:r>
      <w:r w:rsidRPr="008C6BAB">
        <w:rPr>
          <w:rFonts w:cs="Arial"/>
          <w:bCs/>
          <w:sz w:val="24"/>
        </w:rPr>
        <w:t>以上（含</w:t>
      </w:r>
      <w:r w:rsidRPr="008C6BAB">
        <w:rPr>
          <w:rFonts w:cs="Arial"/>
          <w:bCs/>
          <w:sz w:val="24"/>
        </w:rPr>
        <w:t>10%</w:t>
      </w:r>
      <w:r w:rsidRPr="008C6BAB">
        <w:rPr>
          <w:rFonts w:cs="Arial"/>
          <w:bCs/>
          <w:sz w:val="24"/>
        </w:rPr>
        <w:t>）基金份额的基金份额持有人提名</w:t>
      </w:r>
      <w:r w:rsidRPr="008C6BAB">
        <w:rPr>
          <w:rFonts w:ascii="宋体" w:hAnsi="宋体" w:cs="宋体" w:hint="eastAsia"/>
          <w:color w:val="000000"/>
          <w:sz w:val="24"/>
          <w:szCs w:val="24"/>
        </w:rPr>
        <w:t>；</w:t>
      </w:r>
    </w:p>
    <w:p w14:paraId="29C37D6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(2)决议：基金份额持有人大会在基金管理人职责终止后6个月内对被提名的</w:t>
      </w:r>
      <w:r w:rsidRPr="008C6BAB">
        <w:rPr>
          <w:rFonts w:ascii="宋体" w:hAnsi="宋体" w:cs="宋体" w:hint="eastAsia"/>
          <w:bCs/>
          <w:color w:val="000000"/>
          <w:sz w:val="24"/>
          <w:szCs w:val="24"/>
        </w:rPr>
        <w:t>新</w:t>
      </w:r>
      <w:r w:rsidRPr="008C6BAB">
        <w:rPr>
          <w:rFonts w:ascii="宋体" w:hAnsi="宋体" w:cs="宋体"/>
          <w:bCs/>
          <w:color w:val="000000"/>
          <w:sz w:val="24"/>
          <w:szCs w:val="24"/>
        </w:rPr>
        <w:t>任</w:t>
      </w:r>
      <w:r w:rsidRPr="008C6BAB">
        <w:rPr>
          <w:rFonts w:ascii="宋体" w:hAnsi="宋体" w:cs="宋体" w:hint="eastAsia"/>
          <w:color w:val="000000"/>
          <w:sz w:val="24"/>
          <w:szCs w:val="24"/>
        </w:rPr>
        <w:t>基金管理人形成决议，该决议需经参加大会的基金份额持有人所持表决权的三分之二以上（含三分之二）表决通过，决议自表决通过之日起生效，新任基金管理人应当符合法律法规及中国证监会规定的资格条件；</w:t>
      </w:r>
    </w:p>
    <w:p w14:paraId="4BAF104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(3)临时基金管理人：新任基金管理人产生之前，由中国证监会指定临时基金管理人；</w:t>
      </w:r>
    </w:p>
    <w:p w14:paraId="1610DD5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(4)备案：基金份额持有人大会更换基金管理人的决议须报中国证监会备案；</w:t>
      </w:r>
    </w:p>
    <w:p w14:paraId="2008597B" w14:textId="5E3D8A6A"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(5)公告：基金管理人更换后，由基金托管人在更换基金管理人的基金份额持有人大会决议生效后依照《信息披露办法》的规定在规定媒介公告；</w:t>
      </w:r>
    </w:p>
    <w:p w14:paraId="7B5D755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14:paraId="4B6C34AB" w14:textId="79F3FE0A"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(7)审计：基金管理人职责终止的，应当按照法律法规规定聘请会计师事务所对基金财产进行审计，并将审计结果予以公告，同时报中国证监会备案，审计费用在基金财产中列支；</w:t>
      </w:r>
    </w:p>
    <w:p w14:paraId="112D73D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lastRenderedPageBreak/>
        <w:t>(8)基金名称变更：基金管理人更换后，如果原任或新任基金管理人要求，应按其要求替换或删除基金名称中与原基金管理人有关的名称字样。</w:t>
      </w:r>
    </w:p>
    <w:p w14:paraId="17C1D24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（二）基金托管人的更换</w:t>
      </w:r>
    </w:p>
    <w:p w14:paraId="01ACB91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1、基金托管人职责终止的情形</w:t>
      </w:r>
    </w:p>
    <w:p w14:paraId="5A45BC9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有下列情形之一的，基金托管人职责终止：</w:t>
      </w:r>
    </w:p>
    <w:p w14:paraId="4061A64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(1)被依法取消基金托管资格；</w:t>
      </w:r>
    </w:p>
    <w:p w14:paraId="7D35016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(2)被基金份额持有人大会解任；</w:t>
      </w:r>
    </w:p>
    <w:p w14:paraId="7584BAAA"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(3)依法解散、被依法撤销或被依法宣告破产；</w:t>
      </w:r>
    </w:p>
    <w:p w14:paraId="7FFA069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(4)法律法规及中国证监会规定的和</w:t>
      </w:r>
      <w:r w:rsidRPr="008C6BAB">
        <w:rPr>
          <w:rFonts w:ascii="宋体" w:hAnsi="宋体" w:cs="宋体"/>
          <w:color w:val="000000"/>
          <w:sz w:val="24"/>
          <w:szCs w:val="24"/>
        </w:rPr>
        <w:t>基金合同</w:t>
      </w:r>
      <w:r w:rsidRPr="008C6BAB">
        <w:rPr>
          <w:rFonts w:ascii="宋体" w:hAnsi="宋体" w:cs="宋体" w:hint="eastAsia"/>
          <w:color w:val="000000"/>
          <w:sz w:val="24"/>
          <w:szCs w:val="24"/>
        </w:rPr>
        <w:t>约定的其他情形。</w:t>
      </w:r>
    </w:p>
    <w:p w14:paraId="35DAB76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2、更换基金托管人的程序</w:t>
      </w:r>
    </w:p>
    <w:p w14:paraId="22BBA6D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(1)提名：</w:t>
      </w:r>
      <w:r w:rsidRPr="008C6BAB">
        <w:rPr>
          <w:rFonts w:cs="Arial"/>
          <w:bCs/>
          <w:sz w:val="24"/>
        </w:rPr>
        <w:t>新任基金托管人由基金管理人或由单独或合计持有</w:t>
      </w:r>
      <w:r w:rsidRPr="008C6BAB">
        <w:rPr>
          <w:rFonts w:cs="Arial"/>
          <w:bCs/>
          <w:sz w:val="24"/>
        </w:rPr>
        <w:t>10%</w:t>
      </w:r>
      <w:r w:rsidRPr="008C6BAB">
        <w:rPr>
          <w:rFonts w:cs="Arial"/>
          <w:bCs/>
          <w:sz w:val="24"/>
        </w:rPr>
        <w:t>以上（含</w:t>
      </w:r>
      <w:r w:rsidRPr="008C6BAB">
        <w:rPr>
          <w:rFonts w:cs="Arial"/>
          <w:bCs/>
          <w:sz w:val="24"/>
        </w:rPr>
        <w:t>10%</w:t>
      </w:r>
      <w:r w:rsidRPr="008C6BAB">
        <w:rPr>
          <w:rFonts w:cs="Arial"/>
          <w:bCs/>
          <w:sz w:val="24"/>
        </w:rPr>
        <w:t>）基金份额的基金份额持有人提名</w:t>
      </w:r>
      <w:r w:rsidRPr="008C6BAB">
        <w:rPr>
          <w:rFonts w:ascii="宋体" w:hAnsi="宋体" w:cs="宋体" w:hint="eastAsia"/>
          <w:color w:val="000000"/>
          <w:sz w:val="24"/>
          <w:szCs w:val="24"/>
        </w:rPr>
        <w:t>；</w:t>
      </w:r>
    </w:p>
    <w:p w14:paraId="13FC629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(2)决议：基金份额持有人大会在基金托管人职责终止后6个月内对被提名的</w:t>
      </w:r>
      <w:r w:rsidRPr="008C6BAB">
        <w:rPr>
          <w:rFonts w:ascii="宋体" w:hAnsi="宋体" w:cs="宋体" w:hint="eastAsia"/>
          <w:bCs/>
          <w:color w:val="000000"/>
          <w:sz w:val="24"/>
          <w:szCs w:val="24"/>
        </w:rPr>
        <w:t>新任</w:t>
      </w:r>
      <w:r w:rsidRPr="008C6BAB">
        <w:rPr>
          <w:rFonts w:ascii="宋体" w:hAnsi="宋体" w:cs="宋体" w:hint="eastAsia"/>
          <w:color w:val="000000"/>
          <w:sz w:val="24"/>
          <w:szCs w:val="24"/>
        </w:rPr>
        <w:t>基金托管人形成决议，该决议需经参加大会的基金份额持有人所持表决权的三分之二以上（含三分之二）表决通过，决议自表决通过之日起生效，新任基金托管人应当符合法律法规及中国证监会规定的资格条件；</w:t>
      </w:r>
    </w:p>
    <w:p w14:paraId="545E340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(3)临时基金托管人：新任基金托管人产生之前，由中国证监会指定临时基金托管人；</w:t>
      </w:r>
    </w:p>
    <w:p w14:paraId="3D00060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(4)备案：基金份额持有人大会更换基金托管人的决议须报中国证监会备案；</w:t>
      </w:r>
    </w:p>
    <w:p w14:paraId="44F5226C" w14:textId="201C80FB"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(5)公告：基金托管人更换后，由基金管理人在更换基金托管人的基金份额持有人大会决议生效后依照《信息披露办法》的规定在规定媒介公告；</w:t>
      </w:r>
    </w:p>
    <w:p w14:paraId="0B36733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 xml:space="preserve">(6)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 </w:t>
      </w:r>
    </w:p>
    <w:p w14:paraId="42EDA5C5" w14:textId="008CEB5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(7)审计：基金托管人职责终止的，应当按照法律法规规定聘请会计师事务所对基金财产进行审计，并将审计结果予以公告，同时报中国证监会备案，审计费用在基金财产中列支。</w:t>
      </w:r>
    </w:p>
    <w:p w14:paraId="31FD4C4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lastRenderedPageBreak/>
        <w:t>（三）</w:t>
      </w:r>
      <w:r w:rsidRPr="008C6BAB">
        <w:rPr>
          <w:rFonts w:ascii="宋体" w:hAnsi="宋体" w:cs="宋体" w:hint="eastAsia"/>
          <w:color w:val="000000"/>
          <w:sz w:val="24"/>
          <w:szCs w:val="24"/>
        </w:rPr>
        <w:tab/>
        <w:t>基金管理人和基金托管人的同时更换程序</w:t>
      </w:r>
    </w:p>
    <w:p w14:paraId="5D645E9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1、提名：如果基金管理人和基金托管人同时更换，由单独或合计持有基金总份额百分之十以上（含百分之十）的基金份额持有人提名新的基金管理人和基金托管人；</w:t>
      </w:r>
    </w:p>
    <w:p w14:paraId="6E8CB68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2、基金管理人和基金托管人的更换分别按上述程序进行；</w:t>
      </w:r>
    </w:p>
    <w:p w14:paraId="2743D27B" w14:textId="595BEA8C"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3、公告：新任基金管理人和新任基金托管人应在更换基金管理人和基金托管人的基金份额持有人大会决议生效后依照《信息披露办法》的规定在规定媒介上联合公告。</w:t>
      </w:r>
    </w:p>
    <w:p w14:paraId="6FEE8662" w14:textId="174EA25A"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新基金管理人或临时基金管理人接收基金管理业务，或新基金托管人或临时基金托管人接收基金财产和基金托管业务前，原基金管理人或基金托管人应继续履行相关职责，并保证不做出对基金份额持有人的利益造成损害的行为。原基金管理人或基金托管人在继续履行相关职责期间，仍有权按照基金合同的</w:t>
      </w:r>
      <w:r w:rsidRPr="008C6BAB">
        <w:rPr>
          <w:rFonts w:ascii="宋体" w:hAnsi="宋体" w:cs="宋体" w:hint="eastAsia"/>
          <w:bCs/>
          <w:color w:val="000000"/>
          <w:sz w:val="24"/>
          <w:szCs w:val="24"/>
        </w:rPr>
        <w:t>约定</w:t>
      </w:r>
      <w:r w:rsidRPr="008C6BAB">
        <w:rPr>
          <w:rFonts w:ascii="宋体" w:hAnsi="宋体" w:cs="宋体" w:hint="eastAsia"/>
          <w:color w:val="000000"/>
          <w:sz w:val="24"/>
          <w:szCs w:val="24"/>
        </w:rPr>
        <w:t>收取基金管理费、基金托管费。</w:t>
      </w:r>
    </w:p>
    <w:p w14:paraId="2CA6454E" w14:textId="3EB7236C" w:rsidR="00006FD1" w:rsidRPr="008C6BAB" w:rsidRDefault="00056933">
      <w:pPr>
        <w:spacing w:line="360" w:lineRule="auto"/>
        <w:ind w:firstLine="480"/>
        <w:rPr>
          <w:rFonts w:ascii="仿宋" w:eastAsia="仿宋" w:hAnsi="仿宋"/>
          <w:color w:val="000000"/>
          <w:sz w:val="24"/>
          <w:szCs w:val="24"/>
        </w:rPr>
      </w:pPr>
      <w:r w:rsidRPr="008C6BAB">
        <w:rPr>
          <w:rFonts w:ascii="宋体" w:hAnsi="宋体" w:cs="宋体" w:hint="eastAsia"/>
          <w:color w:val="000000"/>
          <w:sz w:val="24"/>
          <w:szCs w:val="24"/>
        </w:rPr>
        <w:t>（五）本部分关于基金管理人、基金托管人更换条件和程序的约定，凡是直接引用法律法规或监管规则的部分，如将来法律法规或监管规则修改导致相关内容被取消或变更的，基金管理人和基金托管人协商一致并提前公告后，可直接对相应内容进行修改和调整，无需召开基金份额持有人大会审议。</w:t>
      </w:r>
      <w:bookmarkEnd w:id="34"/>
    </w:p>
    <w:bookmarkEnd w:id="35"/>
    <w:p w14:paraId="01BD83CD" w14:textId="77777777" w:rsidR="00006FD1" w:rsidRPr="008C6BAB" w:rsidRDefault="00006FD1">
      <w:pPr>
        <w:spacing w:line="360" w:lineRule="auto"/>
        <w:ind w:firstLine="480"/>
        <w:rPr>
          <w:rFonts w:ascii="仿宋" w:eastAsia="仿宋" w:hAnsi="仿宋"/>
          <w:color w:val="000000"/>
          <w:sz w:val="24"/>
          <w:szCs w:val="24"/>
        </w:rPr>
      </w:pPr>
    </w:p>
    <w:p w14:paraId="5E76075E"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36" w:name="_Toc264617155"/>
      <w:r w:rsidRPr="008C6BAB">
        <w:rPr>
          <w:rFonts w:ascii="宋体" w:hAnsi="宋体" w:hint="eastAsia"/>
          <w:bCs w:val="0"/>
          <w:color w:val="000000"/>
          <w:sz w:val="30"/>
          <w:szCs w:val="30"/>
        </w:rPr>
        <w:lastRenderedPageBreak/>
        <w:t>十五、禁止行为</w:t>
      </w:r>
      <w:bookmarkEnd w:id="36"/>
    </w:p>
    <w:p w14:paraId="71058E52" w14:textId="77777777" w:rsidR="00006FD1" w:rsidRPr="008C6BAB" w:rsidRDefault="00056933">
      <w:pPr>
        <w:spacing w:line="360" w:lineRule="auto"/>
        <w:ind w:firstLine="480"/>
        <w:rPr>
          <w:rFonts w:ascii="宋体" w:hAnsi="宋体" w:cs="宋体"/>
          <w:color w:val="000000"/>
          <w:sz w:val="24"/>
          <w:szCs w:val="24"/>
          <w:shd w:val="pct10" w:color="auto" w:fill="FFFFFF"/>
        </w:rPr>
      </w:pPr>
      <w:r w:rsidRPr="008C6BAB">
        <w:rPr>
          <w:rFonts w:ascii="宋体" w:hAnsi="宋体" w:cs="宋体" w:hint="eastAsia"/>
          <w:color w:val="000000"/>
          <w:sz w:val="24"/>
          <w:szCs w:val="24"/>
        </w:rPr>
        <w:t>本协议当事人禁止从事的行为，包括但不限于：</w:t>
      </w:r>
    </w:p>
    <w:p w14:paraId="7D31C33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（一）基金管理人、基金托管人将其固有财产或者他人财产混同于基金财产从事证券投资。</w:t>
      </w:r>
    </w:p>
    <w:p w14:paraId="791B16A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（二）基金管理人不公平地对待其管理的不同基金财产，基金托管人不公平地对待其托管的不同基金财产。</w:t>
      </w:r>
    </w:p>
    <w:p w14:paraId="1F41FB3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（三）基金管理人、基金托管人利用基金财产或职务之便为基金份额持有人以外的第三人牟取利益。</w:t>
      </w:r>
    </w:p>
    <w:p w14:paraId="4150078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（四）基金管理人、基金托管人向基金份额持有人违规承诺收益或者承担损失。</w:t>
      </w:r>
    </w:p>
    <w:p w14:paraId="363DEB5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（五）基金管理人、基金托管人对他人泄露基金运作和管理过程中任何尚未按法律法规规定的方式公开披露的信息。</w:t>
      </w:r>
    </w:p>
    <w:p w14:paraId="007A108C"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（六）基金管理人在没有充足资金的情况下向基金托管人发出投资指令和赎回、分红资金的划拨指令，或违规向基金托管人发出指令。</w:t>
      </w:r>
    </w:p>
    <w:p w14:paraId="65D9773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（七）基金管理人、基金托管人高级管理人员和其他从业人员相互兼职。</w:t>
      </w:r>
    </w:p>
    <w:p w14:paraId="62BF673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（八）基金托管人私自动用或处分基金财产，根据基金管理人的合法指令、</w:t>
      </w:r>
      <w:r w:rsidRPr="008C6BAB">
        <w:rPr>
          <w:rFonts w:ascii="宋体" w:hAnsi="宋体" w:cs="宋体"/>
          <w:color w:val="000000"/>
          <w:sz w:val="24"/>
          <w:szCs w:val="24"/>
        </w:rPr>
        <w:t>基金合同</w:t>
      </w:r>
      <w:r w:rsidRPr="008C6BAB">
        <w:rPr>
          <w:rFonts w:ascii="宋体" w:hAnsi="宋体" w:cs="宋体" w:hint="eastAsia"/>
          <w:color w:val="000000"/>
          <w:sz w:val="24"/>
          <w:szCs w:val="24"/>
        </w:rPr>
        <w:t>或托管协议的规定进行处分的除外。</w:t>
      </w:r>
    </w:p>
    <w:p w14:paraId="63E6FC3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（九）基金管理人、基金托管人侵占、挪用基金财产。</w:t>
      </w:r>
    </w:p>
    <w:p w14:paraId="2F67EC3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（十）基金管理人、基金托管人泄露因职务便利获取的未公开信息、利用该信息从事或者明示、暗示他人从事相关的交易活动。</w:t>
      </w:r>
    </w:p>
    <w:p w14:paraId="40DE6A2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（十一）基金管理人、基金托管人玩忽职守，不按照规定履行职责。</w:t>
      </w:r>
    </w:p>
    <w:p w14:paraId="2F9A2D8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（十二）基金财产用于下列投资或者活动：</w:t>
      </w:r>
    </w:p>
    <w:p w14:paraId="48D1A76D" w14:textId="77777777" w:rsidR="00006FD1" w:rsidRPr="008C6BAB" w:rsidRDefault="00056933">
      <w:pPr>
        <w:spacing w:line="360" w:lineRule="auto"/>
        <w:ind w:firstLine="480"/>
        <w:rPr>
          <w:rFonts w:ascii="宋体" w:hAnsi="宋体" w:cs="宋体"/>
          <w:color w:val="000000"/>
          <w:sz w:val="24"/>
          <w:szCs w:val="21"/>
        </w:rPr>
      </w:pPr>
      <w:r w:rsidRPr="008C6BAB">
        <w:rPr>
          <w:rFonts w:ascii="宋体" w:hAnsi="宋体" w:cs="宋体" w:hint="eastAsia"/>
          <w:color w:val="000000"/>
          <w:sz w:val="24"/>
          <w:szCs w:val="21"/>
        </w:rPr>
        <w:t>（1）承销证券；</w:t>
      </w:r>
    </w:p>
    <w:p w14:paraId="2E10E574" w14:textId="77777777" w:rsidR="00006FD1" w:rsidRPr="008C6BAB" w:rsidRDefault="00056933">
      <w:pPr>
        <w:spacing w:line="360" w:lineRule="auto"/>
        <w:ind w:firstLine="480"/>
        <w:rPr>
          <w:rFonts w:ascii="宋体" w:hAnsi="宋体" w:cs="宋体"/>
          <w:color w:val="000000"/>
          <w:sz w:val="24"/>
          <w:szCs w:val="21"/>
        </w:rPr>
      </w:pPr>
      <w:r w:rsidRPr="008C6BAB">
        <w:rPr>
          <w:rFonts w:ascii="宋体" w:hAnsi="宋体" w:cs="宋体" w:hint="eastAsia"/>
          <w:color w:val="000000"/>
          <w:sz w:val="24"/>
          <w:szCs w:val="21"/>
        </w:rPr>
        <w:t>（2）违反规定向他人贷款或者提供担保；</w:t>
      </w:r>
    </w:p>
    <w:p w14:paraId="593F5959" w14:textId="77777777" w:rsidR="00006FD1" w:rsidRPr="008C6BAB" w:rsidRDefault="00056933">
      <w:pPr>
        <w:spacing w:line="360" w:lineRule="auto"/>
        <w:ind w:firstLine="480"/>
        <w:rPr>
          <w:rFonts w:ascii="宋体" w:hAnsi="宋体" w:cs="宋体"/>
          <w:color w:val="000000"/>
          <w:sz w:val="24"/>
          <w:szCs w:val="21"/>
        </w:rPr>
      </w:pPr>
      <w:r w:rsidRPr="008C6BAB">
        <w:rPr>
          <w:rFonts w:ascii="宋体" w:hAnsi="宋体" w:cs="宋体" w:hint="eastAsia"/>
          <w:color w:val="000000"/>
          <w:sz w:val="24"/>
          <w:szCs w:val="21"/>
        </w:rPr>
        <w:t>（3）从事承担无限责任的投资；</w:t>
      </w:r>
    </w:p>
    <w:p w14:paraId="6E538CBC" w14:textId="77777777" w:rsidR="00006FD1" w:rsidRPr="008C6BAB" w:rsidRDefault="00056933">
      <w:pPr>
        <w:spacing w:line="360" w:lineRule="auto"/>
        <w:ind w:firstLine="480"/>
        <w:rPr>
          <w:rFonts w:ascii="宋体" w:hAnsi="宋体" w:cs="宋体"/>
          <w:color w:val="000000"/>
          <w:sz w:val="24"/>
          <w:szCs w:val="21"/>
        </w:rPr>
      </w:pPr>
      <w:r w:rsidRPr="008C6BAB">
        <w:rPr>
          <w:rFonts w:ascii="宋体" w:hAnsi="宋体" w:cs="宋体" w:hint="eastAsia"/>
          <w:color w:val="000000"/>
          <w:sz w:val="24"/>
          <w:szCs w:val="21"/>
        </w:rPr>
        <w:t>（4）买卖其他基金份额，但是中国证监会另有规定的除外；</w:t>
      </w:r>
    </w:p>
    <w:p w14:paraId="164B0D99" w14:textId="77777777" w:rsidR="00006FD1" w:rsidRPr="008C6BAB" w:rsidRDefault="00056933">
      <w:pPr>
        <w:spacing w:line="360" w:lineRule="auto"/>
        <w:ind w:firstLine="480"/>
        <w:rPr>
          <w:rFonts w:ascii="宋体" w:hAnsi="宋体" w:cs="宋体"/>
          <w:color w:val="000000"/>
          <w:sz w:val="24"/>
          <w:szCs w:val="21"/>
        </w:rPr>
      </w:pPr>
      <w:r w:rsidRPr="008C6BAB">
        <w:rPr>
          <w:rFonts w:ascii="宋体" w:hAnsi="宋体" w:cs="宋体" w:hint="eastAsia"/>
          <w:color w:val="000000"/>
          <w:sz w:val="24"/>
          <w:szCs w:val="21"/>
        </w:rPr>
        <w:t>（5）向其基金管理人、基金托管人出资；</w:t>
      </w:r>
    </w:p>
    <w:p w14:paraId="58555F74" w14:textId="77777777" w:rsidR="00006FD1" w:rsidRPr="008C6BAB" w:rsidRDefault="00056933">
      <w:pPr>
        <w:spacing w:line="360" w:lineRule="auto"/>
        <w:ind w:firstLine="480"/>
        <w:rPr>
          <w:rFonts w:ascii="宋体" w:hAnsi="宋体" w:cs="宋体"/>
          <w:color w:val="000000"/>
          <w:sz w:val="24"/>
          <w:szCs w:val="21"/>
        </w:rPr>
      </w:pPr>
      <w:r w:rsidRPr="008C6BAB">
        <w:rPr>
          <w:rFonts w:ascii="宋体" w:hAnsi="宋体" w:cs="宋体" w:hint="eastAsia"/>
          <w:color w:val="000000"/>
          <w:sz w:val="24"/>
          <w:szCs w:val="21"/>
        </w:rPr>
        <w:t>（6）从事内幕交易、操纵证券交易价格及其他不正当的证券交易活动；</w:t>
      </w:r>
    </w:p>
    <w:p w14:paraId="5E3BB9C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1"/>
        </w:rPr>
        <w:lastRenderedPageBreak/>
        <w:t>（7）法律、行政法规和中国证监会规定禁止的其他活动。</w:t>
      </w:r>
    </w:p>
    <w:p w14:paraId="34541DC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（十三）法律法规和</w:t>
      </w:r>
      <w:r w:rsidRPr="008C6BAB">
        <w:rPr>
          <w:rFonts w:ascii="宋体" w:hAnsi="宋体" w:cs="宋体"/>
          <w:color w:val="000000"/>
          <w:sz w:val="24"/>
          <w:szCs w:val="24"/>
        </w:rPr>
        <w:t>基金合同</w:t>
      </w:r>
      <w:r w:rsidRPr="008C6BAB">
        <w:rPr>
          <w:rFonts w:ascii="宋体" w:hAnsi="宋体" w:cs="宋体" w:hint="eastAsia"/>
          <w:color w:val="000000"/>
          <w:sz w:val="24"/>
          <w:szCs w:val="24"/>
        </w:rPr>
        <w:t>禁止的其他行为，以及法律、行政法规和中国证监会规定禁止基金管理人、基金托管人从事的其他行为。</w:t>
      </w:r>
    </w:p>
    <w:p w14:paraId="1A07447F" w14:textId="77777777" w:rsidR="00006FD1" w:rsidRPr="008C6BAB" w:rsidRDefault="00056933">
      <w:pPr>
        <w:spacing w:line="360" w:lineRule="auto"/>
        <w:ind w:firstLine="480"/>
        <w:rPr>
          <w:rFonts w:ascii="仿宋" w:eastAsia="仿宋" w:hAnsi="仿宋"/>
          <w:color w:val="000000"/>
          <w:sz w:val="24"/>
          <w:szCs w:val="24"/>
        </w:rPr>
      </w:pPr>
      <w:r w:rsidRPr="008C6BAB">
        <w:rPr>
          <w:rFonts w:ascii="宋体" w:hAnsi="宋体" w:cs="宋体" w:hint="eastAsia"/>
          <w:color w:val="000000"/>
          <w:sz w:val="24"/>
          <w:szCs w:val="24"/>
        </w:rPr>
        <w:t>法律、行政法规和监管部门取消或调整上述禁止性规定的，如适用于本基金，基金管理人在履行适当程序后，则本基金不受上述相关限制或按照调整后的规定执行。</w:t>
      </w:r>
    </w:p>
    <w:p w14:paraId="23DB7083" w14:textId="77777777" w:rsidR="00006FD1" w:rsidRPr="008C6BAB" w:rsidRDefault="00056933">
      <w:pPr>
        <w:pStyle w:val="212"/>
        <w:spacing w:line="360" w:lineRule="auto"/>
        <w:jc w:val="center"/>
        <w:rPr>
          <w:rFonts w:ascii="宋体" w:hAnsi="宋体"/>
          <w:bCs w:val="0"/>
          <w:color w:val="000000"/>
          <w:sz w:val="30"/>
          <w:szCs w:val="30"/>
        </w:rPr>
      </w:pPr>
      <w:r w:rsidRPr="008C6BAB">
        <w:rPr>
          <w:rFonts w:ascii="仿宋" w:eastAsia="仿宋" w:hAnsi="仿宋" w:hint="eastAsia"/>
          <w:b w:val="0"/>
          <w:bCs w:val="0"/>
          <w:color w:val="000000"/>
          <w:sz w:val="24"/>
          <w:szCs w:val="24"/>
        </w:rPr>
        <w:br w:type="page"/>
      </w:r>
      <w:bookmarkStart w:id="37" w:name="_Toc264617156"/>
      <w:r w:rsidRPr="008C6BAB">
        <w:rPr>
          <w:rFonts w:ascii="宋体" w:hAnsi="宋体" w:hint="eastAsia"/>
          <w:bCs w:val="0"/>
          <w:color w:val="000000"/>
          <w:sz w:val="30"/>
          <w:szCs w:val="30"/>
        </w:rPr>
        <w:lastRenderedPageBreak/>
        <w:t>十六、托管协议的变更、终止与基金财产的清算</w:t>
      </w:r>
      <w:bookmarkEnd w:id="37"/>
    </w:p>
    <w:p w14:paraId="34782A2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（一）托管协议的变更程序</w:t>
      </w:r>
    </w:p>
    <w:p w14:paraId="00F60ED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本协议双方当事人经协商一致，可以对协议进行修改。修改后的新协议，其内容不得与</w:t>
      </w:r>
      <w:r w:rsidRPr="008C6BAB">
        <w:rPr>
          <w:rFonts w:ascii="宋体" w:hAnsi="宋体" w:cs="宋体"/>
          <w:color w:val="000000"/>
          <w:sz w:val="24"/>
          <w:szCs w:val="24"/>
        </w:rPr>
        <w:t>基金合同</w:t>
      </w:r>
      <w:r w:rsidRPr="008C6BAB">
        <w:rPr>
          <w:rFonts w:ascii="宋体" w:hAnsi="宋体" w:cs="宋体" w:hint="eastAsia"/>
          <w:color w:val="000000"/>
          <w:sz w:val="24"/>
          <w:szCs w:val="24"/>
        </w:rPr>
        <w:t>的规定有任何冲突。基金托管协议的变更报中国证监会</w:t>
      </w:r>
      <w:r w:rsidRPr="008C6BAB">
        <w:rPr>
          <w:rFonts w:ascii="宋体" w:hAnsi="宋体" w:cs="宋体" w:hint="eastAsia"/>
          <w:color w:val="000000"/>
          <w:spacing w:val="6"/>
          <w:sz w:val="24"/>
        </w:rPr>
        <w:t>备案</w:t>
      </w:r>
      <w:r w:rsidRPr="008C6BAB">
        <w:rPr>
          <w:rFonts w:ascii="宋体" w:hAnsi="宋体" w:cs="宋体" w:hint="eastAsia"/>
          <w:color w:val="000000"/>
          <w:sz w:val="24"/>
          <w:szCs w:val="24"/>
        </w:rPr>
        <w:t>。</w:t>
      </w:r>
    </w:p>
    <w:p w14:paraId="7AA3D41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（二）基金托管协议终止出现的情形</w:t>
      </w:r>
    </w:p>
    <w:p w14:paraId="7A0CB14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w:t>
      </w:r>
      <w:r w:rsidRPr="008C6BAB">
        <w:rPr>
          <w:rFonts w:ascii="宋体" w:hAnsi="宋体" w:cs="宋体"/>
          <w:color w:val="000000"/>
          <w:sz w:val="24"/>
          <w:szCs w:val="24"/>
        </w:rPr>
        <w:t>基金合同</w:t>
      </w:r>
      <w:r w:rsidRPr="008C6BAB">
        <w:rPr>
          <w:rFonts w:ascii="宋体" w:hAnsi="宋体" w:cs="宋体" w:hint="eastAsia"/>
          <w:color w:val="000000"/>
          <w:sz w:val="24"/>
          <w:szCs w:val="24"/>
        </w:rPr>
        <w:t>终止；</w:t>
      </w:r>
    </w:p>
    <w:p w14:paraId="53FAC3D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2．基金托管人解散、依法被撤销、破产或由其他基金托管人接管基金资产；</w:t>
      </w:r>
    </w:p>
    <w:p w14:paraId="56380C7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3．基金管理人解散、依法被撤销、破产或由其他基金管理人接管基金管理权；</w:t>
      </w:r>
    </w:p>
    <w:p w14:paraId="3F42E04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4．发生法律法规或</w:t>
      </w:r>
      <w:r w:rsidRPr="008C6BAB">
        <w:rPr>
          <w:rFonts w:ascii="宋体" w:hAnsi="宋体" w:cs="宋体"/>
          <w:color w:val="000000"/>
          <w:sz w:val="24"/>
          <w:szCs w:val="24"/>
        </w:rPr>
        <w:t>基金合同</w:t>
      </w:r>
      <w:r w:rsidRPr="008C6BAB">
        <w:rPr>
          <w:rFonts w:ascii="宋体" w:hAnsi="宋体" w:cs="宋体" w:hint="eastAsia"/>
          <w:color w:val="000000"/>
          <w:sz w:val="24"/>
          <w:szCs w:val="24"/>
        </w:rPr>
        <w:t>规定的终止事项。</w:t>
      </w:r>
    </w:p>
    <w:p w14:paraId="03A32D0F" w14:textId="77777777" w:rsidR="00006FD1" w:rsidRPr="008C6BAB" w:rsidRDefault="00056933">
      <w:pPr>
        <w:spacing w:line="360" w:lineRule="auto"/>
        <w:ind w:firstLine="480"/>
        <w:rPr>
          <w:rFonts w:ascii="宋体" w:hAnsi="宋体" w:cs="宋体"/>
          <w:color w:val="000000"/>
          <w:sz w:val="24"/>
          <w:szCs w:val="24"/>
        </w:rPr>
      </w:pPr>
      <w:bookmarkStart w:id="38" w:name="_Hlk99479416"/>
      <w:r w:rsidRPr="008C6BAB">
        <w:rPr>
          <w:rFonts w:ascii="宋体" w:hAnsi="宋体" w:cs="宋体" w:hint="eastAsia"/>
          <w:color w:val="000000"/>
          <w:sz w:val="24"/>
          <w:szCs w:val="24"/>
        </w:rPr>
        <w:t>（三）基金财产的清算</w:t>
      </w:r>
    </w:p>
    <w:p w14:paraId="26045871" w14:textId="77777777" w:rsidR="00006FD1" w:rsidRPr="008C6BAB" w:rsidRDefault="00056933">
      <w:pPr>
        <w:spacing w:line="360" w:lineRule="auto"/>
        <w:ind w:firstLine="480"/>
        <w:rPr>
          <w:rFonts w:ascii="宋体" w:hAnsi="宋体" w:cs="宋体"/>
          <w:color w:val="000000"/>
          <w:sz w:val="24"/>
          <w:szCs w:val="24"/>
        </w:rPr>
      </w:pPr>
      <w:bookmarkStart w:id="39" w:name="_Hlk84702581"/>
      <w:r w:rsidRPr="008C6BAB">
        <w:rPr>
          <w:rFonts w:ascii="宋体" w:hAnsi="宋体" w:cs="宋体" w:hint="eastAsia"/>
          <w:color w:val="000000"/>
          <w:sz w:val="24"/>
          <w:szCs w:val="24"/>
        </w:rPr>
        <w:t>1．基金财产清算小组</w:t>
      </w:r>
    </w:p>
    <w:p w14:paraId="0FC19F2D" w14:textId="3CCEC336"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（1）自出现</w:t>
      </w:r>
      <w:r w:rsidRPr="008C6BAB">
        <w:rPr>
          <w:rFonts w:ascii="宋体" w:hAnsi="宋体" w:cs="宋体"/>
          <w:color w:val="000000"/>
          <w:sz w:val="24"/>
          <w:szCs w:val="24"/>
        </w:rPr>
        <w:t>基金合同</w:t>
      </w:r>
      <w:r w:rsidRPr="008C6BAB">
        <w:rPr>
          <w:rFonts w:ascii="宋体" w:hAnsi="宋体" w:cs="宋体" w:hint="eastAsia"/>
          <w:color w:val="000000"/>
          <w:sz w:val="24"/>
          <w:szCs w:val="24"/>
        </w:rPr>
        <w:t>终止事由之日起30个工作日内成立清算小组，基金管理人组织基金财产清算小组并在中国证监会的监督下进行基金清算。</w:t>
      </w:r>
    </w:p>
    <w:p w14:paraId="120436B3"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（2）基金财产清算小组成员由基金管理人、基金托管人、</w:t>
      </w:r>
      <w:r w:rsidRPr="008C6BAB">
        <w:rPr>
          <w:rFonts w:hint="eastAsia"/>
          <w:bCs/>
          <w:sz w:val="24"/>
        </w:rPr>
        <w:t>符合《中华人民共和国证券法》规定</w:t>
      </w:r>
      <w:r w:rsidRPr="008C6BAB">
        <w:rPr>
          <w:rFonts w:ascii="宋体" w:hAnsi="宋体" w:cs="宋体" w:hint="eastAsia"/>
          <w:color w:val="000000"/>
          <w:sz w:val="24"/>
          <w:szCs w:val="24"/>
        </w:rPr>
        <w:t>的注册会计师、律师以及中国证监会指定的人员组成。基金财产清算小组可以聘用必要的工作人员。</w:t>
      </w:r>
    </w:p>
    <w:p w14:paraId="46B3311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（3）在基金财产清算过程中，基金管理人和基金托管人应各自履行职责，继续忠实、勤勉、尽责地履行</w:t>
      </w:r>
      <w:r w:rsidRPr="008C6BAB">
        <w:rPr>
          <w:rFonts w:ascii="宋体" w:hAnsi="宋体" w:cs="宋体"/>
          <w:color w:val="000000"/>
          <w:sz w:val="24"/>
          <w:szCs w:val="24"/>
        </w:rPr>
        <w:t>基金合同</w:t>
      </w:r>
      <w:r w:rsidRPr="008C6BAB">
        <w:rPr>
          <w:rFonts w:ascii="宋体" w:hAnsi="宋体" w:cs="宋体" w:hint="eastAsia"/>
          <w:color w:val="000000"/>
          <w:sz w:val="24"/>
          <w:szCs w:val="24"/>
        </w:rPr>
        <w:t>和本托管协议规定的义务，维护基金份额持有人的合法权益。</w:t>
      </w:r>
    </w:p>
    <w:p w14:paraId="636F24C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（4）基金财产清算小组负责基金财产的保管、清理、估价、变现和分配。基金财产清算小组可以依法进行必要的民事活动。</w:t>
      </w:r>
    </w:p>
    <w:p w14:paraId="39E3F0C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2．基金财产清算程序</w:t>
      </w:r>
    </w:p>
    <w:p w14:paraId="78995C2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color w:val="000000"/>
          <w:sz w:val="24"/>
          <w:szCs w:val="24"/>
        </w:rPr>
        <w:t>基金合同</w:t>
      </w:r>
      <w:r w:rsidRPr="008C6BAB">
        <w:rPr>
          <w:rFonts w:ascii="宋体" w:hAnsi="宋体" w:cs="宋体" w:hint="eastAsia"/>
          <w:color w:val="000000"/>
          <w:sz w:val="24"/>
          <w:szCs w:val="24"/>
        </w:rPr>
        <w:t>终止，应当按法律法规和</w:t>
      </w:r>
      <w:r w:rsidRPr="008C6BAB">
        <w:rPr>
          <w:rFonts w:ascii="宋体" w:hAnsi="宋体" w:cs="宋体"/>
          <w:color w:val="000000"/>
          <w:sz w:val="24"/>
          <w:szCs w:val="24"/>
        </w:rPr>
        <w:t>基金合同</w:t>
      </w:r>
      <w:r w:rsidRPr="008C6BAB">
        <w:rPr>
          <w:rFonts w:ascii="宋体" w:hAnsi="宋体" w:cs="宋体" w:hint="eastAsia"/>
          <w:color w:val="000000"/>
          <w:sz w:val="24"/>
          <w:szCs w:val="24"/>
        </w:rPr>
        <w:t>的有关规定对基金财产进行清算。基金财产清算程序主要包括：</w:t>
      </w:r>
    </w:p>
    <w:p w14:paraId="2E725902"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（1）</w:t>
      </w:r>
      <w:r w:rsidRPr="008C6BAB">
        <w:rPr>
          <w:rFonts w:ascii="宋体" w:hAnsi="宋体" w:cs="宋体"/>
          <w:bCs/>
          <w:color w:val="000000"/>
          <w:sz w:val="24"/>
        </w:rPr>
        <w:t>基金合同</w:t>
      </w:r>
      <w:r w:rsidRPr="008C6BAB">
        <w:rPr>
          <w:rFonts w:ascii="宋体" w:hAnsi="宋体" w:cs="宋体" w:hint="eastAsia"/>
          <w:bCs/>
          <w:color w:val="000000"/>
          <w:sz w:val="24"/>
        </w:rPr>
        <w:t>终止情形出现时，由基金财产清算小组统一接管基金财产；</w:t>
      </w:r>
    </w:p>
    <w:p w14:paraId="73CD64C9"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lastRenderedPageBreak/>
        <w:t>（2）对基金财产和债权债务进行清理和确认；</w:t>
      </w:r>
    </w:p>
    <w:p w14:paraId="29A062AA"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（3）对基金财产进行估值和变现；</w:t>
      </w:r>
    </w:p>
    <w:p w14:paraId="08F5E01D"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（4）制作清算报告；</w:t>
      </w:r>
    </w:p>
    <w:p w14:paraId="5BA36F88"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（5）聘请会计师事务所对清算报告进行外部审计，聘请律师事务所对清算报告出具法律意见书；</w:t>
      </w:r>
    </w:p>
    <w:p w14:paraId="27FA9AAF"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（6）将清算报告报中国证监会备案并公告；</w:t>
      </w:r>
    </w:p>
    <w:p w14:paraId="540D0317" w14:textId="77777777"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（7）对基金剩余财产进行分配。</w:t>
      </w:r>
    </w:p>
    <w:p w14:paraId="123C6931" w14:textId="6323BA98" w:rsidR="00006FD1" w:rsidRPr="008C6BAB" w:rsidRDefault="00056933">
      <w:pPr>
        <w:spacing w:line="360" w:lineRule="auto"/>
        <w:ind w:firstLine="480"/>
        <w:rPr>
          <w:rFonts w:ascii="宋体" w:hAnsi="宋体" w:cs="宋体"/>
          <w:bCs/>
          <w:color w:val="000000"/>
          <w:sz w:val="24"/>
        </w:rPr>
      </w:pPr>
      <w:r w:rsidRPr="008C6BAB">
        <w:rPr>
          <w:rFonts w:ascii="宋体" w:hAnsi="宋体" w:cs="宋体" w:hint="eastAsia"/>
          <w:bCs/>
          <w:color w:val="000000"/>
          <w:sz w:val="24"/>
        </w:rPr>
        <w:t>3.基金财产清算的期限</w:t>
      </w:r>
      <w:r w:rsidRPr="008C6BAB">
        <w:rPr>
          <w:rFonts w:ascii="宋体" w:hAnsi="宋体" w:cs="宋体"/>
          <w:bCs/>
          <w:color w:val="000000"/>
          <w:sz w:val="24"/>
        </w:rPr>
        <w:t>为</w:t>
      </w:r>
      <w:r w:rsidRPr="008C6BAB">
        <w:rPr>
          <w:rFonts w:ascii="宋体" w:hAnsi="宋体" w:cs="宋体" w:hint="eastAsia"/>
          <w:bCs/>
          <w:color w:val="000000"/>
          <w:sz w:val="24"/>
        </w:rPr>
        <w:t>6个月</w:t>
      </w:r>
      <w:r w:rsidRPr="008C6BAB">
        <w:rPr>
          <w:rFonts w:hint="eastAsia"/>
          <w:bCs/>
          <w:sz w:val="24"/>
        </w:rPr>
        <w:t>，但因本基金所持证券的流动性受到限制而不能及时变现的，清算期限相应顺延</w:t>
      </w:r>
      <w:r w:rsidRPr="008C6BAB">
        <w:rPr>
          <w:rFonts w:ascii="宋体" w:hAnsi="宋体" w:cs="宋体" w:hint="eastAsia"/>
          <w:bCs/>
          <w:color w:val="000000"/>
          <w:sz w:val="24"/>
        </w:rPr>
        <w:t>。</w:t>
      </w:r>
    </w:p>
    <w:p w14:paraId="329C3C7E"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4．清算费用</w:t>
      </w:r>
    </w:p>
    <w:p w14:paraId="2EC97063" w14:textId="3F53CBF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清算费用是指基金财产清算小组在进行基金清算过程中发生的所有合理费用，清算费用由基金财产清算小组优先从基金财产中支付。</w:t>
      </w:r>
    </w:p>
    <w:p w14:paraId="00E94BC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5．基金财产按下列顺序清偿：</w:t>
      </w:r>
    </w:p>
    <w:p w14:paraId="110DB60A" w14:textId="77777777" w:rsidR="00006FD1" w:rsidRPr="008C6BAB" w:rsidRDefault="00056933">
      <w:pPr>
        <w:spacing w:line="360" w:lineRule="auto"/>
        <w:ind w:firstLine="480"/>
        <w:rPr>
          <w:rFonts w:ascii="宋体" w:hAnsi="宋体" w:cs="宋体"/>
          <w:bCs/>
          <w:sz w:val="24"/>
        </w:rPr>
      </w:pPr>
      <w:r w:rsidRPr="008C6BAB">
        <w:rPr>
          <w:rFonts w:ascii="宋体" w:hAnsi="宋体" w:cs="宋体" w:hint="eastAsia"/>
          <w:bCs/>
          <w:sz w:val="24"/>
        </w:rPr>
        <w:t>(1)支付清算费用；</w:t>
      </w:r>
    </w:p>
    <w:p w14:paraId="560D6ACF" w14:textId="77777777" w:rsidR="00006FD1" w:rsidRPr="008C6BAB" w:rsidRDefault="00056933">
      <w:pPr>
        <w:spacing w:line="360" w:lineRule="auto"/>
        <w:ind w:firstLine="480"/>
        <w:rPr>
          <w:rFonts w:ascii="宋体" w:hAnsi="宋体" w:cs="宋体"/>
          <w:bCs/>
          <w:sz w:val="24"/>
        </w:rPr>
      </w:pPr>
      <w:r w:rsidRPr="008C6BAB">
        <w:rPr>
          <w:rFonts w:ascii="宋体" w:hAnsi="宋体" w:cs="宋体" w:hint="eastAsia"/>
          <w:bCs/>
          <w:sz w:val="24"/>
        </w:rPr>
        <w:t>(2)交纳所欠税款；</w:t>
      </w:r>
    </w:p>
    <w:p w14:paraId="5BC76FFC" w14:textId="77777777" w:rsidR="00006FD1" w:rsidRPr="008C6BAB" w:rsidRDefault="00056933">
      <w:pPr>
        <w:spacing w:line="360" w:lineRule="auto"/>
        <w:ind w:firstLine="480"/>
        <w:rPr>
          <w:rFonts w:ascii="宋体" w:hAnsi="宋体" w:cs="宋体"/>
          <w:bCs/>
          <w:sz w:val="24"/>
        </w:rPr>
      </w:pPr>
      <w:r w:rsidRPr="008C6BAB">
        <w:rPr>
          <w:rFonts w:ascii="宋体" w:hAnsi="宋体" w:cs="宋体" w:hint="eastAsia"/>
          <w:bCs/>
          <w:sz w:val="24"/>
        </w:rPr>
        <w:t>(3)清偿基金债务；</w:t>
      </w:r>
    </w:p>
    <w:p w14:paraId="0D20048C" w14:textId="77777777" w:rsidR="00006FD1" w:rsidRPr="008C6BAB" w:rsidRDefault="00056933">
      <w:pPr>
        <w:spacing w:line="360" w:lineRule="auto"/>
        <w:ind w:firstLine="480"/>
        <w:rPr>
          <w:rFonts w:ascii="宋体" w:hAnsi="宋体" w:cs="宋体"/>
          <w:bCs/>
          <w:sz w:val="24"/>
        </w:rPr>
      </w:pPr>
      <w:r w:rsidRPr="008C6BAB">
        <w:rPr>
          <w:rFonts w:ascii="宋体" w:hAnsi="宋体" w:cs="宋体" w:hint="eastAsia"/>
          <w:bCs/>
          <w:sz w:val="24"/>
        </w:rPr>
        <w:t>(4)按基金份额持有人持有的基金份额比例进行分配。</w:t>
      </w:r>
    </w:p>
    <w:p w14:paraId="205B14DA" w14:textId="77777777" w:rsidR="00006FD1" w:rsidRPr="008C6BAB" w:rsidRDefault="00056933">
      <w:pPr>
        <w:spacing w:line="360" w:lineRule="auto"/>
        <w:ind w:firstLine="480"/>
        <w:rPr>
          <w:rFonts w:ascii="宋体" w:hAnsi="宋体" w:cs="宋体"/>
          <w:bCs/>
          <w:sz w:val="24"/>
        </w:rPr>
      </w:pPr>
      <w:r w:rsidRPr="008C6BAB">
        <w:rPr>
          <w:rFonts w:ascii="宋体" w:hAnsi="宋体" w:cs="宋体" w:hint="eastAsia"/>
          <w:bCs/>
          <w:sz w:val="24"/>
        </w:rPr>
        <w:t>基金财产未按前款(1)－(3)项规定清偿前，不分配给基金份额持有人。</w:t>
      </w:r>
    </w:p>
    <w:p w14:paraId="613BA631"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6．基金财产清算的公告</w:t>
      </w:r>
    </w:p>
    <w:p w14:paraId="48638C14"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清算过程中的有关重大事项须及时公告；基金财产清算报告经</w:t>
      </w:r>
      <w:r w:rsidRPr="008C6BAB">
        <w:rPr>
          <w:rFonts w:hint="eastAsia"/>
          <w:bCs/>
          <w:sz w:val="24"/>
        </w:rPr>
        <w:t>符合《中华人民共和国证券法》规定的</w:t>
      </w:r>
      <w:r w:rsidRPr="008C6BAB">
        <w:rPr>
          <w:rFonts w:ascii="宋体" w:hAnsi="宋体" w:cs="宋体" w:hint="eastAsia"/>
          <w:color w:val="000000"/>
          <w:sz w:val="24"/>
          <w:szCs w:val="24"/>
        </w:rPr>
        <w:t>会计师事务所审计并由律师事务所出具法律意见书后报中国证监会备案并公告。基金财产清算公告于基金财产清算报告报中国证监会备案后5个工作日内由基金财产清算小组进行公告</w:t>
      </w:r>
      <w:r w:rsidRPr="008C6BAB">
        <w:rPr>
          <w:rFonts w:hint="eastAsia"/>
          <w:bCs/>
          <w:sz w:val="24"/>
        </w:rPr>
        <w:t>，基金财产清算小组应当将清算报告登载在规定网站上，并将清算报告提示性公告登载在规定报刊上</w:t>
      </w:r>
      <w:r w:rsidRPr="008C6BAB">
        <w:rPr>
          <w:rFonts w:ascii="宋体" w:hAnsi="宋体" w:cs="宋体" w:hint="eastAsia"/>
          <w:color w:val="000000"/>
          <w:sz w:val="24"/>
          <w:szCs w:val="24"/>
        </w:rPr>
        <w:t>。</w:t>
      </w:r>
    </w:p>
    <w:p w14:paraId="2E01B2C9"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7．基金财产清算账册及文件的保存</w:t>
      </w:r>
    </w:p>
    <w:p w14:paraId="1234827E" w14:textId="0CC49861" w:rsidR="00006FD1" w:rsidRPr="008C6BAB" w:rsidRDefault="00056933">
      <w:pPr>
        <w:spacing w:line="360" w:lineRule="auto"/>
        <w:ind w:firstLine="480"/>
        <w:rPr>
          <w:rFonts w:ascii="宋体" w:hAnsi="宋体" w:cs="宋体"/>
          <w:color w:val="000000"/>
          <w:sz w:val="24"/>
          <w:szCs w:val="24"/>
        </w:rPr>
      </w:pPr>
      <w:r w:rsidRPr="008C6BAB">
        <w:rPr>
          <w:rFonts w:hint="eastAsia"/>
          <w:bCs/>
          <w:sz w:val="24"/>
        </w:rPr>
        <w:t>基金财产清算账册及有关文件由基金托管人</w:t>
      </w:r>
      <w:r w:rsidRPr="008C6BAB">
        <w:rPr>
          <w:bCs/>
          <w:sz w:val="24"/>
        </w:rPr>
        <w:t>保存</w:t>
      </w:r>
      <w:r w:rsidRPr="008C6BAB">
        <w:rPr>
          <w:rFonts w:hint="eastAsia"/>
          <w:bCs/>
          <w:sz w:val="24"/>
        </w:rPr>
        <w:t>不低于法律法规规定的最低期限</w:t>
      </w:r>
      <w:r w:rsidRPr="008C6BAB">
        <w:rPr>
          <w:rFonts w:ascii="宋体" w:hAnsi="宋体" w:cs="宋体" w:hint="eastAsia"/>
          <w:color w:val="000000"/>
          <w:sz w:val="24"/>
          <w:szCs w:val="24"/>
        </w:rPr>
        <w:t>。</w:t>
      </w:r>
    </w:p>
    <w:p w14:paraId="037EDB77" w14:textId="77777777" w:rsidR="00006FD1" w:rsidRPr="008C6BAB" w:rsidRDefault="00006FD1">
      <w:pPr>
        <w:spacing w:line="360" w:lineRule="auto"/>
        <w:ind w:firstLine="480"/>
        <w:rPr>
          <w:rFonts w:ascii="宋体" w:hAnsi="宋体" w:cs="宋体"/>
          <w:color w:val="000000"/>
          <w:sz w:val="24"/>
          <w:szCs w:val="24"/>
        </w:rPr>
      </w:pPr>
    </w:p>
    <w:bookmarkEnd w:id="38"/>
    <w:bookmarkEnd w:id="39"/>
    <w:p w14:paraId="34B626D8"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40" w:name="_Toc264617157"/>
      <w:r w:rsidRPr="008C6BAB">
        <w:rPr>
          <w:rFonts w:ascii="宋体" w:hAnsi="宋体" w:hint="eastAsia"/>
          <w:bCs w:val="0"/>
          <w:color w:val="000000"/>
          <w:sz w:val="30"/>
          <w:szCs w:val="30"/>
        </w:rPr>
        <w:lastRenderedPageBreak/>
        <w:t>十七、违约责任</w:t>
      </w:r>
      <w:bookmarkEnd w:id="40"/>
    </w:p>
    <w:p w14:paraId="4AFCF24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（一）基金管理人、基金托管人不履行本协议或履行本协议不符合约定的，应当承担违约责任。</w:t>
      </w:r>
    </w:p>
    <w:p w14:paraId="64E858E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（二）基金管理人、基金托管人在履行各自职责的过程中，违反《基金法》等法律法规的规定或者</w:t>
      </w:r>
      <w:r w:rsidRPr="008C6BAB">
        <w:rPr>
          <w:rFonts w:ascii="宋体" w:hAnsi="宋体" w:cs="宋体"/>
          <w:color w:val="000000"/>
          <w:sz w:val="24"/>
          <w:szCs w:val="24"/>
        </w:rPr>
        <w:t>基金合同</w:t>
      </w:r>
      <w:r w:rsidRPr="008C6BAB">
        <w:rPr>
          <w:rFonts w:ascii="宋体" w:hAnsi="宋体" w:cs="宋体" w:hint="eastAsia"/>
          <w:color w:val="000000"/>
          <w:sz w:val="24"/>
          <w:szCs w:val="24"/>
        </w:rPr>
        <w:t>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40A7631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（三）一方当事人违约，给另一方当事人造成损失的，应就损失进行赔偿；给基金财产造成损失的，应就损失进行赔偿，另一方当事人有权利及义务代表基金向违约方追偿。但是如发生下列情况，当事人免责：</w:t>
      </w:r>
    </w:p>
    <w:p w14:paraId="70916D0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1、不可抗力；</w:t>
      </w:r>
    </w:p>
    <w:p w14:paraId="160F9EAD" w14:textId="5895170E"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2、基金管理人和/或基金托管人按照当时有效的法律法规或中国证监会的规定作为或不作为而造成的损失等；</w:t>
      </w:r>
    </w:p>
    <w:p w14:paraId="7047081E" w14:textId="617AD1C6"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3、基金管理人由于按照</w:t>
      </w:r>
      <w:r w:rsidRPr="008C6BAB">
        <w:rPr>
          <w:rFonts w:ascii="宋体" w:hAnsi="宋体" w:cs="宋体"/>
          <w:color w:val="000000"/>
          <w:sz w:val="24"/>
          <w:szCs w:val="24"/>
        </w:rPr>
        <w:t>基金合同</w:t>
      </w:r>
      <w:r w:rsidRPr="008C6BAB">
        <w:rPr>
          <w:rFonts w:ascii="宋体" w:hAnsi="宋体" w:cs="宋体" w:hint="eastAsia"/>
          <w:color w:val="000000"/>
          <w:sz w:val="24"/>
          <w:szCs w:val="24"/>
        </w:rPr>
        <w:t>规定的投资原则行使或不行使投资</w:t>
      </w:r>
      <w:r w:rsidR="006E5F6F">
        <w:rPr>
          <w:rFonts w:ascii="宋体" w:hAnsi="宋体" w:cs="宋体" w:hint="eastAsia"/>
          <w:color w:val="000000"/>
          <w:sz w:val="24"/>
          <w:szCs w:val="24"/>
        </w:rPr>
        <w:t>权</w:t>
      </w:r>
      <w:r w:rsidRPr="008C6BAB">
        <w:rPr>
          <w:rFonts w:ascii="宋体" w:hAnsi="宋体" w:cs="宋体" w:hint="eastAsia"/>
          <w:color w:val="000000"/>
          <w:sz w:val="24"/>
          <w:szCs w:val="24"/>
        </w:rPr>
        <w:t>造成的损失等；</w:t>
      </w:r>
    </w:p>
    <w:p w14:paraId="1ACAB89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一方当事人违约，另一方当事人在职责范围内有义务及时采取必要的措施，尽力防止损失的扩大；没有采取适当措施致使损失扩大的，不得就扩大的损失要求赔偿。守约方因防止损失扩大而支出的合理费用由违约方承担。</w:t>
      </w:r>
    </w:p>
    <w:p w14:paraId="6E1777E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56E2F1A7" w14:textId="72DEF508" w:rsidR="00006FD1" w:rsidRPr="008C6BAB" w:rsidRDefault="00056933">
      <w:pPr>
        <w:widowControl/>
        <w:jc w:val="left"/>
        <w:rPr>
          <w:rFonts w:ascii="宋体" w:hAnsi="宋体" w:cs="宋体"/>
          <w:color w:val="000000"/>
          <w:sz w:val="24"/>
          <w:szCs w:val="24"/>
        </w:rPr>
      </w:pPr>
      <w:r w:rsidRPr="008C6BAB">
        <w:rPr>
          <w:rFonts w:ascii="宋体" w:hAnsi="宋体" w:cs="宋体" w:hint="eastAsia"/>
          <w:color w:val="000000"/>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r w:rsidRPr="008C6BAB">
        <w:rPr>
          <w:rFonts w:ascii="宋体" w:hAnsi="宋体" w:cs="宋体"/>
          <w:color w:val="000000"/>
          <w:sz w:val="24"/>
          <w:szCs w:val="24"/>
        </w:rPr>
        <w:br w:type="page"/>
      </w:r>
    </w:p>
    <w:p w14:paraId="2CCF005D" w14:textId="77777777" w:rsidR="00006FD1" w:rsidRPr="008C6BAB" w:rsidRDefault="00056933">
      <w:pPr>
        <w:pStyle w:val="212"/>
        <w:spacing w:line="360" w:lineRule="auto"/>
        <w:jc w:val="center"/>
        <w:rPr>
          <w:rFonts w:ascii="宋体" w:hAnsi="宋体"/>
          <w:color w:val="000000"/>
          <w:sz w:val="30"/>
          <w:szCs w:val="30"/>
        </w:rPr>
      </w:pPr>
      <w:bookmarkStart w:id="41" w:name="_Toc264617158"/>
      <w:r w:rsidRPr="008C6BAB">
        <w:rPr>
          <w:rFonts w:ascii="宋体" w:hAnsi="宋体" w:hint="eastAsia"/>
          <w:bCs w:val="0"/>
          <w:color w:val="000000"/>
          <w:sz w:val="30"/>
          <w:szCs w:val="30"/>
        </w:rPr>
        <w:lastRenderedPageBreak/>
        <w:t>十八、争议解决方式</w:t>
      </w:r>
      <w:bookmarkEnd w:id="41"/>
    </w:p>
    <w:p w14:paraId="1C4DB386" w14:textId="355A5F5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bCs/>
          <w:color w:val="000000"/>
          <w:sz w:val="24"/>
        </w:rPr>
        <w:t>双方当事人同意，因</w:t>
      </w:r>
      <w:r w:rsidRPr="008C6BAB">
        <w:rPr>
          <w:rFonts w:ascii="宋体" w:hAnsi="宋体" w:cs="宋体"/>
          <w:bCs/>
          <w:color w:val="000000"/>
          <w:sz w:val="24"/>
        </w:rPr>
        <w:t>基金合同</w:t>
      </w:r>
      <w:r w:rsidRPr="008C6BAB">
        <w:rPr>
          <w:rFonts w:ascii="宋体" w:hAnsi="宋体" w:cs="宋体" w:hint="eastAsia"/>
          <w:bCs/>
          <w:color w:val="000000"/>
          <w:sz w:val="24"/>
        </w:rPr>
        <w:t>及本协议而产生的或与</w:t>
      </w:r>
      <w:r w:rsidRPr="008C6BAB">
        <w:rPr>
          <w:rFonts w:ascii="宋体" w:hAnsi="宋体" w:cs="宋体"/>
          <w:bCs/>
          <w:color w:val="000000"/>
          <w:sz w:val="24"/>
        </w:rPr>
        <w:t>基金合同</w:t>
      </w:r>
      <w:r w:rsidRPr="008C6BAB">
        <w:rPr>
          <w:rFonts w:ascii="宋体" w:hAnsi="宋体" w:cs="宋体" w:hint="eastAsia"/>
          <w:bCs/>
          <w:color w:val="000000"/>
          <w:sz w:val="24"/>
        </w:rPr>
        <w:t>或本协议有关的一切争议，如经友好协商未能解决的，任何一方均有权将争议提交</w:t>
      </w:r>
      <w:r w:rsidRPr="008C6BAB">
        <w:rPr>
          <w:rFonts w:hint="eastAsia"/>
          <w:bCs/>
          <w:sz w:val="24"/>
        </w:rPr>
        <w:t>上海国际经济贸易仲裁委员会</w:t>
      </w:r>
      <w:r w:rsidRPr="008C6BAB">
        <w:rPr>
          <w:rFonts w:ascii="宋体" w:hAnsi="宋体" w:cs="宋体" w:hint="eastAsia"/>
          <w:bCs/>
          <w:color w:val="000000"/>
          <w:sz w:val="24"/>
        </w:rPr>
        <w:t>，按照该会届时有效的仲裁规则进行仲裁。仲裁地点为</w:t>
      </w:r>
      <w:r w:rsidRPr="008C6BAB">
        <w:rPr>
          <w:rFonts w:hint="eastAsia"/>
          <w:bCs/>
          <w:sz w:val="24"/>
        </w:rPr>
        <w:t>上海市</w:t>
      </w:r>
      <w:r w:rsidRPr="008C6BAB">
        <w:rPr>
          <w:rFonts w:ascii="宋体" w:hAnsi="宋体" w:cs="宋体" w:hint="eastAsia"/>
          <w:bCs/>
          <w:color w:val="000000"/>
          <w:sz w:val="24"/>
        </w:rPr>
        <w:t>。仲裁裁决是终局的，对双方当事人均有约束力，仲裁费用由败诉方承担，除非仲裁裁决另有规定</w:t>
      </w:r>
      <w:r w:rsidRPr="008C6BAB">
        <w:rPr>
          <w:rFonts w:ascii="宋体" w:hAnsi="宋体" w:cs="宋体" w:hint="eastAsia"/>
          <w:color w:val="000000"/>
          <w:sz w:val="24"/>
          <w:szCs w:val="24"/>
        </w:rPr>
        <w:t>。</w:t>
      </w:r>
    </w:p>
    <w:p w14:paraId="6BECD6F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hint="eastAsia"/>
          <w:sz w:val="24"/>
          <w:szCs w:val="24"/>
        </w:rPr>
        <w:t>争议处理期间，双方当事人应恪守基金管理人和基金托管人职责，各自继续忠实、勤勉、尽责地履行</w:t>
      </w:r>
      <w:r w:rsidRPr="008C6BAB">
        <w:rPr>
          <w:rFonts w:ascii="宋体" w:hAnsi="宋体"/>
          <w:sz w:val="24"/>
          <w:szCs w:val="24"/>
        </w:rPr>
        <w:t>基金合同</w:t>
      </w:r>
      <w:r w:rsidRPr="008C6BAB">
        <w:rPr>
          <w:rFonts w:ascii="宋体" w:hAnsi="宋体" w:hint="eastAsia"/>
          <w:sz w:val="24"/>
          <w:szCs w:val="24"/>
        </w:rPr>
        <w:t>和本托管协议规定的义务，维护基金份额持有人的合法权益。</w:t>
      </w:r>
    </w:p>
    <w:p w14:paraId="77FEF5C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本协议受中国</w:t>
      </w:r>
      <w:r w:rsidRPr="008C6BAB">
        <w:rPr>
          <w:rFonts w:hint="eastAsia"/>
          <w:bCs/>
          <w:sz w:val="24"/>
        </w:rPr>
        <w:t>（为本协议之目的，</w:t>
      </w:r>
      <w:r w:rsidRPr="008C6BAB">
        <w:rPr>
          <w:bCs/>
          <w:sz w:val="24"/>
        </w:rPr>
        <w:t>不包括香港特别行政区、</w:t>
      </w:r>
      <w:r w:rsidRPr="008C6BAB">
        <w:rPr>
          <w:rFonts w:hint="eastAsia"/>
          <w:bCs/>
          <w:sz w:val="24"/>
        </w:rPr>
        <w:t>澳门</w:t>
      </w:r>
      <w:r w:rsidRPr="008C6BAB">
        <w:rPr>
          <w:bCs/>
          <w:sz w:val="24"/>
        </w:rPr>
        <w:t>特别</w:t>
      </w:r>
      <w:r w:rsidRPr="008C6BAB">
        <w:rPr>
          <w:rFonts w:hint="eastAsia"/>
          <w:bCs/>
          <w:sz w:val="24"/>
        </w:rPr>
        <w:t>行政区</w:t>
      </w:r>
      <w:r w:rsidRPr="008C6BAB">
        <w:rPr>
          <w:bCs/>
          <w:sz w:val="24"/>
        </w:rPr>
        <w:t>和台湾地区</w:t>
      </w:r>
      <w:r w:rsidRPr="008C6BAB">
        <w:rPr>
          <w:rFonts w:hint="eastAsia"/>
          <w:bCs/>
          <w:sz w:val="24"/>
        </w:rPr>
        <w:t>）</w:t>
      </w:r>
      <w:r w:rsidRPr="008C6BAB">
        <w:rPr>
          <w:rFonts w:ascii="宋体" w:hAnsi="宋体" w:cs="宋体" w:hint="eastAsia"/>
          <w:color w:val="000000"/>
          <w:sz w:val="24"/>
          <w:szCs w:val="24"/>
        </w:rPr>
        <w:t>法律管辖并从其解释。</w:t>
      </w:r>
    </w:p>
    <w:p w14:paraId="0B26C010" w14:textId="77777777" w:rsidR="00006FD1" w:rsidRPr="008C6BAB" w:rsidRDefault="00006FD1">
      <w:pPr>
        <w:spacing w:line="360" w:lineRule="auto"/>
        <w:ind w:firstLine="480"/>
        <w:rPr>
          <w:rFonts w:ascii="宋体" w:hAnsi="宋体" w:cs="宋体"/>
          <w:color w:val="000000"/>
          <w:sz w:val="24"/>
          <w:szCs w:val="24"/>
        </w:rPr>
      </w:pPr>
    </w:p>
    <w:p w14:paraId="68A2DC49"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42" w:name="_Toc264617159"/>
      <w:r w:rsidRPr="008C6BAB">
        <w:rPr>
          <w:rFonts w:ascii="宋体" w:hAnsi="宋体" w:hint="eastAsia"/>
          <w:bCs w:val="0"/>
          <w:color w:val="000000"/>
          <w:sz w:val="30"/>
          <w:szCs w:val="30"/>
        </w:rPr>
        <w:lastRenderedPageBreak/>
        <w:t>十九、托管协议的效力</w:t>
      </w:r>
      <w:bookmarkEnd w:id="42"/>
    </w:p>
    <w:p w14:paraId="4AE9B862"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双方对托管协议的效力约定如下：</w:t>
      </w:r>
    </w:p>
    <w:p w14:paraId="0353559B" w14:textId="04504E2B"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（一）基金管理人在向中国证监会申请募集注册时提交的托管协议草案，应经托管协议当事人双方</w:t>
      </w:r>
      <w:r w:rsidRPr="008C6BAB">
        <w:rPr>
          <w:rFonts w:hint="eastAsia"/>
          <w:bCs/>
          <w:sz w:val="24"/>
        </w:rPr>
        <w:t>加盖公章（或合同专用章）</w:t>
      </w:r>
      <w:r w:rsidRPr="008C6BAB">
        <w:rPr>
          <w:rFonts w:ascii="宋体" w:hAnsi="宋体" w:cs="宋体" w:hint="eastAsia"/>
          <w:color w:val="000000"/>
          <w:sz w:val="24"/>
          <w:szCs w:val="24"/>
        </w:rPr>
        <w:t>以及双方法定代表人或授权代表签章，协议当事人双方根据中国证监会的意见修改托管协议草案。托管协议以中国证监会注册的文本为正式文本。</w:t>
      </w:r>
    </w:p>
    <w:p w14:paraId="2F07D228"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（二）托管协议自</w:t>
      </w:r>
      <w:r w:rsidRPr="008C6BAB">
        <w:rPr>
          <w:rFonts w:ascii="宋体" w:hAnsi="宋体" w:cs="宋体"/>
          <w:color w:val="000000"/>
          <w:sz w:val="24"/>
          <w:szCs w:val="24"/>
        </w:rPr>
        <w:t>基金合同</w:t>
      </w:r>
      <w:r w:rsidRPr="008C6BAB">
        <w:rPr>
          <w:rFonts w:ascii="宋体" w:hAnsi="宋体" w:cs="宋体" w:hint="eastAsia"/>
          <w:color w:val="000000"/>
          <w:sz w:val="24"/>
          <w:szCs w:val="24"/>
        </w:rPr>
        <w:t>生效之日起生效。托管协议的有效期自其生效之日起至基金财产清算结果报中国证监会备案并公告之日止。</w:t>
      </w:r>
    </w:p>
    <w:p w14:paraId="5A1620DF"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（三）托管协议自生效之日起对托管协议当事人具有同等的法律约束力。</w:t>
      </w:r>
    </w:p>
    <w:p w14:paraId="1DF801C7"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（四）</w:t>
      </w:r>
      <w:r w:rsidRPr="008C6BAB">
        <w:rPr>
          <w:rFonts w:ascii="宋体" w:hAnsi="宋体" w:hint="eastAsia"/>
          <w:color w:val="000000"/>
          <w:sz w:val="24"/>
          <w:szCs w:val="24"/>
        </w:rPr>
        <w:t>本协议一式三份，协议双方各持一份，上报中国证监会一份，每份具有同等法律效力。</w:t>
      </w:r>
    </w:p>
    <w:p w14:paraId="4E68DEF2" w14:textId="77777777" w:rsidR="00006FD1" w:rsidRPr="008C6BAB" w:rsidRDefault="00006FD1">
      <w:pPr>
        <w:spacing w:line="360" w:lineRule="auto"/>
        <w:ind w:firstLine="480"/>
        <w:rPr>
          <w:rFonts w:ascii="仿宋" w:eastAsia="仿宋" w:hAnsi="仿宋"/>
          <w:color w:val="000000"/>
          <w:sz w:val="24"/>
          <w:szCs w:val="24"/>
        </w:rPr>
      </w:pPr>
    </w:p>
    <w:p w14:paraId="283DD7D6"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43" w:name="_Toc264617160"/>
      <w:r w:rsidRPr="008C6BAB">
        <w:rPr>
          <w:rFonts w:ascii="宋体" w:hAnsi="宋体" w:hint="eastAsia"/>
          <w:bCs w:val="0"/>
          <w:color w:val="000000"/>
          <w:sz w:val="30"/>
          <w:szCs w:val="30"/>
        </w:rPr>
        <w:lastRenderedPageBreak/>
        <w:t>二十、其他事项</w:t>
      </w:r>
      <w:bookmarkEnd w:id="43"/>
    </w:p>
    <w:p w14:paraId="678DF220"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如发生有权司法机关依法冻结基金份额持有人的基金份额时，基金管理人应予以配合，承担司法协助义务。</w:t>
      </w:r>
    </w:p>
    <w:p w14:paraId="4B8E971B"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除本协议有明确定义外，本协议的用语定义适用</w:t>
      </w:r>
      <w:r w:rsidRPr="008C6BAB">
        <w:rPr>
          <w:rFonts w:ascii="宋体" w:hAnsi="宋体" w:cs="宋体"/>
          <w:color w:val="000000"/>
          <w:sz w:val="24"/>
          <w:szCs w:val="24"/>
        </w:rPr>
        <w:t>基金合同</w:t>
      </w:r>
      <w:r w:rsidRPr="008C6BAB">
        <w:rPr>
          <w:rFonts w:ascii="宋体" w:hAnsi="宋体" w:cs="宋体" w:hint="eastAsia"/>
          <w:color w:val="000000"/>
          <w:sz w:val="24"/>
          <w:szCs w:val="24"/>
        </w:rPr>
        <w:t>的约定。本协议未尽事宜，当事人依据</w:t>
      </w:r>
      <w:r w:rsidRPr="008C6BAB">
        <w:rPr>
          <w:rFonts w:ascii="宋体" w:hAnsi="宋体" w:cs="宋体"/>
          <w:color w:val="000000"/>
          <w:sz w:val="24"/>
          <w:szCs w:val="24"/>
        </w:rPr>
        <w:t>基金合同</w:t>
      </w:r>
      <w:r w:rsidRPr="008C6BAB">
        <w:rPr>
          <w:rFonts w:ascii="宋体" w:hAnsi="宋体" w:cs="宋体" w:hint="eastAsia"/>
          <w:color w:val="000000"/>
          <w:sz w:val="24"/>
          <w:szCs w:val="24"/>
        </w:rPr>
        <w:t>、有关法律法规等规定协商办理。</w:t>
      </w:r>
    </w:p>
    <w:p w14:paraId="3847CCB6"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基金管理人应按照金融机构反洗钱相关工作的规定，履行反洗钱义务。</w:t>
      </w:r>
    </w:p>
    <w:p w14:paraId="35853D28" w14:textId="77777777" w:rsidR="00006FD1" w:rsidRPr="008C6BAB" w:rsidRDefault="00006FD1">
      <w:pPr>
        <w:spacing w:line="360" w:lineRule="auto"/>
        <w:ind w:firstLine="480"/>
        <w:rPr>
          <w:rFonts w:ascii="宋体" w:hAnsi="宋体" w:cs="宋体"/>
          <w:color w:val="000000"/>
          <w:sz w:val="24"/>
          <w:szCs w:val="24"/>
        </w:rPr>
      </w:pPr>
    </w:p>
    <w:p w14:paraId="5387F59B" w14:textId="77777777" w:rsidR="00006FD1" w:rsidRPr="008C6BAB" w:rsidRDefault="00056933">
      <w:pPr>
        <w:pStyle w:val="212"/>
        <w:spacing w:line="360" w:lineRule="auto"/>
        <w:jc w:val="center"/>
        <w:rPr>
          <w:rFonts w:ascii="宋体" w:hAnsi="宋体"/>
          <w:color w:val="000000"/>
          <w:sz w:val="30"/>
          <w:szCs w:val="30"/>
        </w:rPr>
      </w:pPr>
      <w:r w:rsidRPr="008C6BAB">
        <w:rPr>
          <w:rFonts w:ascii="仿宋" w:eastAsia="仿宋" w:hAnsi="仿宋" w:hint="eastAsia"/>
          <w:b w:val="0"/>
          <w:bCs w:val="0"/>
          <w:color w:val="000000"/>
        </w:rPr>
        <w:br w:type="page"/>
      </w:r>
      <w:bookmarkStart w:id="44" w:name="_Toc264617161"/>
      <w:r w:rsidRPr="008C6BAB">
        <w:rPr>
          <w:rFonts w:ascii="宋体" w:hAnsi="宋体" w:hint="eastAsia"/>
          <w:bCs w:val="0"/>
          <w:color w:val="000000"/>
          <w:sz w:val="30"/>
          <w:szCs w:val="30"/>
        </w:rPr>
        <w:lastRenderedPageBreak/>
        <w:t>二十一、托管协议的签订</w:t>
      </w:r>
      <w:bookmarkEnd w:id="44"/>
    </w:p>
    <w:p w14:paraId="21E61F7D" w14:textId="77777777" w:rsidR="00006FD1" w:rsidRPr="008C6BAB" w:rsidRDefault="00056933">
      <w:pPr>
        <w:spacing w:line="360" w:lineRule="auto"/>
        <w:ind w:firstLine="480"/>
        <w:rPr>
          <w:rFonts w:ascii="宋体" w:hAnsi="宋体" w:cs="宋体"/>
          <w:color w:val="000000"/>
          <w:sz w:val="24"/>
          <w:szCs w:val="24"/>
        </w:rPr>
      </w:pPr>
      <w:r w:rsidRPr="008C6BAB">
        <w:rPr>
          <w:rFonts w:ascii="宋体" w:hAnsi="宋体" w:cs="宋体" w:hint="eastAsia"/>
          <w:color w:val="000000"/>
          <w:sz w:val="24"/>
          <w:szCs w:val="24"/>
        </w:rPr>
        <w:t>本托管协议经基金管理人和基金托管人认可后，由该双方当事人在基金托管协议上盖章，并由各自的法定代表人或授权代表签署，并注明基金托管协议的签订地点和签订日期。</w:t>
      </w:r>
    </w:p>
    <w:p w14:paraId="1452D2A2" w14:textId="77777777" w:rsidR="00006FD1" w:rsidRPr="008C6BAB" w:rsidRDefault="00006FD1">
      <w:pPr>
        <w:spacing w:line="360" w:lineRule="auto"/>
        <w:ind w:firstLine="480"/>
        <w:rPr>
          <w:rFonts w:ascii="宋体" w:hAnsi="宋体" w:cs="宋体"/>
          <w:color w:val="000000"/>
          <w:sz w:val="24"/>
          <w:szCs w:val="24"/>
        </w:rPr>
      </w:pPr>
    </w:p>
    <w:p w14:paraId="48674A9F" w14:textId="77777777" w:rsidR="00006FD1" w:rsidRPr="008C6BAB" w:rsidRDefault="00006FD1">
      <w:pPr>
        <w:spacing w:line="360" w:lineRule="auto"/>
        <w:ind w:firstLine="480"/>
        <w:rPr>
          <w:rFonts w:ascii="宋体" w:hAnsi="宋体" w:cs="宋体"/>
          <w:color w:val="000000"/>
          <w:sz w:val="24"/>
          <w:szCs w:val="24"/>
        </w:rPr>
      </w:pPr>
    </w:p>
    <w:p w14:paraId="3DA69153" w14:textId="77777777" w:rsidR="00006FD1" w:rsidRPr="008C6BAB" w:rsidRDefault="00006FD1">
      <w:pPr>
        <w:spacing w:line="360" w:lineRule="auto"/>
        <w:ind w:firstLine="480"/>
        <w:rPr>
          <w:rFonts w:ascii="宋体" w:hAnsi="宋体" w:cs="宋体"/>
          <w:color w:val="000000"/>
          <w:sz w:val="24"/>
          <w:szCs w:val="24"/>
        </w:rPr>
      </w:pPr>
    </w:p>
    <w:p w14:paraId="3A21F5A5" w14:textId="77777777" w:rsidR="00006FD1" w:rsidRPr="008C6BAB" w:rsidRDefault="00006FD1">
      <w:pPr>
        <w:spacing w:line="360" w:lineRule="auto"/>
        <w:ind w:firstLine="480"/>
        <w:rPr>
          <w:rFonts w:ascii="宋体" w:hAnsi="宋体" w:cs="宋体"/>
          <w:color w:val="000000"/>
          <w:sz w:val="24"/>
          <w:szCs w:val="24"/>
        </w:rPr>
      </w:pPr>
    </w:p>
    <w:p w14:paraId="43D98246" w14:textId="77777777" w:rsidR="00006FD1" w:rsidRPr="008C6BAB" w:rsidRDefault="00006FD1">
      <w:pPr>
        <w:spacing w:line="360" w:lineRule="auto"/>
        <w:ind w:firstLine="480"/>
        <w:rPr>
          <w:rFonts w:ascii="宋体" w:hAnsi="宋体" w:cs="宋体"/>
          <w:color w:val="000000"/>
          <w:sz w:val="24"/>
          <w:szCs w:val="24"/>
        </w:rPr>
      </w:pPr>
    </w:p>
    <w:p w14:paraId="0A678E46" w14:textId="77777777" w:rsidR="00006FD1" w:rsidRPr="008C6BAB" w:rsidRDefault="00006FD1">
      <w:pPr>
        <w:spacing w:line="360" w:lineRule="auto"/>
        <w:ind w:firstLine="480"/>
        <w:rPr>
          <w:rFonts w:ascii="宋体" w:hAnsi="宋体" w:cs="宋体"/>
          <w:color w:val="000000"/>
          <w:sz w:val="24"/>
          <w:szCs w:val="24"/>
        </w:rPr>
      </w:pPr>
    </w:p>
    <w:p w14:paraId="41C9DAE9" w14:textId="77777777" w:rsidR="00006FD1" w:rsidRPr="008C6BAB" w:rsidRDefault="00006FD1">
      <w:pPr>
        <w:spacing w:line="360" w:lineRule="auto"/>
        <w:ind w:firstLine="480"/>
        <w:rPr>
          <w:rFonts w:ascii="宋体" w:hAnsi="宋体" w:cs="宋体"/>
          <w:color w:val="000000"/>
          <w:sz w:val="24"/>
          <w:szCs w:val="24"/>
        </w:rPr>
      </w:pPr>
    </w:p>
    <w:p w14:paraId="77E0016C" w14:textId="77777777" w:rsidR="00006FD1" w:rsidRPr="008C6BAB" w:rsidRDefault="00006FD1">
      <w:pPr>
        <w:spacing w:line="360" w:lineRule="auto"/>
        <w:ind w:firstLine="480"/>
        <w:rPr>
          <w:rFonts w:ascii="宋体" w:hAnsi="宋体" w:cs="宋体"/>
          <w:color w:val="000000"/>
          <w:sz w:val="24"/>
          <w:szCs w:val="24"/>
        </w:rPr>
      </w:pPr>
    </w:p>
    <w:p w14:paraId="67A371D6" w14:textId="77777777" w:rsidR="00006FD1" w:rsidRPr="008C6BAB" w:rsidRDefault="00006FD1">
      <w:pPr>
        <w:spacing w:line="360" w:lineRule="auto"/>
        <w:ind w:firstLine="480"/>
        <w:rPr>
          <w:rFonts w:ascii="宋体" w:hAnsi="宋体" w:cs="宋体"/>
          <w:color w:val="000000"/>
          <w:sz w:val="24"/>
          <w:szCs w:val="24"/>
        </w:rPr>
      </w:pPr>
    </w:p>
    <w:p w14:paraId="04530446" w14:textId="77777777" w:rsidR="00006FD1" w:rsidRPr="008C6BAB" w:rsidRDefault="00006FD1">
      <w:pPr>
        <w:spacing w:line="360" w:lineRule="auto"/>
        <w:ind w:firstLine="480"/>
        <w:rPr>
          <w:rFonts w:ascii="宋体" w:hAnsi="宋体" w:cs="宋体"/>
          <w:color w:val="000000"/>
          <w:sz w:val="24"/>
          <w:szCs w:val="24"/>
        </w:rPr>
      </w:pPr>
    </w:p>
    <w:p w14:paraId="7FD7A99F" w14:textId="77777777" w:rsidR="00006FD1" w:rsidRPr="008C6BAB" w:rsidRDefault="00006FD1">
      <w:pPr>
        <w:spacing w:line="360" w:lineRule="auto"/>
        <w:ind w:firstLine="480"/>
        <w:rPr>
          <w:rFonts w:ascii="宋体" w:hAnsi="宋体" w:cs="宋体"/>
          <w:color w:val="000000"/>
          <w:sz w:val="24"/>
          <w:szCs w:val="24"/>
        </w:rPr>
      </w:pPr>
    </w:p>
    <w:p w14:paraId="0F9341CF" w14:textId="77777777" w:rsidR="00006FD1" w:rsidRPr="008C6BAB" w:rsidRDefault="00006FD1">
      <w:pPr>
        <w:spacing w:line="360" w:lineRule="auto"/>
        <w:ind w:firstLine="480"/>
        <w:rPr>
          <w:rFonts w:ascii="宋体" w:hAnsi="宋体" w:cs="宋体"/>
          <w:color w:val="000000"/>
          <w:sz w:val="24"/>
          <w:szCs w:val="24"/>
        </w:rPr>
      </w:pPr>
    </w:p>
    <w:p w14:paraId="1F505E38" w14:textId="77777777" w:rsidR="00006FD1" w:rsidRPr="008C6BAB" w:rsidRDefault="00006FD1">
      <w:pPr>
        <w:spacing w:line="360" w:lineRule="auto"/>
        <w:ind w:firstLine="480"/>
        <w:rPr>
          <w:rFonts w:ascii="宋体" w:hAnsi="宋体" w:cs="宋体"/>
          <w:color w:val="000000"/>
          <w:sz w:val="24"/>
          <w:szCs w:val="24"/>
        </w:rPr>
      </w:pPr>
    </w:p>
    <w:p w14:paraId="693B50C6" w14:textId="77777777" w:rsidR="00006FD1" w:rsidRPr="008C6BAB" w:rsidRDefault="00006FD1">
      <w:pPr>
        <w:spacing w:line="360" w:lineRule="auto"/>
        <w:ind w:firstLine="480"/>
        <w:rPr>
          <w:rFonts w:ascii="宋体" w:hAnsi="宋体" w:cs="宋体"/>
          <w:color w:val="000000"/>
          <w:sz w:val="24"/>
          <w:szCs w:val="24"/>
        </w:rPr>
      </w:pPr>
    </w:p>
    <w:p w14:paraId="2396B23E" w14:textId="77777777" w:rsidR="00006FD1" w:rsidRPr="008C6BAB" w:rsidRDefault="00006FD1">
      <w:pPr>
        <w:spacing w:line="360" w:lineRule="auto"/>
        <w:ind w:firstLine="480"/>
        <w:rPr>
          <w:rFonts w:ascii="宋体" w:hAnsi="宋体" w:cs="宋体"/>
          <w:color w:val="000000"/>
          <w:sz w:val="24"/>
          <w:szCs w:val="24"/>
        </w:rPr>
      </w:pPr>
    </w:p>
    <w:p w14:paraId="6740C718" w14:textId="77777777" w:rsidR="00006FD1" w:rsidRPr="008C6BAB" w:rsidRDefault="00006FD1">
      <w:pPr>
        <w:spacing w:line="360" w:lineRule="auto"/>
        <w:ind w:firstLine="480"/>
        <w:rPr>
          <w:rFonts w:ascii="宋体" w:hAnsi="宋体" w:cs="宋体"/>
          <w:color w:val="000000"/>
          <w:sz w:val="24"/>
          <w:szCs w:val="24"/>
        </w:rPr>
      </w:pPr>
    </w:p>
    <w:p w14:paraId="3B22C401" w14:textId="77777777" w:rsidR="00006FD1" w:rsidRPr="008C6BAB" w:rsidRDefault="00006FD1">
      <w:pPr>
        <w:spacing w:line="360" w:lineRule="auto"/>
        <w:ind w:firstLine="480"/>
        <w:rPr>
          <w:rFonts w:ascii="宋体" w:hAnsi="宋体" w:cs="宋体"/>
          <w:color w:val="000000"/>
          <w:sz w:val="24"/>
          <w:szCs w:val="24"/>
        </w:rPr>
      </w:pPr>
    </w:p>
    <w:p w14:paraId="3FC61D80" w14:textId="77777777" w:rsidR="00006FD1" w:rsidRPr="008C6BAB" w:rsidRDefault="00006FD1">
      <w:pPr>
        <w:spacing w:line="360" w:lineRule="auto"/>
        <w:ind w:firstLine="480"/>
        <w:rPr>
          <w:rFonts w:ascii="宋体" w:hAnsi="宋体" w:cs="宋体"/>
          <w:color w:val="000000"/>
          <w:sz w:val="24"/>
          <w:szCs w:val="24"/>
        </w:rPr>
      </w:pPr>
    </w:p>
    <w:p w14:paraId="2E6687C0" w14:textId="77777777" w:rsidR="00006FD1" w:rsidRPr="008C6BAB" w:rsidRDefault="00006FD1">
      <w:pPr>
        <w:spacing w:line="360" w:lineRule="auto"/>
        <w:ind w:firstLine="480"/>
        <w:rPr>
          <w:rFonts w:ascii="宋体" w:hAnsi="宋体" w:cs="宋体"/>
          <w:color w:val="000000"/>
          <w:sz w:val="24"/>
          <w:szCs w:val="24"/>
        </w:rPr>
      </w:pPr>
    </w:p>
    <w:p w14:paraId="2E7298D5" w14:textId="77777777" w:rsidR="00006FD1" w:rsidRPr="008C6BAB" w:rsidRDefault="00006FD1">
      <w:pPr>
        <w:spacing w:line="360" w:lineRule="auto"/>
        <w:ind w:firstLine="480"/>
        <w:rPr>
          <w:rFonts w:ascii="宋体" w:hAnsi="宋体" w:cs="宋体"/>
          <w:color w:val="000000"/>
          <w:sz w:val="24"/>
          <w:szCs w:val="24"/>
        </w:rPr>
      </w:pPr>
    </w:p>
    <w:p w14:paraId="7D5DF32D" w14:textId="77777777" w:rsidR="00006FD1" w:rsidRPr="008C6BAB" w:rsidRDefault="00006FD1">
      <w:pPr>
        <w:spacing w:line="360" w:lineRule="auto"/>
        <w:ind w:firstLine="480"/>
        <w:rPr>
          <w:rFonts w:ascii="宋体" w:hAnsi="宋体" w:cs="宋体"/>
          <w:color w:val="000000"/>
          <w:sz w:val="24"/>
          <w:szCs w:val="24"/>
        </w:rPr>
      </w:pPr>
    </w:p>
    <w:p w14:paraId="1846F059" w14:textId="77777777" w:rsidR="00006FD1" w:rsidRPr="008C6BAB" w:rsidRDefault="00006FD1">
      <w:pPr>
        <w:spacing w:line="360" w:lineRule="auto"/>
        <w:ind w:firstLine="480"/>
        <w:rPr>
          <w:rFonts w:ascii="仿宋" w:eastAsia="仿宋" w:hAnsi="仿宋"/>
          <w:color w:val="000000"/>
          <w:sz w:val="24"/>
          <w:szCs w:val="24"/>
        </w:rPr>
      </w:pPr>
    </w:p>
    <w:p w14:paraId="747F487E" w14:textId="77777777" w:rsidR="00006FD1" w:rsidRPr="008C6BAB" w:rsidRDefault="00006FD1">
      <w:pPr>
        <w:spacing w:line="360" w:lineRule="auto"/>
        <w:ind w:firstLine="480"/>
        <w:rPr>
          <w:rFonts w:ascii="仿宋" w:eastAsia="仿宋" w:hAnsi="仿宋"/>
          <w:color w:val="000000"/>
          <w:sz w:val="24"/>
          <w:szCs w:val="24"/>
        </w:rPr>
      </w:pPr>
    </w:p>
    <w:p w14:paraId="520CF286" w14:textId="77777777" w:rsidR="00006FD1" w:rsidRPr="008C6BAB" w:rsidRDefault="00006FD1">
      <w:pPr>
        <w:spacing w:line="360" w:lineRule="auto"/>
        <w:ind w:firstLine="480"/>
        <w:rPr>
          <w:rFonts w:ascii="仿宋" w:eastAsia="仿宋" w:hAnsi="仿宋"/>
          <w:color w:val="000000"/>
          <w:sz w:val="24"/>
          <w:szCs w:val="24"/>
        </w:rPr>
      </w:pPr>
    </w:p>
    <w:p w14:paraId="55C0D61F" w14:textId="209E63E8" w:rsidR="00006FD1" w:rsidRPr="008C6BAB" w:rsidRDefault="00056933">
      <w:pPr>
        <w:spacing w:line="360" w:lineRule="auto"/>
        <w:rPr>
          <w:rFonts w:ascii="宋体" w:hAnsi="宋体" w:cs="宋体"/>
          <w:color w:val="000000"/>
          <w:sz w:val="24"/>
        </w:rPr>
      </w:pPr>
      <w:r w:rsidRPr="008C6BAB">
        <w:rPr>
          <w:rFonts w:ascii="宋体" w:hAnsi="宋体" w:cs="宋体" w:hint="eastAsia"/>
          <w:color w:val="000000"/>
          <w:sz w:val="24"/>
        </w:rPr>
        <w:lastRenderedPageBreak/>
        <w:t>（本页为《</w:t>
      </w:r>
      <w:r w:rsidR="00032252">
        <w:rPr>
          <w:rFonts w:ascii="宋体" w:hAnsi="宋体" w:cs="宋体" w:hint="eastAsia"/>
          <w:color w:val="000000"/>
          <w:sz w:val="24"/>
        </w:rPr>
        <w:t>交银施罗德稳益短债债券型证券投资基金</w:t>
      </w:r>
      <w:r w:rsidRPr="008C6BAB">
        <w:rPr>
          <w:rFonts w:ascii="宋体" w:hAnsi="宋体" w:cs="宋体" w:hint="eastAsia"/>
          <w:color w:val="000000"/>
          <w:sz w:val="24"/>
        </w:rPr>
        <w:t>托管协议》签署页，无正文）</w:t>
      </w:r>
    </w:p>
    <w:p w14:paraId="61E33C20" w14:textId="77777777" w:rsidR="00006FD1" w:rsidRPr="008C6BAB" w:rsidRDefault="00006FD1">
      <w:pPr>
        <w:spacing w:line="360" w:lineRule="auto"/>
        <w:rPr>
          <w:rFonts w:ascii="仿宋" w:eastAsia="仿宋" w:hAnsi="仿宋"/>
          <w:color w:val="000000"/>
          <w:sz w:val="24"/>
        </w:rPr>
      </w:pPr>
    </w:p>
    <w:p w14:paraId="658681CC" w14:textId="77777777" w:rsidR="00006FD1" w:rsidRPr="008C6BAB" w:rsidRDefault="00006FD1">
      <w:pPr>
        <w:spacing w:line="360" w:lineRule="auto"/>
        <w:ind w:right="26"/>
        <w:rPr>
          <w:rFonts w:ascii="仿宋" w:eastAsia="仿宋" w:hAnsi="仿宋"/>
          <w:color w:val="000000"/>
          <w:sz w:val="24"/>
        </w:rPr>
      </w:pPr>
    </w:p>
    <w:p w14:paraId="742E57B5" w14:textId="29863467" w:rsidR="00006FD1" w:rsidRPr="008C6BAB" w:rsidRDefault="00056933">
      <w:pPr>
        <w:spacing w:before="100" w:beforeAutospacing="1" w:after="100" w:afterAutospacing="1" w:line="400" w:lineRule="exact"/>
        <w:ind w:firstLine="403"/>
        <w:rPr>
          <w:rFonts w:ascii="宋体" w:hAnsi="宋体"/>
          <w:bCs/>
          <w:sz w:val="24"/>
        </w:rPr>
      </w:pPr>
      <w:r w:rsidRPr="008C6BAB">
        <w:rPr>
          <w:rFonts w:ascii="宋体" w:hAnsi="宋体"/>
          <w:bCs/>
          <w:sz w:val="24"/>
        </w:rPr>
        <w:t>基金管理人：</w:t>
      </w:r>
      <w:r w:rsidRPr="008C6BAB">
        <w:rPr>
          <w:rFonts w:ascii="宋体" w:hAnsi="宋体" w:hint="eastAsia"/>
          <w:bCs/>
          <w:sz w:val="24"/>
        </w:rPr>
        <w:t>交银施罗德基金管理有限公司（公章</w:t>
      </w:r>
      <w:r w:rsidRPr="008C6BAB">
        <w:rPr>
          <w:rFonts w:hint="eastAsia"/>
          <w:bCs/>
          <w:sz w:val="24"/>
        </w:rPr>
        <w:t>或合同专用章</w:t>
      </w:r>
      <w:r w:rsidRPr="008C6BAB">
        <w:rPr>
          <w:rFonts w:ascii="宋体" w:hAnsi="宋体" w:hint="eastAsia"/>
          <w:bCs/>
          <w:sz w:val="24"/>
        </w:rPr>
        <w:t>）</w:t>
      </w:r>
    </w:p>
    <w:p w14:paraId="30E7AA79" w14:textId="77777777" w:rsidR="00006FD1" w:rsidRPr="008C6BAB" w:rsidRDefault="00006FD1">
      <w:pPr>
        <w:pStyle w:val="Web"/>
        <w:spacing w:line="400" w:lineRule="exact"/>
        <w:rPr>
          <w:bCs/>
        </w:rPr>
      </w:pPr>
    </w:p>
    <w:p w14:paraId="4283B734" w14:textId="77777777" w:rsidR="00006FD1" w:rsidRPr="008C6BAB" w:rsidRDefault="00056933">
      <w:pPr>
        <w:pStyle w:val="Web"/>
        <w:spacing w:line="400" w:lineRule="exact"/>
        <w:ind w:firstLine="403"/>
        <w:rPr>
          <w:bCs/>
        </w:rPr>
      </w:pPr>
      <w:r w:rsidRPr="008C6BAB">
        <w:rPr>
          <w:bCs/>
        </w:rPr>
        <w:t>法定代表人</w:t>
      </w:r>
      <w:r w:rsidRPr="008C6BAB">
        <w:rPr>
          <w:rFonts w:hint="eastAsia"/>
          <w:bCs/>
        </w:rPr>
        <w:t xml:space="preserve">或授权代表： </w:t>
      </w:r>
    </w:p>
    <w:p w14:paraId="52181829" w14:textId="77777777" w:rsidR="00006FD1" w:rsidRPr="008C6BAB" w:rsidRDefault="00006FD1">
      <w:pPr>
        <w:pStyle w:val="Web"/>
        <w:spacing w:line="400" w:lineRule="exact"/>
        <w:ind w:firstLine="420"/>
        <w:rPr>
          <w:bCs/>
        </w:rPr>
      </w:pPr>
    </w:p>
    <w:p w14:paraId="0163C7AC" w14:textId="77777777" w:rsidR="00006FD1" w:rsidRPr="008C6BAB" w:rsidRDefault="00006FD1">
      <w:pPr>
        <w:pStyle w:val="Web"/>
        <w:spacing w:line="400" w:lineRule="exact"/>
        <w:ind w:firstLine="420"/>
        <w:rPr>
          <w:bCs/>
        </w:rPr>
      </w:pPr>
    </w:p>
    <w:p w14:paraId="6BEFBEBD" w14:textId="77777777" w:rsidR="00006FD1" w:rsidRPr="008C6BAB" w:rsidRDefault="00056933">
      <w:pPr>
        <w:pStyle w:val="Web"/>
        <w:spacing w:line="400" w:lineRule="exact"/>
        <w:ind w:firstLine="420"/>
        <w:rPr>
          <w:bCs/>
        </w:rPr>
      </w:pPr>
      <w:r w:rsidRPr="008C6BAB">
        <w:rPr>
          <w:bCs/>
        </w:rPr>
        <w:t>签订日：</w:t>
      </w:r>
      <w:r w:rsidRPr="008C6BAB">
        <w:rPr>
          <w:rFonts w:hint="eastAsia"/>
          <w:bCs/>
        </w:rPr>
        <w:t xml:space="preserve">     年   月   日 </w:t>
      </w:r>
    </w:p>
    <w:p w14:paraId="67754DC6" w14:textId="77777777" w:rsidR="00006FD1" w:rsidRPr="008C6BAB" w:rsidRDefault="00056933">
      <w:pPr>
        <w:pStyle w:val="Web"/>
        <w:spacing w:line="400" w:lineRule="exact"/>
        <w:ind w:firstLine="403"/>
        <w:rPr>
          <w:bCs/>
        </w:rPr>
      </w:pPr>
      <w:r w:rsidRPr="008C6BAB">
        <w:rPr>
          <w:bCs/>
        </w:rPr>
        <w:t>签订地</w:t>
      </w:r>
      <w:r w:rsidRPr="008C6BAB">
        <w:rPr>
          <w:rFonts w:hint="eastAsia"/>
          <w:bCs/>
        </w:rPr>
        <w:t>：上海</w:t>
      </w:r>
    </w:p>
    <w:p w14:paraId="1A3586B7" w14:textId="77777777" w:rsidR="00006FD1" w:rsidRPr="008C6BAB" w:rsidRDefault="00006FD1">
      <w:pPr>
        <w:spacing w:line="360" w:lineRule="auto"/>
        <w:ind w:firstLine="482"/>
        <w:rPr>
          <w:rFonts w:ascii="宋体" w:hAnsi="宋体"/>
          <w:bCs/>
          <w:sz w:val="24"/>
          <w:szCs w:val="24"/>
        </w:rPr>
      </w:pPr>
    </w:p>
    <w:p w14:paraId="127DCF88" w14:textId="77777777" w:rsidR="00006FD1" w:rsidRPr="008C6BAB" w:rsidRDefault="00006FD1">
      <w:pPr>
        <w:pStyle w:val="Web"/>
        <w:spacing w:line="400" w:lineRule="exact"/>
        <w:rPr>
          <w:bCs/>
          <w:sz w:val="21"/>
          <w:szCs w:val="21"/>
        </w:rPr>
      </w:pPr>
    </w:p>
    <w:p w14:paraId="7F8F5EF5" w14:textId="77777777" w:rsidR="00006FD1" w:rsidRPr="008C6BAB" w:rsidRDefault="00056933">
      <w:pPr>
        <w:pStyle w:val="Web"/>
        <w:spacing w:line="400" w:lineRule="exact"/>
        <w:ind w:firstLine="403"/>
        <w:rPr>
          <w:bCs/>
        </w:rPr>
      </w:pPr>
      <w:r w:rsidRPr="008C6BAB">
        <w:rPr>
          <w:bCs/>
        </w:rPr>
        <w:t>基金托管人</w:t>
      </w:r>
      <w:r w:rsidRPr="008C6BAB">
        <w:rPr>
          <w:rFonts w:hint="eastAsia"/>
          <w:bCs/>
        </w:rPr>
        <w:t>:中国光大银行股份有限公司（公章或合同专用章）</w:t>
      </w:r>
    </w:p>
    <w:p w14:paraId="3A3AD2F1" w14:textId="77777777" w:rsidR="00006FD1" w:rsidRPr="008C6BAB" w:rsidRDefault="00006FD1">
      <w:pPr>
        <w:pStyle w:val="Web"/>
        <w:spacing w:line="400" w:lineRule="exact"/>
        <w:ind w:firstLine="403"/>
        <w:rPr>
          <w:bCs/>
        </w:rPr>
      </w:pPr>
    </w:p>
    <w:p w14:paraId="7DBB3DCA" w14:textId="77777777" w:rsidR="00006FD1" w:rsidRPr="008C6BAB" w:rsidRDefault="00056933">
      <w:pPr>
        <w:pStyle w:val="Web"/>
        <w:spacing w:line="400" w:lineRule="exact"/>
        <w:ind w:firstLine="403"/>
        <w:rPr>
          <w:bCs/>
        </w:rPr>
      </w:pPr>
      <w:r w:rsidRPr="008C6BAB">
        <w:rPr>
          <w:bCs/>
        </w:rPr>
        <w:t>法定代表人</w:t>
      </w:r>
      <w:r w:rsidRPr="008C6BAB">
        <w:rPr>
          <w:rFonts w:hint="eastAsia"/>
          <w:bCs/>
        </w:rPr>
        <w:t>或授权代表：</w:t>
      </w:r>
    </w:p>
    <w:p w14:paraId="133E7136" w14:textId="77777777" w:rsidR="00006FD1" w:rsidRPr="008C6BAB" w:rsidRDefault="00006FD1">
      <w:pPr>
        <w:pStyle w:val="Web"/>
        <w:spacing w:line="400" w:lineRule="exact"/>
        <w:ind w:firstLine="420"/>
        <w:rPr>
          <w:bCs/>
        </w:rPr>
      </w:pPr>
    </w:p>
    <w:p w14:paraId="5D89DDC9" w14:textId="77777777" w:rsidR="00006FD1" w:rsidRPr="008C6BAB" w:rsidRDefault="00006FD1">
      <w:pPr>
        <w:pStyle w:val="Web"/>
        <w:spacing w:line="400" w:lineRule="exact"/>
        <w:ind w:firstLine="420"/>
        <w:rPr>
          <w:bCs/>
        </w:rPr>
      </w:pPr>
    </w:p>
    <w:p w14:paraId="0D0E5891" w14:textId="77777777" w:rsidR="00006FD1" w:rsidRPr="008C6BAB" w:rsidRDefault="00056933">
      <w:pPr>
        <w:pStyle w:val="Web"/>
        <w:spacing w:line="400" w:lineRule="exact"/>
        <w:ind w:firstLine="403"/>
        <w:rPr>
          <w:bCs/>
        </w:rPr>
      </w:pPr>
      <w:r w:rsidRPr="008C6BAB">
        <w:rPr>
          <w:bCs/>
        </w:rPr>
        <w:t>签订日</w:t>
      </w:r>
      <w:r w:rsidRPr="008C6BAB">
        <w:rPr>
          <w:rFonts w:hint="eastAsia"/>
          <w:bCs/>
        </w:rPr>
        <w:t>：     年   月   日</w:t>
      </w:r>
    </w:p>
    <w:p w14:paraId="7A685F68" w14:textId="77777777" w:rsidR="00006FD1" w:rsidRDefault="00056933">
      <w:pPr>
        <w:pStyle w:val="Web"/>
        <w:spacing w:line="400" w:lineRule="exact"/>
        <w:ind w:firstLine="420"/>
        <w:rPr>
          <w:bCs/>
        </w:rPr>
      </w:pPr>
      <w:r w:rsidRPr="008C6BAB">
        <w:rPr>
          <w:bCs/>
        </w:rPr>
        <w:t>签订地：</w:t>
      </w:r>
      <w:r w:rsidRPr="008C6BAB">
        <w:rPr>
          <w:rFonts w:hint="eastAsia"/>
          <w:bCs/>
        </w:rPr>
        <w:t>北京</w:t>
      </w:r>
    </w:p>
    <w:p w14:paraId="1121037B" w14:textId="77777777" w:rsidR="00006FD1" w:rsidRDefault="00006FD1"/>
    <w:p w14:paraId="3A8F5256" w14:textId="77777777" w:rsidR="00006FD1" w:rsidRDefault="00006FD1"/>
    <w:sectPr w:rsidR="00006FD1">
      <w:footerReference w:type="default" r:id="rId7"/>
      <w:pgSz w:w="11906" w:h="16838"/>
      <w:pgMar w:top="1440" w:right="1800" w:bottom="1440" w:left="1800" w:header="851" w:footer="992" w:gutter="0"/>
      <w:pgNumType w:start="1"/>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5A6FA" w16cid:durableId="25EDDCED"/>
  <w16cid:commentId w16cid:paraId="6625EAE5" w16cid:durableId="25EDDCF4"/>
  <w16cid:commentId w16cid:paraId="1C267D9C" w16cid:durableId="25EDDCD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DF39D" w14:textId="77777777" w:rsidR="00963B89" w:rsidRDefault="00963B89">
      <w:r>
        <w:separator/>
      </w:r>
    </w:p>
  </w:endnote>
  <w:endnote w:type="continuationSeparator" w:id="0">
    <w:p w14:paraId="0CF525E7" w14:textId="77777777" w:rsidR="00963B89" w:rsidRDefault="0096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A451" w14:textId="77777777" w:rsidR="008A009A" w:rsidRDefault="008A009A">
    <w:pPr>
      <w:pStyle w:val="14"/>
      <w:jc w:val="center"/>
    </w:pPr>
  </w:p>
  <w:p w14:paraId="45BB80C8" w14:textId="77777777" w:rsidR="008A009A" w:rsidRDefault="008A009A">
    <w:pPr>
      <w:pStyle w:val="14"/>
      <w:jc w:val="center"/>
    </w:pPr>
  </w:p>
  <w:p w14:paraId="45484BD4" w14:textId="77777777" w:rsidR="008A009A" w:rsidRDefault="008A009A">
    <w:pPr>
      <w:pStyle w:val="1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2361E" w14:textId="77777777" w:rsidR="00963B89" w:rsidRDefault="00963B89">
      <w:r>
        <w:separator/>
      </w:r>
    </w:p>
  </w:footnote>
  <w:footnote w:type="continuationSeparator" w:id="0">
    <w:p w14:paraId="35104205" w14:textId="77777777" w:rsidR="00963B89" w:rsidRDefault="00963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98"/>
    <w:rsid w:val="00006FD1"/>
    <w:rsid w:val="000221A1"/>
    <w:rsid w:val="00030EA8"/>
    <w:rsid w:val="00032252"/>
    <w:rsid w:val="000504E3"/>
    <w:rsid w:val="00053E8B"/>
    <w:rsid w:val="00056933"/>
    <w:rsid w:val="000812BC"/>
    <w:rsid w:val="000A6A67"/>
    <w:rsid w:val="000C3F22"/>
    <w:rsid w:val="000C5E6E"/>
    <w:rsid w:val="000D092E"/>
    <w:rsid w:val="000D15BD"/>
    <w:rsid w:val="000F1B2D"/>
    <w:rsid w:val="000F25DA"/>
    <w:rsid w:val="00120248"/>
    <w:rsid w:val="001364A5"/>
    <w:rsid w:val="00144AF4"/>
    <w:rsid w:val="0014792D"/>
    <w:rsid w:val="00153A7B"/>
    <w:rsid w:val="0015492B"/>
    <w:rsid w:val="0016607D"/>
    <w:rsid w:val="00174E17"/>
    <w:rsid w:val="001A2DAD"/>
    <w:rsid w:val="001A5F24"/>
    <w:rsid w:val="001B71D9"/>
    <w:rsid w:val="001C4692"/>
    <w:rsid w:val="001D3BEA"/>
    <w:rsid w:val="001D4210"/>
    <w:rsid w:val="001D67C0"/>
    <w:rsid w:val="001D69E2"/>
    <w:rsid w:val="001F0BEB"/>
    <w:rsid w:val="002319E2"/>
    <w:rsid w:val="002322C6"/>
    <w:rsid w:val="00242C66"/>
    <w:rsid w:val="00267402"/>
    <w:rsid w:val="00267A09"/>
    <w:rsid w:val="00286FDE"/>
    <w:rsid w:val="00294736"/>
    <w:rsid w:val="00296A59"/>
    <w:rsid w:val="002F1287"/>
    <w:rsid w:val="00300886"/>
    <w:rsid w:val="00302352"/>
    <w:rsid w:val="00310D56"/>
    <w:rsid w:val="00316A35"/>
    <w:rsid w:val="00343B1B"/>
    <w:rsid w:val="0036017E"/>
    <w:rsid w:val="00371B10"/>
    <w:rsid w:val="003810D3"/>
    <w:rsid w:val="00393637"/>
    <w:rsid w:val="003C1D5C"/>
    <w:rsid w:val="003C5806"/>
    <w:rsid w:val="003D393A"/>
    <w:rsid w:val="003D4C01"/>
    <w:rsid w:val="003E1F9D"/>
    <w:rsid w:val="003E2FFE"/>
    <w:rsid w:val="003F19A5"/>
    <w:rsid w:val="0041709B"/>
    <w:rsid w:val="00426044"/>
    <w:rsid w:val="00426060"/>
    <w:rsid w:val="00426CE0"/>
    <w:rsid w:val="0043571F"/>
    <w:rsid w:val="00442091"/>
    <w:rsid w:val="0045540C"/>
    <w:rsid w:val="00471D06"/>
    <w:rsid w:val="00481B1B"/>
    <w:rsid w:val="00481F16"/>
    <w:rsid w:val="004832AA"/>
    <w:rsid w:val="00494908"/>
    <w:rsid w:val="004A5E6A"/>
    <w:rsid w:val="004A6ECE"/>
    <w:rsid w:val="004B0637"/>
    <w:rsid w:val="004B3988"/>
    <w:rsid w:val="004C2B44"/>
    <w:rsid w:val="004C7FFD"/>
    <w:rsid w:val="004D161F"/>
    <w:rsid w:val="004D24D5"/>
    <w:rsid w:val="00504DB6"/>
    <w:rsid w:val="00526D81"/>
    <w:rsid w:val="0053044F"/>
    <w:rsid w:val="00550CAF"/>
    <w:rsid w:val="005737C3"/>
    <w:rsid w:val="00586CF7"/>
    <w:rsid w:val="00590A97"/>
    <w:rsid w:val="00593F0D"/>
    <w:rsid w:val="00596240"/>
    <w:rsid w:val="005A2393"/>
    <w:rsid w:val="005A2751"/>
    <w:rsid w:val="005A37CD"/>
    <w:rsid w:val="005B4BE7"/>
    <w:rsid w:val="005B7817"/>
    <w:rsid w:val="005C511A"/>
    <w:rsid w:val="005C671C"/>
    <w:rsid w:val="005E3139"/>
    <w:rsid w:val="005E7560"/>
    <w:rsid w:val="006446C6"/>
    <w:rsid w:val="00660548"/>
    <w:rsid w:val="00666CC7"/>
    <w:rsid w:val="00674E6E"/>
    <w:rsid w:val="00683722"/>
    <w:rsid w:val="00690EF5"/>
    <w:rsid w:val="006944B9"/>
    <w:rsid w:val="006A20AC"/>
    <w:rsid w:val="006A6614"/>
    <w:rsid w:val="006A70CE"/>
    <w:rsid w:val="006B3FF7"/>
    <w:rsid w:val="006B6C60"/>
    <w:rsid w:val="006C5B86"/>
    <w:rsid w:val="006E05CE"/>
    <w:rsid w:val="006E4EB6"/>
    <w:rsid w:val="006E5F6F"/>
    <w:rsid w:val="007109F0"/>
    <w:rsid w:val="007326F6"/>
    <w:rsid w:val="007430CB"/>
    <w:rsid w:val="0076651D"/>
    <w:rsid w:val="00790330"/>
    <w:rsid w:val="00790A0B"/>
    <w:rsid w:val="00796C80"/>
    <w:rsid w:val="007D20B7"/>
    <w:rsid w:val="00822EA2"/>
    <w:rsid w:val="008336F4"/>
    <w:rsid w:val="0084169F"/>
    <w:rsid w:val="00871457"/>
    <w:rsid w:val="00882587"/>
    <w:rsid w:val="008A009A"/>
    <w:rsid w:val="008B72AD"/>
    <w:rsid w:val="008C1EB1"/>
    <w:rsid w:val="008C3727"/>
    <w:rsid w:val="008C6BAB"/>
    <w:rsid w:val="008E0198"/>
    <w:rsid w:val="008F1C12"/>
    <w:rsid w:val="00913F93"/>
    <w:rsid w:val="0091423C"/>
    <w:rsid w:val="009151CA"/>
    <w:rsid w:val="0093255A"/>
    <w:rsid w:val="00957BFE"/>
    <w:rsid w:val="00961B87"/>
    <w:rsid w:val="00963B89"/>
    <w:rsid w:val="009704C1"/>
    <w:rsid w:val="00977B77"/>
    <w:rsid w:val="009D48AE"/>
    <w:rsid w:val="009E26AE"/>
    <w:rsid w:val="009E5FD1"/>
    <w:rsid w:val="00A14FDE"/>
    <w:rsid w:val="00A152A3"/>
    <w:rsid w:val="00A30F2A"/>
    <w:rsid w:val="00A36CB3"/>
    <w:rsid w:val="00A404B3"/>
    <w:rsid w:val="00A40FEB"/>
    <w:rsid w:val="00A44D79"/>
    <w:rsid w:val="00A559E4"/>
    <w:rsid w:val="00A61291"/>
    <w:rsid w:val="00A63BB4"/>
    <w:rsid w:val="00A878C5"/>
    <w:rsid w:val="00AA1279"/>
    <w:rsid w:val="00AB2FB3"/>
    <w:rsid w:val="00AB3526"/>
    <w:rsid w:val="00AB5FE0"/>
    <w:rsid w:val="00AD551F"/>
    <w:rsid w:val="00AF4D77"/>
    <w:rsid w:val="00B0091B"/>
    <w:rsid w:val="00B35B54"/>
    <w:rsid w:val="00B40290"/>
    <w:rsid w:val="00B415B1"/>
    <w:rsid w:val="00B42FF0"/>
    <w:rsid w:val="00B448EF"/>
    <w:rsid w:val="00B45AA1"/>
    <w:rsid w:val="00B555B2"/>
    <w:rsid w:val="00B81DE3"/>
    <w:rsid w:val="00B86AE8"/>
    <w:rsid w:val="00BA044F"/>
    <w:rsid w:val="00BA27B8"/>
    <w:rsid w:val="00BB75AB"/>
    <w:rsid w:val="00BD1CCD"/>
    <w:rsid w:val="00BE04F5"/>
    <w:rsid w:val="00BE5B73"/>
    <w:rsid w:val="00C02ED0"/>
    <w:rsid w:val="00C113B2"/>
    <w:rsid w:val="00C4528A"/>
    <w:rsid w:val="00C60238"/>
    <w:rsid w:val="00C7101B"/>
    <w:rsid w:val="00C97570"/>
    <w:rsid w:val="00CD653E"/>
    <w:rsid w:val="00D016C8"/>
    <w:rsid w:val="00D01BAA"/>
    <w:rsid w:val="00D11273"/>
    <w:rsid w:val="00D17B08"/>
    <w:rsid w:val="00D2350D"/>
    <w:rsid w:val="00D45031"/>
    <w:rsid w:val="00D60C75"/>
    <w:rsid w:val="00D67256"/>
    <w:rsid w:val="00D9176C"/>
    <w:rsid w:val="00DA523E"/>
    <w:rsid w:val="00E16E34"/>
    <w:rsid w:val="00E250AD"/>
    <w:rsid w:val="00E263CD"/>
    <w:rsid w:val="00E26F5F"/>
    <w:rsid w:val="00E35290"/>
    <w:rsid w:val="00E6590F"/>
    <w:rsid w:val="00E870DC"/>
    <w:rsid w:val="00EE2741"/>
    <w:rsid w:val="00EF3D53"/>
    <w:rsid w:val="00EF63EC"/>
    <w:rsid w:val="00EF7C40"/>
    <w:rsid w:val="00F07898"/>
    <w:rsid w:val="00F21CC8"/>
    <w:rsid w:val="00F265A2"/>
    <w:rsid w:val="00F73C7B"/>
    <w:rsid w:val="00F87D3F"/>
    <w:rsid w:val="00F94859"/>
    <w:rsid w:val="00F96445"/>
    <w:rsid w:val="0C01292F"/>
    <w:rsid w:val="100D691F"/>
    <w:rsid w:val="47D673DF"/>
    <w:rsid w:val="5FC330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F2E08"/>
  <w15:docId w15:val="{EED33F07-E79C-4F80-B921-994F8182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spacing w:after="57"/>
      <w:ind w:left="1701"/>
    </w:pPr>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nhideWhenUsed/>
    <w:qFormat/>
    <w:pPr>
      <w:jc w:val="left"/>
    </w:pPr>
  </w:style>
  <w:style w:type="paragraph" w:styleId="5">
    <w:name w:val="toc 5"/>
    <w:basedOn w:val="a"/>
    <w:next w:val="a"/>
    <w:uiPriority w:val="39"/>
    <w:unhideWhenUsed/>
    <w:qFormat/>
    <w:pPr>
      <w:spacing w:after="57"/>
      <w:ind w:left="1134"/>
    </w:pPr>
  </w:style>
  <w:style w:type="paragraph" w:styleId="3">
    <w:name w:val="toc 3"/>
    <w:basedOn w:val="a"/>
    <w:next w:val="a"/>
    <w:uiPriority w:val="39"/>
    <w:unhideWhenUsed/>
    <w:qFormat/>
    <w:pPr>
      <w:spacing w:after="57"/>
      <w:ind w:left="567"/>
    </w:pPr>
  </w:style>
  <w:style w:type="paragraph" w:styleId="8">
    <w:name w:val="toc 8"/>
    <w:basedOn w:val="a"/>
    <w:next w:val="a"/>
    <w:uiPriority w:val="39"/>
    <w:unhideWhenUsed/>
    <w:qFormat/>
    <w:pPr>
      <w:spacing w:after="57"/>
      <w:ind w:left="1984"/>
    </w:pPr>
  </w:style>
  <w:style w:type="paragraph" w:styleId="a7">
    <w:name w:val="Date"/>
    <w:basedOn w:val="a"/>
    <w:next w:val="a"/>
    <w:link w:val="a8"/>
    <w:uiPriority w:val="99"/>
    <w:unhideWhenUsed/>
    <w:qFormat/>
    <w:pPr>
      <w:ind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pPr>
      <w:widowControl/>
      <w:spacing w:after="100" w:line="276" w:lineRule="auto"/>
      <w:jc w:val="left"/>
    </w:pPr>
    <w:rPr>
      <w:sz w:val="22"/>
    </w:rPr>
  </w:style>
  <w:style w:type="paragraph" w:styleId="4">
    <w:name w:val="toc 4"/>
    <w:basedOn w:val="a"/>
    <w:next w:val="a"/>
    <w:uiPriority w:val="39"/>
    <w:unhideWhenUsed/>
    <w:qFormat/>
    <w:pPr>
      <w:spacing w:after="57"/>
      <w:ind w:left="850"/>
    </w:pPr>
  </w:style>
  <w:style w:type="paragraph" w:styleId="af">
    <w:name w:val="Subtitle"/>
    <w:basedOn w:val="a"/>
    <w:next w:val="a"/>
    <w:link w:val="af0"/>
    <w:uiPriority w:val="11"/>
    <w:qFormat/>
    <w:pPr>
      <w:spacing w:before="200" w:after="200"/>
    </w:pPr>
    <w:rPr>
      <w:sz w:val="24"/>
      <w:szCs w:val="24"/>
    </w:rPr>
  </w:style>
  <w:style w:type="paragraph" w:styleId="af1">
    <w:name w:val="footnote text"/>
    <w:basedOn w:val="a"/>
    <w:link w:val="af2"/>
    <w:uiPriority w:val="99"/>
    <w:unhideWhenUsed/>
    <w:qFormat/>
    <w:pPr>
      <w:spacing w:after="40"/>
    </w:pPr>
    <w:rPr>
      <w:sz w:val="18"/>
    </w:rPr>
  </w:style>
  <w:style w:type="paragraph" w:styleId="6">
    <w:name w:val="toc 6"/>
    <w:basedOn w:val="a"/>
    <w:next w:val="a"/>
    <w:uiPriority w:val="39"/>
    <w:unhideWhenUsed/>
    <w:qFormat/>
    <w:pPr>
      <w:spacing w:after="57"/>
      <w:ind w:left="1417"/>
    </w:pPr>
  </w:style>
  <w:style w:type="paragraph" w:styleId="2">
    <w:name w:val="toc 2"/>
    <w:basedOn w:val="a"/>
    <w:next w:val="a"/>
    <w:uiPriority w:val="39"/>
    <w:unhideWhenUsed/>
    <w:qFormat/>
    <w:pPr>
      <w:spacing w:after="57"/>
      <w:ind w:left="283"/>
    </w:pPr>
  </w:style>
  <w:style w:type="paragraph" w:styleId="9">
    <w:name w:val="toc 9"/>
    <w:basedOn w:val="a"/>
    <w:next w:val="a"/>
    <w:uiPriority w:val="39"/>
    <w:unhideWhenUsed/>
    <w:qFormat/>
    <w:pPr>
      <w:spacing w:after="57"/>
      <w:ind w:left="2268"/>
    </w:pPr>
  </w:style>
  <w:style w:type="paragraph" w:styleId="af3">
    <w:name w:val="Title"/>
    <w:basedOn w:val="a"/>
    <w:next w:val="a"/>
    <w:link w:val="af4"/>
    <w:uiPriority w:val="10"/>
    <w:qFormat/>
    <w:pPr>
      <w:spacing w:before="240" w:after="60"/>
      <w:jc w:val="center"/>
      <w:outlineLvl w:val="0"/>
    </w:pPr>
    <w:rPr>
      <w:rFonts w:ascii="Cambria" w:hAnsi="Cambria"/>
      <w:b/>
      <w:bCs/>
      <w:sz w:val="32"/>
      <w:szCs w:val="32"/>
    </w:rPr>
  </w:style>
  <w:style w:type="paragraph" w:styleId="af5">
    <w:name w:val="annotation subject"/>
    <w:basedOn w:val="a5"/>
    <w:next w:val="a5"/>
    <w:link w:val="af6"/>
    <w:uiPriority w:val="99"/>
    <w:unhideWhenUsed/>
    <w:qFormat/>
    <w:rPr>
      <w:b/>
      <w:bCs/>
    </w:rPr>
  </w:style>
  <w:style w:type="table" w:styleId="a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8">
    <w:name w:val="Hyperlink"/>
    <w:uiPriority w:val="99"/>
    <w:unhideWhenUsed/>
    <w:qFormat/>
    <w:rPr>
      <w:color w:val="0000FF"/>
      <w:u w:val="single"/>
    </w:rPr>
  </w:style>
  <w:style w:type="character" w:styleId="af9">
    <w:name w:val="annotation reference"/>
    <w:basedOn w:val="a0"/>
    <w:unhideWhenUsed/>
    <w:qFormat/>
    <w:rPr>
      <w:sz w:val="21"/>
      <w:szCs w:val="21"/>
    </w:rPr>
  </w:style>
  <w:style w:type="character" w:styleId="afa">
    <w:name w:val="footnote reference"/>
    <w:basedOn w:val="a0"/>
    <w:uiPriority w:val="99"/>
    <w:unhideWhenUsed/>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paragraph" w:customStyle="1" w:styleId="31">
    <w:name w:val="标题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qFormat/>
    <w:rPr>
      <w:rFonts w:ascii="Arial" w:eastAsia="Arial" w:hAnsi="Arial" w:cs="Arial"/>
      <w:sz w:val="30"/>
      <w:szCs w:val="30"/>
    </w:rPr>
  </w:style>
  <w:style w:type="paragraph" w:customStyle="1" w:styleId="41">
    <w:name w:val="标题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qFormat/>
    <w:rPr>
      <w:rFonts w:ascii="Arial" w:eastAsia="Arial" w:hAnsi="Arial" w:cs="Arial"/>
      <w:b/>
      <w:bCs/>
      <w:sz w:val="26"/>
      <w:szCs w:val="26"/>
    </w:rPr>
  </w:style>
  <w:style w:type="paragraph" w:customStyle="1" w:styleId="51">
    <w:name w:val="标题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Pr>
      <w:rFonts w:ascii="Arial" w:eastAsia="Arial" w:hAnsi="Arial" w:cs="Arial"/>
      <w:b/>
      <w:bCs/>
      <w:sz w:val="24"/>
      <w:szCs w:val="24"/>
    </w:rPr>
  </w:style>
  <w:style w:type="paragraph" w:customStyle="1" w:styleId="61">
    <w:name w:val="标题 61"/>
    <w:basedOn w:val="a"/>
    <w:next w:val="a"/>
    <w:link w:val="Heading6Char"/>
    <w:uiPriority w:val="9"/>
    <w:unhideWhenUsed/>
    <w:qFormat/>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61"/>
    <w:uiPriority w:val="9"/>
    <w:qFormat/>
    <w:rPr>
      <w:rFonts w:ascii="Arial" w:eastAsia="Arial" w:hAnsi="Arial" w:cs="Arial"/>
      <w:b/>
      <w:bCs/>
      <w:sz w:val="22"/>
      <w:szCs w:val="22"/>
    </w:rPr>
  </w:style>
  <w:style w:type="paragraph" w:customStyle="1" w:styleId="71">
    <w:name w:val="标题 71"/>
    <w:basedOn w:val="a"/>
    <w:next w:val="a"/>
    <w:link w:val="Heading7Char"/>
    <w:uiPriority w:val="9"/>
    <w:unhideWhenUsed/>
    <w:qFormat/>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71"/>
    <w:uiPriority w:val="9"/>
    <w:qFormat/>
    <w:rPr>
      <w:rFonts w:ascii="Arial" w:eastAsia="Arial" w:hAnsi="Arial" w:cs="Arial"/>
      <w:b/>
      <w:bCs/>
      <w:i/>
      <w:iCs/>
      <w:sz w:val="22"/>
      <w:szCs w:val="22"/>
    </w:rPr>
  </w:style>
  <w:style w:type="paragraph" w:customStyle="1" w:styleId="81">
    <w:name w:val="标题 81"/>
    <w:basedOn w:val="a"/>
    <w:next w:val="a"/>
    <w:link w:val="Heading8Char"/>
    <w:uiPriority w:val="9"/>
    <w:unhideWhenUsed/>
    <w:qFormat/>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标题 91"/>
    <w:basedOn w:val="a"/>
    <w:next w:val="a"/>
    <w:link w:val="Heading9Char"/>
    <w:uiPriority w:val="9"/>
    <w:unhideWhenUsed/>
    <w:qFormat/>
    <w:pPr>
      <w:keepNext/>
      <w:keepLines/>
      <w:spacing w:before="320" w:after="200"/>
      <w:outlineLvl w:val="8"/>
    </w:pPr>
    <w:rPr>
      <w:rFonts w:ascii="Arial" w:eastAsia="Arial" w:hAnsi="Arial" w:cs="Arial"/>
      <w:i/>
      <w:iCs/>
      <w:szCs w:val="21"/>
    </w:rPr>
  </w:style>
  <w:style w:type="character" w:customStyle="1" w:styleId="Heading9Char">
    <w:name w:val="Heading 9 Char"/>
    <w:basedOn w:val="a0"/>
    <w:link w:val="91"/>
    <w:uiPriority w:val="9"/>
    <w:qFormat/>
    <w:rPr>
      <w:rFonts w:ascii="Arial" w:eastAsia="Arial" w:hAnsi="Arial" w:cs="Arial"/>
      <w:i/>
      <w:iCs/>
      <w:sz w:val="21"/>
      <w:szCs w:val="21"/>
    </w:rPr>
  </w:style>
  <w:style w:type="paragraph" w:customStyle="1" w:styleId="10">
    <w:name w:val="列出段落1"/>
    <w:basedOn w:val="a"/>
    <w:uiPriority w:val="34"/>
    <w:qFormat/>
    <w:pPr>
      <w:ind w:left="720"/>
      <w:contextualSpacing/>
    </w:pPr>
  </w:style>
  <w:style w:type="paragraph" w:customStyle="1" w:styleId="11">
    <w:name w:val="无间隔1"/>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a0"/>
    <w:uiPriority w:val="10"/>
    <w:qFormat/>
    <w:rPr>
      <w:sz w:val="48"/>
      <w:szCs w:val="48"/>
    </w:rPr>
  </w:style>
  <w:style w:type="character" w:customStyle="1" w:styleId="af0">
    <w:name w:val="副标题 字符"/>
    <w:basedOn w:val="a0"/>
    <w:link w:val="af"/>
    <w:uiPriority w:val="11"/>
    <w:rPr>
      <w:sz w:val="24"/>
      <w:szCs w:val="24"/>
    </w:rPr>
  </w:style>
  <w:style w:type="paragraph" w:customStyle="1" w:styleId="12">
    <w:name w:val="引用1"/>
    <w:basedOn w:val="a"/>
    <w:next w:val="a"/>
    <w:link w:val="Char"/>
    <w:uiPriority w:val="29"/>
    <w:qFormat/>
    <w:pPr>
      <w:ind w:left="720" w:right="720"/>
    </w:pPr>
    <w:rPr>
      <w:i/>
    </w:rPr>
  </w:style>
  <w:style w:type="character" w:customStyle="1" w:styleId="Char">
    <w:name w:val="引用 Char"/>
    <w:link w:val="12"/>
    <w:uiPriority w:val="29"/>
    <w:qFormat/>
    <w:rPr>
      <w:i/>
    </w:rPr>
  </w:style>
  <w:style w:type="paragraph" w:customStyle="1" w:styleId="13">
    <w:name w:val="明显引用1"/>
    <w:basedOn w:val="a"/>
    <w:next w:val="a"/>
    <w:link w:val="Char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0">
    <w:name w:val="明显引用 Char"/>
    <w:link w:val="13"/>
    <w:uiPriority w:val="30"/>
    <w:rPr>
      <w:i/>
    </w:rPr>
  </w:style>
  <w:style w:type="character" w:customStyle="1" w:styleId="HeaderChar">
    <w:name w:val="Header Char"/>
    <w:basedOn w:val="a0"/>
    <w:uiPriority w:val="99"/>
  </w:style>
  <w:style w:type="character" w:customStyle="1" w:styleId="FooterChar">
    <w:name w:val="Footer Char"/>
    <w:basedOn w:val="a0"/>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tblPr/>
    <w:tblStylePr w:type="firstRow">
      <w:pPr>
        <w:snapToGrid/>
      </w:pPr>
      <w:rPr>
        <w:i/>
        <w:color w:val="404040"/>
      </w:rPr>
      <w:tblPr/>
      <w:tcPr>
        <w:tcBorders>
          <w:left w:val="nil"/>
          <w:bottom w:val="single" w:sz="4" w:space="0" w:color="404040"/>
          <w:right w:val="nil"/>
        </w:tcBorders>
        <w:shd w:val="clear" w:color="auto" w:fill="FFFFFF"/>
      </w:tcPr>
    </w:tblStylePr>
    <w:tblStylePr w:type="lastRow">
      <w:pPr>
        <w:snapToGrid/>
      </w:pPr>
      <w:rPr>
        <w:i/>
        <w:color w:val="404040"/>
      </w:rPr>
      <w:tblPr/>
      <w:tcPr>
        <w:tcBorders>
          <w:top w:val="single" w:sz="4" w:space="0" w:color="404040"/>
          <w:left w:val="nil"/>
          <w:right w:val="nil"/>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auto"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single" w:sz="12" w:space="0" w:color="5D8AC2" w:themeColor="accent1" w:themeTint="EA"/>
          <w:right w:val="nil"/>
        </w:tcBorders>
        <w:shd w:val="clear" w:color="auto"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single" w:sz="12" w:space="0" w:color="D99695" w:themeColor="accent2" w:themeTint="97"/>
          <w:right w:val="nil"/>
        </w:tcBorders>
        <w:shd w:val="clear" w:color="auto"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single" w:sz="12" w:space="0" w:color="9ABB59" w:themeColor="accent3" w:themeTint="FE"/>
          <w:right w:val="nil"/>
        </w:tcBorders>
        <w:shd w:val="clear" w:color="auto"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single" w:sz="12" w:space="0" w:color="B2A1C6" w:themeColor="accent4" w:themeTint="9A"/>
          <w:right w:val="nil"/>
        </w:tcBorders>
        <w:shd w:val="clear" w:color="auto"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single" w:sz="12" w:space="0" w:color="4BACC6" w:themeColor="accent5"/>
          <w:right w:val="nil"/>
        </w:tcBorders>
        <w:shd w:val="clear" w:color="auto" w:fill="FFFFFF"/>
      </w:tcPr>
    </w:tblStylePr>
    <w:tblStylePr w:type="lastRow">
      <w:pPr>
        <w:snapToGrid/>
      </w:pPr>
      <w:rPr>
        <w:b/>
        <w:color w:val="404040"/>
      </w:rPr>
      <w:tblPr/>
      <w:tcPr>
        <w:tcBorders>
          <w:top w:val="single" w:sz="4" w:space="0" w:color="4BACC6" w:themeColor="accent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single" w:sz="12" w:space="0" w:color="F79646" w:themeColor="accent6"/>
          <w:right w:val="nil"/>
        </w:tcBorders>
        <w:shd w:val="clear" w:color="auto" w:fill="FFFFFF"/>
      </w:tcPr>
    </w:tblStylePr>
    <w:tblStylePr w:type="lastRow">
      <w:pPr>
        <w:snapToGrid/>
      </w:pPr>
      <w:rPr>
        <w:b/>
        <w:color w:val="404040"/>
      </w:rPr>
      <w:tblPr/>
      <w:tcPr>
        <w:tcBorders>
          <w:top w:val="single" w:sz="4" w:space="0" w:color="F79646" w:themeColor="accent6"/>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4F81BD" w:themeFill="accent1"/>
      </w:tcPr>
    </w:tblStylePr>
    <w:tblStylePr w:type="firstCol">
      <w:pPr>
        <w:snapToGrid/>
      </w:pPr>
      <w:rPr>
        <w:rFonts w:ascii="Arial" w:hAnsi="Arial"/>
        <w:b/>
        <w:color w:val="FFFFFF"/>
        <w:sz w:val="22"/>
      </w:rPr>
      <w:tblPr/>
      <w:tcPr>
        <w:shd w:val="clear" w:color="auto" w:fill="4F81BD" w:themeFill="accent1"/>
      </w:tcPr>
    </w:tblStylePr>
    <w:tblStylePr w:type="lastCol">
      <w:pPr>
        <w:snapToGrid/>
      </w:pPr>
      <w:rPr>
        <w:rFonts w:ascii="Arial" w:hAnsi="Arial"/>
        <w:b/>
        <w:color w:val="FFFFFF"/>
        <w:sz w:val="22"/>
      </w:rPr>
      <w:tblPr/>
      <w:tcPr>
        <w:shd w:val="clear" w:color="auto" w:fill="4F81BD" w:themeFill="accent1"/>
      </w:tcPr>
    </w:tblStylePr>
    <w:tblStylePr w:type="band1Vert">
      <w:pPr>
        <w:snapToGrid/>
      </w:pPr>
      <w:tblPr/>
      <w:tcPr>
        <w:shd w:val="clear" w:color="auto" w:fill="AEC4E0" w:themeFill="accent1" w:themeFillTint="75"/>
      </w:tcPr>
    </w:tblStylePr>
    <w:tblStylePr w:type="band2Vert">
      <w:pPr>
        <w:snapToGrid/>
      </w:pPr>
    </w:tblStylePr>
    <w:tblStylePr w:type="band1Horz">
      <w:pPr>
        <w:snapToGrid/>
      </w:pPr>
      <w:tblPr/>
      <w:tcPr>
        <w:shd w:val="clear" w:color="auto"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C0504D" w:themeFill="accent2"/>
      </w:tcPr>
    </w:tblStylePr>
    <w:tblStylePr w:type="firstCol">
      <w:pPr>
        <w:snapToGrid/>
      </w:pPr>
      <w:rPr>
        <w:rFonts w:ascii="Arial" w:hAnsi="Arial"/>
        <w:b/>
        <w:color w:val="FFFFFF"/>
        <w:sz w:val="22"/>
      </w:rPr>
      <w:tblPr/>
      <w:tcPr>
        <w:shd w:val="clear" w:color="auto" w:fill="C0504D" w:themeFill="accent2"/>
      </w:tcPr>
    </w:tblStylePr>
    <w:tblStylePr w:type="lastCol">
      <w:pPr>
        <w:snapToGrid/>
      </w:pPr>
      <w:rPr>
        <w:rFonts w:ascii="Arial" w:hAnsi="Arial"/>
        <w:b/>
        <w:color w:val="FFFFFF"/>
        <w:sz w:val="22"/>
      </w:rPr>
      <w:tblPr/>
      <w:tcPr>
        <w:shd w:val="clear" w:color="auto" w:fill="C0504D" w:themeFill="accent2"/>
      </w:tcPr>
    </w:tblStylePr>
    <w:tblStylePr w:type="band1Vert">
      <w:pPr>
        <w:snapToGrid/>
      </w:pPr>
      <w:tblPr/>
      <w:tcPr>
        <w:shd w:val="clear" w:color="auto" w:fill="E2AEAD" w:themeFill="accent2" w:themeFillTint="75"/>
      </w:tcPr>
    </w:tblStylePr>
    <w:tblStylePr w:type="band2Vert">
      <w:pPr>
        <w:snapToGrid/>
      </w:pPr>
    </w:tblStylePr>
    <w:tblStylePr w:type="band1Horz">
      <w:pPr>
        <w:snapToGrid/>
      </w:pPr>
      <w:tbl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9BBB59" w:themeFill="accent3"/>
      </w:tcPr>
    </w:tblStylePr>
    <w:tblStylePr w:type="firstCol">
      <w:pPr>
        <w:snapToGrid/>
      </w:pPr>
      <w:rPr>
        <w:rFonts w:ascii="Arial" w:hAnsi="Arial"/>
        <w:b/>
        <w:color w:val="FFFFFF"/>
        <w:sz w:val="22"/>
      </w:rPr>
      <w:tblPr/>
      <w:tcPr>
        <w:shd w:val="clear" w:color="auto" w:fill="9BBB59" w:themeFill="accent3"/>
      </w:tcPr>
    </w:tblStylePr>
    <w:tblStylePr w:type="lastCol">
      <w:pPr>
        <w:snapToGrid/>
      </w:pPr>
      <w:rPr>
        <w:rFonts w:ascii="Arial" w:hAnsi="Arial"/>
        <w:b/>
        <w:color w:val="FFFFFF"/>
        <w:sz w:val="22"/>
      </w:rPr>
      <w:tblPr/>
      <w:tcPr>
        <w:shd w:val="clear" w:color="auto" w:fill="9BBB59" w:themeFill="accent3"/>
      </w:tcPr>
    </w:tblStylePr>
    <w:tblStylePr w:type="band1Vert">
      <w:pPr>
        <w:snapToGrid/>
      </w:pPr>
      <w:tblPr/>
      <w:tcPr>
        <w:shd w:val="clear" w:color="auto" w:fill="D0DFB2" w:themeFill="accent3" w:themeFillTint="75"/>
      </w:tcPr>
    </w:tblStylePr>
    <w:tblStylePr w:type="band2Vert">
      <w:pPr>
        <w:snapToGrid/>
      </w:pPr>
    </w:tblStylePr>
    <w:tblStylePr w:type="band1Horz">
      <w:pPr>
        <w:snapToGrid/>
      </w:pPr>
      <w:tblPr/>
      <w:tcPr>
        <w:shd w:val="clear" w:color="auto"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8064A2" w:themeFill="accent4"/>
      </w:tcPr>
    </w:tblStylePr>
    <w:tblStylePr w:type="firstCol">
      <w:pPr>
        <w:snapToGrid/>
      </w:pPr>
      <w:rPr>
        <w:rFonts w:ascii="Arial" w:hAnsi="Arial"/>
        <w:b/>
        <w:color w:val="FFFFFF"/>
        <w:sz w:val="22"/>
      </w:rPr>
      <w:tblPr/>
      <w:tcPr>
        <w:shd w:val="clear" w:color="auto" w:fill="8064A2" w:themeFill="accent4"/>
      </w:tcPr>
    </w:tblStylePr>
    <w:tblStylePr w:type="lastCol">
      <w:pPr>
        <w:snapToGrid/>
      </w:pPr>
      <w:rPr>
        <w:rFonts w:ascii="Arial" w:hAnsi="Arial"/>
        <w:b/>
        <w:color w:val="FFFFFF"/>
        <w:sz w:val="22"/>
      </w:rPr>
      <w:tblPr/>
      <w:tcPr>
        <w:shd w:val="clear" w:color="auto" w:fill="8064A2" w:themeFill="accent4"/>
      </w:tcPr>
    </w:tblStylePr>
    <w:tblStylePr w:type="band1Vert">
      <w:pPr>
        <w:snapToGrid/>
      </w:pPr>
      <w:tblPr/>
      <w:tcPr>
        <w:shd w:val="clear" w:color="auto" w:fill="C4B7D4" w:themeFill="accent4" w:themeFillTint="75"/>
      </w:tcPr>
    </w:tblStylePr>
    <w:tblStylePr w:type="band2Vert">
      <w:pPr>
        <w:snapToGrid/>
      </w:pPr>
    </w:tblStylePr>
    <w:tblStylePr w:type="band1Horz">
      <w:pPr>
        <w:snapToGrid/>
      </w:pPr>
      <w:tbl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BACC6" w:themeFill="accent5"/>
      </w:tcPr>
    </w:tblStylePr>
    <w:tblStylePr w:type="firstCol">
      <w:pPr>
        <w:snapToGrid/>
      </w:pPr>
      <w:rPr>
        <w:rFonts w:ascii="Arial" w:hAnsi="Arial"/>
        <w:b/>
        <w:color w:val="FFFFFF"/>
        <w:sz w:val="22"/>
      </w:rPr>
      <w:tblPr/>
      <w:tcPr>
        <w:shd w:val="clear" w:color="auto" w:fill="4BACC6" w:themeFill="accent5"/>
      </w:tcPr>
    </w:tblStylePr>
    <w:tblStylePr w:type="lastCol">
      <w:pPr>
        <w:snapToGrid/>
      </w:pPr>
      <w:rPr>
        <w:rFonts w:ascii="Arial" w:hAnsi="Arial"/>
        <w:b/>
        <w:color w:val="FFFFFF"/>
        <w:sz w:val="22"/>
      </w:rPr>
      <w:tblPr/>
      <w:tcPr>
        <w:shd w:val="clear" w:color="auto" w:fill="4BACC6" w:themeFill="accent5"/>
      </w:tcPr>
    </w:tblStylePr>
    <w:tblStylePr w:type="band1Vert">
      <w:pPr>
        <w:snapToGrid/>
      </w:pPr>
      <w:tblPr/>
      <w:tcPr>
        <w:shd w:val="clear" w:color="auto" w:fill="ACD8E4" w:themeFill="accent5" w:themeFillTint="75"/>
      </w:tcPr>
    </w:tblStylePr>
    <w:tblStylePr w:type="band2Vert">
      <w:pPr>
        <w:snapToGrid/>
      </w:pPr>
    </w:tblStylePr>
    <w:tblStylePr w:type="band1Horz">
      <w:pPr>
        <w:snapToGrid/>
      </w:pPr>
      <w:tbl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F79646" w:themeFill="accent6"/>
      </w:tcPr>
    </w:tblStylePr>
    <w:tblStylePr w:type="firstCol">
      <w:pPr>
        <w:snapToGrid/>
      </w:pPr>
      <w:rPr>
        <w:rFonts w:ascii="Arial" w:hAnsi="Arial"/>
        <w:b/>
        <w:color w:val="FFFFFF"/>
        <w:sz w:val="22"/>
      </w:rPr>
      <w:tblPr/>
      <w:tcPr>
        <w:shd w:val="clear" w:color="auto" w:fill="F79646" w:themeFill="accent6"/>
      </w:tcPr>
    </w:tblStylePr>
    <w:tblStylePr w:type="lastCol">
      <w:pPr>
        <w:snapToGrid/>
      </w:pPr>
      <w:rPr>
        <w:rFonts w:ascii="Arial" w:hAnsi="Arial"/>
        <w:b/>
        <w:color w:val="FFFFFF"/>
        <w:sz w:val="22"/>
      </w:rPr>
      <w:tblPr/>
      <w:tcPr>
        <w:shd w:val="clear" w:color="auto" w:fill="F79646" w:themeFill="accent6"/>
      </w:tcPr>
    </w:tblStylePr>
    <w:tblStylePr w:type="band1Vert">
      <w:pPr>
        <w:snapToGrid/>
      </w:pPr>
      <w:tblPr/>
      <w:tcPr>
        <w:shd w:val="clear" w:color="auto" w:fill="FBCEAA" w:themeFill="accent6" w:themeFillTint="75"/>
      </w:tcPr>
    </w:tblStylePr>
    <w:tblStylePr w:type="band2Vert">
      <w:pPr>
        <w:snapToGrid/>
      </w:pPr>
    </w:tblStylePr>
    <w:tblStylePr w:type="band1Horz">
      <w:pPr>
        <w:snapToGrid/>
      </w:pPr>
      <w:tbl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auto"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auto"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auto"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auto"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auto"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auto"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auto"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auto"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auto"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auto"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auto"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4F81BD" w:themeFill="accent1"/>
      </w:tcPr>
    </w:tblStylePr>
    <w:tblStylePr w:type="band2Horz">
      <w:pPr>
        <w:snapToGrid/>
      </w:pPr>
      <w:tblPr/>
      <w:tcPr>
        <w:tcBorders>
          <w:top w:val="single" w:sz="4" w:space="0" w:color="FFFFFF" w:themeColor="light1"/>
          <w:bottom w:val="single" w:sz="4" w:space="0" w:color="FFFFFF" w:themeColor="light1"/>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4F81BD" w:themeColor="accent1"/>
        <w:bottom w:val="single" w:sz="4" w:space="0" w:color="4F81BD" w:themeColor="accent1"/>
      </w:tblBorders>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auto"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D99695" w:themeColor="accent2" w:themeTint="97"/>
        <w:bottom w:val="single" w:sz="4" w:space="0" w:color="D99695" w:themeColor="accent2" w:themeTint="97"/>
      </w:tblBorders>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auto"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3D69B" w:themeColor="accent3" w:themeTint="98"/>
        <w:bottom w:val="single" w:sz="4" w:space="0" w:color="C3D69B" w:themeColor="accent3" w:themeTint="98"/>
      </w:tblBorders>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auto"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B2A1C6" w:themeColor="accent4" w:themeTint="9A"/>
        <w:bottom w:val="single" w:sz="4" w:space="0" w:color="B2A1C6" w:themeColor="accent4" w:themeTint="9A"/>
      </w:tblBorders>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auto"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92CCDC" w:themeColor="accent5" w:themeTint="9A"/>
        <w:bottom w:val="single" w:sz="4" w:space="0" w:color="92CCDC" w:themeColor="accent5" w:themeTint="9A"/>
      </w:tblBorders>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auto"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FAC090" w:themeColor="accent6" w:themeTint="98"/>
        <w:bottom w:val="single" w:sz="4" w:space="0" w:color="FAC090" w:themeColor="accent6" w:themeTint="98"/>
      </w:tblBorders>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auto"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4F81BD" w:themeColor="accent1"/>
      </w:tblBorders>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auto"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D99695" w:themeColor="accent2" w:themeTint="97"/>
      </w:tblBorders>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auto"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3D69B" w:themeColor="accent3" w:themeTint="98"/>
      </w:tblBorders>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auto"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B2A1C6" w:themeColor="accent4" w:themeTint="9A"/>
      </w:tblBorders>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auto"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92CCDC" w:themeColor="accent5" w:themeTint="9A"/>
      </w:tblBorders>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auto"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FAC090" w:themeColor="accent6" w:themeTint="98"/>
      </w:tblBorders>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auto"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2">
    <w:name w:val="脚注文本 字符"/>
    <w:link w:val="af1"/>
    <w:uiPriority w:val="99"/>
    <w:qFormat/>
    <w:rPr>
      <w:sz w:val="18"/>
    </w:rPr>
  </w:style>
  <w:style w:type="paragraph" w:customStyle="1" w:styleId="TOC1">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paragraph" w:customStyle="1" w:styleId="113">
    <w:name w:val="标题 11"/>
    <w:basedOn w:val="a"/>
    <w:next w:val="a"/>
    <w:link w:val="1Char"/>
    <w:qFormat/>
    <w:pPr>
      <w:keepNext/>
      <w:keepLines/>
      <w:spacing w:before="340" w:after="330" w:line="578" w:lineRule="auto"/>
      <w:outlineLvl w:val="0"/>
    </w:pPr>
    <w:rPr>
      <w:rFonts w:ascii="Times New Roman" w:hAnsi="Times New Roman"/>
      <w:b/>
      <w:bCs/>
      <w:sz w:val="44"/>
      <w:szCs w:val="44"/>
    </w:rPr>
  </w:style>
  <w:style w:type="paragraph" w:customStyle="1" w:styleId="212">
    <w:name w:val="标题 21"/>
    <w:basedOn w:val="a"/>
    <w:next w:val="a"/>
    <w:link w:val="2Char"/>
    <w:qFormat/>
    <w:pPr>
      <w:keepNext/>
      <w:keepLines/>
      <w:spacing w:before="260" w:after="260" w:line="415" w:lineRule="auto"/>
      <w:outlineLvl w:val="1"/>
    </w:pPr>
    <w:rPr>
      <w:rFonts w:ascii="Cambria" w:hAnsi="Cambria" w:cs="宋体"/>
      <w:b/>
      <w:bCs/>
      <w:sz w:val="32"/>
      <w:szCs w:val="32"/>
    </w:rPr>
  </w:style>
  <w:style w:type="paragraph" w:customStyle="1" w:styleId="14">
    <w:name w:val="页脚1"/>
    <w:basedOn w:val="a"/>
    <w:link w:val="Char1"/>
    <w:uiPriority w:val="99"/>
    <w:unhideWhenUsed/>
    <w:qFormat/>
    <w:pPr>
      <w:tabs>
        <w:tab w:val="center" w:pos="4153"/>
        <w:tab w:val="right" w:pos="8306"/>
      </w:tabs>
      <w:jc w:val="left"/>
    </w:pPr>
    <w:rPr>
      <w:sz w:val="18"/>
      <w:szCs w:val="18"/>
    </w:rPr>
  </w:style>
  <w:style w:type="paragraph" w:customStyle="1" w:styleId="15">
    <w:name w:val="页眉1"/>
    <w:basedOn w:val="a"/>
    <w:link w:val="Char2"/>
    <w:uiPriority w:val="99"/>
    <w:unhideWhenUsed/>
    <w:qFormat/>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15"/>
    <w:uiPriority w:val="99"/>
    <w:qFormat/>
    <w:rPr>
      <w:sz w:val="18"/>
      <w:szCs w:val="18"/>
    </w:rPr>
  </w:style>
  <w:style w:type="character" w:customStyle="1" w:styleId="Char1">
    <w:name w:val="页脚 Char"/>
    <w:basedOn w:val="a0"/>
    <w:link w:val="14"/>
    <w:uiPriority w:val="99"/>
    <w:qFormat/>
    <w:rPr>
      <w:sz w:val="18"/>
      <w:szCs w:val="18"/>
    </w:rPr>
  </w:style>
  <w:style w:type="character" w:customStyle="1" w:styleId="1Char">
    <w:name w:val="标题 1 Char"/>
    <w:basedOn w:val="a0"/>
    <w:link w:val="113"/>
    <w:qFormat/>
    <w:rPr>
      <w:rFonts w:ascii="Times New Roman" w:eastAsia="宋体" w:hAnsi="Times New Roman" w:cs="Times New Roman"/>
      <w:b/>
      <w:bCs/>
      <w:sz w:val="44"/>
      <w:szCs w:val="44"/>
    </w:rPr>
  </w:style>
  <w:style w:type="character" w:customStyle="1" w:styleId="2Char">
    <w:name w:val="标题 2 Char"/>
    <w:basedOn w:val="a0"/>
    <w:link w:val="212"/>
    <w:qFormat/>
    <w:rPr>
      <w:rFonts w:ascii="Cambria" w:eastAsia="宋体" w:hAnsi="Cambria" w:cs="宋体"/>
      <w:b/>
      <w:bCs/>
      <w:sz w:val="32"/>
      <w:szCs w:val="32"/>
    </w:rPr>
  </w:style>
  <w:style w:type="character" w:customStyle="1" w:styleId="af4">
    <w:name w:val="标题 字符"/>
    <w:basedOn w:val="a0"/>
    <w:link w:val="af3"/>
    <w:uiPriority w:val="10"/>
    <w:qFormat/>
    <w:rPr>
      <w:rFonts w:ascii="Cambria" w:eastAsia="宋体" w:hAnsi="Cambria" w:cs="Times New Roman"/>
      <w:b/>
      <w:bCs/>
      <w:sz w:val="32"/>
      <w:szCs w:val="32"/>
    </w:rPr>
  </w:style>
  <w:style w:type="paragraph" w:customStyle="1" w:styleId="313">
    <w:name w:val="正文文本缩进 31"/>
    <w:basedOn w:val="a"/>
    <w:qFormat/>
    <w:pPr>
      <w:spacing w:line="360" w:lineRule="auto"/>
      <w:ind w:left="420" w:firstLine="435"/>
    </w:pPr>
    <w:rPr>
      <w:rFonts w:ascii="Times New Roman" w:hAnsi="Times New Roman"/>
      <w:color w:val="0000FF"/>
      <w:szCs w:val="20"/>
    </w:rPr>
  </w:style>
  <w:style w:type="character" w:customStyle="1" w:styleId="aa">
    <w:name w:val="批注框文本 字符"/>
    <w:basedOn w:val="a0"/>
    <w:link w:val="a9"/>
    <w:uiPriority w:val="99"/>
    <w:semiHidden/>
    <w:qFormat/>
    <w:rPr>
      <w:rFonts w:ascii="Calibri" w:eastAsia="宋体" w:hAnsi="Calibri" w:cs="Times New Roman"/>
      <w:sz w:val="18"/>
      <w:szCs w:val="18"/>
    </w:rPr>
  </w:style>
  <w:style w:type="paragraph" w:customStyle="1" w:styleId="16">
    <w:name w:val="修订1"/>
    <w:hidden/>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paragraph" w:customStyle="1" w:styleId="114">
    <w:name w:val="列出段落11"/>
    <w:basedOn w:val="a"/>
    <w:uiPriority w:val="34"/>
    <w:qFormat/>
    <w:pPr>
      <w:ind w:firstLine="420"/>
    </w:pPr>
    <w:rPr>
      <w:rFonts w:ascii="Times New Roman" w:hAnsi="Times New Roman"/>
      <w:szCs w:val="24"/>
    </w:rPr>
  </w:style>
  <w:style w:type="character" w:customStyle="1" w:styleId="a6">
    <w:name w:val="批注文字 字符"/>
    <w:basedOn w:val="a0"/>
    <w:link w:val="a5"/>
    <w:qFormat/>
    <w:rPr>
      <w:rFonts w:ascii="Calibri" w:eastAsia="宋体" w:hAnsi="Calibri" w:cs="Times New Roman"/>
    </w:rPr>
  </w:style>
  <w:style w:type="character" w:customStyle="1" w:styleId="af6">
    <w:name w:val="批注主题 字符"/>
    <w:basedOn w:val="a6"/>
    <w:link w:val="af5"/>
    <w:uiPriority w:val="99"/>
    <w:semiHidden/>
    <w:qFormat/>
    <w:rPr>
      <w:rFonts w:ascii="Calibri" w:eastAsia="宋体" w:hAnsi="Calibri" w:cs="Times New Roman"/>
      <w:b/>
      <w:bCs/>
    </w:rPr>
  </w:style>
  <w:style w:type="paragraph" w:customStyle="1" w:styleId="20">
    <w:name w:val="！正文缩进2字符"/>
    <w:basedOn w:val="a"/>
    <w:qFormat/>
    <w:pPr>
      <w:widowControl/>
      <w:spacing w:line="360" w:lineRule="auto"/>
      <w:ind w:firstLine="200"/>
    </w:pPr>
    <w:rPr>
      <w:rFonts w:ascii="Times New Roman" w:hAnsi="Times New Roman"/>
      <w:sz w:val="24"/>
      <w:szCs w:val="24"/>
    </w:rPr>
  </w:style>
  <w:style w:type="character" w:customStyle="1" w:styleId="a8">
    <w:name w:val="日期 字符"/>
    <w:basedOn w:val="a0"/>
    <w:link w:val="a7"/>
    <w:uiPriority w:val="99"/>
    <w:semiHidden/>
    <w:qFormat/>
    <w:rPr>
      <w:rFonts w:ascii="Calibri" w:eastAsia="宋体" w:hAnsi="Calibri" w:cs="Times New Roman"/>
    </w:rPr>
  </w:style>
  <w:style w:type="paragraph" w:customStyle="1" w:styleId="22">
    <w:name w:val="列出段落2"/>
    <w:basedOn w:val="a"/>
    <w:uiPriority w:val="99"/>
    <w:unhideWhenUsed/>
    <w:qFormat/>
    <w:pPr>
      <w:ind w:firstLine="420"/>
    </w:pPr>
  </w:style>
  <w:style w:type="paragraph" w:customStyle="1" w:styleId="23">
    <w:name w:val="修订2"/>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paragraph" w:customStyle="1" w:styleId="Web">
    <w:name w:val="普通 (Web)"/>
    <w:basedOn w:val="a"/>
    <w:qFormat/>
    <w:pPr>
      <w:widowControl/>
      <w:spacing w:before="100" w:beforeAutospacing="1" w:after="100" w:afterAutospacing="1"/>
      <w:jc w:val="left"/>
    </w:pPr>
    <w:rPr>
      <w:rFonts w:ascii="宋体" w:hAnsi="宋体"/>
      <w:sz w:val="24"/>
      <w:szCs w:val="24"/>
    </w:rPr>
  </w:style>
  <w:style w:type="paragraph" w:customStyle="1" w:styleId="30">
    <w:name w:val="修订3"/>
    <w:hidden/>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character" w:customStyle="1" w:styleId="a4">
    <w:name w:val="文档结构图 字符"/>
    <w:basedOn w:val="a0"/>
    <w:link w:val="a3"/>
    <w:uiPriority w:val="99"/>
    <w:semiHidden/>
    <w:qFormat/>
    <w:rPr>
      <w:rFonts w:ascii="宋体"/>
      <w:sz w:val="18"/>
      <w:szCs w:val="18"/>
    </w:rPr>
  </w:style>
  <w:style w:type="paragraph" w:customStyle="1" w:styleId="40">
    <w:name w:val="修订4"/>
    <w:hidden/>
    <w:uiPriority w:val="99"/>
    <w:semiHidden/>
    <w:rPr>
      <w:sz w:val="21"/>
      <w:szCs w:val="22"/>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character" w:customStyle="1" w:styleId="17">
    <w:name w:val="批注文字 字符1"/>
    <w:rPr>
      <w:kern w:val="2"/>
      <w:sz w:val="21"/>
    </w:rPr>
  </w:style>
  <w:style w:type="paragraph" w:styleId="afb">
    <w:name w:val="Revision"/>
    <w:hidden/>
    <w:uiPriority w:val="99"/>
    <w:semiHidden/>
    <w:rsid w:val="00C113B2"/>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4704</Words>
  <Characters>26816</Characters>
  <Application>Microsoft Office Word</Application>
  <DocSecurity>0</DocSecurity>
  <Lines>223</Lines>
  <Paragraphs>62</Paragraphs>
  <ScaleCrop>false</ScaleCrop>
  <Company>P R C</Company>
  <LinksUpToDate>false</LinksUpToDate>
  <CharactersWithSpaces>31458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李宁</dc:creator>
  <cp:lastModifiedBy>张婧</cp:lastModifiedBy>
  <cp:revision>3</cp:revision>
  <cp:lastPrinted>2022-07-15T07:54:00Z</cp:lastPrinted>
  <dcterms:created xsi:type="dcterms:W3CDTF">2022-08-25T02:05:00Z</dcterms:created>
  <dcterms:modified xsi:type="dcterms:W3CDTF">2022-08-25T02:05:00Z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