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r>
        <w:rPr>
          <w:rFonts w:hint="eastAsia"/>
          <w:sz w:val="32"/>
        </w:rPr>
        <w:t xml:space="preserve">  </w:t>
      </w:r>
      <w:r>
        <w:rPr>
          <w:sz w:val="32"/>
        </w:rPr>
        <w:t xml:space="preserve"> </w:t>
      </w: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r>
        <w:rPr>
          <w:rFonts w:hint="eastAsia"/>
          <w:b/>
          <w:sz w:val="32"/>
        </w:rPr>
        <w:t xml:space="preserve"> </w:t>
      </w:r>
    </w:p>
    <w:p>
      <w:pPr>
        <w:spacing w:line="360" w:lineRule="auto"/>
        <w:jc w:val="center"/>
        <w:rPr>
          <w:b/>
          <w:sz w:val="32"/>
        </w:rPr>
      </w:pPr>
    </w:p>
    <w:p>
      <w:pPr>
        <w:spacing w:line="360" w:lineRule="auto"/>
        <w:rPr>
          <w:b/>
          <w:sz w:val="44"/>
        </w:rPr>
      </w:pPr>
    </w:p>
    <w:p>
      <w:pPr>
        <w:adjustRightInd w:val="0"/>
        <w:snapToGrid w:val="0"/>
        <w:spacing w:line="360" w:lineRule="auto"/>
        <w:jc w:val="center"/>
        <w:rPr>
          <w:b/>
          <w:sz w:val="40"/>
          <w:szCs w:val="44"/>
        </w:rPr>
      </w:pPr>
      <w:r>
        <w:rPr>
          <w:rFonts w:hint="eastAsia" w:hAnsi="宋体"/>
          <w:b/>
          <w:sz w:val="40"/>
        </w:rPr>
        <w:t>交银施罗德</w:t>
      </w:r>
      <w:r>
        <w:rPr>
          <w:rFonts w:hint="eastAsia"/>
          <w:b/>
          <w:sz w:val="40"/>
          <w:szCs w:val="44"/>
        </w:rPr>
        <w:t>慧选睿信一年持有期混合型</w:t>
      </w:r>
    </w:p>
    <w:p>
      <w:pPr>
        <w:adjustRightInd w:val="0"/>
        <w:snapToGrid w:val="0"/>
        <w:spacing w:line="360" w:lineRule="auto"/>
        <w:jc w:val="center"/>
        <w:rPr>
          <w:sz w:val="22"/>
        </w:rPr>
      </w:pPr>
      <w:r>
        <w:rPr>
          <w:rFonts w:hint="eastAsia" w:hAnsi="宋体"/>
          <w:b/>
          <w:sz w:val="40"/>
        </w:rPr>
        <w:t>基金中基金（FOF）招募</w:t>
      </w:r>
      <w:r>
        <w:rPr>
          <w:rFonts w:hAnsi="宋体"/>
          <w:b/>
          <w:sz w:val="40"/>
        </w:rPr>
        <w:t>说明书</w:t>
      </w:r>
    </w:p>
    <w:p>
      <w:pPr>
        <w:adjustRightInd w:val="0"/>
        <w:snapToGrid w:val="0"/>
        <w:spacing w:line="360" w:lineRule="auto"/>
        <w:jc w:val="center"/>
        <w:rPr>
          <w:sz w:val="24"/>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中信银行</w:t>
      </w:r>
      <w:r>
        <w:rPr>
          <w:rFonts w:hAnsi="宋体"/>
          <w:b/>
          <w:sz w:val="28"/>
        </w:rPr>
        <w:t>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jc w:val="center"/>
        <w:rPr>
          <w:rFonts w:hAnsi="宋体"/>
          <w:b/>
          <w:sz w:val="28"/>
        </w:rPr>
      </w:pPr>
      <w:r>
        <w:rPr>
          <w:rFonts w:hint="eastAsia" w:ascii="宋体"/>
          <w:b/>
          <w:bCs/>
          <w:sz w:val="30"/>
        </w:rPr>
        <w:t>二零二二年六月</w:t>
      </w:r>
    </w:p>
    <w:p>
      <w:pPr>
        <w:autoSpaceDE w:val="0"/>
        <w:autoSpaceDN w:val="0"/>
        <w:spacing w:line="360" w:lineRule="auto"/>
        <w:ind w:left="2996" w:hanging="2996"/>
        <w:jc w:val="center"/>
        <w:textAlignment w:val="bottom"/>
        <w:rPr>
          <w:b/>
          <w:sz w:val="24"/>
        </w:rPr>
      </w:pPr>
    </w:p>
    <w:p>
      <w:pPr>
        <w:widowControl/>
        <w:spacing w:line="360" w:lineRule="auto"/>
        <w:jc w:val="center"/>
        <w:rPr>
          <w:rFonts w:hAnsi="宋体"/>
          <w:kern w:val="0"/>
        </w:rPr>
      </w:pPr>
    </w:p>
    <w:p>
      <w:pPr>
        <w:widowControl/>
        <w:spacing w:line="360" w:lineRule="auto"/>
        <w:jc w:val="center"/>
        <w:rPr>
          <w:rFonts w:hAnsi="宋体"/>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rFonts w:hint="eastAsia"/>
          <w:kern w:val="0"/>
          <w:sz w:val="24"/>
        </w:rPr>
        <w:t>交银施罗德慧选睿信一年持有期混合型基金中基金（FOF）</w:t>
      </w:r>
      <w:r>
        <w:rPr>
          <w:kern w:val="0"/>
          <w:sz w:val="24"/>
        </w:rPr>
        <w:t>（以下简称</w:t>
      </w:r>
      <w:r>
        <w:rPr>
          <w:rFonts w:ascii="宋体" w:hAnsi="宋体"/>
          <w:kern w:val="0"/>
          <w:sz w:val="24"/>
        </w:rPr>
        <w:t>“本基金”</w:t>
      </w:r>
      <w:r>
        <w:rPr>
          <w:rFonts w:hAnsi="宋体"/>
          <w:kern w:val="0"/>
          <w:sz w:val="24"/>
        </w:rPr>
        <w:t>）经</w:t>
      </w:r>
      <w:r>
        <w:rPr>
          <w:kern w:val="0"/>
          <w:sz w:val="24"/>
        </w:rPr>
        <w:t>202</w:t>
      </w:r>
      <w:r>
        <w:rPr>
          <w:rFonts w:hint="eastAsia"/>
          <w:kern w:val="0"/>
          <w:sz w:val="24"/>
        </w:rPr>
        <w:t>2</w:t>
      </w:r>
      <w:r>
        <w:rPr>
          <w:rFonts w:hAnsi="宋体"/>
          <w:kern w:val="0"/>
          <w:sz w:val="24"/>
        </w:rPr>
        <w:t>年</w:t>
      </w:r>
      <w:r>
        <w:rPr>
          <w:rFonts w:hint="eastAsia" w:hAnsi="宋体"/>
          <w:kern w:val="0"/>
          <w:sz w:val="24"/>
        </w:rPr>
        <w:t>1</w:t>
      </w:r>
      <w:r>
        <w:rPr>
          <w:rFonts w:hAnsi="宋体"/>
          <w:kern w:val="0"/>
          <w:sz w:val="24"/>
        </w:rPr>
        <w:t>月</w:t>
      </w:r>
      <w:r>
        <w:rPr>
          <w:rFonts w:hint="eastAsia"/>
          <w:kern w:val="0"/>
          <w:sz w:val="24"/>
        </w:rPr>
        <w:t>29</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w:t>
      </w:r>
      <w:r>
        <w:rPr>
          <w:rFonts w:hint="eastAsia"/>
          <w:kern w:val="0"/>
          <w:sz w:val="24"/>
        </w:rPr>
        <w:t>2</w:t>
      </w:r>
      <w:r>
        <w:rPr>
          <w:rFonts w:hAnsi="宋体"/>
          <w:kern w:val="0"/>
          <w:sz w:val="24"/>
        </w:rPr>
        <w:t>】</w:t>
      </w:r>
      <w:r>
        <w:rPr>
          <w:rFonts w:hint="eastAsia"/>
          <w:kern w:val="0"/>
          <w:sz w:val="24"/>
        </w:rPr>
        <w:t>275</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w:t>
      </w:r>
      <w:r>
        <w:rPr>
          <w:rFonts w:hint="eastAsia"/>
          <w:kern w:val="0"/>
          <w:sz w:val="24"/>
        </w:rPr>
        <w:t>谨慎</w:t>
      </w:r>
      <w:r>
        <w:rPr>
          <w:kern w:val="0"/>
          <w:sz w:val="24"/>
        </w:rPr>
        <w:t>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本基金为基金中基金，由于本基金主要投资于经中国证监会依法核准或注册的公开募集证券投资基金的基金份额，投资本基金可能遇到的风险包括：因受到经济因素、政治因素、投资心理和交易制度等各种因素的影响而引起的市场风险；基金管理人在基金管理运作过程中产生的基金管理风险；流动性风险</w:t>
      </w:r>
      <w:r>
        <w:rPr>
          <w:rFonts w:hint="eastAsia" w:ascii="宋体" w:hAnsi="宋体"/>
          <w:kern w:val="0"/>
          <w:sz w:val="24"/>
        </w:rPr>
        <w:t>（包括实施</w:t>
      </w:r>
      <w:r>
        <w:rPr>
          <w:rFonts w:ascii="宋体" w:hAnsi="宋体"/>
          <w:kern w:val="0"/>
          <w:sz w:val="24"/>
        </w:rPr>
        <w:t>侧袋机制时的特定风险）</w:t>
      </w:r>
      <w:r>
        <w:rPr>
          <w:rFonts w:hint="eastAsia"/>
          <w:kern w:val="0"/>
          <w:sz w:val="24"/>
        </w:rPr>
        <w:t>；信用风险；基金中基金的特有风险；投资资产支持证券的特定风险；投资流通受限证券的特定风险；</w:t>
      </w:r>
      <w:r>
        <w:rPr>
          <w:rFonts w:hint="eastAsia" w:ascii="宋体" w:hAnsi="宋体"/>
          <w:kern w:val="0"/>
          <w:sz w:val="24"/>
        </w:rPr>
        <w:t>连续5</w:t>
      </w:r>
      <w:r>
        <w:rPr>
          <w:rFonts w:ascii="宋体" w:hAnsi="宋体"/>
          <w:kern w:val="0"/>
          <w:sz w:val="24"/>
        </w:rPr>
        <w:t>0</w:t>
      </w:r>
      <w:r>
        <w:rPr>
          <w:rFonts w:hint="eastAsia" w:ascii="宋体" w:hAnsi="宋体"/>
          <w:kern w:val="0"/>
          <w:sz w:val="24"/>
        </w:rPr>
        <w:t>个工作日出现基金份额持有人数量不满200人或基金资产净值低于5000万元情形时，基金合同终止的风险；</w:t>
      </w:r>
      <w:r>
        <w:rPr>
          <w:rFonts w:hint="eastAsia"/>
          <w:kern w:val="0"/>
          <w:sz w:val="24"/>
        </w:rPr>
        <w:t>投资本基金的其他风险等等。本基金为混合型基金中基金，其预期风险与预期收益理论上高于债券型基金、债券型基金中基金、货币市场基金和货币型基金中基金，低于股票型基金和股票型基金中基金。</w:t>
      </w:r>
    </w:p>
    <w:p>
      <w:pPr>
        <w:widowControl/>
        <w:adjustRightInd w:val="0"/>
        <w:snapToGrid w:val="0"/>
        <w:spacing w:line="360" w:lineRule="auto"/>
        <w:ind w:firstLine="480" w:firstLineChars="200"/>
        <w:rPr>
          <w:kern w:val="0"/>
          <w:sz w:val="24"/>
        </w:rPr>
      </w:pPr>
      <w:r>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kern w:val="0"/>
          <w:sz w:val="24"/>
        </w:rPr>
      </w:pPr>
      <w:r>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kern w:val="0"/>
          <w:sz w:val="24"/>
        </w:rPr>
      </w:pPr>
      <w:r>
        <w:rPr>
          <w:rFonts w:hint="eastAsia"/>
          <w:kern w:val="0"/>
          <w:sz w:val="24"/>
        </w:rPr>
        <w:t>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kern w:val="0"/>
          <w:sz w:val="24"/>
        </w:rPr>
      </w:pPr>
      <w:r>
        <w:rPr>
          <w:rFonts w:hint="eastAsia"/>
          <w:kern w:val="0"/>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pPr>
        <w:widowControl/>
        <w:adjustRightInd w:val="0"/>
        <w:snapToGrid w:val="0"/>
        <w:spacing w:line="360" w:lineRule="auto"/>
        <w:ind w:firstLine="480" w:firstLineChars="200"/>
        <w:rPr>
          <w:kern w:val="0"/>
          <w:sz w:val="24"/>
        </w:rPr>
      </w:pPr>
      <w:r>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bCs/>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tabs>
          <w:tab w:val="right" w:leader="dot" w:pos="8640"/>
          <w:tab w:val="clear" w:pos="8450"/>
        </w:tabs>
        <w:spacing w:line="240" w:lineRule="auto"/>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rPr>
          <w:szCs w:val="24"/>
        </w:rPr>
        <w:fldChar w:fldCharType="begin"/>
      </w:r>
      <w:r>
        <w:rPr>
          <w:szCs w:val="24"/>
        </w:rPr>
        <w:instrText xml:space="preserve"> HYPERLINK \l _Toc5147 </w:instrText>
      </w:r>
      <w:r>
        <w:rPr>
          <w:szCs w:val="24"/>
        </w:rPr>
        <w:fldChar w:fldCharType="separate"/>
      </w:r>
      <w:r>
        <w:rPr>
          <w:rFonts w:hint="eastAsia" w:ascii="宋体"/>
          <w:kern w:val="0"/>
        </w:rPr>
        <w:t>一、绪言</w:t>
      </w:r>
      <w:r>
        <w:tab/>
      </w:r>
      <w:r>
        <w:fldChar w:fldCharType="begin"/>
      </w:r>
      <w:r>
        <w:instrText xml:space="preserve"> PAGEREF _Toc5147 \h </w:instrText>
      </w:r>
      <w:r>
        <w:fldChar w:fldCharType="separate"/>
      </w:r>
      <w:r>
        <w:t>7</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_Toc21791 </w:instrText>
      </w:r>
      <w:r>
        <w:rPr>
          <w:szCs w:val="24"/>
        </w:rPr>
        <w:fldChar w:fldCharType="separate"/>
      </w:r>
      <w:r>
        <w:rPr>
          <w:rFonts w:hint="eastAsia" w:ascii="宋体"/>
          <w:kern w:val="0"/>
        </w:rPr>
        <w:t>二、释义</w:t>
      </w:r>
      <w:r>
        <w:tab/>
      </w:r>
      <w:r>
        <w:fldChar w:fldCharType="begin"/>
      </w:r>
      <w:r>
        <w:instrText xml:space="preserve"> PAGEREF _Toc21791 \h </w:instrText>
      </w:r>
      <w:r>
        <w:fldChar w:fldCharType="separate"/>
      </w:r>
      <w:r>
        <w:t>8</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_Toc31725 </w:instrText>
      </w:r>
      <w:r>
        <w:rPr>
          <w:szCs w:val="24"/>
        </w:rPr>
        <w:fldChar w:fldCharType="separate"/>
      </w:r>
      <w:r>
        <w:rPr>
          <w:rFonts w:hint="eastAsia" w:ascii="宋体"/>
          <w:kern w:val="0"/>
        </w:rPr>
        <w:t>三、基金管理人</w:t>
      </w:r>
      <w:r>
        <w:tab/>
      </w:r>
      <w:r>
        <w:fldChar w:fldCharType="begin"/>
      </w:r>
      <w:r>
        <w:instrText xml:space="preserve"> PAGEREF _Toc31725 \h </w:instrText>
      </w:r>
      <w:r>
        <w:fldChar w:fldCharType="separate"/>
      </w:r>
      <w:r>
        <w:t>13</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_Toc12775 </w:instrText>
      </w:r>
      <w:r>
        <w:rPr>
          <w:szCs w:val="24"/>
        </w:rPr>
        <w:fldChar w:fldCharType="separate"/>
      </w:r>
      <w:r>
        <w:rPr>
          <w:rFonts w:hint="eastAsia" w:ascii="宋体"/>
          <w:kern w:val="0"/>
        </w:rPr>
        <w:t>四、基金托管人</w:t>
      </w:r>
      <w:r>
        <w:tab/>
      </w:r>
      <w:r>
        <w:fldChar w:fldCharType="begin"/>
      </w:r>
      <w:r>
        <w:instrText xml:space="preserve"> PAGEREF _Toc12775 \h </w:instrText>
      </w:r>
      <w:r>
        <w:fldChar w:fldCharType="separate"/>
      </w:r>
      <w:r>
        <w:t>22</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_Toc6394 </w:instrText>
      </w:r>
      <w:r>
        <w:rPr>
          <w:szCs w:val="24"/>
        </w:rPr>
        <w:fldChar w:fldCharType="separate"/>
      </w:r>
      <w:r>
        <w:rPr>
          <w:rFonts w:hint="eastAsia" w:ascii="宋体"/>
          <w:kern w:val="0"/>
        </w:rPr>
        <w:t>五、相关服务机构</w:t>
      </w:r>
      <w:r>
        <w:tab/>
      </w:r>
      <w:r>
        <w:fldChar w:fldCharType="begin"/>
      </w:r>
      <w:r>
        <w:instrText xml:space="preserve"> PAGEREF _Toc6394 \h </w:instrText>
      </w:r>
      <w:r>
        <w:fldChar w:fldCharType="separate"/>
      </w:r>
      <w:r>
        <w:t>27</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_Toc28713 </w:instrText>
      </w:r>
      <w:r>
        <w:rPr>
          <w:szCs w:val="24"/>
        </w:rPr>
        <w:fldChar w:fldCharType="separate"/>
      </w:r>
      <w:r>
        <w:rPr>
          <w:rFonts w:hint="eastAsia" w:ascii="宋体"/>
          <w:kern w:val="0"/>
        </w:rPr>
        <w:t>六、基金的募集</w:t>
      </w:r>
      <w:r>
        <w:tab/>
      </w:r>
      <w:r>
        <w:fldChar w:fldCharType="begin"/>
      </w:r>
      <w:r>
        <w:instrText xml:space="preserve"> PAGEREF _Toc28713 \h </w:instrText>
      </w:r>
      <w:r>
        <w:fldChar w:fldCharType="separate"/>
      </w:r>
      <w:r>
        <w:t>30</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_Toc3865 </w:instrText>
      </w:r>
      <w:r>
        <w:rPr>
          <w:szCs w:val="24"/>
        </w:rPr>
        <w:fldChar w:fldCharType="separate"/>
      </w:r>
      <w:r>
        <w:rPr>
          <w:rFonts w:hint="eastAsia" w:ascii="宋体"/>
          <w:kern w:val="0"/>
        </w:rPr>
        <w:t>七、基金合同的生效</w:t>
      </w:r>
      <w:r>
        <w:tab/>
      </w:r>
      <w:r>
        <w:fldChar w:fldCharType="begin"/>
      </w:r>
      <w:r>
        <w:instrText xml:space="preserve"> PAGEREF _Toc3865 \h </w:instrText>
      </w:r>
      <w:r>
        <w:fldChar w:fldCharType="separate"/>
      </w:r>
      <w:r>
        <w:t>36</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_Toc10180 </w:instrText>
      </w:r>
      <w:r>
        <w:rPr>
          <w:szCs w:val="24"/>
        </w:rPr>
        <w:fldChar w:fldCharType="separate"/>
      </w:r>
      <w:r>
        <w:rPr>
          <w:rFonts w:hint="eastAsia" w:ascii="宋体"/>
          <w:kern w:val="0"/>
        </w:rPr>
        <w:t>八、基金份额的申购与赎回</w:t>
      </w:r>
      <w:r>
        <w:tab/>
      </w:r>
      <w:r>
        <w:fldChar w:fldCharType="begin"/>
      </w:r>
      <w:r>
        <w:instrText xml:space="preserve"> PAGEREF _Toc10180 \h </w:instrText>
      </w:r>
      <w:r>
        <w:fldChar w:fldCharType="separate"/>
      </w:r>
      <w:r>
        <w:t>37</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_Toc5246 </w:instrText>
      </w:r>
      <w:r>
        <w:rPr>
          <w:szCs w:val="24"/>
        </w:rPr>
        <w:fldChar w:fldCharType="separate"/>
      </w:r>
      <w:r>
        <w:rPr>
          <w:rFonts w:hint="eastAsia" w:ascii="宋体"/>
          <w:kern w:val="0"/>
        </w:rPr>
        <w:t>九、基金的投资</w:t>
      </w:r>
      <w:r>
        <w:tab/>
      </w:r>
      <w:r>
        <w:fldChar w:fldCharType="begin"/>
      </w:r>
      <w:r>
        <w:instrText xml:space="preserve"> PAGEREF _Toc5246 \h </w:instrText>
      </w:r>
      <w:r>
        <w:fldChar w:fldCharType="separate"/>
      </w:r>
      <w:r>
        <w:t>51</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_Toc9357 </w:instrText>
      </w:r>
      <w:r>
        <w:rPr>
          <w:szCs w:val="24"/>
        </w:rPr>
        <w:fldChar w:fldCharType="separate"/>
      </w:r>
      <w:r>
        <w:rPr>
          <w:rFonts w:hint="eastAsia" w:ascii="宋体"/>
          <w:kern w:val="0"/>
        </w:rPr>
        <w:t>十、基金的财产</w:t>
      </w:r>
      <w:r>
        <w:tab/>
      </w:r>
      <w:r>
        <w:fldChar w:fldCharType="begin"/>
      </w:r>
      <w:r>
        <w:instrText xml:space="preserve"> PAGEREF _Toc9357 \h </w:instrText>
      </w:r>
      <w:r>
        <w:fldChar w:fldCharType="separate"/>
      </w:r>
      <w:r>
        <w:t>59</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_Toc16986 </w:instrText>
      </w:r>
      <w:r>
        <w:rPr>
          <w:szCs w:val="24"/>
        </w:rPr>
        <w:fldChar w:fldCharType="separate"/>
      </w:r>
      <w:r>
        <w:rPr>
          <w:rFonts w:hint="eastAsia" w:ascii="宋体"/>
          <w:kern w:val="0"/>
        </w:rPr>
        <w:t>十一、基金资产的估值</w:t>
      </w:r>
      <w:r>
        <w:tab/>
      </w:r>
      <w:r>
        <w:fldChar w:fldCharType="begin"/>
      </w:r>
      <w:r>
        <w:instrText xml:space="preserve"> PAGEREF _Toc16986 \h </w:instrText>
      </w:r>
      <w:r>
        <w:fldChar w:fldCharType="separate"/>
      </w:r>
      <w:r>
        <w:t>60</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_Toc19700 </w:instrText>
      </w:r>
      <w:r>
        <w:rPr>
          <w:szCs w:val="24"/>
        </w:rPr>
        <w:fldChar w:fldCharType="separate"/>
      </w:r>
      <w:r>
        <w:rPr>
          <w:rFonts w:hint="eastAsia" w:ascii="宋体"/>
          <w:kern w:val="0"/>
        </w:rPr>
        <w:t>十二、基金收益与分配</w:t>
      </w:r>
      <w:r>
        <w:tab/>
      </w:r>
      <w:r>
        <w:fldChar w:fldCharType="begin"/>
      </w:r>
      <w:r>
        <w:instrText xml:space="preserve"> PAGEREF _Toc19700 \h </w:instrText>
      </w:r>
      <w:r>
        <w:fldChar w:fldCharType="separate"/>
      </w:r>
      <w:r>
        <w:t>68</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_Toc22358 </w:instrText>
      </w:r>
      <w:r>
        <w:rPr>
          <w:szCs w:val="24"/>
        </w:rPr>
        <w:fldChar w:fldCharType="separate"/>
      </w:r>
      <w:r>
        <w:rPr>
          <w:rFonts w:hint="eastAsia" w:ascii="宋体"/>
          <w:kern w:val="0"/>
        </w:rPr>
        <w:t>十三、基金的费用与税收</w:t>
      </w:r>
      <w:r>
        <w:tab/>
      </w:r>
      <w:r>
        <w:fldChar w:fldCharType="begin"/>
      </w:r>
      <w:r>
        <w:instrText xml:space="preserve"> PAGEREF _Toc22358 \h </w:instrText>
      </w:r>
      <w:r>
        <w:fldChar w:fldCharType="separate"/>
      </w:r>
      <w:r>
        <w:t>70</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_Toc30478 </w:instrText>
      </w:r>
      <w:r>
        <w:rPr>
          <w:szCs w:val="24"/>
        </w:rPr>
        <w:fldChar w:fldCharType="separate"/>
      </w:r>
      <w:r>
        <w:rPr>
          <w:rFonts w:hint="eastAsia" w:ascii="宋体"/>
          <w:kern w:val="0"/>
        </w:rPr>
        <w:t>十四、基金的会计与审计</w:t>
      </w:r>
      <w:r>
        <w:tab/>
      </w:r>
      <w:r>
        <w:fldChar w:fldCharType="begin"/>
      </w:r>
      <w:r>
        <w:instrText xml:space="preserve"> PAGEREF _Toc30478 \h </w:instrText>
      </w:r>
      <w:r>
        <w:fldChar w:fldCharType="separate"/>
      </w:r>
      <w:r>
        <w:t>74</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_Toc25339 </w:instrText>
      </w:r>
      <w:r>
        <w:rPr>
          <w:szCs w:val="24"/>
        </w:rPr>
        <w:fldChar w:fldCharType="separate"/>
      </w:r>
      <w:r>
        <w:rPr>
          <w:rFonts w:hint="eastAsia" w:ascii="宋体"/>
          <w:kern w:val="0"/>
        </w:rPr>
        <w:t>十五、基金的信息披露</w:t>
      </w:r>
      <w:r>
        <w:tab/>
      </w:r>
      <w:r>
        <w:fldChar w:fldCharType="begin"/>
      </w:r>
      <w:r>
        <w:instrText xml:space="preserve"> PAGEREF _Toc25339 \h </w:instrText>
      </w:r>
      <w:r>
        <w:fldChar w:fldCharType="separate"/>
      </w:r>
      <w:r>
        <w:t>75</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_Toc26342 </w:instrText>
      </w:r>
      <w:r>
        <w:rPr>
          <w:szCs w:val="24"/>
        </w:rPr>
        <w:fldChar w:fldCharType="separate"/>
      </w:r>
      <w:r>
        <w:rPr>
          <w:rFonts w:hint="eastAsia" w:ascii="宋体"/>
          <w:kern w:val="0"/>
        </w:rPr>
        <w:t>十六、侧袋</w:t>
      </w:r>
      <w:r>
        <w:rPr>
          <w:rFonts w:ascii="宋体"/>
          <w:kern w:val="0"/>
        </w:rPr>
        <w:t>机制</w:t>
      </w:r>
      <w:r>
        <w:tab/>
      </w:r>
      <w:r>
        <w:fldChar w:fldCharType="begin"/>
      </w:r>
      <w:r>
        <w:instrText xml:space="preserve"> PAGEREF _Toc26342 \h </w:instrText>
      </w:r>
      <w:r>
        <w:fldChar w:fldCharType="separate"/>
      </w:r>
      <w:r>
        <w:t>82</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_Toc18758 </w:instrText>
      </w:r>
      <w:r>
        <w:rPr>
          <w:szCs w:val="24"/>
        </w:rPr>
        <w:fldChar w:fldCharType="separate"/>
      </w:r>
      <w:r>
        <w:rPr>
          <w:rFonts w:hint="eastAsia" w:ascii="宋体"/>
          <w:kern w:val="0"/>
        </w:rPr>
        <w:t>十七、风险揭示</w:t>
      </w:r>
      <w:r>
        <w:tab/>
      </w:r>
      <w:r>
        <w:fldChar w:fldCharType="begin"/>
      </w:r>
      <w:r>
        <w:instrText xml:space="preserve"> PAGEREF _Toc18758 \h </w:instrText>
      </w:r>
      <w:r>
        <w:fldChar w:fldCharType="separate"/>
      </w:r>
      <w:r>
        <w:t>85</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_Toc18481 </w:instrText>
      </w:r>
      <w:r>
        <w:rPr>
          <w:szCs w:val="24"/>
        </w:rPr>
        <w:fldChar w:fldCharType="separate"/>
      </w:r>
      <w:r>
        <w:rPr>
          <w:rFonts w:hint="eastAsia"/>
          <w:kern w:val="0"/>
        </w:rPr>
        <w:t>十七</w:t>
      </w:r>
      <w:r>
        <w:rPr>
          <w:kern w:val="0"/>
        </w:rPr>
        <w:t>、基金合同的变更、终止与基金财产的清算</w:t>
      </w:r>
      <w:r>
        <w:tab/>
      </w:r>
      <w:r>
        <w:fldChar w:fldCharType="begin"/>
      </w:r>
      <w:r>
        <w:instrText xml:space="preserve"> PAGEREF _Toc18481 \h </w:instrText>
      </w:r>
      <w:r>
        <w:fldChar w:fldCharType="separate"/>
      </w:r>
      <w:r>
        <w:t>95</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_Toc18428 </w:instrText>
      </w:r>
      <w:r>
        <w:rPr>
          <w:szCs w:val="24"/>
        </w:rPr>
        <w:fldChar w:fldCharType="separate"/>
      </w:r>
      <w:r>
        <w:rPr>
          <w:rFonts w:hint="eastAsia" w:ascii="宋体"/>
          <w:kern w:val="0"/>
        </w:rPr>
        <w:t>十八、基金合同内容摘要</w:t>
      </w:r>
      <w:r>
        <w:tab/>
      </w:r>
      <w:r>
        <w:fldChar w:fldCharType="begin"/>
      </w:r>
      <w:r>
        <w:instrText xml:space="preserve"> PAGEREF _Toc18428 \h </w:instrText>
      </w:r>
      <w:r>
        <w:fldChar w:fldCharType="separate"/>
      </w:r>
      <w:r>
        <w:t>97</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_Toc18149 </w:instrText>
      </w:r>
      <w:r>
        <w:rPr>
          <w:szCs w:val="24"/>
        </w:rPr>
        <w:fldChar w:fldCharType="separate"/>
      </w:r>
      <w:r>
        <w:rPr>
          <w:rFonts w:hint="eastAsia" w:ascii="宋体"/>
          <w:kern w:val="0"/>
        </w:rPr>
        <w:t>十九、托管协议的内容摘要</w:t>
      </w:r>
      <w:r>
        <w:tab/>
      </w:r>
      <w:r>
        <w:fldChar w:fldCharType="begin"/>
      </w:r>
      <w:r>
        <w:instrText xml:space="preserve"> PAGEREF _Toc18149 \h </w:instrText>
      </w:r>
      <w:r>
        <w:fldChar w:fldCharType="separate"/>
      </w:r>
      <w:r>
        <w:t>115</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_Toc13178 </w:instrText>
      </w:r>
      <w:r>
        <w:rPr>
          <w:szCs w:val="24"/>
        </w:rPr>
        <w:fldChar w:fldCharType="separate"/>
      </w:r>
      <w:r>
        <w:rPr>
          <w:rFonts w:hint="eastAsia" w:ascii="宋体"/>
          <w:kern w:val="0"/>
        </w:rPr>
        <w:t>二十、对基金份额持有人的服务</w:t>
      </w:r>
      <w:r>
        <w:tab/>
      </w:r>
      <w:r>
        <w:fldChar w:fldCharType="begin"/>
      </w:r>
      <w:r>
        <w:instrText xml:space="preserve"> PAGEREF _Toc13178 \h </w:instrText>
      </w:r>
      <w:r>
        <w:fldChar w:fldCharType="separate"/>
      </w:r>
      <w:r>
        <w:t>137</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_Toc17729 </w:instrText>
      </w:r>
      <w:r>
        <w:rPr>
          <w:szCs w:val="24"/>
        </w:rPr>
        <w:fldChar w:fldCharType="separate"/>
      </w:r>
      <w:r>
        <w:rPr>
          <w:rFonts w:hint="eastAsia" w:ascii="宋体"/>
          <w:kern w:val="0"/>
        </w:rPr>
        <w:t>二十一、其他应披露事项</w:t>
      </w:r>
      <w:r>
        <w:tab/>
      </w:r>
      <w:r>
        <w:fldChar w:fldCharType="begin"/>
      </w:r>
      <w:r>
        <w:instrText xml:space="preserve"> PAGEREF _Toc17729 \h </w:instrText>
      </w:r>
      <w:r>
        <w:fldChar w:fldCharType="separate"/>
      </w:r>
      <w:r>
        <w:t>139</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_Toc3851 </w:instrText>
      </w:r>
      <w:r>
        <w:rPr>
          <w:szCs w:val="24"/>
        </w:rPr>
        <w:fldChar w:fldCharType="separate"/>
      </w:r>
      <w:r>
        <w:rPr>
          <w:rFonts w:hint="eastAsia" w:ascii="宋体"/>
          <w:kern w:val="0"/>
        </w:rPr>
        <w:t>二十二、招募说明书的存放及查阅方式</w:t>
      </w:r>
      <w:r>
        <w:tab/>
      </w:r>
      <w:r>
        <w:fldChar w:fldCharType="begin"/>
      </w:r>
      <w:r>
        <w:instrText xml:space="preserve"> PAGEREF _Toc3851 \h </w:instrText>
      </w:r>
      <w:r>
        <w:fldChar w:fldCharType="separate"/>
      </w:r>
      <w:r>
        <w:t>140</w:t>
      </w:r>
      <w:r>
        <w:fldChar w:fldCharType="end"/>
      </w:r>
      <w:r>
        <w:rPr>
          <w:szCs w:val="24"/>
        </w:rPr>
        <w:fldChar w:fldCharType="end"/>
      </w:r>
    </w:p>
    <w:p>
      <w:pPr>
        <w:pStyle w:val="22"/>
        <w:tabs>
          <w:tab w:val="right" w:leader="dot" w:pos="8640"/>
          <w:tab w:val="clear" w:pos="8450"/>
        </w:tabs>
        <w:spacing w:line="240" w:lineRule="auto"/>
      </w:pPr>
      <w:r>
        <w:rPr>
          <w:szCs w:val="24"/>
        </w:rPr>
        <w:fldChar w:fldCharType="begin"/>
      </w:r>
      <w:r>
        <w:rPr>
          <w:szCs w:val="24"/>
        </w:rPr>
        <w:instrText xml:space="preserve"> HYPERLINK \l _Toc25407 </w:instrText>
      </w:r>
      <w:r>
        <w:rPr>
          <w:szCs w:val="24"/>
        </w:rPr>
        <w:fldChar w:fldCharType="separate"/>
      </w:r>
      <w:r>
        <w:rPr>
          <w:rFonts w:hint="eastAsia" w:ascii="宋体"/>
          <w:kern w:val="0"/>
        </w:rPr>
        <w:t>二十三、备查文件</w:t>
      </w:r>
      <w:r>
        <w:tab/>
      </w:r>
      <w:r>
        <w:fldChar w:fldCharType="begin"/>
      </w:r>
      <w:r>
        <w:instrText xml:space="preserve"> PAGEREF _Toc25407 \h </w:instrText>
      </w:r>
      <w:r>
        <w:fldChar w:fldCharType="separate"/>
      </w:r>
      <w:r>
        <w:t>141</w:t>
      </w:r>
      <w:r>
        <w:fldChar w:fldCharType="end"/>
      </w:r>
      <w:r>
        <w:rPr>
          <w:szCs w:val="24"/>
        </w:rPr>
        <w:fldChar w:fldCharType="end"/>
      </w:r>
    </w:p>
    <w:p>
      <w:pPr>
        <w:adjustRightInd w:val="0"/>
        <w:snapToGrid w:val="0"/>
      </w:pPr>
      <w:r>
        <w:rPr>
          <w:sz w:val="24"/>
          <w:szCs w:val="24"/>
        </w:rP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56690581"/>
      <w:bookmarkStart w:id="2" w:name="_Toc5147"/>
      <w:r>
        <w:rPr>
          <w:rFonts w:hint="eastAsia" w:ascii="宋体" w:hAnsi="宋体"/>
          <w:b/>
          <w:kern w:val="0"/>
          <w:sz w:val="30"/>
        </w:rPr>
        <w:t>一、绪言</w:t>
      </w:r>
      <w:bookmarkEnd w:id="0"/>
      <w:bookmarkEnd w:id="1"/>
      <w:bookmarkEnd w:id="2"/>
    </w:p>
    <w:p>
      <w:pPr>
        <w:widowControl/>
        <w:adjustRightInd w:val="0"/>
        <w:snapToGrid w:val="0"/>
        <w:spacing w:line="360" w:lineRule="auto"/>
        <w:ind w:firstLine="480" w:firstLineChars="200"/>
        <w:rPr>
          <w:kern w:val="0"/>
          <w:sz w:val="24"/>
        </w:rPr>
      </w:pPr>
      <w:r>
        <w:rPr>
          <w:rFonts w:ascii="宋体" w:hAnsi="宋体"/>
          <w:kern w:val="0"/>
          <w:sz w:val="24"/>
        </w:rPr>
        <w:t>《交银施罗德慧选睿信一年持有期混合型基金中基金（FOF）招募说明书》（以下简称“本招募说明书”）依据《中华人民共和国证券投资基金法》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bCs/>
          <w:sz w:val="24"/>
        </w:rPr>
        <w:t>公开募集</w:t>
      </w:r>
      <w:r>
        <w:rPr>
          <w:rFonts w:ascii="宋体" w:hAnsi="宋体"/>
          <w:kern w:val="0"/>
          <w:sz w:val="24"/>
        </w:rPr>
        <w:t>证券投资基金信息披露管理办法》</w:t>
      </w:r>
      <w:r>
        <w:rPr>
          <w:rFonts w:hint="eastAsia" w:ascii="宋体" w:hAnsi="宋体"/>
          <w:kern w:val="0"/>
          <w:sz w:val="24"/>
        </w:rPr>
        <w:t>（以下简称“《信息披露办法》”）、</w:t>
      </w:r>
      <w:r>
        <w:rPr>
          <w:rFonts w:hint="eastAsia"/>
          <w:bCs/>
          <w:sz w:val="24"/>
        </w:rPr>
        <w:t>《公开募集证券投资基金运作指引第2号——基金中基金指引》、</w:t>
      </w:r>
      <w:r>
        <w:rPr>
          <w:rFonts w:hint="eastAsia" w:ascii="宋体" w:hAnsi="宋体"/>
          <w:kern w:val="0"/>
          <w:sz w:val="24"/>
        </w:rPr>
        <w:t>《公开募集开放式证券投资基金流动性风险管理规定》（以下简称“《流动性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和其他相关法律法规的规定以及《交银施罗德慧选睿信一年持有期混合型基金中基金（FOF）基金合同》（以下简称“基金合同”）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spacing w:line="360" w:lineRule="auto"/>
        <w:ind w:firstLine="482" w:firstLineChars="200"/>
        <w:rPr>
          <w:rFonts w:ascii="宋体" w:hAnsi="宋体"/>
          <w:b/>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21791"/>
      <w:bookmarkStart w:id="5" w:name="_Toc56690582"/>
      <w:r>
        <w:rPr>
          <w:rFonts w:hint="eastAsia" w:ascii="宋体" w:hAnsi="宋体"/>
          <w:b/>
          <w:kern w:val="0"/>
          <w:sz w:val="30"/>
        </w:rPr>
        <w:t>二、释义</w:t>
      </w:r>
      <w:bookmarkEnd w:id="3"/>
      <w:bookmarkEnd w:id="4"/>
      <w:bookmarkEnd w:id="5"/>
    </w:p>
    <w:p>
      <w:pPr>
        <w:adjustRightInd w:val="0"/>
        <w:snapToGrid w:val="0"/>
        <w:spacing w:line="360" w:lineRule="auto"/>
        <w:ind w:firstLine="480" w:firstLineChars="200"/>
        <w:rPr>
          <w:sz w:val="24"/>
        </w:rPr>
      </w:pPr>
      <w:r>
        <w:rPr>
          <w:rFonts w:hint="eastAsia"/>
          <w:sz w:val="24"/>
        </w:rPr>
        <w:t>在</w:t>
      </w:r>
      <w:r>
        <w:rPr>
          <w:rFonts w:hint="eastAsia" w:hAnsi="宋体"/>
          <w:sz w:val="24"/>
        </w:rPr>
        <w:t>本</w:t>
      </w:r>
      <w:r>
        <w:rPr>
          <w:rFonts w:hAnsi="宋体"/>
          <w:sz w:val="24"/>
        </w:rPr>
        <w:t>招募说明书</w:t>
      </w:r>
      <w:r>
        <w:rPr>
          <w:rFonts w:hint="eastAsia" w:hAnsi="宋体"/>
          <w:sz w:val="24"/>
        </w:rPr>
        <w:t>中，除</w:t>
      </w:r>
      <w:r>
        <w:rPr>
          <w:rFonts w:hint="eastAsia"/>
          <w:sz w:val="24"/>
        </w:rPr>
        <w:t>非文意另有所指，下列词语或简称具有如下含义：</w:t>
      </w:r>
    </w:p>
    <w:p>
      <w:pPr>
        <w:adjustRightInd w:val="0"/>
        <w:snapToGrid w:val="0"/>
        <w:spacing w:line="360" w:lineRule="auto"/>
        <w:ind w:firstLine="480" w:firstLineChars="200"/>
        <w:rPr>
          <w:bCs/>
          <w:sz w:val="24"/>
        </w:rPr>
      </w:pPr>
      <w:r>
        <w:rPr>
          <w:bCs/>
          <w:sz w:val="24"/>
        </w:rPr>
        <w:t>1</w:t>
      </w:r>
      <w:r>
        <w:rPr>
          <w:rFonts w:hint="eastAsia"/>
          <w:bCs/>
          <w:sz w:val="24"/>
        </w:rPr>
        <w:t>、基金或本基金：指交银施罗德慧选睿信一年持有期混合型基金中基金（FOF）</w:t>
      </w:r>
    </w:p>
    <w:p>
      <w:pPr>
        <w:adjustRightInd w:val="0"/>
        <w:snapToGrid w:val="0"/>
        <w:spacing w:line="360" w:lineRule="auto"/>
        <w:ind w:firstLine="480" w:firstLineChars="200"/>
        <w:rPr>
          <w:bCs/>
          <w:sz w:val="24"/>
        </w:rPr>
      </w:pPr>
      <w:r>
        <w:rPr>
          <w:bCs/>
          <w:sz w:val="24"/>
        </w:rPr>
        <w:t>2</w:t>
      </w:r>
      <w:r>
        <w:rPr>
          <w:rFonts w:hint="eastAsia"/>
          <w:bCs/>
          <w:sz w:val="24"/>
        </w:rPr>
        <w:t>、基金管理人：指交银施罗德基金管理有限公司</w:t>
      </w:r>
    </w:p>
    <w:p>
      <w:pPr>
        <w:adjustRightInd w:val="0"/>
        <w:snapToGrid w:val="0"/>
        <w:spacing w:line="360" w:lineRule="auto"/>
        <w:ind w:firstLine="480" w:firstLineChars="200"/>
        <w:rPr>
          <w:bCs/>
          <w:sz w:val="24"/>
        </w:rPr>
      </w:pPr>
      <w:r>
        <w:rPr>
          <w:bCs/>
          <w:sz w:val="24"/>
        </w:rPr>
        <w:t>3</w:t>
      </w:r>
      <w:r>
        <w:rPr>
          <w:rFonts w:hint="eastAsia"/>
          <w:bCs/>
          <w:sz w:val="24"/>
        </w:rPr>
        <w:t>、基金托管人：指中信银行股份有限公司</w:t>
      </w:r>
    </w:p>
    <w:p>
      <w:pPr>
        <w:adjustRightInd w:val="0"/>
        <w:snapToGrid w:val="0"/>
        <w:spacing w:line="360" w:lineRule="auto"/>
        <w:ind w:firstLine="480" w:firstLineChars="200"/>
        <w:rPr>
          <w:bCs/>
          <w:sz w:val="24"/>
        </w:rPr>
      </w:pPr>
      <w:r>
        <w:rPr>
          <w:bCs/>
          <w:sz w:val="24"/>
        </w:rPr>
        <w:t>4</w:t>
      </w:r>
      <w:r>
        <w:rPr>
          <w:rFonts w:hint="eastAsia"/>
          <w:bCs/>
          <w:sz w:val="24"/>
        </w:rPr>
        <w:t>、基金合同：指《交银施罗德慧选睿信一年持有期混合型基金中基金（FOF）基金合同》及对基金合同的任何有效修订和补充</w:t>
      </w:r>
    </w:p>
    <w:p>
      <w:pPr>
        <w:adjustRightInd w:val="0"/>
        <w:snapToGrid w:val="0"/>
        <w:spacing w:line="360" w:lineRule="auto"/>
        <w:ind w:firstLine="480" w:firstLineChars="200"/>
        <w:rPr>
          <w:bCs/>
          <w:sz w:val="24"/>
        </w:rPr>
      </w:pPr>
      <w:r>
        <w:rPr>
          <w:bCs/>
          <w:sz w:val="24"/>
        </w:rPr>
        <w:t>5</w:t>
      </w:r>
      <w:r>
        <w:rPr>
          <w:rFonts w:hint="eastAsia"/>
          <w:bCs/>
          <w:sz w:val="24"/>
        </w:rPr>
        <w:t>、托管协议：指基金管理人与基金托管人就本基金签订之《交银施罗德慧选睿信一年持有期混合型基金中基金（FOF）托管协议》及对该托管协议的任何有效修订和补充</w:t>
      </w:r>
    </w:p>
    <w:p>
      <w:pPr>
        <w:adjustRightInd w:val="0"/>
        <w:snapToGrid w:val="0"/>
        <w:spacing w:line="360" w:lineRule="auto"/>
        <w:ind w:firstLine="480" w:firstLineChars="200"/>
        <w:rPr>
          <w:bCs/>
          <w:sz w:val="24"/>
        </w:rPr>
      </w:pPr>
      <w:r>
        <w:rPr>
          <w:bCs/>
          <w:sz w:val="24"/>
        </w:rPr>
        <w:t>6</w:t>
      </w:r>
      <w:r>
        <w:rPr>
          <w:rFonts w:hint="eastAsia"/>
          <w:bCs/>
          <w:sz w:val="24"/>
        </w:rPr>
        <w:t>、招募说明书或本招募说明书：指《交银施罗德慧选睿信一年持有期混合型基金中基金（FOF）招募说明书》及其更新</w:t>
      </w:r>
    </w:p>
    <w:p>
      <w:pPr>
        <w:adjustRightInd w:val="0"/>
        <w:snapToGrid w:val="0"/>
        <w:spacing w:line="360" w:lineRule="auto"/>
        <w:ind w:firstLine="480" w:firstLineChars="200"/>
        <w:rPr>
          <w:bCs/>
          <w:sz w:val="24"/>
        </w:rPr>
      </w:pPr>
      <w:r>
        <w:rPr>
          <w:bCs/>
          <w:sz w:val="24"/>
        </w:rPr>
        <w:t>7</w:t>
      </w:r>
      <w:r>
        <w:rPr>
          <w:rFonts w:hint="eastAsia"/>
          <w:bCs/>
          <w:sz w:val="24"/>
        </w:rPr>
        <w:t>、基金产品资料概要：指《交银施罗德慧选睿信一年持有期混合型基金中基金（FOF）基金产品资料概要》及其更新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8、基金份额发售公告：指《交银施罗德慧选睿信一年持有期混合型基金中基金（FOF）基金份额发售公告》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bCs/>
          <w:sz w:val="24"/>
        </w:rPr>
        <w:t>11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bCs/>
          <w:sz w:val="24"/>
        </w:rPr>
        <w:t>12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bCs/>
          <w:sz w:val="24"/>
        </w:rPr>
        <w:t>13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bCs/>
          <w:sz w:val="24"/>
        </w:rPr>
        <w:t>14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bCs/>
          <w:sz w:val="24"/>
        </w:rPr>
        <w:t>15</w:t>
      </w:r>
      <w:r>
        <w:rPr>
          <w:rFonts w:hint="eastAsia"/>
          <w:bCs/>
          <w:sz w:val="24"/>
        </w:rPr>
        <w:t>、中国证监会：指中国证券监督管理委员会</w:t>
      </w:r>
    </w:p>
    <w:p>
      <w:pPr>
        <w:adjustRightInd w:val="0"/>
        <w:snapToGrid w:val="0"/>
        <w:spacing w:line="360" w:lineRule="auto"/>
        <w:ind w:firstLine="480" w:firstLineChars="200"/>
        <w:rPr>
          <w:bCs/>
          <w:sz w:val="24"/>
        </w:rPr>
      </w:pPr>
      <w:r>
        <w:rPr>
          <w:bCs/>
          <w:sz w:val="24"/>
        </w:rPr>
        <w:t>16</w:t>
      </w:r>
      <w:r>
        <w:rPr>
          <w:rFonts w:hint="eastAsia"/>
          <w:bCs/>
          <w:sz w:val="24"/>
        </w:rPr>
        <w:t>、银行业监督管理机构：指中国人民银行和</w:t>
      </w:r>
      <w:r>
        <w:rPr>
          <w:bCs/>
          <w:sz w:val="24"/>
        </w:rPr>
        <w:t>/</w:t>
      </w:r>
      <w:r>
        <w:rPr>
          <w:rFonts w:hint="eastAsia"/>
          <w:bCs/>
          <w:sz w:val="24"/>
        </w:rPr>
        <w:t>或中国银行保险监督管理委员会</w:t>
      </w:r>
    </w:p>
    <w:p>
      <w:pPr>
        <w:adjustRightInd w:val="0"/>
        <w:snapToGrid w:val="0"/>
        <w:spacing w:line="360" w:lineRule="auto"/>
        <w:ind w:firstLine="480" w:firstLineChars="20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bCs/>
          <w:sz w:val="24"/>
        </w:rPr>
        <w:t>18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w:t>
      </w:r>
      <w:r>
        <w:rPr>
          <w:bCs/>
          <w:sz w:val="24"/>
        </w:rPr>
        <w:t>其不时修订）</w:t>
      </w:r>
      <w:r>
        <w:rPr>
          <w:rFonts w:hint="eastAsia"/>
          <w:bCs/>
          <w:sz w:val="24"/>
        </w:rPr>
        <w:t>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bCs/>
          <w:sz w:val="24"/>
        </w:rPr>
        <w:t>21</w:t>
      </w:r>
      <w:r>
        <w:rPr>
          <w:rFonts w:hint="eastAsia"/>
          <w:bCs/>
          <w:sz w:val="24"/>
        </w:rPr>
        <w:t>、投资人、投资者：指个人投资者、机构投资者、合格境外投资者以及法律法规或中国证监会允许购买证券投资基金的其他投资人的合称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bCs/>
          <w:sz w:val="24"/>
        </w:rPr>
        <w:t>22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bCs/>
          <w:sz w:val="24"/>
        </w:rPr>
        <w:t>27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bCs/>
          <w:sz w:val="24"/>
        </w:rPr>
        <w:t>31</w:t>
      </w:r>
      <w:r>
        <w:rPr>
          <w:rFonts w:hint="eastAsia"/>
          <w:bCs/>
          <w:sz w:val="24"/>
        </w:rPr>
        <w:t>、基金募集期：指自基金份额发售之日起至发售结束之日止的期间，最长不得超过</w:t>
      </w:r>
      <w:r>
        <w:rPr>
          <w:bCs/>
          <w:sz w:val="24"/>
        </w:rPr>
        <w:t>3</w:t>
      </w:r>
      <w:r>
        <w:rPr>
          <w:rFonts w:hint="eastAsia"/>
          <w:bCs/>
          <w:sz w:val="24"/>
        </w:rPr>
        <w:t>个月</w:t>
      </w:r>
    </w:p>
    <w:p>
      <w:pPr>
        <w:adjustRightInd w:val="0"/>
        <w:snapToGrid w:val="0"/>
        <w:spacing w:line="360" w:lineRule="auto"/>
        <w:ind w:firstLine="480" w:firstLineChars="200"/>
        <w:rPr>
          <w:bCs/>
          <w:sz w:val="24"/>
        </w:rPr>
      </w:pPr>
      <w:r>
        <w:rPr>
          <w:bCs/>
          <w:sz w:val="24"/>
        </w:rPr>
        <w:t>32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bCs/>
          <w:sz w:val="24"/>
        </w:rPr>
        <w:t>33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34</w:t>
      </w:r>
      <w:r>
        <w:rPr>
          <w:rFonts w:hint="eastAsia"/>
          <w:bCs/>
          <w:sz w:val="24"/>
        </w:rPr>
        <w:t>、</w:t>
      </w:r>
      <w:r>
        <w:rPr>
          <w:bCs/>
          <w:sz w:val="24"/>
        </w:rPr>
        <w:t>T</w:t>
      </w:r>
      <w:r>
        <w:rPr>
          <w:rFonts w:hint="eastAsia"/>
          <w:bCs/>
          <w:sz w:val="24"/>
        </w:rPr>
        <w: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35</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p>
    <w:p>
      <w:pPr>
        <w:adjustRightInd w:val="0"/>
        <w:snapToGrid w:val="0"/>
        <w:spacing w:line="360" w:lineRule="auto"/>
        <w:ind w:firstLine="480" w:firstLineChars="200"/>
        <w:rPr>
          <w:bCs/>
          <w:sz w:val="24"/>
        </w:rPr>
      </w:pPr>
      <w:r>
        <w:rPr>
          <w:rFonts w:hint="eastAsia"/>
          <w:bCs/>
          <w:sz w:val="24"/>
        </w:rPr>
        <w:t>3</w:t>
      </w:r>
      <w:r>
        <w:rPr>
          <w:bCs/>
          <w:sz w:val="24"/>
        </w:rPr>
        <w:t>6</w:t>
      </w:r>
      <w:r>
        <w:rPr>
          <w:rFonts w:hint="eastAsia"/>
          <w:bCs/>
          <w:sz w:val="24"/>
        </w:rPr>
        <w:t>、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rPr>
          <w:bCs/>
          <w:sz w:val="24"/>
        </w:rPr>
      </w:pPr>
      <w:r>
        <w:rPr>
          <w:rFonts w:hint="eastAsia"/>
          <w:bCs/>
          <w:sz w:val="24"/>
        </w:rPr>
        <w:t>3</w:t>
      </w:r>
      <w:r>
        <w:rPr>
          <w:bCs/>
          <w:sz w:val="24"/>
        </w:rPr>
        <w:t>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pPr>
        <w:adjustRightInd w:val="0"/>
        <w:snapToGrid w:val="0"/>
        <w:spacing w:line="360" w:lineRule="auto"/>
        <w:ind w:firstLine="480" w:firstLineChars="200"/>
        <w:rPr>
          <w:bCs/>
          <w:sz w:val="24"/>
        </w:rPr>
      </w:pPr>
      <w:r>
        <w:rPr>
          <w:bCs/>
          <w:sz w:val="24"/>
        </w:rPr>
        <w:t>38</w:t>
      </w:r>
      <w:r>
        <w:rPr>
          <w:rFonts w:hint="eastAsia"/>
          <w:bCs/>
          <w:sz w:val="24"/>
        </w:rPr>
        <w:t>、开放日：指为投资人办理基金份额申购、赎回或其他业务的工作日</w:t>
      </w:r>
    </w:p>
    <w:p>
      <w:pPr>
        <w:adjustRightInd w:val="0"/>
        <w:snapToGrid w:val="0"/>
        <w:spacing w:line="360" w:lineRule="auto"/>
        <w:ind w:firstLine="480" w:firstLineChars="200"/>
        <w:rPr>
          <w:bCs/>
          <w:sz w:val="24"/>
        </w:rPr>
      </w:pPr>
      <w:r>
        <w:rPr>
          <w:bCs/>
          <w:sz w:val="24"/>
        </w:rPr>
        <w:t>39</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40</w:t>
      </w:r>
      <w:r>
        <w:rPr>
          <w:rFonts w:hint="eastAsia"/>
          <w:bCs/>
          <w:sz w:val="24"/>
        </w:rPr>
        <w:t>、《业务规则》：指中国证券登记结算有限责任公司相关业务规则及其不时做出的修订</w:t>
      </w:r>
    </w:p>
    <w:p>
      <w:pPr>
        <w:adjustRightInd w:val="0"/>
        <w:snapToGrid w:val="0"/>
        <w:spacing w:line="360" w:lineRule="auto"/>
        <w:ind w:firstLine="480" w:firstLineChars="200"/>
        <w:rPr>
          <w:bCs/>
          <w:sz w:val="24"/>
        </w:rPr>
      </w:pPr>
      <w:r>
        <w:rPr>
          <w:bCs/>
          <w:sz w:val="24"/>
        </w:rPr>
        <w:t>41</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42</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45</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pPr>
        <w:adjustRightInd w:val="0"/>
        <w:snapToGrid w:val="0"/>
        <w:spacing w:line="360" w:lineRule="auto"/>
        <w:ind w:firstLine="480" w:firstLineChars="200"/>
        <w:rPr>
          <w:bCs/>
          <w:sz w:val="24"/>
        </w:rPr>
      </w:pPr>
      <w:r>
        <w:rPr>
          <w:bCs/>
          <w:sz w:val="24"/>
        </w:rPr>
        <w:t>48</w:t>
      </w:r>
      <w:r>
        <w:rPr>
          <w:rFonts w:hint="eastAsia"/>
          <w:bCs/>
          <w:sz w:val="24"/>
        </w:rPr>
        <w:t>、元：指人民币元</w:t>
      </w:r>
    </w:p>
    <w:p>
      <w:pPr>
        <w:adjustRightInd w:val="0"/>
        <w:snapToGrid w:val="0"/>
        <w:spacing w:line="360" w:lineRule="auto"/>
        <w:ind w:firstLine="480" w:firstLineChars="20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50</w:t>
      </w:r>
      <w:r>
        <w:rPr>
          <w:rFonts w:hint="eastAsia"/>
          <w:bCs/>
          <w:sz w:val="24"/>
        </w:rPr>
        <w:t>、基金资产总值：指基金拥有的各类有价证券、证券投资基金份额、银行存款本息、基金应收款项及其他资产的价值总和</w:t>
      </w:r>
    </w:p>
    <w:p>
      <w:pPr>
        <w:adjustRightInd w:val="0"/>
        <w:snapToGrid w:val="0"/>
        <w:spacing w:line="360" w:lineRule="auto"/>
        <w:ind w:firstLine="480" w:firstLineChars="200"/>
        <w:rPr>
          <w:bCs/>
          <w:sz w:val="24"/>
        </w:rPr>
      </w:pPr>
      <w:r>
        <w:rPr>
          <w:bCs/>
          <w:sz w:val="24"/>
        </w:rPr>
        <w:t>51</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52</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53</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rFonts w:hint="eastAsia"/>
          <w:bCs/>
          <w:sz w:val="24"/>
        </w:rPr>
        <w:t>54、港股通：指内地投资者委托内地证券公司，经由内地证券交易所在香港设立的证券交易服务公司，向香港联合交易所进行申报，买卖规定范围内的香港联合交易所上市的股票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55</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rFonts w:hint="eastAsia"/>
          <w:bCs/>
          <w:sz w:val="24"/>
        </w:rPr>
        <w:t>56、销售服务费：指从基金财产中计提的，用于本基金市场推广、销售以及基金份额持有人服务的费用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rFonts w:hint="eastAsia"/>
          <w:bCs/>
          <w:sz w:val="24"/>
        </w:rPr>
        <w:t>57、A类基金份额：指在投资人认购/申购时收取认购/申购费用且不从本类别基金资产中计提销售服务费的基金份额</w:t>
      </w:r>
    </w:p>
    <w:p>
      <w:pPr>
        <w:adjustRightInd w:val="0"/>
        <w:snapToGrid w:val="0"/>
        <w:spacing w:line="360" w:lineRule="auto"/>
        <w:ind w:firstLine="480" w:firstLineChars="200"/>
        <w:rPr>
          <w:bCs/>
          <w:sz w:val="24"/>
        </w:rPr>
      </w:pPr>
      <w:r>
        <w:rPr>
          <w:rFonts w:hint="eastAsia"/>
          <w:bCs/>
          <w:sz w:val="24"/>
        </w:rPr>
        <w:t>58、C类基金份额：指在投资人认购/申购时不收取认购/申购费用，并从本类别基金资产中计提销售服务费的基金份额</w:t>
      </w:r>
    </w:p>
    <w:p>
      <w:pPr>
        <w:adjustRightInd w:val="0"/>
        <w:snapToGrid w:val="0"/>
        <w:spacing w:line="360" w:lineRule="auto"/>
        <w:ind w:firstLine="480" w:firstLineChars="200"/>
        <w:rPr>
          <w:bCs/>
          <w:sz w:val="24"/>
        </w:rPr>
      </w:pPr>
      <w:r>
        <w:rPr>
          <w:bCs/>
          <w:sz w:val="24"/>
        </w:rPr>
        <w:t>59</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60</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61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6</w:t>
      </w:r>
      <w:r>
        <w:rPr>
          <w:bCs/>
          <w:sz w:val="24"/>
        </w:rPr>
        <w:t>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sz w:val="24"/>
        </w:rPr>
      </w:pPr>
      <w:r>
        <w:rPr>
          <w:bCs/>
          <w:sz w:val="24"/>
        </w:rPr>
        <w:t>63</w:t>
      </w:r>
      <w:r>
        <w:rPr>
          <w:rFonts w:hint="eastAsia"/>
          <w:bCs/>
          <w:sz w:val="24"/>
        </w:rPr>
        <w:t>、不可抗力：指基金合同当事人不能预见、不能避免且不能克服的客观事件</w:t>
      </w:r>
    </w:p>
    <w:p>
      <w:pPr>
        <w:spacing w:line="360" w:lineRule="auto"/>
        <w:ind w:firstLine="480" w:firstLineChars="200"/>
        <w:rPr>
          <w:rFonts w:ascii="宋体" w:hAnsi="宋体"/>
          <w:sz w:val="24"/>
        </w:rPr>
      </w:pPr>
    </w:p>
    <w:p>
      <w:pPr>
        <w:spacing w:line="360" w:lineRule="auto"/>
        <w:jc w:val="center"/>
        <w:outlineLvl w:val="0"/>
        <w:rPr>
          <w:rFonts w:ascii="宋体" w:hAnsi="宋体"/>
          <w:b/>
          <w:kern w:val="0"/>
          <w:sz w:val="30"/>
        </w:rPr>
      </w:pPr>
      <w:bookmarkStart w:id="6" w:name="_Hlt81034163"/>
      <w:bookmarkEnd w:id="6"/>
      <w:bookmarkStart w:id="7" w:name="_Hlt80961854"/>
      <w:bookmarkEnd w:id="7"/>
      <w:bookmarkStart w:id="8" w:name="_Toc109537381"/>
      <w:r>
        <w:rPr>
          <w:rFonts w:ascii="宋体" w:hAnsi="宋体"/>
          <w:b/>
          <w:kern w:val="0"/>
          <w:sz w:val="30"/>
        </w:rPr>
        <w:br w:type="page"/>
      </w:r>
      <w:bookmarkStart w:id="9" w:name="_Toc56690583"/>
      <w:bookmarkStart w:id="10" w:name="_Toc31725"/>
      <w:r>
        <w:rPr>
          <w:rFonts w:hint="eastAsia" w:ascii="宋体" w:hAnsi="宋体"/>
          <w:b/>
          <w:kern w:val="0"/>
          <w:sz w:val="30"/>
        </w:rPr>
        <w:t>三、基金管理人</w:t>
      </w:r>
      <w:bookmarkEnd w:id="8"/>
      <w:bookmarkEnd w:id="9"/>
      <w:bookmarkEnd w:id="10"/>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adjustRightInd w:val="0"/>
              <w:snapToGrid w:val="0"/>
              <w:spacing w:line="360" w:lineRule="auto"/>
              <w:jc w:val="left"/>
              <w:rPr>
                <w:kern w:val="0"/>
                <w:sz w:val="24"/>
              </w:rPr>
            </w:pPr>
            <w:r>
              <w:rPr>
                <w:kern w:val="0"/>
                <w:sz w:val="24"/>
              </w:rPr>
              <w:t>交通银行股份有限公司（以下使用全称或其简称“交通银行”）</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adjustRightInd w:val="0"/>
              <w:snapToGrid w:val="0"/>
              <w:spacing w:line="360" w:lineRule="auto"/>
              <w:jc w:val="left"/>
              <w:rPr>
                <w:kern w:val="0"/>
                <w:sz w:val="24"/>
              </w:rPr>
            </w:pPr>
            <w:r>
              <w:rPr>
                <w:kern w:val="0"/>
                <w:sz w:val="24"/>
              </w:rPr>
              <w:t>施罗德投资管理有限公司</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adjustRightInd w:val="0"/>
              <w:snapToGrid w:val="0"/>
              <w:spacing w:line="360" w:lineRule="auto"/>
              <w:jc w:val="left"/>
              <w:rPr>
                <w:kern w:val="0"/>
                <w:sz w:val="24"/>
              </w:rPr>
            </w:pPr>
            <w:r>
              <w:rPr>
                <w:kern w:val="0"/>
                <w:sz w:val="24"/>
              </w:rPr>
              <w:t>中国国际海运集装箱（集团）股份有限公司</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rFonts w:hint="eastAsia"/>
          <w:kern w:val="0"/>
          <w:sz w:val="24"/>
        </w:rPr>
        <w:t>1、基金管理人董事会成员</w:t>
      </w:r>
    </w:p>
    <w:p>
      <w:pPr>
        <w:widowControl/>
        <w:adjustRightInd w:val="0"/>
        <w:snapToGrid w:val="0"/>
        <w:spacing w:line="360" w:lineRule="auto"/>
        <w:ind w:firstLine="480" w:firstLineChars="20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kern w:val="0"/>
          <w:sz w:val="24"/>
        </w:rPr>
      </w:pPr>
      <w:r>
        <w:rPr>
          <w:rFonts w:hint="eastAsia"/>
          <w:kern w:val="0"/>
          <w:sz w:val="24"/>
        </w:rPr>
        <w:t>周曦女士，董事，硕士。现任交通银行总行零售信贷业务部总经理。历任交通银行湖南省分行风险管理部、资产保全部、法律合规部、个人金融业务部总经理，交通银行总行个人金融业务部总经理助理、副总经理。</w:t>
      </w:r>
    </w:p>
    <w:p>
      <w:pPr>
        <w:widowControl/>
        <w:adjustRightInd w:val="0"/>
        <w:snapToGrid w:val="0"/>
        <w:spacing w:line="360" w:lineRule="auto"/>
        <w:ind w:firstLine="480" w:firstLineChars="200"/>
        <w:rPr>
          <w:kern w:val="0"/>
          <w:sz w:val="24"/>
        </w:rPr>
      </w:pPr>
      <w:r>
        <w:rPr>
          <w:rFonts w:hint="eastAsia"/>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kern w:val="0"/>
          <w:sz w:val="24"/>
        </w:rPr>
      </w:pPr>
      <w:r>
        <w:rPr>
          <w:rFonts w:hint="eastAsia"/>
          <w:kern w:val="0"/>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rFonts w:hint="eastAsia"/>
          <w:kern w:val="0"/>
          <w:sz w:val="24"/>
        </w:rPr>
        <w:t>李定邦（Lieven Debruyne）先生，副董事长，硕士。现任施罗德集团全球业务总裁, 担任集团管理委员会成员。历任施罗德投资管理有限公司亚洲投资产品总监、亚太区行政总裁、施罗德投资管理（香港）有限公司行政总裁兼亚太区基金业务拓展总监。</w:t>
      </w:r>
    </w:p>
    <w:p>
      <w:pPr>
        <w:widowControl/>
        <w:adjustRightInd w:val="0"/>
        <w:snapToGrid w:val="0"/>
        <w:spacing w:line="360" w:lineRule="auto"/>
        <w:ind w:firstLine="480" w:firstLineChars="200"/>
        <w:rPr>
          <w:kern w:val="0"/>
          <w:sz w:val="24"/>
        </w:rPr>
      </w:pPr>
      <w:r>
        <w:rPr>
          <w:rFonts w:hint="eastAsia"/>
          <w:kern w:val="0"/>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outlineLvl w:val="2"/>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rFonts w:hint="eastAsia"/>
          <w:kern w:val="0"/>
          <w:sz w:val="24"/>
        </w:rPr>
        <w:t>2、基金管理人监事会成员</w:t>
      </w:r>
    </w:p>
    <w:p>
      <w:pPr>
        <w:widowControl/>
        <w:adjustRightInd w:val="0"/>
        <w:snapToGrid w:val="0"/>
        <w:spacing w:line="360" w:lineRule="auto"/>
        <w:ind w:firstLine="480" w:firstLineChars="200"/>
        <w:rPr>
          <w:kern w:val="0"/>
          <w:sz w:val="24"/>
        </w:rPr>
      </w:pPr>
      <w:r>
        <w:rPr>
          <w:rFonts w:hint="eastAsia"/>
          <w:kern w:val="0"/>
          <w:sz w:val="24"/>
        </w:rPr>
        <w:t>王忆军先生，监事长，硕士。现任交通银行总行人力资源部总经理。历任交通银行总行办公室副处长，交通银行总行公司业务部副处长、高级经理、总经理助理、副总经理，交通银行总行投资银行部副总经理，交通银行江苏分行副行长，交通银行总行战略投资部总经理，交银金融学院常务副院长。</w:t>
      </w:r>
    </w:p>
    <w:p>
      <w:pPr>
        <w:widowControl/>
        <w:adjustRightInd w:val="0"/>
        <w:snapToGrid w:val="0"/>
        <w:spacing w:line="360" w:lineRule="auto"/>
        <w:ind w:firstLine="480" w:firstLineChars="200"/>
        <w:rPr>
          <w:kern w:val="0"/>
          <w:sz w:val="24"/>
        </w:rPr>
      </w:pPr>
      <w:r>
        <w:rPr>
          <w:rFonts w:hint="eastAsia"/>
          <w:kern w:val="0"/>
          <w:sz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pPr>
        <w:widowControl/>
        <w:adjustRightInd w:val="0"/>
        <w:snapToGrid w:val="0"/>
        <w:spacing w:line="360" w:lineRule="auto"/>
        <w:ind w:firstLine="480" w:firstLineChars="200"/>
        <w:rPr>
          <w:kern w:val="0"/>
          <w:sz w:val="24"/>
        </w:rPr>
      </w:pPr>
      <w:r>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widowControl/>
        <w:adjustRightInd w:val="0"/>
        <w:snapToGrid w:val="0"/>
        <w:spacing w:line="360" w:lineRule="auto"/>
        <w:ind w:firstLine="480" w:firstLineChars="200"/>
        <w:rPr>
          <w:kern w:val="0"/>
          <w:sz w:val="24"/>
        </w:rPr>
      </w:pPr>
      <w:r>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pPr>
        <w:widowControl/>
        <w:adjustRightInd w:val="0"/>
        <w:snapToGrid w:val="0"/>
        <w:spacing w:line="360" w:lineRule="auto"/>
        <w:ind w:firstLine="480" w:firstLineChars="200"/>
        <w:outlineLvl w:val="2"/>
        <w:rPr>
          <w:kern w:val="0"/>
          <w:sz w:val="24"/>
        </w:rPr>
      </w:pPr>
      <w:r>
        <w:rPr>
          <w:rFonts w:hint="eastAsia"/>
          <w:kern w:val="0"/>
          <w:sz w:val="24"/>
        </w:rPr>
        <w:t>3、基金管理人高级管理人员</w:t>
      </w:r>
    </w:p>
    <w:p>
      <w:pPr>
        <w:widowControl/>
        <w:adjustRightInd w:val="0"/>
        <w:snapToGrid w:val="0"/>
        <w:spacing w:line="360" w:lineRule="auto"/>
        <w:ind w:firstLine="480" w:firstLineChars="200"/>
        <w:rPr>
          <w:kern w:val="0"/>
          <w:sz w:val="24"/>
        </w:rPr>
      </w:pPr>
      <w:r>
        <w:rPr>
          <w:rFonts w:hint="eastAsia"/>
          <w:kern w:val="0"/>
          <w:sz w:val="24"/>
        </w:rPr>
        <w:t>谢卫先生，总经理。简历同上。</w:t>
      </w:r>
    </w:p>
    <w:p>
      <w:pPr>
        <w:widowControl/>
        <w:adjustRightInd w:val="0"/>
        <w:snapToGrid w:val="0"/>
        <w:spacing w:line="360" w:lineRule="auto"/>
        <w:ind w:firstLine="480" w:firstLineChars="20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kern w:val="0"/>
          <w:sz w:val="24"/>
        </w:rPr>
      </w:pPr>
      <w:r>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outlineLvl w:val="2"/>
        <w:rPr>
          <w:kern w:val="0"/>
          <w:sz w:val="24"/>
        </w:rPr>
      </w:pPr>
      <w:r>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r>
        <w:rPr>
          <w:kern w:val="0"/>
          <w:sz w:val="24"/>
        </w:rPr>
        <w:t>4</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hAnsi="宋体"/>
          <w:kern w:val="0"/>
          <w:sz w:val="24"/>
        </w:rPr>
        <w:t>刘兵先生，上海财经大学经济学博士，6年证券投资行业从业经验。2016年加入交银施罗德基金管理有限公司，曾任量化投资部研究员、多元资产管理部研究员、投资经理，现任多元资产管理部基金经理以及</w:t>
      </w:r>
      <w:r>
        <w:rPr>
          <w:rFonts w:hint="eastAsia" w:hAnsi="宋体"/>
          <w:kern w:val="0"/>
          <w:sz w:val="24"/>
          <w:lang w:val="zh-CN"/>
        </w:rPr>
        <w:t>基金投顾</w:t>
      </w:r>
      <w:r>
        <w:rPr>
          <w:rFonts w:hAnsi="宋体"/>
          <w:kern w:val="0"/>
          <w:sz w:val="24"/>
          <w:lang w:val="zh-CN"/>
        </w:rPr>
        <w:t>业务投</w:t>
      </w:r>
      <w:bookmarkStart w:id="125" w:name="_GoBack"/>
      <w:bookmarkEnd w:id="125"/>
      <w:r>
        <w:rPr>
          <w:rFonts w:hAnsi="宋体"/>
          <w:kern w:val="0"/>
          <w:sz w:val="24"/>
          <w:lang w:val="zh-CN"/>
        </w:rPr>
        <w:t>资经理</w:t>
      </w:r>
      <w:r>
        <w:rPr>
          <w:rFonts w:hint="eastAsia" w:hAnsi="宋体"/>
          <w:kern w:val="0"/>
          <w:sz w:val="24"/>
        </w:rPr>
        <w:t>。2021年8月24日起担任交银施罗德招享一年持有期混合型基金中基金（FOF）基金经理至今，2021年</w:t>
      </w:r>
      <w:r>
        <w:rPr>
          <w:rFonts w:hAnsi="宋体"/>
          <w:kern w:val="0"/>
          <w:sz w:val="24"/>
        </w:rPr>
        <w:t>11</w:t>
      </w:r>
      <w:r>
        <w:rPr>
          <w:rFonts w:hint="eastAsia" w:hAnsi="宋体"/>
          <w:kern w:val="0"/>
          <w:sz w:val="24"/>
        </w:rPr>
        <w:t>月</w:t>
      </w:r>
      <w:r>
        <w:rPr>
          <w:rFonts w:hAnsi="宋体"/>
          <w:kern w:val="0"/>
          <w:sz w:val="24"/>
        </w:rPr>
        <w:t>10</w:t>
      </w:r>
      <w:r>
        <w:rPr>
          <w:rFonts w:hint="eastAsia" w:hAnsi="宋体"/>
          <w:kern w:val="0"/>
          <w:sz w:val="24"/>
        </w:rPr>
        <w:t>日起担任交银施罗德智选星光一年封闭</w:t>
      </w:r>
      <w:r>
        <w:rPr>
          <w:rFonts w:hAnsi="宋体"/>
          <w:kern w:val="0"/>
          <w:sz w:val="24"/>
        </w:rPr>
        <w:t>运作</w:t>
      </w:r>
      <w:r>
        <w:rPr>
          <w:rFonts w:hint="eastAsia" w:hAnsi="宋体"/>
          <w:kern w:val="0"/>
          <w:sz w:val="24"/>
        </w:rPr>
        <w:t>混合型基金中基金（FOF</w:t>
      </w:r>
      <w:r>
        <w:rPr>
          <w:rFonts w:hAnsi="宋体"/>
          <w:kern w:val="0"/>
          <w:sz w:val="24"/>
        </w:rPr>
        <w:t>-LOF</w:t>
      </w:r>
      <w:r>
        <w:rPr>
          <w:rFonts w:hint="eastAsia" w:hAnsi="宋体"/>
          <w:kern w:val="0"/>
          <w:sz w:val="24"/>
        </w:rPr>
        <w:t>）基金经理至今，2021年12月1日起担任交银施罗德兴享一年持有期混合型基金中基金（FOF）基金经理至今，2022年1月27日起担任交银施罗德优享一年持有期混合型基金中基金（FOF）基金经理至今。</w:t>
      </w:r>
    </w:p>
    <w:p>
      <w:pPr>
        <w:widowControl/>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djustRightInd w:val="0"/>
        <w:snapToGrid w:val="0"/>
        <w:spacing w:line="360" w:lineRule="auto"/>
        <w:ind w:firstLine="480" w:firstLineChars="200"/>
        <w:rPr>
          <w:kern w:val="0"/>
          <w:sz w:val="24"/>
        </w:rPr>
      </w:pPr>
      <w:r>
        <w:rPr>
          <w:kern w:val="0"/>
          <w:sz w:val="24"/>
        </w:rPr>
        <w:t>委员：</w:t>
      </w:r>
      <w:r>
        <w:rPr>
          <w:rFonts w:hint="eastAsia"/>
          <w:kern w:val="0"/>
          <w:sz w:val="24"/>
        </w:rPr>
        <w:t>谢卫（总经理）</w:t>
      </w:r>
    </w:p>
    <w:p>
      <w:pPr>
        <w:autoSpaceDE w:val="0"/>
        <w:autoSpaceDN w:val="0"/>
        <w:adjustRightInd w:val="0"/>
        <w:snapToGrid w:val="0"/>
        <w:spacing w:line="360" w:lineRule="auto"/>
        <w:ind w:firstLine="1200" w:firstLineChars="500"/>
        <w:jc w:val="left"/>
        <w:rPr>
          <w:rFonts w:ascii="宋体" w:hAnsi="宋体"/>
          <w:szCs w:val="24"/>
        </w:rPr>
      </w:pPr>
      <w:r>
        <w:rPr>
          <w:sz w:val="24"/>
        </w:rPr>
        <w:t>马俊（副总经理</w:t>
      </w:r>
      <w:r>
        <w:rPr>
          <w:rFonts w:hint="eastAsia"/>
          <w:sz w:val="24"/>
        </w:rPr>
        <w:t>、</w:t>
      </w:r>
      <w:r>
        <w:rPr>
          <w:sz w:val="24"/>
        </w:rPr>
        <w:t>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widowControl/>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1200" w:firstLineChars="500"/>
        <w:rPr>
          <w:kern w:val="0"/>
          <w:sz w:val="24"/>
        </w:rPr>
      </w:pPr>
      <w:r>
        <w:rPr>
          <w:rFonts w:hint="eastAsia"/>
          <w:kern w:val="0"/>
          <w:sz w:val="24"/>
        </w:rPr>
        <w:t>王崇</w:t>
      </w:r>
      <w:r>
        <w:rPr>
          <w:kern w:val="0"/>
          <w:sz w:val="24"/>
        </w:rPr>
        <w:t>（</w:t>
      </w:r>
      <w:r>
        <w:rPr>
          <w:rFonts w:hint="eastAsia"/>
          <w:kern w:val="0"/>
          <w:sz w:val="24"/>
        </w:rPr>
        <w:t>权益投资副总监、权益部一级</w:t>
      </w:r>
      <w:r>
        <w:rPr>
          <w:kern w:val="0"/>
          <w:sz w:val="24"/>
        </w:rPr>
        <w:t>专家、</w:t>
      </w:r>
      <w:r>
        <w:rPr>
          <w:rFonts w:hint="eastAsia"/>
          <w:kern w:val="0"/>
          <w:sz w:val="24"/>
        </w:rPr>
        <w:t>基金经理</w:t>
      </w:r>
      <w:r>
        <w:rPr>
          <w:kern w:val="0"/>
          <w:sz w:val="24"/>
        </w:rPr>
        <w:t>）</w:t>
      </w:r>
    </w:p>
    <w:p>
      <w:pPr>
        <w:adjustRightInd w:val="0"/>
        <w:snapToGrid w:val="0"/>
        <w:spacing w:line="360" w:lineRule="auto"/>
        <w:ind w:firstLine="1200" w:firstLineChars="5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rFonts w:ascii="宋体" w:hAnsi="宋体"/>
          <w:sz w:val="30"/>
        </w:rPr>
      </w:pPr>
      <w:r>
        <w:rPr>
          <w:kern w:val="0"/>
          <w:sz w:val="24"/>
          <w:szCs w:val="24"/>
        </w:rPr>
        <w:t>制定了完整的培训计划，为所有员工提供足够和适当的培训，使员工明确其职责所在，控制风险。</w:t>
      </w:r>
      <w:bookmarkStart w:id="11" w:name="_Toc109537382"/>
    </w:p>
    <w:p>
      <w:pPr>
        <w:spacing w:line="360" w:lineRule="auto"/>
        <w:jc w:val="center"/>
        <w:outlineLvl w:val="0"/>
        <w:rPr>
          <w:rFonts w:ascii="宋体" w:hAnsi="宋体"/>
          <w:b/>
          <w:kern w:val="0"/>
          <w:sz w:val="30"/>
        </w:rPr>
      </w:pPr>
      <w:r>
        <w:rPr>
          <w:rFonts w:ascii="宋体" w:hAnsi="宋体"/>
          <w:sz w:val="30"/>
        </w:rPr>
        <w:br w:type="page"/>
      </w:r>
      <w:bookmarkStart w:id="12" w:name="_Toc56690584"/>
      <w:bookmarkStart w:id="13" w:name="_Toc12775"/>
      <w:r>
        <w:rPr>
          <w:rFonts w:hint="eastAsia" w:ascii="宋体" w:hAnsi="宋体"/>
          <w:b/>
          <w:kern w:val="0"/>
          <w:sz w:val="30"/>
        </w:rPr>
        <w:t>四、基金托管人</w:t>
      </w:r>
      <w:bookmarkEnd w:id="11"/>
      <w:bookmarkEnd w:id="12"/>
      <w:bookmarkEnd w:id="13"/>
    </w:p>
    <w:p>
      <w:pPr>
        <w:widowControl/>
        <w:adjustRightInd w:val="0"/>
        <w:snapToGrid w:val="0"/>
        <w:spacing w:line="360" w:lineRule="auto"/>
        <w:ind w:firstLine="482" w:firstLineChars="200"/>
        <w:outlineLvl w:val="1"/>
        <w:rPr>
          <w:rFonts w:hAnsi="宋体"/>
          <w:b/>
          <w:kern w:val="0"/>
          <w:sz w:val="24"/>
        </w:rPr>
      </w:pPr>
      <w:r>
        <w:rPr>
          <w:rFonts w:hint="eastAsia" w:hAnsi="宋体"/>
          <w:b/>
          <w:kern w:val="0"/>
          <w:sz w:val="24"/>
        </w:rPr>
        <w:t>（一）基金托管人情况</w:t>
      </w:r>
    </w:p>
    <w:p>
      <w:pPr>
        <w:widowControl/>
        <w:adjustRightInd w:val="0"/>
        <w:snapToGrid w:val="0"/>
        <w:spacing w:line="360" w:lineRule="auto"/>
        <w:ind w:firstLine="480" w:firstLineChars="200"/>
        <w:outlineLvl w:val="2"/>
        <w:rPr>
          <w:rFonts w:hAnsi="宋体"/>
          <w:sz w:val="24"/>
        </w:rPr>
      </w:pPr>
      <w:r>
        <w:rPr>
          <w:rFonts w:hint="eastAsia" w:hAnsi="宋体"/>
          <w:sz w:val="24"/>
        </w:rPr>
        <w:t>1、基本情况</w:t>
      </w:r>
    </w:p>
    <w:p>
      <w:pPr>
        <w:widowControl/>
        <w:adjustRightInd w:val="0"/>
        <w:snapToGrid w:val="0"/>
        <w:spacing w:line="360" w:lineRule="auto"/>
        <w:ind w:firstLine="480" w:firstLineChars="200"/>
        <w:rPr>
          <w:rFonts w:hAnsi="宋体"/>
          <w:sz w:val="24"/>
        </w:rPr>
      </w:pPr>
      <w:r>
        <w:rPr>
          <w:rFonts w:hint="eastAsia" w:hAnsi="宋体"/>
          <w:sz w:val="24"/>
        </w:rPr>
        <w:t>名称：中信银行股份有限公司（简称“中信银行”）</w:t>
      </w:r>
    </w:p>
    <w:p>
      <w:pPr>
        <w:widowControl/>
        <w:adjustRightInd w:val="0"/>
        <w:snapToGrid w:val="0"/>
        <w:spacing w:line="360" w:lineRule="auto"/>
        <w:ind w:firstLine="480" w:firstLineChars="200"/>
        <w:rPr>
          <w:rFonts w:hAnsi="宋体"/>
          <w:sz w:val="24"/>
        </w:rPr>
      </w:pPr>
      <w:r>
        <w:rPr>
          <w:rFonts w:hint="eastAsia" w:hAnsi="宋体"/>
          <w:sz w:val="24"/>
        </w:rPr>
        <w:t>住所：北京市朝阳区光华路10号院1号楼6-30层、32-42层</w:t>
      </w:r>
    </w:p>
    <w:p>
      <w:pPr>
        <w:widowControl/>
        <w:adjustRightInd w:val="0"/>
        <w:snapToGrid w:val="0"/>
        <w:spacing w:line="360" w:lineRule="auto"/>
        <w:ind w:firstLine="480" w:firstLineChars="200"/>
        <w:rPr>
          <w:rFonts w:hAnsi="宋体"/>
          <w:sz w:val="24"/>
        </w:rPr>
      </w:pPr>
      <w:r>
        <w:rPr>
          <w:rFonts w:hint="eastAsia" w:hAnsi="宋体"/>
          <w:sz w:val="24"/>
        </w:rPr>
        <w:t>办公地址：北京市朝阳区光华路10号院1号楼6-30层、32-42层</w:t>
      </w:r>
    </w:p>
    <w:p>
      <w:pPr>
        <w:widowControl/>
        <w:adjustRightInd w:val="0"/>
        <w:snapToGrid w:val="0"/>
        <w:spacing w:line="360" w:lineRule="auto"/>
        <w:ind w:firstLine="480" w:firstLineChars="200"/>
        <w:rPr>
          <w:rFonts w:hAnsi="宋体"/>
          <w:sz w:val="24"/>
        </w:rPr>
      </w:pPr>
      <w:r>
        <w:rPr>
          <w:rFonts w:hint="eastAsia" w:hAnsi="宋体"/>
          <w:sz w:val="24"/>
        </w:rPr>
        <w:t>法定代表人：朱鹤新</w:t>
      </w:r>
    </w:p>
    <w:p>
      <w:pPr>
        <w:widowControl/>
        <w:adjustRightInd w:val="0"/>
        <w:snapToGrid w:val="0"/>
        <w:spacing w:line="360" w:lineRule="auto"/>
        <w:ind w:firstLine="480" w:firstLineChars="200"/>
        <w:rPr>
          <w:rFonts w:hAnsi="宋体"/>
          <w:sz w:val="24"/>
        </w:rPr>
      </w:pPr>
      <w:r>
        <w:rPr>
          <w:rFonts w:hint="eastAsia" w:hAnsi="宋体"/>
          <w:sz w:val="24"/>
        </w:rPr>
        <w:t>成立时间：1987年4月20日</w:t>
      </w:r>
    </w:p>
    <w:p>
      <w:pPr>
        <w:widowControl/>
        <w:adjustRightInd w:val="0"/>
        <w:snapToGrid w:val="0"/>
        <w:spacing w:line="360" w:lineRule="auto"/>
        <w:ind w:firstLine="480" w:firstLineChars="200"/>
        <w:rPr>
          <w:rFonts w:hAnsi="宋体"/>
          <w:sz w:val="24"/>
        </w:rPr>
      </w:pPr>
      <w:r>
        <w:rPr>
          <w:rFonts w:hint="eastAsia" w:hAnsi="宋体"/>
          <w:sz w:val="24"/>
        </w:rPr>
        <w:t>组织形式：股份有限公司</w:t>
      </w:r>
    </w:p>
    <w:p>
      <w:pPr>
        <w:widowControl/>
        <w:adjustRightInd w:val="0"/>
        <w:snapToGrid w:val="0"/>
        <w:spacing w:line="360" w:lineRule="auto"/>
        <w:ind w:firstLine="480" w:firstLineChars="200"/>
        <w:rPr>
          <w:rFonts w:hAnsi="宋体"/>
          <w:sz w:val="24"/>
        </w:rPr>
      </w:pPr>
      <w:r>
        <w:rPr>
          <w:rFonts w:hint="eastAsia" w:hAnsi="宋体"/>
          <w:sz w:val="24"/>
        </w:rPr>
        <w:t>注册资本：489.35亿元人民币</w:t>
      </w:r>
    </w:p>
    <w:p>
      <w:pPr>
        <w:widowControl/>
        <w:adjustRightInd w:val="0"/>
        <w:snapToGrid w:val="0"/>
        <w:spacing w:line="360" w:lineRule="auto"/>
        <w:ind w:firstLine="480" w:firstLineChars="200"/>
        <w:rPr>
          <w:rFonts w:hAnsi="宋体"/>
          <w:sz w:val="24"/>
        </w:rPr>
      </w:pPr>
      <w:r>
        <w:rPr>
          <w:rFonts w:hint="eastAsia" w:hAnsi="宋体"/>
          <w:sz w:val="24"/>
        </w:rPr>
        <w:t>存续期间：持续经营</w:t>
      </w:r>
    </w:p>
    <w:p>
      <w:pPr>
        <w:widowControl/>
        <w:adjustRightInd w:val="0"/>
        <w:snapToGrid w:val="0"/>
        <w:spacing w:line="360" w:lineRule="auto"/>
        <w:ind w:firstLine="480" w:firstLineChars="200"/>
        <w:rPr>
          <w:rFonts w:hAnsi="宋体"/>
          <w:sz w:val="24"/>
        </w:rPr>
      </w:pPr>
      <w:r>
        <w:rPr>
          <w:rFonts w:hint="eastAsia" w:hAnsi="宋体"/>
          <w:sz w:val="24"/>
        </w:rPr>
        <w:t>批准设立文号：中华人民共和国国务院办公厅国办函[1987]14号</w:t>
      </w:r>
    </w:p>
    <w:p>
      <w:pPr>
        <w:widowControl/>
        <w:adjustRightInd w:val="0"/>
        <w:snapToGrid w:val="0"/>
        <w:spacing w:line="360" w:lineRule="auto"/>
        <w:ind w:firstLine="480" w:firstLineChars="200"/>
        <w:rPr>
          <w:rFonts w:hAnsi="宋体"/>
          <w:sz w:val="24"/>
        </w:rPr>
      </w:pPr>
      <w:r>
        <w:rPr>
          <w:rFonts w:hint="eastAsia" w:hAnsi="宋体"/>
          <w:sz w:val="24"/>
        </w:rPr>
        <w:t>基金托管业务批准文号：中国证监会证监基字[2004]125号</w:t>
      </w:r>
    </w:p>
    <w:p>
      <w:pPr>
        <w:widowControl/>
        <w:adjustRightInd w:val="0"/>
        <w:snapToGrid w:val="0"/>
        <w:spacing w:line="360" w:lineRule="auto"/>
        <w:ind w:firstLine="480" w:firstLineChars="200"/>
        <w:rPr>
          <w:rFonts w:hAnsi="宋体"/>
          <w:sz w:val="24"/>
        </w:rPr>
      </w:pPr>
      <w:r>
        <w:rPr>
          <w:rFonts w:hint="eastAsia" w:hAnsi="宋体"/>
          <w:sz w:val="24"/>
        </w:rPr>
        <w:t>联系人：中信银行资产托管部</w:t>
      </w:r>
    </w:p>
    <w:p>
      <w:pPr>
        <w:widowControl/>
        <w:adjustRightInd w:val="0"/>
        <w:snapToGrid w:val="0"/>
        <w:spacing w:line="360" w:lineRule="auto"/>
        <w:ind w:firstLine="480" w:firstLineChars="200"/>
        <w:rPr>
          <w:rFonts w:hAnsi="宋体"/>
          <w:sz w:val="24"/>
        </w:rPr>
      </w:pPr>
      <w:r>
        <w:rPr>
          <w:rFonts w:hint="eastAsia" w:hAnsi="宋体"/>
          <w:sz w:val="24"/>
        </w:rPr>
        <w:t>联系电话：4006800000</w:t>
      </w:r>
    </w:p>
    <w:p>
      <w:pPr>
        <w:widowControl/>
        <w:adjustRightInd w:val="0"/>
        <w:snapToGrid w:val="0"/>
        <w:spacing w:line="360" w:lineRule="auto"/>
        <w:ind w:firstLine="480" w:firstLineChars="200"/>
        <w:rPr>
          <w:rFonts w:hAnsi="宋体"/>
          <w:sz w:val="24"/>
        </w:rPr>
      </w:pPr>
      <w:r>
        <w:rPr>
          <w:rFonts w:hint="eastAsia" w:hAnsi="宋体"/>
          <w:sz w:val="24"/>
        </w:rPr>
        <w:t>传真：010-85230024</w:t>
      </w:r>
    </w:p>
    <w:p>
      <w:pPr>
        <w:widowControl/>
        <w:adjustRightInd w:val="0"/>
        <w:snapToGrid w:val="0"/>
        <w:spacing w:line="360" w:lineRule="auto"/>
        <w:ind w:firstLine="480" w:firstLineChars="200"/>
        <w:rPr>
          <w:rFonts w:hAnsi="宋体"/>
          <w:sz w:val="24"/>
        </w:rPr>
      </w:pPr>
      <w:r>
        <w:rPr>
          <w:rFonts w:hint="eastAsia" w:hAnsi="宋体"/>
          <w:sz w:val="24"/>
        </w:rPr>
        <w:t>客服电话：95558</w:t>
      </w:r>
    </w:p>
    <w:p>
      <w:pPr>
        <w:widowControl/>
        <w:adjustRightInd w:val="0"/>
        <w:snapToGrid w:val="0"/>
        <w:spacing w:line="360" w:lineRule="auto"/>
        <w:ind w:firstLine="480" w:firstLineChars="200"/>
        <w:rPr>
          <w:rFonts w:hAnsi="宋体"/>
          <w:sz w:val="24"/>
        </w:rPr>
      </w:pPr>
      <w:r>
        <w:rPr>
          <w:rFonts w:hint="eastAsia" w:hAnsi="宋体"/>
          <w:sz w:val="24"/>
        </w:rPr>
        <w:t>网址：bank.ecitic.com</w:t>
      </w:r>
    </w:p>
    <w:p>
      <w:pPr>
        <w:widowControl/>
        <w:adjustRightInd w:val="0"/>
        <w:snapToGrid w:val="0"/>
        <w:spacing w:line="360" w:lineRule="auto"/>
        <w:ind w:firstLine="480" w:firstLineChars="200"/>
        <w:rPr>
          <w:rFonts w:hAnsi="宋体"/>
          <w:sz w:val="24"/>
        </w:rPr>
      </w:pPr>
      <w:r>
        <w:rPr>
          <w:rFonts w:hint="eastAsia"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widowControl/>
        <w:adjustRightInd w:val="0"/>
        <w:snapToGrid w:val="0"/>
        <w:spacing w:line="360" w:lineRule="auto"/>
        <w:ind w:firstLine="480" w:firstLineChars="200"/>
        <w:rPr>
          <w:rFonts w:hAnsi="宋体"/>
          <w:sz w:val="24"/>
        </w:rPr>
      </w:pPr>
      <w:r>
        <w:rPr>
          <w:rFonts w:hint="eastAsia" w:hAnsi="宋体"/>
          <w:sz w:val="24"/>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中信银行实现在上海证券交易所和香港联合交易所A+H股同步上市。</w:t>
      </w:r>
    </w:p>
    <w:p>
      <w:pPr>
        <w:widowControl/>
        <w:adjustRightInd w:val="0"/>
        <w:snapToGrid w:val="0"/>
        <w:spacing w:line="360" w:lineRule="auto"/>
        <w:ind w:firstLine="480" w:firstLineChars="200"/>
        <w:rPr>
          <w:rFonts w:hAnsi="宋体"/>
          <w:sz w:val="24"/>
        </w:rPr>
      </w:pPr>
      <w:r>
        <w:rPr>
          <w:rFonts w:hint="eastAsia" w:hAnsi="宋体"/>
          <w:sz w:val="24"/>
        </w:rPr>
        <w:t>中信银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pPr>
        <w:widowControl/>
        <w:adjustRightInd w:val="0"/>
        <w:snapToGrid w:val="0"/>
        <w:spacing w:line="360" w:lineRule="auto"/>
        <w:ind w:firstLine="480" w:firstLineChars="200"/>
        <w:rPr>
          <w:rFonts w:hAnsi="宋体"/>
          <w:sz w:val="24"/>
        </w:rPr>
      </w:pPr>
      <w:r>
        <w:rPr>
          <w:rFonts w:hint="eastAsia" w:hAnsi="宋体"/>
          <w:sz w:val="24"/>
        </w:rPr>
        <w:t>截至2021年末，中信银行在国内153个大中城市设有1,415家营业网点，在境内外下设中信国际金融控股有限公司、信银（香港）投资有限公司、中信金融租赁有限公司、信银理财有限责任公司、中信百信银行股份有限公司、阿尔金银行和浙江临安中信村镇银行股份有限公司7家附属机构。其中，中信国际金融控股有限公司子公司中信银行（国际）在香港、澳门、纽约、洛杉矶、新加坡和中国内地设有32家营业网点和2家商务中心。信银（香港）投资有限公司在香港和境内设有3家子公司。信银理财有限责任公司为本行全资理财子公司。中信百信银行股份有限公司为中信银行与百度公司发起设立的国内首家具有独立法人资格直销银行。阿尔金银行在哈萨克斯坦设有7家营业网点和1个私人银行中心。</w:t>
      </w:r>
    </w:p>
    <w:p>
      <w:pPr>
        <w:widowControl/>
        <w:adjustRightInd w:val="0"/>
        <w:snapToGrid w:val="0"/>
        <w:spacing w:line="360" w:lineRule="auto"/>
        <w:ind w:firstLine="480" w:firstLineChars="200"/>
        <w:rPr>
          <w:rFonts w:hAnsi="宋体"/>
          <w:sz w:val="24"/>
        </w:rPr>
      </w:pPr>
      <w:r>
        <w:rPr>
          <w:rFonts w:hint="eastAsia" w:hAnsi="宋体"/>
          <w:sz w:val="24"/>
        </w:rPr>
        <w:t>中信银行坚持服务实体经济，稳健经营，与时俱进。经过30余年的发展，中信银行已成为一家总资产规模超8万亿元、员工人数近6万名，具有强大综合实力和品牌竞争力的金融集团。2021年，中信银行在英国《银行家》杂志“全球银行品牌500强排行榜”中排名第16位；中信银行一级资本在英国《银行家》杂志“世界1000家银行排名”中排名第24位。</w:t>
      </w:r>
    </w:p>
    <w:p>
      <w:pPr>
        <w:widowControl/>
        <w:adjustRightInd w:val="0"/>
        <w:snapToGrid w:val="0"/>
        <w:spacing w:line="360" w:lineRule="auto"/>
        <w:ind w:firstLine="480" w:firstLineChars="200"/>
        <w:outlineLvl w:val="2"/>
        <w:rPr>
          <w:rFonts w:hAnsi="宋体"/>
          <w:sz w:val="24"/>
        </w:rPr>
      </w:pPr>
      <w:r>
        <w:rPr>
          <w:rFonts w:hint="eastAsia" w:hAnsi="宋体"/>
          <w:sz w:val="24"/>
        </w:rPr>
        <w:t>2、主要人员情况</w:t>
      </w:r>
    </w:p>
    <w:p>
      <w:pPr>
        <w:widowControl/>
        <w:adjustRightInd w:val="0"/>
        <w:snapToGrid w:val="0"/>
        <w:spacing w:line="360" w:lineRule="auto"/>
        <w:ind w:firstLine="480" w:firstLineChars="200"/>
        <w:rPr>
          <w:rFonts w:hAnsi="宋体"/>
          <w:sz w:val="24"/>
        </w:rPr>
      </w:pPr>
      <w:r>
        <w:rPr>
          <w:rFonts w:hint="eastAsia" w:hAnsi="宋体"/>
          <w:sz w:val="24"/>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担任信银（香港）投资有限公司、中信银行（国际）有限公司及中信国际金融控股有限公司董事。此前，方先生于2013年5月至2015年1月任中信银行金融市场业务总监，2014年5月至2014年9月兼任中信银行杭州分行党委书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pPr>
        <w:widowControl/>
        <w:adjustRightInd w:val="0"/>
        <w:snapToGrid w:val="0"/>
        <w:spacing w:line="360" w:lineRule="auto"/>
        <w:ind w:firstLine="480" w:firstLineChars="200"/>
        <w:rPr>
          <w:rFonts w:hAnsi="宋体"/>
          <w:sz w:val="24"/>
        </w:rPr>
      </w:pPr>
      <w:r>
        <w:rPr>
          <w:rFonts w:hint="eastAsia" w:hAnsi="宋体"/>
          <w:sz w:val="24"/>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pPr>
        <w:widowControl/>
        <w:adjustRightInd w:val="0"/>
        <w:snapToGrid w:val="0"/>
        <w:spacing w:line="360" w:lineRule="auto"/>
        <w:ind w:firstLine="480" w:firstLineChars="200"/>
        <w:rPr>
          <w:rFonts w:hAnsi="宋体"/>
          <w:sz w:val="24"/>
        </w:rPr>
      </w:pPr>
      <w:r>
        <w:rPr>
          <w:rFonts w:hint="eastAsia"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pPr>
        <w:widowControl/>
        <w:adjustRightInd w:val="0"/>
        <w:snapToGrid w:val="0"/>
        <w:spacing w:line="360" w:lineRule="auto"/>
        <w:ind w:firstLine="480" w:firstLineChars="200"/>
        <w:outlineLvl w:val="2"/>
        <w:rPr>
          <w:rFonts w:hAnsi="宋体"/>
          <w:sz w:val="24"/>
        </w:rPr>
      </w:pPr>
      <w:r>
        <w:rPr>
          <w:rFonts w:hint="eastAsia" w:hAnsi="宋体"/>
          <w:sz w:val="24"/>
        </w:rPr>
        <w:t>3、基金托管业务经营情况</w:t>
      </w:r>
    </w:p>
    <w:p>
      <w:pPr>
        <w:widowControl/>
        <w:adjustRightInd w:val="0"/>
        <w:snapToGrid w:val="0"/>
        <w:spacing w:line="360" w:lineRule="auto"/>
        <w:ind w:firstLine="480" w:firstLineChars="200"/>
        <w:rPr>
          <w:rFonts w:hAnsi="宋体"/>
          <w:sz w:val="24"/>
        </w:rPr>
      </w:pPr>
      <w:r>
        <w:rPr>
          <w:rFonts w:hint="eastAsia" w:hAnsi="宋体"/>
          <w:sz w:val="24"/>
        </w:rPr>
        <w:t>2004 年8 月18 日，中信银行经中国证券监督管理委员会和中国银行业监督管理委员会批准，取得基金托管人资格。中信银行本着“诚实信用、勤勉尽责”的原则，切实履行托管人职责。</w:t>
      </w:r>
    </w:p>
    <w:p>
      <w:pPr>
        <w:widowControl/>
        <w:adjustRightInd w:val="0"/>
        <w:snapToGrid w:val="0"/>
        <w:spacing w:line="360" w:lineRule="auto"/>
        <w:ind w:firstLine="480" w:firstLineChars="200"/>
        <w:rPr>
          <w:rFonts w:hAnsi="宋体"/>
          <w:sz w:val="24"/>
        </w:rPr>
      </w:pPr>
      <w:r>
        <w:rPr>
          <w:rFonts w:hint="eastAsia" w:hAnsi="宋体"/>
          <w:sz w:val="24"/>
        </w:rPr>
        <w:t>截至2022年一季度末，中信银行托管268只公开募集证券投资基金，以及基金公司、证券公司资产管理产品、信托产品、企业年金、股权基金、QDII等其他托管资产，托管总规模达到11.8万亿元人民币。。</w:t>
      </w:r>
    </w:p>
    <w:p>
      <w:pPr>
        <w:adjustRightInd w:val="0"/>
        <w:snapToGrid w:val="0"/>
        <w:spacing w:line="360" w:lineRule="auto"/>
        <w:ind w:firstLine="482" w:firstLineChars="200"/>
        <w:outlineLvl w:val="1"/>
        <w:rPr>
          <w:b/>
          <w:sz w:val="24"/>
          <w:szCs w:val="24"/>
        </w:rPr>
      </w:pPr>
      <w:r>
        <w:rPr>
          <w:rFonts w:hint="eastAsia"/>
          <w:b/>
          <w:sz w:val="24"/>
          <w:szCs w:val="24"/>
        </w:rPr>
        <w:t>（二）基金托管人的内部风险控制制度说明</w:t>
      </w:r>
    </w:p>
    <w:p>
      <w:pPr>
        <w:adjustRightInd w:val="0"/>
        <w:snapToGrid w:val="0"/>
        <w:spacing w:line="360" w:lineRule="auto"/>
        <w:ind w:firstLine="480" w:firstLineChars="200"/>
        <w:rPr>
          <w:kern w:val="0"/>
          <w:sz w:val="24"/>
          <w:szCs w:val="24"/>
        </w:rPr>
      </w:pPr>
      <w:r>
        <w:rPr>
          <w:rFonts w:hint="eastAsia"/>
          <w:kern w:val="0"/>
          <w:sz w:val="24"/>
          <w:szCs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pPr>
        <w:adjustRightInd w:val="0"/>
        <w:snapToGrid w:val="0"/>
        <w:spacing w:line="360" w:lineRule="auto"/>
        <w:ind w:firstLine="480" w:firstLineChars="200"/>
        <w:rPr>
          <w:kern w:val="0"/>
          <w:sz w:val="24"/>
          <w:szCs w:val="24"/>
        </w:rPr>
      </w:pPr>
      <w:r>
        <w:rPr>
          <w:rFonts w:hint="eastAsia"/>
          <w:kern w:val="0"/>
          <w:sz w:val="24"/>
          <w:szCs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pPr>
        <w:adjustRightInd w:val="0"/>
        <w:snapToGrid w:val="0"/>
        <w:spacing w:line="360" w:lineRule="auto"/>
        <w:ind w:firstLine="480" w:firstLineChars="200"/>
        <w:rPr>
          <w:kern w:val="0"/>
          <w:sz w:val="24"/>
          <w:szCs w:val="24"/>
        </w:rPr>
      </w:pPr>
      <w:r>
        <w:rPr>
          <w:rFonts w:hint="eastAsia"/>
          <w:kern w:val="0"/>
          <w:sz w:val="24"/>
          <w:szCs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pPr>
        <w:adjustRightInd w:val="0"/>
        <w:snapToGrid w:val="0"/>
        <w:spacing w:line="360" w:lineRule="auto"/>
        <w:ind w:firstLine="465"/>
        <w:rPr>
          <w:rFonts w:hAnsi="宋体"/>
          <w:sz w:val="24"/>
        </w:rPr>
      </w:pPr>
      <w:r>
        <w:rPr>
          <w:rFonts w:hint="eastAsia"/>
          <w:kern w:val="0"/>
          <w:sz w:val="24"/>
          <w:szCs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pPr>
        <w:adjustRightInd w:val="0"/>
        <w:snapToGrid w:val="0"/>
        <w:spacing w:line="360" w:lineRule="auto"/>
        <w:ind w:firstLine="465"/>
        <w:outlineLvl w:val="1"/>
        <w:rPr>
          <w:rFonts w:hAnsi="宋体"/>
          <w:b/>
          <w:sz w:val="24"/>
        </w:rPr>
      </w:pPr>
      <w:r>
        <w:rPr>
          <w:rFonts w:hint="eastAsia" w:hAnsi="宋体"/>
          <w:b/>
          <w:sz w:val="24"/>
        </w:rPr>
        <w:t>（</w:t>
      </w:r>
      <w:r>
        <w:rPr>
          <w:rFonts w:hint="eastAsia"/>
          <w:b/>
          <w:sz w:val="24"/>
          <w:szCs w:val="24"/>
        </w:rPr>
        <w:t>三</w:t>
      </w:r>
      <w:r>
        <w:rPr>
          <w:rFonts w:hint="eastAsia" w:hAnsi="宋体"/>
          <w:b/>
          <w:sz w:val="24"/>
        </w:rPr>
        <w:t>）基金托管人对基金管理人运作基金进行监督的方法和程序</w:t>
      </w:r>
    </w:p>
    <w:p>
      <w:pPr>
        <w:adjustRightInd w:val="0"/>
        <w:snapToGrid w:val="0"/>
        <w:spacing w:line="360" w:lineRule="auto"/>
        <w:ind w:firstLine="465"/>
        <w:rPr>
          <w:rFonts w:hAnsi="宋体"/>
          <w:sz w:val="24"/>
        </w:rPr>
      </w:pPr>
      <w:r>
        <w:rPr>
          <w:rFonts w:hint="eastAsia"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pPr>
        <w:adjustRightInd w:val="0"/>
        <w:snapToGrid w:val="0"/>
        <w:spacing w:line="360" w:lineRule="auto"/>
        <w:ind w:firstLine="465"/>
        <w:rPr>
          <w:rFonts w:hAnsi="宋体"/>
          <w:sz w:val="24"/>
        </w:rPr>
      </w:pPr>
      <w:r>
        <w:rPr>
          <w:rFonts w:hint="eastAsia"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pPr>
        <w:widowControl/>
        <w:adjustRightInd w:val="0"/>
        <w:snapToGrid w:val="0"/>
        <w:spacing w:line="360" w:lineRule="auto"/>
        <w:ind w:firstLine="480" w:firstLineChars="200"/>
        <w:rPr>
          <w:kern w:val="0"/>
          <w:sz w:val="24"/>
          <w:szCs w:val="24"/>
        </w:rPr>
      </w:pP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4" w:name="_Toc109537383"/>
      <w:r>
        <w:rPr>
          <w:rFonts w:ascii="宋体" w:hAnsi="宋体"/>
          <w:b/>
          <w:kern w:val="0"/>
          <w:sz w:val="30"/>
        </w:rPr>
        <w:br w:type="page"/>
      </w:r>
      <w:bookmarkStart w:id="15" w:name="_Toc56690585"/>
      <w:bookmarkStart w:id="16" w:name="_Toc6394"/>
      <w:r>
        <w:rPr>
          <w:rFonts w:hint="eastAsia" w:ascii="宋体" w:hAnsi="宋体"/>
          <w:b/>
          <w:kern w:val="0"/>
          <w:sz w:val="30"/>
        </w:rPr>
        <w:t>五、相关服务机构</w:t>
      </w:r>
      <w:bookmarkEnd w:id="14"/>
      <w:bookmarkEnd w:id="15"/>
      <w:bookmarkEnd w:id="16"/>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（1）中信银行股份有限公司</w:t>
      </w:r>
    </w:p>
    <w:p>
      <w:pPr>
        <w:adjustRightInd w:val="0"/>
        <w:snapToGrid w:val="0"/>
        <w:spacing w:line="360" w:lineRule="auto"/>
        <w:ind w:firstLine="480" w:firstLineChars="200"/>
        <w:rPr>
          <w:rFonts w:hAnsi="宋体"/>
          <w:sz w:val="24"/>
        </w:rPr>
      </w:pPr>
      <w:r>
        <w:rPr>
          <w:rFonts w:hint="eastAsia" w:hAnsi="宋体"/>
          <w:sz w:val="24"/>
        </w:rPr>
        <w:t>住所：北京市朝阳区光华路10号院1号楼中信大厦</w:t>
      </w:r>
    </w:p>
    <w:p>
      <w:pPr>
        <w:adjustRightInd w:val="0"/>
        <w:snapToGrid w:val="0"/>
        <w:spacing w:line="360" w:lineRule="auto"/>
        <w:ind w:firstLine="480" w:firstLineChars="200"/>
        <w:rPr>
          <w:rFonts w:hAnsi="宋体"/>
          <w:sz w:val="24"/>
        </w:rPr>
      </w:pPr>
      <w:r>
        <w:rPr>
          <w:rFonts w:hint="eastAsia" w:hAnsi="宋体"/>
          <w:sz w:val="24"/>
        </w:rPr>
        <w:t>办公地址：北京市朝阳区光华路10号院1号楼中信大厦</w:t>
      </w:r>
    </w:p>
    <w:p>
      <w:pPr>
        <w:adjustRightInd w:val="0"/>
        <w:snapToGrid w:val="0"/>
        <w:spacing w:line="360" w:lineRule="auto"/>
        <w:ind w:firstLine="480" w:firstLineChars="200"/>
        <w:rPr>
          <w:rFonts w:hAnsi="宋体"/>
          <w:sz w:val="24"/>
        </w:rPr>
      </w:pPr>
      <w:r>
        <w:rPr>
          <w:rFonts w:hint="eastAsia" w:hAnsi="宋体"/>
          <w:sz w:val="24"/>
        </w:rPr>
        <w:t>法定代表人：朱鹤新</w:t>
      </w:r>
    </w:p>
    <w:p>
      <w:pPr>
        <w:adjustRightInd w:val="0"/>
        <w:snapToGrid w:val="0"/>
        <w:spacing w:line="360" w:lineRule="auto"/>
        <w:ind w:firstLine="480" w:firstLineChars="200"/>
        <w:rPr>
          <w:rFonts w:hAnsi="宋体"/>
          <w:sz w:val="24"/>
        </w:rPr>
      </w:pPr>
      <w:r>
        <w:rPr>
          <w:rFonts w:hint="eastAsia" w:hAnsi="宋体"/>
          <w:sz w:val="24"/>
        </w:rPr>
        <w:t>电话：（010）89936330</w:t>
      </w:r>
    </w:p>
    <w:p>
      <w:pPr>
        <w:adjustRightInd w:val="0"/>
        <w:snapToGrid w:val="0"/>
        <w:spacing w:line="360" w:lineRule="auto"/>
        <w:ind w:firstLine="480" w:firstLineChars="200"/>
        <w:rPr>
          <w:rFonts w:hAnsi="宋体"/>
          <w:sz w:val="24"/>
        </w:rPr>
      </w:pPr>
      <w:r>
        <w:rPr>
          <w:rFonts w:hint="eastAsia" w:hAnsi="宋体"/>
          <w:sz w:val="24"/>
        </w:rPr>
        <w:t>传真：（010）85230024</w:t>
      </w:r>
    </w:p>
    <w:p>
      <w:pPr>
        <w:adjustRightInd w:val="0"/>
        <w:snapToGrid w:val="0"/>
        <w:spacing w:line="360" w:lineRule="auto"/>
        <w:ind w:firstLine="480" w:firstLineChars="200"/>
        <w:rPr>
          <w:rFonts w:hAnsi="宋体"/>
          <w:sz w:val="24"/>
        </w:rPr>
      </w:pPr>
      <w:r>
        <w:rPr>
          <w:rFonts w:hint="eastAsia" w:hAnsi="宋体"/>
          <w:sz w:val="24"/>
        </w:rPr>
        <w:t>联系人：丰靖</w:t>
      </w:r>
    </w:p>
    <w:p>
      <w:pPr>
        <w:adjustRightInd w:val="0"/>
        <w:snapToGrid w:val="0"/>
        <w:spacing w:line="360" w:lineRule="auto"/>
        <w:ind w:firstLine="480" w:firstLineChars="200"/>
        <w:rPr>
          <w:rFonts w:hAnsi="宋体"/>
          <w:sz w:val="24"/>
        </w:rPr>
      </w:pPr>
      <w:r>
        <w:rPr>
          <w:rFonts w:hint="eastAsia" w:hAnsi="宋体"/>
          <w:sz w:val="24"/>
        </w:rPr>
        <w:t>客户服务电话：95558</w:t>
      </w:r>
    </w:p>
    <w:p>
      <w:pPr>
        <w:adjustRightInd w:val="0"/>
        <w:snapToGrid w:val="0"/>
        <w:spacing w:line="360" w:lineRule="auto"/>
        <w:ind w:firstLine="480" w:firstLineChars="200"/>
        <w:rPr>
          <w:rFonts w:hAnsi="宋体"/>
          <w:sz w:val="24"/>
        </w:rPr>
      </w:pPr>
      <w:r>
        <w:rPr>
          <w:rFonts w:hint="eastAsia" w:hAnsi="宋体"/>
          <w:sz w:val="24"/>
        </w:rPr>
        <w:t>网址：bank.ecitic.com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联系人：高天</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w:t>
      </w:r>
      <w:r>
        <w:rPr>
          <w:rFonts w:hint="eastAsia"/>
          <w:bCs/>
          <w:sz w:val="24"/>
        </w:rPr>
        <w:t>并在基金管理人网站公示</w:t>
      </w:r>
      <w:r>
        <w:rPr>
          <w:rFonts w:hint="eastAsia" w:hAnsi="宋体"/>
          <w:sz w:val="24"/>
        </w:rPr>
        <w:t>。</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rPr>
          <w:kern w:val="0"/>
          <w:sz w:val="24"/>
        </w:rPr>
      </w:pPr>
      <w:r>
        <w:rPr>
          <w:rFonts w:hint="eastAsia"/>
          <w:kern w:val="0"/>
          <w:sz w:val="24"/>
        </w:rPr>
        <w:t>名称：普华永道中天会计师事务所（特殊普通合伙）</w:t>
      </w:r>
    </w:p>
    <w:p>
      <w:pPr>
        <w:widowControl/>
        <w:adjustRightInd w:val="0"/>
        <w:snapToGrid w:val="0"/>
        <w:spacing w:line="360" w:lineRule="auto"/>
        <w:ind w:firstLine="480"/>
        <w:rPr>
          <w:kern w:val="0"/>
          <w:sz w:val="24"/>
        </w:rPr>
      </w:pPr>
      <w:r>
        <w:rPr>
          <w:rFonts w:hint="eastAsia"/>
          <w:kern w:val="0"/>
          <w:sz w:val="24"/>
        </w:rPr>
        <w:t>住所：中国</w:t>
      </w:r>
      <w:r>
        <w:rPr>
          <w:kern w:val="0"/>
          <w:sz w:val="24"/>
        </w:rPr>
        <w:t>(</w:t>
      </w:r>
      <w:r>
        <w:rPr>
          <w:rFonts w:hint="eastAsia"/>
          <w:kern w:val="0"/>
          <w:sz w:val="24"/>
        </w:rPr>
        <w:t>上海</w:t>
      </w:r>
      <w:r>
        <w:rPr>
          <w:kern w:val="0"/>
          <w:sz w:val="24"/>
        </w:rPr>
        <w:t>)</w:t>
      </w:r>
      <w:r>
        <w:rPr>
          <w:rFonts w:hint="eastAsia"/>
          <w:kern w:val="0"/>
          <w:sz w:val="24"/>
        </w:rPr>
        <w:t>自由贸易试验区陆家嘴环路</w:t>
      </w:r>
      <w:r>
        <w:rPr>
          <w:kern w:val="0"/>
          <w:sz w:val="24"/>
        </w:rPr>
        <w:t>1318</w:t>
      </w:r>
      <w:r>
        <w:rPr>
          <w:rFonts w:hint="eastAsia"/>
          <w:kern w:val="0"/>
          <w:sz w:val="24"/>
        </w:rPr>
        <w:t>号星展银行大厦</w:t>
      </w:r>
      <w:r>
        <w:rPr>
          <w:kern w:val="0"/>
          <w:sz w:val="24"/>
        </w:rPr>
        <w:t>507</w:t>
      </w:r>
      <w:r>
        <w:rPr>
          <w:rFonts w:hint="eastAsia"/>
          <w:kern w:val="0"/>
          <w:sz w:val="24"/>
        </w:rPr>
        <w:t>单元</w:t>
      </w:r>
      <w:r>
        <w:rPr>
          <w:kern w:val="0"/>
          <w:sz w:val="24"/>
        </w:rPr>
        <w:t>01</w:t>
      </w:r>
      <w:r>
        <w:rPr>
          <w:rFonts w:hint="eastAsia"/>
          <w:kern w:val="0"/>
          <w:sz w:val="24"/>
        </w:rPr>
        <w:t>室</w:t>
      </w:r>
    </w:p>
    <w:p>
      <w:pPr>
        <w:widowControl/>
        <w:adjustRightInd w:val="0"/>
        <w:snapToGrid w:val="0"/>
        <w:spacing w:line="360" w:lineRule="auto"/>
        <w:ind w:firstLine="480"/>
        <w:rPr>
          <w:kern w:val="0"/>
          <w:sz w:val="24"/>
        </w:rPr>
      </w:pPr>
      <w:r>
        <w:rPr>
          <w:rFonts w:hint="eastAsia"/>
          <w:kern w:val="0"/>
          <w:sz w:val="24"/>
        </w:rPr>
        <w:t>办公地址：中国上海市浦东新区东育路588号前滩中心42楼</w:t>
      </w:r>
    </w:p>
    <w:p>
      <w:pPr>
        <w:widowControl/>
        <w:adjustRightInd w:val="0"/>
        <w:snapToGrid w:val="0"/>
        <w:spacing w:line="360" w:lineRule="auto"/>
        <w:ind w:firstLine="480"/>
        <w:rPr>
          <w:kern w:val="0"/>
          <w:sz w:val="24"/>
        </w:rPr>
      </w:pPr>
      <w:r>
        <w:rPr>
          <w:rFonts w:hint="eastAsia"/>
          <w:kern w:val="0"/>
          <w:sz w:val="24"/>
        </w:rPr>
        <w:t>执行事务合伙人：李丹</w:t>
      </w:r>
    </w:p>
    <w:p>
      <w:pPr>
        <w:widowControl/>
        <w:adjustRightInd w:val="0"/>
        <w:snapToGrid w:val="0"/>
        <w:spacing w:line="360" w:lineRule="auto"/>
        <w:ind w:firstLine="480"/>
        <w:rPr>
          <w:kern w:val="0"/>
          <w:sz w:val="24"/>
        </w:rPr>
      </w:pPr>
      <w:r>
        <w:rPr>
          <w:rFonts w:hint="eastAsia"/>
          <w:kern w:val="0"/>
          <w:sz w:val="24"/>
        </w:rPr>
        <w:t>电话：（</w:t>
      </w:r>
      <w:r>
        <w:rPr>
          <w:kern w:val="0"/>
          <w:sz w:val="24"/>
        </w:rPr>
        <w:t>021</w:t>
      </w:r>
      <w:r>
        <w:rPr>
          <w:rFonts w:hint="eastAsia"/>
          <w:kern w:val="0"/>
          <w:sz w:val="24"/>
        </w:rPr>
        <w:t>）</w:t>
      </w:r>
      <w:r>
        <w:rPr>
          <w:kern w:val="0"/>
          <w:sz w:val="24"/>
        </w:rPr>
        <w:t>23238888</w:t>
      </w:r>
    </w:p>
    <w:p>
      <w:pPr>
        <w:widowControl/>
        <w:adjustRightInd w:val="0"/>
        <w:snapToGrid w:val="0"/>
        <w:spacing w:line="360" w:lineRule="auto"/>
        <w:ind w:firstLine="480"/>
        <w:rPr>
          <w:kern w:val="0"/>
          <w:sz w:val="24"/>
        </w:rPr>
      </w:pPr>
      <w:r>
        <w:rPr>
          <w:rFonts w:hint="eastAsia"/>
          <w:kern w:val="0"/>
          <w:sz w:val="24"/>
        </w:rPr>
        <w:t>传真：（</w:t>
      </w:r>
      <w:r>
        <w:rPr>
          <w:kern w:val="0"/>
          <w:sz w:val="24"/>
        </w:rPr>
        <w:t>021</w:t>
      </w:r>
      <w:r>
        <w:rPr>
          <w:rFonts w:hint="eastAsia"/>
          <w:kern w:val="0"/>
          <w:sz w:val="24"/>
        </w:rPr>
        <w:t>）</w:t>
      </w:r>
      <w:r>
        <w:rPr>
          <w:kern w:val="0"/>
          <w:sz w:val="24"/>
        </w:rPr>
        <w:t>23238800</w:t>
      </w:r>
    </w:p>
    <w:p>
      <w:pPr>
        <w:widowControl/>
        <w:adjustRightInd w:val="0"/>
        <w:snapToGrid w:val="0"/>
        <w:spacing w:line="360" w:lineRule="auto"/>
        <w:ind w:firstLine="480"/>
        <w:rPr>
          <w:kern w:val="0"/>
          <w:sz w:val="24"/>
        </w:rPr>
      </w:pPr>
      <w:r>
        <w:rPr>
          <w:rFonts w:hint="eastAsia"/>
          <w:kern w:val="0"/>
          <w:sz w:val="24"/>
        </w:rPr>
        <w:t>联系人：金诗涛</w:t>
      </w:r>
    </w:p>
    <w:p>
      <w:pPr>
        <w:widowControl/>
        <w:adjustRightInd w:val="0"/>
        <w:snapToGrid w:val="0"/>
        <w:spacing w:line="360" w:lineRule="auto"/>
        <w:ind w:firstLine="480"/>
        <w:rPr>
          <w:kern w:val="0"/>
          <w:sz w:val="24"/>
        </w:rPr>
      </w:pPr>
      <w:r>
        <w:rPr>
          <w:rFonts w:hint="eastAsia"/>
          <w:kern w:val="0"/>
          <w:sz w:val="24"/>
        </w:rPr>
        <w:t>经办注册会计师：童咏静、金诗涛</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r>
        <w:rPr>
          <w:rFonts w:ascii="宋体" w:hAnsi="宋体"/>
          <w:b/>
          <w:kern w:val="0"/>
          <w:sz w:val="30"/>
        </w:rPr>
        <w:br w:type="page"/>
      </w:r>
      <w:bookmarkStart w:id="17" w:name="_Toc28713"/>
      <w:bookmarkStart w:id="18" w:name="_Toc56690586"/>
      <w:r>
        <w:rPr>
          <w:rFonts w:hint="eastAsia" w:ascii="宋体" w:hAnsi="宋体"/>
          <w:b/>
          <w:kern w:val="0"/>
          <w:sz w:val="30"/>
        </w:rPr>
        <w:t>六、基金的募集</w:t>
      </w:r>
      <w:bookmarkEnd w:id="17"/>
      <w:bookmarkEnd w:id="18"/>
    </w:p>
    <w:p>
      <w:pPr>
        <w:widowControl/>
        <w:adjustRightInd w:val="0"/>
        <w:snapToGrid w:val="0"/>
        <w:spacing w:line="360" w:lineRule="auto"/>
        <w:ind w:firstLine="482" w:firstLineChars="200"/>
        <w:outlineLvl w:val="1"/>
        <w:rPr>
          <w:b/>
          <w:kern w:val="0"/>
          <w:sz w:val="24"/>
        </w:rPr>
      </w:pPr>
      <w:r>
        <w:rPr>
          <w:b/>
          <w:kern w:val="0"/>
          <w:sz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rPr>
        <w:t>2022年1月29日</w:t>
      </w:r>
      <w:r>
        <w:rPr>
          <w:kern w:val="0"/>
          <w:sz w:val="24"/>
        </w:rPr>
        <w:t>证监许可</w:t>
      </w:r>
      <w:r>
        <w:rPr>
          <w:rFonts w:hint="eastAsia"/>
          <w:kern w:val="0"/>
          <w:sz w:val="24"/>
        </w:rPr>
        <w:t>【2</w:t>
      </w:r>
      <w:r>
        <w:rPr>
          <w:kern w:val="0"/>
          <w:sz w:val="24"/>
        </w:rPr>
        <w:t>02</w:t>
      </w:r>
      <w:r>
        <w:rPr>
          <w:rFonts w:hint="eastAsia"/>
          <w:kern w:val="0"/>
          <w:sz w:val="24"/>
        </w:rPr>
        <w:t>2</w:t>
      </w:r>
      <w:r>
        <w:rPr>
          <w:kern w:val="0"/>
          <w:sz w:val="24"/>
        </w:rPr>
        <w:t>】</w:t>
      </w:r>
      <w:r>
        <w:rPr>
          <w:rFonts w:hint="eastAsia"/>
          <w:kern w:val="0"/>
          <w:sz w:val="24"/>
        </w:rPr>
        <w:t>275</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widowControl/>
        <w:adjustRightInd w:val="0"/>
        <w:snapToGrid w:val="0"/>
        <w:spacing w:line="360" w:lineRule="auto"/>
        <w:ind w:firstLine="482" w:firstLineChars="200"/>
        <w:outlineLvl w:val="1"/>
        <w:rPr>
          <w:b/>
          <w:kern w:val="0"/>
          <w:sz w:val="24"/>
        </w:rPr>
      </w:pPr>
      <w:r>
        <w:rPr>
          <w:b/>
          <w:kern w:val="0"/>
          <w:sz w:val="24"/>
        </w:rPr>
        <w:t>（二）基金类</w:t>
      </w:r>
      <w:r>
        <w:rPr>
          <w:rFonts w:hint="eastAsia"/>
          <w:b/>
          <w:kern w:val="0"/>
          <w:sz w:val="24"/>
        </w:rPr>
        <w:t>别</w:t>
      </w:r>
    </w:p>
    <w:p>
      <w:pPr>
        <w:widowControl/>
        <w:adjustRightInd w:val="0"/>
        <w:snapToGrid w:val="0"/>
        <w:spacing w:line="360" w:lineRule="auto"/>
        <w:ind w:firstLine="480" w:firstLineChars="200"/>
        <w:rPr>
          <w:kern w:val="0"/>
          <w:sz w:val="24"/>
        </w:rPr>
      </w:pPr>
      <w:r>
        <w:rPr>
          <w:rFonts w:hint="eastAsia"/>
          <w:kern w:val="0"/>
          <w:sz w:val="24"/>
        </w:rPr>
        <w:t>混合型基金中基金（FOF）</w:t>
      </w:r>
    </w:p>
    <w:p>
      <w:pPr>
        <w:widowControl/>
        <w:adjustRightInd w:val="0"/>
        <w:snapToGrid w:val="0"/>
        <w:spacing w:line="360" w:lineRule="auto"/>
        <w:ind w:firstLine="482" w:firstLineChars="200"/>
        <w:outlineLvl w:val="1"/>
        <w:rPr>
          <w:b/>
          <w:kern w:val="0"/>
          <w:sz w:val="24"/>
        </w:rPr>
      </w:pPr>
      <w:r>
        <w:rPr>
          <w:b/>
          <w:kern w:val="0"/>
          <w:sz w:val="24"/>
        </w:rPr>
        <w:t>（三）基金运作方式</w:t>
      </w:r>
    </w:p>
    <w:p>
      <w:pPr>
        <w:widowControl/>
        <w:adjustRightInd w:val="0"/>
        <w:snapToGrid w:val="0"/>
        <w:spacing w:line="360" w:lineRule="auto"/>
        <w:ind w:firstLine="480"/>
        <w:rPr>
          <w:kern w:val="0"/>
          <w:sz w:val="24"/>
        </w:rPr>
      </w:pPr>
      <w:r>
        <w:rPr>
          <w:kern w:val="0"/>
          <w:sz w:val="24"/>
        </w:rPr>
        <w:t>契约型开放式</w:t>
      </w:r>
    </w:p>
    <w:p>
      <w:pPr>
        <w:widowControl/>
        <w:adjustRightInd w:val="0"/>
        <w:snapToGrid w:val="0"/>
        <w:spacing w:line="360" w:lineRule="auto"/>
        <w:ind w:firstLine="480"/>
        <w:rPr>
          <w:kern w:val="0"/>
          <w:sz w:val="24"/>
        </w:rPr>
      </w:pPr>
      <w:r>
        <w:rPr>
          <w:rFonts w:hint="eastAsia"/>
          <w:bCs/>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widowControl/>
        <w:adjustRightInd w:val="0"/>
        <w:snapToGrid w:val="0"/>
        <w:spacing w:line="360" w:lineRule="auto"/>
        <w:ind w:firstLine="482" w:firstLineChars="200"/>
        <w:outlineLvl w:val="1"/>
        <w:rPr>
          <w:b/>
          <w:kern w:val="0"/>
          <w:sz w:val="24"/>
        </w:rPr>
      </w:pPr>
      <w:r>
        <w:rPr>
          <w:b/>
          <w:kern w:val="0"/>
          <w:sz w:val="24"/>
        </w:rPr>
        <w:t>（四）基金存续期限</w:t>
      </w:r>
    </w:p>
    <w:p>
      <w:pPr>
        <w:widowControl/>
        <w:adjustRightInd w:val="0"/>
        <w:snapToGrid w:val="0"/>
        <w:spacing w:line="360" w:lineRule="auto"/>
        <w:ind w:firstLine="480"/>
        <w:rPr>
          <w:kern w:val="0"/>
          <w:sz w:val="24"/>
        </w:rPr>
      </w:pPr>
      <w:r>
        <w:rPr>
          <w:kern w:val="0"/>
          <w:sz w:val="24"/>
        </w:rPr>
        <w:t>不定期</w:t>
      </w:r>
    </w:p>
    <w:p>
      <w:pPr>
        <w:widowControl/>
        <w:adjustRightInd w:val="0"/>
        <w:snapToGrid w:val="0"/>
        <w:spacing w:line="360" w:lineRule="auto"/>
        <w:ind w:firstLine="482" w:firstLineChars="200"/>
        <w:outlineLvl w:val="1"/>
        <w:rPr>
          <w:b/>
          <w:kern w:val="0"/>
          <w:sz w:val="24"/>
        </w:rPr>
      </w:pPr>
      <w:r>
        <w:rPr>
          <w:b/>
          <w:kern w:val="0"/>
          <w:sz w:val="24"/>
        </w:rPr>
        <w:t>（</w:t>
      </w:r>
      <w:r>
        <w:rPr>
          <w:rFonts w:hint="eastAsia"/>
          <w:b/>
          <w:kern w:val="0"/>
          <w:sz w:val="24"/>
        </w:rPr>
        <w:t>五</w:t>
      </w:r>
      <w:r>
        <w:rPr>
          <w:b/>
          <w:kern w:val="0"/>
          <w:sz w:val="24"/>
        </w:rPr>
        <w:t>）基金</w:t>
      </w:r>
      <w:r>
        <w:rPr>
          <w:rFonts w:hint="eastAsia"/>
          <w:b/>
          <w:kern w:val="0"/>
          <w:sz w:val="24"/>
        </w:rPr>
        <w:t>份额类别</w:t>
      </w:r>
    </w:p>
    <w:p>
      <w:pPr>
        <w:widowControl/>
        <w:adjustRightInd w:val="0"/>
        <w:snapToGrid w:val="0"/>
        <w:spacing w:line="360" w:lineRule="auto"/>
        <w:ind w:firstLine="480"/>
        <w:rPr>
          <w:kern w:val="0"/>
          <w:sz w:val="24"/>
        </w:rPr>
      </w:pPr>
      <w:r>
        <w:rPr>
          <w:rFonts w:hint="eastAsia"/>
          <w:kern w:val="0"/>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widowControl/>
        <w:adjustRightInd w:val="0"/>
        <w:snapToGrid w:val="0"/>
        <w:spacing w:line="360" w:lineRule="auto"/>
        <w:ind w:firstLine="480"/>
        <w:rPr>
          <w:kern w:val="0"/>
          <w:sz w:val="24"/>
        </w:rPr>
      </w:pPr>
      <w:r>
        <w:rPr>
          <w:rFonts w:hint="eastAsia"/>
          <w:kern w:val="0"/>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widowControl/>
        <w:adjustRightInd w:val="0"/>
        <w:snapToGrid w:val="0"/>
        <w:spacing w:line="360" w:lineRule="auto"/>
        <w:ind w:firstLine="480"/>
        <w:rPr>
          <w:kern w:val="0"/>
          <w:sz w:val="24"/>
        </w:rPr>
      </w:pPr>
      <w:r>
        <w:rPr>
          <w:rFonts w:hint="eastAsia"/>
          <w:kern w:val="0"/>
          <w:sz w:val="24"/>
        </w:rPr>
        <w:t>在不违反法律法规、基金合同的约定以及对基金份额持有人利益无实质性不利影响的情况下，根据基金实际运作情况，基金管理人和基金托管人协商后，可增加、减少或调整基金份额类别设置、对基金份额分类办法及规则进行调整并在调整实施前依照《信息披露办法》的有关规定在规定媒介上公告，而无需召开基金份额持有人大会。</w:t>
      </w:r>
    </w:p>
    <w:p>
      <w:pPr>
        <w:widowControl/>
        <w:adjustRightInd w:val="0"/>
        <w:snapToGrid w:val="0"/>
        <w:spacing w:line="360" w:lineRule="auto"/>
        <w:ind w:firstLine="482" w:firstLineChars="200"/>
        <w:outlineLvl w:val="1"/>
        <w:rPr>
          <w:b/>
          <w:kern w:val="0"/>
          <w:sz w:val="24"/>
        </w:rPr>
      </w:pPr>
      <w:r>
        <w:rPr>
          <w:b/>
          <w:kern w:val="0"/>
          <w:sz w:val="24"/>
        </w:rPr>
        <w:t>（</w:t>
      </w:r>
      <w:r>
        <w:rPr>
          <w:rFonts w:hint="eastAsia"/>
          <w:b/>
          <w:kern w:val="0"/>
          <w:sz w:val="24"/>
        </w:rPr>
        <w:t>六</w:t>
      </w:r>
      <w:r>
        <w:rPr>
          <w:b/>
          <w:kern w:val="0"/>
          <w:sz w:val="24"/>
        </w:rPr>
        <w:t>）基金份额的认购</w:t>
      </w:r>
    </w:p>
    <w:p>
      <w:pPr>
        <w:adjustRightInd w:val="0"/>
        <w:snapToGrid w:val="0"/>
        <w:spacing w:line="360" w:lineRule="auto"/>
        <w:ind w:firstLine="480" w:firstLineChars="200"/>
        <w:rPr>
          <w:i/>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pPr>
        <w:spacing w:line="360" w:lineRule="auto"/>
        <w:ind w:firstLine="480" w:firstLineChars="200"/>
        <w:outlineLvl w:val="2"/>
        <w:rPr>
          <w:kern w:val="0"/>
          <w:sz w:val="24"/>
        </w:rPr>
      </w:pPr>
      <w:r>
        <w:rPr>
          <w:kern w:val="0"/>
          <w:sz w:val="24"/>
        </w:rPr>
        <w:t>1、基金份额的发售时间、方式和对象</w:t>
      </w:r>
    </w:p>
    <w:p>
      <w:pPr>
        <w:widowControl/>
        <w:adjustRightInd w:val="0"/>
        <w:snapToGrid w:val="0"/>
        <w:spacing w:line="360" w:lineRule="auto"/>
        <w:ind w:firstLine="480" w:firstLineChars="200"/>
        <w:rPr>
          <w:kern w:val="0"/>
          <w:sz w:val="24"/>
        </w:rPr>
      </w:pPr>
      <w:r>
        <w:rPr>
          <w:kern w:val="0"/>
          <w:sz w:val="24"/>
        </w:rPr>
        <w:t>（1）募集期限：自基金份额发售之日起不超过3个月。本</w:t>
      </w:r>
      <w:r>
        <w:rPr>
          <w:rFonts w:hAnsi="宋体"/>
          <w:kern w:val="0"/>
          <w:sz w:val="24"/>
        </w:rPr>
        <w:t>基金自</w:t>
      </w:r>
      <w:r>
        <w:rPr>
          <w:rFonts w:hint="eastAsia"/>
          <w:kern w:val="0"/>
          <w:sz w:val="24"/>
        </w:rPr>
        <w:t>2022年7月11日</w:t>
      </w:r>
      <w:r>
        <w:rPr>
          <w:rFonts w:hAnsi="宋体"/>
          <w:kern w:val="0"/>
          <w:sz w:val="24"/>
        </w:rPr>
        <w:t>起至</w:t>
      </w:r>
      <w:r>
        <w:rPr>
          <w:rFonts w:hint="eastAsia"/>
          <w:kern w:val="0"/>
          <w:sz w:val="24"/>
        </w:rPr>
        <w:t>2022年7月27日</w:t>
      </w:r>
      <w:r>
        <w:rPr>
          <w:kern w:val="0"/>
          <w:sz w:val="24"/>
        </w:rPr>
        <w:t>止通过销售机构公开发售（详见基金份额发售公告及</w:t>
      </w:r>
      <w:r>
        <w:rPr>
          <w:rFonts w:hint="eastAsia"/>
          <w:kern w:val="0"/>
          <w:sz w:val="24"/>
        </w:rPr>
        <w:t>销售</w:t>
      </w:r>
      <w:r>
        <w:rPr>
          <w:kern w:val="0"/>
          <w:sz w:val="24"/>
        </w:rPr>
        <w:t>机构相关公告）。</w:t>
      </w:r>
      <w:r>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widowControl/>
        <w:adjustRightInd w:val="0"/>
        <w:snapToGrid w:val="0"/>
        <w:spacing w:line="360" w:lineRule="auto"/>
        <w:ind w:firstLine="480" w:firstLineChars="200"/>
        <w:rPr>
          <w:rStyle w:val="31"/>
          <w:color w:val="auto"/>
          <w:kern w:val="0"/>
          <w:sz w:val="24"/>
          <w:u w:val="none"/>
        </w:rPr>
      </w:pPr>
      <w:r>
        <w:rPr>
          <w:kern w:val="0"/>
          <w:sz w:val="24"/>
        </w:rPr>
        <w:t>（2）销售渠道：</w:t>
      </w:r>
      <w:r>
        <w:rPr>
          <w:rFonts w:hint="eastAsia"/>
          <w:kern w:val="0"/>
          <w:sz w:val="24"/>
        </w:rPr>
        <w:t>销售机构</w:t>
      </w:r>
      <w:r>
        <w:rPr>
          <w:kern w:val="0"/>
          <w:sz w:val="24"/>
        </w:rPr>
        <w:t>具体名单见基金份额发售公告</w:t>
      </w:r>
      <w:r>
        <w:rPr>
          <w:rFonts w:hint="eastAsia"/>
          <w:kern w:val="0"/>
          <w:sz w:val="24"/>
        </w:rPr>
        <w:t>以及基金管理人网站</w:t>
      </w:r>
      <w:r>
        <w:rPr>
          <w:rStyle w:val="31"/>
          <w:color w:val="auto"/>
          <w:kern w:val="0"/>
          <w:sz w:val="24"/>
          <w:u w:val="none"/>
        </w:rPr>
        <w:t>。</w:t>
      </w:r>
    </w:p>
    <w:p>
      <w:pPr>
        <w:widowControl/>
        <w:adjustRightInd w:val="0"/>
        <w:snapToGrid w:val="0"/>
        <w:spacing w:line="360" w:lineRule="auto"/>
        <w:ind w:firstLine="480" w:firstLineChars="200"/>
        <w:rPr>
          <w:kern w:val="0"/>
          <w:sz w:val="24"/>
        </w:rPr>
      </w:pPr>
      <w:r>
        <w:rPr>
          <w:kern w:val="0"/>
          <w:sz w:val="24"/>
        </w:rPr>
        <w:t>（3）销售对象：符合法律法规规定的可投资于证券投资基金的个人投资者、机构投资者</w:t>
      </w:r>
      <w:r>
        <w:rPr>
          <w:rFonts w:hint="eastAsia"/>
          <w:kern w:val="0"/>
          <w:sz w:val="24"/>
        </w:rPr>
        <w:t>、</w:t>
      </w:r>
      <w:r>
        <w:rPr>
          <w:kern w:val="0"/>
          <w:sz w:val="24"/>
        </w:rPr>
        <w:t>合格境外投资者以及法律法规或中国证监会允许购买证券投资基金的其他投资人。</w:t>
      </w:r>
    </w:p>
    <w:p>
      <w:pPr>
        <w:adjustRightInd w:val="0"/>
        <w:snapToGrid w:val="0"/>
        <w:spacing w:line="360" w:lineRule="auto"/>
        <w:ind w:firstLine="480" w:firstLineChars="200"/>
        <w:outlineLvl w:val="2"/>
        <w:rPr>
          <w:kern w:val="0"/>
          <w:sz w:val="24"/>
        </w:rPr>
      </w:pPr>
      <w:r>
        <w:rPr>
          <w:kern w:val="0"/>
          <w:sz w:val="24"/>
        </w:rPr>
        <w:t>2、基金份额的认购和持有限制</w:t>
      </w:r>
    </w:p>
    <w:p>
      <w:pPr>
        <w:widowControl/>
        <w:adjustRightInd w:val="0"/>
        <w:snapToGrid w:val="0"/>
        <w:spacing w:line="360" w:lineRule="auto"/>
        <w:ind w:firstLine="480" w:firstLineChars="200"/>
        <w:rPr>
          <w:kern w:val="0"/>
          <w:sz w:val="24"/>
        </w:rPr>
      </w:pPr>
      <w:r>
        <w:rPr>
          <w:kern w:val="0"/>
          <w:sz w:val="24"/>
        </w:rPr>
        <w:t>（1）</w:t>
      </w:r>
      <w:r>
        <w:rPr>
          <w:sz w:val="24"/>
          <w:szCs w:val="21"/>
        </w:rPr>
        <w:t>基金份额的认购</w:t>
      </w:r>
      <w:r>
        <w:rPr>
          <w:kern w:val="0"/>
          <w:sz w:val="24"/>
        </w:rPr>
        <w:t>采用金额认购方式。</w:t>
      </w:r>
    </w:p>
    <w:p>
      <w:pPr>
        <w:widowControl/>
        <w:adjustRightInd w:val="0"/>
        <w:snapToGrid w:val="0"/>
        <w:spacing w:line="360" w:lineRule="auto"/>
        <w:ind w:firstLine="480" w:firstLineChars="200"/>
        <w:rPr>
          <w:kern w:val="0"/>
          <w:sz w:val="24"/>
        </w:rPr>
      </w:pPr>
      <w:r>
        <w:rPr>
          <w:kern w:val="0"/>
          <w:sz w:val="24"/>
        </w:rPr>
        <w:t>（2）投资人认购基金份额采用全额缴款的认购方式。</w:t>
      </w:r>
      <w:r>
        <w:rPr>
          <w:sz w:val="24"/>
          <w:szCs w:val="21"/>
        </w:rPr>
        <w:t>投资人认购</w:t>
      </w:r>
      <w:r>
        <w:rPr>
          <w:rFonts w:hint="eastAsia"/>
          <w:sz w:val="24"/>
          <w:szCs w:val="21"/>
        </w:rPr>
        <w:t>时</w:t>
      </w:r>
      <w:r>
        <w:rPr>
          <w:sz w:val="24"/>
          <w:szCs w:val="21"/>
        </w:rPr>
        <w:t>，需按销售机构规定的方式备足认购的金额。</w:t>
      </w:r>
    </w:p>
    <w:p>
      <w:pPr>
        <w:widowControl/>
        <w:adjustRightInd w:val="0"/>
        <w:snapToGrid w:val="0"/>
        <w:spacing w:line="360" w:lineRule="auto"/>
        <w:ind w:firstLine="480" w:firstLineChars="200"/>
        <w:rPr>
          <w:kern w:val="0"/>
          <w:sz w:val="24"/>
        </w:rPr>
      </w:pPr>
      <w:r>
        <w:rPr>
          <w:kern w:val="0"/>
          <w:sz w:val="24"/>
        </w:rPr>
        <w:t>（3）投资人在募集期内可以多次认购基金份额，认购</w:t>
      </w:r>
      <w:r>
        <w:rPr>
          <w:rFonts w:hint="eastAsia"/>
          <w:kern w:val="0"/>
          <w:sz w:val="24"/>
        </w:rPr>
        <w:t>申请</w:t>
      </w:r>
      <w:r>
        <w:rPr>
          <w:kern w:val="0"/>
          <w:sz w:val="24"/>
        </w:rPr>
        <w:t>一经登记机构受理不得撤销。</w:t>
      </w:r>
    </w:p>
    <w:p>
      <w:pPr>
        <w:widowControl/>
        <w:adjustRightInd w:val="0"/>
        <w:snapToGrid w:val="0"/>
        <w:spacing w:line="360" w:lineRule="auto"/>
        <w:ind w:firstLine="480" w:firstLineChars="200"/>
        <w:rPr>
          <w:kern w:val="0"/>
          <w:sz w:val="24"/>
        </w:rPr>
      </w:pPr>
      <w:r>
        <w:rPr>
          <w:kern w:val="0"/>
          <w:sz w:val="24"/>
        </w:rPr>
        <w:t>（4）直销机构接受首次认购申请的最低金额为单笔100,000元，追加认购的最低金额为单笔10,000元；已在直销机构有认购或申购过本基金管理人管理的其他基金记录的投资人不受首次认购最低金额的限制。通过</w:t>
      </w:r>
      <w:r>
        <w:rPr>
          <w:rFonts w:hint="eastAsia"/>
          <w:kern w:val="0"/>
          <w:sz w:val="24"/>
        </w:rPr>
        <w:t>基金管理人</w:t>
      </w:r>
      <w:r>
        <w:rPr>
          <w:kern w:val="0"/>
          <w:sz w:val="24"/>
        </w:rPr>
        <w:t>网上直销交易平台办理本基金认购业务的不受直销机构最低认购金额的限制，认购最低金额为单笔1元。本基金直销机构单笔认购最低金额可由基金管理人酌情调整。</w:t>
      </w:r>
      <w:r>
        <w:rPr>
          <w:rFonts w:hint="eastAsia"/>
          <w:kern w:val="0"/>
          <w:sz w:val="24"/>
        </w:rPr>
        <w:t>其他销售</w:t>
      </w:r>
      <w:r>
        <w:rPr>
          <w:kern w:val="0"/>
          <w:sz w:val="24"/>
        </w:rPr>
        <w:t>机构接受认购申请的最低金额为单笔1元，如果</w:t>
      </w:r>
      <w:r>
        <w:rPr>
          <w:rFonts w:hint="eastAsia"/>
          <w:kern w:val="0"/>
          <w:sz w:val="24"/>
        </w:rPr>
        <w:t>销售</w:t>
      </w:r>
      <w:r>
        <w:rPr>
          <w:kern w:val="0"/>
          <w:sz w:val="24"/>
        </w:rPr>
        <w:t>机构业务规则规定的最低单笔认购金额高于1元，以</w:t>
      </w:r>
      <w:r>
        <w:rPr>
          <w:rFonts w:hint="eastAsia"/>
          <w:kern w:val="0"/>
          <w:sz w:val="24"/>
        </w:rPr>
        <w:t>该销售</w:t>
      </w:r>
      <w:r>
        <w:rPr>
          <w:kern w:val="0"/>
          <w:sz w:val="24"/>
        </w:rPr>
        <w:t>机构的规定为准。</w:t>
      </w:r>
    </w:p>
    <w:p>
      <w:pPr>
        <w:widowControl/>
        <w:adjustRightInd w:val="0"/>
        <w:snapToGrid w:val="0"/>
        <w:spacing w:line="360" w:lineRule="auto"/>
        <w:ind w:firstLine="480" w:firstLineChars="200"/>
        <w:rPr>
          <w:kern w:val="0"/>
          <w:sz w:val="24"/>
        </w:rPr>
      </w:pPr>
      <w:r>
        <w:rPr>
          <w:kern w:val="0"/>
          <w:sz w:val="24"/>
        </w:rPr>
        <w:t>（5）</w:t>
      </w:r>
      <w:r>
        <w:rPr>
          <w:rFonts w:hint="eastAsia"/>
          <w:kern w:val="0"/>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widowControl/>
        <w:adjustRightInd w:val="0"/>
        <w:snapToGrid w:val="0"/>
        <w:spacing w:line="360" w:lineRule="auto"/>
        <w:ind w:firstLine="480" w:firstLineChars="200"/>
        <w:outlineLvl w:val="2"/>
        <w:rPr>
          <w:kern w:val="0"/>
          <w:sz w:val="24"/>
        </w:rPr>
      </w:pPr>
      <w:r>
        <w:rPr>
          <w:kern w:val="0"/>
          <w:sz w:val="24"/>
        </w:rPr>
        <w:t>3、基金份额的认购费用、认购价格及认购份额的计算公式</w:t>
      </w:r>
    </w:p>
    <w:p>
      <w:pPr>
        <w:widowControl/>
        <w:adjustRightInd w:val="0"/>
        <w:snapToGrid w:val="0"/>
        <w:spacing w:line="360" w:lineRule="auto"/>
        <w:ind w:firstLine="480" w:firstLineChars="200"/>
        <w:rPr>
          <w:kern w:val="0"/>
          <w:sz w:val="24"/>
        </w:rPr>
      </w:pPr>
      <w:r>
        <w:rPr>
          <w:kern w:val="0"/>
          <w:sz w:val="24"/>
        </w:rPr>
        <w:t>（1）认购价格：本基金份额的认购价</w:t>
      </w:r>
      <w:r>
        <w:rPr>
          <w:sz w:val="24"/>
        </w:rPr>
        <w:t>格为1.00元/</w:t>
      </w:r>
      <w:r>
        <w:rPr>
          <w:kern w:val="0"/>
          <w:sz w:val="24"/>
        </w:rPr>
        <w:t>份。</w:t>
      </w:r>
    </w:p>
    <w:p>
      <w:pPr>
        <w:widowControl/>
        <w:adjustRightInd w:val="0"/>
        <w:snapToGrid w:val="0"/>
        <w:spacing w:line="360" w:lineRule="auto"/>
        <w:ind w:firstLine="480" w:firstLineChars="200"/>
        <w:rPr>
          <w:kern w:val="0"/>
          <w:sz w:val="24"/>
        </w:rPr>
      </w:pPr>
      <w:r>
        <w:rPr>
          <w:kern w:val="0"/>
          <w:sz w:val="24"/>
        </w:rPr>
        <w:t>（2）认购费率</w:t>
      </w:r>
      <w:r>
        <w:rPr>
          <w:rFonts w:hint="eastAsia"/>
          <w:kern w:val="0"/>
          <w:sz w:val="24"/>
        </w:rPr>
        <w:t>：</w:t>
      </w:r>
      <w:r>
        <w:rPr>
          <w:kern w:val="0"/>
          <w:sz w:val="24"/>
        </w:rPr>
        <w:t>募集期投资人可以多次认购本基金，认购费</w:t>
      </w:r>
      <w:r>
        <w:rPr>
          <w:rFonts w:hint="eastAsia"/>
          <w:kern w:val="0"/>
          <w:sz w:val="24"/>
        </w:rPr>
        <w:t>用</w:t>
      </w:r>
      <w:r>
        <w:rPr>
          <w:kern w:val="0"/>
          <w:sz w:val="24"/>
        </w:rPr>
        <w:t>按每笔认购申请单独计算。</w:t>
      </w:r>
      <w:r>
        <w:rPr>
          <w:rFonts w:hint="eastAsia"/>
          <w:kern w:val="0"/>
          <w:sz w:val="24"/>
        </w:rPr>
        <w:t>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本基金A类</w:t>
      </w:r>
      <w:r>
        <w:rPr>
          <w:rFonts w:hint="eastAsia"/>
          <w:kern w:val="0"/>
          <w:sz w:val="24"/>
        </w:rPr>
        <w:t>基金份额（非养老金客户）的</w:t>
      </w:r>
      <w:r>
        <w:rPr>
          <w:kern w:val="0"/>
          <w:sz w:val="24"/>
        </w:rPr>
        <w:t>认购费率如下表：</w:t>
      </w:r>
    </w:p>
    <w:tbl>
      <w:tblPr>
        <w:tblStyle w:val="28"/>
        <w:tblW w:w="74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14"/>
        <w:gridCol w:w="30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4414" w:type="dxa"/>
            <w:shd w:val="clear" w:color="auto" w:fill="FFFFFF"/>
            <w:vAlign w:val="center"/>
          </w:tcPr>
          <w:p>
            <w:pPr>
              <w:adjustRightInd w:val="0"/>
              <w:snapToGrid w:val="0"/>
              <w:jc w:val="center"/>
              <w:rPr>
                <w:b/>
                <w:sz w:val="24"/>
              </w:rPr>
            </w:pPr>
            <w:r>
              <w:rPr>
                <w:b/>
                <w:sz w:val="24"/>
              </w:rPr>
              <w:t>认购金额（含认购费）</w:t>
            </w:r>
          </w:p>
        </w:tc>
        <w:tc>
          <w:tcPr>
            <w:tcW w:w="3002" w:type="dxa"/>
            <w:shd w:val="clear" w:color="auto" w:fill="FFFFFF"/>
            <w:vAlign w:val="center"/>
          </w:tcPr>
          <w:p>
            <w:pPr>
              <w:adjustRightInd w:val="0"/>
              <w:snapToGrid w:val="0"/>
              <w:jc w:val="center"/>
              <w:rPr>
                <w:b/>
                <w:sz w:val="24"/>
              </w:rPr>
            </w:pPr>
            <w:r>
              <w:rPr>
                <w:rFonts w:hint="eastAsia"/>
                <w:b/>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100万元以下</w:t>
            </w:r>
          </w:p>
        </w:tc>
        <w:tc>
          <w:tcPr>
            <w:tcW w:w="3002" w:type="dxa"/>
          </w:tcPr>
          <w:p>
            <w:pPr>
              <w:adjustRightInd w:val="0"/>
              <w:snapToGrid w:val="0"/>
              <w:jc w:val="center"/>
              <w:rPr>
                <w:sz w:val="24"/>
              </w:rPr>
            </w:pPr>
            <w:r>
              <w:rPr>
                <w:sz w:val="24"/>
              </w:rPr>
              <w:t>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100万元（含）至</w:t>
            </w:r>
            <w:r>
              <w:rPr>
                <w:rFonts w:hint="eastAsia"/>
                <w:sz w:val="24"/>
              </w:rPr>
              <w:t>5</w:t>
            </w:r>
            <w:r>
              <w:rPr>
                <w:sz w:val="24"/>
              </w:rPr>
              <w:t>00万元</w:t>
            </w:r>
          </w:p>
        </w:tc>
        <w:tc>
          <w:tcPr>
            <w:tcW w:w="3002" w:type="dxa"/>
          </w:tcPr>
          <w:p>
            <w:pPr>
              <w:adjustRightInd w:val="0"/>
              <w:snapToGrid w:val="0"/>
              <w:jc w:val="center"/>
              <w:rPr>
                <w:sz w:val="24"/>
              </w:rPr>
            </w:pPr>
            <w:r>
              <w:rPr>
                <w:sz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500万元以上（含500万元）</w:t>
            </w:r>
          </w:p>
        </w:tc>
        <w:tc>
          <w:tcPr>
            <w:tcW w:w="3002" w:type="dxa"/>
          </w:tcPr>
          <w:p>
            <w:pPr>
              <w:adjustRightInd w:val="0"/>
              <w:snapToGrid w:val="0"/>
              <w:jc w:val="center"/>
              <w:rPr>
                <w:sz w:val="24"/>
              </w:rPr>
            </w:pPr>
            <w:r>
              <w:rPr>
                <w:sz w:val="24"/>
              </w:rPr>
              <w:t>每笔交易1000元</w:t>
            </w:r>
          </w:p>
        </w:tc>
      </w:tr>
    </w:tbl>
    <w:p>
      <w:pPr>
        <w:widowControl/>
        <w:adjustRightInd w:val="0"/>
        <w:snapToGrid w:val="0"/>
        <w:spacing w:line="360" w:lineRule="auto"/>
        <w:ind w:firstLine="480" w:firstLineChars="200"/>
        <w:rPr>
          <w:kern w:val="0"/>
          <w:sz w:val="24"/>
        </w:rPr>
      </w:pPr>
    </w:p>
    <w:p>
      <w:pPr>
        <w:widowControl/>
        <w:adjustRightInd w:val="0"/>
        <w:snapToGrid w:val="0"/>
        <w:spacing w:line="360" w:lineRule="auto"/>
        <w:ind w:firstLine="480" w:firstLineChars="200"/>
        <w:rPr>
          <w:kern w:val="0"/>
          <w:sz w:val="24"/>
        </w:rPr>
      </w:pPr>
      <w:r>
        <w:rPr>
          <w:rFonts w:hAnsi="宋体"/>
          <w:kern w:val="0"/>
          <w:sz w:val="24"/>
        </w:rPr>
        <w:t>本基金对通过基金管理人直销柜台</w:t>
      </w:r>
      <w:r>
        <w:rPr>
          <w:rFonts w:hint="eastAsia" w:hAnsi="宋体"/>
          <w:kern w:val="0"/>
          <w:sz w:val="24"/>
        </w:rPr>
        <w:t>认</w:t>
      </w:r>
      <w:r>
        <w:rPr>
          <w:rFonts w:hAnsi="宋体"/>
          <w:kern w:val="0"/>
          <w:sz w:val="24"/>
        </w:rPr>
        <w:t>购</w:t>
      </w:r>
      <w:r>
        <w:rPr>
          <w:rFonts w:hint="eastAsia" w:hAnsi="宋体"/>
          <w:kern w:val="0"/>
          <w:sz w:val="24"/>
        </w:rPr>
        <w:t>A类基金份额</w:t>
      </w:r>
      <w:r>
        <w:rPr>
          <w:rFonts w:hAnsi="宋体"/>
          <w:kern w:val="0"/>
          <w:sz w:val="24"/>
        </w:rPr>
        <w:t>的养老金客户</w:t>
      </w:r>
      <w:r>
        <w:rPr>
          <w:rFonts w:hint="eastAsia" w:hAnsi="宋体"/>
          <w:kern w:val="0"/>
          <w:sz w:val="24"/>
        </w:rPr>
        <w:t>与除此之外的其他投资者</w:t>
      </w:r>
      <w:r>
        <w:rPr>
          <w:rFonts w:hAnsi="宋体"/>
          <w:kern w:val="0"/>
          <w:sz w:val="24"/>
        </w:rPr>
        <w:t>实施</w:t>
      </w:r>
      <w:r>
        <w:rPr>
          <w:rFonts w:hint="eastAsia" w:hAnsi="宋体"/>
          <w:kern w:val="0"/>
          <w:sz w:val="24"/>
        </w:rPr>
        <w:t>差别的认购费率</w:t>
      </w:r>
      <w:r>
        <w:rPr>
          <w:rFonts w:hint="eastAsia"/>
        </w:rPr>
        <w:t>。</w:t>
      </w:r>
      <w:r>
        <w:rPr>
          <w:rFonts w:hAnsi="宋体"/>
          <w:kern w:val="0"/>
          <w:sz w:val="24"/>
        </w:rPr>
        <w:t>养老金客户包括基本养老基金与依法成立的养老计划筹集的资金及其投资运营收益形成的补充养老基金等，具体包括：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rPr>
      </w:pPr>
      <w:r>
        <w:rPr>
          <w:kern w:val="0"/>
          <w:sz w:val="24"/>
        </w:rPr>
        <w:t>1</w:t>
      </w:r>
      <w:r>
        <w:rPr>
          <w:rFonts w:hint="eastAsia" w:hAnsi="宋体"/>
          <w:kern w:val="0"/>
          <w:sz w:val="24"/>
        </w:rPr>
        <w:t>）</w:t>
      </w:r>
      <w:r>
        <w:rPr>
          <w:rFonts w:hAnsi="宋体"/>
          <w:kern w:val="0"/>
          <w:sz w:val="24"/>
        </w:rPr>
        <w:t>全国社会保障基金；</w:t>
      </w:r>
    </w:p>
    <w:p>
      <w:pPr>
        <w:widowControl/>
        <w:adjustRightInd w:val="0"/>
        <w:snapToGrid w:val="0"/>
        <w:spacing w:line="360" w:lineRule="auto"/>
        <w:ind w:firstLine="480" w:firstLineChars="200"/>
        <w:rPr>
          <w:kern w:val="0"/>
          <w:sz w:val="24"/>
        </w:rPr>
      </w:pPr>
      <w:r>
        <w:rPr>
          <w:kern w:val="0"/>
          <w:sz w:val="24"/>
        </w:rPr>
        <w:t>2</w:t>
      </w:r>
      <w:r>
        <w:rPr>
          <w:rFonts w:hint="eastAsia" w:hAnsi="宋体"/>
          <w:kern w:val="0"/>
          <w:sz w:val="24"/>
        </w:rPr>
        <w:t>）</w:t>
      </w:r>
      <w:r>
        <w:rPr>
          <w:rFonts w:hAnsi="宋体"/>
          <w:kern w:val="0"/>
          <w:sz w:val="24"/>
        </w:rPr>
        <w:t>可以投资基金的地方社会保障基金；</w:t>
      </w:r>
    </w:p>
    <w:p>
      <w:pPr>
        <w:widowControl/>
        <w:adjustRightInd w:val="0"/>
        <w:snapToGrid w:val="0"/>
        <w:spacing w:line="360" w:lineRule="auto"/>
        <w:ind w:firstLine="480" w:firstLineChars="200"/>
        <w:rPr>
          <w:rFonts w:hAnsi="宋体"/>
          <w:kern w:val="0"/>
          <w:sz w:val="24"/>
        </w:rPr>
      </w:pPr>
      <w:r>
        <w:rPr>
          <w:kern w:val="0"/>
          <w:sz w:val="24"/>
        </w:rPr>
        <w:t>3</w:t>
      </w:r>
      <w:r>
        <w:rPr>
          <w:rFonts w:hint="eastAsia" w:hAnsi="宋体"/>
          <w:kern w:val="0"/>
          <w:sz w:val="24"/>
        </w:rPr>
        <w:t>）</w:t>
      </w:r>
      <w:r>
        <w:rPr>
          <w:rFonts w:hAnsi="宋体"/>
          <w:kern w:val="0"/>
          <w:sz w:val="24"/>
        </w:rPr>
        <w:t>企业年金单一计划以及集合计划</w:t>
      </w:r>
      <w:r>
        <w:rPr>
          <w:rFonts w:hint="eastAsia" w:hAnsi="宋体"/>
          <w:kern w:val="0"/>
          <w:sz w:val="24"/>
        </w:rPr>
        <w:t>；</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）企业年金理事会委托的特定客户资产管理计划；</w:t>
      </w:r>
    </w:p>
    <w:p>
      <w:pPr>
        <w:widowControl/>
        <w:adjustRightInd w:val="0"/>
        <w:snapToGrid w:val="0"/>
        <w:spacing w:line="360" w:lineRule="auto"/>
        <w:ind w:firstLine="480" w:firstLineChars="200"/>
        <w:rPr>
          <w:kern w:val="0"/>
          <w:sz w:val="24"/>
        </w:rPr>
      </w:pPr>
      <w:r>
        <w:rPr>
          <w:rFonts w:hAnsi="宋体"/>
          <w:kern w:val="0"/>
          <w:sz w:val="24"/>
        </w:rPr>
        <w:t>5</w:t>
      </w:r>
      <w:r>
        <w:rPr>
          <w:rFonts w:hint="eastAsia" w:hAnsi="宋体"/>
          <w:kern w:val="0"/>
          <w:sz w:val="24"/>
        </w:rPr>
        <w:t>）企业年金养老金产品</w:t>
      </w:r>
      <w:r>
        <w:rPr>
          <w:rFonts w:hAnsi="宋体"/>
          <w:kern w:val="0"/>
          <w:sz w:val="24"/>
        </w:rPr>
        <w:t>。</w:t>
      </w:r>
    </w:p>
    <w:p>
      <w:pPr>
        <w:widowControl/>
        <w:adjustRightInd w:val="0"/>
        <w:snapToGrid w:val="0"/>
        <w:spacing w:line="360" w:lineRule="auto"/>
        <w:ind w:firstLine="480" w:firstLineChars="200"/>
        <w:rPr>
          <w:rFonts w:hAnsi="宋体"/>
          <w:kern w:val="0"/>
          <w:sz w:val="24"/>
        </w:rPr>
      </w:pPr>
      <w:r>
        <w:rPr>
          <w:rFonts w:hAnsi="宋体"/>
          <w:kern w:val="0"/>
          <w:sz w:val="24"/>
        </w:rPr>
        <w:t>如将来出现经养老基金监管部门认可的新的养老基金类型，</w:t>
      </w:r>
      <w:r>
        <w:rPr>
          <w:rFonts w:hint="eastAsia" w:hAnsi="宋体"/>
          <w:kern w:val="0"/>
          <w:sz w:val="24"/>
        </w:rPr>
        <w:t>基金管理人可在招募说明书更新或</w:t>
      </w:r>
      <w:r>
        <w:rPr>
          <w:rFonts w:hAnsi="宋体"/>
          <w:kern w:val="0"/>
          <w:sz w:val="24"/>
        </w:rPr>
        <w:t>发布临时公告将其纳入养老金客户范围。</w:t>
      </w:r>
    </w:p>
    <w:p>
      <w:pPr>
        <w:widowControl/>
        <w:adjustRightInd w:val="0"/>
        <w:snapToGrid w:val="0"/>
        <w:spacing w:line="360" w:lineRule="auto"/>
        <w:ind w:firstLine="480" w:firstLineChars="200"/>
        <w:rPr>
          <w:sz w:val="24"/>
        </w:rPr>
      </w:pPr>
      <w:r>
        <w:rPr>
          <w:rFonts w:hint="eastAsia"/>
          <w:sz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w:t>
            </w:r>
            <w:r>
              <w:rPr>
                <w:rFonts w:hAnsi="宋体"/>
                <w:sz w:val="24"/>
              </w:rPr>
              <w:t>万元以下</w:t>
            </w:r>
          </w:p>
        </w:tc>
        <w:tc>
          <w:tcPr>
            <w:tcW w:w="3767" w:type="dxa"/>
            <w:vAlign w:val="center"/>
          </w:tcPr>
          <w:p>
            <w:pPr>
              <w:adjustRightInd w:val="0"/>
              <w:snapToGrid w:val="0"/>
              <w:jc w:val="center"/>
              <w:rPr>
                <w:sz w:val="24"/>
              </w:rPr>
            </w:pPr>
            <w:r>
              <w:rPr>
                <w:rFonts w:hint="eastAsia"/>
                <w:sz w:val="24"/>
              </w:rPr>
              <w:t>0.</w:t>
            </w:r>
            <w:r>
              <w:rPr>
                <w:sz w:val="24"/>
              </w:rPr>
              <w:t>40</w:t>
            </w:r>
            <w:r>
              <w:rPr>
                <w:rFonts w:hint="eastAsia"/>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100万元（含）至</w:t>
            </w:r>
            <w:r>
              <w:rPr>
                <w:rFonts w:hint="eastAsia"/>
                <w:sz w:val="24"/>
              </w:rPr>
              <w:t>5</w:t>
            </w:r>
            <w:r>
              <w:rPr>
                <w:sz w:val="24"/>
              </w:rPr>
              <w:t>00万元</w:t>
            </w:r>
          </w:p>
        </w:tc>
        <w:tc>
          <w:tcPr>
            <w:tcW w:w="3767" w:type="dxa"/>
          </w:tcPr>
          <w:p>
            <w:pPr>
              <w:adjustRightInd w:val="0"/>
              <w:snapToGrid w:val="0"/>
              <w:jc w:val="center"/>
              <w:rPr>
                <w:rFonts w:hAnsi="宋体"/>
                <w:sz w:val="24"/>
              </w:rPr>
            </w:pPr>
            <w:r>
              <w:rPr>
                <w:rFonts w:hint="eastAsia"/>
                <w:sz w:val="24"/>
              </w:rPr>
              <w:t>0.</w:t>
            </w: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767"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kern w:val="0"/>
          <w:sz w:val="24"/>
        </w:rPr>
      </w:pPr>
    </w:p>
    <w:p>
      <w:pPr>
        <w:widowControl/>
        <w:adjustRightInd w:val="0"/>
        <w:snapToGrid w:val="0"/>
        <w:spacing w:line="360" w:lineRule="auto"/>
        <w:ind w:firstLine="480" w:firstLineChars="200"/>
        <w:rPr>
          <w:kern w:val="0"/>
          <w:sz w:val="24"/>
        </w:rPr>
      </w:pPr>
      <w:r>
        <w:rPr>
          <w:rFonts w:hint="eastAsia"/>
          <w:kern w:val="0"/>
          <w:sz w:val="24"/>
        </w:rPr>
        <w:t>本基金A类基金份额的认购费用由认购A类基金份额的投资人承担，</w:t>
      </w:r>
      <w:r>
        <w:rPr>
          <w:kern w:val="0"/>
          <w:sz w:val="24"/>
        </w:rPr>
        <w:t>认购费用不列入基金财产，主要用于基金的市场推广、销售、登记等募集期间发生的各项费用。</w:t>
      </w:r>
    </w:p>
    <w:p>
      <w:pPr>
        <w:widowControl/>
        <w:adjustRightInd w:val="0"/>
        <w:snapToGrid w:val="0"/>
        <w:spacing w:line="360" w:lineRule="auto"/>
        <w:ind w:firstLine="480" w:firstLineChars="200"/>
        <w:rPr>
          <w:kern w:val="0"/>
          <w:sz w:val="24"/>
        </w:rPr>
      </w:pPr>
      <w:r>
        <w:rPr>
          <w:kern w:val="0"/>
          <w:sz w:val="24"/>
        </w:rPr>
        <w:t>（3）认购份额的计算</w:t>
      </w:r>
    </w:p>
    <w:p>
      <w:pPr>
        <w:widowControl/>
        <w:adjustRightInd w:val="0"/>
        <w:snapToGrid w:val="0"/>
        <w:spacing w:line="360" w:lineRule="auto"/>
        <w:ind w:firstLine="480" w:firstLineChars="200"/>
        <w:rPr>
          <w:color w:val="000000"/>
          <w:kern w:val="0"/>
          <w:sz w:val="24"/>
        </w:rPr>
      </w:pPr>
      <w:r>
        <w:rPr>
          <w:rFonts w:hint="eastAsia"/>
          <w:color w:val="000000"/>
          <w:kern w:val="0"/>
          <w:sz w:val="24"/>
        </w:rPr>
        <w:t>1）A类基金份额的认购</w:t>
      </w:r>
    </w:p>
    <w:p>
      <w:pPr>
        <w:widowControl/>
        <w:adjustRightInd w:val="0"/>
        <w:snapToGrid w:val="0"/>
        <w:spacing w:line="360" w:lineRule="auto"/>
        <w:ind w:firstLine="480" w:firstLineChars="200"/>
        <w:rPr>
          <w:sz w:val="24"/>
        </w:rPr>
      </w:pPr>
      <w:r>
        <w:rPr>
          <w:rFonts w:hint="eastAsia"/>
          <w:color w:val="000000"/>
          <w:kern w:val="0"/>
          <w:sz w:val="24"/>
        </w:rPr>
        <w:t>基金认购采用</w:t>
      </w:r>
      <w:r>
        <w:rPr>
          <w:sz w:val="24"/>
        </w:rPr>
        <w:t>金额</w:t>
      </w:r>
      <w:r>
        <w:rPr>
          <w:rFonts w:hint="eastAsia"/>
          <w:color w:val="000000"/>
          <w:kern w:val="0"/>
          <w:sz w:val="24"/>
        </w:rPr>
        <w:t>认购的方式。基金的认购</w:t>
      </w:r>
      <w:r>
        <w:rPr>
          <w:sz w:val="24"/>
        </w:rPr>
        <w:t>金额</w:t>
      </w:r>
      <w:r>
        <w:rPr>
          <w:rFonts w:hint="eastAsia"/>
          <w:color w:val="000000"/>
          <w:kern w:val="0"/>
          <w:sz w:val="24"/>
        </w:rPr>
        <w:t>包括认购费用和净认购金额。计算公式为：</w:t>
      </w:r>
    </w:p>
    <w:p>
      <w:pPr>
        <w:widowControl/>
        <w:adjustRightInd w:val="0"/>
        <w:snapToGrid w:val="0"/>
        <w:spacing w:line="360" w:lineRule="auto"/>
        <w:ind w:firstLine="480" w:firstLineChars="200"/>
        <w:rPr>
          <w:sz w:val="24"/>
        </w:rPr>
      </w:pPr>
      <w:r>
        <w:rPr>
          <w:sz w:val="24"/>
        </w:rPr>
        <w:t>认购总金额=申请总金额</w:t>
      </w:r>
    </w:p>
    <w:p>
      <w:pPr>
        <w:widowControl/>
        <w:adjustRightInd w:val="0"/>
        <w:snapToGrid w:val="0"/>
        <w:spacing w:line="360" w:lineRule="auto"/>
        <w:ind w:firstLine="480" w:firstLineChars="200"/>
        <w:rPr>
          <w:sz w:val="24"/>
        </w:rPr>
      </w:pPr>
      <w:r>
        <w:rPr>
          <w:sz w:val="24"/>
        </w:rPr>
        <w:t>净认购金额=认购总金额/（1+认购费率）</w:t>
      </w:r>
    </w:p>
    <w:p>
      <w:pPr>
        <w:widowControl/>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widowControl/>
        <w:adjustRightInd w:val="0"/>
        <w:snapToGrid w:val="0"/>
        <w:spacing w:line="360" w:lineRule="auto"/>
        <w:ind w:firstLine="480" w:firstLineChars="200"/>
        <w:rPr>
          <w:sz w:val="24"/>
        </w:rPr>
      </w:pPr>
      <w:r>
        <w:rPr>
          <w:sz w:val="24"/>
        </w:rPr>
        <w:t>认购费用=认购总金额-净认购金额</w:t>
      </w:r>
    </w:p>
    <w:p>
      <w:pPr>
        <w:widowControl/>
        <w:adjustRightInd w:val="0"/>
        <w:snapToGrid w:val="0"/>
        <w:spacing w:line="360" w:lineRule="auto"/>
        <w:ind w:firstLine="480" w:firstLineChars="200"/>
        <w:rPr>
          <w:sz w:val="24"/>
        </w:rPr>
      </w:pPr>
      <w:r>
        <w:rPr>
          <w:sz w:val="24"/>
        </w:rPr>
        <w:t>（注：对于适用固定金额认购费用的认购，认购费用＝固定认购费用金额）</w:t>
      </w:r>
    </w:p>
    <w:p>
      <w:pPr>
        <w:widowControl/>
        <w:adjustRightInd w:val="0"/>
        <w:snapToGrid w:val="0"/>
        <w:spacing w:line="360" w:lineRule="auto"/>
        <w:ind w:firstLine="480" w:firstLineChars="200"/>
        <w:rPr>
          <w:sz w:val="24"/>
        </w:rPr>
      </w:pPr>
      <w:r>
        <w:rPr>
          <w:sz w:val="24"/>
        </w:rPr>
        <w:t>认购份额=净认购金额/基金份额初始面值+认购利息/基金份额初始面值</w:t>
      </w:r>
    </w:p>
    <w:p>
      <w:pPr>
        <w:widowControl/>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widowControl/>
        <w:adjustRightInd w:val="0"/>
        <w:snapToGrid w:val="0"/>
        <w:spacing w:line="360" w:lineRule="auto"/>
        <w:ind w:firstLine="480" w:firstLineChars="200"/>
        <w:rPr>
          <w:sz w:val="24"/>
        </w:rPr>
      </w:pPr>
      <w:r>
        <w:rPr>
          <w:rFonts w:hint="eastAsia"/>
          <w:sz w:val="24"/>
        </w:rPr>
        <w:t>例一：某投资者（非养老金客户）认购本基金A类基金份额100,000元，且该认购申请被全额确认，所对应的认购费率为1.0%。假定该笔认购金额产生利息50.00元。则认购份额为：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净认购金额＝100,000/（1＋1.0%）＝99,009.90元</w:t>
      </w:r>
    </w:p>
    <w:p>
      <w:pPr>
        <w:widowControl/>
        <w:adjustRightInd w:val="0"/>
        <w:snapToGrid w:val="0"/>
        <w:spacing w:line="360" w:lineRule="auto"/>
        <w:ind w:firstLine="480" w:firstLineChars="200"/>
        <w:rPr>
          <w:sz w:val="24"/>
        </w:rPr>
      </w:pPr>
      <w:r>
        <w:rPr>
          <w:rFonts w:hint="eastAsia"/>
          <w:sz w:val="24"/>
        </w:rPr>
        <w:t>认购费用＝100,000－99,009.90＝990.10元</w:t>
      </w:r>
    </w:p>
    <w:p>
      <w:pPr>
        <w:widowControl/>
        <w:adjustRightInd w:val="0"/>
        <w:snapToGrid w:val="0"/>
        <w:spacing w:line="360" w:lineRule="auto"/>
        <w:ind w:firstLine="480" w:firstLineChars="200"/>
        <w:rPr>
          <w:sz w:val="24"/>
        </w:rPr>
      </w:pPr>
      <w:r>
        <w:rPr>
          <w:rFonts w:hint="eastAsia"/>
          <w:sz w:val="24"/>
        </w:rPr>
        <w:t>认购份额＝99,009.90/1.00＋50.00/1.00＝99,059.90份</w:t>
      </w:r>
    </w:p>
    <w:p>
      <w:pPr>
        <w:widowControl/>
        <w:adjustRightInd w:val="0"/>
        <w:snapToGrid w:val="0"/>
        <w:spacing w:line="360" w:lineRule="auto"/>
        <w:ind w:firstLine="480" w:firstLineChars="200"/>
        <w:rPr>
          <w:sz w:val="24"/>
        </w:rPr>
      </w:pPr>
      <w:r>
        <w:rPr>
          <w:rFonts w:hint="eastAsia"/>
          <w:sz w:val="24"/>
        </w:rPr>
        <w:t>即：若该投资者（非养老金客户）选择认购A类基金份额，则投资100,000元本金，假定该笔认购金额产生利息50.00元，可得到99,059.90份A类基金份额。</w:t>
      </w:r>
    </w:p>
    <w:p>
      <w:pPr>
        <w:widowControl/>
        <w:adjustRightInd w:val="0"/>
        <w:snapToGrid w:val="0"/>
        <w:spacing w:line="360" w:lineRule="auto"/>
        <w:ind w:firstLine="480" w:firstLineChars="200"/>
        <w:rPr>
          <w:sz w:val="24"/>
        </w:rPr>
      </w:pPr>
      <w:r>
        <w:rPr>
          <w:rFonts w:hint="eastAsia"/>
          <w:sz w:val="24"/>
        </w:rPr>
        <w:t>例二：某养老金客户通过基金管理人的直销柜台认购本基金A类基金份额100,000元，且该认购申请被全额确认，所对应的认购费率为0.40%。假定该笔认购金额产生利息50.00元。则认购份额为：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净认购金额＝100,000/（1＋0.40%）＝99,601.59元</w:t>
      </w:r>
    </w:p>
    <w:p>
      <w:pPr>
        <w:widowControl/>
        <w:adjustRightInd w:val="0"/>
        <w:snapToGrid w:val="0"/>
        <w:spacing w:line="360" w:lineRule="auto"/>
        <w:ind w:firstLine="480" w:firstLineChars="200"/>
        <w:rPr>
          <w:sz w:val="24"/>
        </w:rPr>
      </w:pPr>
      <w:r>
        <w:rPr>
          <w:rFonts w:hint="eastAsia"/>
          <w:sz w:val="24"/>
        </w:rPr>
        <w:t>认购费用＝100,000－99, 601.59＝398.41元</w:t>
      </w:r>
    </w:p>
    <w:p>
      <w:pPr>
        <w:widowControl/>
        <w:adjustRightInd w:val="0"/>
        <w:snapToGrid w:val="0"/>
        <w:spacing w:line="360" w:lineRule="auto"/>
        <w:ind w:firstLine="480" w:firstLineChars="200"/>
        <w:rPr>
          <w:sz w:val="24"/>
        </w:rPr>
      </w:pPr>
      <w:r>
        <w:rPr>
          <w:rFonts w:hint="eastAsia"/>
          <w:sz w:val="24"/>
        </w:rPr>
        <w:t>认购份额＝99, 601.59/1.00＋50.00/1.00＝99, 651.59份</w:t>
      </w:r>
    </w:p>
    <w:p>
      <w:pPr>
        <w:widowControl/>
        <w:adjustRightInd w:val="0"/>
        <w:snapToGrid w:val="0"/>
        <w:spacing w:line="360" w:lineRule="auto"/>
        <w:ind w:firstLine="480" w:firstLineChars="200"/>
        <w:rPr>
          <w:sz w:val="24"/>
        </w:rPr>
      </w:pPr>
      <w:r>
        <w:rPr>
          <w:rFonts w:hint="eastAsia"/>
          <w:sz w:val="24"/>
        </w:rPr>
        <w:t>即：若该养老金客户投资100,000元通过基金管理人的直销柜台认购A类基金份额，假定该笔认购金额产生利息50.00元，可得到99, 651.59份A类基金份额。</w:t>
      </w:r>
    </w:p>
    <w:p>
      <w:pPr>
        <w:widowControl/>
        <w:adjustRightInd w:val="0"/>
        <w:snapToGrid w:val="0"/>
        <w:spacing w:line="360" w:lineRule="auto"/>
        <w:ind w:firstLine="480" w:firstLineChars="200"/>
        <w:rPr>
          <w:sz w:val="24"/>
        </w:rPr>
      </w:pPr>
      <w:r>
        <w:rPr>
          <w:rFonts w:hint="eastAsia"/>
          <w:sz w:val="24"/>
        </w:rPr>
        <w:t>2）C类基金份额的认购</w:t>
      </w:r>
    </w:p>
    <w:p>
      <w:pPr>
        <w:widowControl/>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widowControl/>
        <w:adjustRightInd w:val="0"/>
        <w:snapToGrid w:val="0"/>
        <w:spacing w:line="360" w:lineRule="auto"/>
        <w:ind w:firstLine="480" w:firstLineChars="200"/>
        <w:rPr>
          <w:sz w:val="24"/>
        </w:rPr>
      </w:pPr>
      <w:r>
        <w:rPr>
          <w:rFonts w:hint="eastAsia"/>
          <w:sz w:val="24"/>
        </w:rPr>
        <w:t>认购总金额=申请总金额</w:t>
      </w:r>
    </w:p>
    <w:p>
      <w:pPr>
        <w:widowControl/>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widowControl/>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认购份额计算结果保留到小数点后2位，小数点后2位以后的部分四舍五入，由此误差产生的损失由基金财产承担，产生的收益归基金财产所有。</w:t>
      </w:r>
    </w:p>
    <w:p>
      <w:pPr>
        <w:widowControl/>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认购份额＝100,000/1.00＋50.00/1.00＝100,050.00份</w:t>
      </w:r>
    </w:p>
    <w:p>
      <w:pPr>
        <w:widowControl/>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widowControl/>
        <w:adjustRightInd w:val="0"/>
        <w:snapToGrid w:val="0"/>
        <w:spacing w:line="360" w:lineRule="auto"/>
        <w:ind w:firstLine="480" w:firstLineChars="200"/>
        <w:outlineLvl w:val="2"/>
        <w:rPr>
          <w:sz w:val="24"/>
          <w:szCs w:val="21"/>
        </w:rPr>
      </w:pPr>
      <w:r>
        <w:rPr>
          <w:sz w:val="24"/>
          <w:szCs w:val="21"/>
        </w:rPr>
        <w:t>4、认购的程序</w:t>
      </w:r>
    </w:p>
    <w:p>
      <w:pPr>
        <w:widowControl/>
        <w:adjustRightInd w:val="0"/>
        <w:snapToGrid w:val="0"/>
        <w:spacing w:line="360" w:lineRule="auto"/>
        <w:ind w:firstLine="480" w:firstLineChars="200"/>
        <w:rPr>
          <w:sz w:val="24"/>
          <w:szCs w:val="21"/>
        </w:rPr>
      </w:pPr>
      <w:r>
        <w:rPr>
          <w:sz w:val="24"/>
          <w:szCs w:val="21"/>
        </w:rPr>
        <w:t>（1）申请方式：书面申请或基金管理人公告的其他方式。</w:t>
      </w:r>
    </w:p>
    <w:p>
      <w:pPr>
        <w:widowControl/>
        <w:adjustRightInd w:val="0"/>
        <w:snapToGrid w:val="0"/>
        <w:spacing w:line="360" w:lineRule="auto"/>
        <w:ind w:firstLine="480" w:firstLineChars="200"/>
        <w:rPr>
          <w:sz w:val="24"/>
          <w:szCs w:val="21"/>
        </w:rPr>
      </w:pPr>
      <w:r>
        <w:rPr>
          <w:sz w:val="24"/>
          <w:szCs w:val="21"/>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w:t>
      </w:r>
      <w:r>
        <w:rPr>
          <w:rFonts w:hint="eastAsia"/>
          <w:sz w:val="24"/>
          <w:szCs w:val="21"/>
        </w:rPr>
        <w:t>销售机构对认购申请的受理并不代表该申请一定成功，而仅代表销售机构确实接收到认购申请。认购的确认以登记机构的确认结果为准。对于认购申请及认购份额的确认情况，投资人应及时查询</w:t>
      </w:r>
      <w:r>
        <w:rPr>
          <w:rFonts w:hAnsi="宋体"/>
          <w:sz w:val="24"/>
        </w:rPr>
        <w:t>。</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9" w:name="_Hlt91264042"/>
      <w:bookmarkEnd w:id="19"/>
      <w:bookmarkStart w:id="20" w:name="_Hlt90801570"/>
      <w:bookmarkEnd w:id="20"/>
      <w:bookmarkStart w:id="21" w:name="_Hlt91264078"/>
      <w:bookmarkEnd w:id="21"/>
      <w:bookmarkStart w:id="22" w:name="_Hlt91148053"/>
      <w:bookmarkEnd w:id="22"/>
      <w:bookmarkStart w:id="23" w:name="_Hlt90455312"/>
      <w:bookmarkEnd w:id="23"/>
      <w:bookmarkStart w:id="24" w:name="_Toc109537384"/>
      <w:r>
        <w:rPr>
          <w:sz w:val="24"/>
          <w:szCs w:val="21"/>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5" w:name="_Toc3865"/>
      <w:bookmarkStart w:id="26" w:name="_Toc56690587"/>
      <w:r>
        <w:rPr>
          <w:rFonts w:hint="eastAsia" w:ascii="宋体" w:hAnsi="宋体"/>
          <w:b/>
          <w:kern w:val="0"/>
          <w:sz w:val="30"/>
        </w:rPr>
        <w:t>七、基金合同的生效</w:t>
      </w:r>
      <w:bookmarkEnd w:id="25"/>
      <w:bookmarkEnd w:id="26"/>
    </w:p>
    <w:bookmarkEnd w:id="24"/>
    <w:p>
      <w:pPr>
        <w:pStyle w:val="4"/>
        <w:autoSpaceDE w:val="0"/>
        <w:autoSpaceDN w:val="0"/>
        <w:adjustRightInd w:val="0"/>
        <w:snapToGrid w:val="0"/>
        <w:spacing w:line="360" w:lineRule="auto"/>
        <w:ind w:firstLine="482"/>
        <w:outlineLvl w:val="1"/>
        <w:rPr>
          <w:b/>
          <w:sz w:val="24"/>
        </w:rPr>
      </w:pPr>
      <w:bookmarkStart w:id="27" w:name="_Hlt88901074"/>
      <w:bookmarkEnd w:id="27"/>
      <w:bookmarkStart w:id="28" w:name="_Toc15118260"/>
      <w:bookmarkStart w:id="29" w:name="_Toc57530272"/>
      <w:bookmarkStart w:id="30" w:name="_Toc79392603"/>
      <w:bookmarkStart w:id="31" w:name="_Toc109537386"/>
      <w:r>
        <w:rPr>
          <w:rFonts w:hAnsi="宋体"/>
          <w:b/>
          <w:sz w:val="24"/>
        </w:rPr>
        <w:t>（一）基金备案的条件</w:t>
      </w:r>
    </w:p>
    <w:p>
      <w:pPr>
        <w:adjustRightInd w:val="0"/>
        <w:snapToGrid w:val="0"/>
        <w:spacing w:line="360" w:lineRule="auto"/>
        <w:ind w:firstLine="480" w:firstLineChars="20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8"/>
    <w:bookmarkEnd w:id="29"/>
    <w:bookmarkEnd w:id="30"/>
    <w:p>
      <w:pPr>
        <w:widowControl/>
        <w:adjustRightInd w:val="0"/>
        <w:snapToGrid w:val="0"/>
        <w:spacing w:line="360" w:lineRule="auto"/>
        <w:ind w:firstLine="482"/>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rPr>
          <w:rFonts w:ascii="宋体" w:hAnsi="宋体"/>
          <w:kern w:val="0"/>
          <w:sz w:val="24"/>
          <w:szCs w:val="24"/>
        </w:rPr>
      </w:pPr>
      <w:r>
        <w:rPr>
          <w:rFonts w:hint="eastAsia" w:ascii="宋体" w:hAnsi="宋体"/>
          <w:kern w:val="0"/>
          <w:sz w:val="24"/>
          <w:szCs w:val="24"/>
        </w:rPr>
        <w:t>法律法规或中国证监会另有规定时，从其规定。</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32" w:name="_Toc10180"/>
      <w:bookmarkStart w:id="33" w:name="_Toc56690588"/>
      <w:r>
        <w:rPr>
          <w:rFonts w:hint="eastAsia" w:ascii="宋体" w:hAnsi="宋体"/>
          <w:b/>
          <w:kern w:val="0"/>
          <w:sz w:val="30"/>
        </w:rPr>
        <w:t>八、基金份额的申购与赎回</w:t>
      </w:r>
      <w:bookmarkEnd w:id="31"/>
      <w:bookmarkEnd w:id="32"/>
      <w:bookmarkEnd w:id="33"/>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本公司</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bCs/>
          <w:sz w:val="24"/>
          <w:szCs w:val="24"/>
        </w:rPr>
      </w:pPr>
      <w:r>
        <w:rPr>
          <w:rFonts w:hint="eastAsia"/>
          <w:bCs/>
          <w:sz w:val="24"/>
          <w:szCs w:val="24"/>
        </w:rPr>
        <w:t>投资人在开放日办理基金份额的申购及/或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bCs/>
          <w:sz w:val="24"/>
          <w:szCs w:val="24"/>
        </w:rPr>
        <w:t>基金合同生效后，若出现新的证券交易市场、</w:t>
      </w:r>
      <w:r>
        <w:rPr>
          <w:rFonts w:hint="eastAsia"/>
          <w:sz w:val="24"/>
          <w:szCs w:val="24"/>
        </w:rPr>
        <w:t>证券交易所</w:t>
      </w:r>
      <w:r>
        <w:rPr>
          <w:rFonts w:hint="eastAsia"/>
          <w:bCs/>
          <w:sz w:val="24"/>
          <w:szCs w:val="24"/>
        </w:rPr>
        <w:t>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基金管理人可根据实际情况依法决定本基金开始办理申购的具体日期，具体业务办理时间在申购开始公告中规定。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一年后年度对日（含该日）开始办理赎回，具体业务办理时间在赎回开始公告中规定。对于每份基金份额，自其最短持有期限届满的下一工作日起（含该日），基金份额持有人方可就该基金份额提出赎回申请。</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投资人在最短持有期限内提出的赎回或转换申请，视为无效申请。</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1、“未知价”原则，即申购、赎回价格以申请日的基金份额净值（非申请日当天公布的基金份额净值）为基准进行计算；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34"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本基金暂无最低保留余额限制。</w:t>
      </w:r>
    </w:p>
    <w:bookmarkEnd w:id="34"/>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+7</w:t>
      </w:r>
      <w:r>
        <w:rPr>
          <w:rFonts w:hint="eastAsia" w:hAnsi="宋体"/>
          <w:kern w:val="0"/>
          <w:sz w:val="24"/>
          <w:szCs w:val="24"/>
        </w:rPr>
        <w:t>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w:t>
      </w:r>
      <w:r>
        <w:rPr>
          <w:rFonts w:hAnsi="宋体"/>
          <w:kern w:val="0"/>
          <w:sz w:val="24"/>
          <w:szCs w:val="24"/>
        </w:rPr>
        <w:t>2</w:t>
      </w:r>
      <w:r>
        <w:rPr>
          <w:rFonts w:hint="eastAsia" w:hAnsi="宋体"/>
          <w:kern w:val="0"/>
          <w:sz w:val="24"/>
          <w:szCs w:val="24"/>
        </w:rPr>
        <w:t>日（包括该日）内对该交易的有效性进行确认。T日提交的有效申请，投资人应在T+</w:t>
      </w:r>
      <w:r>
        <w:rPr>
          <w:rFonts w:hAnsi="宋体"/>
          <w:kern w:val="0"/>
          <w:sz w:val="24"/>
          <w:szCs w:val="24"/>
        </w:rPr>
        <w:t>3</w:t>
      </w:r>
      <w:r>
        <w:rPr>
          <w:rFonts w:hint="eastAsia" w:hAnsi="宋体"/>
          <w:kern w:val="0"/>
          <w:sz w:val="24"/>
          <w:szCs w:val="24"/>
        </w:rPr>
        <w:t>日后（包括该日）及时到销售网点柜台或以销售机构规定的其他方式查询申请的确认情况。若申购不成功，则申购款项本金退还给投资人。</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本基金基金份额分为A类基金份额和C类基金份额。投资人申购A类基金份额在申购时支付申购费用；申购C类基金份额不支付申购费用，并从该类别基金资产中计提销售服务费。</w:t>
      </w:r>
    </w:p>
    <w:p>
      <w:pPr>
        <w:widowControl/>
        <w:adjustRightInd w:val="0"/>
        <w:snapToGrid w:val="0"/>
        <w:spacing w:line="360" w:lineRule="auto"/>
        <w:ind w:firstLine="480" w:firstLineChars="200"/>
        <w:rPr>
          <w:rFonts w:hAnsi="宋体"/>
          <w:sz w:val="24"/>
          <w:szCs w:val="24"/>
        </w:rPr>
      </w:pPr>
      <w:r>
        <w:rPr>
          <w:rFonts w:hint="eastAsia" w:hAnsi="宋体"/>
          <w:sz w:val="24"/>
          <w:szCs w:val="24"/>
        </w:rPr>
        <w:t>A类基金份额的申购费用由A类基金份额申购人承担，不列入基金财产，主要用于本基金的市场推广、销售、登记结算等各项费用。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A类基金份额（非养老金客户）</w:t>
      </w:r>
      <w:r>
        <w:rPr>
          <w:rFonts w:hAnsi="宋体"/>
          <w:sz w:val="24"/>
          <w:szCs w:val="24"/>
        </w:rPr>
        <w:t>的申购费率如下：</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54"/>
        <w:gridCol w:w="354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654" w:type="dxa"/>
            <w:shd w:val="clear" w:color="auto" w:fill="FFFFFF"/>
            <w:vAlign w:val="center"/>
          </w:tcPr>
          <w:p>
            <w:pPr>
              <w:adjustRightInd w:val="0"/>
              <w:snapToGrid w:val="0"/>
              <w:jc w:val="center"/>
              <w:rPr>
                <w:b/>
                <w:sz w:val="24"/>
              </w:rPr>
            </w:pPr>
            <w:r>
              <w:rPr>
                <w:b/>
                <w:sz w:val="24"/>
              </w:rPr>
              <w:t>申购金额（含申购费）</w:t>
            </w:r>
          </w:p>
        </w:tc>
        <w:tc>
          <w:tcPr>
            <w:tcW w:w="3544"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654" w:type="dxa"/>
          </w:tcPr>
          <w:p>
            <w:pPr>
              <w:adjustRightInd w:val="0"/>
              <w:snapToGrid w:val="0"/>
              <w:rPr>
                <w:sz w:val="24"/>
              </w:rPr>
            </w:pPr>
            <w:r>
              <w:rPr>
                <w:sz w:val="24"/>
              </w:rPr>
              <w:t>100</w:t>
            </w:r>
            <w:r>
              <w:rPr>
                <w:rFonts w:hAnsi="宋体"/>
                <w:sz w:val="24"/>
              </w:rPr>
              <w:t>万元以下</w:t>
            </w:r>
          </w:p>
        </w:tc>
        <w:tc>
          <w:tcPr>
            <w:tcW w:w="3544"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654" w:type="dxa"/>
          </w:tcPr>
          <w:p>
            <w:pPr>
              <w:adjustRightInd w:val="0"/>
              <w:snapToGrid w:val="0"/>
              <w:rPr>
                <w:sz w:val="24"/>
              </w:rPr>
            </w:pPr>
            <w:r>
              <w:rPr>
                <w:sz w:val="24"/>
              </w:rPr>
              <w:t>100万元（含）至</w:t>
            </w:r>
            <w:r>
              <w:rPr>
                <w:rFonts w:hint="eastAsia"/>
                <w:sz w:val="24"/>
              </w:rPr>
              <w:t>5</w:t>
            </w:r>
            <w:r>
              <w:rPr>
                <w:sz w:val="24"/>
              </w:rPr>
              <w:t>00万元</w:t>
            </w:r>
          </w:p>
        </w:tc>
        <w:tc>
          <w:tcPr>
            <w:tcW w:w="3544" w:type="dxa"/>
          </w:tcPr>
          <w:p>
            <w:pPr>
              <w:adjustRightInd w:val="0"/>
              <w:snapToGrid w:val="0"/>
              <w:jc w:val="center"/>
              <w:rPr>
                <w:sz w:val="24"/>
              </w:rPr>
            </w:pPr>
            <w:r>
              <w:rPr>
                <w:sz w:val="24"/>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654"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544"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rPr>
      </w:pPr>
      <w:r>
        <w:rPr>
          <w:rFonts w:hAnsi="宋体"/>
          <w:kern w:val="0"/>
          <w:sz w:val="24"/>
        </w:rPr>
        <w:t>本基金对通过基金管理人直销柜台</w:t>
      </w:r>
      <w:r>
        <w:rPr>
          <w:rFonts w:hint="eastAsia" w:hAnsi="宋体"/>
          <w:kern w:val="0"/>
          <w:sz w:val="24"/>
        </w:rPr>
        <w:t>申</w:t>
      </w:r>
      <w:r>
        <w:rPr>
          <w:rFonts w:hAnsi="宋体"/>
          <w:kern w:val="0"/>
          <w:sz w:val="24"/>
        </w:rPr>
        <w:t>购</w:t>
      </w:r>
      <w:r>
        <w:rPr>
          <w:rFonts w:hint="eastAsia" w:hAnsi="宋体"/>
          <w:kern w:val="0"/>
          <w:sz w:val="24"/>
        </w:rPr>
        <w:t>本基金A类基金份额的养老金客户实施特定申购费率。</w:t>
      </w:r>
    </w:p>
    <w:p>
      <w:pPr>
        <w:widowControl/>
        <w:adjustRightInd w:val="0"/>
        <w:snapToGrid w:val="0"/>
        <w:spacing w:line="360" w:lineRule="auto"/>
        <w:ind w:firstLine="480" w:firstLineChars="200"/>
        <w:rPr>
          <w:rFonts w:hAnsi="宋体"/>
          <w:kern w:val="0"/>
          <w:sz w:val="24"/>
        </w:rPr>
      </w:pPr>
      <w:r>
        <w:rPr>
          <w:rFonts w:hint="eastAsia" w:hAnsi="宋体"/>
          <w:kern w:val="0"/>
          <w:sz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rFonts w:hAnsi="宋体"/>
          <w:kern w:val="0"/>
          <w:sz w:val="24"/>
        </w:rPr>
      </w:pPr>
      <w:r>
        <w:rPr>
          <w:rFonts w:hint="eastAsia" w:hAnsi="宋体"/>
          <w:kern w:val="0"/>
          <w:sz w:val="24"/>
        </w:rPr>
        <w:t>1）全国社会保障基金；</w:t>
      </w:r>
    </w:p>
    <w:p>
      <w:pPr>
        <w:widowControl/>
        <w:adjustRightInd w:val="0"/>
        <w:snapToGrid w:val="0"/>
        <w:spacing w:line="360" w:lineRule="auto"/>
        <w:ind w:firstLine="480" w:firstLineChars="200"/>
        <w:rPr>
          <w:rFonts w:hAnsi="宋体"/>
          <w:kern w:val="0"/>
          <w:sz w:val="24"/>
        </w:rPr>
      </w:pPr>
      <w:r>
        <w:rPr>
          <w:rFonts w:hint="eastAsia" w:hAnsi="宋体"/>
          <w:kern w:val="0"/>
          <w:sz w:val="24"/>
        </w:rPr>
        <w:t>2）可以投资基金的地方社会保障基金；</w:t>
      </w:r>
    </w:p>
    <w:p>
      <w:pPr>
        <w:widowControl/>
        <w:adjustRightInd w:val="0"/>
        <w:snapToGrid w:val="0"/>
        <w:spacing w:line="360" w:lineRule="auto"/>
        <w:ind w:firstLine="480" w:firstLineChars="200"/>
        <w:rPr>
          <w:rFonts w:hAnsi="宋体"/>
          <w:kern w:val="0"/>
          <w:sz w:val="24"/>
        </w:rPr>
      </w:pPr>
      <w:r>
        <w:rPr>
          <w:rFonts w:hint="eastAsia" w:hAnsi="宋体"/>
          <w:kern w:val="0"/>
          <w:sz w:val="24"/>
        </w:rPr>
        <w:t>3）企业年金单一计划以及集合计划；</w:t>
      </w:r>
    </w:p>
    <w:p>
      <w:pPr>
        <w:widowControl/>
        <w:adjustRightInd w:val="0"/>
        <w:snapToGrid w:val="0"/>
        <w:spacing w:line="360" w:lineRule="auto"/>
        <w:ind w:firstLine="480" w:firstLineChars="200"/>
        <w:rPr>
          <w:rFonts w:hAnsi="宋体"/>
          <w:kern w:val="0"/>
          <w:sz w:val="24"/>
        </w:rPr>
      </w:pPr>
      <w:r>
        <w:rPr>
          <w:rFonts w:hint="eastAsia" w:hAnsi="宋体"/>
          <w:kern w:val="0"/>
          <w:sz w:val="24"/>
        </w:rPr>
        <w:t>4）企业年金理事会委托的特定客户资产管理计划；</w:t>
      </w:r>
    </w:p>
    <w:p>
      <w:pPr>
        <w:widowControl/>
        <w:adjustRightInd w:val="0"/>
        <w:snapToGrid w:val="0"/>
        <w:spacing w:line="360" w:lineRule="auto"/>
        <w:ind w:firstLine="480" w:firstLineChars="200"/>
        <w:rPr>
          <w:rFonts w:hAnsi="宋体"/>
          <w:kern w:val="0"/>
          <w:sz w:val="24"/>
        </w:rPr>
      </w:pPr>
      <w:r>
        <w:rPr>
          <w:rFonts w:hint="eastAsia" w:hAnsi="宋体"/>
          <w:kern w:val="0"/>
          <w:sz w:val="24"/>
        </w:rPr>
        <w:t>5）企业年金养老金产品。</w:t>
      </w:r>
    </w:p>
    <w:p>
      <w:pPr>
        <w:widowControl/>
        <w:adjustRightInd w:val="0"/>
        <w:snapToGrid w:val="0"/>
        <w:spacing w:line="360" w:lineRule="auto"/>
        <w:ind w:firstLine="480" w:firstLineChars="200"/>
        <w:rPr>
          <w:rFonts w:hAnsi="宋体"/>
          <w:kern w:val="0"/>
          <w:sz w:val="24"/>
        </w:rPr>
      </w:pPr>
      <w:r>
        <w:rPr>
          <w:rFonts w:hint="eastAsia" w:hAnsi="宋体"/>
          <w:kern w:val="0"/>
          <w:sz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rFonts w:hAnsi="宋体"/>
          <w:kern w:val="0"/>
          <w:sz w:val="24"/>
        </w:rPr>
      </w:pPr>
      <w:r>
        <w:rPr>
          <w:rFonts w:hint="eastAsia" w:hAnsi="宋体"/>
          <w:kern w:val="0"/>
          <w:sz w:val="24"/>
        </w:rPr>
        <w:t>通过基金管理人直销柜台申购本基金A类基金份额的养老金客户特定申购费率如下表：</w:t>
      </w:r>
    </w:p>
    <w:tbl>
      <w:tblPr>
        <w:tblStyle w:val="28"/>
        <w:tblW w:w="7481"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12"/>
        <w:gridCol w:w="396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512" w:type="dxa"/>
            <w:shd w:val="clear" w:color="auto" w:fill="FFFFFF"/>
            <w:vAlign w:val="center"/>
          </w:tcPr>
          <w:p>
            <w:pPr>
              <w:adjustRightInd w:val="0"/>
              <w:snapToGrid w:val="0"/>
              <w:jc w:val="center"/>
              <w:rPr>
                <w:b/>
                <w:sz w:val="24"/>
              </w:rPr>
            </w:pPr>
            <w:r>
              <w:rPr>
                <w:b/>
                <w:sz w:val="24"/>
              </w:rPr>
              <w:t>申购金额（含申购费）</w:t>
            </w:r>
          </w:p>
        </w:tc>
        <w:tc>
          <w:tcPr>
            <w:tcW w:w="3969" w:type="dxa"/>
            <w:shd w:val="clear" w:color="auto" w:fill="FFFFFF"/>
            <w:vAlign w:val="center"/>
          </w:tcPr>
          <w:p>
            <w:pPr>
              <w:adjustRightInd w:val="0"/>
              <w:snapToGrid w:val="0"/>
              <w:jc w:val="center"/>
              <w:rPr>
                <w:b/>
                <w:sz w:val="24"/>
              </w:rPr>
            </w:pPr>
            <w:r>
              <w:rPr>
                <w:rFonts w:hint="eastAsia"/>
                <w:b/>
                <w:sz w:val="24"/>
              </w:rPr>
              <w:t>A</w:t>
            </w:r>
            <w:r>
              <w:rPr>
                <w:b/>
                <w:sz w:val="24"/>
              </w:rPr>
              <w:t>类基金份额</w:t>
            </w:r>
            <w:r>
              <w:rPr>
                <w:rFonts w:hint="eastAsia"/>
                <w:b/>
                <w:sz w:val="24"/>
              </w:rPr>
              <w:t>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512" w:type="dxa"/>
          </w:tcPr>
          <w:p>
            <w:pPr>
              <w:adjustRightInd w:val="0"/>
              <w:snapToGrid w:val="0"/>
              <w:rPr>
                <w:sz w:val="24"/>
              </w:rPr>
            </w:pPr>
            <w:r>
              <w:rPr>
                <w:sz w:val="24"/>
              </w:rPr>
              <w:t>100</w:t>
            </w:r>
            <w:r>
              <w:rPr>
                <w:rFonts w:hAnsi="宋体"/>
                <w:sz w:val="24"/>
              </w:rPr>
              <w:t>万元以下</w:t>
            </w:r>
          </w:p>
        </w:tc>
        <w:tc>
          <w:tcPr>
            <w:tcW w:w="3969" w:type="dxa"/>
          </w:tcPr>
          <w:p>
            <w:pPr>
              <w:adjustRightInd w:val="0"/>
              <w:snapToGrid w:val="0"/>
              <w:jc w:val="center"/>
              <w:rPr>
                <w:sz w:val="24"/>
              </w:rPr>
            </w:pPr>
            <w:r>
              <w:rPr>
                <w:rFonts w:hint="eastAsia"/>
                <w:sz w:val="24"/>
              </w:rPr>
              <w:t>0.</w:t>
            </w:r>
            <w:r>
              <w:rPr>
                <w:sz w:val="24"/>
              </w:rPr>
              <w:t>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512" w:type="dxa"/>
          </w:tcPr>
          <w:p>
            <w:pPr>
              <w:adjustRightInd w:val="0"/>
              <w:snapToGrid w:val="0"/>
              <w:rPr>
                <w:sz w:val="24"/>
              </w:rPr>
            </w:pPr>
            <w:r>
              <w:rPr>
                <w:sz w:val="24"/>
              </w:rPr>
              <w:t>100万元（含）至</w:t>
            </w:r>
            <w:r>
              <w:rPr>
                <w:rFonts w:hint="eastAsia"/>
                <w:sz w:val="24"/>
              </w:rPr>
              <w:t>5</w:t>
            </w:r>
            <w:r>
              <w:rPr>
                <w:sz w:val="24"/>
              </w:rPr>
              <w:t>00万元</w:t>
            </w:r>
          </w:p>
        </w:tc>
        <w:tc>
          <w:tcPr>
            <w:tcW w:w="3969" w:type="dxa"/>
          </w:tcPr>
          <w:p>
            <w:pPr>
              <w:adjustRightInd w:val="0"/>
              <w:snapToGrid w:val="0"/>
              <w:jc w:val="center"/>
              <w:rPr>
                <w:rFonts w:hAnsi="宋体"/>
                <w:sz w:val="24"/>
              </w:rPr>
            </w:pPr>
            <w:r>
              <w:rPr>
                <w:rFonts w:hint="eastAsia"/>
                <w:sz w:val="24"/>
              </w:rPr>
              <w:t>0.</w:t>
            </w:r>
            <w:r>
              <w:rPr>
                <w:sz w:val="24"/>
              </w:rPr>
              <w:t>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512"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969"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基金份额持有人持有的每份基金份额最短持有期限为</w:t>
      </w:r>
      <w:r>
        <w:rPr>
          <w:rFonts w:hint="eastAsia" w:hAnsi="宋体"/>
          <w:sz w:val="24"/>
        </w:rPr>
        <w:t>一年</w:t>
      </w:r>
      <w:r>
        <w:rPr>
          <w:rFonts w:hint="eastAsia" w:hAnsi="宋体"/>
          <w:sz w:val="24"/>
          <w:szCs w:val="24"/>
        </w:rPr>
        <w:t>，最短持有期限届满后，本基金不收取赎回费。其中，对于不受最短持有期限制的红利再投资所得基金份额，对持续持有期少于7日的投资者收取1.5%的赎回费，并全额计入基金财产。</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5" w:name="_Hlt91144389"/>
      <w:bookmarkEnd w:id="35"/>
      <w:bookmarkStart w:id="36" w:name="_Hlt81024033"/>
      <w:bookmarkEnd w:id="36"/>
      <w:bookmarkStart w:id="37" w:name="_Hlt90458725"/>
      <w:bookmarkEnd w:id="37"/>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rFonts w:hint="eastAsia" w:hAnsi="宋体"/>
          <w:kern w:val="0"/>
          <w:sz w:val="24"/>
          <w:szCs w:val="24"/>
        </w:rPr>
        <w:t>A类基金份额或C类基金份额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sz w:val="24"/>
        </w:rPr>
        <w:t>A</w:t>
      </w:r>
      <w:r>
        <w:rPr>
          <w:rFonts w:hAnsi="宋体"/>
          <w:sz w:val="24"/>
        </w:rPr>
        <w:t>类基金份额</w:t>
      </w:r>
      <w:r>
        <w:rPr>
          <w:rFonts w:hint="eastAsia" w:hAnsi="宋体"/>
          <w:sz w:val="24"/>
        </w:rPr>
        <w:t>或C类基金份额的</w:t>
      </w:r>
      <w:r>
        <w:rPr>
          <w:rFonts w:hAnsi="宋体"/>
          <w:kern w:val="0"/>
          <w:sz w:val="24"/>
          <w:szCs w:val="24"/>
        </w:rPr>
        <w:t>赎回金额为按实际确认的有效赎回份额乘以当日</w:t>
      </w:r>
      <w:r>
        <w:rPr>
          <w:rFonts w:hint="eastAsia"/>
          <w:bCs/>
          <w:sz w:val="24"/>
        </w:rPr>
        <w:t>该类基金份额</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申购份额=（申购总金额-申购费用）/T日</w:t>
      </w:r>
      <w:r>
        <w:rPr>
          <w:rFonts w:hAnsi="宋体"/>
          <w:kern w:val="0"/>
          <w:sz w:val="24"/>
          <w:szCs w:val="24"/>
        </w:rPr>
        <w:t>A类</w:t>
      </w:r>
      <w:r>
        <w:rPr>
          <w:rFonts w:hint="eastAsia" w:hAnsi="宋体"/>
          <w:kern w:val="0"/>
          <w:sz w:val="24"/>
          <w:szCs w:val="24"/>
        </w:rPr>
        <w:t>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例四：某投资者（非养老金客户）投资100,000元申购本基金的A类基金份额，假设申购当日A类基金份额净值为1.0400元，申购费率为</w:t>
      </w:r>
      <w:r>
        <w:rPr>
          <w:rFonts w:hAnsi="宋体"/>
          <w:kern w:val="0"/>
          <w:sz w:val="24"/>
          <w:szCs w:val="24"/>
        </w:rPr>
        <w:t>1.2</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净申购金额=100,000/（1+</w:t>
      </w:r>
      <w:r>
        <w:rPr>
          <w:rFonts w:hAnsi="宋体"/>
          <w:kern w:val="0"/>
          <w:sz w:val="24"/>
          <w:szCs w:val="24"/>
        </w:rPr>
        <w:t>1.2</w:t>
      </w:r>
      <w:r>
        <w:rPr>
          <w:rFonts w:hint="eastAsia" w:hAnsi="宋体"/>
          <w:kern w:val="0"/>
          <w:sz w:val="24"/>
          <w:szCs w:val="24"/>
        </w:rPr>
        <w:t>%）=</w:t>
      </w:r>
      <w:r>
        <w:rPr>
          <w:rFonts w:hAnsi="宋体"/>
          <w:kern w:val="0"/>
          <w:sz w:val="24"/>
          <w:szCs w:val="24"/>
        </w:rPr>
        <w:t>98,814.23</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w:t>
      </w:r>
      <w:r>
        <w:rPr>
          <w:rFonts w:hAnsi="宋体"/>
          <w:kern w:val="0"/>
          <w:sz w:val="24"/>
          <w:szCs w:val="24"/>
        </w:rPr>
        <w:t>98,814.23</w:t>
      </w:r>
      <w:r>
        <w:rPr>
          <w:rFonts w:hint="eastAsia" w:hAnsi="宋体"/>
          <w:kern w:val="0"/>
          <w:sz w:val="24"/>
          <w:szCs w:val="24"/>
        </w:rPr>
        <w:t>=</w:t>
      </w:r>
      <w:r>
        <w:rPr>
          <w:rFonts w:hAnsi="宋体"/>
          <w:kern w:val="0"/>
          <w:sz w:val="24"/>
          <w:szCs w:val="24"/>
        </w:rPr>
        <w:t>1,185.77</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1,185.77</w:t>
      </w:r>
      <w:r>
        <w:rPr>
          <w:rFonts w:hint="eastAsia" w:hAnsi="宋体"/>
          <w:kern w:val="0"/>
          <w:sz w:val="24"/>
          <w:szCs w:val="24"/>
        </w:rPr>
        <w:t>）/1.0400=95,</w:t>
      </w:r>
      <w:r>
        <w:rPr>
          <w:rFonts w:hAnsi="宋体"/>
          <w:kern w:val="0"/>
          <w:sz w:val="24"/>
          <w:szCs w:val="24"/>
        </w:rPr>
        <w:t>013.68</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即：某投资者（非养老金客户）投资100,000元申购本基金，假设申购当日A类基金份额净值为1.0400元，如果其选择申购A类基金份额，则其可得到95,</w:t>
      </w:r>
      <w:r>
        <w:rPr>
          <w:rFonts w:hAnsi="宋体"/>
          <w:kern w:val="0"/>
          <w:sz w:val="24"/>
          <w:szCs w:val="24"/>
        </w:rPr>
        <w:t>013.68</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例五：某养老金客户投资100,000元通过基金管理人的直销柜台申购本基金的A类基金份额，假设申购当日A类基金份额净值为1.0400元，申购费率为0.48%，则其可得到的申购份额为：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净申购金额=100,000/（1+0.48%）=99,522.29元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申购费用=100,000-99,522.29=477.71元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申购份额=（100,000-477.71）/1.0400=95,694.51份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即：该养老金客户投资100,000元通过基金管理人的直销柜台申购本基金的A类基金份额，假设申购当日A类基金份额净值为1.0400元，则其可得到95,694.51份A类基金份额。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w:t>
      </w:r>
      <w:r>
        <w:rPr>
          <w:rFonts w:hint="eastAsia" w:hAnsi="宋体"/>
          <w:kern w:val="0"/>
          <w:sz w:val="24"/>
          <w:szCs w:val="24"/>
        </w:rPr>
        <w:t>该类</w:t>
      </w:r>
      <w:r>
        <w:rPr>
          <w:rFonts w:hint="eastAsia" w:hAnsi="宋体"/>
          <w:sz w:val="24"/>
          <w:szCs w:val="24"/>
        </w:rPr>
        <w:t>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赎回金额=赎回份额×T日该类基金份额净值-赎回</w:t>
      </w:r>
      <w:r>
        <w:rPr>
          <w:rFonts w:hAnsi="宋体"/>
          <w:kern w:val="0"/>
          <w:sz w:val="24"/>
          <w:szCs w:val="24"/>
        </w:rPr>
        <w:t>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例七：某投资者赎回持有的10,000份A类基金份额，持有</w:t>
      </w:r>
      <w:r>
        <w:rPr>
          <w:rFonts w:hAnsi="宋体"/>
          <w:kern w:val="0"/>
          <w:sz w:val="24"/>
          <w:szCs w:val="24"/>
        </w:rPr>
        <w:t>期限为</w:t>
      </w:r>
      <w:r>
        <w:rPr>
          <w:rFonts w:hint="eastAsia" w:hAnsi="宋体"/>
          <w:kern w:val="0"/>
          <w:sz w:val="24"/>
          <w:szCs w:val="24"/>
        </w:rPr>
        <w:t>一</w:t>
      </w:r>
      <w:r>
        <w:rPr>
          <w:rFonts w:hAnsi="宋体"/>
          <w:kern w:val="0"/>
          <w:sz w:val="24"/>
          <w:szCs w:val="24"/>
        </w:rPr>
        <w:t>年，</w:t>
      </w:r>
      <w:r>
        <w:rPr>
          <w:rFonts w:hint="eastAsia" w:hAnsi="宋体"/>
          <w:kern w:val="0"/>
          <w:sz w:val="24"/>
          <w:szCs w:val="24"/>
        </w:rPr>
        <w:t>对应</w:t>
      </w:r>
      <w:r>
        <w:rPr>
          <w:rFonts w:hAnsi="宋体"/>
          <w:kern w:val="0"/>
          <w:sz w:val="24"/>
          <w:szCs w:val="24"/>
        </w:rPr>
        <w:t>的赎回费率</w:t>
      </w:r>
      <w:r>
        <w:rPr>
          <w:rFonts w:hint="eastAsia" w:hAnsi="宋体"/>
          <w:kern w:val="0"/>
          <w:sz w:val="24"/>
          <w:szCs w:val="24"/>
        </w:rPr>
        <w:t>为</w:t>
      </w:r>
      <w:r>
        <w:rPr>
          <w:rFonts w:hAnsi="宋体"/>
          <w:kern w:val="0"/>
          <w:sz w:val="24"/>
          <w:szCs w:val="24"/>
        </w:rPr>
        <w:t>0，</w:t>
      </w:r>
      <w:r>
        <w:rPr>
          <w:rFonts w:hint="eastAsia" w:hAnsi="宋体"/>
          <w:kern w:val="0"/>
          <w:sz w:val="24"/>
          <w:szCs w:val="24"/>
        </w:rPr>
        <w:t>假设赎回当日A类基金份额净值是1.0160元，则其可得到的赎回金额为：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w:t>
      </w:r>
      <w:r>
        <w:rPr>
          <w:rFonts w:hAnsi="宋体"/>
          <w:kern w:val="0"/>
          <w:sz w:val="24"/>
          <w:szCs w:val="24"/>
        </w:rPr>
        <w:t>费用=10,000×1.0160×0=0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赎回金额=10,000×1.0160</w:t>
      </w:r>
      <w:r>
        <w:rPr>
          <w:rFonts w:hAnsi="宋体"/>
          <w:kern w:val="0"/>
          <w:sz w:val="24"/>
          <w:szCs w:val="24"/>
        </w:rPr>
        <w:t>-0</w:t>
      </w:r>
      <w:r>
        <w:rPr>
          <w:rFonts w:hint="eastAsia" w:hAnsi="宋体"/>
          <w:kern w:val="0"/>
          <w:sz w:val="24"/>
          <w:szCs w:val="24"/>
        </w:rPr>
        <w:t>＝10,160.00元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即：投资者赎回本基金10,000份A类基金份额，持有</w:t>
      </w:r>
      <w:r>
        <w:rPr>
          <w:rFonts w:hAnsi="宋体"/>
          <w:kern w:val="0"/>
          <w:sz w:val="24"/>
          <w:szCs w:val="24"/>
        </w:rPr>
        <w:t>期限为</w:t>
      </w:r>
      <w:r>
        <w:rPr>
          <w:rFonts w:hint="eastAsia" w:hAnsi="宋体"/>
          <w:kern w:val="0"/>
          <w:sz w:val="24"/>
          <w:szCs w:val="24"/>
        </w:rPr>
        <w:t>一</w:t>
      </w:r>
      <w:r>
        <w:rPr>
          <w:rFonts w:hAnsi="宋体"/>
          <w:kern w:val="0"/>
          <w:sz w:val="24"/>
          <w:szCs w:val="24"/>
        </w:rPr>
        <w:t>年，</w:t>
      </w:r>
      <w:r>
        <w:rPr>
          <w:rFonts w:hint="eastAsia" w:hAnsi="宋体"/>
          <w:kern w:val="0"/>
          <w:sz w:val="24"/>
          <w:szCs w:val="24"/>
        </w:rPr>
        <w:t>对应</w:t>
      </w:r>
      <w:r>
        <w:rPr>
          <w:rFonts w:hAnsi="宋体"/>
          <w:kern w:val="0"/>
          <w:sz w:val="24"/>
          <w:szCs w:val="24"/>
        </w:rPr>
        <w:t>的赎回费率</w:t>
      </w:r>
      <w:r>
        <w:rPr>
          <w:rFonts w:hint="eastAsia" w:hAnsi="宋体"/>
          <w:kern w:val="0"/>
          <w:sz w:val="24"/>
          <w:szCs w:val="24"/>
        </w:rPr>
        <w:t>为</w:t>
      </w:r>
      <w:r>
        <w:rPr>
          <w:rFonts w:hAnsi="宋体"/>
          <w:kern w:val="0"/>
          <w:sz w:val="24"/>
          <w:szCs w:val="24"/>
        </w:rPr>
        <w:t>0，</w:t>
      </w:r>
      <w:r>
        <w:rPr>
          <w:rFonts w:hint="eastAsia" w:hAnsi="宋体"/>
          <w:kern w:val="0"/>
          <w:sz w:val="24"/>
          <w:szCs w:val="24"/>
        </w:rPr>
        <w:t>假设赎回当日A类基金份额净值是1.0160元，则其可得到的赎回金额为10,160.00元。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本基金A类基金份额和C类基金份额的基金份额净值的计算，保留到小数点后4位，小数点后第5位四舍五入，由此产生的收益或损失由基金财产承担。T日的基金份额净值在所投资基金披露净值或万份收益当日（法定节假日顺延至第一个交易日）计算，并在T+</w:t>
      </w:r>
      <w:r>
        <w:rPr>
          <w:rFonts w:hAnsi="宋体"/>
          <w:kern w:val="0"/>
          <w:sz w:val="24"/>
          <w:szCs w:val="24"/>
        </w:rPr>
        <w:t>2</w:t>
      </w:r>
      <w:r>
        <w:rPr>
          <w:rFonts w:hint="eastAsia" w:hAnsi="宋体"/>
          <w:kern w:val="0"/>
          <w:sz w:val="24"/>
          <w:szCs w:val="24"/>
        </w:rPr>
        <w:t>日内披露本基金T日的各类基金份额净值和基金份额累计净值。遇特殊情况，经履行适当程序，可以适当延迟计算或公告。</w:t>
      </w:r>
    </w:p>
    <w:p>
      <w:pPr>
        <w:adjustRightInd w:val="0"/>
        <w:snapToGrid w:val="0"/>
        <w:spacing w:line="360" w:lineRule="auto"/>
        <w:ind w:firstLine="482" w:firstLineChars="200"/>
        <w:outlineLvl w:val="1"/>
        <w:rPr>
          <w:rFonts w:hAnsi="宋体"/>
          <w:kern w:val="0"/>
          <w:sz w:val="24"/>
          <w:szCs w:val="24"/>
        </w:rPr>
      </w:pPr>
      <w:bookmarkStart w:id="38" w:name="_Toc79392615"/>
      <w:r>
        <w:rPr>
          <w:rFonts w:hAnsi="宋体"/>
          <w:b/>
          <w:kern w:val="0"/>
          <w:sz w:val="24"/>
          <w:szCs w:val="24"/>
        </w:rPr>
        <w:t>（八）拒绝或暂停申购的情形</w:t>
      </w:r>
      <w:bookmarkEnd w:id="38"/>
    </w:p>
    <w:p>
      <w:pPr>
        <w:widowControl/>
        <w:adjustRightInd w:val="0"/>
        <w:snapToGrid w:val="0"/>
        <w:spacing w:line="360" w:lineRule="auto"/>
        <w:ind w:firstLine="480" w:firstLineChars="200"/>
        <w:rPr>
          <w:rFonts w:hAnsi="宋体"/>
          <w:kern w:val="0"/>
          <w:sz w:val="24"/>
          <w:szCs w:val="24"/>
        </w:rPr>
      </w:pPr>
      <w:bookmarkStart w:id="39" w:name="_Hlt70481650"/>
      <w:bookmarkEnd w:id="39"/>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、因不可抗力导致基金无法正常运作。</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、证券交易所交易时间非正常停市</w:t>
      </w:r>
      <w:r>
        <w:rPr>
          <w:rFonts w:hint="eastAsia"/>
          <w:bCs/>
          <w:sz w:val="24"/>
        </w:rPr>
        <w:t>或港股通临时停市</w:t>
      </w:r>
      <w:r>
        <w:rPr>
          <w:rFonts w:hint="eastAsia" w:hAnsi="宋体"/>
          <w:kern w:val="0"/>
          <w:sz w:val="24"/>
          <w:szCs w:val="24"/>
        </w:rPr>
        <w:t>，导致基金管理人无法计算当日基金资产净值。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4、由于本基金持有的相当比例的基金暂停估值，导致基金管理人无法计算当日本基金资产净值。</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、港股通交易每日额度不足。</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、当前一估值日基金资产净值</w:t>
      </w:r>
      <w:r>
        <w:rPr>
          <w:rFonts w:hAnsi="宋体"/>
          <w:kern w:val="0"/>
          <w:sz w:val="24"/>
          <w:szCs w:val="24"/>
        </w:rPr>
        <w:t>50%</w:t>
      </w:r>
      <w:r>
        <w:rPr>
          <w:rFonts w:hint="eastAsia" w:hAnsi="宋体"/>
          <w:kern w:val="0"/>
          <w:sz w:val="24"/>
          <w:szCs w:val="24"/>
        </w:rPr>
        <w:t>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10</w:t>
      </w:r>
      <w:r>
        <w:rPr>
          <w:rFonts w:hint="eastAsia" w:hAnsi="宋体"/>
          <w:kern w:val="0"/>
          <w:sz w:val="24"/>
          <w:szCs w:val="24"/>
        </w:rPr>
        <w:t>、基金管理人接受某笔或者某些申购申请有可能导致单一投资者持有基金份额的比例超过</w:t>
      </w:r>
      <w:r>
        <w:rPr>
          <w:rFonts w:hAnsi="宋体"/>
          <w:kern w:val="0"/>
          <w:sz w:val="24"/>
          <w:szCs w:val="24"/>
        </w:rPr>
        <w:t>50%</w:t>
      </w:r>
      <w:r>
        <w:rPr>
          <w:rFonts w:hint="eastAsia" w:hAnsi="宋体"/>
          <w:kern w:val="0"/>
          <w:sz w:val="24"/>
          <w:szCs w:val="24"/>
        </w:rPr>
        <w:t>，或者变相规避</w:t>
      </w:r>
      <w:r>
        <w:rPr>
          <w:rFonts w:hAnsi="宋体"/>
          <w:kern w:val="0"/>
          <w:sz w:val="24"/>
          <w:szCs w:val="24"/>
        </w:rPr>
        <w:t>50%</w:t>
      </w:r>
      <w:r>
        <w:rPr>
          <w:rFonts w:hint="eastAsia" w:hAnsi="宋体"/>
          <w:kern w:val="0"/>
          <w:sz w:val="24"/>
          <w:szCs w:val="24"/>
        </w:rPr>
        <w:t>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11</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kern w:val="0"/>
          <w:sz w:val="24"/>
        </w:rPr>
      </w:pPr>
      <w:r>
        <w:rPr>
          <w:rFonts w:hint="eastAsia" w:hAnsi="宋体"/>
          <w:kern w:val="0"/>
          <w:sz w:val="24"/>
          <w:szCs w:val="24"/>
        </w:rPr>
        <w:t>发生上述除第</w:t>
      </w:r>
      <w:r>
        <w:rPr>
          <w:rFonts w:hAnsi="宋体"/>
          <w:kern w:val="0"/>
          <w:sz w:val="24"/>
          <w:szCs w:val="24"/>
        </w:rPr>
        <w:t>6</w:t>
      </w:r>
      <w:r>
        <w:rPr>
          <w:rFonts w:hint="eastAsia" w:hAnsi="宋体"/>
          <w:kern w:val="0"/>
          <w:sz w:val="24"/>
          <w:szCs w:val="24"/>
        </w:rPr>
        <w:t>、10项以外的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40"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3、证券交易所交易时间非正常停市</w:t>
      </w:r>
      <w:r>
        <w:rPr>
          <w:rFonts w:hint="eastAsia"/>
          <w:bCs/>
          <w:sz w:val="24"/>
        </w:rPr>
        <w:t>或港股通临时停市</w:t>
      </w:r>
      <w:r>
        <w:rPr>
          <w:rFonts w:hint="eastAsia" w:hAnsi="宋体"/>
          <w:kern w:val="0"/>
          <w:sz w:val="24"/>
          <w:szCs w:val="24"/>
        </w:rPr>
        <w:t>，导致基金管理人无法计算当日基金资产净值。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4、由于本基金持有的相当比例的基金暂停估值，导致基金管理人无法计算当日本基金资产净值。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5、由于本基金持有的相当比例的基金份额拒绝或暂停赎回、暂停上市或二级市场交易停牌、延期办理赎回、延期支付赎回款项，或其他可能对本基金业绩产生负面影响的情形。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9、法律法规规定、中国证监会认定或基金合同约定的其他情形。</w:t>
      </w:r>
    </w:p>
    <w:p>
      <w:pPr>
        <w:widowControl/>
        <w:adjustRightInd w:val="0"/>
        <w:snapToGrid w:val="0"/>
        <w:spacing w:line="360" w:lineRule="auto"/>
        <w:ind w:firstLine="480" w:firstLineChars="200"/>
        <w:rPr>
          <w:rFonts w:hAnsi="宋体"/>
          <w:kern w:val="0"/>
          <w:sz w:val="24"/>
        </w:rPr>
      </w:pPr>
      <w:r>
        <w:rPr>
          <w:rFonts w:hint="eastAsia" w:hAnsi="宋体"/>
          <w:kern w:val="0"/>
          <w:sz w:val="24"/>
          <w:szCs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40"/>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rPr>
      </w:pPr>
      <w:r>
        <w:rPr>
          <w:rFonts w:hint="eastAsia" w:hAnsi="宋体"/>
          <w:kern w:val="0"/>
          <w:sz w:val="24"/>
          <w:szCs w:val="24"/>
        </w:rPr>
        <w:t>3、巨额赎回的公告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pPr>
        <w:widowControl/>
        <w:adjustRightInd w:val="0"/>
        <w:snapToGrid w:val="0"/>
        <w:spacing w:line="360" w:lineRule="auto"/>
        <w:ind w:firstLine="482" w:firstLineChars="200"/>
        <w:outlineLvl w:val="1"/>
        <w:rPr>
          <w:b/>
          <w:kern w:val="0"/>
          <w:sz w:val="24"/>
          <w:szCs w:val="24"/>
        </w:rPr>
      </w:pPr>
      <w:bookmarkStart w:id="41" w:name="_Toc79392617"/>
      <w:r>
        <w:rPr>
          <w:rFonts w:hAnsi="宋体"/>
          <w:b/>
          <w:kern w:val="0"/>
          <w:sz w:val="24"/>
          <w:szCs w:val="24"/>
        </w:rPr>
        <w:t>（十一）暂停申购或赎回的公告和重新开放申购或赎回的公告</w:t>
      </w:r>
      <w:bookmarkEnd w:id="41"/>
    </w:p>
    <w:p>
      <w:pPr>
        <w:widowControl/>
        <w:adjustRightInd w:val="0"/>
        <w:snapToGrid w:val="0"/>
        <w:spacing w:line="360" w:lineRule="auto"/>
        <w:ind w:firstLine="480" w:firstLineChars="200"/>
        <w:rPr>
          <w:rFonts w:hAnsi="宋体"/>
          <w:kern w:val="0"/>
          <w:sz w:val="24"/>
          <w:szCs w:val="24"/>
        </w:rPr>
      </w:pPr>
      <w:bookmarkStart w:id="42" w:name="_Toc15118274"/>
      <w:bookmarkStart w:id="43" w:name="_Toc79392618"/>
      <w:bookmarkStart w:id="44" w:name="_Toc59441259"/>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2、如发生暂停的时间为1日，基金管理人应于重新开放日，在规定媒介上刊登基金重新开放申购或赎回公告，并公布最近1个开放日的</w:t>
      </w:r>
      <w:r>
        <w:rPr>
          <w:rFonts w:hint="eastAsia"/>
          <w:sz w:val="24"/>
          <w:szCs w:val="24"/>
        </w:rPr>
        <w:t>各类</w:t>
      </w:r>
      <w:r>
        <w:rPr>
          <w:rFonts w:hint="eastAsia" w:hAnsi="宋体"/>
          <w:kern w:val="0"/>
          <w:sz w:val="24"/>
          <w:szCs w:val="24"/>
        </w:rPr>
        <w:t>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42"/>
    <w:bookmarkEnd w:id="43"/>
    <w:bookmarkEnd w:id="44"/>
    <w:p>
      <w:pPr>
        <w:widowControl/>
        <w:adjustRightInd w:val="0"/>
        <w:snapToGrid w:val="0"/>
        <w:spacing w:line="360" w:lineRule="auto"/>
        <w:ind w:firstLine="482" w:firstLineChars="200"/>
        <w:outlineLvl w:val="1"/>
        <w:rPr>
          <w:b/>
          <w:kern w:val="0"/>
          <w:sz w:val="24"/>
          <w:szCs w:val="24"/>
        </w:rPr>
      </w:pPr>
      <w:bookmarkStart w:id="45"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5"/>
    </w:p>
    <w:p>
      <w:pPr>
        <w:widowControl/>
        <w:adjustRightInd w:val="0"/>
        <w:snapToGrid w:val="0"/>
        <w:spacing w:line="360" w:lineRule="auto"/>
        <w:ind w:firstLine="480" w:firstLineChars="200"/>
        <w:rPr>
          <w:rFonts w:hAnsi="宋体"/>
          <w:kern w:val="0"/>
          <w:sz w:val="24"/>
          <w:szCs w:val="24"/>
        </w:rPr>
      </w:pPr>
      <w:bookmarkStart w:id="46"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6"/>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7" w:name="_Toc66720082"/>
      <w:bookmarkStart w:id="48" w:name="_Toc109059024"/>
      <w:bookmarkStart w:id="49" w:name="_Toc66719557"/>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50" w:name="_Toc5246"/>
      <w:bookmarkStart w:id="51" w:name="_Toc56690589"/>
      <w:r>
        <w:rPr>
          <w:rFonts w:hint="eastAsia" w:ascii="宋体" w:hAnsi="宋体"/>
          <w:b/>
          <w:kern w:val="0"/>
          <w:sz w:val="30"/>
        </w:rPr>
        <w:t>九、基金的投资</w:t>
      </w:r>
      <w:bookmarkEnd w:id="50"/>
      <w:bookmarkEnd w:id="51"/>
    </w:p>
    <w:p>
      <w:pPr>
        <w:adjustRightInd w:val="0"/>
        <w:snapToGrid w:val="0"/>
        <w:spacing w:line="360" w:lineRule="auto"/>
        <w:ind w:firstLine="482" w:firstLineChars="200"/>
        <w:outlineLvl w:val="1"/>
        <w:rPr>
          <w:rFonts w:hAnsi="宋体"/>
          <w:kern w:val="0"/>
          <w:sz w:val="24"/>
          <w:szCs w:val="24"/>
        </w:rPr>
      </w:pPr>
      <w:r>
        <w:rPr>
          <w:rFonts w:hint="eastAsia"/>
          <w:b/>
          <w:bCs/>
          <w:sz w:val="24"/>
        </w:rPr>
        <w:t>（一）投资目标</w:t>
      </w:r>
    </w:p>
    <w:p>
      <w:pPr>
        <w:adjustRightInd w:val="0"/>
        <w:snapToGrid w:val="0"/>
        <w:spacing w:line="360" w:lineRule="auto"/>
        <w:ind w:firstLine="482"/>
        <w:rPr>
          <w:bCs/>
          <w:sz w:val="24"/>
        </w:rPr>
      </w:pPr>
      <w:r>
        <w:rPr>
          <w:rFonts w:hint="eastAsia"/>
          <w:bCs/>
          <w:sz w:val="24"/>
        </w:rPr>
        <w:t>本基金主要投资于经中国证监会依法核准或注册的公开募集证券投资基金的基金份额，在保持基金资产良好的流动性的前提下，力争实现基金资产的长期增值。</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sz w:val="24"/>
        </w:rPr>
      </w:pPr>
      <w:r>
        <w:rPr>
          <w:rFonts w:hint="eastAsia"/>
          <w:sz w:val="24"/>
        </w:rPr>
        <w:t>本基金的投资范围为具有良好流动性的金融工具，包括经中国证监会依法核准或注册的公开募集证券投资基金（含ETF和LOF、香港互认基金</w:t>
      </w:r>
      <w:r>
        <w:rPr>
          <w:rFonts w:hint="eastAsia"/>
          <w:bCs/>
          <w:sz w:val="24"/>
        </w:rPr>
        <w:t>，不含Q</w:t>
      </w:r>
      <w:r>
        <w:rPr>
          <w:bCs/>
          <w:sz w:val="24"/>
        </w:rPr>
        <w:t>DII</w:t>
      </w:r>
      <w:r>
        <w:rPr>
          <w:rFonts w:hint="eastAsia"/>
          <w:bCs/>
          <w:sz w:val="24"/>
        </w:rPr>
        <w:t>基金</w:t>
      </w:r>
      <w:r>
        <w:rPr>
          <w:rFonts w:hint="eastAsia"/>
          <w:sz w:val="24"/>
        </w:rPr>
        <w:t>）、国内依法发行上市的股票（含创业板及其他经中国证监会核准或注册上市的股票、存托凭证）、</w:t>
      </w:r>
      <w:r>
        <w:rPr>
          <w:rFonts w:hint="eastAsia"/>
          <w:bCs/>
          <w:sz w:val="24"/>
        </w:rPr>
        <w:t>港股通标的股票、</w:t>
      </w:r>
      <w:r>
        <w:rPr>
          <w:rFonts w:hint="eastAsia"/>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adjustRightInd w:val="0"/>
        <w:snapToGrid w:val="0"/>
        <w:spacing w:line="360" w:lineRule="auto"/>
        <w:ind w:firstLine="482"/>
        <w:rPr>
          <w:sz w:val="24"/>
        </w:rPr>
      </w:pPr>
      <w:r>
        <w:rPr>
          <w:rFonts w:hint="eastAsia"/>
          <w:sz w:val="24"/>
        </w:rPr>
        <w:t>如法律法规或监管机构以后允许基金投资其他品种，基金管理人在履行适当程序后，可以将其纳入投资范围。</w:t>
      </w:r>
    </w:p>
    <w:p>
      <w:pPr>
        <w:adjustRightInd w:val="0"/>
        <w:snapToGrid w:val="0"/>
        <w:spacing w:line="360" w:lineRule="auto"/>
        <w:ind w:firstLine="482"/>
        <w:rPr>
          <w:sz w:val="24"/>
        </w:rPr>
      </w:pPr>
      <w:r>
        <w:rPr>
          <w:rFonts w:hint="eastAsia"/>
          <w:sz w:val="24"/>
        </w:rPr>
        <w:t>基金的投资组合比例为：本基金投资于经中国证监会依法核准或注册的公开募集证券投资基金的基金份额的资产不低于本基金资产的80%；</w:t>
      </w:r>
      <w:r>
        <w:rPr>
          <w:rFonts w:hint="eastAsia"/>
          <w:bCs/>
          <w:sz w:val="24"/>
        </w:rPr>
        <w:t>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w:t>
      </w:r>
      <w:r>
        <w:rPr>
          <w:rFonts w:hint="eastAsia"/>
          <w:sz w:val="24"/>
        </w:rPr>
        <w:t>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sz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2"/>
        <w:outlineLvl w:val="2"/>
        <w:rPr>
          <w:sz w:val="24"/>
        </w:rPr>
      </w:pPr>
      <w:r>
        <w:rPr>
          <w:bCs/>
          <w:sz w:val="24"/>
        </w:rPr>
        <w:t>1</w:t>
      </w:r>
      <w:r>
        <w:rPr>
          <w:rFonts w:hint="eastAsia"/>
          <w:sz w:val="24"/>
        </w:rPr>
        <w:t>、大类资产配置</w:t>
      </w:r>
    </w:p>
    <w:p>
      <w:pPr>
        <w:adjustRightInd w:val="0"/>
        <w:snapToGrid w:val="0"/>
        <w:spacing w:line="360" w:lineRule="auto"/>
        <w:ind w:firstLine="482"/>
        <w:rPr>
          <w:sz w:val="24"/>
        </w:rPr>
      </w:pPr>
      <w:r>
        <w:rPr>
          <w:rFonts w:hint="eastAsia"/>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pPr>
        <w:adjustRightInd w:val="0"/>
        <w:snapToGrid w:val="0"/>
        <w:spacing w:line="360" w:lineRule="auto"/>
        <w:ind w:firstLine="482"/>
        <w:outlineLvl w:val="2"/>
        <w:rPr>
          <w:sz w:val="24"/>
        </w:rPr>
      </w:pPr>
      <w:r>
        <w:rPr>
          <w:sz w:val="24"/>
        </w:rPr>
        <w:t>2</w:t>
      </w:r>
      <w:r>
        <w:rPr>
          <w:rFonts w:hint="eastAsia"/>
          <w:sz w:val="24"/>
        </w:rPr>
        <w:t>、基金投资策略</w:t>
      </w:r>
    </w:p>
    <w:p>
      <w:pPr>
        <w:adjustRightInd w:val="0"/>
        <w:snapToGrid w:val="0"/>
        <w:spacing w:line="360" w:lineRule="auto"/>
        <w:ind w:firstLine="482"/>
        <w:rPr>
          <w:sz w:val="24"/>
        </w:rPr>
      </w:pPr>
      <w:r>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pPr>
        <w:adjustRightInd w:val="0"/>
        <w:snapToGrid w:val="0"/>
        <w:spacing w:line="360" w:lineRule="auto"/>
        <w:ind w:firstLine="482"/>
        <w:rPr>
          <w:sz w:val="24"/>
        </w:rPr>
      </w:pPr>
      <w:r>
        <w:rPr>
          <w:rFonts w:hint="eastAsia"/>
          <w:sz w:val="24"/>
        </w:rPr>
        <w:t>（</w:t>
      </w:r>
      <w:r>
        <w:rPr>
          <w:sz w:val="24"/>
        </w:rPr>
        <w:t>1</w:t>
      </w:r>
      <w:r>
        <w:rPr>
          <w:rFonts w:hint="eastAsia"/>
          <w:sz w:val="24"/>
        </w:rPr>
        <w:t>）运用量化方法分析所有适选基金在不同市场下的历史业绩表现，包括收益指标、风险指标和风险调整后收益指标等，具体如下：</w:t>
      </w:r>
    </w:p>
    <w:p>
      <w:pPr>
        <w:pStyle w:val="50"/>
        <w:numPr>
          <w:ilvl w:val="0"/>
          <w:numId w:val="1"/>
        </w:numPr>
        <w:adjustRightInd w:val="0"/>
        <w:snapToGrid w:val="0"/>
        <w:spacing w:line="360" w:lineRule="auto"/>
        <w:ind w:firstLineChars="0"/>
        <w:rPr>
          <w:sz w:val="24"/>
        </w:rPr>
      </w:pPr>
      <w:r>
        <w:rPr>
          <w:rFonts w:hint="eastAsia"/>
          <w:sz w:val="24"/>
        </w:rPr>
        <w:t>收益指标：包括绝对收益、相对收益等指标；</w:t>
      </w:r>
    </w:p>
    <w:p>
      <w:pPr>
        <w:pStyle w:val="50"/>
        <w:numPr>
          <w:ilvl w:val="0"/>
          <w:numId w:val="1"/>
        </w:numPr>
        <w:adjustRightInd w:val="0"/>
        <w:snapToGrid w:val="0"/>
        <w:spacing w:line="360" w:lineRule="auto"/>
        <w:ind w:firstLineChars="0"/>
        <w:rPr>
          <w:sz w:val="24"/>
        </w:rPr>
      </w:pPr>
      <w:r>
        <w:rPr>
          <w:rFonts w:hint="eastAsia"/>
          <w:sz w:val="24"/>
        </w:rPr>
        <w:t>风险指标：包括波动率、最大回撤等指标；</w:t>
      </w:r>
    </w:p>
    <w:p>
      <w:pPr>
        <w:pStyle w:val="50"/>
        <w:numPr>
          <w:ilvl w:val="0"/>
          <w:numId w:val="1"/>
        </w:numPr>
        <w:adjustRightInd w:val="0"/>
        <w:snapToGrid w:val="0"/>
        <w:spacing w:line="360" w:lineRule="auto"/>
        <w:ind w:firstLineChars="0"/>
        <w:rPr>
          <w:sz w:val="24"/>
        </w:rPr>
      </w:pPr>
      <w:r>
        <w:rPr>
          <w:rFonts w:hint="eastAsia"/>
          <w:sz w:val="24"/>
        </w:rPr>
        <w:t>风险调整后收益指标：包括夏普比率、信息比率等指标。</w:t>
      </w:r>
    </w:p>
    <w:p>
      <w:pPr>
        <w:adjustRightInd w:val="0"/>
        <w:snapToGrid w:val="0"/>
        <w:spacing w:line="360" w:lineRule="auto"/>
        <w:ind w:firstLine="482"/>
        <w:rPr>
          <w:sz w:val="24"/>
        </w:rPr>
      </w:pPr>
      <w:r>
        <w:rPr>
          <w:rFonts w:hint="eastAsia"/>
          <w:sz w:val="24"/>
        </w:rPr>
        <w:t>（</w:t>
      </w:r>
      <w:r>
        <w:rPr>
          <w:sz w:val="24"/>
        </w:rPr>
        <w:t>2</w:t>
      </w:r>
      <w:r>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pPr>
        <w:adjustRightInd w:val="0"/>
        <w:snapToGrid w:val="0"/>
        <w:spacing w:line="360" w:lineRule="auto"/>
        <w:ind w:firstLine="482"/>
        <w:rPr>
          <w:sz w:val="24"/>
        </w:rPr>
      </w:pPr>
      <w:r>
        <w:rPr>
          <w:rFonts w:hint="eastAsia"/>
          <w:sz w:val="24"/>
        </w:rPr>
        <w:t>（</w:t>
      </w:r>
      <w:r>
        <w:rPr>
          <w:sz w:val="24"/>
        </w:rPr>
        <w:t>3</w:t>
      </w:r>
      <w:r>
        <w:rPr>
          <w:rFonts w:hint="eastAsia"/>
          <w:sz w:val="24"/>
        </w:rPr>
        <w:t>）结合对基金管理人的定性评估，包括基金管理人基本情况、投研团队实力以及投研团队稳定性、基金经理投资优势及业绩稳定性等方面，最终确定本基金的投资组合及配置比例。</w:t>
      </w:r>
    </w:p>
    <w:p>
      <w:pPr>
        <w:adjustRightInd w:val="0"/>
        <w:snapToGrid w:val="0"/>
        <w:spacing w:line="360" w:lineRule="auto"/>
        <w:ind w:firstLine="482"/>
        <w:rPr>
          <w:sz w:val="24"/>
        </w:rPr>
      </w:pPr>
      <w:r>
        <w:rPr>
          <w:rFonts w:hint="eastAsia"/>
          <w:sz w:val="24"/>
        </w:rPr>
        <w:t>综上，本基金通过定量和定性相结合的方法，长期持续跟踪本基金的组合业绩，并定期对基金组合进行维护，力争实现基金资产的长期稳健增值。</w:t>
      </w:r>
    </w:p>
    <w:p>
      <w:pPr>
        <w:adjustRightInd w:val="0"/>
        <w:snapToGrid w:val="0"/>
        <w:spacing w:line="360" w:lineRule="auto"/>
        <w:ind w:firstLine="482"/>
        <w:outlineLvl w:val="2"/>
        <w:rPr>
          <w:sz w:val="24"/>
        </w:rPr>
      </w:pPr>
      <w:r>
        <w:rPr>
          <w:sz w:val="24"/>
        </w:rPr>
        <w:t>3</w:t>
      </w:r>
      <w:r>
        <w:rPr>
          <w:rFonts w:hint="eastAsia"/>
          <w:sz w:val="24"/>
        </w:rPr>
        <w:t>、股票投资策略</w:t>
      </w:r>
    </w:p>
    <w:p>
      <w:pPr>
        <w:adjustRightInd w:val="0"/>
        <w:snapToGrid w:val="0"/>
        <w:spacing w:line="360" w:lineRule="auto"/>
        <w:ind w:firstLine="482"/>
        <w:rPr>
          <w:sz w:val="24"/>
        </w:rPr>
      </w:pPr>
      <w:r>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w:t>
      </w:r>
      <w:r>
        <w:rPr>
          <w:rFonts w:hint="eastAsia"/>
          <w:bCs/>
          <w:sz w:val="24"/>
        </w:rPr>
        <w:t>基本面</w:t>
      </w:r>
      <w:r>
        <w:rPr>
          <w:rFonts w:hint="eastAsia"/>
          <w:sz w:val="24"/>
        </w:rPr>
        <w:t>分析和深入的实地调研，以定性与定量相结合的方法对公司价值进行综合评估。通过对重点上市公司进行内在价值的评估和成长性跟踪研究，在明确的价值评估基础上精选优秀质地的投资标的。</w:t>
      </w:r>
    </w:p>
    <w:p>
      <w:pPr>
        <w:adjustRightInd w:val="0"/>
        <w:snapToGrid w:val="0"/>
        <w:spacing w:line="360" w:lineRule="auto"/>
        <w:ind w:firstLine="482"/>
        <w:rPr>
          <w:sz w:val="24"/>
        </w:rPr>
      </w:pPr>
      <w:r>
        <w:rPr>
          <w:rFonts w:hint="eastAsia"/>
          <w:sz w:val="24"/>
        </w:rPr>
        <w:t>本基金投资存托凭证的策略依照境内上市交易的股票投资策略执行。</w:t>
      </w:r>
    </w:p>
    <w:p>
      <w:pPr>
        <w:adjustRightInd w:val="0"/>
        <w:snapToGrid w:val="0"/>
        <w:spacing w:line="360" w:lineRule="auto"/>
        <w:ind w:firstLine="482"/>
        <w:outlineLvl w:val="2"/>
        <w:rPr>
          <w:sz w:val="24"/>
        </w:rPr>
      </w:pPr>
      <w:r>
        <w:rPr>
          <w:sz w:val="24"/>
        </w:rPr>
        <w:t>4</w:t>
      </w:r>
      <w:r>
        <w:rPr>
          <w:rFonts w:hint="eastAsia"/>
          <w:sz w:val="24"/>
        </w:rPr>
        <w:t>、港股通标的股票投资策略</w:t>
      </w:r>
    </w:p>
    <w:p>
      <w:pPr>
        <w:adjustRightInd w:val="0"/>
        <w:snapToGrid w:val="0"/>
        <w:spacing w:line="360" w:lineRule="auto"/>
        <w:ind w:firstLine="482"/>
        <w:rPr>
          <w:sz w:val="24"/>
        </w:rPr>
      </w:pPr>
      <w:r>
        <w:rPr>
          <w:rFonts w:hint="eastAsia"/>
          <w:sz w:val="24"/>
        </w:rPr>
        <w:t>本基金可通过内地与香港股票市场交易互联互通机制投资于香港股票市场。本基金优先将基本面健康、业绩向上弹性较大、具有估值优势的港股纳入本基金的股票投资组合。</w:t>
      </w:r>
    </w:p>
    <w:p>
      <w:pPr>
        <w:adjustRightInd w:val="0"/>
        <w:snapToGrid w:val="0"/>
        <w:spacing w:line="360" w:lineRule="auto"/>
        <w:ind w:firstLine="482"/>
        <w:rPr>
          <w:sz w:val="24"/>
        </w:rPr>
      </w:pPr>
      <w:r>
        <w:rPr>
          <w:rFonts w:hint="eastAsia"/>
          <w:sz w:val="24"/>
        </w:rPr>
        <w:t>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2"/>
        <w:outlineLvl w:val="2"/>
        <w:rPr>
          <w:sz w:val="24"/>
        </w:rPr>
      </w:pPr>
      <w:r>
        <w:rPr>
          <w:rFonts w:hint="eastAsia"/>
          <w:sz w:val="24"/>
        </w:rPr>
        <w:t>5、债券投资策略</w:t>
      </w:r>
    </w:p>
    <w:p>
      <w:pPr>
        <w:adjustRightInd w:val="0"/>
        <w:snapToGrid w:val="0"/>
        <w:spacing w:line="360" w:lineRule="auto"/>
        <w:ind w:firstLine="482"/>
        <w:rPr>
          <w:sz w:val="24"/>
        </w:rPr>
      </w:pPr>
      <w:r>
        <w:rPr>
          <w:rFonts w:hint="eastAsia"/>
          <w:sz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2"/>
        <w:rPr>
          <w:sz w:val="24"/>
        </w:rPr>
      </w:pPr>
      <w:r>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pPr>
        <w:adjustRightInd w:val="0"/>
        <w:snapToGrid w:val="0"/>
        <w:spacing w:line="360" w:lineRule="auto"/>
        <w:ind w:firstLine="482"/>
        <w:outlineLvl w:val="2"/>
        <w:rPr>
          <w:sz w:val="24"/>
        </w:rPr>
      </w:pPr>
      <w:r>
        <w:rPr>
          <w:sz w:val="24"/>
        </w:rPr>
        <w:t>6</w:t>
      </w:r>
      <w:r>
        <w:rPr>
          <w:rFonts w:hint="eastAsia"/>
          <w:sz w:val="24"/>
        </w:rPr>
        <w:t>、资产支持证券投资策略</w:t>
      </w:r>
    </w:p>
    <w:p>
      <w:pPr>
        <w:adjustRightInd w:val="0"/>
        <w:snapToGrid w:val="0"/>
        <w:spacing w:line="360" w:lineRule="auto"/>
        <w:ind w:firstLine="480" w:firstLineChars="200"/>
        <w:rPr>
          <w:rFonts w:ascii="宋体" w:hAnsi="宋体"/>
          <w:bCs/>
          <w:sz w:val="24"/>
          <w:szCs w:val="24"/>
        </w:rPr>
      </w:pPr>
      <w:r>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hint="eastAsia" w:ascii="宋体" w:hAnsi="宋体"/>
          <w:bCs/>
          <w:sz w:val="24"/>
          <w:szCs w:val="24"/>
        </w:rPr>
        <w:t>。</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（其中投资于港股通标的股票的比例占股票资产的0%-50%）；投资于货币市场基金的比例不得超过基金资产的15%；</w:t>
      </w:r>
    </w:p>
    <w:p>
      <w:pPr>
        <w:adjustRightInd w:val="0"/>
        <w:snapToGrid w:val="0"/>
        <w:spacing w:line="360" w:lineRule="auto"/>
        <w:ind w:firstLine="480" w:firstLineChars="200"/>
        <w:rPr>
          <w:bCs/>
          <w:sz w:val="24"/>
        </w:rPr>
      </w:pPr>
      <w:r>
        <w:rPr>
          <w:rFonts w:hint="eastAsia"/>
          <w:bCs/>
          <w:sz w:val="24"/>
        </w:rPr>
        <w:t>（2）本基金持有的现金或者到期日在一年以内的政府债券的比例合计不低于基金资产净值的5%，其中现金不包括结算备付金、存出保证金、应收申购款等；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adjustRightInd w:val="0"/>
        <w:snapToGrid w:val="0"/>
        <w:spacing w:line="360" w:lineRule="auto"/>
        <w:ind w:firstLine="480" w:firstLineChars="200"/>
        <w:rPr>
          <w:bCs/>
          <w:sz w:val="24"/>
        </w:rPr>
      </w:pPr>
      <w:r>
        <w:rPr>
          <w:rFonts w:hint="eastAsia"/>
          <w:bCs/>
          <w:sz w:val="24"/>
        </w:rPr>
        <w:t>（4）本基金管理人管理的全部基金（除ETF联接基金外）持有单只基金不得超过被投资基金净资产的20%，被投资基金净资产规模以最近定期报告披露的规模为准；</w:t>
      </w:r>
    </w:p>
    <w:p>
      <w:pPr>
        <w:adjustRightInd w:val="0"/>
        <w:snapToGrid w:val="0"/>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adjustRightInd w:val="0"/>
        <w:snapToGrid w:val="0"/>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adjustRightInd w:val="0"/>
        <w:snapToGrid w:val="0"/>
        <w:spacing w:line="360" w:lineRule="auto"/>
        <w:ind w:firstLine="480" w:firstLineChars="200"/>
        <w:rPr>
          <w:bCs/>
          <w:sz w:val="24"/>
        </w:rPr>
      </w:pPr>
      <w:r>
        <w:rPr>
          <w:rFonts w:hint="eastAsia"/>
          <w:bCs/>
          <w:sz w:val="24"/>
        </w:rPr>
        <w:t>（7）本基金投资于封闭运作基金、定期开放基金等流通受限基金的，其公允价值不得超过本基金资产净值的10%；</w:t>
      </w:r>
    </w:p>
    <w:p>
      <w:pPr>
        <w:adjustRightInd w:val="0"/>
        <w:snapToGrid w:val="0"/>
        <w:spacing w:line="360" w:lineRule="auto"/>
        <w:ind w:firstLine="480" w:firstLineChars="200"/>
        <w:rPr>
          <w:bCs/>
          <w:sz w:val="24"/>
        </w:rPr>
      </w:pPr>
      <w:r>
        <w:rPr>
          <w:rFonts w:hint="eastAsia"/>
          <w:bCs/>
          <w:sz w:val="24"/>
        </w:rPr>
        <w:t>（8）基金管理人运用本基金财产投资于股票、债券等金融工具的，投资品种和比例应当符合本基金的投资目标和投资策略；</w:t>
      </w:r>
    </w:p>
    <w:p>
      <w:pPr>
        <w:adjustRightInd w:val="0"/>
        <w:snapToGrid w:val="0"/>
        <w:spacing w:line="360" w:lineRule="auto"/>
        <w:ind w:firstLine="480" w:firstLineChars="200"/>
        <w:rPr>
          <w:bCs/>
          <w:sz w:val="24"/>
        </w:rPr>
      </w:pPr>
      <w:r>
        <w:rPr>
          <w:rFonts w:hint="eastAsia"/>
          <w:bCs/>
          <w:sz w:val="24"/>
        </w:rPr>
        <w:t>（9）本基金持有一家公司发行的证券（同一家公司在内地和香港同时上市的A+H股合并计算，不含本基金所投资的基金份额），其市值不超过基金资产净值的10%；</w:t>
      </w:r>
    </w:p>
    <w:p>
      <w:pPr>
        <w:adjustRightInd w:val="0"/>
        <w:snapToGrid w:val="0"/>
        <w:spacing w:line="360" w:lineRule="auto"/>
        <w:ind w:firstLine="480" w:firstLineChars="200"/>
        <w:rPr>
          <w:bCs/>
          <w:sz w:val="24"/>
        </w:rPr>
      </w:pPr>
      <w:r>
        <w:rPr>
          <w:rFonts w:hint="eastAsia"/>
          <w:bCs/>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（20）本基金进入全国银行间同业市场进行债券回购的资金余额不得超过基金资产净值的40%，进入全国银行间同业市场进行债券回购的最长期限为1年，债券回购到期后不得展期；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w:t>
      </w:r>
      <w:r>
        <w:rPr>
          <w:bCs/>
          <w:sz w:val="24"/>
        </w:rPr>
        <w:t>12</w:t>
      </w:r>
      <w:r>
        <w:rPr>
          <w:rFonts w:hint="eastAsia"/>
          <w:bCs/>
          <w:sz w:val="24"/>
        </w:rPr>
        <w:t>）项、第（</w:t>
      </w:r>
      <w:r>
        <w:rPr>
          <w:bCs/>
          <w:sz w:val="24"/>
        </w:rPr>
        <w:t>13</w:t>
      </w:r>
      <w:r>
        <w:rPr>
          <w:rFonts w:hint="eastAsia"/>
          <w:bCs/>
          <w:sz w:val="24"/>
        </w:rPr>
        <w:t>）项及第（</w:t>
      </w:r>
      <w:r>
        <w:rPr>
          <w:bCs/>
          <w:sz w:val="24"/>
        </w:rPr>
        <w:t>18</w:t>
      </w:r>
      <w:r>
        <w:rPr>
          <w:rFonts w:hint="eastAsia"/>
          <w:bCs/>
          <w:sz w:val="24"/>
        </w:rPr>
        <w:t>）项以外的其他情形，基金管理人应当在10个交易日内进行调整，但中国证监会规定的特殊情形除外。法律法规另有规定的，从其规定。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2、禁止行为</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为维护基金份额持有人的合法权益，基金财产不得用于下列投资或者活动：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（1）承销证券；</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（2）违反规定向他人贷款或者提供担保；</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（3）从事承担无限责任的投资；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（4）向其基金管理人、基金托管人出资；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（5）从事内幕交易、操纵证券交易价格及其他不正当的证券交易活动；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（6）法律、行政法规和中国证监会规定禁止的其他活动。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50</w:t>
      </w:r>
      <w:r>
        <w:rPr>
          <w:rFonts w:hint="eastAsia" w:ascii="宋体" w:hAnsi="宋体"/>
          <w:bCs/>
          <w:sz w:val="24"/>
          <w:szCs w:val="24"/>
        </w:rPr>
        <w:t>%×中债综合全价指数收益率+</w:t>
      </w:r>
      <w:r>
        <w:rPr>
          <w:rFonts w:ascii="宋体" w:hAnsi="宋体"/>
          <w:bCs/>
          <w:sz w:val="24"/>
          <w:szCs w:val="24"/>
        </w:rPr>
        <w:t>50</w:t>
      </w:r>
      <w:r>
        <w:rPr>
          <w:rFonts w:hint="eastAsia" w:ascii="宋体" w:hAnsi="宋体"/>
          <w:bCs/>
          <w:sz w:val="24"/>
          <w:szCs w:val="24"/>
        </w:rPr>
        <w:t>%×沪深300指数收益率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根据本基金的投资范围和投资策略，选用上述业绩比较基准能够客观、合理地反映本基金的风险收益特征。</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本基金为混合型基金中基金，其预期风险与预期收益理论上高于债券型基金、债券型基金中基金、货币市场基金和货币型基金中基金，低于股票型基金和股票型基金中基金。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hAnsi="宋体"/>
          <w:sz w:val="24"/>
          <w:szCs w:val="24"/>
        </w:rPr>
      </w:pPr>
      <w:r>
        <w:rPr>
          <w:rFonts w:hint="eastAsia" w:ascii="宋体" w:hAnsi="宋体"/>
          <w:sz w:val="24"/>
        </w:rPr>
        <w:t>4、不通过关联交易为自身、雇员、授权代理人或任何存在利害关系的第三人牟取任何不当利益。</w:t>
      </w:r>
      <w:bookmarkEnd w:id="47"/>
      <w:bookmarkEnd w:id="48"/>
      <w:bookmarkEnd w:id="49"/>
      <w:bookmarkStart w:id="52" w:name="_Hlt5604240"/>
      <w:bookmarkEnd w:id="52"/>
      <w:bookmarkStart w:id="53" w:name="_Hlt81033092"/>
      <w:bookmarkEnd w:id="53"/>
      <w:bookmarkStart w:id="54" w:name="_Toc109059025"/>
      <w:bookmarkEnd w:id="54"/>
      <w:bookmarkStart w:id="55" w:name="_Hlt5528681"/>
      <w:bookmarkEnd w:id="55"/>
      <w:bookmarkStart w:id="56" w:name="_Toc109059036"/>
      <w:bookmarkEnd w:id="56"/>
      <w:bookmarkStart w:id="57" w:name="_Hlt81033424"/>
      <w:bookmarkEnd w:id="57"/>
      <w:bookmarkStart w:id="58" w:name="_Toc109059037"/>
      <w:bookmarkEnd w:id="58"/>
      <w:bookmarkStart w:id="59" w:name="_Hlt88281392"/>
      <w:bookmarkEnd w:id="59"/>
      <w:bookmarkStart w:id="60" w:name="_Toc78208364"/>
      <w:bookmarkStart w:id="61" w:name="_Toc155690783"/>
      <w:bookmarkStart w:id="62" w:name="_Toc154909614"/>
    </w:p>
    <w:p>
      <w:pPr>
        <w:adjustRightInd w:val="0"/>
        <w:snapToGrid w:val="0"/>
        <w:spacing w:line="360" w:lineRule="auto"/>
        <w:ind w:firstLine="482" w:firstLineChars="200"/>
        <w:outlineLvl w:val="1"/>
        <w:rPr>
          <w:rFonts w:hAnsi="宋体"/>
          <w:b/>
          <w:sz w:val="24"/>
          <w:szCs w:val="24"/>
        </w:rPr>
      </w:pPr>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hAnsi="宋体"/>
          <w:sz w:val="24"/>
          <w:szCs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63" w:name="_Toc9357"/>
      <w:bookmarkStart w:id="64" w:name="_Toc56690590"/>
      <w:r>
        <w:rPr>
          <w:rFonts w:hint="eastAsia" w:ascii="宋体" w:hAnsi="宋体"/>
          <w:b/>
          <w:kern w:val="0"/>
          <w:sz w:val="30"/>
        </w:rPr>
        <w:t>十、基金的财产</w:t>
      </w:r>
      <w:bookmarkEnd w:id="63"/>
      <w:bookmarkEnd w:id="64"/>
    </w:p>
    <w:p>
      <w:pPr>
        <w:adjustRightInd w:val="0"/>
        <w:snapToGrid w:val="0"/>
        <w:spacing w:line="360" w:lineRule="auto"/>
        <w:ind w:firstLine="482" w:firstLineChars="200"/>
        <w:outlineLvl w:val="1"/>
        <w:rPr>
          <w:b/>
          <w:bCs/>
          <w:sz w:val="24"/>
        </w:rPr>
      </w:pPr>
      <w:r>
        <w:rPr>
          <w:b/>
          <w:bCs/>
          <w:sz w:val="24"/>
        </w:rPr>
        <w:t>（一）基金资产总值</w:t>
      </w:r>
    </w:p>
    <w:bookmarkEnd w:id="60"/>
    <w:p>
      <w:pPr>
        <w:widowControl/>
        <w:adjustRightInd w:val="0"/>
        <w:snapToGrid w:val="0"/>
        <w:spacing w:line="360" w:lineRule="auto"/>
        <w:ind w:firstLine="480" w:firstLineChars="200"/>
        <w:rPr>
          <w:kern w:val="0"/>
          <w:sz w:val="24"/>
        </w:rPr>
      </w:pPr>
      <w:bookmarkStart w:id="65" w:name="_Toc311810245"/>
      <w:r>
        <w:rPr>
          <w:rFonts w:hint="eastAsia"/>
          <w:kern w:val="0"/>
          <w:sz w:val="24"/>
        </w:rPr>
        <w:t>基金资产总值是指基金拥有的各类有价证券、证券投资基金份额、银行存款本息、基金应收款项及其他资产的价值总和。</w:t>
      </w:r>
    </w:p>
    <w:p>
      <w:pPr>
        <w:adjustRightInd w:val="0"/>
        <w:snapToGrid w:val="0"/>
        <w:spacing w:line="360" w:lineRule="auto"/>
        <w:ind w:firstLine="482" w:firstLineChars="200"/>
        <w:outlineLvl w:val="1"/>
        <w:rPr>
          <w:b/>
          <w:bCs/>
          <w:sz w:val="24"/>
        </w:rPr>
      </w:pPr>
      <w:r>
        <w:rPr>
          <w:b/>
          <w:bCs/>
          <w:sz w:val="24"/>
        </w:rPr>
        <w:t>（二）基金资</w:t>
      </w:r>
      <w:bookmarkEnd w:id="65"/>
      <w:r>
        <w:rPr>
          <w:b/>
          <w:bCs/>
          <w:sz w:val="24"/>
        </w:rPr>
        <w:t>产</w:t>
      </w:r>
      <w:bookmarkEnd w:id="61"/>
      <w:bookmarkEnd w:id="62"/>
      <w:r>
        <w:rPr>
          <w:b/>
          <w:bCs/>
          <w:sz w:val="24"/>
        </w:rPr>
        <w:t>净</w:t>
      </w:r>
      <w:bookmarkStart w:id="66" w:name="_Toc109537391"/>
      <w:r>
        <w:rPr>
          <w:b/>
          <w:bCs/>
          <w:sz w:val="24"/>
        </w:rPr>
        <w:t>值</w:t>
      </w:r>
    </w:p>
    <w:bookmarkEnd w:id="66"/>
    <w:p>
      <w:pPr>
        <w:widowControl/>
        <w:adjustRightInd w:val="0"/>
        <w:snapToGrid w:val="0"/>
        <w:spacing w:line="360" w:lineRule="auto"/>
        <w:ind w:firstLine="480" w:firstLineChars="200"/>
        <w:rPr>
          <w:kern w:val="0"/>
          <w:sz w:val="24"/>
        </w:rPr>
      </w:pPr>
      <w:bookmarkStart w:id="67" w:name="_Toc79556449"/>
      <w:bookmarkStart w:id="68" w:name="_Toc79392635"/>
      <w:r>
        <w:rPr>
          <w:rFonts w:hint="eastAsia"/>
          <w:kern w:val="0"/>
          <w:sz w:val="24"/>
        </w:rPr>
        <w:t>基金资产净值是指基金资产总值减去基金负债后的价值。</w:t>
      </w:r>
    </w:p>
    <w:p>
      <w:pPr>
        <w:adjustRightInd w:val="0"/>
        <w:snapToGrid w:val="0"/>
        <w:spacing w:line="360" w:lineRule="auto"/>
        <w:ind w:firstLine="482" w:firstLineChars="200"/>
        <w:outlineLvl w:val="1"/>
        <w:rPr>
          <w:b/>
          <w:bCs/>
          <w:sz w:val="24"/>
        </w:rPr>
      </w:pPr>
      <w:r>
        <w:rPr>
          <w:b/>
          <w:bCs/>
          <w:sz w:val="24"/>
        </w:rPr>
        <w:t>（三）基金财产的账户</w:t>
      </w:r>
    </w:p>
    <w:bookmarkEnd w:id="67"/>
    <w:bookmarkEnd w:id="68"/>
    <w:p>
      <w:pPr>
        <w:widowControl/>
        <w:adjustRightInd w:val="0"/>
        <w:snapToGrid w:val="0"/>
        <w:spacing w:line="360" w:lineRule="auto"/>
        <w:ind w:firstLine="480" w:firstLineChars="200"/>
        <w:rPr>
          <w:kern w:val="0"/>
          <w:sz w:val="24"/>
        </w:rPr>
      </w:pPr>
      <w:r>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pPr>
        <w:adjustRightInd w:val="0"/>
        <w:snapToGrid w:val="0"/>
        <w:spacing w:line="360" w:lineRule="auto"/>
        <w:ind w:firstLine="482" w:firstLineChars="200"/>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9" w:name="_Toc16986"/>
      <w:bookmarkStart w:id="70" w:name="_Toc56690591"/>
      <w:r>
        <w:rPr>
          <w:rFonts w:hint="eastAsia" w:ascii="宋体" w:hAnsi="宋体"/>
          <w:b/>
          <w:kern w:val="0"/>
          <w:sz w:val="30"/>
        </w:rPr>
        <w:t>十一、基金资产的估值</w:t>
      </w:r>
      <w:bookmarkEnd w:id="69"/>
      <w:bookmarkEnd w:id="70"/>
    </w:p>
    <w:p>
      <w:pPr>
        <w:adjustRightInd w:val="0"/>
        <w:snapToGrid w:val="0"/>
        <w:spacing w:line="360" w:lineRule="auto"/>
        <w:ind w:firstLine="482" w:firstLineChars="200"/>
        <w:outlineLvl w:val="1"/>
        <w:rPr>
          <w:b/>
          <w:sz w:val="24"/>
          <w:szCs w:val="24"/>
        </w:rPr>
      </w:pPr>
      <w:r>
        <w:rPr>
          <w:rFonts w:hAnsi="宋体"/>
          <w:b/>
          <w:sz w:val="24"/>
          <w:szCs w:val="24"/>
        </w:rPr>
        <w:t>（一）估值日</w:t>
      </w:r>
    </w:p>
    <w:p>
      <w:pPr>
        <w:adjustRightInd w:val="0"/>
        <w:snapToGrid w:val="0"/>
        <w:spacing w:line="360" w:lineRule="auto"/>
        <w:ind w:firstLine="480" w:firstLineChars="200"/>
        <w:rPr>
          <w:sz w:val="24"/>
          <w:szCs w:val="24"/>
        </w:rPr>
      </w:pPr>
      <w:r>
        <w:rPr>
          <w:rFonts w:hint="eastAsia"/>
          <w:sz w:val="24"/>
        </w:rPr>
        <w:t>本基金的估值日为本基金相关的证券交易场所的交易日以及国家法律法规规定需要对外披露基金净值的非交易日。</w:t>
      </w:r>
      <w:r>
        <w:rPr>
          <w:rFonts w:hint="eastAsia"/>
          <w:sz w:val="24"/>
          <w:szCs w:val="24"/>
        </w:rPr>
        <w:t>所投资基金的估值日是指该基金基金份额净值和基金份额累计净值的归属日。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基金所拥有的证券投资基金份额、股票、债券、资产支持证券和其他投资等持续以公允价值计量的金融资产及负债。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rFonts w:hint="eastAsia"/>
          <w:bCs/>
          <w:sz w:val="24"/>
        </w:rPr>
        <w:t>3、如经济环境发生重大变化或证券发行人发生影响证券价格的重大事件，使潜在估值调整对前一估值日的基金资产净值的影响在0.25%以上的，应对估值进行调整并确定公允价值。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1、证券投资基金的估值</w:t>
      </w:r>
    </w:p>
    <w:p>
      <w:pPr>
        <w:adjustRightInd w:val="0"/>
        <w:snapToGrid w:val="0"/>
        <w:spacing w:line="360" w:lineRule="auto"/>
        <w:ind w:firstLine="480" w:firstLineChars="200"/>
        <w:rPr>
          <w:sz w:val="24"/>
          <w:szCs w:val="24"/>
        </w:rPr>
      </w:pPr>
      <w:r>
        <w:rPr>
          <w:rFonts w:hint="eastAsia"/>
          <w:sz w:val="24"/>
          <w:szCs w:val="24"/>
        </w:rPr>
        <w:t>（1）本基金投资于非上市的非货币市场基金，按所投资基金估值日的份额净值进行估值；</w:t>
      </w:r>
    </w:p>
    <w:p>
      <w:pPr>
        <w:adjustRightInd w:val="0"/>
        <w:snapToGrid w:val="0"/>
        <w:spacing w:line="360" w:lineRule="auto"/>
        <w:ind w:firstLine="480" w:firstLineChars="200"/>
        <w:rPr>
          <w:sz w:val="24"/>
          <w:szCs w:val="24"/>
        </w:rPr>
      </w:pPr>
      <w:r>
        <w:rPr>
          <w:rFonts w:hint="eastAsia"/>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pPr>
        <w:adjustRightInd w:val="0"/>
        <w:snapToGrid w:val="0"/>
        <w:spacing w:line="360" w:lineRule="auto"/>
        <w:ind w:firstLine="480" w:firstLineChars="200"/>
        <w:rPr>
          <w:sz w:val="24"/>
          <w:szCs w:val="24"/>
        </w:rPr>
      </w:pPr>
      <w:r>
        <w:rPr>
          <w:rFonts w:hint="eastAsia"/>
          <w:sz w:val="24"/>
          <w:szCs w:val="24"/>
        </w:rPr>
        <w:t>（3）本基金投资的ETF基金，按所投资ETF基金估值日的收盘价进行估值；</w:t>
      </w:r>
    </w:p>
    <w:p>
      <w:pPr>
        <w:adjustRightInd w:val="0"/>
        <w:snapToGrid w:val="0"/>
        <w:spacing w:line="360" w:lineRule="auto"/>
        <w:ind w:firstLine="480" w:firstLineChars="200"/>
        <w:rPr>
          <w:sz w:val="24"/>
          <w:szCs w:val="24"/>
        </w:rPr>
      </w:pPr>
      <w:r>
        <w:rPr>
          <w:rFonts w:hint="eastAsia"/>
          <w:sz w:val="24"/>
          <w:szCs w:val="24"/>
        </w:rPr>
        <w:t>（4）本基金投资的上市开放式基金（LOF），按所投资基金估值日的份额净值估值；</w:t>
      </w:r>
    </w:p>
    <w:p>
      <w:pPr>
        <w:adjustRightInd w:val="0"/>
        <w:snapToGrid w:val="0"/>
        <w:spacing w:line="360" w:lineRule="auto"/>
        <w:ind w:firstLine="480" w:firstLineChars="200"/>
        <w:rPr>
          <w:sz w:val="24"/>
          <w:szCs w:val="24"/>
        </w:rPr>
      </w:pPr>
      <w:r>
        <w:rPr>
          <w:rFonts w:hint="eastAsia"/>
          <w:sz w:val="24"/>
          <w:szCs w:val="24"/>
        </w:rPr>
        <w:t>（5）本基金投资的上市定期开放式基金、封闭式基金，按所投资基金估值日的收盘价估值；</w:t>
      </w:r>
    </w:p>
    <w:p>
      <w:pPr>
        <w:adjustRightInd w:val="0"/>
        <w:snapToGrid w:val="0"/>
        <w:spacing w:line="360" w:lineRule="auto"/>
        <w:ind w:firstLine="480" w:firstLineChars="200"/>
        <w:rPr>
          <w:sz w:val="24"/>
          <w:szCs w:val="24"/>
        </w:rPr>
      </w:pPr>
      <w:r>
        <w:rPr>
          <w:rFonts w:hint="eastAsia"/>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djustRightInd w:val="0"/>
        <w:snapToGrid w:val="0"/>
        <w:spacing w:line="360" w:lineRule="auto"/>
        <w:ind w:firstLine="480" w:firstLineChars="200"/>
        <w:rPr>
          <w:sz w:val="24"/>
          <w:szCs w:val="24"/>
        </w:rPr>
      </w:pPr>
      <w:r>
        <w:rPr>
          <w:rFonts w:hint="eastAsia"/>
          <w:sz w:val="24"/>
          <w:szCs w:val="24"/>
        </w:rPr>
        <w:t>（7）如遇所投资基金不公布基金份额净值、进行折算或拆分、估值日无交易等特殊情况，基金管理人根据以下原则进行估值：</w:t>
      </w:r>
    </w:p>
    <w:p>
      <w:pPr>
        <w:adjustRightInd w:val="0"/>
        <w:snapToGrid w:val="0"/>
        <w:spacing w:line="360" w:lineRule="auto"/>
        <w:ind w:firstLine="480" w:firstLineChars="200"/>
        <w:rPr>
          <w:sz w:val="24"/>
          <w:szCs w:val="24"/>
        </w:rPr>
      </w:pPr>
      <w:r>
        <w:rPr>
          <w:rFonts w:hint="eastAsia"/>
          <w:sz w:val="24"/>
          <w:szCs w:val="24"/>
        </w:rPr>
        <w:t>以所投资基金的基金份额净值估值的，若所投资基金与本基金估值频率一致但未公布估值日基金份额净值，以其最近公布的基金份额净值估值；</w:t>
      </w:r>
    </w:p>
    <w:p>
      <w:pPr>
        <w:adjustRightInd w:val="0"/>
        <w:snapToGrid w:val="0"/>
        <w:spacing w:line="360" w:lineRule="auto"/>
        <w:ind w:firstLine="480" w:firstLineChars="200"/>
        <w:rPr>
          <w:sz w:val="24"/>
          <w:szCs w:val="24"/>
        </w:rPr>
      </w:pPr>
      <w:r>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adjustRightInd w:val="0"/>
        <w:snapToGrid w:val="0"/>
        <w:spacing w:line="360" w:lineRule="auto"/>
        <w:ind w:firstLine="480" w:firstLineChars="200"/>
        <w:rPr>
          <w:sz w:val="24"/>
          <w:szCs w:val="24"/>
        </w:rPr>
      </w:pPr>
      <w:r>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pPr>
        <w:adjustRightInd w:val="0"/>
        <w:snapToGrid w:val="0"/>
        <w:spacing w:line="360" w:lineRule="auto"/>
        <w:ind w:firstLine="480" w:firstLineChars="200"/>
        <w:rPr>
          <w:sz w:val="24"/>
          <w:szCs w:val="24"/>
        </w:rPr>
      </w:pPr>
      <w:r>
        <w:rPr>
          <w:rFonts w:hint="eastAsia"/>
          <w:sz w:val="24"/>
          <w:szCs w:val="24"/>
        </w:rPr>
        <w:t>（8）当基金管理人认为所投资基金按上述第（1）至第（7）条进行估值存在不公允时，应与基金托管人协商一致采用合理的估值技术或估值标准确定其公允价值。</w:t>
      </w:r>
    </w:p>
    <w:p>
      <w:pPr>
        <w:adjustRightInd w:val="0"/>
        <w:snapToGrid w:val="0"/>
        <w:spacing w:line="360" w:lineRule="auto"/>
        <w:ind w:firstLine="480" w:firstLineChars="200"/>
        <w:rPr>
          <w:sz w:val="24"/>
          <w:szCs w:val="24"/>
        </w:rPr>
      </w:pPr>
      <w:r>
        <w:rPr>
          <w:rFonts w:hint="eastAsia"/>
          <w:sz w:val="24"/>
          <w:szCs w:val="24"/>
        </w:rPr>
        <w:t>2、证券交易所上市的有价证券的估值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3、处于未上市期间的有价证券应区分如下情况处理：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5、估值计算中涉及港币对人民币汇率的，将依据下列信息提供机构所提供的汇率为基准：当日中国人民银行或其授权机构公布的人民币与港币的中间价。</w:t>
      </w:r>
    </w:p>
    <w:p>
      <w:pPr>
        <w:adjustRightInd w:val="0"/>
        <w:snapToGrid w:val="0"/>
        <w:spacing w:line="360" w:lineRule="auto"/>
        <w:ind w:firstLine="480" w:firstLineChars="200"/>
        <w:rPr>
          <w:sz w:val="24"/>
          <w:szCs w:val="24"/>
        </w:rPr>
      </w:pPr>
      <w:r>
        <w:rPr>
          <w:rFonts w:hint="eastAsia"/>
          <w:sz w:val="24"/>
          <w:szCs w:val="24"/>
        </w:rPr>
        <w:t>6、如有确凿证据表明按上述方法进行估值不能客观反映其公允价值的，基金管理人可根据具体情况与基金托管人商定后，按最能反映公允价值的价格估值。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7</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8</w:t>
      </w:r>
      <w:r>
        <w:rPr>
          <w:rFonts w:hint="eastAsia"/>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sz w:val="24"/>
          <w:szCs w:val="24"/>
        </w:rPr>
        <w:t>9</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Pr>
          <w:bCs/>
          <w:sz w:val="24"/>
        </w:rPr>
        <w:t>基金净值信息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基金管理人于每个工作日分别计算A类基金份额、C类基金份额的基金资产净值及基金份额净值，并按规定公告。如遇特殊情况，经履行适当程序，可以适当延迟计算或公告。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w:t>
      </w:r>
      <w:r>
        <w:rPr>
          <w:bCs/>
          <w:sz w:val="24"/>
        </w:rPr>
        <w:t>该类</w:t>
      </w:r>
      <w:r>
        <w:rPr>
          <w:rFonts w:hint="eastAsia" w:hAnsi="宋体"/>
          <w:sz w:val="24"/>
          <w:szCs w:val="24"/>
        </w:rPr>
        <w:t>基金份额净值的0.25%时，基金管理人应当通报基金托管人并报中国证监会备案；错误偏差达到</w:t>
      </w:r>
      <w:r>
        <w:rPr>
          <w:bCs/>
          <w:sz w:val="24"/>
        </w:rPr>
        <w:t>该类</w:t>
      </w:r>
      <w:r>
        <w:rPr>
          <w:rFonts w:hint="eastAsia" w:hAnsi="宋体"/>
          <w:sz w:val="24"/>
          <w:szCs w:val="24"/>
        </w:rPr>
        <w:t>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（3）前述内容如法律法规或者监管部门另有规定的，从其规定。</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3、由于本基金持有的相当比例的基金暂停估值，导致基金管理人无法计算当日基金资产净值；</w:t>
      </w:r>
    </w:p>
    <w:p>
      <w:pPr>
        <w:adjustRightInd w:val="0"/>
        <w:snapToGrid w:val="0"/>
        <w:spacing w:line="360" w:lineRule="auto"/>
        <w:ind w:firstLine="480" w:firstLineChars="200"/>
        <w:rPr>
          <w:sz w:val="24"/>
          <w:szCs w:val="24"/>
        </w:rPr>
      </w:pPr>
      <w:r>
        <w:rPr>
          <w:rFonts w:hint="eastAsia"/>
          <w:sz w:val="24"/>
          <w:szCs w:val="24"/>
        </w:rPr>
        <w:t>4、当特定资产占前一估值日基金资产净值50%以上的，经与基金托管人协商确认后，基金管理人应当暂停估值；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5、法律法规、中国证监会和基金合同认定的其它情形。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ascii="宋体" w:hAnsi="宋体"/>
          <w:sz w:val="24"/>
        </w:rPr>
        <w:t>各类基金份额的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Pr>
          <w:rFonts w:hint="eastAsia" w:ascii="宋体" w:hAnsi="宋体"/>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、基金管理人或基金托管人按估值方法的第6项进行估值时，所造成的误差不作为基金资产估值错误处理。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sz w:val="24"/>
          <w:szCs w:val="24"/>
        </w:rPr>
      </w:pPr>
      <w:r>
        <w:rPr>
          <w:rFonts w:hint="eastAsia"/>
          <w:sz w:val="24"/>
          <w:szCs w:val="24"/>
        </w:rPr>
        <w:t>本基金实施侧袋机制的，应根据本部分的约定对主袋账户资产进行估值并披露主袋账户的基金净值信息，暂停披露侧袋账户份额净值。</w:t>
      </w:r>
    </w:p>
    <w:p>
      <w:pPr>
        <w:adjustRightInd w:val="0"/>
        <w:snapToGrid w:val="0"/>
        <w:spacing w:line="360" w:lineRule="auto"/>
        <w:ind w:firstLine="480" w:firstLineChars="200"/>
        <w:rPr>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1" w:name="_Toc19700"/>
      <w:bookmarkStart w:id="72" w:name="_Toc56690592"/>
      <w:r>
        <w:rPr>
          <w:rFonts w:hint="eastAsia" w:ascii="宋体" w:hAnsi="宋体"/>
          <w:b/>
          <w:kern w:val="0"/>
          <w:sz w:val="30"/>
        </w:rPr>
        <w:t>十二、基金收益与分配</w:t>
      </w:r>
      <w:bookmarkEnd w:id="71"/>
      <w:bookmarkEnd w:id="72"/>
    </w:p>
    <w:p>
      <w:pPr>
        <w:adjustRightInd w:val="0"/>
        <w:snapToGrid w:val="0"/>
        <w:spacing w:line="360" w:lineRule="auto"/>
        <w:ind w:firstLine="482" w:firstLineChars="200"/>
        <w:outlineLvl w:val="1"/>
        <w:rPr>
          <w:b/>
          <w:sz w:val="24"/>
        </w:rPr>
      </w:pPr>
      <w:r>
        <w:rPr>
          <w:rFonts w:hAnsi="宋体"/>
          <w:b/>
          <w:sz w:val="24"/>
        </w:rPr>
        <w:t>（一）基金利润的构成</w:t>
      </w:r>
    </w:p>
    <w:p>
      <w:pPr>
        <w:adjustRightInd w:val="0"/>
        <w:snapToGrid w:val="0"/>
        <w:spacing w:line="360" w:lineRule="auto"/>
        <w:ind w:firstLine="480" w:firstLineChars="200"/>
        <w:rPr>
          <w:rFonts w:hAnsi="宋体"/>
          <w:sz w:val="24"/>
        </w:rPr>
      </w:pPr>
      <w:r>
        <w:rPr>
          <w:rFonts w:hint="eastAsia"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int="eastAsia" w:hAnsi="宋体"/>
          <w:sz w:val="24"/>
        </w:rPr>
        <w:t>基金可供分配利润指截至收益分</w:t>
      </w:r>
      <w:bookmarkStart w:id="73" w:name="_Hlt81129040"/>
      <w:bookmarkEnd w:id="73"/>
      <w:bookmarkStart w:id="74" w:name="_Hlt80435237"/>
      <w:bookmarkEnd w:id="74"/>
      <w:bookmarkStart w:id="75" w:name="_Hlt88900301"/>
      <w:bookmarkEnd w:id="75"/>
      <w:bookmarkStart w:id="76" w:name="_Toc15118286"/>
      <w:bookmarkStart w:id="77" w:name="_Toc109537392"/>
      <w:r>
        <w:rPr>
          <w:rFonts w:hint="eastAsia" w:hAnsi="宋体"/>
          <w:sz w:val="24"/>
        </w:rPr>
        <w:t>配</w:t>
      </w:r>
      <w:bookmarkEnd w:id="76"/>
      <w:r>
        <w:rPr>
          <w:rFonts w:hint="eastAsia" w:hAnsi="宋体"/>
          <w:sz w:val="24"/>
        </w:rPr>
        <w:t>基准日基金未分配利润与</w:t>
      </w:r>
      <w:bookmarkEnd w:id="77"/>
      <w:r>
        <w:rPr>
          <w:rFonts w:hint="eastAsia"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8" w:name="OLE_LINK72"/>
      <w:bookmarkStart w:id="79" w:name="OLE_LINK73"/>
      <w:r>
        <w:rPr>
          <w:rFonts w:hint="eastAsia" w:ascii="宋体" w:hAnsi="宋体"/>
          <w:bCs/>
          <w:sz w:val="24"/>
          <w:szCs w:val="24"/>
        </w:rPr>
        <w:t>1、在符合有关基金分红条件的前提下，本基金管理人可以根据实际情况进行收益分配，具体分配方案以公告为准，若《基金合同》生效不满3个月可不进行收益分配；</w:t>
      </w:r>
    </w:p>
    <w:p>
      <w:pPr>
        <w:adjustRightInd w:val="0"/>
        <w:snapToGrid w:val="0"/>
        <w:spacing w:line="360" w:lineRule="auto"/>
        <w:ind w:firstLine="480" w:firstLineChars="200"/>
        <w:rPr>
          <w:rFonts w:ascii="宋体" w:hAnsi="宋体"/>
          <w:bCs/>
          <w:sz w:val="24"/>
          <w:szCs w:val="24"/>
        </w:rPr>
      </w:pPr>
      <w:r>
        <w:rPr>
          <w:bCs/>
          <w:sz w:val="24"/>
        </w:rPr>
        <w:t>2、本基金收益分配方式分两种：现金分红与红利再投资，投资者可选择现金红利或将现金红利自动转为</w:t>
      </w:r>
      <w:r>
        <w:rPr>
          <w:rFonts w:hint="eastAsia"/>
          <w:bCs/>
          <w:sz w:val="24"/>
        </w:rPr>
        <w:t>相应类别的</w:t>
      </w:r>
      <w:r>
        <w:rPr>
          <w:bCs/>
          <w:sz w:val="24"/>
        </w:rPr>
        <w:t>基金份额进行再投资；</w:t>
      </w:r>
      <w:r>
        <w:rPr>
          <w:rFonts w:hint="eastAsia"/>
          <w:bCs/>
          <w:sz w:val="24"/>
        </w:rPr>
        <w:t>投资者红利再投资所得基金份额不受最短持有期限制；</w:t>
      </w:r>
      <w:r>
        <w:rPr>
          <w:bCs/>
          <w:sz w:val="24"/>
        </w:rPr>
        <w:t>若投资者不选择，本基金默认的收益分配方式是现金分红；</w:t>
      </w:r>
      <w:r>
        <w:rPr>
          <w:rFonts w:hint="eastAsia"/>
          <w:bCs/>
          <w:sz w:val="24"/>
        </w:rPr>
        <w:t>基金份额持有人可对其持有的A类基金份额和C类基金份额分别选择不同的收益分配方式；</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3、基金收益分配后基金份额净值不能低于面值；即基金收益分配基准日的基金份额净值减去每单位基金份额收益分配金额后不能低于面值；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4、由于本基金A类基金份额不收取销售服务费，C类基金份额收取销售服务费，各基金份额类别对应的可供分配利润将有所不同；本基金同一类别的每份基金份额享有同等分配权；</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5、法律法规或监管机关另有规定的，从其规定。</w:t>
      </w:r>
    </w:p>
    <w:bookmarkEnd w:id="78"/>
    <w:bookmarkEnd w:id="79"/>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int="eastAsia"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rFonts w:ascii="宋体" w:hAnsi="宋体"/>
          <w:sz w:val="24"/>
        </w:rPr>
      </w:pPr>
      <w:r>
        <w:rPr>
          <w:rFonts w:hint="eastAsia" w:ascii="宋体" w:hAnsi="宋体"/>
          <w:sz w:val="24"/>
        </w:rPr>
        <w:t>本基金收益分配方案由基金管理人拟定，并由基金托管人复核，</w:t>
      </w:r>
      <w:r>
        <w:rPr>
          <w:rFonts w:hint="eastAsia"/>
          <w:bCs/>
          <w:sz w:val="24"/>
        </w:rPr>
        <w:t>依照《信息披露办法》的规定</w:t>
      </w:r>
      <w:r>
        <w:rPr>
          <w:rFonts w:hint="eastAsia" w:ascii="宋体" w:hAnsi="宋体"/>
          <w:sz w:val="24"/>
        </w:rPr>
        <w:t>在规定媒介公告。</w:t>
      </w:r>
    </w:p>
    <w:p>
      <w:pPr>
        <w:adjustRightInd w:val="0"/>
        <w:snapToGrid w:val="0"/>
        <w:spacing w:line="360" w:lineRule="auto"/>
        <w:ind w:firstLine="480" w:firstLineChars="200"/>
        <w:rPr>
          <w:rFonts w:ascii="宋体" w:hAnsi="宋体"/>
          <w:sz w:val="24"/>
        </w:rPr>
      </w:pPr>
      <w:r>
        <w:rPr>
          <w:rFonts w:hint="eastAsia" w:ascii="宋体" w:hAnsi="宋体"/>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0" w:name="_Toc22358"/>
      <w:bookmarkStart w:id="81" w:name="_Toc56690593"/>
      <w:r>
        <w:rPr>
          <w:rFonts w:hint="eastAsia" w:ascii="宋体" w:hAnsi="宋体"/>
          <w:b/>
          <w:kern w:val="0"/>
          <w:sz w:val="30"/>
        </w:rPr>
        <w:t>十三、基金的费用与税收</w:t>
      </w:r>
      <w:bookmarkEnd w:id="80"/>
      <w:bookmarkEnd w:id="81"/>
    </w:p>
    <w:p>
      <w:pPr>
        <w:adjustRightInd w:val="0"/>
        <w:snapToGrid w:val="0"/>
        <w:spacing w:line="360" w:lineRule="auto"/>
        <w:ind w:firstLine="482" w:firstLineChars="200"/>
        <w:outlineLvl w:val="1"/>
        <w:rPr>
          <w:i/>
          <w:sz w:val="24"/>
          <w:u w:val="single"/>
        </w:rPr>
      </w:pPr>
      <w:r>
        <w:rPr>
          <w:rFonts w:hAnsi="宋体"/>
          <w:b/>
          <w:sz w:val="24"/>
        </w:rPr>
        <w:t>（一）基金费用的种类</w:t>
      </w:r>
    </w:p>
    <w:p>
      <w:pPr>
        <w:adjustRightInd w:val="0"/>
        <w:snapToGrid w:val="0"/>
        <w:spacing w:line="360" w:lineRule="auto"/>
        <w:ind w:firstLine="480" w:firstLineChars="200"/>
        <w:rPr>
          <w:sz w:val="24"/>
        </w:rPr>
      </w:pPr>
      <w:r>
        <w:rPr>
          <w:rFonts w:hint="eastAsia"/>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4、《基金合同》生效后与基金相关的会计师费、律师费、仲裁费和诉讼费；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6、基金的证券、基金交易费用；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sz w:val="24"/>
        </w:rPr>
        <w:t>9</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10、本基金投资其他基金产生的其他基金的销售费用（如申购费、赎回费、销售服务费等），但法律法规禁止从基金财产中列支的除外；</w:t>
      </w:r>
    </w:p>
    <w:p>
      <w:pPr>
        <w:adjustRightInd w:val="0"/>
        <w:snapToGrid w:val="0"/>
        <w:spacing w:line="360" w:lineRule="auto"/>
        <w:ind w:firstLine="480" w:firstLineChars="200"/>
        <w:rPr>
          <w:sz w:val="24"/>
        </w:rPr>
      </w:pPr>
      <w:r>
        <w:rPr>
          <w:sz w:val="24"/>
        </w:rPr>
        <w:t>11</w:t>
      </w:r>
      <w:r>
        <w:rPr>
          <w:rFonts w:hint="eastAsia"/>
          <w:sz w:val="24"/>
        </w:rPr>
        <w:t>、因投资港股通标的股票而产生的各项合理费用；</w:t>
      </w:r>
    </w:p>
    <w:p>
      <w:pPr>
        <w:adjustRightInd w:val="0"/>
        <w:snapToGrid w:val="0"/>
        <w:spacing w:line="360" w:lineRule="auto"/>
        <w:ind w:firstLine="480" w:firstLineChars="200"/>
        <w:rPr>
          <w:sz w:val="24"/>
        </w:rPr>
      </w:pPr>
      <w:r>
        <w:rPr>
          <w:rFonts w:hint="eastAsia"/>
          <w:sz w:val="24"/>
        </w:rPr>
        <w:t>12、按照国家有关规定和《基金合同》约定，可以在基金财产中列支的其他费用。</w:t>
      </w:r>
    </w:p>
    <w:p>
      <w:pPr>
        <w:adjustRightInd w:val="0"/>
        <w:snapToGrid w:val="0"/>
        <w:spacing w:line="360" w:lineRule="auto"/>
        <w:ind w:firstLine="482" w:firstLineChars="200"/>
        <w:outlineLvl w:val="1"/>
        <w:rPr>
          <w:rFonts w:hAnsi="宋体"/>
          <w:b/>
          <w:sz w:val="24"/>
        </w:rPr>
      </w:pPr>
      <w:r>
        <w:rPr>
          <w:rFonts w:hAnsi="宋体"/>
          <w:b/>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）基金管理人的管理费</w:t>
      </w:r>
    </w:p>
    <w:p>
      <w:pPr>
        <w:adjustRightInd w:val="0"/>
        <w:snapToGrid w:val="0"/>
        <w:spacing w:line="360" w:lineRule="auto"/>
        <w:ind w:firstLine="480" w:firstLineChars="200"/>
        <w:rPr>
          <w:sz w:val="24"/>
        </w:rPr>
      </w:pPr>
      <w:r>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bCs/>
          <w:sz w:val="24"/>
        </w:rPr>
        <w:t>0.9</w:t>
      </w:r>
      <w:r>
        <w:rPr>
          <w:rFonts w:hint="eastAsia"/>
          <w:sz w:val="24"/>
        </w:rPr>
        <w:t>%年费率计提。管理费的计算方法如下：</w:t>
      </w:r>
    </w:p>
    <w:p>
      <w:pPr>
        <w:adjustRightInd w:val="0"/>
        <w:snapToGrid w:val="0"/>
        <w:spacing w:line="360" w:lineRule="auto"/>
        <w:ind w:firstLine="480" w:firstLineChars="200"/>
        <w:rPr>
          <w:sz w:val="24"/>
        </w:rPr>
      </w:pPr>
      <w:r>
        <w:rPr>
          <w:rFonts w:hint="eastAsia"/>
          <w:sz w:val="24"/>
        </w:rPr>
        <w:t>H＝E×</w:t>
      </w:r>
      <w:r>
        <w:rPr>
          <w:bCs/>
          <w:sz w:val="24"/>
        </w:rPr>
        <w:t>0.9</w:t>
      </w:r>
      <w:r>
        <w:rPr>
          <w:rFonts w:hint="eastAsia"/>
          <w:sz w:val="24"/>
        </w:rPr>
        <w:t>%÷当年天数</w:t>
      </w:r>
    </w:p>
    <w:p>
      <w:pPr>
        <w:adjustRightInd w:val="0"/>
        <w:snapToGrid w:val="0"/>
        <w:spacing w:line="360" w:lineRule="auto"/>
        <w:ind w:firstLine="480" w:firstLineChars="200"/>
        <w:rPr>
          <w:sz w:val="24"/>
        </w:rPr>
      </w:pPr>
      <w:r>
        <w:rPr>
          <w:rFonts w:hint="eastAsia"/>
          <w:sz w:val="24"/>
        </w:rPr>
        <w:t>H为每日应计提的基金管理费</w:t>
      </w:r>
    </w:p>
    <w:p>
      <w:pPr>
        <w:adjustRightInd w:val="0"/>
        <w:snapToGrid w:val="0"/>
        <w:spacing w:line="360" w:lineRule="auto"/>
        <w:ind w:firstLine="480" w:firstLineChars="200"/>
        <w:rPr>
          <w:sz w:val="24"/>
        </w:rPr>
      </w:pPr>
      <w:r>
        <w:rPr>
          <w:rFonts w:hint="eastAsia"/>
          <w:sz w:val="24"/>
        </w:rPr>
        <w:t>E为前一日的基金资产净值扣除基金财产中持有的基金管理人自身管理的基金部分所对应资产后剩余部分，若为负数，则E取0。</w:t>
      </w:r>
    </w:p>
    <w:p>
      <w:pPr>
        <w:adjustRightInd w:val="0"/>
        <w:snapToGrid w:val="0"/>
        <w:spacing w:line="360" w:lineRule="auto"/>
        <w:ind w:firstLine="480" w:firstLineChars="200"/>
        <w:rPr>
          <w:bCs/>
          <w:sz w:val="24"/>
        </w:rPr>
      </w:pPr>
      <w:r>
        <w:rPr>
          <w:rFonts w:hint="eastAsia"/>
          <w:sz w:val="24"/>
        </w:rPr>
        <w:t>基金管理费每日计提，按月支付。由基金管理人向基金托管人发送基金管理费划付指令，经基金托管人复核后于次月首日起3个工作日内从基金资产中一次性支付给基金管理人。若遇法定节假日、休息日或不可抗力致使无法按时支付的，顺延至最近可支付日支付。</w:t>
      </w:r>
    </w:p>
    <w:p>
      <w:pPr>
        <w:adjustRightInd w:val="0"/>
        <w:snapToGrid w:val="0"/>
        <w:spacing w:line="360" w:lineRule="auto"/>
        <w:ind w:firstLine="480" w:firstLineChars="200"/>
        <w:rPr>
          <w:sz w:val="24"/>
        </w:rPr>
      </w:pPr>
      <w:r>
        <w:rPr>
          <w:rFonts w:hint="eastAsia"/>
          <w:sz w:val="24"/>
        </w:rPr>
        <w:t>（2）</w:t>
      </w:r>
      <w:r>
        <w:rPr>
          <w:rFonts w:hint="eastAsia" w:hAnsi="宋体"/>
          <w:sz w:val="24"/>
        </w:rPr>
        <w:t>基金</w:t>
      </w:r>
      <w:r>
        <w:rPr>
          <w:rFonts w:hint="eastAsia"/>
          <w:sz w:val="24"/>
        </w:rPr>
        <w:t>托管人的托管费</w:t>
      </w:r>
    </w:p>
    <w:p>
      <w:pPr>
        <w:adjustRightInd w:val="0"/>
        <w:snapToGrid w:val="0"/>
        <w:spacing w:line="360" w:lineRule="auto"/>
        <w:ind w:firstLine="480" w:firstLineChars="200"/>
        <w:rPr>
          <w:sz w:val="24"/>
        </w:rPr>
      </w:pPr>
      <w:r>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sz w:val="24"/>
        </w:rPr>
        <w:t>0.15</w:t>
      </w:r>
      <w:r>
        <w:rPr>
          <w:rFonts w:hint="eastAsia"/>
          <w:sz w:val="24"/>
        </w:rPr>
        <w:t>%的年费率计提。托管费的计算方法如下：</w:t>
      </w:r>
    </w:p>
    <w:p>
      <w:pPr>
        <w:adjustRightInd w:val="0"/>
        <w:snapToGrid w:val="0"/>
        <w:spacing w:line="360" w:lineRule="auto"/>
        <w:ind w:firstLine="480" w:firstLineChars="200"/>
        <w:rPr>
          <w:sz w:val="24"/>
        </w:rPr>
      </w:pPr>
      <w:r>
        <w:rPr>
          <w:rFonts w:hint="eastAsia"/>
          <w:sz w:val="24"/>
        </w:rPr>
        <w:t>H＝E×</w:t>
      </w:r>
      <w:r>
        <w:rPr>
          <w:sz w:val="24"/>
        </w:rPr>
        <w:t>0.15</w:t>
      </w:r>
      <w:r>
        <w:rPr>
          <w:rFonts w:hint="eastAsia"/>
          <w:sz w:val="24"/>
        </w:rPr>
        <w:t>%÷当年天数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E为前一日的基金资产净值扣除基金财产中持有的基金托管人自身托管的基金部分所对应资产后剩余部分，若为负数，则E取0。</w:t>
      </w:r>
    </w:p>
    <w:p>
      <w:pPr>
        <w:adjustRightInd w:val="0"/>
        <w:snapToGrid w:val="0"/>
        <w:spacing w:line="360" w:lineRule="auto"/>
        <w:ind w:firstLine="480" w:firstLineChars="200"/>
        <w:rPr>
          <w:sz w:val="24"/>
        </w:rPr>
      </w:pPr>
      <w:r>
        <w:rPr>
          <w:rFonts w:hint="eastAsia"/>
          <w:sz w:val="24"/>
        </w:rPr>
        <w:t>基金托管费每日计提，按月支付。由基金管理人向基金托管人发送基金托管费划付指令，经基金托管人复核后于次月首日起3个工作日内从基金资产中一次性支付给基金托管人。若遇法定节假日、休息日或不可抗力致使无法按时支付的，顺延至最近可支付日支付。</w:t>
      </w:r>
    </w:p>
    <w:p>
      <w:pPr>
        <w:adjustRightInd w:val="0"/>
        <w:snapToGrid w:val="0"/>
        <w:spacing w:line="360" w:lineRule="auto"/>
        <w:ind w:firstLine="480" w:firstLineChars="200"/>
        <w:rPr>
          <w:sz w:val="24"/>
        </w:rPr>
      </w:pPr>
      <w:r>
        <w:rPr>
          <w:rFonts w:hint="eastAsia"/>
          <w:sz w:val="24"/>
        </w:rPr>
        <w:t>（3）C类基金份额的销售服务费</w:t>
      </w:r>
    </w:p>
    <w:p>
      <w:pPr>
        <w:adjustRightInd w:val="0"/>
        <w:snapToGrid w:val="0"/>
        <w:spacing w:line="360" w:lineRule="auto"/>
        <w:ind w:firstLine="480" w:firstLineChars="200"/>
        <w:rPr>
          <w:sz w:val="24"/>
        </w:rPr>
      </w:pPr>
      <w:r>
        <w:rPr>
          <w:rFonts w:hint="eastAsia"/>
          <w:sz w:val="24"/>
        </w:rPr>
        <w:t>本基金A类基金份额不收取销售服务费，C类基金份额的销售服务费按前一日C类基金资产净值的</w:t>
      </w:r>
      <w:r>
        <w:rPr>
          <w:sz w:val="24"/>
        </w:rPr>
        <w:t>0.6</w:t>
      </w:r>
      <w:r>
        <w:rPr>
          <w:rFonts w:hint="eastAsia"/>
          <w:sz w:val="24"/>
        </w:rPr>
        <w:t>%年费率计提。计算方法如下：</w:t>
      </w:r>
    </w:p>
    <w:p>
      <w:pPr>
        <w:adjustRightInd w:val="0"/>
        <w:snapToGrid w:val="0"/>
        <w:spacing w:line="360" w:lineRule="auto"/>
        <w:ind w:firstLine="480" w:firstLineChars="200"/>
        <w:rPr>
          <w:sz w:val="24"/>
        </w:rPr>
      </w:pPr>
      <w:r>
        <w:rPr>
          <w:rFonts w:hint="eastAsia"/>
          <w:sz w:val="24"/>
        </w:rPr>
        <w:t>H＝E×</w:t>
      </w:r>
      <w:r>
        <w:rPr>
          <w:sz w:val="24"/>
        </w:rPr>
        <w:t>0.6</w:t>
      </w:r>
      <w:r>
        <w:rPr>
          <w:rFonts w:hint="eastAsia"/>
          <w:sz w:val="24"/>
        </w:rPr>
        <w:t>%÷当年天数</w:t>
      </w:r>
    </w:p>
    <w:p>
      <w:pPr>
        <w:adjustRightInd w:val="0"/>
        <w:snapToGrid w:val="0"/>
        <w:spacing w:line="360" w:lineRule="auto"/>
        <w:ind w:firstLine="480" w:firstLineChars="200"/>
        <w:rPr>
          <w:sz w:val="24"/>
        </w:rPr>
      </w:pPr>
      <w:r>
        <w:rPr>
          <w:rFonts w:hint="eastAsia"/>
          <w:sz w:val="24"/>
        </w:rPr>
        <w:t>H为C类基金份额每日应计提的销售服务费</w:t>
      </w:r>
    </w:p>
    <w:p>
      <w:pPr>
        <w:adjustRightInd w:val="0"/>
        <w:snapToGrid w:val="0"/>
        <w:spacing w:line="360" w:lineRule="auto"/>
        <w:ind w:firstLine="480" w:firstLineChars="200"/>
        <w:rPr>
          <w:sz w:val="24"/>
        </w:rPr>
      </w:pPr>
      <w:r>
        <w:rPr>
          <w:rFonts w:hint="eastAsia"/>
          <w:sz w:val="24"/>
        </w:rPr>
        <w:t>E为C类基金份额前一日基金资产净值</w:t>
      </w:r>
    </w:p>
    <w:p>
      <w:pPr>
        <w:adjustRightInd w:val="0"/>
        <w:snapToGrid w:val="0"/>
        <w:spacing w:line="360" w:lineRule="auto"/>
        <w:ind w:firstLine="480" w:firstLineChars="200"/>
        <w:rPr>
          <w:sz w:val="24"/>
        </w:rPr>
      </w:pPr>
      <w:r>
        <w:rPr>
          <w:rFonts w:hint="eastAsia"/>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顺延至最近可支付日支付。</w:t>
      </w:r>
    </w:p>
    <w:p>
      <w:pPr>
        <w:adjustRightInd w:val="0"/>
        <w:snapToGrid w:val="0"/>
        <w:spacing w:line="360" w:lineRule="auto"/>
        <w:ind w:firstLine="480" w:firstLineChars="200"/>
        <w:rPr>
          <w:sz w:val="24"/>
        </w:rPr>
      </w:pPr>
      <w:r>
        <w:rPr>
          <w:rFonts w:hint="eastAsia"/>
          <w:sz w:val="24"/>
        </w:rPr>
        <w:t>C类基金份额的销售服务费将专门用于本基金的推广、销售与基金份额持有人服务。</w:t>
      </w:r>
    </w:p>
    <w:p>
      <w:pPr>
        <w:adjustRightInd w:val="0"/>
        <w:snapToGrid w:val="0"/>
        <w:spacing w:line="360" w:lineRule="auto"/>
        <w:ind w:firstLine="480" w:firstLineChars="200"/>
        <w:rPr>
          <w:sz w:val="24"/>
        </w:rPr>
      </w:pPr>
      <w:r>
        <w:rPr>
          <w:rFonts w:hint="eastAsia"/>
          <w:sz w:val="24"/>
        </w:rPr>
        <w:t>（4）上述“（一）基金费用的种类”中第3－8项，第10－11项费用，根据有关法规及相应协议规定，按费用实际支出金额列入当期费用，由基金托管人从基金财产中支付。</w:t>
      </w:r>
    </w:p>
    <w:p>
      <w:pPr>
        <w:adjustRightInd w:val="0"/>
        <w:snapToGrid w:val="0"/>
        <w:spacing w:line="360" w:lineRule="auto"/>
        <w:ind w:firstLine="480" w:firstLineChars="200"/>
        <w:rPr>
          <w:sz w:val="24"/>
        </w:rPr>
      </w:pPr>
      <w:r>
        <w:rPr>
          <w:rFonts w:hint="eastAsia"/>
          <w:sz w:val="24"/>
        </w:rPr>
        <w:t>（5）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pPr>
        <w:adjustRightInd w:val="0"/>
        <w:snapToGrid w:val="0"/>
        <w:spacing w:line="360" w:lineRule="auto"/>
        <w:ind w:firstLine="480" w:firstLineChars="200"/>
        <w:outlineLvl w:val="2"/>
        <w:rPr>
          <w:sz w:val="24"/>
        </w:rPr>
      </w:pPr>
      <w:r>
        <w:rPr>
          <w:sz w:val="24"/>
        </w:rPr>
        <w:t>2、与基金销售有关的费用</w:t>
      </w:r>
    </w:p>
    <w:p>
      <w:pPr>
        <w:adjustRightInd w:val="0"/>
        <w:snapToGrid w:val="0"/>
        <w:spacing w:line="360" w:lineRule="auto"/>
        <w:ind w:firstLine="480" w:firstLineChars="200"/>
        <w:rPr>
          <w:sz w:val="24"/>
        </w:rPr>
      </w:pPr>
      <w:r>
        <w:rPr>
          <w:sz w:val="24"/>
        </w:rPr>
        <w:t>（1）申购费</w:t>
      </w:r>
    </w:p>
    <w:p>
      <w:pPr>
        <w:adjustRightInd w:val="0"/>
        <w:snapToGrid w:val="0"/>
        <w:spacing w:line="360" w:lineRule="auto"/>
        <w:ind w:firstLine="480" w:firstLineChars="200"/>
        <w:rPr>
          <w:sz w:val="24"/>
        </w:rPr>
      </w:pPr>
      <w:r>
        <w:rPr>
          <w:sz w:val="24"/>
        </w:rPr>
        <w:t>本基金申购费的费率水平、计算公式和收取方式详见</w:t>
      </w:r>
      <w:r>
        <w:rPr>
          <w:rFonts w:hint="eastAsia"/>
          <w:sz w:val="24"/>
        </w:rPr>
        <w:t>“</w:t>
      </w:r>
      <w:r>
        <w:rPr>
          <w:sz w:val="24"/>
        </w:rPr>
        <w:t>基金份额的申购与赎回</w:t>
      </w:r>
      <w:r>
        <w:rPr>
          <w:rFonts w:hint="eastAsia"/>
          <w:sz w:val="24"/>
        </w:rPr>
        <w:t>”</w:t>
      </w:r>
      <w:r>
        <w:rPr>
          <w:sz w:val="24"/>
        </w:rPr>
        <w:t>一章。</w:t>
      </w:r>
    </w:p>
    <w:p>
      <w:pPr>
        <w:adjustRightInd w:val="0"/>
        <w:snapToGrid w:val="0"/>
        <w:spacing w:line="360" w:lineRule="auto"/>
        <w:ind w:firstLine="480" w:firstLineChars="200"/>
        <w:rPr>
          <w:sz w:val="24"/>
        </w:rPr>
      </w:pPr>
      <w:r>
        <w:rPr>
          <w:sz w:val="24"/>
        </w:rPr>
        <w:t>（2）赎回费</w:t>
      </w:r>
    </w:p>
    <w:p>
      <w:pPr>
        <w:adjustRightInd w:val="0"/>
        <w:snapToGrid w:val="0"/>
        <w:spacing w:line="360" w:lineRule="auto"/>
        <w:ind w:firstLine="480" w:firstLineChars="200"/>
        <w:rPr>
          <w:sz w:val="24"/>
        </w:rPr>
      </w:pPr>
      <w:r>
        <w:rPr>
          <w:sz w:val="24"/>
        </w:rPr>
        <w:t>本基金赎回费的费率水平、计算公式和收取方式详见</w:t>
      </w:r>
      <w:r>
        <w:rPr>
          <w:rFonts w:hint="eastAsia"/>
          <w:sz w:val="24"/>
        </w:rPr>
        <w:t>“</w:t>
      </w:r>
      <w:r>
        <w:rPr>
          <w:sz w:val="24"/>
        </w:rPr>
        <w:t>基金份额的申购与赎回</w:t>
      </w:r>
      <w:r>
        <w:rPr>
          <w:rFonts w:hint="eastAsia"/>
          <w:sz w:val="24"/>
        </w:rPr>
        <w:t>”</w:t>
      </w:r>
      <w:r>
        <w:rPr>
          <w:sz w:val="24"/>
        </w:rPr>
        <w:t>一章。</w:t>
      </w:r>
    </w:p>
    <w:p>
      <w:pPr>
        <w:adjustRightInd w:val="0"/>
        <w:snapToGrid w:val="0"/>
        <w:spacing w:line="360" w:lineRule="auto"/>
        <w:ind w:firstLine="482" w:firstLineChars="200"/>
        <w:outlineLvl w:val="1"/>
        <w:rPr>
          <w:b/>
          <w:sz w:val="24"/>
        </w:rPr>
      </w:pPr>
      <w:r>
        <w:rPr>
          <w:rFonts w:hAnsi="宋体"/>
          <w:b/>
          <w:sz w:val="24"/>
        </w:rPr>
        <w:t>（三）不列入基金费用的项目</w:t>
      </w:r>
    </w:p>
    <w:p>
      <w:pPr>
        <w:adjustRightInd w:val="0"/>
        <w:snapToGrid w:val="0"/>
        <w:spacing w:line="360" w:lineRule="auto"/>
        <w:ind w:firstLine="480" w:firstLineChars="200"/>
        <w:rPr>
          <w:rFonts w:hAnsi="宋体"/>
          <w:sz w:val="24"/>
          <w:szCs w:val="21"/>
        </w:rPr>
      </w:pPr>
      <w:r>
        <w:rPr>
          <w:rFonts w:hint="eastAsia"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int="eastAsia"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int="eastAsia"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int="eastAsia" w:hAnsi="宋体"/>
          <w:sz w:val="24"/>
          <w:szCs w:val="21"/>
        </w:rPr>
        <w:t>3、《基金合同》生效前的相关费用；</w:t>
      </w:r>
    </w:p>
    <w:p>
      <w:pPr>
        <w:adjustRightInd w:val="0"/>
        <w:snapToGrid w:val="0"/>
        <w:spacing w:line="360" w:lineRule="auto"/>
        <w:ind w:firstLine="480" w:firstLineChars="200"/>
        <w:rPr>
          <w:rFonts w:hAnsi="宋体"/>
          <w:b/>
          <w:sz w:val="24"/>
          <w:szCs w:val="21"/>
        </w:rPr>
      </w:pPr>
      <w:r>
        <w:rPr>
          <w:rFonts w:hint="eastAsia" w:hAnsi="宋体"/>
          <w:sz w:val="24"/>
          <w:szCs w:val="21"/>
        </w:rPr>
        <w:t>4、其他根据相关法律法规及中国证监会的有关规定不得列入基金费用的项目。</w:t>
      </w:r>
      <w:bookmarkStart w:id="82" w:name="_Hlt81193394"/>
      <w:bookmarkEnd w:id="82"/>
    </w:p>
    <w:p>
      <w:pPr>
        <w:adjustRightInd w:val="0"/>
        <w:snapToGrid w:val="0"/>
        <w:spacing w:line="360" w:lineRule="auto"/>
        <w:ind w:firstLine="482" w:firstLineChars="200"/>
        <w:outlineLvl w:val="1"/>
        <w:rPr>
          <w:rFonts w:hAnsi="宋体"/>
          <w:b/>
          <w:sz w:val="24"/>
          <w:szCs w:val="24"/>
        </w:rPr>
      </w:pPr>
      <w:r>
        <w:rPr>
          <w:rFonts w:hint="eastAsia" w:hAnsi="宋体"/>
          <w:b/>
          <w:sz w:val="24"/>
          <w:szCs w:val="21"/>
        </w:rPr>
        <w:t>（</w:t>
      </w:r>
      <w:r>
        <w:rPr>
          <w:rFonts w:hAnsi="宋体"/>
          <w:b/>
          <w:sz w:val="24"/>
          <w:szCs w:val="21"/>
        </w:rPr>
        <w:t>四</w:t>
      </w:r>
      <w:r>
        <w:rPr>
          <w:rFonts w:hint="eastAsia" w:hAnsi="宋体"/>
          <w:b/>
          <w:sz w:val="24"/>
          <w:szCs w:val="21"/>
        </w:rPr>
        <w:t>）</w:t>
      </w:r>
      <w:r>
        <w:rPr>
          <w:rFonts w:hint="eastAsia" w:hAnsi="宋体"/>
          <w:b/>
          <w:sz w:val="24"/>
          <w:szCs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firstLineChars="200"/>
        <w:outlineLvl w:val="1"/>
        <w:rPr>
          <w:rFonts w:hAnsi="宋体"/>
          <w:b/>
          <w:sz w:val="24"/>
          <w:szCs w:val="21"/>
        </w:rPr>
      </w:pPr>
      <w:r>
        <w:rPr>
          <w:rFonts w:hint="eastAsia" w:hAnsi="宋体"/>
          <w:b/>
          <w:sz w:val="24"/>
          <w:szCs w:val="24"/>
        </w:rPr>
        <w:t>（五）</w:t>
      </w:r>
      <w:r>
        <w:rPr>
          <w:rFonts w:hAnsi="宋体"/>
          <w:b/>
          <w:sz w:val="24"/>
          <w:szCs w:val="21"/>
        </w:rPr>
        <w:t>基金税收</w:t>
      </w:r>
    </w:p>
    <w:p>
      <w:pPr>
        <w:adjustRightInd w:val="0"/>
        <w:snapToGrid w:val="0"/>
        <w:spacing w:line="360" w:lineRule="auto"/>
        <w:ind w:firstLine="480" w:firstLineChars="200"/>
        <w:rPr>
          <w:rFonts w:hAnsi="宋体"/>
          <w:sz w:val="24"/>
          <w:szCs w:val="21"/>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3" w:name="_Toc56690594"/>
      <w:bookmarkStart w:id="84" w:name="_Toc30478"/>
      <w:r>
        <w:rPr>
          <w:rFonts w:hint="eastAsia" w:ascii="宋体" w:hAnsi="宋体"/>
          <w:b/>
          <w:kern w:val="0"/>
          <w:sz w:val="30"/>
        </w:rPr>
        <w:t>十四、基金的会计与审计</w:t>
      </w:r>
      <w:bookmarkEnd w:id="83"/>
      <w:bookmarkEnd w:id="84"/>
    </w:p>
    <w:p>
      <w:pPr>
        <w:adjustRightInd w:val="0"/>
        <w:snapToGrid w:val="0"/>
        <w:spacing w:line="360" w:lineRule="auto"/>
        <w:ind w:firstLine="482" w:firstLineChars="200"/>
        <w:outlineLvl w:val="1"/>
        <w:rPr>
          <w:rFonts w:hAnsi="宋体"/>
          <w:b/>
          <w:sz w:val="24"/>
          <w:szCs w:val="21"/>
        </w:rPr>
      </w:pPr>
      <w:r>
        <w:rPr>
          <w:rFonts w:hAnsi="宋体"/>
          <w:b/>
          <w:sz w:val="24"/>
          <w:szCs w:val="21"/>
        </w:rPr>
        <w:t>（一）基金会计政策</w:t>
      </w:r>
    </w:p>
    <w:p>
      <w:pPr>
        <w:adjustRightInd w:val="0"/>
        <w:snapToGrid w:val="0"/>
        <w:spacing w:line="360" w:lineRule="auto"/>
        <w:ind w:firstLine="480" w:firstLineChars="200"/>
        <w:rPr>
          <w:rFonts w:hAnsi="宋体"/>
          <w:sz w:val="24"/>
          <w:szCs w:val="18"/>
        </w:rPr>
      </w:pPr>
      <w:r>
        <w:rPr>
          <w:rFonts w:hint="eastAsia" w:hAnsi="宋体"/>
          <w:sz w:val="24"/>
          <w:szCs w:val="18"/>
        </w:rPr>
        <w:t>1、基金管理人为本基金的基金会计责任方；</w:t>
      </w:r>
    </w:p>
    <w:p>
      <w:pPr>
        <w:adjustRightInd w:val="0"/>
        <w:snapToGrid w:val="0"/>
        <w:spacing w:line="360" w:lineRule="auto"/>
        <w:ind w:firstLine="480" w:firstLineChars="200"/>
        <w:rPr>
          <w:rFonts w:hAnsi="宋体"/>
          <w:sz w:val="24"/>
          <w:szCs w:val="18"/>
        </w:rPr>
      </w:pPr>
      <w:r>
        <w:rPr>
          <w:rFonts w:hint="eastAsia" w:hAnsi="宋体"/>
          <w:sz w:val="24"/>
          <w:szCs w:val="18"/>
        </w:rPr>
        <w:t>2、基金的会计年度为公历年度的1月1日至12月31日；基金首次募集的会计年度按如下原则：如果《基金合同》生效少于2个月，可以并入下一个会计年度披露；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rFonts w:hAnsi="宋体"/>
          <w:sz w:val="24"/>
          <w:szCs w:val="18"/>
        </w:rPr>
      </w:pPr>
      <w:bookmarkStart w:id="85" w:name="_Toc109537394"/>
      <w:r>
        <w:rPr>
          <w:rFonts w:hint="eastAsia" w:hAnsi="宋体"/>
          <w:sz w:val="24"/>
          <w:szCs w:val="18"/>
        </w:rPr>
        <w:t>3、基金核</w:t>
      </w:r>
      <w:bookmarkEnd w:id="85"/>
      <w:r>
        <w:rPr>
          <w:rFonts w:hint="eastAsia" w:hAnsi="宋体"/>
          <w:sz w:val="24"/>
          <w:szCs w:val="18"/>
        </w:rPr>
        <w:t>算以人民币为记账本位币，以人民币元为记账单位；</w:t>
      </w:r>
    </w:p>
    <w:p>
      <w:pPr>
        <w:adjustRightInd w:val="0"/>
        <w:snapToGrid w:val="0"/>
        <w:spacing w:line="360" w:lineRule="auto"/>
        <w:ind w:firstLine="480" w:firstLineChars="200"/>
        <w:rPr>
          <w:rFonts w:hAnsi="宋体"/>
          <w:sz w:val="24"/>
          <w:szCs w:val="18"/>
        </w:rPr>
      </w:pPr>
      <w:r>
        <w:rPr>
          <w:rFonts w:hint="eastAsia" w:hAnsi="宋体"/>
          <w:sz w:val="24"/>
          <w:szCs w:val="18"/>
        </w:rPr>
        <w:t>4、会计制度执行国家有关会计制度；</w:t>
      </w:r>
    </w:p>
    <w:p>
      <w:pPr>
        <w:adjustRightInd w:val="0"/>
        <w:snapToGrid w:val="0"/>
        <w:spacing w:line="360" w:lineRule="auto"/>
        <w:ind w:firstLine="480" w:firstLineChars="200"/>
        <w:rPr>
          <w:rFonts w:hAnsi="宋体"/>
          <w:sz w:val="24"/>
          <w:szCs w:val="18"/>
        </w:rPr>
      </w:pPr>
      <w:r>
        <w:rPr>
          <w:rFonts w:hint="eastAsia" w:hAnsi="宋体"/>
          <w:sz w:val="24"/>
          <w:szCs w:val="18"/>
        </w:rPr>
        <w:t>5、本基金独立建账、独立核算；</w:t>
      </w:r>
    </w:p>
    <w:p>
      <w:pPr>
        <w:adjustRightInd w:val="0"/>
        <w:snapToGrid w:val="0"/>
        <w:spacing w:line="360" w:lineRule="auto"/>
        <w:ind w:firstLine="480" w:firstLineChars="200"/>
        <w:rPr>
          <w:rFonts w:hAnsi="宋体"/>
          <w:sz w:val="24"/>
          <w:szCs w:val="18"/>
        </w:rPr>
      </w:pPr>
      <w:r>
        <w:rPr>
          <w:rFonts w:hint="eastAsia" w:hAnsi="宋体"/>
          <w:sz w:val="24"/>
          <w:szCs w:val="18"/>
        </w:rPr>
        <w:t>6、基金管理人及基金托管人各自保留完整的会计账目、凭证并进行日常的会计核算，按照有关规定编制基金会计报表；</w:t>
      </w:r>
    </w:p>
    <w:p>
      <w:pPr>
        <w:adjustRightInd w:val="0"/>
        <w:snapToGrid w:val="0"/>
        <w:spacing w:line="360" w:lineRule="auto"/>
        <w:ind w:firstLine="480" w:firstLineChars="200"/>
        <w:rPr>
          <w:rFonts w:hAnsi="宋体"/>
          <w:sz w:val="24"/>
          <w:szCs w:val="18"/>
        </w:rPr>
      </w:pPr>
      <w:r>
        <w:rPr>
          <w:rFonts w:hint="eastAsia" w:hAnsi="宋体"/>
          <w:sz w:val="24"/>
          <w:szCs w:val="18"/>
        </w:rPr>
        <w:t>7、基金托管人每月与基金管理人就基金的会计核算、报表编制等进行核对并以书面方式确认。</w:t>
      </w:r>
    </w:p>
    <w:p>
      <w:pPr>
        <w:adjustRightInd w:val="0"/>
        <w:snapToGrid w:val="0"/>
        <w:spacing w:line="360" w:lineRule="auto"/>
        <w:ind w:firstLine="482" w:firstLineChars="200"/>
        <w:outlineLvl w:val="1"/>
        <w:rPr>
          <w:rFonts w:hAnsi="宋体"/>
          <w:b/>
          <w:sz w:val="24"/>
          <w:szCs w:val="21"/>
        </w:rPr>
      </w:pPr>
      <w:r>
        <w:rPr>
          <w:rFonts w:hAnsi="宋体"/>
          <w:b/>
          <w:sz w:val="24"/>
          <w:szCs w:val="21"/>
        </w:rPr>
        <w:t>（二）基金的年度审计</w:t>
      </w:r>
    </w:p>
    <w:p>
      <w:pPr>
        <w:adjustRightInd w:val="0"/>
        <w:snapToGrid w:val="0"/>
        <w:spacing w:line="360" w:lineRule="auto"/>
        <w:ind w:firstLine="480" w:firstLineChars="200"/>
        <w:rPr>
          <w:rFonts w:hAnsi="宋体"/>
          <w:sz w:val="24"/>
          <w:szCs w:val="18"/>
        </w:rPr>
      </w:pPr>
      <w:bookmarkStart w:id="86" w:name="_Hlt4221115"/>
      <w:bookmarkEnd w:id="86"/>
      <w:r>
        <w:rPr>
          <w:rFonts w:hint="eastAsia" w:hAnsi="宋体"/>
          <w:sz w:val="24"/>
          <w:szCs w:val="18"/>
        </w:rPr>
        <w:t>1、基金管理人聘请与基金管理人、基金托管人相互独立的</w:t>
      </w:r>
      <w:r>
        <w:rPr>
          <w:bCs/>
          <w:sz w:val="24"/>
        </w:rPr>
        <w:t>符合《中华人民共和国证券法》规定</w:t>
      </w:r>
      <w:r>
        <w:rPr>
          <w:rFonts w:hint="eastAsia" w:hAnsi="宋体"/>
          <w:sz w:val="24"/>
          <w:szCs w:val="18"/>
        </w:rPr>
        <w:t>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int="eastAsia"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int="eastAsia" w:hAnsi="宋体"/>
          <w:sz w:val="24"/>
          <w:szCs w:val="18"/>
        </w:rPr>
        <w:t>3、基金管理人认为有充足理由更换会计师事务所，须通报基金托管人。更换会计师事务所需依照《信息披露办法》的规定在规定媒介公告。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7" w:name="_Toc56690595"/>
      <w:bookmarkStart w:id="88" w:name="_Toc25339"/>
      <w:r>
        <w:rPr>
          <w:rFonts w:hint="eastAsia" w:ascii="宋体" w:hAnsi="宋体"/>
          <w:b/>
          <w:kern w:val="0"/>
          <w:sz w:val="30"/>
        </w:rPr>
        <w:t>十五、基金的信息披露</w:t>
      </w:r>
      <w:bookmarkEnd w:id="87"/>
      <w:bookmarkEnd w:id="88"/>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int="eastAsia" w:hAnsi="宋体"/>
          <w:sz w:val="24"/>
        </w:rPr>
        <w:t>本基金信息披露义务人包括基金管理人、基金托管人、召集基金份额持有人大会的基金份额持有人等法律</w:t>
      </w:r>
      <w:r>
        <w:rPr>
          <w:rFonts w:hint="eastAsia"/>
          <w:bCs/>
          <w:sz w:val="24"/>
        </w:rPr>
        <w:t>、行政</w:t>
      </w:r>
      <w:r>
        <w:rPr>
          <w:rFonts w:hint="eastAsia" w:hAnsi="宋体"/>
          <w:sz w:val="24"/>
        </w:rPr>
        <w:t>法规和中国证监会规定的自然人、法人和非法人组织。</w:t>
      </w:r>
    </w:p>
    <w:p>
      <w:pPr>
        <w:adjustRightInd w:val="0"/>
        <w:snapToGrid w:val="0"/>
        <w:spacing w:line="360" w:lineRule="auto"/>
        <w:ind w:firstLine="480" w:firstLineChars="200"/>
        <w:rPr>
          <w:rFonts w:hAnsi="宋体"/>
          <w:sz w:val="24"/>
        </w:rPr>
      </w:pPr>
      <w:r>
        <w:rPr>
          <w:rFonts w:hint="eastAsia"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w:t>
      </w:r>
      <w:r>
        <w:rPr>
          <w:rFonts w:hint="eastAsia" w:hAnsi="宋体"/>
          <w:sz w:val="24"/>
        </w:rPr>
        <w:t>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int="eastAsia" w:hAnsi="宋体"/>
          <w:sz w:val="24"/>
        </w:rPr>
        <w:t>1、虚假记载、误导性陈述或者重大遗漏；</w:t>
      </w:r>
    </w:p>
    <w:p>
      <w:pPr>
        <w:adjustRightInd w:val="0"/>
        <w:snapToGrid w:val="0"/>
        <w:spacing w:line="360" w:lineRule="auto"/>
        <w:ind w:firstLine="480" w:firstLineChars="200"/>
        <w:rPr>
          <w:rFonts w:hAnsi="宋体"/>
          <w:sz w:val="24"/>
        </w:rPr>
      </w:pPr>
      <w:r>
        <w:rPr>
          <w:rFonts w:hint="eastAsia" w:hAnsi="宋体"/>
          <w:sz w:val="24"/>
        </w:rPr>
        <w:t>2、对证券投资业绩进行预测；</w:t>
      </w:r>
    </w:p>
    <w:p>
      <w:pPr>
        <w:adjustRightInd w:val="0"/>
        <w:snapToGrid w:val="0"/>
        <w:spacing w:line="360" w:lineRule="auto"/>
        <w:ind w:firstLine="480" w:firstLineChars="200"/>
        <w:rPr>
          <w:rFonts w:hAnsi="宋体"/>
          <w:sz w:val="24"/>
        </w:rPr>
      </w:pPr>
      <w:r>
        <w:rPr>
          <w:rFonts w:hint="eastAsia" w:hAnsi="宋体"/>
          <w:sz w:val="24"/>
        </w:rPr>
        <w:t>3、违规承诺收益或者承担损失；</w:t>
      </w:r>
    </w:p>
    <w:p>
      <w:pPr>
        <w:adjustRightInd w:val="0"/>
        <w:snapToGrid w:val="0"/>
        <w:spacing w:line="360" w:lineRule="auto"/>
        <w:ind w:firstLine="480" w:firstLineChars="200"/>
        <w:rPr>
          <w:rFonts w:hAnsi="宋体"/>
          <w:sz w:val="24"/>
        </w:rPr>
      </w:pPr>
      <w:r>
        <w:rPr>
          <w:rFonts w:hint="eastAsia"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int="eastAsia" w:hAnsi="宋体"/>
          <w:sz w:val="24"/>
        </w:rPr>
        <w:t>5、登载任何自然人、法人和非法人组织的祝贺性、恭维性或推荐性的文字；</w:t>
      </w:r>
    </w:p>
    <w:p>
      <w:pPr>
        <w:adjustRightInd w:val="0"/>
        <w:snapToGrid w:val="0"/>
        <w:spacing w:line="360" w:lineRule="auto"/>
        <w:ind w:firstLine="480" w:firstLineChars="200"/>
        <w:rPr>
          <w:rFonts w:hAnsi="宋体"/>
          <w:sz w:val="24"/>
        </w:rPr>
      </w:pPr>
      <w:r>
        <w:rPr>
          <w:rFonts w:hint="eastAsia"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rFonts w:hint="eastAsia" w:hAnsi="宋体"/>
          <w:sz w:val="24"/>
        </w:rPr>
        <w:t>本基金公开披露的信息应采用中文文本。如同时采用外文文本的，基金信息披露义务人应保证不同文本的内容一致。不同文本之间发生歧义的，以中文文本为准。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sz w:val="24"/>
        </w:rPr>
      </w:pPr>
      <w:r>
        <w:rPr>
          <w:rFonts w:hint="eastAsia"/>
          <w:bCs/>
          <w:sz w:val="24"/>
        </w:rPr>
        <w:t>公开披露的基金信息包括：</w:t>
      </w:r>
    </w:p>
    <w:p>
      <w:pPr>
        <w:adjustRightInd w:val="0"/>
        <w:snapToGrid w:val="0"/>
        <w:spacing w:line="360" w:lineRule="auto"/>
        <w:ind w:firstLine="480" w:firstLineChars="200"/>
        <w:rPr>
          <w:bCs/>
          <w:sz w:val="24"/>
        </w:rPr>
      </w:pPr>
      <w:r>
        <w:rPr>
          <w:rFonts w:hint="eastAsia"/>
          <w:bCs/>
          <w:sz w:val="24"/>
        </w:rPr>
        <w:t>1、基金招募说明书、《基金合同》、基金托管协议、</w:t>
      </w:r>
      <w:r>
        <w:rPr>
          <w:bCs/>
          <w:sz w:val="24"/>
        </w:rPr>
        <w:t>基金产品资料概要</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int="eastAsia"/>
          <w:sz w:val="24"/>
        </w:rPr>
        <w:t>（</w:t>
      </w:r>
      <w:r>
        <w:rPr>
          <w:sz w:val="24"/>
        </w:rPr>
        <w:t>2</w:t>
      </w:r>
      <w:r>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Pr>
          <w:rFonts w:hint="eastAsia" w:hAnsi="宋体"/>
          <w:sz w:val="24"/>
        </w:rPr>
        <w:t>后，</w:t>
      </w:r>
      <w:r>
        <w:rPr>
          <w:rFonts w:hint="eastAsia"/>
          <w:sz w:val="24"/>
        </w:rPr>
        <w:t>基金</w:t>
      </w:r>
      <w:r>
        <w:rPr>
          <w:rFonts w:hint="eastAsia"/>
          <w:bCs/>
          <w:sz w:val="24"/>
        </w:rPr>
        <w:t>招募说明书的信息发生重大变更的，基金</w:t>
      </w:r>
      <w:r>
        <w:rPr>
          <w:rFonts w:hint="eastAsia"/>
          <w:sz w:val="24"/>
        </w:rPr>
        <w:t>管理人</w:t>
      </w:r>
      <w:r>
        <w:rPr>
          <w:rFonts w:hint="eastAsia"/>
          <w:bCs/>
          <w:sz w:val="24"/>
        </w:rPr>
        <w:t>应当</w:t>
      </w:r>
      <w:r>
        <w:rPr>
          <w:rFonts w:hint="eastAsia"/>
          <w:sz w:val="24"/>
        </w:rPr>
        <w:t>在</w:t>
      </w:r>
      <w:r>
        <w:rPr>
          <w:rFonts w:hint="eastAsia"/>
          <w:bCs/>
          <w:sz w:val="24"/>
        </w:rPr>
        <w:t>三个工作日内</w:t>
      </w:r>
      <w:r>
        <w:rPr>
          <w:rFonts w:hint="eastAsia"/>
          <w:sz w:val="24"/>
        </w:rPr>
        <w:t>，更新</w:t>
      </w:r>
      <w:r>
        <w:rPr>
          <w:rFonts w:hint="eastAsia"/>
          <w:bCs/>
          <w:sz w:val="24"/>
        </w:rPr>
        <w:t>基金</w:t>
      </w:r>
      <w:r>
        <w:rPr>
          <w:rFonts w:hint="eastAsia"/>
          <w:sz w:val="24"/>
        </w:rPr>
        <w:t>招募说明书并登载在</w:t>
      </w:r>
      <w:r>
        <w:rPr>
          <w:rFonts w:hint="eastAsia"/>
          <w:bCs/>
          <w:sz w:val="24"/>
        </w:rPr>
        <w:t>规定网站</w:t>
      </w:r>
      <w:r>
        <w:rPr>
          <w:rFonts w:hint="eastAsia"/>
          <w:sz w:val="24"/>
        </w:rPr>
        <w:t>上</w:t>
      </w:r>
      <w:r>
        <w:rPr>
          <w:rFonts w:hint="eastAsia"/>
          <w:bCs/>
          <w:sz w:val="24"/>
        </w:rPr>
        <w:t>；基金</w:t>
      </w:r>
      <w:r>
        <w:rPr>
          <w:rFonts w:hint="eastAsia"/>
          <w:sz w:val="24"/>
        </w:rPr>
        <w:t>招募说明书</w:t>
      </w:r>
      <w:r>
        <w:rPr>
          <w:rFonts w:hint="eastAsia"/>
          <w:bCs/>
          <w:sz w:val="24"/>
        </w:rPr>
        <w:t>其他信息发生变更的，</w:t>
      </w:r>
      <w:r>
        <w:rPr>
          <w:rFonts w:hint="eastAsia"/>
          <w:sz w:val="24"/>
        </w:rPr>
        <w:t>基金管理人</w:t>
      </w:r>
      <w:r>
        <w:rPr>
          <w:rFonts w:hint="eastAsia"/>
          <w:bCs/>
          <w:sz w:val="24"/>
        </w:rPr>
        <w:t>至少每年更新一次。基金终止运作的，基金管理人不再</w:t>
      </w:r>
      <w:r>
        <w:rPr>
          <w:rFonts w:hint="eastAsia"/>
          <w:sz w:val="24"/>
        </w:rPr>
        <w:t>更新招募说明书。</w:t>
      </w:r>
    </w:p>
    <w:p>
      <w:pPr>
        <w:adjustRightInd w:val="0"/>
        <w:snapToGrid w:val="0"/>
        <w:spacing w:line="360" w:lineRule="auto"/>
        <w:ind w:firstLine="480" w:firstLineChars="200"/>
        <w:rPr>
          <w:bCs/>
          <w:sz w:val="24"/>
        </w:rPr>
      </w:pPr>
      <w:r>
        <w:rPr>
          <w:rFonts w:hint="eastAsia" w:hAnsi="宋体"/>
          <w:sz w:val="24"/>
        </w:rPr>
        <w:t>（3）基金托管协议是界定基金托</w:t>
      </w:r>
      <w:r>
        <w:rPr>
          <w:rFonts w:hint="eastAsia"/>
          <w:sz w:val="24"/>
        </w:rPr>
        <w:t>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Ansi="宋体"/>
          <w:sz w:val="24"/>
        </w:rPr>
        <w:t>基金募集申请经中国证监会</w:t>
      </w:r>
      <w:r>
        <w:rPr>
          <w:rFonts w:hint="eastAsia" w:hAnsi="宋体"/>
          <w:sz w:val="24"/>
        </w:rPr>
        <w:t>注册</w:t>
      </w:r>
      <w:r>
        <w:rPr>
          <w:rFonts w:hAnsi="宋体"/>
          <w:sz w:val="24"/>
        </w:rPr>
        <w:t>后，基金管理人在基金份额发售的</w:t>
      </w:r>
      <w:r>
        <w:rPr>
          <w:rFonts w:hint="eastAsia" w:hAnsi="宋体"/>
          <w:sz w:val="24"/>
        </w:rPr>
        <w:t>三</w:t>
      </w:r>
      <w:r>
        <w:rPr>
          <w:rFonts w:hAnsi="宋体"/>
          <w:sz w:val="24"/>
        </w:rPr>
        <w:t>日前，</w:t>
      </w:r>
      <w:r>
        <w:rPr>
          <w:bCs/>
          <w:sz w:val="24"/>
        </w:rPr>
        <w:t>将</w:t>
      </w:r>
      <w:r>
        <w:rPr>
          <w:rFonts w:hint="eastAsia" w:hAnsi="宋体"/>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r>
        <w:rPr>
          <w:rFonts w:hAnsi="宋体"/>
          <w:sz w:val="24"/>
        </w:rPr>
        <w:t>。</w:t>
      </w:r>
    </w:p>
    <w:p>
      <w:pPr>
        <w:adjustRightInd w:val="0"/>
        <w:snapToGrid w:val="0"/>
        <w:spacing w:line="360" w:lineRule="auto"/>
        <w:ind w:firstLine="480" w:firstLineChars="200"/>
        <w:rPr>
          <w:bCs/>
          <w:sz w:val="24"/>
        </w:rPr>
      </w:pPr>
      <w:r>
        <w:rPr>
          <w:rFonts w:hint="eastAsia"/>
          <w:bCs/>
          <w:sz w:val="24"/>
        </w:rPr>
        <w:t>2</w:t>
      </w:r>
      <w:r>
        <w:rPr>
          <w:rFonts w:hint="eastAsia" w:hAnsi="宋体"/>
          <w:sz w:val="24"/>
        </w:rPr>
        <w:t>、基金份额发售公告</w:t>
      </w:r>
    </w:p>
    <w:p>
      <w:pPr>
        <w:adjustRightInd w:val="0"/>
        <w:snapToGrid w:val="0"/>
        <w:spacing w:line="360" w:lineRule="auto"/>
        <w:ind w:firstLine="480" w:firstLineChars="200"/>
        <w:rPr>
          <w:rFonts w:hAnsi="宋体"/>
          <w:sz w:val="24"/>
        </w:rPr>
      </w:pPr>
      <w:r>
        <w:rPr>
          <w:rFonts w:hint="eastAsia"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bCs/>
          <w:sz w:val="24"/>
        </w:rPr>
      </w:pPr>
      <w:r>
        <w:rPr>
          <w:rFonts w:hint="eastAsia"/>
          <w:bCs/>
          <w:sz w:val="24"/>
        </w:rPr>
        <w:t>3</w:t>
      </w:r>
      <w:r>
        <w:rPr>
          <w:rFonts w:hint="eastAsia" w:hAnsi="宋体"/>
          <w:sz w:val="24"/>
        </w:rPr>
        <w:t>、</w:t>
      </w:r>
      <w:r>
        <w:rPr>
          <w:rFonts w:hint="eastAsia"/>
          <w:bCs/>
          <w:sz w:val="24"/>
        </w:rPr>
        <w:t>《基金合同》</w:t>
      </w:r>
      <w:r>
        <w:rPr>
          <w:rFonts w:hint="eastAsia" w:hAnsi="宋体"/>
          <w:sz w:val="24"/>
        </w:rPr>
        <w:t>生效公告</w:t>
      </w:r>
    </w:p>
    <w:p>
      <w:pPr>
        <w:adjustRightInd w:val="0"/>
        <w:snapToGrid w:val="0"/>
        <w:spacing w:line="360" w:lineRule="auto"/>
        <w:ind w:firstLine="480" w:firstLineChars="200"/>
        <w:rPr>
          <w:rFonts w:hAnsi="宋体"/>
          <w:sz w:val="24"/>
        </w:rPr>
      </w:pPr>
      <w:r>
        <w:rPr>
          <w:rFonts w:hint="eastAsia" w:hAnsi="宋体"/>
          <w:sz w:val="24"/>
        </w:rPr>
        <w:t>基金管理人应当在收到中国证监会确认文件的次日在规定媒介上登载《基金合同》生效公告。</w:t>
      </w:r>
    </w:p>
    <w:p>
      <w:pPr>
        <w:adjustRightInd w:val="0"/>
        <w:snapToGrid w:val="0"/>
        <w:spacing w:line="360" w:lineRule="auto"/>
        <w:ind w:firstLine="480" w:firstLineChars="200"/>
        <w:rPr>
          <w:bCs/>
          <w:sz w:val="24"/>
        </w:rPr>
      </w:pPr>
      <w:r>
        <w:rPr>
          <w:rFonts w:hint="eastAsia"/>
          <w:bCs/>
          <w:sz w:val="24"/>
        </w:rPr>
        <w:t>4</w:t>
      </w:r>
      <w:r>
        <w:rPr>
          <w:rFonts w:hint="eastAsia" w:hAnsi="宋体"/>
          <w:sz w:val="24"/>
        </w:rPr>
        <w:t>、基金净值</w:t>
      </w:r>
      <w:r>
        <w:rPr>
          <w:rFonts w:hint="eastAsia"/>
          <w:bCs/>
          <w:sz w:val="24"/>
        </w:rPr>
        <w:t>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在开始办理基金份额申购或者赎回后，基金管理人应当在不晚于每个开放日后的</w:t>
      </w:r>
      <w:r>
        <w:rPr>
          <w:bCs/>
          <w:sz w:val="24"/>
        </w:rPr>
        <w:t>2</w:t>
      </w:r>
      <w:r>
        <w:rPr>
          <w:rFonts w:hint="eastAsia"/>
          <w:bCs/>
          <w:sz w:val="24"/>
        </w:rPr>
        <w:t>个工作日内，通过规定网站、基金销售机构网站或者营业网点，分别披露开放日的A类基金份额和C类基金份额所对应的基金份额净值和基金份额累计净值。</w:t>
      </w:r>
    </w:p>
    <w:p>
      <w:pPr>
        <w:adjustRightInd w:val="0"/>
        <w:snapToGrid w:val="0"/>
        <w:spacing w:line="360" w:lineRule="auto"/>
        <w:ind w:firstLine="480" w:firstLineChars="200"/>
        <w:rPr>
          <w:sz w:val="24"/>
        </w:rPr>
      </w:pPr>
      <w:r>
        <w:rPr>
          <w:rFonts w:hint="eastAsia"/>
          <w:bCs/>
          <w:sz w:val="24"/>
        </w:rPr>
        <w:t>基金管理人应当在不晚于半年度和年度最后一日后的</w:t>
      </w:r>
      <w:r>
        <w:rPr>
          <w:bCs/>
          <w:sz w:val="24"/>
        </w:rPr>
        <w:t>2</w:t>
      </w:r>
      <w:r>
        <w:rPr>
          <w:rFonts w:hint="eastAsia"/>
          <w:bCs/>
          <w:sz w:val="24"/>
        </w:rPr>
        <w:t>个工作日内，在规定网站披露半年度和年度最后一日A类基金份额和C类基金份额所对应的基金份额净值和基金份额累计净值。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5</w:t>
      </w:r>
      <w:r>
        <w:rPr>
          <w:rFonts w:hint="eastAsia" w:hAnsi="宋体"/>
          <w:sz w:val="24"/>
        </w:rPr>
        <w:t>、基金份额申购、赎回价格</w:t>
      </w:r>
    </w:p>
    <w:p>
      <w:pPr>
        <w:adjustRightInd w:val="0"/>
        <w:snapToGrid w:val="0"/>
        <w:spacing w:line="360" w:lineRule="auto"/>
        <w:ind w:firstLine="480" w:firstLineChars="200"/>
        <w:rPr>
          <w:sz w:val="24"/>
        </w:rPr>
      </w:pPr>
      <w:r>
        <w:rPr>
          <w:rFonts w:hint="eastAsia" w:hAnsi="宋体"/>
          <w:sz w:val="24"/>
        </w:rPr>
        <w:t>基金管理人应当在《基金合同》、招募说明书等信息披露文件上载明基金份额申购、赎回价格的计算方式及有关申购、赎回费率，并保证投资者能够在基金销售机构</w:t>
      </w:r>
      <w:r>
        <w:rPr>
          <w:rFonts w:hint="eastAsia"/>
          <w:bCs/>
          <w:sz w:val="24"/>
        </w:rPr>
        <w:t>网站或营业网点</w:t>
      </w:r>
      <w:r>
        <w:rPr>
          <w:rFonts w:hint="eastAsia"/>
          <w:sz w:val="24"/>
        </w:rPr>
        <w:t>查阅或者复制前述信息资料。</w:t>
      </w:r>
    </w:p>
    <w:p>
      <w:pPr>
        <w:adjustRightInd w:val="0"/>
        <w:snapToGrid w:val="0"/>
        <w:spacing w:line="360" w:lineRule="auto"/>
        <w:ind w:firstLine="480" w:firstLineChars="200"/>
        <w:rPr>
          <w:bCs/>
          <w:sz w:val="24"/>
        </w:rPr>
      </w:pPr>
      <w:r>
        <w:rPr>
          <w:rFonts w:hint="eastAsia"/>
          <w:bCs/>
          <w:sz w:val="24"/>
        </w:rPr>
        <w:t>6</w:t>
      </w:r>
      <w:r>
        <w:rPr>
          <w:rFonts w:hint="eastAsia" w:hAnsi="宋体"/>
          <w:sz w:val="24"/>
        </w:rPr>
        <w:t>、</w:t>
      </w:r>
      <w:r>
        <w:rPr>
          <w:rFonts w:hint="eastAsia"/>
          <w:bCs/>
          <w:sz w:val="24"/>
        </w:rPr>
        <w:t>基金定期报告，包括基金年度报告、基金中期报告和基金季度报告</w:t>
      </w:r>
    </w:p>
    <w:p>
      <w:pPr>
        <w:adjustRightInd w:val="0"/>
        <w:snapToGrid w:val="0"/>
        <w:spacing w:line="360" w:lineRule="auto"/>
        <w:ind w:firstLine="480" w:firstLineChars="200"/>
        <w:rPr>
          <w:sz w:val="24"/>
        </w:rPr>
      </w:pPr>
      <w:r>
        <w:rPr>
          <w:rFonts w:hint="eastAsia" w:hAnsi="宋体"/>
          <w:sz w:val="24"/>
        </w:rPr>
        <w:t>基金管理人应当在每年结束之日起</w:t>
      </w:r>
      <w:r>
        <w:rPr>
          <w:rFonts w:hint="eastAsia"/>
          <w:bCs/>
          <w:sz w:val="24"/>
        </w:rPr>
        <w:t>三个月内</w:t>
      </w:r>
      <w:r>
        <w:rPr>
          <w:rFonts w:hint="eastAsia" w:hAnsi="宋体"/>
          <w:sz w:val="24"/>
        </w:rPr>
        <w:t>，编制完成基金年度报告，</w:t>
      </w:r>
      <w:r>
        <w:rPr>
          <w:rFonts w:hint="eastAsia"/>
          <w:bCs/>
          <w:sz w:val="24"/>
        </w:rPr>
        <w:t>将年度报告登载在规定网站上，</w:t>
      </w:r>
      <w:r>
        <w:rPr>
          <w:rFonts w:hint="eastAsia" w:hAnsi="宋体"/>
          <w:sz w:val="24"/>
        </w:rPr>
        <w:t>并将年度报告</w:t>
      </w:r>
      <w:r>
        <w:rPr>
          <w:rFonts w:hint="eastAsia"/>
          <w:bCs/>
          <w:sz w:val="24"/>
        </w:rPr>
        <w:t>提示性公告</w:t>
      </w:r>
      <w:r>
        <w:rPr>
          <w:rFonts w:hint="eastAsia"/>
          <w:sz w:val="24"/>
        </w:rPr>
        <w:t>登载在规定报刊上。基金年度报告</w:t>
      </w:r>
      <w:r>
        <w:rPr>
          <w:rFonts w:hint="eastAsia"/>
          <w:bCs/>
          <w:sz w:val="24"/>
        </w:rPr>
        <w:t>中</w:t>
      </w:r>
      <w:r>
        <w:rPr>
          <w:rFonts w:hint="eastAsia"/>
          <w:sz w:val="24"/>
        </w:rPr>
        <w:t>的财务会计报告应当经过</w:t>
      </w:r>
      <w:r>
        <w:rPr>
          <w:bCs/>
          <w:sz w:val="24"/>
        </w:rPr>
        <w:t>符合《中华人民共和国证券法》规定</w:t>
      </w:r>
      <w:r>
        <w:rPr>
          <w:rFonts w:hint="eastAsia"/>
          <w:bCs/>
          <w:sz w:val="24"/>
        </w:rPr>
        <w:t>的会计师事务所</w:t>
      </w:r>
      <w:r>
        <w:rPr>
          <w:rFonts w:hint="eastAsia"/>
          <w:sz w:val="24"/>
        </w:rPr>
        <w:t>审计。</w:t>
      </w:r>
    </w:p>
    <w:p>
      <w:pPr>
        <w:adjustRightInd w:val="0"/>
        <w:snapToGrid w:val="0"/>
        <w:spacing w:line="360" w:lineRule="auto"/>
        <w:ind w:firstLine="480" w:firstLineChars="200"/>
        <w:rPr>
          <w:sz w:val="24"/>
        </w:rPr>
      </w:pPr>
      <w:r>
        <w:rPr>
          <w:rFonts w:hint="eastAsia"/>
          <w:sz w:val="24"/>
        </w:rPr>
        <w:t>基金管理人应当在上半年结束之日起</w:t>
      </w:r>
      <w:r>
        <w:rPr>
          <w:rFonts w:hint="eastAsia"/>
          <w:bCs/>
          <w:sz w:val="24"/>
        </w:rPr>
        <w:t>两个月内</w:t>
      </w:r>
      <w:r>
        <w:rPr>
          <w:rFonts w:hint="eastAsia"/>
          <w:sz w:val="24"/>
        </w:rPr>
        <w:t>，编制完成基金</w:t>
      </w:r>
      <w:r>
        <w:rPr>
          <w:rFonts w:hint="eastAsia"/>
          <w:bCs/>
          <w:sz w:val="24"/>
        </w:rPr>
        <w:t>中期</w:t>
      </w:r>
      <w:r>
        <w:rPr>
          <w:rFonts w:hint="eastAsia"/>
          <w:sz w:val="24"/>
        </w:rPr>
        <w:t>报告，将</w:t>
      </w:r>
      <w:r>
        <w:rPr>
          <w:rFonts w:hint="eastAsia"/>
          <w:bCs/>
          <w:sz w:val="24"/>
        </w:rPr>
        <w:t>中期</w:t>
      </w:r>
      <w:r>
        <w:rPr>
          <w:rFonts w:hint="eastAsia"/>
          <w:sz w:val="24"/>
        </w:rPr>
        <w:t>报告登载在</w:t>
      </w:r>
      <w:r>
        <w:rPr>
          <w:rFonts w:hint="eastAsia"/>
          <w:bCs/>
          <w:sz w:val="24"/>
        </w:rPr>
        <w:t>规定网站</w:t>
      </w:r>
      <w:r>
        <w:rPr>
          <w:rFonts w:hint="eastAsia"/>
          <w:sz w:val="24"/>
        </w:rPr>
        <w:t>上，</w:t>
      </w:r>
      <w:r>
        <w:rPr>
          <w:rFonts w:hint="eastAsia"/>
          <w:bCs/>
          <w:sz w:val="24"/>
        </w:rPr>
        <w:t>并</w:t>
      </w:r>
      <w:r>
        <w:rPr>
          <w:rFonts w:hint="eastAsia"/>
          <w:sz w:val="24"/>
        </w:rPr>
        <w:t>将</w:t>
      </w:r>
      <w:r>
        <w:rPr>
          <w:rFonts w:hint="eastAsia"/>
          <w:bCs/>
          <w:sz w:val="24"/>
        </w:rPr>
        <w:t>中期</w:t>
      </w:r>
      <w:r>
        <w:rPr>
          <w:rFonts w:hint="eastAsia"/>
          <w:sz w:val="24"/>
        </w:rPr>
        <w:t>报告</w:t>
      </w:r>
      <w:r>
        <w:rPr>
          <w:rFonts w:hint="eastAsia"/>
          <w:bCs/>
          <w:sz w:val="24"/>
        </w:rPr>
        <w:t>提示性公告</w:t>
      </w:r>
      <w:r>
        <w:rPr>
          <w:rFonts w:hint="eastAsia"/>
          <w:sz w:val="24"/>
        </w:rPr>
        <w:t>登载在规定报刊上。</w:t>
      </w:r>
    </w:p>
    <w:p>
      <w:pPr>
        <w:adjustRightInd w:val="0"/>
        <w:snapToGrid w:val="0"/>
        <w:spacing w:line="360" w:lineRule="auto"/>
        <w:ind w:firstLine="480" w:firstLineChars="200"/>
        <w:rPr>
          <w:sz w:val="24"/>
        </w:rPr>
      </w:pPr>
      <w:r>
        <w:rPr>
          <w:rFonts w:hint="eastAsia"/>
          <w:sz w:val="24"/>
        </w:rPr>
        <w:t>基金管理人应当在</w:t>
      </w:r>
      <w:r>
        <w:rPr>
          <w:rFonts w:hint="eastAsia"/>
          <w:bCs/>
          <w:sz w:val="24"/>
        </w:rPr>
        <w:t>季度</w:t>
      </w:r>
      <w:r>
        <w:rPr>
          <w:rFonts w:hint="eastAsia"/>
          <w:sz w:val="24"/>
        </w:rPr>
        <w:t>结束之日起15个工作日内，编制完成基金季度报告，</w:t>
      </w:r>
      <w:r>
        <w:rPr>
          <w:rFonts w:hint="eastAsia"/>
          <w:bCs/>
          <w:sz w:val="24"/>
        </w:rPr>
        <w:t>将季度报告登载在规定网站上，</w:t>
      </w:r>
      <w:r>
        <w:rPr>
          <w:rFonts w:hint="eastAsia"/>
          <w:sz w:val="24"/>
        </w:rPr>
        <w:t>并将季度报告</w:t>
      </w:r>
      <w:r>
        <w:rPr>
          <w:rFonts w:hint="eastAsia"/>
          <w:bCs/>
          <w:sz w:val="24"/>
        </w:rPr>
        <w:t>提示性公告</w:t>
      </w:r>
      <w:r>
        <w:rPr>
          <w:rFonts w:hint="eastAsia"/>
          <w:sz w:val="24"/>
        </w:rPr>
        <w:t>登载在规定报刊上。</w:t>
      </w:r>
    </w:p>
    <w:p>
      <w:pPr>
        <w:adjustRightInd w:val="0"/>
        <w:snapToGrid w:val="0"/>
        <w:spacing w:line="360" w:lineRule="auto"/>
        <w:ind w:firstLine="480" w:firstLineChars="200"/>
        <w:rPr>
          <w:sz w:val="24"/>
        </w:rPr>
      </w:pPr>
      <w:r>
        <w:rPr>
          <w:rFonts w:hint="eastAsia"/>
          <w:sz w:val="24"/>
        </w:rPr>
        <w:t>《基金合同》生效不足2个月的，基金管理人可以不编制当期季度报告、</w:t>
      </w:r>
      <w:r>
        <w:rPr>
          <w:rFonts w:hint="eastAsia"/>
          <w:bCs/>
          <w:sz w:val="24"/>
        </w:rPr>
        <w:t>中期</w:t>
      </w:r>
      <w:r>
        <w:rPr>
          <w:rFonts w:hint="eastAsia"/>
          <w:sz w:val="24"/>
        </w:rPr>
        <w:t>报告或者年度报告。</w:t>
      </w:r>
    </w:p>
    <w:p>
      <w:pPr>
        <w:adjustRightInd w:val="0"/>
        <w:snapToGrid w:val="0"/>
        <w:spacing w:line="360" w:lineRule="auto"/>
        <w:ind w:firstLine="480" w:firstLineChars="200"/>
        <w:rPr>
          <w:sz w:val="24"/>
        </w:rPr>
      </w:pPr>
      <w:r>
        <w:rPr>
          <w:rFonts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bCs/>
          <w:sz w:val="24"/>
        </w:rPr>
      </w:pPr>
      <w:r>
        <w:rPr>
          <w:rFonts w:hint="eastAsia"/>
          <w:bCs/>
          <w:sz w:val="24"/>
        </w:rPr>
        <w:t>7</w:t>
      </w:r>
      <w:r>
        <w:rPr>
          <w:rFonts w:hint="eastAsia" w:hAnsi="宋体"/>
          <w:sz w:val="24"/>
        </w:rPr>
        <w:t>、临时报告</w:t>
      </w:r>
    </w:p>
    <w:p>
      <w:pPr>
        <w:adjustRightInd w:val="0"/>
        <w:snapToGrid w:val="0"/>
        <w:spacing w:line="360" w:lineRule="auto"/>
        <w:ind w:firstLine="480" w:firstLineChars="200"/>
        <w:rPr>
          <w:sz w:val="24"/>
        </w:rPr>
      </w:pPr>
      <w:bookmarkStart w:id="89" w:name="OLE_LINK78"/>
      <w:bookmarkStart w:id="90" w:name="OLE_LINK79"/>
      <w:r>
        <w:rPr>
          <w:rFonts w:hint="eastAsia"/>
          <w:sz w:val="24"/>
        </w:rPr>
        <w:t>本基金发生重大事件，有关信息披露义务人应当依照《信息披露办法》的规定编制临时报告书，并登载在规定报刊和规定网站上。</w:t>
      </w:r>
    </w:p>
    <w:p>
      <w:pPr>
        <w:adjustRightInd w:val="0"/>
        <w:snapToGrid w:val="0"/>
        <w:spacing w:line="360" w:lineRule="auto"/>
        <w:ind w:firstLine="480" w:firstLineChars="200"/>
        <w:rPr>
          <w:sz w:val="24"/>
        </w:rPr>
      </w:pPr>
      <w:r>
        <w:rPr>
          <w:rFonts w:hint="eastAsia"/>
          <w:sz w:val="24"/>
        </w:rPr>
        <w:t>前款所称重大事件，是指可能对基金份额持有人权益或者基金份额的价格产生重大影响的下列事件：</w:t>
      </w:r>
    </w:p>
    <w:p>
      <w:pPr>
        <w:adjustRightInd w:val="0"/>
        <w:snapToGrid w:val="0"/>
        <w:spacing w:line="360" w:lineRule="auto"/>
        <w:ind w:firstLine="480" w:firstLineChars="200"/>
        <w:rPr>
          <w:sz w:val="24"/>
        </w:rPr>
      </w:pPr>
      <w:r>
        <w:rPr>
          <w:rFonts w:hint="eastAsia"/>
          <w:sz w:val="24"/>
        </w:rPr>
        <w:t>（1）基金份额持有人大会的召开及决定的事项；</w:t>
      </w:r>
    </w:p>
    <w:p>
      <w:pPr>
        <w:adjustRightInd w:val="0"/>
        <w:snapToGrid w:val="0"/>
        <w:spacing w:line="360" w:lineRule="auto"/>
        <w:ind w:firstLine="480" w:firstLineChars="200"/>
        <w:rPr>
          <w:sz w:val="24"/>
        </w:rPr>
      </w:pPr>
      <w:r>
        <w:rPr>
          <w:rFonts w:hint="eastAsia"/>
          <w:sz w:val="24"/>
        </w:rPr>
        <w:t>（2）《基金合同》终止、基金清算；</w:t>
      </w:r>
    </w:p>
    <w:p>
      <w:pPr>
        <w:adjustRightInd w:val="0"/>
        <w:snapToGrid w:val="0"/>
        <w:spacing w:line="360" w:lineRule="auto"/>
        <w:ind w:firstLine="480" w:firstLineChars="200"/>
        <w:rPr>
          <w:sz w:val="24"/>
        </w:rPr>
      </w:pPr>
      <w:r>
        <w:rPr>
          <w:rFonts w:hint="eastAsia"/>
          <w:sz w:val="24"/>
        </w:rPr>
        <w:t>（3）转换基金运作方式、基金合并；</w:t>
      </w:r>
    </w:p>
    <w:p>
      <w:pPr>
        <w:adjustRightInd w:val="0"/>
        <w:snapToGrid w:val="0"/>
        <w:spacing w:line="360" w:lineRule="auto"/>
        <w:ind w:firstLine="480" w:firstLineChars="200"/>
        <w:rPr>
          <w:sz w:val="24"/>
        </w:rPr>
      </w:pPr>
      <w:r>
        <w:rPr>
          <w:rFonts w:hint="eastAsia"/>
          <w:sz w:val="24"/>
        </w:rPr>
        <w:t>（4）更换基金管理人、基金托管人、基金份额登记机构，基金改聘会计师事务所；</w:t>
      </w:r>
    </w:p>
    <w:p>
      <w:pPr>
        <w:adjustRightInd w:val="0"/>
        <w:snapToGrid w:val="0"/>
        <w:spacing w:line="360" w:lineRule="auto"/>
        <w:ind w:firstLine="480" w:firstLineChars="200"/>
        <w:rPr>
          <w:sz w:val="24"/>
        </w:rPr>
      </w:pPr>
      <w:r>
        <w:rPr>
          <w:rFonts w:hint="eastAsia"/>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sz w:val="24"/>
        </w:rPr>
      </w:pPr>
      <w:r>
        <w:rPr>
          <w:rFonts w:hint="eastAsia"/>
          <w:sz w:val="24"/>
        </w:rPr>
        <w:t>（6）基金管理人、基金托管人的法定名称、住所发生变更；</w:t>
      </w:r>
    </w:p>
    <w:p>
      <w:pPr>
        <w:adjustRightInd w:val="0"/>
        <w:snapToGrid w:val="0"/>
        <w:spacing w:line="360" w:lineRule="auto"/>
        <w:ind w:firstLine="480" w:firstLineChars="200"/>
        <w:rPr>
          <w:sz w:val="24"/>
        </w:rPr>
      </w:pPr>
      <w:r>
        <w:rPr>
          <w:rFonts w:hint="eastAsia"/>
          <w:sz w:val="24"/>
        </w:rPr>
        <w:t>（7）基金管理人变更持有百分之五以上股权的股东、基金管理人的实际控制人变更；</w:t>
      </w:r>
    </w:p>
    <w:p>
      <w:pPr>
        <w:adjustRightInd w:val="0"/>
        <w:snapToGrid w:val="0"/>
        <w:spacing w:line="360" w:lineRule="auto"/>
        <w:ind w:firstLine="480" w:firstLineChars="200"/>
        <w:rPr>
          <w:sz w:val="24"/>
        </w:rPr>
      </w:pPr>
      <w:r>
        <w:rPr>
          <w:rFonts w:hint="eastAsia"/>
          <w:sz w:val="24"/>
        </w:rPr>
        <w:t>（8）基金募集期延长或提前结束募集；</w:t>
      </w:r>
    </w:p>
    <w:p>
      <w:pPr>
        <w:adjustRightInd w:val="0"/>
        <w:snapToGrid w:val="0"/>
        <w:spacing w:line="360" w:lineRule="auto"/>
        <w:ind w:firstLine="480" w:firstLineChars="200"/>
        <w:rPr>
          <w:sz w:val="24"/>
        </w:rPr>
      </w:pPr>
      <w:r>
        <w:rPr>
          <w:rFonts w:hint="eastAsia"/>
          <w:sz w:val="24"/>
        </w:rPr>
        <w:t>（9）基金管理人的高级管理人员、基金经理和基金托管人专门基金托管部门负责人发生变动；</w:t>
      </w:r>
    </w:p>
    <w:p>
      <w:pPr>
        <w:adjustRightInd w:val="0"/>
        <w:snapToGrid w:val="0"/>
        <w:spacing w:line="360" w:lineRule="auto"/>
        <w:ind w:firstLine="480" w:firstLineChars="200"/>
        <w:rPr>
          <w:sz w:val="24"/>
        </w:rPr>
      </w:pPr>
      <w:r>
        <w:rPr>
          <w:rFonts w:hint="eastAsia"/>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sz w:val="24"/>
        </w:rPr>
      </w:pPr>
      <w:r>
        <w:rPr>
          <w:rFonts w:hint="eastAsia"/>
          <w:sz w:val="24"/>
        </w:rPr>
        <w:t>（11）涉及基金财产、基金管理业务、基金托管业务的诉讼或仲裁；</w:t>
      </w:r>
    </w:p>
    <w:p>
      <w:pPr>
        <w:adjustRightInd w:val="0"/>
        <w:snapToGrid w:val="0"/>
        <w:spacing w:line="360" w:lineRule="auto"/>
        <w:ind w:firstLine="480" w:firstLineChars="200"/>
        <w:rPr>
          <w:sz w:val="24"/>
        </w:rPr>
      </w:pPr>
      <w:r>
        <w:rPr>
          <w:rFonts w:hint="eastAsia"/>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sz w:val="24"/>
        </w:rPr>
      </w:pPr>
      <w:r>
        <w:rPr>
          <w:rFonts w:hint="eastAsia"/>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sz w:val="24"/>
        </w:rPr>
      </w:pPr>
      <w:r>
        <w:rPr>
          <w:rFonts w:hint="eastAsia"/>
          <w:sz w:val="24"/>
        </w:rPr>
        <w:t>（14）基金收益分配事项；</w:t>
      </w:r>
    </w:p>
    <w:p>
      <w:pPr>
        <w:adjustRightInd w:val="0"/>
        <w:snapToGrid w:val="0"/>
        <w:spacing w:line="360" w:lineRule="auto"/>
        <w:ind w:firstLine="480" w:firstLineChars="200"/>
        <w:rPr>
          <w:sz w:val="24"/>
        </w:rPr>
      </w:pPr>
      <w:r>
        <w:rPr>
          <w:rFonts w:hint="eastAsia"/>
          <w:sz w:val="24"/>
        </w:rPr>
        <w:t>（15）管理费、托管费、</w:t>
      </w:r>
      <w:r>
        <w:rPr>
          <w:rFonts w:hint="eastAsia"/>
          <w:bCs/>
          <w:sz w:val="24"/>
        </w:rPr>
        <w:t>销售服务费、</w:t>
      </w:r>
      <w:r>
        <w:rPr>
          <w:rFonts w:hint="eastAsia"/>
          <w:sz w:val="24"/>
        </w:rPr>
        <w:t>申购费、赎回费等费用计提标准、计提方式和费率发生变更；</w:t>
      </w:r>
    </w:p>
    <w:p>
      <w:pPr>
        <w:adjustRightInd w:val="0"/>
        <w:snapToGrid w:val="0"/>
        <w:spacing w:line="360" w:lineRule="auto"/>
        <w:ind w:firstLine="480" w:firstLineChars="200"/>
        <w:rPr>
          <w:sz w:val="24"/>
        </w:rPr>
      </w:pPr>
      <w:r>
        <w:rPr>
          <w:rFonts w:hint="eastAsia"/>
          <w:sz w:val="24"/>
        </w:rPr>
        <w:t>（16）</w:t>
      </w:r>
      <w:r>
        <w:rPr>
          <w:rFonts w:hint="eastAsia"/>
          <w:bCs/>
          <w:sz w:val="24"/>
        </w:rPr>
        <w:t>任一类</w:t>
      </w:r>
      <w:r>
        <w:rPr>
          <w:rFonts w:hint="eastAsia"/>
          <w:sz w:val="24"/>
        </w:rPr>
        <w:t>基金份额净值计价错误达</w:t>
      </w:r>
      <w:r>
        <w:rPr>
          <w:rFonts w:hint="eastAsia"/>
          <w:bCs/>
          <w:sz w:val="24"/>
        </w:rPr>
        <w:t>该类</w:t>
      </w:r>
      <w:r>
        <w:rPr>
          <w:rFonts w:hint="eastAsia"/>
          <w:sz w:val="24"/>
        </w:rPr>
        <w:t>基金份额净值百分之零点五；</w:t>
      </w:r>
    </w:p>
    <w:p>
      <w:pPr>
        <w:adjustRightInd w:val="0"/>
        <w:snapToGrid w:val="0"/>
        <w:spacing w:line="360" w:lineRule="auto"/>
        <w:ind w:firstLine="480" w:firstLineChars="200"/>
        <w:rPr>
          <w:sz w:val="24"/>
        </w:rPr>
      </w:pPr>
      <w:r>
        <w:rPr>
          <w:rFonts w:hint="eastAsia"/>
          <w:sz w:val="24"/>
        </w:rPr>
        <w:t>（17）本基金开始办理申购、赎回；</w:t>
      </w:r>
    </w:p>
    <w:p>
      <w:pPr>
        <w:adjustRightInd w:val="0"/>
        <w:snapToGrid w:val="0"/>
        <w:spacing w:line="360" w:lineRule="auto"/>
        <w:ind w:firstLine="480" w:firstLineChars="200"/>
        <w:rPr>
          <w:sz w:val="24"/>
        </w:rPr>
      </w:pPr>
      <w:r>
        <w:rPr>
          <w:rFonts w:hint="eastAsia"/>
          <w:sz w:val="24"/>
        </w:rPr>
        <w:t>（18）本基金发生巨额赎回并延期办理；</w:t>
      </w:r>
    </w:p>
    <w:p>
      <w:pPr>
        <w:adjustRightInd w:val="0"/>
        <w:snapToGrid w:val="0"/>
        <w:spacing w:line="360" w:lineRule="auto"/>
        <w:ind w:firstLine="480" w:firstLineChars="200"/>
        <w:rPr>
          <w:sz w:val="24"/>
        </w:rPr>
      </w:pPr>
      <w:r>
        <w:rPr>
          <w:rFonts w:hint="eastAsia"/>
          <w:sz w:val="24"/>
        </w:rPr>
        <w:t>（19）本基金连续发生巨额赎回并暂停接受赎回申请或延缓支付赎回款项；</w:t>
      </w:r>
    </w:p>
    <w:p>
      <w:pPr>
        <w:adjustRightInd w:val="0"/>
        <w:snapToGrid w:val="0"/>
        <w:spacing w:line="360" w:lineRule="auto"/>
        <w:ind w:firstLine="480" w:firstLineChars="200"/>
        <w:rPr>
          <w:sz w:val="24"/>
        </w:rPr>
      </w:pPr>
      <w:r>
        <w:rPr>
          <w:rFonts w:hint="eastAsia"/>
          <w:sz w:val="24"/>
        </w:rPr>
        <w:t>（20）本基金暂停接受申购、赎回申请或重新接受申购、赎回申请；</w:t>
      </w:r>
    </w:p>
    <w:p>
      <w:pPr>
        <w:adjustRightInd w:val="0"/>
        <w:snapToGrid w:val="0"/>
        <w:spacing w:line="360" w:lineRule="auto"/>
        <w:ind w:firstLine="480" w:firstLineChars="200"/>
        <w:rPr>
          <w:sz w:val="24"/>
        </w:rPr>
      </w:pPr>
      <w:r>
        <w:rPr>
          <w:rFonts w:hint="eastAsia"/>
          <w:sz w:val="24"/>
        </w:rPr>
        <w:t>（21）发生涉及基金申购、赎回事项调整或潜在影响投资者赎回等重大事项时；</w:t>
      </w:r>
    </w:p>
    <w:p>
      <w:pPr>
        <w:adjustRightInd w:val="0"/>
        <w:snapToGrid w:val="0"/>
        <w:spacing w:line="360" w:lineRule="auto"/>
        <w:ind w:firstLine="480" w:firstLineChars="200"/>
        <w:rPr>
          <w:sz w:val="24"/>
        </w:rPr>
      </w:pPr>
      <w:r>
        <w:rPr>
          <w:rFonts w:hint="eastAsia"/>
          <w:sz w:val="24"/>
        </w:rPr>
        <w:t>（22）基金管理人采用摆动定价机制进行估值；</w:t>
      </w:r>
    </w:p>
    <w:p>
      <w:pPr>
        <w:adjustRightInd w:val="0"/>
        <w:snapToGrid w:val="0"/>
        <w:spacing w:line="360" w:lineRule="auto"/>
        <w:ind w:firstLine="480" w:firstLineChars="200"/>
        <w:rPr>
          <w:sz w:val="24"/>
        </w:rPr>
      </w:pPr>
      <w:r>
        <w:rPr>
          <w:rFonts w:hint="eastAsia"/>
          <w:sz w:val="24"/>
        </w:rPr>
        <w:t>（23）本基金增加或调整基金份额类别；</w:t>
      </w:r>
    </w:p>
    <w:p>
      <w:pPr>
        <w:adjustRightInd w:val="0"/>
        <w:snapToGrid w:val="0"/>
        <w:spacing w:line="360" w:lineRule="auto"/>
        <w:ind w:firstLine="480" w:firstLineChars="200"/>
        <w:rPr>
          <w:sz w:val="24"/>
        </w:rPr>
      </w:pPr>
      <w:r>
        <w:rPr>
          <w:rFonts w:hint="eastAsia"/>
          <w:sz w:val="24"/>
        </w:rPr>
        <w:t>（24）本基金推出新业务或服务；</w:t>
      </w:r>
    </w:p>
    <w:p>
      <w:pPr>
        <w:adjustRightInd w:val="0"/>
        <w:snapToGrid w:val="0"/>
        <w:spacing w:line="360" w:lineRule="auto"/>
        <w:ind w:firstLine="480" w:firstLineChars="200"/>
        <w:rPr>
          <w:sz w:val="24"/>
        </w:rPr>
      </w:pPr>
      <w:r>
        <w:rPr>
          <w:rFonts w:hint="eastAsia"/>
          <w:sz w:val="24"/>
        </w:rPr>
        <w:t>（25）《基金合同》生效后，连续30、40、45个工作日出现基金份额持有人数量不满200人或者基金资产净值低于5000万元情形，基金管理人应当发布提示性公告；</w:t>
      </w:r>
    </w:p>
    <w:p>
      <w:pPr>
        <w:adjustRightInd w:val="0"/>
        <w:snapToGrid w:val="0"/>
        <w:spacing w:line="360" w:lineRule="auto"/>
        <w:ind w:firstLine="480" w:firstLineChars="200"/>
        <w:rPr>
          <w:bCs/>
          <w:sz w:val="24"/>
        </w:rPr>
      </w:pPr>
      <w:r>
        <w:rPr>
          <w:rFonts w:hint="eastAsia"/>
          <w:sz w:val="24"/>
        </w:rPr>
        <w:t>（26）基金信息披露义务人认为可能对基金份额持有人权益或者基金份额的价格产生重大影响的其他事项或中国证监会规定和基金合同约定的其他事项。</w:t>
      </w:r>
      <w:bookmarkEnd w:id="89"/>
      <w:bookmarkEnd w:id="90"/>
    </w:p>
    <w:p>
      <w:pPr>
        <w:adjustRightInd w:val="0"/>
        <w:snapToGrid w:val="0"/>
        <w:spacing w:line="360" w:lineRule="auto"/>
        <w:ind w:firstLine="480" w:firstLineChars="200"/>
        <w:rPr>
          <w:bCs/>
          <w:sz w:val="24"/>
        </w:rPr>
      </w:pPr>
      <w:r>
        <w:rPr>
          <w:rFonts w:hint="eastAsia"/>
          <w:bCs/>
          <w:sz w:val="24"/>
        </w:rPr>
        <w:t>8</w:t>
      </w:r>
      <w:r>
        <w:rPr>
          <w:rFonts w:hint="eastAsia"/>
          <w:sz w:val="24"/>
        </w:rPr>
        <w:t>、澄清公告</w:t>
      </w:r>
    </w:p>
    <w:p>
      <w:pPr>
        <w:adjustRightInd w:val="0"/>
        <w:snapToGrid w:val="0"/>
        <w:spacing w:line="360" w:lineRule="auto"/>
        <w:ind w:firstLine="480" w:firstLineChars="200"/>
        <w:rPr>
          <w:sz w:val="24"/>
        </w:rPr>
      </w:pPr>
      <w:r>
        <w:rPr>
          <w:rFonts w:hint="eastAsia"/>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int="eastAsia"/>
          <w:sz w:val="24"/>
        </w:rPr>
        <w:t>的，相关信息披露义务人知悉后应当立即对该消息进行公开澄清，并将有关情况立即报告中国证监会。</w:t>
      </w:r>
    </w:p>
    <w:p>
      <w:pPr>
        <w:adjustRightInd w:val="0"/>
        <w:snapToGrid w:val="0"/>
        <w:spacing w:line="360" w:lineRule="auto"/>
        <w:ind w:firstLine="480" w:firstLineChars="200"/>
        <w:rPr>
          <w:bCs/>
          <w:sz w:val="24"/>
        </w:rPr>
      </w:pPr>
      <w:r>
        <w:rPr>
          <w:rFonts w:hint="eastAsia"/>
          <w:bCs/>
          <w:sz w:val="24"/>
        </w:rPr>
        <w:t>9</w:t>
      </w:r>
      <w:r>
        <w:rPr>
          <w:rFonts w:hint="eastAsia"/>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、实施侧袋机制期间的信息披露</w:t>
      </w:r>
    </w:p>
    <w:p>
      <w:pPr>
        <w:adjustRightInd w:val="0"/>
        <w:snapToGrid w:val="0"/>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本基金实施侧袋机制的，相关信息披露义务人应当根据法律法规、基金合同和招募说明书的规定进行信息披露，详见本招募说明书“侧袋机制”部分的规定。</w:t>
      </w:r>
    </w:p>
    <w:p>
      <w:pPr>
        <w:adjustRightInd w:val="0"/>
        <w:snapToGrid w:val="0"/>
        <w:spacing w:line="360" w:lineRule="auto"/>
        <w:ind w:firstLine="480" w:firstLineChars="200"/>
        <w:rPr>
          <w:bCs/>
          <w:sz w:val="24"/>
        </w:rPr>
      </w:pPr>
      <w:r>
        <w:rPr>
          <w:rFonts w:hint="eastAsia"/>
          <w:bCs/>
          <w:sz w:val="24"/>
        </w:rPr>
        <w:t>11、清算报告</w:t>
      </w:r>
    </w:p>
    <w:p>
      <w:pPr>
        <w:adjustRightInd w:val="0"/>
        <w:snapToGrid w:val="0"/>
        <w:spacing w:line="360" w:lineRule="auto"/>
        <w:ind w:firstLine="480" w:firstLineChars="20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djustRightInd w:val="0"/>
        <w:snapToGrid w:val="0"/>
        <w:spacing w:line="360" w:lineRule="auto"/>
        <w:ind w:firstLine="480" w:firstLineChars="200"/>
        <w:rPr>
          <w:bCs/>
          <w:sz w:val="24"/>
        </w:rPr>
      </w:pPr>
      <w:r>
        <w:rPr>
          <w:rFonts w:hint="eastAsia"/>
          <w:bCs/>
          <w:sz w:val="24"/>
        </w:rPr>
        <w:t>12、基金投资资产支持证券情况</w:t>
      </w:r>
    </w:p>
    <w:p>
      <w:pPr>
        <w:adjustRightInd w:val="0"/>
        <w:snapToGrid w:val="0"/>
        <w:spacing w:line="360" w:lineRule="auto"/>
        <w:ind w:firstLine="480" w:firstLineChars="20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bCs/>
          <w:sz w:val="24"/>
        </w:rPr>
      </w:pPr>
      <w:r>
        <w:rPr>
          <w:bCs/>
          <w:sz w:val="24"/>
        </w:rPr>
        <w:t>13</w:t>
      </w:r>
      <w:r>
        <w:rPr>
          <w:rFonts w:hint="eastAsia"/>
          <w:bCs/>
          <w:sz w:val="24"/>
        </w:rPr>
        <w:t>、基金投资证券投资基金情况</w:t>
      </w:r>
    </w:p>
    <w:p>
      <w:pPr>
        <w:adjustRightInd w:val="0"/>
        <w:snapToGrid w:val="0"/>
        <w:spacing w:line="360" w:lineRule="auto"/>
        <w:ind w:firstLine="480" w:firstLineChars="200"/>
        <w:rPr>
          <w:bCs/>
          <w:sz w:val="24"/>
        </w:rPr>
      </w:pPr>
      <w:r>
        <w:rPr>
          <w:rFonts w:hint="eastAsia"/>
          <w:bCs/>
          <w:sz w:val="24"/>
        </w:rPr>
        <w:t>本基金在定期报告和招募说明书（更新）中应设立专门章节披露所持基金的相关情况并揭示相关风险：（1）投资策略、持仓情况、损益情况、净值披露时间等；（2）交易及持有基金产生的费用，包括申购费、赎回费、</w:t>
      </w:r>
      <w:r>
        <w:rPr>
          <w:rFonts w:hint="eastAsia" w:hAnsi="宋体"/>
          <w:sz w:val="24"/>
        </w:rPr>
        <w:t>销售服务费、</w:t>
      </w:r>
      <w:r>
        <w:rPr>
          <w:rFonts w:hint="eastAsia"/>
          <w:bCs/>
          <w:sz w:val="24"/>
        </w:rPr>
        <w:t>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基金投资港股通标的股票情况</w:t>
      </w:r>
    </w:p>
    <w:p>
      <w:pPr>
        <w:adjustRightInd w:val="0"/>
        <w:snapToGrid w:val="0"/>
        <w:spacing w:line="360" w:lineRule="auto"/>
        <w:ind w:firstLine="480" w:firstLineChars="200"/>
        <w:rPr>
          <w:rFonts w:hAnsi="宋体"/>
          <w:sz w:val="24"/>
        </w:rPr>
      </w:pPr>
      <w:r>
        <w:rPr>
          <w:rFonts w:hint="eastAsia" w:hAnsi="宋体"/>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bCs/>
          <w:sz w:val="24"/>
        </w:rPr>
      </w:pPr>
      <w:r>
        <w:rPr>
          <w:rFonts w:hint="eastAsia" w:hAnsi="宋体"/>
          <w:sz w:val="24"/>
        </w:rPr>
        <w:t>1</w:t>
      </w:r>
      <w:r>
        <w:rPr>
          <w:rFonts w:hAnsi="宋体"/>
          <w:sz w:val="24"/>
        </w:rPr>
        <w:t>5</w:t>
      </w:r>
      <w:r>
        <w:rPr>
          <w:rFonts w:hint="eastAsia" w:hAnsi="宋体"/>
          <w:sz w:val="24"/>
        </w:rPr>
        <w:t>、中国证监会规定的其他信息。</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基金管理人、基金托管人应当建立健全信息披露管理制度，指定专门部门及高级管理人员负责管理信息披露事务。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基金信息披露义务人公开披露基金信息，应当符合中国证监会相关基金信息披露内容与格式准则等法律法规的规定。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基金托管人应当按照相关法律法规、中国证监会的规定和《基金合同》的约定，对基金管理人编制的基金资产净值、基金份额净值、基金份额申购赎回价格、基金定期报告、更新的招募说明书、</w:t>
      </w:r>
      <w:r>
        <w:rPr>
          <w:rFonts w:hint="eastAsia"/>
          <w:sz w:val="24"/>
        </w:rPr>
        <w:t>基金</w:t>
      </w:r>
      <w:r>
        <w:rPr>
          <w:rFonts w:hint="eastAsia"/>
          <w:bCs/>
          <w:sz w:val="24"/>
        </w:rPr>
        <w:t>产品资料概要、</w:t>
      </w:r>
      <w:r>
        <w:rPr>
          <w:rFonts w:hint="eastAsia" w:hAnsi="宋体"/>
          <w:sz w:val="24"/>
        </w:rPr>
        <w:t>基金清算报告等相关基金信息进行复核、审查，并向基金管理人进行书面或电子确认。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基金管理人、基金托管人应当在规定报刊中选择</w:t>
      </w:r>
      <w:r>
        <w:rPr>
          <w:rFonts w:hint="eastAsia"/>
          <w:bCs/>
          <w:sz w:val="24"/>
        </w:rPr>
        <w:t>一家</w:t>
      </w:r>
      <w:r>
        <w:rPr>
          <w:bCs/>
          <w:sz w:val="24"/>
        </w:rPr>
        <w:t>报刊</w:t>
      </w:r>
      <w:r>
        <w:rPr>
          <w:sz w:val="24"/>
        </w:rPr>
        <w:t>披露</w:t>
      </w:r>
      <w:r>
        <w:rPr>
          <w:rFonts w:hint="eastAsia"/>
          <w:bCs/>
          <w:sz w:val="24"/>
        </w:rPr>
        <w:t>本</w:t>
      </w:r>
      <w:r>
        <w:rPr>
          <w:bCs/>
          <w:sz w:val="24"/>
        </w:rPr>
        <w:t>基金</w:t>
      </w:r>
      <w:r>
        <w:rPr>
          <w:sz w:val="24"/>
        </w:rPr>
        <w:t>信息</w:t>
      </w:r>
      <w:r>
        <w:rPr>
          <w:rFonts w:hint="eastAsia" w:hAnsi="宋体"/>
          <w:sz w:val="24"/>
        </w:rPr>
        <w:t>。基金管理人、基金托管人应当向中国证监会基金电子披露网站报送拟披露的基金信息，并保证相关报送信息的真实、准确、完整、及时。</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1" w:name="_Toc56690596"/>
      <w:bookmarkStart w:id="92" w:name="_Toc26342"/>
      <w:r>
        <w:rPr>
          <w:rFonts w:hint="eastAsia" w:ascii="宋体" w:hAnsi="宋体"/>
          <w:b/>
          <w:kern w:val="0"/>
          <w:sz w:val="30"/>
        </w:rPr>
        <w:t>十六、侧袋</w:t>
      </w:r>
      <w:r>
        <w:rPr>
          <w:rFonts w:ascii="宋体" w:hAnsi="宋体"/>
          <w:b/>
          <w:kern w:val="0"/>
          <w:sz w:val="30"/>
        </w:rPr>
        <w:t>机制</w:t>
      </w:r>
      <w:bookmarkEnd w:id="91"/>
      <w:bookmarkEnd w:id="92"/>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93" w:name="_Hlk45746268"/>
      <w:r>
        <w:rPr>
          <w:rFonts w:hint="eastAsia" w:hAnsi="宋体"/>
          <w:bCs/>
          <w:sz w:val="24"/>
          <w:szCs w:val="24"/>
        </w:rPr>
        <w:t>并在</w:t>
      </w:r>
      <w:bookmarkStart w:id="94" w:name="_Hlk45746204"/>
      <w:r>
        <w:rPr>
          <w:rFonts w:hint="eastAsia" w:hAnsi="宋体"/>
          <w:bCs/>
          <w:sz w:val="24"/>
          <w:szCs w:val="24"/>
        </w:rPr>
        <w:t>五个工作日内</w:t>
      </w:r>
      <w:bookmarkEnd w:id="93"/>
      <w:bookmarkEnd w:id="94"/>
      <w:r>
        <w:rPr>
          <w:rFonts w:hint="eastAsia" w:hAnsi="宋体"/>
          <w:bCs/>
          <w:sz w:val="24"/>
          <w:szCs w:val="24"/>
        </w:rPr>
        <w:t>聘请</w:t>
      </w:r>
      <w:bookmarkStart w:id="95" w:name="_Hlk45746277"/>
      <w:r>
        <w:rPr>
          <w:rFonts w:hint="eastAsia" w:hAnsi="宋体"/>
          <w:bCs/>
          <w:sz w:val="24"/>
          <w:szCs w:val="24"/>
        </w:rPr>
        <w:t>侧袋机制启用日发表意见且</w:t>
      </w:r>
      <w:bookmarkEnd w:id="95"/>
      <w:r>
        <w:rPr>
          <w:rFonts w:hint="eastAsia" w:hAnsi="宋体"/>
          <w:bCs/>
          <w:sz w:val="24"/>
          <w:szCs w:val="24"/>
        </w:rPr>
        <w:t>符合《中华人民共和国证券法》规定的会计师事务所</w:t>
      </w:r>
      <w:bookmarkStart w:id="96" w:name="_Hlk45746299"/>
      <w:r>
        <w:rPr>
          <w:rFonts w:hint="eastAsia" w:hAnsi="宋体"/>
          <w:bCs/>
          <w:sz w:val="24"/>
          <w:szCs w:val="24"/>
        </w:rPr>
        <w:t>进行审计并披露</w:t>
      </w:r>
      <w:bookmarkEnd w:id="96"/>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97" w:name="_Hlk45747214"/>
      <w:r>
        <w:rPr>
          <w:rFonts w:hint="eastAsia" w:hAnsi="宋体"/>
          <w:bCs/>
          <w:sz w:val="24"/>
          <w:szCs w:val="24"/>
        </w:rPr>
        <w:t>会计师事务所对基金年度报告进行审计时，应对报告期内基金侧袋机制运行相关的会计核算和年度报告披露等发表审计意见。</w:t>
      </w:r>
      <w:bookmarkEnd w:id="97"/>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8" w:name="_Toc56690597"/>
      <w:bookmarkStart w:id="99" w:name="_Toc18758"/>
      <w:r>
        <w:rPr>
          <w:rFonts w:hint="eastAsia" w:ascii="宋体" w:hAnsi="宋体"/>
          <w:b/>
          <w:kern w:val="0"/>
          <w:sz w:val="30"/>
        </w:rPr>
        <w:t>十七、风险揭示</w:t>
      </w:r>
      <w:bookmarkEnd w:id="98"/>
      <w:bookmarkEnd w:id="99"/>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91150550"/>
      <w:bookmarkEnd w:id="100"/>
      <w:bookmarkStart w:id="101" w:name="_Hlt88901012"/>
      <w:bookmarkEnd w:id="101"/>
      <w:bookmarkStart w:id="102" w:name="_Toc109537396"/>
      <w:r>
        <w:rPr>
          <w:rFonts w:hAnsi="宋体"/>
          <w:sz w:val="24"/>
          <w:szCs w:val="24"/>
        </w:rPr>
        <w:t>生的收益，也可能承担</w:t>
      </w:r>
      <w:bookmarkEnd w:id="102"/>
      <w:r>
        <w:rPr>
          <w:rFonts w:hAnsi="宋体"/>
          <w:sz w:val="24"/>
          <w:szCs w:val="24"/>
        </w:rPr>
        <w:t>基金投资所带来的损失。</w:t>
      </w:r>
    </w:p>
    <w:p>
      <w:pPr>
        <w:adjustRightInd w:val="0"/>
        <w:snapToGrid w:val="0"/>
        <w:spacing w:line="360" w:lineRule="auto"/>
        <w:ind w:firstLine="480" w:firstLineChars="200"/>
        <w:rPr>
          <w:rFonts w:hAnsi="宋体"/>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w:t>
      </w:r>
    </w:p>
    <w:p>
      <w:pPr>
        <w:adjustRightInd w:val="0"/>
        <w:snapToGrid w:val="0"/>
        <w:spacing w:line="360" w:lineRule="auto"/>
        <w:ind w:firstLine="480" w:firstLineChars="200"/>
        <w:rPr>
          <w:sz w:val="24"/>
          <w:szCs w:val="24"/>
        </w:rPr>
      </w:pPr>
      <w:r>
        <w:rPr>
          <w:rFonts w:hAnsi="宋体"/>
          <w:sz w:val="24"/>
          <w:szCs w:val="24"/>
        </w:rPr>
        <w:t>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w:t>
      </w:r>
      <w:r>
        <w:rPr>
          <w:rFonts w:hint="eastAsia" w:hAnsi="宋体"/>
          <w:sz w:val="24"/>
          <w:szCs w:val="24"/>
        </w:rPr>
        <w:t>、</w:t>
      </w:r>
      <w:r>
        <w:rPr>
          <w:rFonts w:hAnsi="宋体"/>
          <w:sz w:val="24"/>
          <w:szCs w:val="24"/>
        </w:rPr>
        <w:t>基金中基金等不同类型，</w:t>
      </w:r>
      <w:r>
        <w:rPr>
          <w:rFonts w:hint="eastAsia" w:hAnsi="宋体"/>
          <w:sz w:val="24"/>
          <w:szCs w:val="24"/>
        </w:rPr>
        <w:t>基金中</w:t>
      </w:r>
      <w:r>
        <w:rPr>
          <w:rFonts w:hAnsi="宋体"/>
          <w:sz w:val="24"/>
          <w:szCs w:val="24"/>
        </w:rPr>
        <w:t>基金</w:t>
      </w:r>
      <w:r>
        <w:rPr>
          <w:rFonts w:hint="eastAsia" w:hAnsi="宋体"/>
          <w:sz w:val="24"/>
          <w:szCs w:val="24"/>
        </w:rPr>
        <w:t>进一步</w:t>
      </w:r>
      <w:r>
        <w:rPr>
          <w:rFonts w:hAnsi="宋体"/>
          <w:sz w:val="24"/>
          <w:szCs w:val="24"/>
        </w:rPr>
        <w:t>分为股票型基金中基金、混合型基金中基金、债券型基金中基金、</w:t>
      </w:r>
      <w:r>
        <w:rPr>
          <w:rFonts w:hint="eastAsia" w:hAnsi="宋体"/>
          <w:sz w:val="24"/>
          <w:szCs w:val="24"/>
        </w:rPr>
        <w:t>货币型</w:t>
      </w:r>
      <w:r>
        <w:rPr>
          <w:rFonts w:hAnsi="宋体"/>
          <w:sz w:val="24"/>
          <w:szCs w:val="24"/>
        </w:rPr>
        <w:t>基金中基金等不同类型，投资人投资不同类型的基金将获得不同的收益预期，也将承担不同程度的风险。一般来说，基金的收益预期越高，投资人承担的风险也越大。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w:t>
      </w:r>
      <w:r>
        <w:rPr>
          <w:rFonts w:hint="eastAsia" w:hAnsi="宋体"/>
          <w:sz w:val="24"/>
          <w:szCs w:val="24"/>
        </w:rPr>
        <w:t>谨慎</w:t>
      </w:r>
      <w:r>
        <w:rPr>
          <w:rFonts w:hAnsi="宋体"/>
          <w:sz w:val="24"/>
          <w:szCs w:val="24"/>
        </w:rPr>
        <w:t>勤勉的原则管理和运用基金资产，但不保证</w:t>
      </w:r>
      <w:r>
        <w:rPr>
          <w:rFonts w:hint="eastAsia" w:hAnsi="宋体"/>
          <w:sz w:val="24"/>
          <w:szCs w:val="24"/>
        </w:rPr>
        <w:t>投资于</w:t>
      </w:r>
      <w:r>
        <w:rPr>
          <w:rFonts w:hAnsi="宋体"/>
          <w:sz w:val="24"/>
          <w:szCs w:val="24"/>
        </w:rPr>
        <w:t>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firstLineChars="200"/>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firstLineChars="200"/>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firstLineChars="200"/>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w:t>
      </w:r>
      <w:r>
        <w:rPr>
          <w:rFonts w:hint="eastAsia" w:hAnsi="宋体"/>
          <w:kern w:val="0"/>
          <w:sz w:val="24"/>
          <w:szCs w:val="24"/>
        </w:rPr>
        <w:t>但</w:t>
      </w:r>
      <w:r>
        <w:rPr>
          <w:rFonts w:hAnsi="宋体"/>
          <w:kern w:val="0"/>
          <w:sz w:val="24"/>
          <w:szCs w:val="24"/>
        </w:rPr>
        <w:t>设置最短持有期，</w:t>
      </w:r>
      <w:r>
        <w:rPr>
          <w:rFonts w:hint="eastAsia" w:hAnsi="宋体"/>
          <w:kern w:val="0"/>
          <w:sz w:val="24"/>
          <w:szCs w:val="24"/>
        </w:rPr>
        <w:t>基金份额持有人持有的每份基金份额最短持有期限为一年，对于满足持有期限的投资人，</w:t>
      </w:r>
      <w:r>
        <w:rPr>
          <w:rFonts w:hAnsi="宋体"/>
          <w:kern w:val="0"/>
          <w:sz w:val="24"/>
          <w:szCs w:val="24"/>
        </w:rPr>
        <w:t>基金管理人在每个开放日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一年后年度对日（含该日）开始办理赎回，具体业务办理时间在赎回开始公告中规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为基金中基金，投资于公开募集证券投资基金的基金份额的资产不低于基金资产的80%，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hAnsi="宋体"/>
          <w:bCs/>
          <w:kern w:val="0"/>
          <w:sz w:val="24"/>
          <w:szCs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w:t>
      </w:r>
      <w:r>
        <w:rPr>
          <w:rFonts w:hAnsi="宋体"/>
          <w:kern w:val="0"/>
          <w:sz w:val="24"/>
          <w:szCs w:val="24"/>
        </w:rPr>
        <w:t>短期赎回费、</w:t>
      </w:r>
      <w:r>
        <w:rPr>
          <w:rFonts w:hint="eastAsia" w:hAnsi="宋体"/>
          <w:kern w:val="0"/>
          <w:sz w:val="24"/>
          <w:szCs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firstLineChars="200"/>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firstLineChars="200"/>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为混合型基金中基金，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rFonts w:hAnsi="宋体"/>
          <w:kern w:val="0"/>
          <w:sz w:val="24"/>
          <w:szCs w:val="24"/>
        </w:rPr>
        <w:t>25%-75%</w:t>
      </w:r>
      <w:r>
        <w:rPr>
          <w:rFonts w:hint="eastAsia" w:hAnsi="宋体"/>
          <w:kern w:val="0"/>
          <w:sz w:val="24"/>
          <w:szCs w:val="24"/>
        </w:rPr>
        <w:t>（其中投资于港股通标的股票的比例占股票资产的0%-50%）。因此本基金所持有的基金的业绩表现、持有基金的基金管理人水平等因素将影响到本基金的基金业绩表现。</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7、本基金可投资创业板股票，创业板个股上市后的前五个交易日不设价格涨跌幅限制，第六个交易日开始涨跌幅限制比例为20%。</w:t>
      </w:r>
    </w:p>
    <w:p>
      <w:pPr>
        <w:adjustRightInd w:val="0"/>
        <w:snapToGrid w:val="0"/>
        <w:spacing w:line="360" w:lineRule="auto"/>
        <w:ind w:firstLine="482" w:firstLineChars="200"/>
        <w:outlineLvl w:val="1"/>
        <w:rPr>
          <w:rFonts w:hAnsi="宋体"/>
          <w:b/>
          <w:kern w:val="0"/>
          <w:sz w:val="24"/>
          <w:szCs w:val="24"/>
        </w:rPr>
      </w:pPr>
      <w:r>
        <w:rPr>
          <w:rFonts w:hint="eastAsia"/>
          <w:b/>
          <w:bCs/>
          <w:sz w:val="24"/>
        </w:rPr>
        <w:t>（六</w:t>
      </w:r>
      <w:r>
        <w:rPr>
          <w:b/>
          <w:bCs/>
          <w:sz w:val="24"/>
        </w:rPr>
        <w:t>）</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（七）投资流通受限证券的特定风险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（八）基金合同提前终止风险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连续5</w:t>
      </w:r>
      <w:r>
        <w:rPr>
          <w:rFonts w:hAnsi="宋体"/>
          <w:kern w:val="0"/>
          <w:sz w:val="24"/>
          <w:szCs w:val="24"/>
        </w:rPr>
        <w:t>0</w:t>
      </w:r>
      <w:r>
        <w:rPr>
          <w:rFonts w:hint="eastAsia" w:hAnsi="宋体"/>
          <w:kern w:val="0"/>
          <w:sz w:val="24"/>
          <w:szCs w:val="24"/>
        </w:rPr>
        <w:t>个工作日出现基金份额持有人数量不满200人或基金资产净值低于5000万元情形时，</w:t>
      </w:r>
      <w:r>
        <w:rPr>
          <w:rFonts w:hint="eastAsia" w:ascii="宋体" w:hAnsi="宋体"/>
          <w:kern w:val="0"/>
          <w:sz w:val="24"/>
          <w:szCs w:val="24"/>
        </w:rPr>
        <w:t>基金合同终止</w:t>
      </w:r>
      <w:r>
        <w:rPr>
          <w:rFonts w:hint="eastAsia" w:hAnsi="宋体"/>
          <w:kern w:val="0"/>
          <w:sz w:val="24"/>
          <w:szCs w:val="24"/>
        </w:rPr>
        <w:t>，不需召开基金份额持有人大会。</w:t>
      </w:r>
    </w:p>
    <w:p>
      <w:pPr>
        <w:adjustRightInd w:val="0"/>
        <w:snapToGrid w:val="0"/>
        <w:spacing w:line="360" w:lineRule="auto"/>
        <w:ind w:firstLine="482"/>
        <w:outlineLvl w:val="1"/>
        <w:rPr>
          <w:b/>
          <w:bCs/>
          <w:sz w:val="24"/>
        </w:rPr>
      </w:pPr>
      <w:r>
        <w:rPr>
          <w:rFonts w:hint="eastAsia"/>
          <w:b/>
          <w:bCs/>
          <w:sz w:val="24"/>
        </w:rPr>
        <w:t>（九）投资港股通标的股票的特定风险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widowControl/>
        <w:adjustRightInd w:val="0"/>
        <w:snapToGrid w:val="0"/>
        <w:spacing w:line="360" w:lineRule="auto"/>
        <w:ind w:left="482"/>
        <w:outlineLvl w:val="1"/>
        <w:rPr>
          <w:rFonts w:hAnsi="宋体"/>
          <w:b/>
          <w:bCs/>
          <w:kern w:val="0"/>
          <w:sz w:val="24"/>
          <w:szCs w:val="24"/>
        </w:rPr>
      </w:pPr>
      <w:r>
        <w:rPr>
          <w:rFonts w:hint="eastAsia" w:hAnsi="宋体"/>
          <w:b/>
          <w:kern w:val="0"/>
          <w:sz w:val="24"/>
          <w:szCs w:val="24"/>
        </w:rPr>
        <w:t>（十）</w:t>
      </w: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（十一）</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103" w:name="OLE_LINK15"/>
    </w:p>
    <w:p>
      <w:pPr>
        <w:widowControl/>
        <w:spacing w:line="360" w:lineRule="auto"/>
        <w:rPr>
          <w:kern w:val="0"/>
          <w:sz w:val="24"/>
        </w:rPr>
      </w:pPr>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104" w:name="_Toc56690598"/>
      <w:bookmarkStart w:id="105" w:name="_Toc18481"/>
      <w:r>
        <w:rPr>
          <w:rFonts w:hint="eastAsia" w:hAnsi="宋体"/>
          <w:b/>
          <w:kern w:val="0"/>
          <w:sz w:val="30"/>
        </w:rPr>
        <w:t>十七</w:t>
      </w:r>
      <w:r>
        <w:rPr>
          <w:rFonts w:hAnsi="宋体"/>
          <w:b/>
          <w:kern w:val="0"/>
          <w:sz w:val="30"/>
        </w:rPr>
        <w:t>、基金合同的变更、终止与基金财</w:t>
      </w:r>
      <w:bookmarkEnd w:id="103"/>
      <w:r>
        <w:rPr>
          <w:rFonts w:hAnsi="宋体"/>
          <w:b/>
          <w:kern w:val="0"/>
          <w:sz w:val="30"/>
        </w:rPr>
        <w:t>产的清算</w:t>
      </w:r>
      <w:bookmarkEnd w:id="104"/>
      <w:bookmarkEnd w:id="105"/>
    </w:p>
    <w:p>
      <w:pPr>
        <w:adjustRightInd w:val="0"/>
        <w:snapToGrid w:val="0"/>
        <w:spacing w:line="360" w:lineRule="auto"/>
        <w:ind w:firstLine="482" w:firstLineChars="200"/>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2" w:firstLineChars="200"/>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有下列情形之一的，经履行相关程序后，《基金合同》应当终止：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3、连续50个工作日出现基金份额持有人数量不满200人或者基金资产净值低于5000万元情形的，</w:t>
      </w:r>
      <w:r>
        <w:rPr>
          <w:rFonts w:hint="eastAsia" w:ascii="宋体" w:hAnsi="宋体"/>
          <w:kern w:val="0"/>
          <w:sz w:val="24"/>
          <w:szCs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int="eastAsia" w:hAnsi="宋体"/>
          <w:kern w:val="0"/>
          <w:sz w:val="24"/>
        </w:rPr>
        <w:t>5、相关法律法规和中国证监会规定的其他情况。</w:t>
      </w:r>
    </w:p>
    <w:p>
      <w:pPr>
        <w:adjustRightInd w:val="0"/>
        <w:snapToGrid w:val="0"/>
        <w:spacing w:line="360" w:lineRule="auto"/>
        <w:ind w:firstLine="482" w:firstLineChars="200"/>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firstLineChars="200"/>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firstLineChars="200"/>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firstLineChars="200"/>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hAnsi="宋体"/>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hint="eastAsia" w:hAnsi="宋体"/>
          <w:kern w:val="0"/>
          <w:sz w:val="24"/>
          <w:szCs w:val="24"/>
        </w:rPr>
        <w:t>，基金财产清算小组应当将清算报告登载在规定网站上，并将清算报告提示性公告登载在规定报刊上</w:t>
      </w:r>
      <w:r>
        <w:rPr>
          <w:rFonts w:hint="eastAsia" w:hAnsi="宋体"/>
          <w:kern w:val="0"/>
          <w:sz w:val="24"/>
        </w:rPr>
        <w:t>。</w:t>
      </w:r>
    </w:p>
    <w:p>
      <w:pPr>
        <w:adjustRightInd w:val="0"/>
        <w:snapToGrid w:val="0"/>
        <w:spacing w:line="360" w:lineRule="auto"/>
        <w:ind w:firstLine="482" w:firstLineChars="200"/>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line="500" w:lineRule="exact"/>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6" w:name="_Toc18428"/>
      <w:bookmarkStart w:id="107" w:name="_Toc56690599"/>
      <w:r>
        <w:rPr>
          <w:rFonts w:hint="eastAsia" w:ascii="宋体" w:hAnsi="宋体"/>
          <w:b/>
          <w:kern w:val="0"/>
          <w:sz w:val="30"/>
        </w:rPr>
        <w:t>十八、基金合同内容摘要</w:t>
      </w:r>
      <w:bookmarkEnd w:id="106"/>
      <w:bookmarkEnd w:id="107"/>
    </w:p>
    <w:p>
      <w:pPr>
        <w:adjustRightInd w:val="0"/>
        <w:snapToGrid w:val="0"/>
        <w:spacing w:line="360" w:lineRule="auto"/>
        <w:ind w:firstLine="482" w:firstLineChars="200"/>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rFonts w:hAnsi="宋体"/>
          <w:kern w:val="0"/>
          <w:sz w:val="24"/>
        </w:rPr>
      </w:pPr>
      <w:r>
        <w:rPr>
          <w:rFonts w:hAnsi="宋体"/>
          <w:kern w:val="0"/>
          <w:sz w:val="24"/>
        </w:rPr>
        <w:t>1、基金管理人的权利与义务</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根据《基金法》、《运作办法》及其他有关规定，基金管理人的权利包括但不限于：</w:t>
      </w:r>
    </w:p>
    <w:p>
      <w:pPr>
        <w:adjustRightInd w:val="0"/>
        <w:snapToGrid w:val="0"/>
        <w:spacing w:line="360" w:lineRule="auto"/>
        <w:ind w:firstLine="480" w:firstLineChars="200"/>
        <w:rPr>
          <w:rFonts w:hAnsi="宋体"/>
          <w:kern w:val="0"/>
          <w:sz w:val="24"/>
        </w:rPr>
      </w:pPr>
      <w:r>
        <w:rPr>
          <w:rFonts w:hint="eastAsia" w:hAnsi="宋体"/>
          <w:kern w:val="0"/>
          <w:sz w:val="24"/>
        </w:rPr>
        <w:t>1）依法募集资金；</w:t>
      </w:r>
    </w:p>
    <w:p>
      <w:pPr>
        <w:adjustRightInd w:val="0"/>
        <w:snapToGrid w:val="0"/>
        <w:spacing w:line="360" w:lineRule="auto"/>
        <w:ind w:firstLine="480" w:firstLineChars="200"/>
        <w:rPr>
          <w:rFonts w:hAnsi="宋体"/>
          <w:kern w:val="0"/>
          <w:sz w:val="24"/>
        </w:rPr>
      </w:pPr>
      <w:r>
        <w:rPr>
          <w:rFonts w:hint="eastAsia" w:hAnsi="宋体"/>
          <w:kern w:val="0"/>
          <w:sz w:val="24"/>
        </w:rPr>
        <w:t>2）自《基金合同》生效之日起，根据法律法规和《基金合同》独立运用并管理基金财产；</w:t>
      </w:r>
    </w:p>
    <w:p>
      <w:pPr>
        <w:adjustRightInd w:val="0"/>
        <w:snapToGrid w:val="0"/>
        <w:spacing w:line="360" w:lineRule="auto"/>
        <w:ind w:firstLine="480" w:firstLineChars="200"/>
        <w:rPr>
          <w:rFonts w:hAnsi="宋体"/>
          <w:kern w:val="0"/>
          <w:sz w:val="24"/>
        </w:rPr>
      </w:pPr>
      <w:r>
        <w:rPr>
          <w:rFonts w:hint="eastAsia" w:hAnsi="宋体"/>
          <w:kern w:val="0"/>
          <w:sz w:val="24"/>
        </w:rPr>
        <w:t>3）依照《基金合同》收取基金管理费以及法律法规规定或中国证监会批准的其他费用；</w:t>
      </w:r>
    </w:p>
    <w:p>
      <w:pPr>
        <w:adjustRightInd w:val="0"/>
        <w:snapToGrid w:val="0"/>
        <w:spacing w:line="360" w:lineRule="auto"/>
        <w:ind w:firstLine="480" w:firstLineChars="200"/>
        <w:rPr>
          <w:rFonts w:hAnsi="宋体"/>
          <w:kern w:val="0"/>
          <w:sz w:val="24"/>
        </w:rPr>
      </w:pPr>
      <w:r>
        <w:rPr>
          <w:rFonts w:hint="eastAsia" w:hAnsi="宋体"/>
          <w:kern w:val="0"/>
          <w:sz w:val="24"/>
        </w:rPr>
        <w:t>4）销售基金份额；</w:t>
      </w:r>
    </w:p>
    <w:p>
      <w:pPr>
        <w:adjustRightInd w:val="0"/>
        <w:snapToGrid w:val="0"/>
        <w:spacing w:line="360" w:lineRule="auto"/>
        <w:ind w:firstLine="480" w:firstLineChars="200"/>
        <w:rPr>
          <w:rFonts w:hAnsi="宋体"/>
          <w:kern w:val="0"/>
          <w:sz w:val="24"/>
        </w:rPr>
      </w:pPr>
      <w:r>
        <w:rPr>
          <w:rFonts w:hint="eastAsia" w:hAnsi="宋体"/>
          <w:kern w:val="0"/>
          <w:sz w:val="24"/>
        </w:rPr>
        <w:t>5）按照规定召集基金份额持有人大会；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rFonts w:hAnsi="宋体"/>
          <w:kern w:val="0"/>
          <w:sz w:val="24"/>
        </w:rPr>
      </w:pPr>
      <w:r>
        <w:rPr>
          <w:rFonts w:hint="eastAsia" w:hAnsi="宋体"/>
          <w:kern w:val="0"/>
          <w:sz w:val="24"/>
        </w:rPr>
        <w:t>7）在基金托管人更换时，提名新的基金托管人；</w:t>
      </w:r>
    </w:p>
    <w:p>
      <w:pPr>
        <w:adjustRightInd w:val="0"/>
        <w:snapToGrid w:val="0"/>
        <w:spacing w:line="360" w:lineRule="auto"/>
        <w:ind w:firstLine="480" w:firstLineChars="200"/>
        <w:rPr>
          <w:rFonts w:hAnsi="宋体"/>
          <w:kern w:val="0"/>
          <w:sz w:val="24"/>
        </w:rPr>
      </w:pPr>
      <w:r>
        <w:rPr>
          <w:rFonts w:hint="eastAsia" w:hAnsi="宋体"/>
          <w:kern w:val="0"/>
          <w:sz w:val="24"/>
        </w:rPr>
        <w:t>8）选择、更换基金销售机构，对基金销售机构的相关行为进行监督和处理；</w:t>
      </w:r>
    </w:p>
    <w:p>
      <w:pPr>
        <w:adjustRightInd w:val="0"/>
        <w:snapToGrid w:val="0"/>
        <w:spacing w:line="360" w:lineRule="auto"/>
        <w:ind w:firstLine="480" w:firstLineChars="200"/>
        <w:rPr>
          <w:rFonts w:hAnsi="宋体"/>
          <w:kern w:val="0"/>
          <w:sz w:val="24"/>
        </w:rPr>
      </w:pPr>
      <w:r>
        <w:rPr>
          <w:rFonts w:hint="eastAsia" w:hAnsi="宋体"/>
          <w:kern w:val="0"/>
          <w:sz w:val="24"/>
        </w:rPr>
        <w:t>9）担任或委托其他符合条件的机构担任基金登记机构办理基金登记业务并获得《基金合同》规定的费用；</w:t>
      </w:r>
    </w:p>
    <w:p>
      <w:pPr>
        <w:adjustRightInd w:val="0"/>
        <w:snapToGrid w:val="0"/>
        <w:spacing w:line="360" w:lineRule="auto"/>
        <w:ind w:firstLine="480" w:firstLineChars="200"/>
        <w:rPr>
          <w:rFonts w:hAnsi="宋体"/>
          <w:kern w:val="0"/>
          <w:sz w:val="24"/>
        </w:rPr>
      </w:pPr>
      <w:r>
        <w:rPr>
          <w:rFonts w:hint="eastAsia" w:hAnsi="宋体"/>
          <w:kern w:val="0"/>
          <w:sz w:val="24"/>
        </w:rPr>
        <w:t>10）依据《基金合同》及有关法律规定决定基金收益的分配方案；</w:t>
      </w:r>
    </w:p>
    <w:p>
      <w:pPr>
        <w:adjustRightInd w:val="0"/>
        <w:snapToGrid w:val="0"/>
        <w:spacing w:line="360" w:lineRule="auto"/>
        <w:ind w:firstLine="480" w:firstLineChars="200"/>
        <w:rPr>
          <w:rFonts w:hAnsi="宋体"/>
          <w:kern w:val="0"/>
          <w:sz w:val="24"/>
        </w:rPr>
      </w:pPr>
      <w:r>
        <w:rPr>
          <w:rFonts w:hint="eastAsia" w:hAnsi="宋体"/>
          <w:kern w:val="0"/>
          <w:sz w:val="24"/>
        </w:rPr>
        <w:t>11）在《基金合同》约定的范围内，拒绝或暂停受理申购与赎回申请；</w:t>
      </w:r>
    </w:p>
    <w:p>
      <w:pPr>
        <w:adjustRightInd w:val="0"/>
        <w:snapToGrid w:val="0"/>
        <w:spacing w:line="360" w:lineRule="auto"/>
        <w:ind w:firstLine="480" w:firstLineChars="200"/>
        <w:rPr>
          <w:rFonts w:hAnsi="宋体"/>
          <w:kern w:val="0"/>
          <w:sz w:val="24"/>
        </w:rPr>
      </w:pPr>
      <w:r>
        <w:rPr>
          <w:rFonts w:hint="eastAsia" w:hAnsi="宋体"/>
          <w:kern w:val="0"/>
          <w:sz w:val="24"/>
        </w:rPr>
        <w:t>12）依照法律法规为基金的利益对被投资公司行使股东权利，为基金的利益行使因基金财产投资所产生的权利；</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13）在法律法规允许的前提下，为基金的利益依法为基金进行融资；</w:t>
      </w:r>
    </w:p>
    <w:p>
      <w:pPr>
        <w:adjustRightInd w:val="0"/>
        <w:snapToGrid w:val="0"/>
        <w:spacing w:line="360" w:lineRule="auto"/>
        <w:ind w:firstLine="480" w:firstLineChars="200"/>
        <w:rPr>
          <w:rFonts w:hAnsi="宋体"/>
          <w:kern w:val="0"/>
          <w:sz w:val="24"/>
        </w:rPr>
      </w:pPr>
      <w:r>
        <w:rPr>
          <w:rFonts w:hint="eastAsia" w:hAnsi="宋体"/>
          <w:kern w:val="0"/>
          <w:sz w:val="24"/>
        </w:rPr>
        <w:t>14）以基金管理人的名义，代表基金份额持有人的利益行使诉讼权利或者实施其他法律行为；</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15）选择、更换律师事务所、会计师事务所、证券经纪商或其他为基金提供服务的外部机构；</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16）在符合有关法律、法规的前提下，制定和调整有关基金认购、申购、赎回、转换等的业务规则；</w:t>
      </w:r>
    </w:p>
    <w:p>
      <w:pPr>
        <w:adjustRightInd w:val="0"/>
        <w:snapToGrid w:val="0"/>
        <w:spacing w:line="360" w:lineRule="auto"/>
        <w:ind w:firstLine="480" w:firstLineChars="200"/>
        <w:rPr>
          <w:rFonts w:hAnsi="宋体"/>
          <w:kern w:val="0"/>
          <w:sz w:val="24"/>
        </w:rPr>
      </w:pPr>
      <w:r>
        <w:rPr>
          <w:rFonts w:hint="eastAsia" w:hAnsi="宋体"/>
          <w:kern w:val="0"/>
          <w:sz w:val="24"/>
        </w:rPr>
        <w:t>17）以基金管理人的名义，参与本基金持有的基金所召开的基金份额持有人大会；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18）法律法规及中国证监会规定的和《基金合同》约定的其他权利。</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根据《基金法》、《运作办法》及其他有关规定，基金管理人的义务包括但不限于：</w:t>
      </w:r>
    </w:p>
    <w:p>
      <w:pPr>
        <w:adjustRightInd w:val="0"/>
        <w:snapToGrid w:val="0"/>
        <w:spacing w:line="360" w:lineRule="auto"/>
        <w:ind w:firstLine="480" w:firstLineChars="200"/>
        <w:rPr>
          <w:rFonts w:hAnsi="宋体"/>
          <w:kern w:val="0"/>
          <w:sz w:val="24"/>
        </w:rPr>
      </w:pPr>
      <w:r>
        <w:rPr>
          <w:rFonts w:hint="eastAsia" w:hAnsi="宋体"/>
          <w:kern w:val="0"/>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rFonts w:hAnsi="宋体"/>
          <w:kern w:val="0"/>
          <w:sz w:val="24"/>
        </w:rPr>
      </w:pPr>
      <w:r>
        <w:rPr>
          <w:rFonts w:hint="eastAsia" w:hAnsi="宋体"/>
          <w:kern w:val="0"/>
          <w:sz w:val="24"/>
        </w:rPr>
        <w:t>2）办理基金备案手续；</w:t>
      </w:r>
    </w:p>
    <w:p>
      <w:pPr>
        <w:adjustRightInd w:val="0"/>
        <w:snapToGrid w:val="0"/>
        <w:spacing w:line="360" w:lineRule="auto"/>
        <w:ind w:firstLine="480" w:firstLineChars="200"/>
        <w:rPr>
          <w:rFonts w:hAnsi="宋体"/>
          <w:kern w:val="0"/>
          <w:sz w:val="24"/>
        </w:rPr>
      </w:pPr>
      <w:r>
        <w:rPr>
          <w:rFonts w:hint="eastAsia" w:hAnsi="宋体"/>
          <w:kern w:val="0"/>
          <w:sz w:val="24"/>
        </w:rPr>
        <w:t>3）自《基金合同》生效之日起，以诚实信用、谨慎勤勉的原则管理和运用基金财产；</w:t>
      </w:r>
    </w:p>
    <w:p>
      <w:pPr>
        <w:adjustRightInd w:val="0"/>
        <w:snapToGrid w:val="0"/>
        <w:spacing w:line="360" w:lineRule="auto"/>
        <w:ind w:firstLine="480" w:firstLineChars="200"/>
        <w:rPr>
          <w:rFonts w:hAnsi="宋体"/>
          <w:kern w:val="0"/>
          <w:sz w:val="24"/>
        </w:rPr>
      </w:pPr>
      <w:r>
        <w:rPr>
          <w:rFonts w:hint="eastAsia" w:hAnsi="宋体"/>
          <w:kern w:val="0"/>
          <w:sz w:val="24"/>
        </w:rPr>
        <w:t>4）配备足够的具有专业资格的人员进行基金投资分析、决策，以专业化的经营方式管理和运作基金财产；</w:t>
      </w:r>
    </w:p>
    <w:p>
      <w:pPr>
        <w:adjustRightInd w:val="0"/>
        <w:snapToGrid w:val="0"/>
        <w:spacing w:line="360" w:lineRule="auto"/>
        <w:ind w:firstLine="480" w:firstLineChars="200"/>
        <w:rPr>
          <w:rFonts w:hAnsi="宋体"/>
          <w:kern w:val="0"/>
          <w:sz w:val="24"/>
        </w:rPr>
      </w:pPr>
      <w:r>
        <w:rPr>
          <w:rFonts w:hint="eastAsia" w:hAnsi="宋体"/>
          <w:kern w:val="0"/>
          <w:sz w:val="24"/>
        </w:rPr>
        <w:t>5）建立健全内部风险控制、监察与稽核、财务管理及人事管理等制度，保证所管理的基金财产和基金管理人的财产相互独立，对所管理的不同基金分别管理，分别记账，进行证券、基金投资；</w:t>
      </w:r>
    </w:p>
    <w:p>
      <w:pPr>
        <w:adjustRightInd w:val="0"/>
        <w:snapToGrid w:val="0"/>
        <w:spacing w:line="360" w:lineRule="auto"/>
        <w:ind w:firstLine="480" w:firstLineChars="200"/>
        <w:rPr>
          <w:rFonts w:hAnsi="宋体"/>
          <w:kern w:val="0"/>
          <w:sz w:val="24"/>
        </w:rPr>
      </w:pPr>
      <w:r>
        <w:rPr>
          <w:rFonts w:hint="eastAsia" w:hAnsi="宋体"/>
          <w:kern w:val="0"/>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rFonts w:hAnsi="宋体"/>
          <w:kern w:val="0"/>
          <w:sz w:val="24"/>
        </w:rPr>
      </w:pPr>
      <w:r>
        <w:rPr>
          <w:rFonts w:hint="eastAsia" w:hAnsi="宋体"/>
          <w:kern w:val="0"/>
          <w:sz w:val="24"/>
        </w:rPr>
        <w:t>7）依法接受基金托管人的监督；</w:t>
      </w:r>
    </w:p>
    <w:p>
      <w:pPr>
        <w:adjustRightInd w:val="0"/>
        <w:snapToGrid w:val="0"/>
        <w:spacing w:line="360" w:lineRule="auto"/>
        <w:ind w:firstLine="480" w:firstLineChars="200"/>
        <w:rPr>
          <w:rFonts w:hAnsi="宋体"/>
          <w:kern w:val="0"/>
          <w:sz w:val="24"/>
        </w:rPr>
      </w:pPr>
      <w:r>
        <w:rPr>
          <w:rFonts w:hint="eastAsia" w:hAnsi="宋体"/>
          <w:kern w:val="0"/>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rFonts w:hAnsi="宋体"/>
          <w:kern w:val="0"/>
          <w:sz w:val="24"/>
        </w:rPr>
      </w:pPr>
      <w:r>
        <w:rPr>
          <w:rFonts w:hint="eastAsia" w:hAnsi="宋体"/>
          <w:kern w:val="0"/>
          <w:sz w:val="24"/>
        </w:rPr>
        <w:t>9）进行基金会计核算并编制基金财务会计报告；</w:t>
      </w:r>
    </w:p>
    <w:p>
      <w:pPr>
        <w:adjustRightInd w:val="0"/>
        <w:snapToGrid w:val="0"/>
        <w:spacing w:line="360" w:lineRule="auto"/>
        <w:ind w:firstLine="480" w:firstLineChars="200"/>
        <w:rPr>
          <w:rFonts w:hAnsi="宋体"/>
          <w:kern w:val="0"/>
          <w:sz w:val="24"/>
        </w:rPr>
      </w:pPr>
      <w:r>
        <w:rPr>
          <w:rFonts w:hint="eastAsia" w:hAnsi="宋体"/>
          <w:kern w:val="0"/>
          <w:sz w:val="24"/>
        </w:rPr>
        <w:t>10）编制季度报告、中期报告和年度报告；</w:t>
      </w:r>
    </w:p>
    <w:p>
      <w:pPr>
        <w:adjustRightInd w:val="0"/>
        <w:snapToGrid w:val="0"/>
        <w:spacing w:line="360" w:lineRule="auto"/>
        <w:ind w:firstLine="480" w:firstLineChars="200"/>
        <w:rPr>
          <w:rFonts w:hAnsi="宋体"/>
          <w:kern w:val="0"/>
          <w:sz w:val="24"/>
        </w:rPr>
      </w:pPr>
      <w:r>
        <w:rPr>
          <w:rFonts w:hint="eastAsia" w:hAnsi="宋体"/>
          <w:kern w:val="0"/>
          <w:sz w:val="24"/>
        </w:rPr>
        <w:t>11）严格按照《基金法》、《基金合同》及其他有关规定，履行信息披露及报告义务；</w:t>
      </w:r>
    </w:p>
    <w:p>
      <w:pPr>
        <w:adjustRightInd w:val="0"/>
        <w:snapToGrid w:val="0"/>
        <w:spacing w:line="360" w:lineRule="auto"/>
        <w:ind w:firstLine="480" w:firstLineChars="200"/>
        <w:rPr>
          <w:rFonts w:hAnsi="宋体"/>
          <w:kern w:val="0"/>
          <w:sz w:val="24"/>
        </w:rPr>
      </w:pPr>
      <w:r>
        <w:rPr>
          <w:rFonts w:hint="eastAsia" w:hAnsi="宋体"/>
          <w:kern w:val="0"/>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rFonts w:hAnsi="宋体"/>
          <w:kern w:val="0"/>
          <w:sz w:val="24"/>
        </w:rPr>
      </w:pPr>
      <w:r>
        <w:rPr>
          <w:rFonts w:hint="eastAsia" w:hAnsi="宋体"/>
          <w:kern w:val="0"/>
          <w:sz w:val="24"/>
        </w:rPr>
        <w:t>13）按《基金合同》的约定确定基金收益分配方案，及时向基金份额持有人分配基金收益；</w:t>
      </w:r>
    </w:p>
    <w:p>
      <w:pPr>
        <w:adjustRightInd w:val="0"/>
        <w:snapToGrid w:val="0"/>
        <w:spacing w:line="360" w:lineRule="auto"/>
        <w:ind w:firstLine="480" w:firstLineChars="200"/>
        <w:rPr>
          <w:rFonts w:hAnsi="宋体"/>
          <w:kern w:val="0"/>
          <w:sz w:val="24"/>
        </w:rPr>
      </w:pPr>
      <w:r>
        <w:rPr>
          <w:rFonts w:hint="eastAsia" w:hAnsi="宋体"/>
          <w:kern w:val="0"/>
          <w:sz w:val="24"/>
        </w:rPr>
        <w:t>14）按规定受理申购与赎回申请，及时、足额支付赎回款项；</w:t>
      </w:r>
    </w:p>
    <w:p>
      <w:pPr>
        <w:adjustRightInd w:val="0"/>
        <w:snapToGrid w:val="0"/>
        <w:spacing w:line="360" w:lineRule="auto"/>
        <w:ind w:firstLine="480" w:firstLineChars="200"/>
        <w:rPr>
          <w:rFonts w:hAnsi="宋体"/>
          <w:kern w:val="0"/>
          <w:sz w:val="24"/>
        </w:rPr>
      </w:pPr>
      <w:r>
        <w:rPr>
          <w:rFonts w:hint="eastAsia" w:hAnsi="宋体"/>
          <w:kern w:val="0"/>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16）按规定保存基金财产管理业务活动的会计账册、报表、记录和其他相关资料</w:t>
      </w:r>
      <w:r>
        <w:rPr>
          <w:rFonts w:hint="eastAsia"/>
          <w:bCs/>
          <w:sz w:val="24"/>
        </w:rPr>
        <w:t>不低于法律法规规定的最低期限</w:t>
      </w:r>
      <w:r>
        <w:rPr>
          <w:rFonts w:hint="eastAsia" w:hAnsi="宋体"/>
          <w:kern w:val="0"/>
          <w:sz w:val="24"/>
        </w:rPr>
        <w:t>；</w:t>
      </w:r>
    </w:p>
    <w:p>
      <w:pPr>
        <w:adjustRightInd w:val="0"/>
        <w:snapToGrid w:val="0"/>
        <w:spacing w:line="360" w:lineRule="auto"/>
        <w:ind w:firstLine="480" w:firstLineChars="200"/>
        <w:rPr>
          <w:rFonts w:hAnsi="宋体"/>
          <w:kern w:val="0"/>
          <w:sz w:val="24"/>
        </w:rPr>
      </w:pPr>
      <w:r>
        <w:rPr>
          <w:rFonts w:hint="eastAsia" w:hAnsi="宋体"/>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rFonts w:hAnsi="宋体"/>
          <w:kern w:val="0"/>
          <w:sz w:val="24"/>
        </w:rPr>
      </w:pPr>
      <w:r>
        <w:rPr>
          <w:rFonts w:hint="eastAsia" w:hAnsi="宋体"/>
          <w:kern w:val="0"/>
          <w:sz w:val="24"/>
        </w:rPr>
        <w:t>18）组织并参加基金财产清算小组，参与基金财产的保管、清理、估价、变现和分配；</w:t>
      </w:r>
    </w:p>
    <w:p>
      <w:pPr>
        <w:adjustRightInd w:val="0"/>
        <w:snapToGrid w:val="0"/>
        <w:spacing w:line="360" w:lineRule="auto"/>
        <w:ind w:firstLine="480" w:firstLineChars="200"/>
        <w:rPr>
          <w:rFonts w:hAnsi="宋体"/>
          <w:kern w:val="0"/>
          <w:sz w:val="24"/>
        </w:rPr>
      </w:pPr>
      <w:r>
        <w:rPr>
          <w:rFonts w:hint="eastAsia" w:hAnsi="宋体"/>
          <w:kern w:val="0"/>
          <w:sz w:val="24"/>
        </w:rPr>
        <w:t>19）面临解散、依法被撤销或者被依法宣告破产时，及时报告中国证监会并通知基金托管人；</w:t>
      </w:r>
    </w:p>
    <w:p>
      <w:pPr>
        <w:adjustRightInd w:val="0"/>
        <w:snapToGrid w:val="0"/>
        <w:spacing w:line="360" w:lineRule="auto"/>
        <w:ind w:firstLine="480" w:firstLineChars="200"/>
        <w:rPr>
          <w:rFonts w:hAnsi="宋体"/>
          <w:kern w:val="0"/>
          <w:sz w:val="24"/>
        </w:rPr>
      </w:pPr>
      <w:r>
        <w:rPr>
          <w:rFonts w:hint="eastAsia" w:hAnsi="宋体"/>
          <w:kern w:val="0"/>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rFonts w:hAnsi="宋体"/>
          <w:kern w:val="0"/>
          <w:sz w:val="24"/>
        </w:rPr>
      </w:pPr>
      <w:r>
        <w:rPr>
          <w:rFonts w:hint="eastAsia" w:hAnsi="宋体"/>
          <w:kern w:val="0"/>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rFonts w:hAnsi="宋体"/>
          <w:kern w:val="0"/>
          <w:sz w:val="24"/>
        </w:rPr>
      </w:pPr>
      <w:r>
        <w:rPr>
          <w:rFonts w:hint="eastAsia" w:hAnsi="宋体"/>
          <w:kern w:val="0"/>
          <w:sz w:val="24"/>
        </w:rPr>
        <w:t>22）当基金管理人将其义务委托第三方处理时，应当对第三方处理有关基金事务的行为承担责任；</w:t>
      </w:r>
    </w:p>
    <w:p>
      <w:pPr>
        <w:adjustRightInd w:val="0"/>
        <w:snapToGrid w:val="0"/>
        <w:spacing w:line="360" w:lineRule="auto"/>
        <w:ind w:firstLine="480" w:firstLineChars="200"/>
        <w:rPr>
          <w:rFonts w:hAnsi="宋体"/>
          <w:kern w:val="0"/>
          <w:sz w:val="24"/>
        </w:rPr>
      </w:pPr>
      <w:r>
        <w:rPr>
          <w:rFonts w:hint="eastAsia" w:hAnsi="宋体"/>
          <w:kern w:val="0"/>
          <w:sz w:val="24"/>
        </w:rPr>
        <w:t>23）以基金管理人名义，代表基金份额持有人利益行使诉讼权利或实施其他法律行为；</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rFonts w:hAnsi="宋体"/>
          <w:kern w:val="0"/>
          <w:sz w:val="24"/>
        </w:rPr>
      </w:pPr>
      <w:r>
        <w:rPr>
          <w:rFonts w:hint="eastAsia" w:hAnsi="宋体"/>
          <w:kern w:val="0"/>
          <w:sz w:val="24"/>
        </w:rPr>
        <w:t>25）执行生效的基金份额持有人大会的决议；</w:t>
      </w:r>
    </w:p>
    <w:p>
      <w:pPr>
        <w:adjustRightInd w:val="0"/>
        <w:snapToGrid w:val="0"/>
        <w:spacing w:line="360" w:lineRule="auto"/>
        <w:ind w:firstLine="480" w:firstLineChars="200"/>
        <w:rPr>
          <w:rFonts w:hAnsi="宋体"/>
          <w:kern w:val="0"/>
          <w:sz w:val="24"/>
        </w:rPr>
      </w:pPr>
      <w:r>
        <w:rPr>
          <w:rFonts w:hint="eastAsia" w:hAnsi="宋体"/>
          <w:kern w:val="0"/>
          <w:sz w:val="24"/>
        </w:rPr>
        <w:t>26）建立并保存基金份额持有人名册；</w:t>
      </w:r>
    </w:p>
    <w:p>
      <w:pPr>
        <w:adjustRightInd w:val="0"/>
        <w:snapToGrid w:val="0"/>
        <w:spacing w:line="360" w:lineRule="auto"/>
        <w:ind w:firstLine="480" w:firstLineChars="200"/>
        <w:rPr>
          <w:rFonts w:hAnsi="宋体"/>
          <w:kern w:val="0"/>
          <w:sz w:val="24"/>
        </w:rPr>
      </w:pPr>
      <w:r>
        <w:rPr>
          <w:rFonts w:hint="eastAsia" w:hAnsi="宋体"/>
          <w:kern w:val="0"/>
          <w:sz w:val="24"/>
        </w:rPr>
        <w:t>27）法律法规及中国证监会规定的和《基金合同》约定的其他义务。</w:t>
      </w:r>
    </w:p>
    <w:p>
      <w:pPr>
        <w:adjustRightInd w:val="0"/>
        <w:snapToGrid w:val="0"/>
        <w:spacing w:line="360" w:lineRule="auto"/>
        <w:ind w:firstLine="480" w:firstLineChars="200"/>
        <w:outlineLvl w:val="2"/>
        <w:rPr>
          <w:rFonts w:hAnsi="宋体"/>
          <w:kern w:val="0"/>
          <w:sz w:val="24"/>
        </w:rPr>
      </w:pPr>
      <w:bookmarkStart w:id="108" w:name="_Hlt88897298"/>
      <w:bookmarkEnd w:id="108"/>
      <w:r>
        <w:rPr>
          <w:rFonts w:hAnsi="宋体"/>
          <w:kern w:val="0"/>
          <w:sz w:val="24"/>
        </w:rPr>
        <w:t>2、基金托管人的权利与义务</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根据《基金法》、《运作办法》及其他有关规定，基金托管人的权利包括但不限于：</w:t>
      </w:r>
    </w:p>
    <w:p>
      <w:pPr>
        <w:adjustRightInd w:val="0"/>
        <w:snapToGrid w:val="0"/>
        <w:spacing w:line="360" w:lineRule="auto"/>
        <w:ind w:firstLine="480" w:firstLineChars="200"/>
        <w:rPr>
          <w:rFonts w:hAnsi="宋体"/>
          <w:kern w:val="0"/>
          <w:sz w:val="24"/>
        </w:rPr>
      </w:pPr>
      <w:r>
        <w:rPr>
          <w:rFonts w:hint="eastAsia" w:hAnsi="宋体"/>
          <w:kern w:val="0"/>
          <w:sz w:val="24"/>
        </w:rPr>
        <w:t>1）自《基金合同》生效之日起，依法律法规和《基金合同》的规定安全保管基金财产；</w:t>
      </w:r>
    </w:p>
    <w:p>
      <w:pPr>
        <w:adjustRightInd w:val="0"/>
        <w:snapToGrid w:val="0"/>
        <w:spacing w:line="360" w:lineRule="auto"/>
        <w:ind w:firstLine="480" w:firstLineChars="200"/>
        <w:rPr>
          <w:rFonts w:hAnsi="宋体"/>
          <w:kern w:val="0"/>
          <w:sz w:val="24"/>
        </w:rPr>
      </w:pPr>
      <w:r>
        <w:rPr>
          <w:rFonts w:hint="eastAsia" w:hAnsi="宋体"/>
          <w:kern w:val="0"/>
          <w:sz w:val="24"/>
        </w:rPr>
        <w:t>2）依《基金合同》约定获得基金托管费以及法律法规规定或监管部门批准的其他费用；</w:t>
      </w:r>
    </w:p>
    <w:p>
      <w:pPr>
        <w:adjustRightInd w:val="0"/>
        <w:snapToGrid w:val="0"/>
        <w:spacing w:line="360" w:lineRule="auto"/>
        <w:ind w:firstLine="480" w:firstLineChars="200"/>
        <w:rPr>
          <w:rFonts w:hAnsi="宋体"/>
          <w:kern w:val="0"/>
          <w:sz w:val="24"/>
        </w:rPr>
      </w:pPr>
      <w:r>
        <w:rPr>
          <w:rFonts w:hint="eastAsia" w:hAnsi="宋体"/>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rFonts w:hAnsi="宋体"/>
          <w:kern w:val="0"/>
          <w:sz w:val="24"/>
        </w:rPr>
      </w:pPr>
      <w:r>
        <w:rPr>
          <w:rFonts w:hint="eastAsia" w:hAnsi="宋体"/>
          <w:kern w:val="0"/>
          <w:sz w:val="24"/>
        </w:rPr>
        <w:t>4）根据相关市场规则，为基金开设资金账户、证券账户、基金账户等投资所需账户、为基金办理基金、证券交易资金清算；</w:t>
      </w:r>
    </w:p>
    <w:p>
      <w:pPr>
        <w:adjustRightInd w:val="0"/>
        <w:snapToGrid w:val="0"/>
        <w:spacing w:line="360" w:lineRule="auto"/>
        <w:ind w:firstLine="480" w:firstLineChars="200"/>
        <w:rPr>
          <w:rFonts w:hAnsi="宋体"/>
          <w:kern w:val="0"/>
          <w:sz w:val="24"/>
        </w:rPr>
      </w:pPr>
      <w:r>
        <w:rPr>
          <w:rFonts w:hint="eastAsia" w:hAnsi="宋体"/>
          <w:kern w:val="0"/>
          <w:sz w:val="24"/>
        </w:rPr>
        <w:t>5）提议召开或召集基金份额持有人大会；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6）在基金管理人更换时，提名新的基金管理人；</w:t>
      </w:r>
    </w:p>
    <w:p>
      <w:pPr>
        <w:adjustRightInd w:val="0"/>
        <w:snapToGrid w:val="0"/>
        <w:spacing w:line="360" w:lineRule="auto"/>
        <w:ind w:firstLine="480" w:firstLineChars="200"/>
        <w:rPr>
          <w:rFonts w:hAnsi="宋体"/>
          <w:kern w:val="0"/>
          <w:sz w:val="24"/>
        </w:rPr>
      </w:pPr>
      <w:r>
        <w:rPr>
          <w:rFonts w:hint="eastAsia" w:hAnsi="宋体"/>
          <w:kern w:val="0"/>
          <w:sz w:val="24"/>
        </w:rPr>
        <w:t>7）法律法规及中国证监会规定的和《基金合同》约定的其他权利。</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根据《基金法》、《运作办法》及其他有关规定，基金托管人的义务包括但不限于：</w:t>
      </w:r>
    </w:p>
    <w:p>
      <w:pPr>
        <w:adjustRightInd w:val="0"/>
        <w:snapToGrid w:val="0"/>
        <w:spacing w:line="360" w:lineRule="auto"/>
        <w:ind w:firstLine="480" w:firstLineChars="200"/>
        <w:rPr>
          <w:rFonts w:hAnsi="宋体"/>
          <w:kern w:val="0"/>
          <w:sz w:val="24"/>
        </w:rPr>
      </w:pPr>
      <w:r>
        <w:rPr>
          <w:rFonts w:hint="eastAsia" w:hAnsi="宋体"/>
          <w:kern w:val="0"/>
          <w:sz w:val="24"/>
        </w:rPr>
        <w:t>1）以诚实信用、勤勉尽责的原则持有并安全保管基金财产；</w:t>
      </w:r>
    </w:p>
    <w:p>
      <w:pPr>
        <w:adjustRightInd w:val="0"/>
        <w:snapToGrid w:val="0"/>
        <w:spacing w:line="360" w:lineRule="auto"/>
        <w:ind w:firstLine="480" w:firstLineChars="200"/>
        <w:rPr>
          <w:rFonts w:hAnsi="宋体"/>
          <w:kern w:val="0"/>
          <w:sz w:val="24"/>
        </w:rPr>
      </w:pPr>
      <w:r>
        <w:rPr>
          <w:rFonts w:hint="eastAsia" w:hAnsi="宋体"/>
          <w:kern w:val="0"/>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rFonts w:hAnsi="宋体"/>
          <w:kern w:val="0"/>
          <w:sz w:val="24"/>
        </w:rPr>
      </w:pPr>
      <w:r>
        <w:rPr>
          <w:rFonts w:hint="eastAsia" w:hAnsi="宋体"/>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rFonts w:hAnsi="宋体"/>
          <w:kern w:val="0"/>
          <w:sz w:val="24"/>
        </w:rPr>
      </w:pPr>
      <w:r>
        <w:rPr>
          <w:rFonts w:hint="eastAsia" w:hAnsi="宋体"/>
          <w:kern w:val="0"/>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rFonts w:hAnsi="宋体"/>
          <w:kern w:val="0"/>
          <w:sz w:val="24"/>
        </w:rPr>
      </w:pPr>
      <w:r>
        <w:rPr>
          <w:rFonts w:hint="eastAsia" w:hAnsi="宋体"/>
          <w:kern w:val="0"/>
          <w:sz w:val="24"/>
        </w:rPr>
        <w:t>5）保管由基金管理人代表基金签订的与基金有关的重大合同及有关凭证；</w:t>
      </w:r>
    </w:p>
    <w:p>
      <w:pPr>
        <w:adjustRightInd w:val="0"/>
        <w:snapToGrid w:val="0"/>
        <w:spacing w:line="360" w:lineRule="auto"/>
        <w:ind w:firstLine="480" w:firstLineChars="200"/>
        <w:rPr>
          <w:rFonts w:hAnsi="宋体"/>
          <w:kern w:val="0"/>
          <w:sz w:val="24"/>
        </w:rPr>
      </w:pPr>
      <w:r>
        <w:rPr>
          <w:rFonts w:hint="eastAsia" w:hAnsi="宋体"/>
          <w:kern w:val="0"/>
          <w:sz w:val="24"/>
        </w:rPr>
        <w:t>6）按规定开设基金财产的资金账户、证券账户、基金账户等投资所需账户，按照《基金合同》的约定，根据基金管理人的投资指令，及时办理清算、交割事宜；</w:t>
      </w:r>
    </w:p>
    <w:p>
      <w:pPr>
        <w:adjustRightInd w:val="0"/>
        <w:snapToGrid w:val="0"/>
        <w:spacing w:line="360" w:lineRule="auto"/>
        <w:ind w:firstLine="480" w:firstLineChars="200"/>
        <w:rPr>
          <w:rFonts w:hAnsi="宋体"/>
          <w:kern w:val="0"/>
          <w:sz w:val="24"/>
        </w:rPr>
      </w:pPr>
      <w:r>
        <w:rPr>
          <w:rFonts w:hint="eastAsia" w:hAnsi="宋体"/>
          <w:kern w:val="0"/>
          <w:sz w:val="24"/>
        </w:rPr>
        <w:t>7）保守基金商业秘密，除《基金法》、《基金合同》及其他有关规定另有规定，监管机构、司法机关等有权机关要求，或审计、法律等外部专业顾问提供服务需要的情况外，在基金信息公开披露前予以保密，不得向他人泄露。如向审计、法律等外部专业顾问提供上述信息，基金托管人保证审计、法律等外部专业顾问遵守与基金托管人同等的保密义务；</w:t>
      </w:r>
    </w:p>
    <w:p>
      <w:pPr>
        <w:adjustRightInd w:val="0"/>
        <w:snapToGrid w:val="0"/>
        <w:spacing w:line="360" w:lineRule="auto"/>
        <w:ind w:firstLine="480" w:firstLineChars="200"/>
        <w:rPr>
          <w:rFonts w:hAnsi="宋体"/>
          <w:kern w:val="0"/>
          <w:sz w:val="24"/>
        </w:rPr>
      </w:pPr>
      <w:r>
        <w:rPr>
          <w:rFonts w:hint="eastAsia" w:hAnsi="宋体"/>
          <w:kern w:val="0"/>
          <w:sz w:val="24"/>
        </w:rPr>
        <w:t>8）复核、审查基金管理人计算的基金资产净值、基金份额净值、基金份额申购、赎回价格；</w:t>
      </w:r>
    </w:p>
    <w:p>
      <w:pPr>
        <w:adjustRightInd w:val="0"/>
        <w:snapToGrid w:val="0"/>
        <w:spacing w:line="360" w:lineRule="auto"/>
        <w:ind w:firstLine="480" w:firstLineChars="200"/>
        <w:rPr>
          <w:rFonts w:hAnsi="宋体"/>
          <w:kern w:val="0"/>
          <w:sz w:val="24"/>
        </w:rPr>
      </w:pPr>
      <w:r>
        <w:rPr>
          <w:rFonts w:hint="eastAsia" w:hAnsi="宋体"/>
          <w:kern w:val="0"/>
          <w:sz w:val="24"/>
        </w:rPr>
        <w:t>9）办理与基金托管业务活动有关的信息披露事项；</w:t>
      </w:r>
    </w:p>
    <w:p>
      <w:pPr>
        <w:adjustRightInd w:val="0"/>
        <w:snapToGrid w:val="0"/>
        <w:spacing w:line="360" w:lineRule="auto"/>
        <w:ind w:firstLine="480" w:firstLineChars="200"/>
        <w:rPr>
          <w:rFonts w:hAnsi="宋体"/>
          <w:kern w:val="0"/>
          <w:sz w:val="24"/>
        </w:rPr>
      </w:pPr>
      <w:r>
        <w:rPr>
          <w:rFonts w:hint="eastAsia" w:hAnsi="宋体"/>
          <w:kern w:val="0"/>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rFonts w:hAnsi="宋体"/>
          <w:kern w:val="0"/>
          <w:sz w:val="24"/>
        </w:rPr>
      </w:pPr>
      <w:r>
        <w:rPr>
          <w:rFonts w:hint="eastAsia" w:hAnsi="宋体"/>
          <w:kern w:val="0"/>
          <w:sz w:val="24"/>
        </w:rPr>
        <w:t>11）保存基金托管业务活动的记录、账册、报表和其他相关资料</w:t>
      </w:r>
      <w:r>
        <w:rPr>
          <w:rFonts w:hint="eastAsia"/>
          <w:bCs/>
          <w:sz w:val="24"/>
        </w:rPr>
        <w:t>不低于法律法规规定的最低期限</w:t>
      </w:r>
      <w:r>
        <w:rPr>
          <w:rFonts w:hint="eastAsia" w:hAnsi="宋体"/>
          <w:kern w:val="0"/>
          <w:sz w:val="24"/>
        </w:rPr>
        <w:t>；</w:t>
      </w:r>
    </w:p>
    <w:p>
      <w:pPr>
        <w:adjustRightInd w:val="0"/>
        <w:snapToGrid w:val="0"/>
        <w:spacing w:line="360" w:lineRule="auto"/>
        <w:ind w:firstLine="480" w:firstLineChars="200"/>
        <w:rPr>
          <w:rFonts w:hAnsi="宋体"/>
          <w:kern w:val="0"/>
          <w:sz w:val="24"/>
        </w:rPr>
      </w:pPr>
      <w:r>
        <w:rPr>
          <w:rFonts w:hint="eastAsia" w:hAnsi="宋体"/>
          <w:kern w:val="0"/>
          <w:sz w:val="24"/>
        </w:rPr>
        <w:t>12）从基金管理人或其委托的登记机构处接收并保存基金份额持有人名册；</w:t>
      </w:r>
    </w:p>
    <w:p>
      <w:pPr>
        <w:adjustRightInd w:val="0"/>
        <w:snapToGrid w:val="0"/>
        <w:spacing w:line="360" w:lineRule="auto"/>
        <w:ind w:firstLine="480" w:firstLineChars="200"/>
        <w:rPr>
          <w:rFonts w:hAnsi="宋体"/>
          <w:kern w:val="0"/>
          <w:sz w:val="24"/>
        </w:rPr>
      </w:pPr>
      <w:r>
        <w:rPr>
          <w:rFonts w:hint="eastAsia" w:hAnsi="宋体"/>
          <w:kern w:val="0"/>
          <w:sz w:val="24"/>
        </w:rPr>
        <w:t>13）按规定制作相关账册并与基金管理人核对；</w:t>
      </w:r>
    </w:p>
    <w:p>
      <w:pPr>
        <w:adjustRightInd w:val="0"/>
        <w:snapToGrid w:val="0"/>
        <w:spacing w:line="360" w:lineRule="auto"/>
        <w:ind w:firstLine="480" w:firstLineChars="200"/>
        <w:rPr>
          <w:rFonts w:hAnsi="宋体"/>
          <w:kern w:val="0"/>
          <w:sz w:val="24"/>
        </w:rPr>
      </w:pPr>
      <w:r>
        <w:rPr>
          <w:rFonts w:hint="eastAsia" w:hAnsi="宋体"/>
          <w:kern w:val="0"/>
          <w:sz w:val="24"/>
        </w:rPr>
        <w:t>14）依据基金管理人的指令或有关规定向基金份额持有人支付基金收益和赎回款项；</w:t>
      </w:r>
    </w:p>
    <w:p>
      <w:pPr>
        <w:adjustRightInd w:val="0"/>
        <w:snapToGrid w:val="0"/>
        <w:spacing w:line="360" w:lineRule="auto"/>
        <w:ind w:firstLine="480" w:firstLineChars="200"/>
        <w:rPr>
          <w:rFonts w:hAnsi="宋体"/>
          <w:kern w:val="0"/>
          <w:sz w:val="24"/>
        </w:rPr>
      </w:pPr>
      <w:r>
        <w:rPr>
          <w:rFonts w:hint="eastAsia" w:hAnsi="宋体"/>
          <w:kern w:val="0"/>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16）按照法律法规和《基金合同》的规定监督基金管理人的投资运作；</w:t>
      </w:r>
    </w:p>
    <w:p>
      <w:pPr>
        <w:adjustRightInd w:val="0"/>
        <w:snapToGrid w:val="0"/>
        <w:spacing w:line="360" w:lineRule="auto"/>
        <w:ind w:firstLine="480" w:firstLineChars="200"/>
        <w:rPr>
          <w:rFonts w:hAnsi="宋体"/>
          <w:kern w:val="0"/>
          <w:sz w:val="24"/>
        </w:rPr>
      </w:pPr>
      <w:r>
        <w:rPr>
          <w:rFonts w:hint="eastAsia" w:hAnsi="宋体"/>
          <w:kern w:val="0"/>
          <w:sz w:val="24"/>
        </w:rPr>
        <w:t>17）参加基金财产清算小组，参与基金财产的保管、清理、估价、变现和分配；</w:t>
      </w:r>
    </w:p>
    <w:p>
      <w:pPr>
        <w:adjustRightInd w:val="0"/>
        <w:snapToGrid w:val="0"/>
        <w:spacing w:line="360" w:lineRule="auto"/>
        <w:ind w:firstLine="480" w:firstLineChars="200"/>
        <w:rPr>
          <w:rFonts w:hAnsi="宋体"/>
          <w:kern w:val="0"/>
          <w:sz w:val="24"/>
        </w:rPr>
      </w:pPr>
      <w:r>
        <w:rPr>
          <w:rFonts w:hint="eastAsia" w:hAnsi="宋体"/>
          <w:kern w:val="0"/>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rFonts w:hAnsi="宋体"/>
          <w:kern w:val="0"/>
          <w:sz w:val="24"/>
        </w:rPr>
      </w:pPr>
      <w:r>
        <w:rPr>
          <w:rFonts w:hint="eastAsia" w:hAnsi="宋体"/>
          <w:kern w:val="0"/>
          <w:sz w:val="24"/>
        </w:rPr>
        <w:t>19）因违反《基金合同》导致基金财产损失时，应承担赔偿责任，其赔偿责任不因其退任而免除；</w:t>
      </w:r>
    </w:p>
    <w:p>
      <w:pPr>
        <w:adjustRightInd w:val="0"/>
        <w:snapToGrid w:val="0"/>
        <w:spacing w:line="360" w:lineRule="auto"/>
        <w:ind w:firstLine="480" w:firstLineChars="200"/>
        <w:rPr>
          <w:rFonts w:hAnsi="宋体"/>
          <w:kern w:val="0"/>
          <w:sz w:val="24"/>
        </w:rPr>
      </w:pPr>
      <w:r>
        <w:rPr>
          <w:rFonts w:hint="eastAsia" w:hAnsi="宋体"/>
          <w:kern w:val="0"/>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rFonts w:hAnsi="宋体"/>
          <w:kern w:val="0"/>
          <w:sz w:val="24"/>
        </w:rPr>
      </w:pPr>
      <w:r>
        <w:rPr>
          <w:rFonts w:hint="eastAsia" w:hAnsi="宋体"/>
          <w:kern w:val="0"/>
          <w:sz w:val="24"/>
        </w:rPr>
        <w:t>21）执行生效的基金份额持有人大会的决议；</w:t>
      </w:r>
    </w:p>
    <w:p>
      <w:pPr>
        <w:adjustRightInd w:val="0"/>
        <w:snapToGrid w:val="0"/>
        <w:spacing w:line="360" w:lineRule="auto"/>
        <w:ind w:firstLine="480" w:firstLineChars="200"/>
        <w:rPr>
          <w:rFonts w:hAnsi="宋体"/>
          <w:kern w:val="0"/>
          <w:sz w:val="24"/>
        </w:rPr>
      </w:pPr>
      <w:r>
        <w:rPr>
          <w:rFonts w:hint="eastAsia" w:hAnsi="宋体"/>
          <w:kern w:val="0"/>
          <w:sz w:val="24"/>
        </w:rPr>
        <w:t>22）法律法规及中国证监会规定的和《基金合同》约定的其他义务。</w:t>
      </w:r>
    </w:p>
    <w:p>
      <w:pPr>
        <w:adjustRightInd w:val="0"/>
        <w:snapToGrid w:val="0"/>
        <w:spacing w:line="360" w:lineRule="auto"/>
        <w:ind w:firstLine="480" w:firstLineChars="200"/>
        <w:outlineLvl w:val="2"/>
        <w:rPr>
          <w:rFonts w:hAnsi="宋体"/>
          <w:kern w:val="0"/>
          <w:sz w:val="24"/>
        </w:rPr>
      </w:pPr>
      <w:r>
        <w:rPr>
          <w:rFonts w:hAnsi="宋体"/>
          <w:kern w:val="0"/>
          <w:sz w:val="24"/>
        </w:rPr>
        <w:t>3、基金份额持有人的权利与义务</w:t>
      </w:r>
    </w:p>
    <w:p>
      <w:pPr>
        <w:adjustRightInd w:val="0"/>
        <w:snapToGrid w:val="0"/>
        <w:spacing w:line="360" w:lineRule="auto"/>
        <w:ind w:firstLine="480" w:firstLineChars="200"/>
        <w:rPr>
          <w:rFonts w:hAnsi="宋体"/>
          <w:kern w:val="0"/>
          <w:sz w:val="24"/>
        </w:rPr>
      </w:pPr>
      <w:r>
        <w:rPr>
          <w:rFonts w:hint="eastAsia" w:hAnsi="宋体"/>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rFonts w:hAnsi="宋体"/>
          <w:kern w:val="0"/>
          <w:sz w:val="24"/>
        </w:rPr>
      </w:pPr>
      <w:r>
        <w:rPr>
          <w:rFonts w:hint="eastAsia" w:hAnsi="宋体"/>
          <w:kern w:val="0"/>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firstLineChars="200"/>
        <w:outlineLvl w:val="1"/>
        <w:rPr>
          <w:rFonts w:hAnsi="宋体"/>
          <w:b/>
          <w:kern w:val="0"/>
          <w:sz w:val="24"/>
        </w:rPr>
      </w:pPr>
      <w:r>
        <w:rPr>
          <w:rFonts w:hAnsi="宋体"/>
          <w:b/>
          <w:kern w:val="0"/>
          <w:sz w:val="24"/>
        </w:rPr>
        <w:t>（二）基金份额持有人大会</w:t>
      </w:r>
      <w:r>
        <w:rPr>
          <w:rFonts w:hint="eastAsia" w:hAnsi="宋体"/>
          <w:b/>
          <w:kern w:val="0"/>
          <w:sz w:val="24"/>
        </w:rPr>
        <w:t>召集、议事及表决的程序和规则</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rFonts w:hAnsi="宋体"/>
          <w:kern w:val="0"/>
          <w:sz w:val="24"/>
        </w:rPr>
      </w:pPr>
      <w:r>
        <w:rPr>
          <w:rFonts w:hint="eastAsia" w:hAnsi="宋体"/>
          <w:kern w:val="0"/>
          <w:sz w:val="24"/>
        </w:rPr>
        <w:t>本基金份额持有人大会不设日常机构。</w:t>
      </w:r>
    </w:p>
    <w:p>
      <w:pPr>
        <w:adjustRightInd w:val="0"/>
        <w:snapToGrid w:val="0"/>
        <w:spacing w:line="360" w:lineRule="auto"/>
        <w:ind w:firstLine="480" w:firstLineChars="200"/>
        <w:rPr>
          <w:rFonts w:hAnsi="宋体"/>
          <w:kern w:val="0"/>
          <w:sz w:val="24"/>
        </w:rPr>
      </w:pPr>
      <w:r>
        <w:rPr>
          <w:rFonts w:hAnsi="宋体"/>
          <w:kern w:val="0"/>
          <w:sz w:val="24"/>
        </w:rPr>
        <w:t>1、召开事由</w:t>
      </w:r>
    </w:p>
    <w:p>
      <w:pPr>
        <w:adjustRightInd w:val="0"/>
        <w:snapToGrid w:val="0"/>
        <w:spacing w:line="360" w:lineRule="auto"/>
        <w:ind w:firstLine="480" w:firstLineChars="200"/>
        <w:rPr>
          <w:rFonts w:hAnsi="宋体"/>
          <w:kern w:val="0"/>
          <w:sz w:val="24"/>
        </w:rPr>
      </w:pPr>
      <w:r>
        <w:rPr>
          <w:rFonts w:hint="eastAsia" w:hAnsi="宋体"/>
          <w:kern w:val="0"/>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rFonts w:hAnsi="宋体"/>
          <w:kern w:val="0"/>
          <w:sz w:val="24"/>
        </w:rPr>
      </w:pPr>
      <w:r>
        <w:rPr>
          <w:rFonts w:hint="eastAsia" w:hAnsi="宋体"/>
          <w:kern w:val="0"/>
          <w:sz w:val="24"/>
        </w:rPr>
        <w:t>1）终止《基金合同》；</w:t>
      </w:r>
    </w:p>
    <w:p>
      <w:pPr>
        <w:adjustRightInd w:val="0"/>
        <w:snapToGrid w:val="0"/>
        <w:spacing w:line="360" w:lineRule="auto"/>
        <w:ind w:firstLine="480" w:firstLineChars="200"/>
        <w:rPr>
          <w:rFonts w:hAnsi="宋体"/>
          <w:kern w:val="0"/>
          <w:sz w:val="24"/>
        </w:rPr>
      </w:pPr>
      <w:r>
        <w:rPr>
          <w:rFonts w:hint="eastAsia" w:hAnsi="宋体"/>
          <w:kern w:val="0"/>
          <w:sz w:val="24"/>
        </w:rPr>
        <w:t>2）更换基金管理人；</w:t>
      </w:r>
    </w:p>
    <w:p>
      <w:pPr>
        <w:adjustRightInd w:val="0"/>
        <w:snapToGrid w:val="0"/>
        <w:spacing w:line="360" w:lineRule="auto"/>
        <w:ind w:firstLine="480" w:firstLineChars="200"/>
        <w:rPr>
          <w:rFonts w:hAnsi="宋体"/>
          <w:kern w:val="0"/>
          <w:sz w:val="24"/>
        </w:rPr>
      </w:pPr>
      <w:r>
        <w:rPr>
          <w:rFonts w:hint="eastAsia" w:hAnsi="宋体"/>
          <w:kern w:val="0"/>
          <w:sz w:val="24"/>
        </w:rPr>
        <w:t>3）更换基金托管人；</w:t>
      </w:r>
    </w:p>
    <w:p>
      <w:pPr>
        <w:adjustRightInd w:val="0"/>
        <w:snapToGrid w:val="0"/>
        <w:spacing w:line="360" w:lineRule="auto"/>
        <w:ind w:firstLine="480" w:firstLineChars="200"/>
        <w:rPr>
          <w:rFonts w:hAnsi="宋体"/>
          <w:kern w:val="0"/>
          <w:sz w:val="24"/>
        </w:rPr>
      </w:pPr>
      <w:r>
        <w:rPr>
          <w:rFonts w:hint="eastAsia" w:hAnsi="宋体"/>
          <w:kern w:val="0"/>
          <w:sz w:val="24"/>
        </w:rPr>
        <w:t>4）转换基金运作方式；</w:t>
      </w:r>
    </w:p>
    <w:p>
      <w:pPr>
        <w:adjustRightInd w:val="0"/>
        <w:snapToGrid w:val="0"/>
        <w:spacing w:line="360" w:lineRule="auto"/>
        <w:ind w:firstLine="480" w:firstLineChars="200"/>
        <w:rPr>
          <w:rFonts w:hAnsi="宋体"/>
          <w:kern w:val="0"/>
          <w:sz w:val="24"/>
        </w:rPr>
      </w:pPr>
      <w:r>
        <w:rPr>
          <w:rFonts w:hint="eastAsia" w:hAnsi="宋体"/>
          <w:kern w:val="0"/>
          <w:sz w:val="24"/>
        </w:rPr>
        <w:t>5）</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pPr>
        <w:adjustRightInd w:val="0"/>
        <w:snapToGrid w:val="0"/>
        <w:spacing w:line="360" w:lineRule="auto"/>
        <w:ind w:firstLine="480" w:firstLineChars="200"/>
        <w:rPr>
          <w:rFonts w:hAnsi="宋体"/>
          <w:kern w:val="0"/>
          <w:sz w:val="24"/>
        </w:rPr>
      </w:pPr>
      <w:r>
        <w:rPr>
          <w:rFonts w:hint="eastAsia" w:hAnsi="宋体"/>
          <w:kern w:val="0"/>
          <w:sz w:val="24"/>
        </w:rPr>
        <w:t>6）变更基金类别；</w:t>
      </w:r>
    </w:p>
    <w:p>
      <w:pPr>
        <w:adjustRightInd w:val="0"/>
        <w:snapToGrid w:val="0"/>
        <w:spacing w:line="360" w:lineRule="auto"/>
        <w:ind w:firstLine="480" w:firstLineChars="200"/>
        <w:rPr>
          <w:rFonts w:hAnsi="宋体"/>
          <w:kern w:val="0"/>
          <w:sz w:val="24"/>
        </w:rPr>
      </w:pPr>
      <w:r>
        <w:rPr>
          <w:rFonts w:hint="eastAsia" w:hAnsi="宋体"/>
          <w:kern w:val="0"/>
          <w:sz w:val="24"/>
        </w:rPr>
        <w:t>7）本基金与其他基金的合并；</w:t>
      </w:r>
    </w:p>
    <w:p>
      <w:pPr>
        <w:adjustRightInd w:val="0"/>
        <w:snapToGrid w:val="0"/>
        <w:spacing w:line="360" w:lineRule="auto"/>
        <w:ind w:firstLine="480" w:firstLineChars="200"/>
        <w:rPr>
          <w:rFonts w:hAnsi="宋体"/>
          <w:kern w:val="0"/>
          <w:sz w:val="24"/>
        </w:rPr>
      </w:pPr>
      <w:r>
        <w:rPr>
          <w:rFonts w:hint="eastAsia" w:hAnsi="宋体"/>
          <w:kern w:val="0"/>
          <w:sz w:val="24"/>
        </w:rPr>
        <w:t>8）变更基金投资目标、范围或策略；</w:t>
      </w:r>
    </w:p>
    <w:p>
      <w:pPr>
        <w:adjustRightInd w:val="0"/>
        <w:snapToGrid w:val="0"/>
        <w:spacing w:line="360" w:lineRule="auto"/>
        <w:ind w:firstLine="480" w:firstLineChars="200"/>
        <w:rPr>
          <w:rFonts w:hAnsi="宋体"/>
          <w:kern w:val="0"/>
          <w:sz w:val="24"/>
        </w:rPr>
      </w:pPr>
      <w:r>
        <w:rPr>
          <w:rFonts w:hint="eastAsia" w:hAnsi="宋体"/>
          <w:kern w:val="0"/>
          <w:sz w:val="24"/>
        </w:rPr>
        <w:t>9）变更基金份额持有人大会程序；</w:t>
      </w:r>
    </w:p>
    <w:p>
      <w:pPr>
        <w:adjustRightInd w:val="0"/>
        <w:snapToGrid w:val="0"/>
        <w:spacing w:line="360" w:lineRule="auto"/>
        <w:ind w:firstLine="480" w:firstLineChars="200"/>
        <w:rPr>
          <w:rFonts w:hAnsi="宋体"/>
          <w:kern w:val="0"/>
          <w:sz w:val="24"/>
        </w:rPr>
      </w:pPr>
      <w:r>
        <w:rPr>
          <w:rFonts w:hint="eastAsia" w:hAnsi="宋体"/>
          <w:kern w:val="0"/>
          <w:sz w:val="24"/>
        </w:rPr>
        <w:t>10）基金管理人或基金托管人要求召开基金份额持有人大会；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12）对基金合同当事人权利和义务产生重大影响的其他事项；</w:t>
      </w:r>
    </w:p>
    <w:p>
      <w:pPr>
        <w:adjustRightInd w:val="0"/>
        <w:snapToGrid w:val="0"/>
        <w:spacing w:line="360" w:lineRule="auto"/>
        <w:ind w:firstLine="480" w:firstLineChars="200"/>
        <w:rPr>
          <w:rFonts w:hAnsi="宋体"/>
          <w:kern w:val="0"/>
          <w:sz w:val="24"/>
        </w:rPr>
      </w:pPr>
      <w:r>
        <w:rPr>
          <w:rFonts w:hint="eastAsia" w:hAnsi="宋体"/>
          <w:kern w:val="0"/>
          <w:sz w:val="24"/>
        </w:rPr>
        <w:t>13）法律法规、《基金合同》或中国证监会规定的其他应当召开基金份额持有人大会的事项。</w:t>
      </w:r>
    </w:p>
    <w:p>
      <w:pPr>
        <w:adjustRightInd w:val="0"/>
        <w:snapToGrid w:val="0"/>
        <w:spacing w:line="360" w:lineRule="auto"/>
        <w:ind w:firstLine="480" w:firstLineChars="200"/>
        <w:rPr>
          <w:rFonts w:hAnsi="宋体"/>
          <w:kern w:val="0"/>
          <w:sz w:val="24"/>
        </w:rPr>
      </w:pPr>
      <w:r>
        <w:rPr>
          <w:rFonts w:hint="eastAsia" w:hAnsi="宋体"/>
          <w:kern w:val="0"/>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1）调低基金销售服务费；</w:t>
      </w:r>
    </w:p>
    <w:p>
      <w:pPr>
        <w:adjustRightInd w:val="0"/>
        <w:snapToGrid w:val="0"/>
        <w:spacing w:line="360" w:lineRule="auto"/>
        <w:ind w:firstLine="480" w:firstLineChars="200"/>
        <w:rPr>
          <w:rFonts w:hAnsi="宋体"/>
          <w:kern w:val="0"/>
          <w:sz w:val="24"/>
        </w:rPr>
      </w:pPr>
      <w:r>
        <w:rPr>
          <w:rFonts w:hint="eastAsia" w:hAnsi="宋体"/>
          <w:kern w:val="0"/>
          <w:sz w:val="24"/>
        </w:rPr>
        <w:t>2）法律法规要求增加的基金费用的收取；</w:t>
      </w:r>
    </w:p>
    <w:p>
      <w:pPr>
        <w:adjustRightInd w:val="0"/>
        <w:snapToGrid w:val="0"/>
        <w:spacing w:line="360" w:lineRule="auto"/>
        <w:ind w:firstLine="480" w:firstLineChars="200"/>
        <w:rPr>
          <w:rFonts w:hAnsi="宋体"/>
          <w:kern w:val="0"/>
          <w:sz w:val="24"/>
        </w:rPr>
      </w:pPr>
      <w:r>
        <w:rPr>
          <w:rFonts w:hint="eastAsia" w:hAnsi="宋体"/>
          <w:kern w:val="0"/>
          <w:sz w:val="24"/>
        </w:rPr>
        <w:t>3）在法律法规和《基金合同》规定的范围内调整本基金的申购费率、调低赎回费率、在对现有基金份额持有人利益无实质性不利影响的前提下变更收费方式；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rFonts w:hAnsi="宋体"/>
          <w:kern w:val="0"/>
          <w:sz w:val="24"/>
        </w:rPr>
      </w:pPr>
      <w:r>
        <w:rPr>
          <w:rFonts w:hint="eastAsia" w:hAnsi="宋体"/>
          <w:kern w:val="0"/>
          <w:sz w:val="24"/>
        </w:rPr>
        <w:t>4）因相应的法律法规、登记机构的相关业务规则发生变动而应当对《基金合同》进行修改；</w:t>
      </w:r>
    </w:p>
    <w:p>
      <w:pPr>
        <w:adjustRightInd w:val="0"/>
        <w:snapToGrid w:val="0"/>
        <w:spacing w:line="360" w:lineRule="auto"/>
        <w:ind w:firstLine="480" w:firstLineChars="200"/>
        <w:rPr>
          <w:rFonts w:hAnsi="宋体"/>
          <w:kern w:val="0"/>
          <w:sz w:val="24"/>
        </w:rPr>
      </w:pPr>
      <w:r>
        <w:rPr>
          <w:rFonts w:hint="eastAsia" w:hAnsi="宋体"/>
          <w:kern w:val="0"/>
          <w:sz w:val="24"/>
        </w:rPr>
        <w:t>5）对《基金合同》的修改对基金份额持有人利益无实质性不利影响或修改不涉及《基金合同》当事人权利义务关系发生重大变化；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rFonts w:hAnsi="宋体"/>
          <w:kern w:val="0"/>
          <w:sz w:val="24"/>
        </w:rPr>
      </w:pPr>
      <w:r>
        <w:rPr>
          <w:rFonts w:hint="eastAsia" w:hAnsi="宋体"/>
          <w:kern w:val="0"/>
          <w:sz w:val="24"/>
        </w:rPr>
        <w:t>6）在法律法规允许的情况下，且在对现有基金份额持有人利益无实质性不利影响的前提下，基金推出新业务或服务；</w:t>
      </w:r>
    </w:p>
    <w:p>
      <w:pPr>
        <w:adjustRightInd w:val="0"/>
        <w:snapToGrid w:val="0"/>
        <w:spacing w:line="360" w:lineRule="auto"/>
        <w:ind w:firstLine="480" w:firstLineChars="200"/>
        <w:rPr>
          <w:rFonts w:hAnsi="宋体"/>
          <w:kern w:val="0"/>
          <w:sz w:val="24"/>
        </w:rPr>
      </w:pPr>
      <w:r>
        <w:rPr>
          <w:rFonts w:hint="eastAsia" w:hAnsi="宋体"/>
          <w:kern w:val="0"/>
          <w:sz w:val="24"/>
        </w:rPr>
        <w:t>7）在符合法律法规及本基金合同规定、并且对基金份额持有人利益无实质不利影响的前提下，调整本基金份额类别的设置；</w:t>
      </w:r>
    </w:p>
    <w:p>
      <w:pPr>
        <w:adjustRightInd w:val="0"/>
        <w:snapToGrid w:val="0"/>
        <w:spacing w:line="360" w:lineRule="auto"/>
        <w:ind w:firstLine="480" w:firstLineChars="200"/>
        <w:rPr>
          <w:rFonts w:hAnsi="宋体"/>
          <w:kern w:val="0"/>
          <w:sz w:val="24"/>
        </w:rPr>
      </w:pPr>
      <w:r>
        <w:rPr>
          <w:rFonts w:hint="eastAsia" w:hAnsi="宋体"/>
          <w:kern w:val="0"/>
          <w:sz w:val="24"/>
        </w:rPr>
        <w:t>8）在不违反法律法规及对基金份额持有人利益无实质性不利影响的前提下，基金管理人、登记机构、销售机构调整有关基金认购、申购、赎回、转换、收益分配、非交易过户、转托管等业务的规则；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rFonts w:hAnsi="宋体"/>
          <w:kern w:val="0"/>
          <w:sz w:val="24"/>
        </w:rPr>
      </w:pPr>
      <w:r>
        <w:rPr>
          <w:rFonts w:hint="eastAsia" w:hAnsi="宋体"/>
          <w:kern w:val="0"/>
          <w:sz w:val="24"/>
        </w:rPr>
        <w:t>9）按照法律法规和《基金合同》规定不需召开基金份额持有人大会的其他情形。</w:t>
      </w:r>
    </w:p>
    <w:p>
      <w:pPr>
        <w:adjustRightInd w:val="0"/>
        <w:snapToGrid w:val="0"/>
        <w:spacing w:line="360" w:lineRule="auto"/>
        <w:ind w:firstLine="480" w:firstLineChars="200"/>
        <w:rPr>
          <w:rFonts w:hAnsi="宋体"/>
          <w:kern w:val="0"/>
          <w:sz w:val="24"/>
        </w:rPr>
      </w:pPr>
      <w:r>
        <w:rPr>
          <w:rFonts w:hint="eastAsia" w:hAnsi="宋体"/>
          <w:kern w:val="0"/>
          <w:sz w:val="24"/>
        </w:rPr>
        <w:t>（3）基金合同生效后的存续期内，若连续50个工作日出现基金份额持有人数量不满200人或者基金资产净值低于5000万元情形，</w:t>
      </w:r>
      <w:r>
        <w:rPr>
          <w:rFonts w:hint="eastAsia" w:hAnsi="宋体"/>
          <w:bCs/>
          <w:kern w:val="0"/>
          <w:sz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bookmarkStart w:id="109" w:name="_Hlt94543071"/>
      <w:bookmarkEnd w:id="109"/>
      <w:r>
        <w:rPr>
          <w:rFonts w:hAnsi="宋体"/>
          <w:kern w:val="0"/>
          <w:sz w:val="24"/>
        </w:rPr>
        <w:t>2、会议召集人及召集方式</w:t>
      </w:r>
    </w:p>
    <w:p>
      <w:pPr>
        <w:adjustRightInd w:val="0"/>
        <w:snapToGrid w:val="0"/>
        <w:spacing w:line="360" w:lineRule="auto"/>
        <w:ind w:firstLine="480" w:firstLineChars="200"/>
        <w:rPr>
          <w:rFonts w:hAnsi="宋体"/>
          <w:kern w:val="0"/>
          <w:sz w:val="24"/>
        </w:rPr>
      </w:pPr>
      <w:r>
        <w:rPr>
          <w:rFonts w:hint="eastAsia" w:hAnsi="宋体"/>
          <w:kern w:val="0"/>
          <w:sz w:val="24"/>
        </w:rPr>
        <w:t>（1）除法律法规规定或《基金合同》另有约定外，基金份额持有人大会由基金管理人召集；</w:t>
      </w:r>
    </w:p>
    <w:p>
      <w:pPr>
        <w:adjustRightInd w:val="0"/>
        <w:snapToGrid w:val="0"/>
        <w:spacing w:line="360" w:lineRule="auto"/>
        <w:ind w:firstLine="480" w:firstLineChars="200"/>
        <w:rPr>
          <w:rFonts w:hAnsi="宋体"/>
          <w:kern w:val="0"/>
          <w:sz w:val="24"/>
        </w:rPr>
      </w:pPr>
      <w:r>
        <w:rPr>
          <w:rFonts w:hint="eastAsia" w:hAnsi="宋体"/>
          <w:kern w:val="0"/>
          <w:sz w:val="24"/>
        </w:rPr>
        <w:t>（2）基金管理人未按规定召集或不能召集时，由基金托管人召集；</w:t>
      </w:r>
    </w:p>
    <w:p>
      <w:pPr>
        <w:adjustRightInd w:val="0"/>
        <w:snapToGrid w:val="0"/>
        <w:spacing w:line="360" w:lineRule="auto"/>
        <w:ind w:firstLine="480" w:firstLineChars="200"/>
        <w:rPr>
          <w:rFonts w:hAnsi="宋体"/>
          <w:kern w:val="0"/>
          <w:sz w:val="24"/>
        </w:rPr>
      </w:pPr>
      <w:r>
        <w:rPr>
          <w:rFonts w:hint="eastAsia" w:hAnsi="宋体"/>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rFonts w:hAnsi="宋体"/>
          <w:kern w:val="0"/>
          <w:sz w:val="24"/>
        </w:rPr>
      </w:pPr>
      <w:r>
        <w:rPr>
          <w:rFonts w:hint="eastAsia" w:hAnsi="宋体"/>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rFonts w:hAnsi="宋体"/>
          <w:kern w:val="0"/>
          <w:sz w:val="24"/>
        </w:rPr>
      </w:pPr>
      <w:r>
        <w:rPr>
          <w:rFonts w:hint="eastAsia" w:hAnsi="宋体"/>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rFonts w:hAnsi="宋体"/>
          <w:kern w:val="0"/>
          <w:sz w:val="24"/>
        </w:rPr>
      </w:pPr>
      <w:r>
        <w:rPr>
          <w:rFonts w:hint="eastAsia" w:hAnsi="宋体"/>
          <w:kern w:val="0"/>
          <w:sz w:val="24"/>
        </w:rPr>
        <w:t>（6）基金份额持有人会议的召集人负责选择确定开会时间、地点、方式和权益登记日。</w:t>
      </w:r>
    </w:p>
    <w:p>
      <w:pPr>
        <w:adjustRightInd w:val="0"/>
        <w:snapToGrid w:val="0"/>
        <w:spacing w:line="360" w:lineRule="auto"/>
        <w:ind w:firstLine="480" w:firstLineChars="200"/>
        <w:rPr>
          <w:rFonts w:hAnsi="宋体"/>
          <w:kern w:val="0"/>
          <w:sz w:val="24"/>
        </w:rPr>
      </w:pPr>
      <w:r>
        <w:rPr>
          <w:rFonts w:hAnsi="宋体"/>
          <w:kern w:val="0"/>
          <w:sz w:val="24"/>
        </w:rPr>
        <w:t>3、召开基金份额持有人大会的通知时间、通知内容、通知方式</w:t>
      </w:r>
    </w:p>
    <w:p>
      <w:pPr>
        <w:adjustRightInd w:val="0"/>
        <w:snapToGrid w:val="0"/>
        <w:spacing w:line="360" w:lineRule="auto"/>
        <w:ind w:firstLine="480" w:firstLineChars="200"/>
        <w:rPr>
          <w:rFonts w:hAnsi="宋体"/>
          <w:kern w:val="0"/>
          <w:sz w:val="24"/>
        </w:rPr>
      </w:pPr>
      <w:r>
        <w:rPr>
          <w:rFonts w:hint="eastAsia" w:hAnsi="宋体"/>
          <w:kern w:val="0"/>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rFonts w:hAnsi="宋体"/>
          <w:kern w:val="0"/>
          <w:sz w:val="24"/>
        </w:rPr>
      </w:pPr>
      <w:r>
        <w:rPr>
          <w:rFonts w:hint="eastAsia" w:hAnsi="宋体"/>
          <w:kern w:val="0"/>
          <w:sz w:val="24"/>
        </w:rPr>
        <w:t>1）会议召开的时间、地点和会议形式；</w:t>
      </w:r>
    </w:p>
    <w:p>
      <w:pPr>
        <w:adjustRightInd w:val="0"/>
        <w:snapToGrid w:val="0"/>
        <w:spacing w:line="360" w:lineRule="auto"/>
        <w:ind w:firstLine="480" w:firstLineChars="200"/>
        <w:rPr>
          <w:rFonts w:hAnsi="宋体"/>
          <w:kern w:val="0"/>
          <w:sz w:val="24"/>
        </w:rPr>
      </w:pPr>
      <w:r>
        <w:rPr>
          <w:rFonts w:hint="eastAsia" w:hAnsi="宋体"/>
          <w:kern w:val="0"/>
          <w:sz w:val="24"/>
        </w:rPr>
        <w:t>2）会议拟审议的事项、议事程序和表决方式；</w:t>
      </w:r>
    </w:p>
    <w:p>
      <w:pPr>
        <w:adjustRightInd w:val="0"/>
        <w:snapToGrid w:val="0"/>
        <w:spacing w:line="360" w:lineRule="auto"/>
        <w:ind w:firstLine="480" w:firstLineChars="200"/>
        <w:rPr>
          <w:rFonts w:hAnsi="宋体"/>
          <w:kern w:val="0"/>
          <w:sz w:val="24"/>
        </w:rPr>
      </w:pPr>
      <w:r>
        <w:rPr>
          <w:rFonts w:hint="eastAsia" w:hAnsi="宋体"/>
          <w:kern w:val="0"/>
          <w:sz w:val="24"/>
        </w:rPr>
        <w:t>3）有权出席基金份额持有人大会的基金份额持有人的权益登记日；</w:t>
      </w:r>
    </w:p>
    <w:p>
      <w:pPr>
        <w:adjustRightInd w:val="0"/>
        <w:snapToGrid w:val="0"/>
        <w:spacing w:line="360" w:lineRule="auto"/>
        <w:ind w:firstLine="480" w:firstLineChars="200"/>
        <w:rPr>
          <w:rFonts w:hAnsi="宋体"/>
          <w:kern w:val="0"/>
          <w:sz w:val="24"/>
        </w:rPr>
      </w:pPr>
      <w:r>
        <w:rPr>
          <w:rFonts w:hint="eastAsia" w:hAnsi="宋体"/>
          <w:kern w:val="0"/>
          <w:sz w:val="24"/>
        </w:rPr>
        <w:t>4）授权委托证明的内容要求（包括但不限于代理人身份，代理权限和代理有效期限等）、送达时间和地点；</w:t>
      </w:r>
    </w:p>
    <w:p>
      <w:pPr>
        <w:adjustRightInd w:val="0"/>
        <w:snapToGrid w:val="0"/>
        <w:spacing w:line="360" w:lineRule="auto"/>
        <w:ind w:firstLine="480" w:firstLineChars="200"/>
        <w:rPr>
          <w:rFonts w:hAnsi="宋体"/>
          <w:kern w:val="0"/>
          <w:sz w:val="24"/>
        </w:rPr>
      </w:pPr>
      <w:r>
        <w:rPr>
          <w:rFonts w:hint="eastAsia" w:hAnsi="宋体"/>
          <w:kern w:val="0"/>
          <w:sz w:val="24"/>
        </w:rPr>
        <w:t>5）会务常设联系人姓名及联系电话；</w:t>
      </w:r>
    </w:p>
    <w:p>
      <w:pPr>
        <w:adjustRightInd w:val="0"/>
        <w:snapToGrid w:val="0"/>
        <w:spacing w:line="360" w:lineRule="auto"/>
        <w:ind w:firstLine="480" w:firstLineChars="200"/>
        <w:rPr>
          <w:rFonts w:hAnsi="宋体"/>
          <w:kern w:val="0"/>
          <w:sz w:val="24"/>
        </w:rPr>
      </w:pPr>
      <w:r>
        <w:rPr>
          <w:rFonts w:hint="eastAsia" w:hAnsi="宋体"/>
          <w:kern w:val="0"/>
          <w:sz w:val="24"/>
        </w:rPr>
        <w:t>6）出席会议者必须准备的文件和必须履行的手续；</w:t>
      </w:r>
    </w:p>
    <w:p>
      <w:pPr>
        <w:adjustRightInd w:val="0"/>
        <w:snapToGrid w:val="0"/>
        <w:spacing w:line="360" w:lineRule="auto"/>
        <w:ind w:firstLine="480" w:firstLineChars="200"/>
        <w:rPr>
          <w:rFonts w:hAnsi="宋体"/>
          <w:kern w:val="0"/>
          <w:sz w:val="24"/>
        </w:rPr>
      </w:pPr>
      <w:r>
        <w:rPr>
          <w:rFonts w:hint="eastAsia" w:hAnsi="宋体"/>
          <w:kern w:val="0"/>
          <w:sz w:val="24"/>
        </w:rPr>
        <w:t>7）召集人需要通知的其他事项。</w:t>
      </w:r>
    </w:p>
    <w:p>
      <w:pPr>
        <w:adjustRightInd w:val="0"/>
        <w:snapToGrid w:val="0"/>
        <w:spacing w:line="360" w:lineRule="auto"/>
        <w:ind w:firstLine="480" w:firstLineChars="200"/>
        <w:rPr>
          <w:rFonts w:hAnsi="宋体"/>
          <w:kern w:val="0"/>
          <w:sz w:val="24"/>
        </w:rPr>
      </w:pPr>
      <w:r>
        <w:rPr>
          <w:rFonts w:hint="eastAsia" w:hAnsi="宋体"/>
          <w:kern w:val="0"/>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rFonts w:hAnsi="宋体"/>
          <w:kern w:val="0"/>
          <w:sz w:val="24"/>
        </w:rPr>
      </w:pPr>
      <w:r>
        <w:rPr>
          <w:rFonts w:hint="eastAsia" w:hAnsi="宋体"/>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rFonts w:hAnsi="宋体"/>
          <w:kern w:val="0"/>
          <w:sz w:val="24"/>
        </w:rPr>
      </w:pPr>
      <w:r>
        <w:rPr>
          <w:rFonts w:hAnsi="宋体"/>
          <w:kern w:val="0"/>
          <w:sz w:val="24"/>
        </w:rPr>
        <w:t>4、基金份额持有人出席会议的方式</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rFonts w:hAnsi="宋体"/>
          <w:kern w:val="0"/>
          <w:sz w:val="24"/>
        </w:rPr>
      </w:pPr>
      <w:r>
        <w:rPr>
          <w:rFonts w:hint="eastAsia" w:hAnsi="宋体"/>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rFonts w:hAnsi="宋体"/>
          <w:kern w:val="0"/>
          <w:sz w:val="24"/>
        </w:rPr>
      </w:pPr>
      <w:r>
        <w:rPr>
          <w:rFonts w:hint="eastAsia" w:hAnsi="宋体"/>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rFonts w:hAnsi="宋体"/>
          <w:kern w:val="0"/>
          <w:sz w:val="24"/>
        </w:rPr>
      </w:pPr>
      <w:r>
        <w:rPr>
          <w:rFonts w:hint="eastAsia" w:hAnsi="宋体"/>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rFonts w:hAnsi="宋体"/>
          <w:kern w:val="0"/>
          <w:sz w:val="24"/>
        </w:rPr>
      </w:pPr>
      <w:r>
        <w:rPr>
          <w:rFonts w:hint="eastAsia" w:hAnsi="宋体"/>
          <w:kern w:val="0"/>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rFonts w:hAnsi="宋体"/>
          <w:kern w:val="0"/>
          <w:sz w:val="24"/>
        </w:rPr>
      </w:pPr>
      <w:r>
        <w:rPr>
          <w:rFonts w:hint="eastAsia" w:hAnsi="宋体"/>
          <w:kern w:val="0"/>
          <w:sz w:val="24"/>
        </w:rPr>
        <w:t>在同时符合以下条件时，通讯开会的方式视为有效：</w:t>
      </w:r>
    </w:p>
    <w:p>
      <w:pPr>
        <w:adjustRightInd w:val="0"/>
        <w:snapToGrid w:val="0"/>
        <w:spacing w:line="360" w:lineRule="auto"/>
        <w:ind w:firstLine="480" w:firstLineChars="200"/>
        <w:rPr>
          <w:rFonts w:hAnsi="宋体"/>
          <w:kern w:val="0"/>
          <w:sz w:val="24"/>
        </w:rPr>
      </w:pPr>
      <w:r>
        <w:rPr>
          <w:rFonts w:hint="eastAsia" w:hAnsi="宋体"/>
          <w:kern w:val="0"/>
          <w:sz w:val="24"/>
        </w:rPr>
        <w:t>1）会议召集人按《基金合同》约定公布会议通知后，在2个工作日内连续公布相关提示性公告；</w:t>
      </w:r>
    </w:p>
    <w:p>
      <w:pPr>
        <w:adjustRightInd w:val="0"/>
        <w:snapToGrid w:val="0"/>
        <w:spacing w:line="360" w:lineRule="auto"/>
        <w:ind w:firstLine="480" w:firstLineChars="200"/>
        <w:rPr>
          <w:rFonts w:hAnsi="宋体"/>
          <w:kern w:val="0"/>
          <w:sz w:val="24"/>
        </w:rPr>
      </w:pPr>
      <w:r>
        <w:rPr>
          <w:rFonts w:hint="eastAsia" w:hAnsi="宋体"/>
          <w:kern w:val="0"/>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rFonts w:hAnsi="宋体"/>
          <w:kern w:val="0"/>
          <w:sz w:val="24"/>
        </w:rPr>
      </w:pPr>
      <w:r>
        <w:rPr>
          <w:rFonts w:hint="eastAsia" w:hAnsi="宋体"/>
          <w:kern w:val="0"/>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rFonts w:hAnsi="宋体"/>
          <w:kern w:val="0"/>
          <w:sz w:val="24"/>
        </w:rPr>
      </w:pPr>
      <w:r>
        <w:rPr>
          <w:rFonts w:hint="eastAsia" w:hAnsi="宋体"/>
          <w:kern w:val="0"/>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rFonts w:hAnsi="宋体"/>
          <w:kern w:val="0"/>
          <w:sz w:val="24"/>
        </w:rPr>
      </w:pPr>
      <w:r>
        <w:rPr>
          <w:rFonts w:hint="eastAsia" w:hAnsi="宋体"/>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rFonts w:hAnsi="宋体"/>
          <w:kern w:val="0"/>
          <w:sz w:val="24"/>
        </w:rPr>
      </w:pPr>
      <w:r>
        <w:rPr>
          <w:rFonts w:hAnsi="宋体"/>
          <w:kern w:val="0"/>
          <w:sz w:val="24"/>
        </w:rPr>
        <w:t>5、议事内容与程序</w:t>
      </w:r>
    </w:p>
    <w:p>
      <w:pPr>
        <w:adjustRightInd w:val="0"/>
        <w:snapToGrid w:val="0"/>
        <w:spacing w:line="360" w:lineRule="auto"/>
        <w:ind w:firstLine="480" w:firstLineChars="200"/>
        <w:outlineLvl w:val="2"/>
        <w:rPr>
          <w:rFonts w:hAnsi="宋体"/>
          <w:kern w:val="0"/>
          <w:sz w:val="24"/>
        </w:rPr>
      </w:pPr>
      <w:r>
        <w:rPr>
          <w:rFonts w:hint="eastAsia" w:hAnsi="宋体"/>
          <w:kern w:val="0"/>
          <w:sz w:val="24"/>
        </w:rPr>
        <w:t>（1）议事内容及提案权</w:t>
      </w:r>
    </w:p>
    <w:p>
      <w:pPr>
        <w:adjustRightInd w:val="0"/>
        <w:snapToGrid w:val="0"/>
        <w:spacing w:line="360" w:lineRule="auto"/>
        <w:ind w:firstLine="480" w:firstLineChars="200"/>
        <w:rPr>
          <w:rFonts w:hAnsi="宋体"/>
          <w:kern w:val="0"/>
          <w:sz w:val="24"/>
        </w:rPr>
      </w:pPr>
      <w:r>
        <w:rPr>
          <w:rFonts w:hint="eastAsia" w:hAnsi="宋体"/>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基金份额持有人大会不得对未事先公告的议事内容进行表决。</w:t>
      </w:r>
    </w:p>
    <w:p>
      <w:pPr>
        <w:adjustRightInd w:val="0"/>
        <w:snapToGrid w:val="0"/>
        <w:spacing w:line="360" w:lineRule="auto"/>
        <w:ind w:firstLine="480" w:firstLineChars="200"/>
        <w:outlineLvl w:val="2"/>
        <w:rPr>
          <w:rFonts w:hAnsi="宋体"/>
          <w:kern w:val="0"/>
          <w:sz w:val="24"/>
        </w:rPr>
      </w:pPr>
      <w:r>
        <w:rPr>
          <w:rFonts w:hint="eastAsia" w:hAnsi="宋体"/>
          <w:kern w:val="0"/>
          <w:sz w:val="24"/>
        </w:rPr>
        <w:t>（2）议事程序</w:t>
      </w:r>
    </w:p>
    <w:p>
      <w:pPr>
        <w:adjustRightInd w:val="0"/>
        <w:snapToGrid w:val="0"/>
        <w:spacing w:line="360" w:lineRule="auto"/>
        <w:ind w:firstLine="480" w:firstLineChars="200"/>
        <w:rPr>
          <w:rFonts w:hAnsi="宋体"/>
          <w:kern w:val="0"/>
          <w:sz w:val="24"/>
        </w:rPr>
      </w:pPr>
      <w:r>
        <w:rPr>
          <w:rFonts w:hint="eastAsia" w:hAnsi="宋体"/>
          <w:kern w:val="0"/>
          <w:sz w:val="24"/>
        </w:rPr>
        <w:t>1）现场开会</w:t>
      </w:r>
    </w:p>
    <w:p>
      <w:pPr>
        <w:adjustRightInd w:val="0"/>
        <w:snapToGrid w:val="0"/>
        <w:spacing w:line="360" w:lineRule="auto"/>
        <w:ind w:firstLine="480" w:firstLineChars="200"/>
        <w:rPr>
          <w:rFonts w:hAnsi="宋体"/>
          <w:kern w:val="0"/>
          <w:sz w:val="24"/>
        </w:rPr>
      </w:pPr>
      <w:r>
        <w:rPr>
          <w:rFonts w:hint="eastAsia" w:hAnsi="宋体"/>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rFonts w:hAnsi="宋体"/>
          <w:kern w:val="0"/>
          <w:sz w:val="24"/>
        </w:rPr>
      </w:pPr>
      <w:r>
        <w:rPr>
          <w:rFonts w:hint="eastAsia" w:hAnsi="宋体"/>
          <w:kern w:val="0"/>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rFonts w:hAnsi="宋体"/>
          <w:kern w:val="0"/>
          <w:sz w:val="24"/>
        </w:rPr>
      </w:pPr>
      <w:r>
        <w:rPr>
          <w:rFonts w:hint="eastAsia" w:hAnsi="宋体"/>
          <w:kern w:val="0"/>
          <w:sz w:val="24"/>
        </w:rPr>
        <w:t>2）通讯开会</w:t>
      </w:r>
    </w:p>
    <w:p>
      <w:pPr>
        <w:adjustRightInd w:val="0"/>
        <w:snapToGrid w:val="0"/>
        <w:spacing w:line="360" w:lineRule="auto"/>
        <w:ind w:firstLine="480" w:firstLineChars="200"/>
        <w:rPr>
          <w:rFonts w:hAnsi="宋体"/>
          <w:kern w:val="0"/>
          <w:sz w:val="24"/>
        </w:rPr>
      </w:pPr>
      <w:r>
        <w:rPr>
          <w:rFonts w:hint="eastAsia" w:hAnsi="宋体"/>
          <w:kern w:val="0"/>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rFonts w:hAnsi="宋体"/>
          <w:kern w:val="0"/>
          <w:sz w:val="24"/>
        </w:rPr>
      </w:pPr>
      <w:r>
        <w:rPr>
          <w:rFonts w:hAnsi="宋体"/>
          <w:kern w:val="0"/>
          <w:sz w:val="24"/>
        </w:rPr>
        <w:t>6、表决</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基金份额持有人所持每份基金份额有一票表决权。</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基金份额持有人大会决议分为一般决议和特别决议：</w:t>
      </w:r>
    </w:p>
    <w:p>
      <w:pPr>
        <w:adjustRightInd w:val="0"/>
        <w:snapToGrid w:val="0"/>
        <w:spacing w:line="360" w:lineRule="auto"/>
        <w:ind w:firstLine="480" w:firstLineChars="200"/>
        <w:rPr>
          <w:rFonts w:hAnsi="宋体"/>
          <w:kern w:val="0"/>
          <w:sz w:val="24"/>
        </w:rPr>
      </w:pPr>
      <w:r>
        <w:rPr>
          <w:rFonts w:hint="eastAsia" w:hAnsi="宋体"/>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rFonts w:hAnsi="宋体"/>
          <w:kern w:val="0"/>
          <w:sz w:val="24"/>
        </w:rPr>
      </w:pPr>
      <w:r>
        <w:rPr>
          <w:rFonts w:hint="eastAsia" w:hAnsi="宋体"/>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基金份额持有人大会采取记名方式进行投票表决。</w:t>
      </w:r>
    </w:p>
    <w:p>
      <w:pPr>
        <w:adjustRightInd w:val="0"/>
        <w:snapToGrid w:val="0"/>
        <w:spacing w:line="360" w:lineRule="auto"/>
        <w:ind w:firstLine="480" w:firstLineChars="200"/>
        <w:rPr>
          <w:rFonts w:hAnsi="宋体"/>
          <w:kern w:val="0"/>
          <w:sz w:val="24"/>
        </w:rPr>
      </w:pPr>
      <w:r>
        <w:rPr>
          <w:rFonts w:hint="eastAsia" w:hAnsi="宋体"/>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基金份额持有人大会的各项提案或同一项提案内并列的各项议题应当分开审议、逐项表决。</w:t>
      </w:r>
    </w:p>
    <w:p>
      <w:pPr>
        <w:adjustRightInd w:val="0"/>
        <w:snapToGrid w:val="0"/>
        <w:spacing w:line="360" w:lineRule="auto"/>
        <w:ind w:firstLine="480" w:firstLineChars="200"/>
        <w:rPr>
          <w:rFonts w:hAnsi="宋体"/>
          <w:kern w:val="0"/>
          <w:sz w:val="24"/>
        </w:rPr>
      </w:pPr>
      <w:r>
        <w:rPr>
          <w:rFonts w:hAnsi="宋体"/>
          <w:kern w:val="0"/>
          <w:sz w:val="24"/>
        </w:rPr>
        <w:t>7、计票</w:t>
      </w:r>
    </w:p>
    <w:p>
      <w:pPr>
        <w:adjustRightInd w:val="0"/>
        <w:snapToGrid w:val="0"/>
        <w:spacing w:line="360" w:lineRule="auto"/>
        <w:ind w:firstLine="480" w:firstLineChars="200"/>
        <w:rPr>
          <w:rFonts w:hAnsi="宋体"/>
          <w:kern w:val="0"/>
          <w:sz w:val="24"/>
        </w:rPr>
      </w:pPr>
      <w:r>
        <w:rPr>
          <w:rFonts w:hint="eastAsia" w:hAnsi="宋体"/>
          <w:kern w:val="0"/>
          <w:sz w:val="24"/>
        </w:rPr>
        <w:t>（1）现场开会</w:t>
      </w:r>
    </w:p>
    <w:p>
      <w:pPr>
        <w:adjustRightInd w:val="0"/>
        <w:snapToGrid w:val="0"/>
        <w:spacing w:line="360" w:lineRule="auto"/>
        <w:ind w:firstLine="480" w:firstLineChars="200"/>
        <w:rPr>
          <w:rFonts w:hAnsi="宋体"/>
          <w:kern w:val="0"/>
          <w:sz w:val="24"/>
        </w:rPr>
      </w:pPr>
      <w:r>
        <w:rPr>
          <w:rFonts w:hint="eastAsia" w:hAnsi="宋体"/>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rFonts w:hAnsi="宋体"/>
          <w:kern w:val="0"/>
          <w:sz w:val="24"/>
        </w:rPr>
      </w:pPr>
      <w:r>
        <w:rPr>
          <w:rFonts w:hint="eastAsia" w:hAnsi="宋体"/>
          <w:kern w:val="0"/>
          <w:sz w:val="24"/>
        </w:rPr>
        <w:t>2）监票人应当在基金份额持有人表决后立即进行清点并由大会主持人当场公布计票结果。</w:t>
      </w:r>
    </w:p>
    <w:p>
      <w:pPr>
        <w:adjustRightInd w:val="0"/>
        <w:snapToGrid w:val="0"/>
        <w:spacing w:line="360" w:lineRule="auto"/>
        <w:ind w:firstLine="480" w:firstLineChars="200"/>
        <w:rPr>
          <w:rFonts w:hAnsi="宋体"/>
          <w:kern w:val="0"/>
          <w:sz w:val="24"/>
        </w:rPr>
      </w:pPr>
      <w:r>
        <w:rPr>
          <w:rFonts w:hint="eastAsia" w:hAnsi="宋体"/>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rFonts w:hAnsi="宋体"/>
          <w:kern w:val="0"/>
          <w:sz w:val="24"/>
        </w:rPr>
      </w:pPr>
      <w:r>
        <w:rPr>
          <w:rFonts w:hint="eastAsia" w:hAnsi="宋体"/>
          <w:kern w:val="0"/>
          <w:sz w:val="24"/>
        </w:rPr>
        <w:t>4）计票过程应由公证机关予以公证，基金管理人或基金托管人拒不出席大会的，不影响计票的效力。</w:t>
      </w:r>
    </w:p>
    <w:p>
      <w:pPr>
        <w:adjustRightInd w:val="0"/>
        <w:snapToGrid w:val="0"/>
        <w:spacing w:line="360" w:lineRule="auto"/>
        <w:ind w:firstLine="480" w:firstLineChars="200"/>
        <w:rPr>
          <w:rFonts w:hAnsi="宋体"/>
          <w:kern w:val="0"/>
          <w:sz w:val="24"/>
        </w:rPr>
      </w:pPr>
      <w:r>
        <w:rPr>
          <w:rFonts w:hint="eastAsia" w:hAnsi="宋体"/>
          <w:kern w:val="0"/>
          <w:sz w:val="24"/>
        </w:rPr>
        <w:t>（2）通讯开会</w:t>
      </w:r>
    </w:p>
    <w:p>
      <w:pPr>
        <w:adjustRightInd w:val="0"/>
        <w:snapToGrid w:val="0"/>
        <w:spacing w:line="360" w:lineRule="auto"/>
        <w:ind w:firstLine="480" w:firstLineChars="200"/>
        <w:rPr>
          <w:rFonts w:hAnsi="宋体"/>
          <w:kern w:val="0"/>
          <w:sz w:val="24"/>
        </w:rPr>
      </w:pPr>
      <w:r>
        <w:rPr>
          <w:rFonts w:hint="eastAsia" w:hAnsi="宋体"/>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rFonts w:hAnsi="宋体"/>
          <w:kern w:val="0"/>
          <w:sz w:val="24"/>
        </w:rPr>
      </w:pPr>
      <w:r>
        <w:rPr>
          <w:rFonts w:hAnsi="宋体"/>
          <w:kern w:val="0"/>
          <w:sz w:val="24"/>
        </w:rPr>
        <w:t>8、生效与公告</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基金份额持有人大会的决议，召集人应当自通过之日起5日内报中国证监会备案。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基金份额持有人大会的决议自表决通过之日起生效。法律法规另有规定的，从其规定。</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rFonts w:hAnsi="宋体"/>
          <w:kern w:val="0"/>
          <w:sz w:val="24"/>
        </w:rPr>
      </w:pPr>
      <w:r>
        <w:rPr>
          <w:rFonts w:hint="eastAsia" w:hAnsi="宋体"/>
          <w:kern w:val="0"/>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rFonts w:hAnsi="宋体"/>
          <w:bCs/>
          <w:kern w:val="0"/>
          <w:sz w:val="24"/>
        </w:rPr>
      </w:pPr>
      <w:r>
        <w:rPr>
          <w:rFonts w:hAnsi="宋体"/>
          <w:kern w:val="0"/>
          <w:sz w:val="24"/>
        </w:rPr>
        <w:t>9</w:t>
      </w:r>
      <w:r>
        <w:rPr>
          <w:rFonts w:hint="eastAsia" w:hAnsi="宋体"/>
          <w:kern w:val="0"/>
          <w:sz w:val="24"/>
        </w:rPr>
        <w:t>、</w:t>
      </w:r>
      <w:r>
        <w:rPr>
          <w:rFonts w:hint="eastAsia" w:hAnsi="宋体"/>
          <w:bCs/>
          <w:kern w:val="0"/>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pPr>
        <w:adjustRightInd w:val="0"/>
        <w:snapToGrid w:val="0"/>
        <w:spacing w:line="360" w:lineRule="auto"/>
        <w:ind w:firstLine="480" w:firstLineChars="200"/>
        <w:rPr>
          <w:rFonts w:hAnsi="宋体"/>
          <w:bCs/>
          <w:kern w:val="0"/>
          <w:sz w:val="24"/>
        </w:rPr>
      </w:pPr>
      <w:r>
        <w:rPr>
          <w:rFonts w:hint="eastAsia" w:hAnsi="宋体"/>
          <w:bCs/>
          <w:kern w:val="0"/>
          <w:sz w:val="24"/>
        </w:rPr>
        <w:t>法律法规对于本基金参与本基金持有的基金召开基金份额持有人大会的程序或要求另有规定的，从其规定。</w:t>
      </w:r>
    </w:p>
    <w:p>
      <w:pPr>
        <w:adjustRightInd w:val="0"/>
        <w:snapToGrid w:val="0"/>
        <w:spacing w:line="360" w:lineRule="auto"/>
        <w:ind w:firstLine="480" w:firstLineChars="200"/>
        <w:rPr>
          <w:rFonts w:hAnsi="宋体"/>
          <w:kern w:val="0"/>
          <w:sz w:val="24"/>
        </w:rPr>
      </w:pPr>
      <w:r>
        <w:rPr>
          <w:rFonts w:hint="eastAsia" w:hAnsi="宋体"/>
          <w:bCs/>
          <w:kern w:val="0"/>
          <w:sz w:val="24"/>
        </w:rPr>
        <w:t>1</w:t>
      </w:r>
      <w:r>
        <w:rPr>
          <w:rFonts w:hAnsi="宋体"/>
          <w:bCs/>
          <w:kern w:val="0"/>
          <w:sz w:val="24"/>
        </w:rPr>
        <w:t>0</w:t>
      </w:r>
      <w:r>
        <w:rPr>
          <w:rFonts w:hint="eastAsia" w:hAnsi="宋体"/>
          <w:bCs/>
          <w:kern w:val="0"/>
          <w:sz w:val="24"/>
        </w:rPr>
        <w:t>、</w:t>
      </w:r>
      <w:r>
        <w:rPr>
          <w:rFonts w:hint="eastAsia" w:hAnsi="宋体"/>
          <w:kern w:val="0"/>
          <w:sz w:val="24"/>
        </w:rPr>
        <w:t>实施侧袋机制期间基金份额持有人大会的特殊约定</w:t>
      </w:r>
    </w:p>
    <w:p>
      <w:pPr>
        <w:adjustRightInd w:val="0"/>
        <w:snapToGrid w:val="0"/>
        <w:spacing w:line="360" w:lineRule="auto"/>
        <w:ind w:firstLine="480" w:firstLineChars="200"/>
        <w:rPr>
          <w:rFonts w:hAnsi="宋体"/>
          <w:kern w:val="0"/>
          <w:sz w:val="24"/>
        </w:rPr>
      </w:pPr>
      <w:r>
        <w:rPr>
          <w:rFonts w:hint="eastAsia" w:hAnsi="宋体"/>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（1）基金份额持有人行使提议权、召集权、提名权所需单独或合计代表相关基金份额10%以上（含10%）；</w:t>
      </w:r>
    </w:p>
    <w:p>
      <w:pPr>
        <w:adjustRightInd w:val="0"/>
        <w:snapToGrid w:val="0"/>
        <w:spacing w:line="360" w:lineRule="auto"/>
        <w:ind w:firstLine="480" w:firstLineChars="200"/>
        <w:rPr>
          <w:rFonts w:hAnsi="宋体"/>
          <w:kern w:val="0"/>
          <w:sz w:val="24"/>
        </w:rPr>
      </w:pPr>
      <w:r>
        <w:rPr>
          <w:rFonts w:hint="eastAsia" w:hAnsi="宋体"/>
          <w:kern w:val="0"/>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rFonts w:hAnsi="宋体"/>
          <w:kern w:val="0"/>
          <w:sz w:val="24"/>
        </w:rPr>
      </w:pPr>
      <w:r>
        <w:rPr>
          <w:rFonts w:hint="eastAsia" w:hAnsi="宋体"/>
          <w:kern w:val="0"/>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rFonts w:hAnsi="宋体"/>
          <w:kern w:val="0"/>
          <w:sz w:val="24"/>
        </w:rPr>
      </w:pPr>
      <w:r>
        <w:rPr>
          <w:rFonts w:hint="eastAsia" w:hAnsi="宋体"/>
          <w:kern w:val="0"/>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rFonts w:hAnsi="宋体"/>
          <w:kern w:val="0"/>
          <w:sz w:val="24"/>
        </w:rPr>
      </w:pPr>
      <w:r>
        <w:rPr>
          <w:rFonts w:hint="eastAsia" w:hAnsi="宋体"/>
          <w:kern w:val="0"/>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rFonts w:hAnsi="宋体"/>
          <w:kern w:val="0"/>
          <w:sz w:val="24"/>
        </w:rPr>
      </w:pPr>
      <w:r>
        <w:rPr>
          <w:rFonts w:hint="eastAsia" w:hAnsi="宋体"/>
          <w:kern w:val="0"/>
          <w:sz w:val="24"/>
        </w:rPr>
        <w:t>（6）一般决议须经参加大会的基金份额持有人或其代理人所持表决权的二分之一以上（含二分之一）通过；</w:t>
      </w:r>
    </w:p>
    <w:p>
      <w:pPr>
        <w:adjustRightInd w:val="0"/>
        <w:snapToGrid w:val="0"/>
        <w:spacing w:line="360" w:lineRule="auto"/>
        <w:ind w:firstLine="480" w:firstLineChars="200"/>
        <w:rPr>
          <w:rFonts w:hAnsi="宋体"/>
          <w:kern w:val="0"/>
          <w:sz w:val="24"/>
        </w:rPr>
      </w:pPr>
      <w:r>
        <w:rPr>
          <w:rFonts w:hint="eastAsia" w:hAnsi="宋体"/>
          <w:kern w:val="0"/>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rFonts w:hAnsi="宋体"/>
          <w:kern w:val="0"/>
          <w:sz w:val="24"/>
        </w:rPr>
      </w:pPr>
      <w:r>
        <w:rPr>
          <w:rFonts w:hint="eastAsia" w:hAnsi="宋体"/>
          <w:kern w:val="0"/>
          <w:sz w:val="24"/>
        </w:rPr>
        <w:t>同一主侧袋账户内的每份基金份额具有平等的表决权。</w:t>
      </w:r>
    </w:p>
    <w:p>
      <w:pPr>
        <w:adjustRightInd w:val="0"/>
        <w:snapToGrid w:val="0"/>
        <w:spacing w:line="360" w:lineRule="auto"/>
        <w:ind w:firstLine="480" w:firstLineChars="200"/>
        <w:rPr>
          <w:rFonts w:hAnsi="宋体"/>
          <w:bCs/>
          <w:kern w:val="0"/>
          <w:sz w:val="24"/>
        </w:rPr>
      </w:pPr>
      <w:r>
        <w:rPr>
          <w:rFonts w:hAnsi="宋体"/>
          <w:kern w:val="0"/>
          <w:sz w:val="24"/>
        </w:rPr>
        <w:t>11</w:t>
      </w:r>
      <w:r>
        <w:rPr>
          <w:rFonts w:hint="eastAsia" w:hAnsi="宋体"/>
          <w:kern w:val="0"/>
          <w:sz w:val="24"/>
        </w:rPr>
        <w:t>、</w:t>
      </w:r>
      <w:r>
        <w:rPr>
          <w:rFonts w:hint="eastAsia" w:hAnsi="宋体"/>
          <w:bCs/>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firstLineChars="200"/>
        <w:outlineLvl w:val="1"/>
        <w:rPr>
          <w:rFonts w:hAnsi="宋体"/>
          <w:b/>
          <w:kern w:val="0"/>
          <w:sz w:val="24"/>
        </w:rPr>
      </w:pPr>
      <w:r>
        <w:rPr>
          <w:rFonts w:hAnsi="宋体"/>
          <w:b/>
          <w:kern w:val="0"/>
          <w:sz w:val="24"/>
        </w:rPr>
        <w:t>（三）基金合同</w:t>
      </w:r>
      <w:r>
        <w:rPr>
          <w:rFonts w:hint="eastAsia" w:hAnsi="宋体"/>
          <w:b/>
          <w:kern w:val="0"/>
          <w:sz w:val="24"/>
        </w:rPr>
        <w:t>解除和</w:t>
      </w:r>
      <w:r>
        <w:rPr>
          <w:rFonts w:hAnsi="宋体"/>
          <w:b/>
          <w:kern w:val="0"/>
          <w:sz w:val="24"/>
        </w:rPr>
        <w:t>终止</w:t>
      </w:r>
      <w:r>
        <w:rPr>
          <w:rFonts w:hint="eastAsia" w:hAnsi="宋体"/>
          <w:b/>
          <w:kern w:val="0"/>
          <w:sz w:val="24"/>
        </w:rPr>
        <w:t>的事由、程序</w:t>
      </w:r>
    </w:p>
    <w:p>
      <w:pPr>
        <w:adjustRightInd w:val="0"/>
        <w:snapToGrid w:val="0"/>
        <w:spacing w:line="360" w:lineRule="auto"/>
        <w:ind w:firstLine="480" w:firstLineChars="200"/>
        <w:outlineLvl w:val="2"/>
        <w:rPr>
          <w:rFonts w:hAnsi="宋体"/>
          <w:kern w:val="0"/>
          <w:sz w:val="24"/>
        </w:rPr>
      </w:pPr>
      <w:r>
        <w:rPr>
          <w:rFonts w:hAnsi="宋体"/>
          <w:kern w:val="0"/>
          <w:sz w:val="24"/>
        </w:rPr>
        <w:t>1、《基金合同》的变更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rFonts w:hAnsi="宋体"/>
          <w:kern w:val="0"/>
          <w:sz w:val="24"/>
        </w:rPr>
      </w:pPr>
      <w:r>
        <w:rPr>
          <w:rFonts w:hAnsi="宋体"/>
          <w:kern w:val="0"/>
          <w:sz w:val="24"/>
        </w:rPr>
        <w:t>2、《基金合同》的终止事由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有下列情形之一的，经履行相关程序后，《基金合同》应当终止：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1</w:t>
      </w:r>
      <w:r>
        <w:rPr>
          <w:rFonts w:hint="eastAsia" w:hAnsi="宋体"/>
          <w:kern w:val="0"/>
          <w:sz w:val="24"/>
        </w:rPr>
        <w:t>）基金份额持有人大会决定终止的；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2</w:t>
      </w:r>
      <w:r>
        <w:rPr>
          <w:rFonts w:hint="eastAsia" w:hAnsi="宋体"/>
          <w:kern w:val="0"/>
          <w:sz w:val="24"/>
        </w:rPr>
        <w:t>）基金管理人、基金托管人职责终止，在</w:t>
      </w:r>
      <w:r>
        <w:rPr>
          <w:rFonts w:hAnsi="宋体"/>
          <w:kern w:val="0"/>
          <w:sz w:val="24"/>
        </w:rPr>
        <w:t>6</w:t>
      </w:r>
      <w:r>
        <w:rPr>
          <w:rFonts w:hint="eastAsia" w:hAnsi="宋体"/>
          <w:kern w:val="0"/>
          <w:sz w:val="24"/>
        </w:rPr>
        <w:t>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3</w:t>
      </w:r>
      <w:r>
        <w:rPr>
          <w:rFonts w:hint="eastAsia" w:hAnsi="宋体"/>
          <w:kern w:val="0"/>
          <w:sz w:val="24"/>
        </w:rPr>
        <w:t>）连续</w:t>
      </w:r>
      <w:r>
        <w:rPr>
          <w:rFonts w:hAnsi="宋体"/>
          <w:kern w:val="0"/>
          <w:sz w:val="24"/>
        </w:rPr>
        <w:t>50</w:t>
      </w:r>
      <w:r>
        <w:rPr>
          <w:rFonts w:hint="eastAsia" w:hAnsi="宋体"/>
          <w:kern w:val="0"/>
          <w:sz w:val="24"/>
        </w:rPr>
        <w:t>个工作日出现基金份额持有人数量不满</w:t>
      </w:r>
      <w:r>
        <w:rPr>
          <w:rFonts w:hAnsi="宋体"/>
          <w:kern w:val="0"/>
          <w:sz w:val="24"/>
        </w:rPr>
        <w:t>200</w:t>
      </w:r>
      <w:r>
        <w:rPr>
          <w:rFonts w:hint="eastAsia" w:hAnsi="宋体"/>
          <w:kern w:val="0"/>
          <w:sz w:val="24"/>
        </w:rPr>
        <w:t>人或者基金资产净值低于</w:t>
      </w:r>
      <w:r>
        <w:rPr>
          <w:rFonts w:hAnsi="宋体"/>
          <w:kern w:val="0"/>
          <w:sz w:val="24"/>
        </w:rPr>
        <w:t>5000</w:t>
      </w:r>
      <w:r>
        <w:rPr>
          <w:rFonts w:hint="eastAsia" w:hAnsi="宋体"/>
          <w:kern w:val="0"/>
          <w:sz w:val="24"/>
        </w:rPr>
        <w:t>万元情形的，</w:t>
      </w:r>
      <w:r>
        <w:rPr>
          <w:rFonts w:hint="eastAsia" w:ascii="宋体" w:hAnsi="宋体"/>
          <w:kern w:val="0"/>
          <w:sz w:val="24"/>
          <w:szCs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4</w:t>
      </w:r>
      <w:r>
        <w:rPr>
          <w:rFonts w:hint="eastAsia" w:hAnsi="宋体"/>
          <w:kern w:val="0"/>
          <w:sz w:val="24"/>
        </w:rPr>
        <w:t>）《基金合同》约定的其他情形；</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0" w:firstLineChars="200"/>
        <w:outlineLvl w:val="2"/>
        <w:rPr>
          <w:rFonts w:hAnsi="宋体"/>
          <w:kern w:val="0"/>
          <w:sz w:val="24"/>
        </w:rPr>
      </w:pPr>
      <w:r>
        <w:rPr>
          <w:rFonts w:hint="eastAsia" w:hAnsi="宋体"/>
          <w:kern w:val="0"/>
          <w:sz w:val="24"/>
        </w:rPr>
        <w:t>3</w:t>
      </w:r>
      <w:r>
        <w:rPr>
          <w:rFonts w:hAnsi="宋体"/>
          <w:kern w:val="0"/>
          <w:sz w:val="24"/>
        </w:rPr>
        <w:t>、基金财产的清算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rFonts w:hAnsi="宋体"/>
          <w:kern w:val="0"/>
          <w:sz w:val="24"/>
        </w:rPr>
      </w:pPr>
      <w:r>
        <w:rPr>
          <w:rFonts w:hint="eastAsia" w:hAnsi="宋体"/>
          <w:kern w:val="0"/>
          <w:sz w:val="24"/>
        </w:rPr>
        <w:t>4</w:t>
      </w:r>
      <w:r>
        <w:rPr>
          <w:rFonts w:hAnsi="宋体"/>
          <w:kern w:val="0"/>
          <w:sz w:val="24"/>
        </w:rPr>
        <w:t>、清算费用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rFonts w:hAnsi="宋体"/>
          <w:kern w:val="0"/>
          <w:sz w:val="24"/>
        </w:rPr>
      </w:pPr>
      <w:r>
        <w:rPr>
          <w:rFonts w:hint="eastAsia" w:hAnsi="宋体"/>
          <w:kern w:val="0"/>
          <w:sz w:val="24"/>
        </w:rPr>
        <w:t>5</w:t>
      </w:r>
      <w:r>
        <w:rPr>
          <w:rFonts w:hAnsi="宋体"/>
          <w:kern w:val="0"/>
          <w:sz w:val="24"/>
        </w:rPr>
        <w:t>、基金财产清算剩余资产的分配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0" w:firstLineChars="200"/>
        <w:outlineLvl w:val="2"/>
        <w:rPr>
          <w:rFonts w:hAnsi="宋体"/>
          <w:kern w:val="0"/>
          <w:sz w:val="24"/>
        </w:rPr>
      </w:pPr>
      <w:r>
        <w:rPr>
          <w:rFonts w:hint="eastAsia" w:hAnsi="宋体"/>
          <w:kern w:val="0"/>
          <w:sz w:val="24"/>
        </w:rPr>
        <w:t>6</w:t>
      </w:r>
      <w:r>
        <w:rPr>
          <w:rFonts w:hAnsi="宋体"/>
          <w:kern w:val="0"/>
          <w:sz w:val="24"/>
        </w:rPr>
        <w:t>、基金财产清算的公告</w:t>
      </w:r>
    </w:p>
    <w:p>
      <w:pPr>
        <w:adjustRightInd w:val="0"/>
        <w:snapToGrid w:val="0"/>
        <w:spacing w:line="360" w:lineRule="auto"/>
        <w:ind w:firstLine="480" w:firstLineChars="200"/>
        <w:rPr>
          <w:rFonts w:hAnsi="宋体"/>
          <w:kern w:val="0"/>
          <w:sz w:val="24"/>
        </w:rPr>
      </w:pPr>
      <w:r>
        <w:rPr>
          <w:rFonts w:hint="eastAsia" w:hAnsi="宋体"/>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outlineLvl w:val="2"/>
        <w:rPr>
          <w:rFonts w:hAnsi="宋体"/>
          <w:kern w:val="0"/>
          <w:sz w:val="24"/>
        </w:rPr>
      </w:pPr>
      <w:r>
        <w:rPr>
          <w:rFonts w:hint="eastAsia" w:hAnsi="宋体"/>
          <w:kern w:val="0"/>
          <w:sz w:val="24"/>
        </w:rPr>
        <w:t>7</w:t>
      </w:r>
      <w:r>
        <w:rPr>
          <w:rFonts w:hAnsi="宋体"/>
          <w:kern w:val="0"/>
          <w:sz w:val="24"/>
        </w:rPr>
        <w:t>、基金财产清算账册及文件的保存</w:t>
      </w:r>
    </w:p>
    <w:p>
      <w:pPr>
        <w:adjustRightInd w:val="0"/>
        <w:snapToGrid w:val="0"/>
        <w:spacing w:line="360" w:lineRule="auto"/>
        <w:ind w:firstLine="480" w:firstLineChars="200"/>
        <w:rPr>
          <w:rFonts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adjustRightInd w:val="0"/>
        <w:snapToGrid w:val="0"/>
        <w:spacing w:line="360" w:lineRule="auto"/>
        <w:ind w:firstLine="482" w:firstLineChars="200"/>
        <w:outlineLvl w:val="1"/>
        <w:rPr>
          <w:rFonts w:hAnsi="宋体"/>
          <w:b/>
          <w:kern w:val="0"/>
          <w:sz w:val="24"/>
        </w:rPr>
      </w:pPr>
      <w:r>
        <w:rPr>
          <w:rFonts w:hAnsi="宋体"/>
          <w:b/>
          <w:kern w:val="0"/>
          <w:sz w:val="24"/>
        </w:rPr>
        <w:t>（四）争议</w:t>
      </w:r>
      <w:r>
        <w:rPr>
          <w:rFonts w:hint="eastAsia" w:hAnsi="宋体"/>
          <w:b/>
          <w:kern w:val="0"/>
          <w:sz w:val="24"/>
        </w:rPr>
        <w:t>解决方式</w:t>
      </w:r>
    </w:p>
    <w:p>
      <w:pPr>
        <w:adjustRightInd w:val="0"/>
        <w:snapToGrid w:val="0"/>
        <w:spacing w:line="360" w:lineRule="auto"/>
        <w:ind w:firstLine="480" w:firstLineChars="200"/>
        <w:rPr>
          <w:rFonts w:hAnsi="宋体"/>
          <w:kern w:val="0"/>
          <w:sz w:val="24"/>
        </w:rPr>
      </w:pPr>
      <w:r>
        <w:rPr>
          <w:rFonts w:hint="eastAsia" w:hAnsi="宋体"/>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pPr>
        <w:adjustRightInd w:val="0"/>
        <w:snapToGrid w:val="0"/>
        <w:spacing w:line="360" w:lineRule="auto"/>
        <w:ind w:firstLine="480" w:firstLineChars="200"/>
        <w:rPr>
          <w:rFonts w:hAnsi="宋体"/>
          <w:kern w:val="0"/>
          <w:sz w:val="24"/>
        </w:rPr>
      </w:pPr>
      <w:r>
        <w:rPr>
          <w:rFonts w:hint="eastAsia" w:hAnsi="宋体"/>
          <w:kern w:val="0"/>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rFonts w:hAnsi="宋体"/>
          <w:kern w:val="0"/>
          <w:sz w:val="24"/>
        </w:rPr>
      </w:pPr>
      <w:r>
        <w:rPr>
          <w:rFonts w:hint="eastAsia" w:hAnsi="宋体"/>
          <w:kern w:val="0"/>
          <w:sz w:val="24"/>
        </w:rPr>
        <w:t>《基金合同》受中国法律（不含港澳台地区法律）管辖。</w:t>
      </w:r>
    </w:p>
    <w:p>
      <w:pPr>
        <w:adjustRightInd w:val="0"/>
        <w:snapToGrid w:val="0"/>
        <w:spacing w:line="360" w:lineRule="auto"/>
        <w:ind w:firstLine="482" w:firstLineChars="200"/>
        <w:outlineLvl w:val="1"/>
        <w:rPr>
          <w:rFonts w:hAnsi="宋体"/>
          <w:b/>
          <w:kern w:val="0"/>
          <w:sz w:val="24"/>
        </w:rPr>
      </w:pPr>
      <w:bookmarkStart w:id="110" w:name="_Toc523711688"/>
      <w:r>
        <w:rPr>
          <w:rFonts w:hAnsi="宋体"/>
          <w:b/>
          <w:kern w:val="0"/>
          <w:sz w:val="24"/>
        </w:rPr>
        <w:t>（五）基金合同存放地和投资者取得基金合同的方式</w:t>
      </w:r>
    </w:p>
    <w:bookmarkEnd w:id="110"/>
    <w:p>
      <w:pPr>
        <w:adjustRightInd w:val="0"/>
        <w:snapToGrid w:val="0"/>
        <w:spacing w:line="360" w:lineRule="auto"/>
        <w:ind w:firstLine="480" w:firstLineChars="200"/>
        <w:rPr>
          <w:rFonts w:hAnsi="宋体"/>
          <w:kern w:val="0"/>
          <w:sz w:val="24"/>
        </w:rPr>
      </w:pPr>
      <w:r>
        <w:rPr>
          <w:rFonts w:hint="eastAsia" w:hAnsi="宋体"/>
          <w:kern w:val="0"/>
          <w:sz w:val="24"/>
        </w:rPr>
        <w:t>《基金合同》正本一式三份，除上报有关监管机构一份外，基金管理人、基金托管人各持有一份，每份具有同等的法律效力。</w:t>
      </w:r>
    </w:p>
    <w:p>
      <w:pPr>
        <w:adjustRightInd w:val="0"/>
        <w:snapToGrid w:val="0"/>
        <w:spacing w:line="360" w:lineRule="auto"/>
        <w:ind w:firstLine="480" w:firstLineChars="200"/>
        <w:rPr>
          <w:rFonts w:hAnsi="宋体"/>
          <w:kern w:val="0"/>
          <w:sz w:val="24"/>
        </w:rPr>
      </w:pPr>
      <w:r>
        <w:rPr>
          <w:rFonts w:hint="eastAsia" w:hAnsi="宋体"/>
          <w:kern w:val="0"/>
          <w:sz w:val="24"/>
        </w:rPr>
        <w:t>《基金合同》可印制成册，供投资者在基金管理人、基金托管人、销售机构的办公场所和营业场所查阅，但应以《基金合同》正本为准。</w:t>
      </w:r>
    </w:p>
    <w:p>
      <w:pPr>
        <w:adjustRightInd w:val="0"/>
        <w:snapToGrid w:val="0"/>
        <w:spacing w:line="360" w:lineRule="auto"/>
        <w:ind w:firstLine="480" w:firstLineChars="200"/>
        <w:rPr>
          <w:rFonts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1" w:name="_Toc56690600"/>
      <w:bookmarkStart w:id="112" w:name="_Toc18149"/>
      <w:r>
        <w:rPr>
          <w:rFonts w:hint="eastAsia" w:ascii="宋体" w:hAnsi="宋体"/>
          <w:b/>
          <w:kern w:val="0"/>
          <w:sz w:val="30"/>
        </w:rPr>
        <w:t>十九、托管协议的内容摘要</w:t>
      </w:r>
      <w:bookmarkEnd w:id="111"/>
      <w:bookmarkEnd w:id="112"/>
    </w:p>
    <w:p>
      <w:pPr>
        <w:widowControl/>
        <w:adjustRightInd w:val="0"/>
        <w:snapToGrid w:val="0"/>
        <w:spacing w:line="360" w:lineRule="auto"/>
        <w:ind w:firstLine="482" w:firstLineChars="200"/>
        <w:outlineLvl w:val="1"/>
        <w:rPr>
          <w:b/>
          <w:kern w:val="0"/>
          <w:sz w:val="24"/>
        </w:rPr>
      </w:pPr>
      <w:r>
        <w:rPr>
          <w:rFonts w:hint="eastAsia"/>
          <w:b/>
          <w:kern w:val="0"/>
          <w:sz w:val="24"/>
        </w:rPr>
        <w:t>（</w:t>
      </w:r>
      <w:r>
        <w:rPr>
          <w:b/>
          <w:kern w:val="0"/>
          <w:sz w:val="24"/>
        </w:rPr>
        <w:t>一</w:t>
      </w:r>
      <w:r>
        <w:rPr>
          <w:rFonts w:hint="eastAsia"/>
          <w:b/>
          <w:kern w:val="0"/>
          <w:sz w:val="24"/>
        </w:rPr>
        <w:t>）</w:t>
      </w:r>
      <w:r>
        <w:rPr>
          <w:b/>
          <w:kern w:val="0"/>
          <w:sz w:val="24"/>
        </w:rPr>
        <w:t>托管协议当事人</w:t>
      </w:r>
    </w:p>
    <w:p>
      <w:pPr>
        <w:widowControl/>
        <w:adjustRightInd w:val="0"/>
        <w:snapToGrid w:val="0"/>
        <w:spacing w:line="360" w:lineRule="auto"/>
        <w:ind w:firstLine="480" w:firstLineChars="200"/>
        <w:outlineLvl w:val="2"/>
        <w:rPr>
          <w:rFonts w:hAnsi="宋体"/>
          <w:kern w:val="0"/>
          <w:sz w:val="24"/>
        </w:rPr>
      </w:pPr>
      <w:r>
        <w:rPr>
          <w:kern w:val="0"/>
          <w:sz w:val="24"/>
        </w:rPr>
        <w:t>1</w:t>
      </w:r>
      <w:r>
        <w:rPr>
          <w:rFonts w:hAnsi="宋体"/>
          <w:kern w:val="0"/>
          <w:sz w:val="24"/>
        </w:rPr>
        <w:t>、基金管理人</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注册地址：中国（上海）自由贸易试验区银城中路188号交通银行大楼二层（裙）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办公地址：上海市浦东新区世纪大道8号国金中心二期21-22楼</w:t>
      </w:r>
    </w:p>
    <w:p>
      <w:pPr>
        <w:widowControl/>
        <w:adjustRightInd w:val="0"/>
        <w:snapToGrid w:val="0"/>
        <w:spacing w:line="360" w:lineRule="auto"/>
        <w:ind w:firstLine="480" w:firstLineChars="200"/>
        <w:rPr>
          <w:kern w:val="0"/>
          <w:sz w:val="24"/>
        </w:rPr>
      </w:pPr>
      <w:r>
        <w:rPr>
          <w:rFonts w:hint="eastAsia"/>
          <w:kern w:val="0"/>
          <w:sz w:val="24"/>
        </w:rPr>
        <w:t>邮政编码：200120</w:t>
      </w:r>
    </w:p>
    <w:p>
      <w:pPr>
        <w:widowControl/>
        <w:adjustRightInd w:val="0"/>
        <w:snapToGrid w:val="0"/>
        <w:spacing w:line="360" w:lineRule="auto"/>
        <w:ind w:firstLine="480" w:firstLineChars="200"/>
        <w:rPr>
          <w:kern w:val="0"/>
          <w:sz w:val="24"/>
        </w:rPr>
      </w:pPr>
      <w:r>
        <w:rPr>
          <w:rFonts w:hint="eastAsia"/>
          <w:kern w:val="0"/>
          <w:sz w:val="24"/>
        </w:rPr>
        <w:t>法定代表人：阮红</w:t>
      </w:r>
    </w:p>
    <w:p>
      <w:pPr>
        <w:widowControl/>
        <w:adjustRightInd w:val="0"/>
        <w:snapToGrid w:val="0"/>
        <w:spacing w:line="360" w:lineRule="auto"/>
        <w:ind w:firstLine="480" w:firstLineChars="200"/>
        <w:rPr>
          <w:kern w:val="0"/>
          <w:sz w:val="24"/>
        </w:rPr>
      </w:pPr>
      <w:r>
        <w:rPr>
          <w:rFonts w:hint="eastAsia"/>
          <w:kern w:val="0"/>
          <w:sz w:val="24"/>
        </w:rPr>
        <w:t>成立日期：2005年8月4日</w:t>
      </w:r>
    </w:p>
    <w:p>
      <w:pPr>
        <w:widowControl/>
        <w:adjustRightInd w:val="0"/>
        <w:snapToGrid w:val="0"/>
        <w:spacing w:line="360" w:lineRule="auto"/>
        <w:ind w:firstLine="480" w:firstLineChars="200"/>
        <w:rPr>
          <w:kern w:val="0"/>
          <w:sz w:val="24"/>
        </w:rPr>
      </w:pPr>
      <w:r>
        <w:rPr>
          <w:rFonts w:hint="eastAsia"/>
          <w:kern w:val="0"/>
          <w:sz w:val="24"/>
        </w:rPr>
        <w:t>批准设立机关及批准设立文号：中国证监会证监基金字[2005]128号</w:t>
      </w:r>
    </w:p>
    <w:p>
      <w:pPr>
        <w:widowControl/>
        <w:adjustRightInd w:val="0"/>
        <w:snapToGrid w:val="0"/>
        <w:spacing w:line="360" w:lineRule="auto"/>
        <w:ind w:firstLine="480" w:firstLineChars="200"/>
        <w:rPr>
          <w:kern w:val="0"/>
          <w:sz w:val="24"/>
        </w:rPr>
      </w:pPr>
      <w:r>
        <w:rPr>
          <w:rFonts w:hint="eastAsia"/>
          <w:kern w:val="0"/>
          <w:sz w:val="24"/>
        </w:rPr>
        <w:t>组织形式：有限责任公司</w:t>
      </w:r>
    </w:p>
    <w:p>
      <w:pPr>
        <w:widowControl/>
        <w:adjustRightInd w:val="0"/>
        <w:snapToGrid w:val="0"/>
        <w:spacing w:line="360" w:lineRule="auto"/>
        <w:ind w:firstLine="480" w:firstLineChars="200"/>
        <w:rPr>
          <w:kern w:val="0"/>
          <w:sz w:val="24"/>
        </w:rPr>
      </w:pPr>
      <w:r>
        <w:rPr>
          <w:rFonts w:hint="eastAsia"/>
          <w:kern w:val="0"/>
          <w:sz w:val="24"/>
        </w:rPr>
        <w:t>注册资本：2亿元人民币</w:t>
      </w:r>
    </w:p>
    <w:p>
      <w:pPr>
        <w:widowControl/>
        <w:adjustRightInd w:val="0"/>
        <w:snapToGrid w:val="0"/>
        <w:spacing w:line="360" w:lineRule="auto"/>
        <w:ind w:firstLine="480" w:firstLineChars="200"/>
        <w:rPr>
          <w:kern w:val="0"/>
          <w:sz w:val="24"/>
        </w:rPr>
      </w:pPr>
      <w:r>
        <w:rPr>
          <w:rFonts w:hint="eastAsia"/>
          <w:kern w:val="0"/>
          <w:sz w:val="24"/>
        </w:rPr>
        <w:t>存续期间：持续经营</w:t>
      </w:r>
    </w:p>
    <w:p>
      <w:pPr>
        <w:widowControl/>
        <w:adjustRightInd w:val="0"/>
        <w:snapToGrid w:val="0"/>
        <w:spacing w:line="360" w:lineRule="auto"/>
        <w:ind w:firstLine="480" w:firstLineChars="200"/>
        <w:rPr>
          <w:kern w:val="0"/>
          <w:sz w:val="24"/>
        </w:rPr>
      </w:pPr>
      <w:r>
        <w:rPr>
          <w:rFonts w:hint="eastAsia"/>
          <w:kern w:val="0"/>
          <w:sz w:val="24"/>
        </w:rPr>
        <w:t>经营范围：基金募集、基金销售、资产管理和中国证监会许可的其它业务</w:t>
      </w:r>
    </w:p>
    <w:p>
      <w:pPr>
        <w:widowControl/>
        <w:adjustRightInd w:val="0"/>
        <w:snapToGrid w:val="0"/>
        <w:spacing w:line="360" w:lineRule="auto"/>
        <w:ind w:firstLine="480" w:firstLineChars="200"/>
        <w:rPr>
          <w:kern w:val="0"/>
          <w:sz w:val="24"/>
        </w:rPr>
      </w:pPr>
    </w:p>
    <w:p>
      <w:pPr>
        <w:widowControl/>
        <w:adjustRightInd w:val="0"/>
        <w:snapToGrid w:val="0"/>
        <w:spacing w:line="360" w:lineRule="auto"/>
        <w:ind w:firstLine="480" w:firstLineChars="200"/>
        <w:outlineLvl w:val="2"/>
        <w:rPr>
          <w:kern w:val="0"/>
          <w:sz w:val="24"/>
        </w:rPr>
      </w:pPr>
      <w:r>
        <w:rPr>
          <w:kern w:val="0"/>
          <w:sz w:val="24"/>
        </w:rPr>
        <w:t>2</w:t>
      </w:r>
      <w:r>
        <w:rPr>
          <w:rFonts w:hAnsi="宋体"/>
          <w:kern w:val="0"/>
          <w:sz w:val="24"/>
        </w:rPr>
        <w:t>、基金托管人</w:t>
      </w:r>
    </w:p>
    <w:p>
      <w:pPr>
        <w:widowControl/>
        <w:adjustRightInd w:val="0"/>
        <w:snapToGrid w:val="0"/>
        <w:spacing w:line="360" w:lineRule="auto"/>
        <w:ind w:firstLine="480" w:firstLineChars="200"/>
        <w:rPr>
          <w:bCs/>
          <w:sz w:val="24"/>
        </w:rPr>
      </w:pPr>
      <w:r>
        <w:rPr>
          <w:rFonts w:hint="eastAsia"/>
          <w:bCs/>
          <w:sz w:val="24"/>
        </w:rPr>
        <w:t>名称：中信银行股份有限公司</w:t>
      </w:r>
    </w:p>
    <w:p>
      <w:pPr>
        <w:widowControl/>
        <w:adjustRightInd w:val="0"/>
        <w:snapToGrid w:val="0"/>
        <w:spacing w:line="360" w:lineRule="auto"/>
        <w:ind w:firstLine="480" w:firstLineChars="200"/>
        <w:rPr>
          <w:bCs/>
          <w:sz w:val="24"/>
        </w:rPr>
      </w:pPr>
      <w:r>
        <w:rPr>
          <w:rFonts w:hint="eastAsia"/>
          <w:bCs/>
          <w:sz w:val="24"/>
        </w:rPr>
        <w:t>住所：北京市朝阳区光华路10号院1号楼</w:t>
      </w:r>
    </w:p>
    <w:p>
      <w:pPr>
        <w:widowControl/>
        <w:adjustRightInd w:val="0"/>
        <w:snapToGrid w:val="0"/>
        <w:spacing w:line="360" w:lineRule="auto"/>
        <w:ind w:firstLine="480" w:firstLineChars="200"/>
        <w:rPr>
          <w:bCs/>
          <w:sz w:val="24"/>
        </w:rPr>
      </w:pPr>
      <w:r>
        <w:rPr>
          <w:rFonts w:hint="eastAsia"/>
          <w:bCs/>
          <w:sz w:val="24"/>
        </w:rPr>
        <w:t>法定代表人：朱鹤新</w:t>
      </w:r>
    </w:p>
    <w:p>
      <w:pPr>
        <w:widowControl/>
        <w:adjustRightInd w:val="0"/>
        <w:snapToGrid w:val="0"/>
        <w:spacing w:line="360" w:lineRule="auto"/>
        <w:ind w:firstLine="480" w:firstLineChars="200"/>
        <w:rPr>
          <w:bCs/>
          <w:sz w:val="24"/>
        </w:rPr>
      </w:pPr>
      <w:r>
        <w:rPr>
          <w:rFonts w:hint="eastAsia"/>
          <w:bCs/>
          <w:sz w:val="24"/>
        </w:rPr>
        <w:t>成立时间：1987年4月20日</w:t>
      </w:r>
    </w:p>
    <w:p>
      <w:pPr>
        <w:widowControl/>
        <w:adjustRightInd w:val="0"/>
        <w:snapToGrid w:val="0"/>
        <w:spacing w:line="360" w:lineRule="auto"/>
        <w:ind w:firstLine="480" w:firstLineChars="200"/>
        <w:rPr>
          <w:bCs/>
          <w:sz w:val="24"/>
        </w:rPr>
      </w:pPr>
      <w:r>
        <w:rPr>
          <w:rFonts w:hint="eastAsia"/>
          <w:bCs/>
          <w:sz w:val="24"/>
        </w:rPr>
        <w:t>批准设立文号：中华人民共和国国务院办公厅国办函[1987]14号</w:t>
      </w:r>
    </w:p>
    <w:p>
      <w:pPr>
        <w:widowControl/>
        <w:adjustRightInd w:val="0"/>
        <w:snapToGrid w:val="0"/>
        <w:spacing w:line="360" w:lineRule="auto"/>
        <w:ind w:firstLine="480" w:firstLineChars="200"/>
        <w:rPr>
          <w:bCs/>
          <w:sz w:val="24"/>
        </w:rPr>
      </w:pPr>
      <w:r>
        <w:rPr>
          <w:rFonts w:hint="eastAsia"/>
          <w:bCs/>
          <w:sz w:val="24"/>
        </w:rPr>
        <w:t>基金托管业务批准文号：中国证监会证监基金字[2004]125号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注册资本：489.35亿元人民币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widowControl/>
        <w:adjustRightInd w:val="0"/>
        <w:snapToGrid w:val="0"/>
        <w:spacing w:line="360" w:lineRule="auto"/>
        <w:ind w:firstLine="480" w:firstLineChars="200"/>
        <w:rPr>
          <w:bCs/>
          <w:sz w:val="24"/>
        </w:rPr>
      </w:pPr>
      <w:r>
        <w:rPr>
          <w:rFonts w:hint="eastAsia"/>
          <w:bCs/>
          <w:sz w:val="24"/>
        </w:rPr>
        <w:t xml:space="preserve">   </w:t>
      </w:r>
    </w:p>
    <w:p>
      <w:pPr>
        <w:widowControl/>
        <w:adjustRightInd w:val="0"/>
        <w:snapToGrid w:val="0"/>
        <w:spacing w:line="360" w:lineRule="auto"/>
        <w:ind w:firstLine="482" w:firstLineChars="200"/>
        <w:outlineLvl w:val="1"/>
        <w:rPr>
          <w:b/>
          <w:kern w:val="0"/>
          <w:sz w:val="24"/>
        </w:rPr>
      </w:pPr>
      <w:r>
        <w:rPr>
          <w:b/>
          <w:kern w:val="0"/>
          <w:sz w:val="24"/>
        </w:rPr>
        <w:t>（二）基金托管人对基金管理人的业务监督和核查</w:t>
      </w:r>
    </w:p>
    <w:p>
      <w:pPr>
        <w:widowControl/>
        <w:adjustRightInd w:val="0"/>
        <w:snapToGrid w:val="0"/>
        <w:spacing w:line="360" w:lineRule="auto"/>
        <w:ind w:firstLine="480" w:firstLineChars="200"/>
        <w:rPr>
          <w:kern w:val="0"/>
          <w:sz w:val="24"/>
        </w:rPr>
      </w:pPr>
      <w:r>
        <w:rPr>
          <w:kern w:val="0"/>
          <w:sz w:val="24"/>
        </w:rPr>
        <w:t>1</w:t>
      </w:r>
      <w:r>
        <w:rPr>
          <w:rFonts w:hint="eastAsia"/>
          <w:kern w:val="0"/>
          <w:sz w:val="24"/>
        </w:rPr>
        <w:t>、基金托管人对基金管理人的投资行为行使监督权</w:t>
      </w:r>
    </w:p>
    <w:p>
      <w:pPr>
        <w:widowControl/>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）基金托管人根据有关法律法规的规定和基金合同的约定，对下述基金投资范围、投资对象进行监督。本基金将投资于以下金融工具：</w:t>
      </w:r>
    </w:p>
    <w:p>
      <w:pPr>
        <w:widowControl/>
        <w:adjustRightInd w:val="0"/>
        <w:snapToGrid w:val="0"/>
        <w:spacing w:line="360" w:lineRule="auto"/>
        <w:ind w:firstLine="480" w:firstLineChars="200"/>
        <w:rPr>
          <w:bCs/>
          <w:sz w:val="24"/>
        </w:rPr>
      </w:pPr>
      <w:r>
        <w:rPr>
          <w:rFonts w:hint="eastAsia"/>
          <w:bCs/>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widowControl/>
        <w:adjustRightInd w:val="0"/>
        <w:snapToGrid w:val="0"/>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widowControl/>
        <w:adjustRightInd w:val="0"/>
        <w:snapToGrid w:val="0"/>
        <w:spacing w:line="360" w:lineRule="auto"/>
        <w:ind w:firstLine="480" w:firstLineChars="200"/>
        <w:rPr>
          <w:bCs/>
          <w:sz w:val="24"/>
        </w:rPr>
      </w:pPr>
      <w:r>
        <w:rPr>
          <w:rFonts w:hint="eastAsia"/>
          <w:bCs/>
          <w:sz w:val="24"/>
        </w:rPr>
        <w:t>基金的投资组合比例为：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（其中投资于港股通标的股票的比例占股票资产的0%-50%）；本基金持有的现金或者到期日在一年以内的政府债券的比例合计不低于基金资产净值的5%，其中现金不包括结算备付金、存出保证金、应收申购款等。</w:t>
      </w:r>
    </w:p>
    <w:p>
      <w:pPr>
        <w:widowControl/>
        <w:adjustRightInd w:val="0"/>
        <w:snapToGrid w:val="0"/>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widowControl/>
        <w:adjustRightInd w:val="0"/>
        <w:snapToGrid w:val="0"/>
        <w:spacing w:line="360" w:lineRule="auto"/>
        <w:ind w:firstLine="480" w:firstLineChars="200"/>
        <w:rPr>
          <w:bCs/>
          <w:sz w:val="24"/>
        </w:rPr>
      </w:pPr>
      <w:r>
        <w:rPr>
          <w:rFonts w:hint="eastAsia"/>
          <w:bCs/>
          <w:sz w:val="24"/>
        </w:rPr>
        <w:t>（2）基金托管人根据有关法律法规的规定及基金合同的约定对下述基金投融资比例进行监督：</w:t>
      </w:r>
    </w:p>
    <w:p>
      <w:pPr>
        <w:widowControl/>
        <w:adjustRightInd w:val="0"/>
        <w:snapToGrid w:val="0"/>
        <w:spacing w:line="360" w:lineRule="auto"/>
        <w:ind w:firstLine="480" w:firstLineChars="200"/>
        <w:rPr>
          <w:bCs/>
          <w:sz w:val="24"/>
        </w:rPr>
      </w:pPr>
      <w:r>
        <w:rPr>
          <w:rFonts w:hint="eastAsia"/>
          <w:bCs/>
          <w:sz w:val="24"/>
        </w:rPr>
        <w:t>1）本基金投资于经中国证监会依法核准或注册的公开募集证券投资基金的基金份额的资产不低于本基金资产的80%；投资于股票（含存托凭证）、股票型基金（包括股票指数基金）和混合型基金的资产合计占基金资产的比例为</w:t>
      </w:r>
      <w:r>
        <w:rPr>
          <w:bCs/>
          <w:sz w:val="24"/>
        </w:rPr>
        <w:t>25%-75%</w:t>
      </w:r>
      <w:r>
        <w:rPr>
          <w:rFonts w:hint="eastAsia"/>
          <w:bCs/>
          <w:sz w:val="24"/>
        </w:rPr>
        <w:t>（其中投资于港股通标的股票的比例占股票资产的0%-50%）；投资于货币市场基金的比例不得超过基金资产的15%；</w:t>
      </w:r>
    </w:p>
    <w:p>
      <w:pPr>
        <w:widowControl/>
        <w:adjustRightInd w:val="0"/>
        <w:snapToGrid w:val="0"/>
        <w:spacing w:line="360" w:lineRule="auto"/>
        <w:ind w:firstLine="480" w:firstLineChars="200"/>
        <w:rPr>
          <w:bCs/>
          <w:sz w:val="24"/>
        </w:rPr>
      </w:pPr>
      <w:r>
        <w:rPr>
          <w:rFonts w:hint="eastAsia"/>
          <w:bCs/>
          <w:sz w:val="24"/>
        </w:rPr>
        <w:t>2）本基金持有的现金或者到期日在一年以内的政府债券的比例合计不低于基金资产净值的5%，其中现金不包括结算备付金、存出保证金、应收申购款等；</w:t>
      </w:r>
    </w:p>
    <w:p>
      <w:pPr>
        <w:widowControl/>
        <w:adjustRightInd w:val="0"/>
        <w:snapToGrid w:val="0"/>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widowControl/>
        <w:adjustRightInd w:val="0"/>
        <w:snapToGrid w:val="0"/>
        <w:spacing w:line="360" w:lineRule="auto"/>
        <w:ind w:firstLine="480" w:firstLineChars="200"/>
        <w:rPr>
          <w:bCs/>
          <w:sz w:val="24"/>
        </w:rPr>
      </w:pPr>
      <w:r>
        <w:rPr>
          <w:rFonts w:hint="eastAsia"/>
          <w:bCs/>
          <w:sz w:val="24"/>
        </w:rPr>
        <w:t>4）本基金管理人管理的全部基金（除ETF联接基金外）持有单只基金不得超过被投资基金净资产的20%，被投资基金净资产规模以最近定期报告披露的规模为准；</w:t>
      </w:r>
    </w:p>
    <w:p>
      <w:pPr>
        <w:widowControl/>
        <w:adjustRightInd w:val="0"/>
        <w:snapToGrid w:val="0"/>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widowControl/>
        <w:adjustRightInd w:val="0"/>
        <w:snapToGrid w:val="0"/>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widowControl/>
        <w:adjustRightInd w:val="0"/>
        <w:snapToGrid w:val="0"/>
        <w:spacing w:line="360" w:lineRule="auto"/>
        <w:ind w:firstLine="480" w:firstLineChars="200"/>
        <w:rPr>
          <w:bCs/>
          <w:sz w:val="24"/>
        </w:rPr>
      </w:pPr>
      <w:r>
        <w:rPr>
          <w:rFonts w:hint="eastAsia"/>
          <w:bCs/>
          <w:sz w:val="24"/>
        </w:rPr>
        <w:t>7）本基金投资于封闭运作基金、定期开放基金等流通受限基金的，其公允价值不得超过本基金资产净值的10%；</w:t>
      </w:r>
    </w:p>
    <w:p>
      <w:pPr>
        <w:widowControl/>
        <w:adjustRightInd w:val="0"/>
        <w:snapToGrid w:val="0"/>
        <w:spacing w:line="360" w:lineRule="auto"/>
        <w:ind w:firstLine="480" w:firstLineChars="200"/>
        <w:rPr>
          <w:bCs/>
          <w:sz w:val="24"/>
        </w:rPr>
      </w:pPr>
      <w:r>
        <w:rPr>
          <w:rFonts w:hint="eastAsia"/>
          <w:bCs/>
          <w:sz w:val="24"/>
        </w:rPr>
        <w:t>8）基金管理人运用本基金财产投资于股票、债券等金融工具的，投资品种和比例应当符合本基金的投资目标和投资策略；</w:t>
      </w:r>
    </w:p>
    <w:p>
      <w:pPr>
        <w:widowControl/>
        <w:adjustRightInd w:val="0"/>
        <w:snapToGrid w:val="0"/>
        <w:spacing w:line="360" w:lineRule="auto"/>
        <w:ind w:firstLine="480" w:firstLineChars="200"/>
        <w:rPr>
          <w:bCs/>
          <w:sz w:val="24"/>
        </w:rPr>
      </w:pPr>
      <w:r>
        <w:rPr>
          <w:rFonts w:hint="eastAsia"/>
          <w:bCs/>
          <w:sz w:val="24"/>
        </w:rPr>
        <w:t>9）本基金持有一家公司发行的证券（同一家公司在内地和香港同时上市的A+H股合并计算，不含本基金所投资的基金份额），其市值不超过基金资产净值的10%；</w:t>
      </w:r>
    </w:p>
    <w:p>
      <w:pPr>
        <w:widowControl/>
        <w:adjustRightInd w:val="0"/>
        <w:snapToGrid w:val="0"/>
        <w:spacing w:line="360" w:lineRule="auto"/>
        <w:ind w:firstLine="480" w:firstLineChars="200"/>
        <w:rPr>
          <w:bCs/>
          <w:sz w:val="24"/>
        </w:rPr>
      </w:pPr>
      <w:r>
        <w:rPr>
          <w:rFonts w:hint="eastAsia"/>
          <w:bCs/>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pPr>
        <w:widowControl/>
        <w:adjustRightInd w:val="0"/>
        <w:snapToGrid w:val="0"/>
        <w:spacing w:line="360" w:lineRule="auto"/>
        <w:ind w:firstLine="480" w:firstLineChars="200"/>
        <w:rPr>
          <w:bCs/>
          <w:sz w:val="24"/>
        </w:rPr>
      </w:pPr>
      <w:r>
        <w:rPr>
          <w:rFonts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widowControl/>
        <w:adjustRightInd w:val="0"/>
        <w:snapToGrid w:val="0"/>
        <w:spacing w:line="360" w:lineRule="auto"/>
        <w:ind w:firstLine="480" w:firstLineChars="200"/>
        <w:rPr>
          <w:bCs/>
          <w:sz w:val="24"/>
        </w:rPr>
      </w:pPr>
      <w:r>
        <w:rPr>
          <w:rFonts w:hint="eastAsia"/>
          <w:bCs/>
          <w:sz w:val="24"/>
        </w:rPr>
        <w:t>12）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widowControl/>
        <w:adjustRightInd w:val="0"/>
        <w:snapToGrid w:val="0"/>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13）本基金与私募类证券资管产品及中国证监会认定的其他主体为交易对手开展逆回购交易的，可接受质押品的资质要求应当与基金合同约定的投资范围保持一致；</w:t>
      </w:r>
    </w:p>
    <w:p>
      <w:pPr>
        <w:widowControl/>
        <w:adjustRightInd w:val="0"/>
        <w:snapToGrid w:val="0"/>
        <w:spacing w:line="360" w:lineRule="auto"/>
        <w:ind w:firstLine="480" w:firstLineChars="200"/>
        <w:rPr>
          <w:bCs/>
          <w:sz w:val="24"/>
        </w:rPr>
      </w:pPr>
      <w:r>
        <w:rPr>
          <w:rFonts w:hint="eastAsia"/>
          <w:bCs/>
          <w:sz w:val="24"/>
        </w:rPr>
        <w:t>14）本基金投资于同一原始权益人的各类资产支持证券的比例，不得超过基金资产净值的10%；</w:t>
      </w:r>
    </w:p>
    <w:p>
      <w:pPr>
        <w:widowControl/>
        <w:adjustRightInd w:val="0"/>
        <w:snapToGrid w:val="0"/>
        <w:spacing w:line="360" w:lineRule="auto"/>
        <w:ind w:firstLine="480" w:firstLineChars="200"/>
        <w:rPr>
          <w:bCs/>
          <w:sz w:val="24"/>
        </w:rPr>
      </w:pPr>
      <w:r>
        <w:rPr>
          <w:rFonts w:hint="eastAsia"/>
          <w:bCs/>
          <w:sz w:val="24"/>
        </w:rPr>
        <w:t>15）本基金持有的全部资产支持证券，其市值不得超过基金资产净值的20%；</w:t>
      </w:r>
    </w:p>
    <w:p>
      <w:pPr>
        <w:widowControl/>
        <w:adjustRightInd w:val="0"/>
        <w:snapToGrid w:val="0"/>
        <w:spacing w:line="360" w:lineRule="auto"/>
        <w:ind w:firstLine="480" w:firstLineChars="200"/>
        <w:rPr>
          <w:bCs/>
          <w:sz w:val="24"/>
        </w:rPr>
      </w:pPr>
      <w:r>
        <w:rPr>
          <w:rFonts w:hint="eastAsia"/>
          <w:bCs/>
          <w:sz w:val="24"/>
        </w:rPr>
        <w:t>16）本基金持有的同一（指同一信用级别）资产支持证券的比例，不得超过该资产支持证券规模的10%；</w:t>
      </w:r>
    </w:p>
    <w:p>
      <w:pPr>
        <w:widowControl/>
        <w:adjustRightInd w:val="0"/>
        <w:snapToGrid w:val="0"/>
        <w:spacing w:line="360" w:lineRule="auto"/>
        <w:ind w:firstLine="480" w:firstLineChars="200"/>
        <w:rPr>
          <w:bCs/>
          <w:sz w:val="24"/>
        </w:rPr>
      </w:pPr>
      <w:r>
        <w:rPr>
          <w:rFonts w:hint="eastAsia"/>
          <w:bCs/>
          <w:sz w:val="24"/>
        </w:rPr>
        <w:t>17）本基金管理人管理的全部基金投资于同一原始权益人的各类资产支持证券，不得超过其各类资产支持证券合计规模的10%；</w:t>
      </w:r>
    </w:p>
    <w:p>
      <w:pPr>
        <w:widowControl/>
        <w:adjustRightInd w:val="0"/>
        <w:snapToGrid w:val="0"/>
        <w:spacing w:line="360" w:lineRule="auto"/>
        <w:ind w:firstLine="480" w:firstLineChars="200"/>
        <w:rPr>
          <w:bCs/>
          <w:sz w:val="24"/>
        </w:rPr>
      </w:pPr>
      <w:r>
        <w:rPr>
          <w:rFonts w:hint="eastAsia"/>
          <w:bCs/>
          <w:sz w:val="24"/>
        </w:rPr>
        <w:t>18）本基金应投资于信用级别评级为BBB以上（含BBB）的资产支持证券。基金持有资产支持证券期间，如果其信用等级下降、不再符合投资标准，应在评级报告发布之日起3个月内予以全部卖出；</w:t>
      </w:r>
    </w:p>
    <w:p>
      <w:pPr>
        <w:widowControl/>
        <w:adjustRightInd w:val="0"/>
        <w:snapToGrid w:val="0"/>
        <w:spacing w:line="360" w:lineRule="auto"/>
        <w:ind w:firstLine="480" w:firstLineChars="200"/>
        <w:rPr>
          <w:bCs/>
          <w:sz w:val="24"/>
        </w:rPr>
      </w:pPr>
      <w:r>
        <w:rPr>
          <w:rFonts w:hint="eastAsia"/>
          <w:bCs/>
          <w:sz w:val="24"/>
        </w:rPr>
        <w:t>19）基金财产参与股票发行申购，本基金所申报的金额不超过本基金的总资产，本基金所申报的股票数量不超过拟发行股票公司本次发行股票的总量；</w:t>
      </w:r>
    </w:p>
    <w:p>
      <w:pPr>
        <w:widowControl/>
        <w:adjustRightInd w:val="0"/>
        <w:snapToGrid w:val="0"/>
        <w:spacing w:line="360" w:lineRule="auto"/>
        <w:ind w:firstLine="480" w:firstLineChars="200"/>
        <w:rPr>
          <w:bCs/>
          <w:sz w:val="24"/>
        </w:rPr>
      </w:pPr>
      <w:r>
        <w:rPr>
          <w:rFonts w:hint="eastAsia"/>
          <w:bCs/>
          <w:sz w:val="24"/>
        </w:rPr>
        <w:t>20）本基金进入全国银行间同业市场进行债券回购的资金余额不得超过基金资产净值的40%，进入全国银行间同业市场进行债券回购的最长期限为1年，债券回购到期后不得展期；</w:t>
      </w:r>
    </w:p>
    <w:p>
      <w:pPr>
        <w:widowControl/>
        <w:adjustRightInd w:val="0"/>
        <w:snapToGrid w:val="0"/>
        <w:spacing w:line="360" w:lineRule="auto"/>
        <w:ind w:firstLine="480" w:firstLineChars="200"/>
        <w:rPr>
          <w:bCs/>
          <w:sz w:val="24"/>
        </w:rPr>
      </w:pPr>
      <w:r>
        <w:rPr>
          <w:rFonts w:hint="eastAsia"/>
          <w:bCs/>
          <w:sz w:val="24"/>
        </w:rPr>
        <w:t>21）本基金资产总值不超过基金资产净值的140%；</w:t>
      </w:r>
    </w:p>
    <w:p>
      <w:pPr>
        <w:widowControl/>
        <w:adjustRightInd w:val="0"/>
        <w:snapToGrid w:val="0"/>
        <w:spacing w:line="360" w:lineRule="auto"/>
        <w:ind w:firstLine="480" w:firstLineChars="200"/>
        <w:rPr>
          <w:bCs/>
          <w:sz w:val="24"/>
        </w:rPr>
      </w:pPr>
      <w:r>
        <w:rPr>
          <w:rFonts w:hint="eastAsia"/>
          <w:bCs/>
          <w:sz w:val="24"/>
        </w:rPr>
        <w:t>22）本基金投资存托凭证的比例限制依照境内上市交易的股票执行；</w:t>
      </w:r>
    </w:p>
    <w:p>
      <w:pPr>
        <w:widowControl/>
        <w:adjustRightInd w:val="0"/>
        <w:snapToGrid w:val="0"/>
        <w:spacing w:line="360" w:lineRule="auto"/>
        <w:ind w:firstLine="480" w:firstLineChars="200"/>
        <w:rPr>
          <w:bCs/>
          <w:sz w:val="24"/>
        </w:rPr>
      </w:pPr>
      <w:r>
        <w:rPr>
          <w:rFonts w:hint="eastAsia"/>
          <w:bCs/>
          <w:sz w:val="24"/>
        </w:rPr>
        <w:t>23）法律法规及中国证监会规定的和《基金合同》约定的其他投资限制。</w:t>
      </w:r>
    </w:p>
    <w:p>
      <w:pPr>
        <w:widowControl/>
        <w:adjustRightInd w:val="0"/>
        <w:snapToGrid w:val="0"/>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pPr>
        <w:widowControl/>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widowControl/>
        <w:adjustRightInd w:val="0"/>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widowControl/>
        <w:adjustRightInd w:val="0"/>
        <w:snapToGrid w:val="0"/>
        <w:spacing w:line="360" w:lineRule="auto"/>
        <w:ind w:firstLine="480" w:firstLineChars="200"/>
        <w:rPr>
          <w:bCs/>
          <w:sz w:val="24"/>
        </w:rPr>
      </w:pPr>
      <w:r>
        <w:rPr>
          <w:rFonts w:hint="eastAsia"/>
          <w:bCs/>
          <w:sz w:val="24"/>
        </w:rPr>
        <w:t>（3）基金托管人根据有关法律法规的规定及基金合同的约定对下述基金投资禁止行为进行监督：</w:t>
      </w:r>
    </w:p>
    <w:p>
      <w:pPr>
        <w:widowControl/>
        <w:adjustRightInd w:val="0"/>
        <w:snapToGrid w:val="0"/>
        <w:spacing w:line="360" w:lineRule="auto"/>
        <w:ind w:firstLine="480" w:firstLineChars="200"/>
        <w:rPr>
          <w:bCs/>
          <w:sz w:val="24"/>
        </w:rPr>
      </w:pPr>
      <w:r>
        <w:rPr>
          <w:rFonts w:hint="eastAsia"/>
          <w:bCs/>
          <w:sz w:val="24"/>
        </w:rPr>
        <w:t>为维护基金份额持有人的合法权益，基金财产不得用于下列投资或者活动：</w:t>
      </w:r>
    </w:p>
    <w:p>
      <w:pPr>
        <w:widowControl/>
        <w:adjustRightInd w:val="0"/>
        <w:snapToGrid w:val="0"/>
        <w:spacing w:line="360" w:lineRule="auto"/>
        <w:ind w:firstLine="480" w:firstLineChars="200"/>
        <w:rPr>
          <w:bCs/>
          <w:sz w:val="24"/>
        </w:rPr>
      </w:pPr>
      <w:r>
        <w:rPr>
          <w:rFonts w:hint="eastAsia"/>
          <w:bCs/>
          <w:sz w:val="24"/>
        </w:rPr>
        <w:t>1）承销证券；</w:t>
      </w:r>
    </w:p>
    <w:p>
      <w:pPr>
        <w:widowControl/>
        <w:adjustRightInd w:val="0"/>
        <w:snapToGrid w:val="0"/>
        <w:spacing w:line="360" w:lineRule="auto"/>
        <w:ind w:firstLine="480" w:firstLineChars="200"/>
        <w:rPr>
          <w:bCs/>
          <w:sz w:val="24"/>
        </w:rPr>
      </w:pPr>
      <w:r>
        <w:rPr>
          <w:rFonts w:hint="eastAsia"/>
          <w:bCs/>
          <w:sz w:val="24"/>
        </w:rPr>
        <w:t>2）违反规定向他人贷款或者提供担保；</w:t>
      </w:r>
    </w:p>
    <w:p>
      <w:pPr>
        <w:widowControl/>
        <w:adjustRightInd w:val="0"/>
        <w:snapToGrid w:val="0"/>
        <w:spacing w:line="360" w:lineRule="auto"/>
        <w:ind w:firstLine="480" w:firstLineChars="200"/>
        <w:rPr>
          <w:bCs/>
          <w:sz w:val="24"/>
        </w:rPr>
      </w:pPr>
      <w:r>
        <w:rPr>
          <w:rFonts w:hint="eastAsia"/>
          <w:bCs/>
          <w:sz w:val="24"/>
        </w:rPr>
        <w:t>3）从事承担无限责任的投资；</w:t>
      </w:r>
    </w:p>
    <w:p>
      <w:pPr>
        <w:widowControl/>
        <w:adjustRightInd w:val="0"/>
        <w:snapToGrid w:val="0"/>
        <w:spacing w:line="360" w:lineRule="auto"/>
        <w:ind w:firstLine="480" w:firstLineChars="200"/>
        <w:rPr>
          <w:bCs/>
          <w:sz w:val="24"/>
        </w:rPr>
      </w:pPr>
      <w:r>
        <w:rPr>
          <w:rFonts w:hint="eastAsia"/>
          <w:bCs/>
          <w:sz w:val="24"/>
        </w:rPr>
        <w:t>4）向其基金管理人、基金托管人出资；</w:t>
      </w:r>
    </w:p>
    <w:p>
      <w:pPr>
        <w:widowControl/>
        <w:adjustRightInd w:val="0"/>
        <w:snapToGrid w:val="0"/>
        <w:spacing w:line="360" w:lineRule="auto"/>
        <w:ind w:firstLine="480" w:firstLineChars="200"/>
        <w:rPr>
          <w:bCs/>
          <w:sz w:val="24"/>
        </w:rPr>
      </w:pPr>
      <w:r>
        <w:rPr>
          <w:rFonts w:hint="eastAsia"/>
          <w:bCs/>
          <w:sz w:val="24"/>
        </w:rPr>
        <w:t>5）从事内幕交易、操纵证券交易价格及其他不正当的证券交易活动；</w:t>
      </w:r>
    </w:p>
    <w:p>
      <w:pPr>
        <w:widowControl/>
        <w:adjustRightInd w:val="0"/>
        <w:snapToGrid w:val="0"/>
        <w:spacing w:line="360" w:lineRule="auto"/>
        <w:ind w:firstLine="480" w:firstLineChars="200"/>
        <w:rPr>
          <w:bCs/>
          <w:sz w:val="24"/>
        </w:rPr>
      </w:pPr>
      <w:r>
        <w:rPr>
          <w:rFonts w:hint="eastAsia"/>
          <w:bCs/>
          <w:sz w:val="24"/>
        </w:rPr>
        <w:t>6）法律、行政法规和中国证监会规定禁止的其他活动。</w:t>
      </w:r>
    </w:p>
    <w:p>
      <w:pPr>
        <w:widowControl/>
        <w:adjustRightInd w:val="0"/>
        <w:snapToGrid w:val="0"/>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widowControl/>
        <w:adjustRightInd w:val="0"/>
        <w:snapToGrid w:val="0"/>
        <w:spacing w:line="360" w:lineRule="auto"/>
        <w:ind w:firstLine="480" w:firstLineChars="200"/>
        <w:rPr>
          <w:bCs/>
          <w:sz w:val="24"/>
        </w:rPr>
      </w:pPr>
      <w:r>
        <w:rPr>
          <w:rFonts w:hint="eastAsia"/>
          <w:bCs/>
          <w:sz w:val="24"/>
        </w:rPr>
        <w:t>（4）基金托管人依据有关法律法规的规定和基金合同的约定对于基金关联投资进行监督。</w:t>
      </w:r>
    </w:p>
    <w:p>
      <w:pPr>
        <w:widowControl/>
        <w:adjustRightInd w:val="0"/>
        <w:snapToGrid w:val="0"/>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widowControl/>
        <w:adjustRightInd w:val="0"/>
        <w:snapToGrid w:val="0"/>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widowControl/>
        <w:adjustRightInd w:val="0"/>
        <w:snapToGrid w:val="0"/>
        <w:spacing w:line="360" w:lineRule="auto"/>
        <w:ind w:firstLine="480" w:firstLineChars="200"/>
        <w:rPr>
          <w:bCs/>
          <w:sz w:val="24"/>
        </w:rPr>
      </w:pPr>
      <w:r>
        <w:rPr>
          <w:rFonts w:hint="eastAsia"/>
          <w:bCs/>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pPr>
        <w:widowControl/>
        <w:adjustRightInd w:val="0"/>
        <w:snapToGrid w:val="0"/>
        <w:spacing w:line="360" w:lineRule="auto"/>
        <w:ind w:firstLine="480" w:firstLineChars="200"/>
        <w:rPr>
          <w:bCs/>
          <w:sz w:val="24"/>
        </w:rPr>
      </w:pPr>
      <w:r>
        <w:rPr>
          <w:rFonts w:hint="eastAsia"/>
          <w:bCs/>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pPr>
        <w:widowControl/>
        <w:adjustRightInd w:val="0"/>
        <w:snapToGrid w:val="0"/>
        <w:spacing w:line="360" w:lineRule="auto"/>
        <w:ind w:firstLine="480" w:firstLineChars="200"/>
        <w:rPr>
          <w:bCs/>
          <w:sz w:val="24"/>
        </w:rPr>
      </w:pPr>
      <w:r>
        <w:rPr>
          <w:rFonts w:hint="eastAsia"/>
          <w:bCs/>
          <w:sz w:val="24"/>
        </w:rPr>
        <w:t>（5）基金托管人依据有关法律法规的规定和基金合同的约定对基金管理人参与银行间债券市场进行监督。</w:t>
      </w:r>
    </w:p>
    <w:p>
      <w:pPr>
        <w:widowControl/>
        <w:adjustRightInd w:val="0"/>
        <w:snapToGrid w:val="0"/>
        <w:spacing w:line="360" w:lineRule="auto"/>
        <w:ind w:firstLine="480" w:firstLineChars="200"/>
        <w:rPr>
          <w:bCs/>
          <w:sz w:val="24"/>
        </w:rPr>
      </w:pPr>
      <w:r>
        <w:rPr>
          <w:rFonts w:hint="eastAsia"/>
          <w:bCs/>
          <w:sz w:val="24"/>
        </w:rPr>
        <w:t>1）基金托管人依据有关法律法规的规定和基金合同的约定对于基金管理人参与银行间债券市场交易时面临的交易对手资信风险进行监督。</w:t>
      </w:r>
    </w:p>
    <w:p>
      <w:pPr>
        <w:widowControl/>
        <w:adjustRightInd w:val="0"/>
        <w:snapToGrid w:val="0"/>
        <w:spacing w:line="360" w:lineRule="auto"/>
        <w:ind w:firstLine="480" w:firstLineChars="200"/>
        <w:rPr>
          <w:bCs/>
          <w:sz w:val="24"/>
        </w:rPr>
      </w:pPr>
      <w:r>
        <w:rPr>
          <w:rFonts w:hint="eastAsia"/>
          <w:bCs/>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pPr>
        <w:widowControl/>
        <w:adjustRightInd w:val="0"/>
        <w:snapToGrid w:val="0"/>
        <w:spacing w:line="360" w:lineRule="auto"/>
        <w:ind w:firstLine="480" w:firstLineChars="200"/>
        <w:rPr>
          <w:bCs/>
          <w:sz w:val="24"/>
        </w:rPr>
      </w:pPr>
      <w:r>
        <w:rPr>
          <w:rFonts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pPr>
        <w:widowControl/>
        <w:adjustRightInd w:val="0"/>
        <w:snapToGrid w:val="0"/>
        <w:spacing w:line="360" w:lineRule="auto"/>
        <w:ind w:firstLine="480" w:firstLineChars="200"/>
        <w:rPr>
          <w:bCs/>
          <w:sz w:val="24"/>
        </w:rPr>
      </w:pPr>
      <w:r>
        <w:rPr>
          <w:rFonts w:hint="eastAsia"/>
          <w:bCs/>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widowControl/>
        <w:adjustRightInd w:val="0"/>
        <w:snapToGrid w:val="0"/>
        <w:spacing w:line="360" w:lineRule="auto"/>
        <w:ind w:firstLine="480" w:firstLineChars="200"/>
        <w:rPr>
          <w:bCs/>
          <w:sz w:val="24"/>
        </w:rPr>
      </w:pPr>
      <w:r>
        <w:rPr>
          <w:rFonts w:hint="eastAsia"/>
          <w:bCs/>
          <w:sz w:val="24"/>
        </w:rPr>
        <w:t>（6）基金托管人对基金投资流通受限证券的监督</w:t>
      </w:r>
    </w:p>
    <w:p>
      <w:pPr>
        <w:widowControl/>
        <w:adjustRightInd w:val="0"/>
        <w:snapToGrid w:val="0"/>
        <w:spacing w:line="360" w:lineRule="auto"/>
        <w:ind w:firstLine="480" w:firstLineChars="200"/>
        <w:rPr>
          <w:bCs/>
          <w:sz w:val="24"/>
        </w:rPr>
      </w:pPr>
      <w:r>
        <w:rPr>
          <w:rFonts w:hint="eastAsia"/>
          <w:bCs/>
          <w:sz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pPr>
        <w:widowControl/>
        <w:adjustRightInd w:val="0"/>
        <w:snapToGrid w:val="0"/>
        <w:spacing w:line="360" w:lineRule="auto"/>
        <w:ind w:firstLine="480" w:firstLineChars="200"/>
        <w:rPr>
          <w:bCs/>
          <w:sz w:val="24"/>
        </w:rPr>
      </w:pPr>
      <w:r>
        <w:rPr>
          <w:rFonts w:hint="eastAsia"/>
          <w:bCs/>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pPr>
        <w:widowControl/>
        <w:adjustRightInd w:val="0"/>
        <w:snapToGrid w:val="0"/>
        <w:spacing w:line="360" w:lineRule="auto"/>
        <w:ind w:firstLine="480" w:firstLineChars="200"/>
        <w:rPr>
          <w:bCs/>
          <w:sz w:val="24"/>
        </w:rPr>
      </w:pPr>
      <w:r>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widowControl/>
        <w:adjustRightInd w:val="0"/>
        <w:snapToGrid w:val="0"/>
        <w:spacing w:line="360" w:lineRule="auto"/>
        <w:ind w:firstLine="480" w:firstLineChars="200"/>
        <w:rPr>
          <w:bCs/>
          <w:sz w:val="24"/>
        </w:rPr>
      </w:pPr>
      <w:r>
        <w:rPr>
          <w:rFonts w:hint="eastAsia"/>
          <w:bCs/>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pPr>
        <w:widowControl/>
        <w:adjustRightInd w:val="0"/>
        <w:snapToGrid w:val="0"/>
        <w:spacing w:line="360" w:lineRule="auto"/>
        <w:ind w:firstLine="480" w:firstLineChars="200"/>
        <w:rPr>
          <w:bCs/>
          <w:sz w:val="24"/>
        </w:rPr>
      </w:pPr>
      <w:r>
        <w:rPr>
          <w:rFonts w:hint="eastAsia"/>
          <w:bCs/>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pPr>
        <w:widowControl/>
        <w:adjustRightInd w:val="0"/>
        <w:snapToGrid w:val="0"/>
        <w:spacing w:line="360" w:lineRule="auto"/>
        <w:ind w:firstLine="480" w:firstLineChars="200"/>
        <w:rPr>
          <w:bCs/>
          <w:sz w:val="24"/>
        </w:rPr>
      </w:pPr>
      <w:r>
        <w:rPr>
          <w:rFonts w:hint="eastAsia"/>
          <w:bCs/>
          <w:sz w:val="24"/>
        </w:rPr>
        <w:t>如基金管理人和基金托管人无法达成一致，应及时上报中国证监会请求解决。</w:t>
      </w:r>
    </w:p>
    <w:p>
      <w:pPr>
        <w:widowControl/>
        <w:adjustRightInd w:val="0"/>
        <w:snapToGrid w:val="0"/>
        <w:spacing w:line="360" w:lineRule="auto"/>
        <w:ind w:firstLine="480" w:firstLineChars="200"/>
        <w:rPr>
          <w:bCs/>
          <w:sz w:val="24"/>
        </w:rPr>
      </w:pPr>
      <w:r>
        <w:rPr>
          <w:rFonts w:hint="eastAsia"/>
          <w:bCs/>
          <w:sz w:val="24"/>
        </w:rPr>
        <w:t>（7）基金托管人根据有关法律法规的规定及基金合同的约定，对基金管理人选择存款银行进行监督。</w:t>
      </w:r>
    </w:p>
    <w:p>
      <w:pPr>
        <w:widowControl/>
        <w:adjustRightInd w:val="0"/>
        <w:snapToGrid w:val="0"/>
        <w:spacing w:line="360" w:lineRule="auto"/>
        <w:ind w:firstLine="480" w:firstLineChars="200"/>
        <w:rPr>
          <w:bCs/>
          <w:sz w:val="24"/>
        </w:rPr>
      </w:pPr>
      <w:r>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widowControl/>
        <w:adjustRightInd w:val="0"/>
        <w:snapToGrid w:val="0"/>
        <w:spacing w:line="360" w:lineRule="auto"/>
        <w:ind w:firstLine="480" w:firstLineChars="200"/>
        <w:rPr>
          <w:bCs/>
          <w:sz w:val="24"/>
        </w:rPr>
      </w:pPr>
      <w:r>
        <w:rPr>
          <w:rFonts w:hint="eastAsia"/>
          <w:bCs/>
          <w:sz w:val="24"/>
        </w:rPr>
        <w:t>本基金投资银行存款应符合如下规定：</w:t>
      </w:r>
    </w:p>
    <w:p>
      <w:pPr>
        <w:widowControl/>
        <w:adjustRightInd w:val="0"/>
        <w:snapToGrid w:val="0"/>
        <w:spacing w:line="360" w:lineRule="auto"/>
        <w:ind w:firstLine="480" w:firstLineChars="200"/>
        <w:rPr>
          <w:bCs/>
          <w:sz w:val="24"/>
        </w:rPr>
      </w:pPr>
      <w:r>
        <w:rPr>
          <w:rFonts w:hint="eastAsia"/>
          <w:bCs/>
          <w:sz w:val="24"/>
        </w:rPr>
        <w:t>1）基金管理人、基金托管人应当与存款银行建立定期对账机制，确保基金银行存款业务账目及核算的真实、准确。</w:t>
      </w:r>
    </w:p>
    <w:p>
      <w:pPr>
        <w:widowControl/>
        <w:adjustRightInd w:val="0"/>
        <w:snapToGrid w:val="0"/>
        <w:spacing w:line="360" w:lineRule="auto"/>
        <w:ind w:firstLine="480" w:firstLineChars="200"/>
        <w:rPr>
          <w:bCs/>
          <w:sz w:val="24"/>
        </w:rPr>
      </w:pPr>
      <w:r>
        <w:rPr>
          <w:rFonts w:hint="eastAsia"/>
          <w:bCs/>
          <w:sz w:val="24"/>
        </w:rPr>
        <w:t>2）基金托管人应加强对基金银行存款业务的监督与核查，严格审查、复核相关协议、账户资料、投资指令、存款证实书等有关文件，切实履行托管职责。</w:t>
      </w:r>
    </w:p>
    <w:p>
      <w:pPr>
        <w:widowControl/>
        <w:adjustRightInd w:val="0"/>
        <w:snapToGrid w:val="0"/>
        <w:spacing w:line="360" w:lineRule="auto"/>
        <w:ind w:firstLine="480" w:firstLineChars="200"/>
        <w:rPr>
          <w:bCs/>
          <w:sz w:val="24"/>
        </w:rPr>
      </w:pPr>
      <w:r>
        <w:rPr>
          <w:rFonts w:hint="eastAsia"/>
          <w:bCs/>
          <w:sz w:val="24"/>
        </w:rPr>
        <w:t>3）基金管理人与基金托管人在开展基金存款业务时，应严格遵守《基金法》、《运作办法》等有关法律法规，以及国家有关账户管理、利率管理、支付结算等的各项规定。</w:t>
      </w:r>
    </w:p>
    <w:p>
      <w:pPr>
        <w:widowControl/>
        <w:adjustRightInd w:val="0"/>
        <w:snapToGrid w:val="0"/>
        <w:spacing w:line="360" w:lineRule="auto"/>
        <w:ind w:firstLine="480" w:firstLineChars="200"/>
        <w:rPr>
          <w:bCs/>
          <w:sz w:val="24"/>
        </w:rPr>
      </w:pPr>
      <w:r>
        <w:rPr>
          <w:rFonts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pPr>
        <w:widowControl/>
        <w:adjustRightInd w:val="0"/>
        <w:snapToGrid w:val="0"/>
        <w:spacing w:line="360" w:lineRule="auto"/>
        <w:ind w:firstLine="480" w:firstLineChars="200"/>
        <w:rPr>
          <w:bCs/>
          <w:sz w:val="24"/>
        </w:rPr>
      </w:pPr>
      <w:r>
        <w:rPr>
          <w:rFonts w:hint="eastAsia"/>
          <w:bCs/>
          <w:sz w:val="24"/>
        </w:rPr>
        <w:t>2、基金托管人应根据有关法律法规的规定及基金合同的约定，对各类基金份额的基金资产净值计算、基金份额净值计算、应收资金到账、基金费用开支及收入确定、基金收益分配、相关信息披露、基金宣传推介材料中登载基金业绩表现数据等进行监督和核查。</w:t>
      </w:r>
    </w:p>
    <w:p>
      <w:pPr>
        <w:widowControl/>
        <w:adjustRightInd w:val="0"/>
        <w:snapToGrid w:val="0"/>
        <w:spacing w:line="360" w:lineRule="auto"/>
        <w:ind w:firstLine="480" w:firstLineChars="200"/>
        <w:rPr>
          <w:bCs/>
          <w:sz w:val="24"/>
        </w:rPr>
      </w:pPr>
      <w:r>
        <w:rPr>
          <w:rFonts w:hint="eastAsia"/>
          <w:bCs/>
          <w:sz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pPr>
        <w:widowControl/>
        <w:adjustRightInd w:val="0"/>
        <w:snapToGrid w:val="0"/>
        <w:spacing w:line="360" w:lineRule="auto"/>
        <w:ind w:firstLine="480" w:firstLineChars="200"/>
        <w:rPr>
          <w:bCs/>
          <w:sz w:val="24"/>
        </w:rPr>
      </w:pPr>
      <w:r>
        <w:rPr>
          <w:rFonts w:hint="eastAsia"/>
          <w:bCs/>
          <w:sz w:val="24"/>
        </w:rPr>
        <w:t>在限期内，基金托管人有权随时对通知事项进行复查，督促基金管理人改正。基金管理人对基金托管人通知的违规事项未能在限期内纠正的，基金托管人应报告中国证监会。</w:t>
      </w:r>
    </w:p>
    <w:p>
      <w:pPr>
        <w:widowControl/>
        <w:adjustRightInd w:val="0"/>
        <w:snapToGrid w:val="0"/>
        <w:spacing w:line="360" w:lineRule="auto"/>
        <w:ind w:firstLine="480" w:firstLineChars="200"/>
        <w:rPr>
          <w:bCs/>
          <w:sz w:val="24"/>
        </w:rPr>
      </w:pPr>
      <w:r>
        <w:rPr>
          <w:rFonts w:hint="eastAsia"/>
          <w:bCs/>
          <w:sz w:val="24"/>
        </w:rPr>
        <w:t>基金托管人发现基金管理人的投资指令违反有关法律法规规定或者违反基金合同约定的，应当拒绝执行，立即通知基金管理人。</w:t>
      </w:r>
    </w:p>
    <w:p>
      <w:pPr>
        <w:widowControl/>
        <w:adjustRightInd w:val="0"/>
        <w:snapToGrid w:val="0"/>
        <w:spacing w:line="360" w:lineRule="auto"/>
        <w:ind w:firstLine="480" w:firstLineChars="200"/>
        <w:rPr>
          <w:bCs/>
          <w:sz w:val="24"/>
        </w:rPr>
      </w:pPr>
      <w:r>
        <w:rPr>
          <w:rFonts w:hint="eastAsia"/>
          <w:bCs/>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pPr>
        <w:widowControl/>
        <w:adjustRightInd w:val="0"/>
        <w:snapToGrid w:val="0"/>
        <w:spacing w:line="360" w:lineRule="auto"/>
        <w:ind w:firstLine="480" w:firstLineChars="200"/>
        <w:rPr>
          <w:bCs/>
          <w:sz w:val="24"/>
        </w:rPr>
      </w:pPr>
      <w:r>
        <w:rPr>
          <w:rFonts w:hint="eastAsia"/>
          <w:bCs/>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widowControl/>
        <w:adjustRightInd w:val="0"/>
        <w:snapToGrid w:val="0"/>
        <w:spacing w:line="360" w:lineRule="auto"/>
        <w:ind w:firstLine="480" w:firstLineChars="200"/>
        <w:rPr>
          <w:bCs/>
          <w:sz w:val="24"/>
        </w:rPr>
      </w:pPr>
      <w:r>
        <w:rPr>
          <w:rFonts w:hint="eastAsia"/>
          <w:bCs/>
          <w:sz w:val="24"/>
        </w:rPr>
        <w:t>基金托管人发现基金管理人有重大违规行为，应立即报告中国证监会，同时通知基金管理人限期纠正。</w:t>
      </w:r>
    </w:p>
    <w:p>
      <w:pPr>
        <w:widowControl/>
        <w:adjustRightInd w:val="0"/>
        <w:snapToGrid w:val="0"/>
        <w:spacing w:line="360" w:lineRule="auto"/>
        <w:ind w:firstLine="480" w:firstLineChars="200"/>
        <w:rPr>
          <w:bCs/>
          <w:sz w:val="24"/>
        </w:rPr>
      </w:pPr>
      <w:r>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widowControl/>
        <w:adjustRightInd w:val="0"/>
        <w:snapToGrid w:val="0"/>
        <w:spacing w:line="360" w:lineRule="auto"/>
        <w:ind w:firstLine="480" w:firstLineChars="200"/>
        <w:rPr>
          <w:bCs/>
          <w:sz w:val="24"/>
        </w:rPr>
      </w:pPr>
      <w:r>
        <w:rPr>
          <w:rFonts w:hint="eastAsia"/>
          <w:bCs/>
          <w:sz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pPr>
        <w:widowControl/>
        <w:adjustRightInd w:val="0"/>
        <w:snapToGrid w:val="0"/>
        <w:spacing w:line="360" w:lineRule="auto"/>
        <w:ind w:firstLine="482" w:firstLineChars="200"/>
        <w:outlineLvl w:val="1"/>
        <w:rPr>
          <w:b/>
          <w:kern w:val="0"/>
          <w:sz w:val="24"/>
        </w:rPr>
      </w:pPr>
      <w:r>
        <w:rPr>
          <w:b/>
          <w:kern w:val="0"/>
          <w:sz w:val="24"/>
        </w:rPr>
        <w:t>（三）基金管理人对基金托管人的业务核查</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对基金托管人履行托管职责情况进行核查，核查事项包括但不限于基金托管人安全保管基金财产、开设基金财产的资金账户、证券账户、基金账户等投资所需账户、复核基金管理人计算的各类基金份额的基金资产净值和基金份额净值、根据基金管理人指令办理清算交收、相关信息披露和监督基金投资运作等行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基金管理人发现基金托管人有重大违规行为，应立即报告中国证监会和银行业监督管理机构，同时通知基金托管人限期纠正。</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基金托管人应积极配合基金管理人的核查行为，包括但不限于：提交相关资料以供基金管理人核查托管财产的完整性和真实性，在规定时间内答复基金管理人并改正。</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widowControl/>
        <w:adjustRightInd w:val="0"/>
        <w:snapToGrid w:val="0"/>
        <w:spacing w:line="360" w:lineRule="auto"/>
        <w:ind w:firstLine="482" w:firstLineChars="200"/>
        <w:outlineLvl w:val="1"/>
        <w:rPr>
          <w:b/>
          <w:kern w:val="0"/>
          <w:sz w:val="24"/>
        </w:rPr>
      </w:pPr>
      <w:r>
        <w:rPr>
          <w:b/>
          <w:kern w:val="0"/>
          <w:sz w:val="24"/>
        </w:rPr>
        <w:t>（四）基金财产保管</w:t>
      </w:r>
    </w:p>
    <w:p>
      <w:pPr>
        <w:widowControl/>
        <w:adjustRightInd w:val="0"/>
        <w:snapToGrid w:val="0"/>
        <w:spacing w:line="360" w:lineRule="auto"/>
        <w:ind w:firstLine="480" w:firstLineChars="200"/>
        <w:outlineLvl w:val="2"/>
        <w:rPr>
          <w:sz w:val="24"/>
        </w:rPr>
      </w:pPr>
      <w:r>
        <w:rPr>
          <w:rFonts w:hint="eastAsia"/>
          <w:sz w:val="24"/>
        </w:rPr>
        <w:t>1、基金财产保管的原则</w:t>
      </w:r>
    </w:p>
    <w:p>
      <w:pPr>
        <w:widowControl/>
        <w:adjustRightInd w:val="0"/>
        <w:snapToGrid w:val="0"/>
        <w:spacing w:line="360" w:lineRule="auto"/>
        <w:ind w:firstLine="480" w:firstLineChars="200"/>
        <w:rPr>
          <w:sz w:val="24"/>
        </w:rPr>
      </w:pPr>
      <w:r>
        <w:rPr>
          <w:rFonts w:hint="eastAsia"/>
          <w:sz w:val="24"/>
        </w:rPr>
        <w:t>（1）基金财产应独立于基金管理人、基金托管人的固有财产。</w:t>
      </w:r>
    </w:p>
    <w:p>
      <w:pPr>
        <w:widowControl/>
        <w:adjustRightInd w:val="0"/>
        <w:snapToGrid w:val="0"/>
        <w:spacing w:line="360" w:lineRule="auto"/>
        <w:ind w:firstLine="480" w:firstLineChars="200"/>
        <w:rPr>
          <w:sz w:val="24"/>
        </w:rPr>
      </w:pPr>
      <w:r>
        <w:rPr>
          <w:rFonts w:hint="eastAsia"/>
          <w:sz w:val="24"/>
        </w:rPr>
        <w:t>（2）基金托管人应安全保管基金财产。除依据法律法规规定、基金合同和本托管协议约定及基金管理人的正当指令外，不得自行运用、处分、分配基金的任何财产。</w:t>
      </w:r>
    </w:p>
    <w:p>
      <w:pPr>
        <w:widowControl/>
        <w:adjustRightInd w:val="0"/>
        <w:snapToGrid w:val="0"/>
        <w:spacing w:line="360" w:lineRule="auto"/>
        <w:ind w:firstLine="480" w:firstLineChars="200"/>
        <w:rPr>
          <w:sz w:val="24"/>
        </w:rPr>
      </w:pPr>
      <w:r>
        <w:rPr>
          <w:rFonts w:hint="eastAsia"/>
          <w:sz w:val="24"/>
        </w:rPr>
        <w:t>（3）基金托管人按照规定开设基金财产的资金账户、证券账户和基金账户等投资所需账户。</w:t>
      </w:r>
    </w:p>
    <w:p>
      <w:pPr>
        <w:widowControl/>
        <w:adjustRightInd w:val="0"/>
        <w:snapToGrid w:val="0"/>
        <w:spacing w:line="360" w:lineRule="auto"/>
        <w:ind w:firstLine="480" w:firstLineChars="200"/>
        <w:rPr>
          <w:sz w:val="24"/>
        </w:rPr>
      </w:pPr>
      <w:r>
        <w:rPr>
          <w:rFonts w:hint="eastAsia"/>
          <w:sz w:val="24"/>
        </w:rPr>
        <w:t>（4）基金托管人对所托管的不同基金财产分别设置账户，与基金托管人的其他业务和其他基金的托管业务实行严格的分账管理，确保基金财产的完整与独立。</w:t>
      </w:r>
    </w:p>
    <w:p>
      <w:pPr>
        <w:widowControl/>
        <w:adjustRightInd w:val="0"/>
        <w:snapToGrid w:val="0"/>
        <w:spacing w:line="360" w:lineRule="auto"/>
        <w:ind w:firstLine="480" w:firstLineChars="200"/>
        <w:rPr>
          <w:sz w:val="24"/>
        </w:rPr>
      </w:pPr>
      <w:r>
        <w:rPr>
          <w:rFonts w:hint="eastAsia"/>
          <w:sz w:val="24"/>
        </w:rPr>
        <w:t>（5）基金托管人根据基金管理人的指令，按照基金合同和本协议的约定保管基金财产，如有特殊情况双方可另行协商解决。</w:t>
      </w:r>
    </w:p>
    <w:p>
      <w:pPr>
        <w:widowControl/>
        <w:adjustRightInd w:val="0"/>
        <w:snapToGrid w:val="0"/>
        <w:spacing w:line="360" w:lineRule="auto"/>
        <w:ind w:firstLine="480" w:firstLineChars="200"/>
        <w:rPr>
          <w:sz w:val="24"/>
        </w:rPr>
      </w:pPr>
      <w:r>
        <w:rPr>
          <w:rFonts w:hint="eastAsia"/>
          <w:sz w:val="24"/>
        </w:rPr>
        <w:t>（6）除依据法律法规和基金合同的规定外，基金托管人不得委托第三人托管基金资产。</w:t>
      </w:r>
    </w:p>
    <w:p>
      <w:pPr>
        <w:widowControl/>
        <w:adjustRightInd w:val="0"/>
        <w:snapToGrid w:val="0"/>
        <w:spacing w:line="360" w:lineRule="auto"/>
        <w:ind w:firstLine="480" w:firstLineChars="200"/>
        <w:outlineLvl w:val="2"/>
        <w:rPr>
          <w:sz w:val="24"/>
        </w:rPr>
      </w:pPr>
      <w:r>
        <w:rPr>
          <w:rFonts w:hint="eastAsia"/>
          <w:sz w:val="24"/>
        </w:rPr>
        <w:t>2、募集资金的验资</w:t>
      </w:r>
    </w:p>
    <w:p>
      <w:pPr>
        <w:widowControl/>
        <w:adjustRightInd w:val="0"/>
        <w:snapToGrid w:val="0"/>
        <w:spacing w:line="360" w:lineRule="auto"/>
        <w:ind w:firstLine="480" w:firstLineChars="200"/>
        <w:rPr>
          <w:sz w:val="24"/>
        </w:rPr>
      </w:pPr>
      <w:r>
        <w:rPr>
          <w:rFonts w:hint="eastAsia"/>
          <w:sz w:val="24"/>
        </w:rPr>
        <w:t>基金募集期间募集认购款项应存于基金认购专用账户，该账户由基金管理人或基金管理人委托的登记机构开立并管理。</w:t>
      </w:r>
    </w:p>
    <w:p>
      <w:pPr>
        <w:widowControl/>
        <w:adjustRightInd w:val="0"/>
        <w:snapToGrid w:val="0"/>
        <w:spacing w:line="360" w:lineRule="auto"/>
        <w:ind w:firstLine="480" w:firstLineChars="200"/>
        <w:rPr>
          <w:sz w:val="24"/>
        </w:rPr>
      </w:pPr>
      <w:r>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pPr>
        <w:widowControl/>
        <w:adjustRightInd w:val="0"/>
        <w:snapToGrid w:val="0"/>
        <w:spacing w:line="360" w:lineRule="auto"/>
        <w:ind w:firstLine="480" w:firstLineChars="200"/>
        <w:rPr>
          <w:sz w:val="24"/>
        </w:rPr>
      </w:pPr>
      <w:r>
        <w:rPr>
          <w:rFonts w:hint="eastAsia"/>
          <w:sz w:val="24"/>
        </w:rPr>
        <w:t>若基金募集期限届满，未能达到基金备案条件，由基金管理人按规定办理退款事宜，基金托管人应提供充分协助。</w:t>
      </w:r>
    </w:p>
    <w:p>
      <w:pPr>
        <w:widowControl/>
        <w:adjustRightInd w:val="0"/>
        <w:snapToGrid w:val="0"/>
        <w:spacing w:line="360" w:lineRule="auto"/>
        <w:ind w:firstLine="480" w:firstLineChars="200"/>
        <w:outlineLvl w:val="2"/>
        <w:rPr>
          <w:sz w:val="24"/>
        </w:rPr>
      </w:pPr>
      <w:r>
        <w:rPr>
          <w:rFonts w:hint="eastAsia"/>
          <w:sz w:val="24"/>
        </w:rPr>
        <w:t>3、基金的银行账户的开立和管理</w:t>
      </w:r>
    </w:p>
    <w:p>
      <w:pPr>
        <w:widowControl/>
        <w:adjustRightInd w:val="0"/>
        <w:snapToGrid w:val="0"/>
        <w:spacing w:line="360" w:lineRule="auto"/>
        <w:ind w:firstLine="480" w:firstLineChars="200"/>
        <w:rPr>
          <w:sz w:val="24"/>
        </w:rPr>
      </w:pPr>
      <w:r>
        <w:rPr>
          <w:rFonts w:hint="eastAsia"/>
          <w:sz w:val="24"/>
        </w:rPr>
        <w:t>（1）基金托管人以本基金的名义在其营业机构开立基金的银行账户，并根据基金管理人合法合规的指令办理资金收付。本基金的银行预留印鉴由基金托管人刻制、保管和使用。</w:t>
      </w:r>
    </w:p>
    <w:p>
      <w:pPr>
        <w:widowControl/>
        <w:adjustRightInd w:val="0"/>
        <w:snapToGrid w:val="0"/>
        <w:spacing w:line="360" w:lineRule="auto"/>
        <w:ind w:firstLine="480" w:firstLineChars="200"/>
        <w:rPr>
          <w:sz w:val="24"/>
        </w:rPr>
      </w:pPr>
      <w:r>
        <w:rPr>
          <w:rFonts w:hint="eastAsia"/>
          <w:sz w:val="24"/>
        </w:rPr>
        <w:t>（2）基金银行账户的开立和使用，限于满足开展本基金业务的需要。基金托管人和基金管理人不得假借本基金的名义开立任何其他银行账户；亦不得使用本基金的任何账户进行本基金业务以外的活动。</w:t>
      </w:r>
    </w:p>
    <w:p>
      <w:pPr>
        <w:widowControl/>
        <w:adjustRightInd w:val="0"/>
        <w:snapToGrid w:val="0"/>
        <w:spacing w:line="360" w:lineRule="auto"/>
        <w:ind w:firstLine="480" w:firstLineChars="200"/>
        <w:rPr>
          <w:sz w:val="24"/>
        </w:rPr>
      </w:pPr>
      <w:r>
        <w:rPr>
          <w:rFonts w:hint="eastAsia"/>
          <w:sz w:val="24"/>
        </w:rPr>
        <w:t>（3）基金银行账户的开立和管理应符合有关法律法规以及银行业监督管理机构的有关规定。</w:t>
      </w:r>
    </w:p>
    <w:p>
      <w:pPr>
        <w:widowControl/>
        <w:adjustRightInd w:val="0"/>
        <w:snapToGrid w:val="0"/>
        <w:spacing w:line="360" w:lineRule="auto"/>
        <w:ind w:firstLine="480" w:firstLineChars="200"/>
        <w:outlineLvl w:val="2"/>
        <w:rPr>
          <w:sz w:val="24"/>
        </w:rPr>
      </w:pPr>
      <w:r>
        <w:rPr>
          <w:rFonts w:hint="eastAsia"/>
          <w:sz w:val="24"/>
        </w:rPr>
        <w:t>4、基金证券账户与证券交易资金账户的开设和管理</w:t>
      </w:r>
    </w:p>
    <w:p>
      <w:pPr>
        <w:widowControl/>
        <w:adjustRightInd w:val="0"/>
        <w:snapToGrid w:val="0"/>
        <w:spacing w:line="360" w:lineRule="auto"/>
        <w:ind w:firstLine="480" w:firstLineChars="200"/>
        <w:rPr>
          <w:sz w:val="24"/>
        </w:rPr>
      </w:pPr>
      <w:r>
        <w:rPr>
          <w:rFonts w:hint="eastAsia"/>
          <w:sz w:val="24"/>
        </w:rPr>
        <w:t>基金托管人以基金托管人和本基金联名的方式在中国证券登记结算有限责任公司上海分公司/深圳分公司开设证券账户。</w:t>
      </w:r>
    </w:p>
    <w:p>
      <w:pPr>
        <w:widowControl/>
        <w:adjustRightInd w:val="0"/>
        <w:snapToGrid w:val="0"/>
        <w:spacing w:line="360" w:lineRule="auto"/>
        <w:ind w:firstLine="480" w:firstLineChars="200"/>
        <w:rPr>
          <w:sz w:val="24"/>
        </w:rPr>
      </w:pPr>
      <w:r>
        <w:rPr>
          <w:rFonts w:hint="eastAsia"/>
          <w:sz w:val="24"/>
        </w:rPr>
        <w:t>基金托管人以基金托管人的名义在中国证券登记结算有限责任公司上海分公司/深圳分公司开立基金证券交易资金账户，用于证券清算。</w:t>
      </w:r>
    </w:p>
    <w:p>
      <w:pPr>
        <w:widowControl/>
        <w:adjustRightInd w:val="0"/>
        <w:snapToGrid w:val="0"/>
        <w:spacing w:line="360" w:lineRule="auto"/>
        <w:ind w:firstLine="480" w:firstLineChars="200"/>
        <w:rPr>
          <w:sz w:val="24"/>
        </w:rPr>
      </w:pPr>
      <w:r>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widowControl/>
        <w:adjustRightInd w:val="0"/>
        <w:snapToGrid w:val="0"/>
        <w:spacing w:line="360" w:lineRule="auto"/>
        <w:ind w:firstLine="480" w:firstLineChars="200"/>
        <w:outlineLvl w:val="2"/>
        <w:rPr>
          <w:sz w:val="24"/>
        </w:rPr>
      </w:pPr>
      <w:r>
        <w:rPr>
          <w:rFonts w:hint="eastAsia"/>
          <w:sz w:val="24"/>
        </w:rPr>
        <w:t>5、债券托管账户的开立和管理</w:t>
      </w:r>
    </w:p>
    <w:p>
      <w:pPr>
        <w:widowControl/>
        <w:adjustRightInd w:val="0"/>
        <w:snapToGrid w:val="0"/>
        <w:spacing w:line="360" w:lineRule="auto"/>
        <w:ind w:firstLine="480" w:firstLineChars="200"/>
        <w:rPr>
          <w:sz w:val="24"/>
        </w:rPr>
      </w:pPr>
      <w:r>
        <w:rPr>
          <w:rFonts w:hint="eastAsia"/>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pPr>
        <w:widowControl/>
        <w:adjustRightInd w:val="0"/>
        <w:snapToGrid w:val="0"/>
        <w:spacing w:line="360" w:lineRule="auto"/>
        <w:ind w:firstLine="480" w:firstLineChars="200"/>
        <w:rPr>
          <w:sz w:val="24"/>
        </w:rPr>
      </w:pPr>
      <w:r>
        <w:rPr>
          <w:rFonts w:hint="eastAsia"/>
          <w:sz w:val="24"/>
        </w:rPr>
        <w:t>（2）基金管理人和基金托管人应一起负责为本基金对外签订全国银行间国债市场回购主协议，正本由基金托管人保管，基金管理人保存副本。</w:t>
      </w:r>
    </w:p>
    <w:p>
      <w:pPr>
        <w:widowControl/>
        <w:adjustRightInd w:val="0"/>
        <w:snapToGrid w:val="0"/>
        <w:spacing w:line="360" w:lineRule="auto"/>
        <w:ind w:firstLine="480" w:firstLineChars="200"/>
        <w:outlineLvl w:val="2"/>
        <w:rPr>
          <w:sz w:val="24"/>
        </w:rPr>
      </w:pPr>
      <w:r>
        <w:rPr>
          <w:rFonts w:hint="eastAsia"/>
          <w:sz w:val="24"/>
        </w:rPr>
        <w:t>6、其他账户的开设和管理</w:t>
      </w:r>
    </w:p>
    <w:p>
      <w:pPr>
        <w:widowControl/>
        <w:adjustRightInd w:val="0"/>
        <w:snapToGrid w:val="0"/>
        <w:spacing w:line="360" w:lineRule="auto"/>
        <w:ind w:firstLine="480" w:firstLineChars="200"/>
        <w:rPr>
          <w:sz w:val="24"/>
        </w:rPr>
      </w:pPr>
      <w:r>
        <w:rPr>
          <w:rFonts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widowControl/>
        <w:adjustRightInd w:val="0"/>
        <w:snapToGrid w:val="0"/>
        <w:spacing w:line="360" w:lineRule="auto"/>
        <w:ind w:firstLine="480" w:firstLineChars="200"/>
        <w:outlineLvl w:val="2"/>
        <w:rPr>
          <w:sz w:val="24"/>
        </w:rPr>
      </w:pPr>
      <w:r>
        <w:rPr>
          <w:rFonts w:hint="eastAsia"/>
          <w:sz w:val="24"/>
        </w:rPr>
        <w:t>7、基金财产投资的有关实物证券、银行定期存款存单等有价凭证的保管</w:t>
      </w:r>
    </w:p>
    <w:p>
      <w:pPr>
        <w:widowControl/>
        <w:adjustRightInd w:val="0"/>
        <w:snapToGrid w:val="0"/>
        <w:spacing w:line="360" w:lineRule="auto"/>
        <w:ind w:firstLine="480" w:firstLineChars="200"/>
        <w:rPr>
          <w:sz w:val="24"/>
        </w:rPr>
      </w:pPr>
      <w:r>
        <w:rPr>
          <w:rFonts w:hint="eastAsia"/>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pPr>
        <w:widowControl/>
        <w:adjustRightInd w:val="0"/>
        <w:snapToGrid w:val="0"/>
        <w:spacing w:line="360" w:lineRule="auto"/>
        <w:ind w:firstLine="480" w:firstLineChars="200"/>
        <w:outlineLvl w:val="2"/>
        <w:rPr>
          <w:sz w:val="24"/>
        </w:rPr>
      </w:pPr>
      <w:r>
        <w:rPr>
          <w:rFonts w:hint="eastAsia"/>
          <w:sz w:val="24"/>
        </w:rPr>
        <w:t>8、与基金财产有关的重大合同的保管</w:t>
      </w:r>
    </w:p>
    <w:p>
      <w:pPr>
        <w:adjustRightInd w:val="0"/>
        <w:snapToGrid w:val="0"/>
        <w:spacing w:line="360" w:lineRule="auto"/>
        <w:ind w:firstLine="480" w:firstLineChars="200"/>
        <w:rPr>
          <w:sz w:val="24"/>
        </w:rPr>
      </w:pPr>
      <w:r>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pPr>
        <w:adjustRightInd w:val="0"/>
        <w:snapToGrid w:val="0"/>
        <w:spacing w:line="360" w:lineRule="auto"/>
        <w:ind w:firstLine="482" w:firstLineChars="200"/>
        <w:outlineLvl w:val="1"/>
        <w:rPr>
          <w:b/>
          <w:sz w:val="24"/>
        </w:rPr>
      </w:pPr>
      <w:r>
        <w:rPr>
          <w:b/>
          <w:sz w:val="24"/>
        </w:rPr>
        <w:t>（五）</w:t>
      </w:r>
      <w:r>
        <w:rPr>
          <w:rFonts w:hint="eastAsia"/>
          <w:b/>
          <w:sz w:val="24"/>
        </w:rPr>
        <w:t>基金资产净值计算和会计核算</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1、基金资产净值的计算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（1）基金资产净值的计算、复核的时间和程序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资产净值是指基金资产总值减去基金负债后的价值。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T日的基金份额净值在所投资基金披露净值或万份收益当日（法定节假日顺延至第一个交易日）计算，并在T+2日内披露本基金T日的各类基金份额净值和基金份额累计净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每个估值日对各类基金份额的基金资产估值，但基金管理人根据法律法规或基金合同的规定暂停估值时除外。估值原则应符合基金合同及相关法律、法规的规定。各类基金份额的基金资产净值和基金份额净值由基金管理人负责计算，基金托管人复核。基金管理人应于每个估值日交易结束后计算各类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根据《基金法》，基金管理人计算并公告各类基金份额的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2、基金资产估值方法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（1）估值对象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基金所拥有的证券投资基金份额、股票、债券、资产支持证券和其他投资等持续以公允价值计量的金融资产及负债。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（2）估值原则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基金管理人在确定相关金融资产和金融负债的公允价值时，应符合《企业会计准则》、监管部门有关规定。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（3）估值方法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1）证券投资基金的估值</w:t>
      </w:r>
    </w:p>
    <w:p>
      <w:pPr>
        <w:adjustRightInd w:val="0"/>
        <w:snapToGrid w:val="0"/>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本基金投资于非上市的非货币市场基金，按所投资基金估值日的份额净值进行估值；</w:t>
      </w:r>
    </w:p>
    <w:p>
      <w:pPr>
        <w:adjustRightInd w:val="0"/>
        <w:snapToGrid w:val="0"/>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pPr>
        <w:adjustRightInd w:val="0"/>
        <w:snapToGrid w:val="0"/>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本基金投资的ETF基金，按所投资ETF基金估值日的收盘价进行估值；</w:t>
      </w:r>
    </w:p>
    <w:p>
      <w:pPr>
        <w:adjustRightInd w:val="0"/>
        <w:snapToGrid w:val="0"/>
        <w:spacing w:line="360"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本基金投资的上市开放式基金（LOF），按所投资基金估值日的份额净值估值；</w:t>
      </w:r>
    </w:p>
    <w:p>
      <w:pPr>
        <w:adjustRightInd w:val="0"/>
        <w:snapToGrid w:val="0"/>
        <w:spacing w:line="360" w:lineRule="auto"/>
        <w:ind w:firstLine="480" w:firstLineChars="200"/>
        <w:rPr>
          <w:rFonts w:ascii="宋体" w:hAnsi="宋体"/>
          <w:sz w:val="24"/>
          <w:szCs w:val="24"/>
        </w:rPr>
      </w:pPr>
      <w:r>
        <w:rPr>
          <w:rFonts w:ascii="宋体" w:hAnsi="宋体"/>
          <w:sz w:val="24"/>
          <w:szCs w:val="24"/>
        </w:rPr>
        <w:t>e.</w:t>
      </w:r>
      <w:r>
        <w:rPr>
          <w:rFonts w:hint="eastAsia" w:ascii="宋体" w:hAnsi="宋体"/>
          <w:sz w:val="24"/>
          <w:szCs w:val="24"/>
        </w:rPr>
        <w:t>本基金投资的上市定期开放式基金、封闭式基金，按所投资基金估值日的收盘价估值；</w:t>
      </w:r>
    </w:p>
    <w:p>
      <w:pPr>
        <w:adjustRightInd w:val="0"/>
        <w:snapToGrid w:val="0"/>
        <w:spacing w:line="360" w:lineRule="auto"/>
        <w:ind w:firstLine="480" w:firstLineChars="200"/>
        <w:rPr>
          <w:rFonts w:ascii="宋体" w:hAnsi="宋体"/>
          <w:sz w:val="24"/>
          <w:szCs w:val="24"/>
        </w:rPr>
      </w:pPr>
      <w:r>
        <w:rPr>
          <w:rFonts w:ascii="宋体" w:hAnsi="宋体"/>
          <w:sz w:val="24"/>
          <w:szCs w:val="24"/>
        </w:rPr>
        <w:t>f.</w:t>
      </w:r>
      <w:r>
        <w:rPr>
          <w:rFonts w:hint="eastAsia" w:ascii="宋体" w:hAnsi="宋体"/>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djustRightInd w:val="0"/>
        <w:snapToGrid w:val="0"/>
        <w:spacing w:line="360" w:lineRule="auto"/>
        <w:ind w:firstLine="480" w:firstLineChars="200"/>
        <w:rPr>
          <w:rFonts w:ascii="宋体" w:hAnsi="宋体"/>
          <w:sz w:val="24"/>
          <w:szCs w:val="24"/>
        </w:rPr>
      </w:pPr>
      <w:r>
        <w:rPr>
          <w:rFonts w:ascii="宋体" w:hAnsi="宋体"/>
          <w:sz w:val="24"/>
          <w:szCs w:val="24"/>
        </w:rPr>
        <w:t>g.</w:t>
      </w:r>
      <w:r>
        <w:rPr>
          <w:rFonts w:hint="eastAsia" w:ascii="宋体" w:hAnsi="宋体"/>
          <w:sz w:val="24"/>
          <w:szCs w:val="24"/>
        </w:rPr>
        <w:t>如遇所投资基金不公布基金份额净值、进行折算或拆分、估值日无交易等特殊情况，基金管理人根据以下原则进行估值：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以所投资基金的基金份额净值估值的，若所投资基金与本基金估值频率一致但未公布估值日基金份额净值，以其最近公布的基金份额净值估值；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如果所投资基金前一估值日至估值日期间发生分红除权、折算或拆分，基金管理人应根据基金份额净值或收盘价、单位基金份额分红金额、折算拆分比例、持仓份额等因素合理确定公允价值；</w:t>
      </w:r>
    </w:p>
    <w:p>
      <w:pPr>
        <w:adjustRightInd w:val="0"/>
        <w:snapToGrid w:val="0"/>
        <w:spacing w:line="360" w:lineRule="auto"/>
        <w:ind w:firstLine="480" w:firstLineChars="200"/>
        <w:rPr>
          <w:rFonts w:ascii="宋体" w:hAnsi="宋体"/>
          <w:sz w:val="24"/>
          <w:szCs w:val="24"/>
        </w:rPr>
      </w:pPr>
      <w:r>
        <w:rPr>
          <w:rFonts w:ascii="宋体" w:hAnsi="宋体"/>
          <w:sz w:val="24"/>
          <w:szCs w:val="24"/>
        </w:rPr>
        <w:t>h.</w:t>
      </w:r>
      <w:r>
        <w:rPr>
          <w:rFonts w:hint="eastAsia" w:ascii="宋体" w:hAnsi="宋体"/>
          <w:sz w:val="24"/>
          <w:szCs w:val="24"/>
        </w:rPr>
        <w:t>当基金管理人认为所投资基金按上述第1）至第7）条进行估值存在不公允时，应与基金托管人协商一致采用合理的估值技术或估值标准确定其公允价值。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2）证券交易所上市的有价证券的估值</w:t>
      </w:r>
    </w:p>
    <w:p>
      <w:pPr>
        <w:adjustRightInd w:val="0"/>
        <w:snapToGrid w:val="0"/>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rFonts w:ascii="宋体" w:hAnsi="宋体"/>
          <w:sz w:val="24"/>
          <w:szCs w:val="24"/>
        </w:rPr>
      </w:pPr>
      <w:r>
        <w:rPr>
          <w:rFonts w:ascii="宋体" w:hAnsi="宋体"/>
          <w:sz w:val="24"/>
          <w:szCs w:val="24"/>
        </w:rPr>
        <w:t>e.</w:t>
      </w:r>
      <w:r>
        <w:rPr>
          <w:rFonts w:hint="eastAsia" w:ascii="宋体" w:hAnsi="宋体"/>
          <w:sz w:val="24"/>
          <w:szCs w:val="24"/>
        </w:rPr>
        <w:t>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rFonts w:ascii="宋体" w:hAnsi="宋体"/>
          <w:sz w:val="24"/>
          <w:szCs w:val="24"/>
        </w:rPr>
      </w:pPr>
      <w:r>
        <w:rPr>
          <w:rFonts w:ascii="宋体" w:hAnsi="宋体"/>
          <w:sz w:val="24"/>
          <w:szCs w:val="24"/>
        </w:rPr>
        <w:t>f.</w:t>
      </w:r>
      <w:r>
        <w:rPr>
          <w:rFonts w:hint="eastAsia" w:ascii="宋体" w:hAnsi="宋体"/>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3）处于未上市期间的有价证券应区分如下情况处理：</w:t>
      </w:r>
    </w:p>
    <w:p>
      <w:pPr>
        <w:adjustRightInd w:val="0"/>
        <w:snapToGrid w:val="0"/>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5）估值计算中涉及港币对人民币汇率的，将依据下列信息提供机构所提供的汇率为基准：当日中国人民银行或其授权机构公布的人民币与港币的中间价。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7）当发生大额申购或赎回情形时，基金管理人可以采用摆动定价机制，以确保基金估值的公平性。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8）本基金投资存托凭证的估值核算依照境内上市交易的股票执行。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9）相关法律法规以及监管部门有强制规定的，从其规定。如有新增事项，按国家最新规定估值。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3、估值错误处理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基金管理人或基金托管人按估值方法的第6）项进行估值的，所造成的误差不作为基金资产估值错误处理。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4、基金账册的建立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5、基金定期报告的编制和复核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基金财务报表由基金管理人和基金托管人每月分别独立编制。月度报表的编制，应于每月终了后5个工作日内完成。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核对无误后，基金托管人在基金管理人提供的报告上加盖业务印鉴或者出具加盖托管业务部门公章的复核意见书，相关各方各自留存一份。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基金托管人在对月度报表、季度、中期报告或年度报告复核完毕后，需盖章确认或出具相应的复核确认书，以备有权机构对相关文件审核时提示。</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6、暂停估值的情形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（1）基金投资所涉及的证券交易市场遇法定节假日或因其他原因暂停营业时；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（2）因不可抗力致使基金管理人、基金托管人无法准确评估基金资产价值时；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（3）由于本基金持有的相当比例的基金暂停估值，导致基金管理人无法计算当日基金资产净值；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（4）当特定资产占前一估值日基金资产净值50%以上的，经与基金托管人协商确认后，基金管理人应当暂停估值；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（5）法律法规、中国证监会和基金合同认定的其它情形。</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7、实施侧袋机制期间的基金资产估值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本基金实施侧袋机制的，应根据基金合同的约定对主袋账户资产进行估值并披露主袋账户的基金净值信息，暂停披露侧袋账户份额净值。</w:t>
      </w:r>
    </w:p>
    <w:p>
      <w:pPr>
        <w:widowControl/>
        <w:adjustRightInd w:val="0"/>
        <w:snapToGrid w:val="0"/>
        <w:spacing w:line="360" w:lineRule="auto"/>
        <w:ind w:firstLine="482" w:firstLineChars="200"/>
        <w:outlineLvl w:val="1"/>
        <w:rPr>
          <w:b/>
          <w:kern w:val="0"/>
          <w:sz w:val="24"/>
        </w:rPr>
      </w:pPr>
      <w:r>
        <w:rPr>
          <w:rFonts w:hAnsi="宋体"/>
          <w:b/>
          <w:kern w:val="0"/>
          <w:sz w:val="24"/>
        </w:rPr>
        <w:t>（六）基金份额持有人名册的保管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基金管理人和基金托管人须分别妥善保管的基金份额持有人名册，基金份额持有人名册的内容必须包括基金份额持有人的名称和持有的基金份额。</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若基金管理人或基金托管人由于自身原因无法妥善保管基金份额持有人名册，应按有关法规规定各自承担相应的责任。</w:t>
      </w:r>
    </w:p>
    <w:p>
      <w:pPr>
        <w:adjustRightInd w:val="0"/>
        <w:snapToGrid w:val="0"/>
        <w:spacing w:line="360" w:lineRule="auto"/>
        <w:ind w:firstLine="482" w:firstLineChars="200"/>
        <w:outlineLvl w:val="1"/>
        <w:rPr>
          <w:rFonts w:ascii="宋体" w:hAnsi="宋体"/>
          <w:b/>
          <w:sz w:val="24"/>
          <w:szCs w:val="24"/>
        </w:rPr>
      </w:pPr>
      <w:r>
        <w:rPr>
          <w:rFonts w:ascii="宋体" w:hAnsi="宋体"/>
          <w:b/>
          <w:sz w:val="24"/>
          <w:szCs w:val="24"/>
        </w:rPr>
        <w:t>（七）争议解决方式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争议处理期间，双方当事人应恪守基金管理人和基金托管人职责，继续忠实、勤勉、尽责地履行基金合同和托管协议规定的义务，维护基金份额持有人的合法权益。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本协议受中国法律（不含港澳台地区法律）管辖。</w:t>
      </w:r>
    </w:p>
    <w:p>
      <w:pPr>
        <w:adjustRightInd w:val="0"/>
        <w:snapToGrid w:val="0"/>
        <w:spacing w:line="360" w:lineRule="auto"/>
        <w:ind w:firstLine="482" w:firstLineChars="200"/>
        <w:outlineLvl w:val="1"/>
        <w:rPr>
          <w:rFonts w:ascii="宋体" w:hAnsi="宋体"/>
          <w:b/>
          <w:sz w:val="24"/>
          <w:szCs w:val="24"/>
        </w:rPr>
      </w:pPr>
      <w:r>
        <w:rPr>
          <w:rFonts w:ascii="宋体" w:hAnsi="宋体"/>
          <w:b/>
          <w:sz w:val="24"/>
          <w:szCs w:val="24"/>
        </w:rPr>
        <w:t>（八）</w:t>
      </w:r>
      <w:r>
        <w:rPr>
          <w:rFonts w:hint="eastAsia" w:ascii="宋体" w:hAnsi="宋体"/>
          <w:b/>
          <w:sz w:val="24"/>
          <w:szCs w:val="24"/>
        </w:rPr>
        <w:t>基金托管协议的变更、终止与基金财产的清算</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1、托管协议的变更与终止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（1）托管协议的变更程序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本协议双方当事人经协商一致，可以对协议的内容进行变更。变更后的托管协议，其内容不得与基金合同的规定有任何冲突。本托管协议的变更报中国证监会备案。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（2）基金托管协议终止的情形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发生以下情况，本托管协议终止：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1）基金合同终止；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2）基金托管人解散、依法被撤销、破产或由其他基金托管人接管基金资产；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3）基金管理人解散、依法被撤销、破产或由其他基金管理人接管基金管理权；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4）发生法律法规或基金合同规定的终止事项。</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2、基金财产的清算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（1）基金财产的清算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4）基金财产清算程序：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①《基金合同》终止情形出现时，由基金财产清算小组统一接管基金；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②对基金财产和债权债务进行清理和确认；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③对基金财产进行估值和变现；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④制作清算报告；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⑤聘请会计师事务所对清算报告进行外部审计，聘请律师事务所对清算报告出具法律意见书；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⑥将清算报告报中国证监会备案并公告；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⑦对基金剩余财产进行分配。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（2）清算费用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）基金财产清算剩余资产的分配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）基金财产清算的公告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（5）基金财产清算账册及文件的保存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基金财产清算账册及有关文件由基金托管人保存不低于法律法规规定的最低期限。</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sz w:val="24"/>
          <w:szCs w:val="24"/>
        </w:rPr>
        <w:br w:type="page"/>
      </w:r>
      <w:bookmarkStart w:id="113" w:name="_Toc56690601"/>
      <w:bookmarkStart w:id="114" w:name="_Toc13178"/>
      <w:r>
        <w:rPr>
          <w:rFonts w:hint="eastAsia" w:ascii="宋体" w:hAnsi="宋体"/>
          <w:b/>
          <w:kern w:val="0"/>
          <w:sz w:val="30"/>
        </w:rPr>
        <w:t>二十、对基金份额持有人的服务</w:t>
      </w:r>
      <w:bookmarkEnd w:id="113"/>
      <w:bookmarkEnd w:id="114"/>
    </w:p>
    <w:p>
      <w:pPr>
        <w:widowControl/>
        <w:adjustRightInd w:val="0"/>
        <w:snapToGrid w:val="0"/>
        <w:spacing w:line="360" w:lineRule="auto"/>
        <w:ind w:firstLine="480" w:firstLineChars="20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（一）</w:t>
      </w:r>
      <w:r>
        <w:rPr>
          <w:rFonts w:hint="eastAsia" w:ascii="宋体" w:hAnsi="宋体"/>
          <w:b/>
          <w:sz w:val="24"/>
          <w:szCs w:val="24"/>
        </w:rPr>
        <w:t>基金募集客户服务相关准备工作</w:t>
      </w:r>
    </w:p>
    <w:p>
      <w:pPr>
        <w:widowControl/>
        <w:adjustRightInd w:val="0"/>
        <w:snapToGrid w:val="0"/>
        <w:spacing w:line="360" w:lineRule="auto"/>
        <w:ind w:firstLine="480" w:firstLineChars="200"/>
        <w:rPr>
          <w:kern w:val="0"/>
          <w:sz w:val="24"/>
        </w:rPr>
      </w:pPr>
      <w:bookmarkStart w:id="115" w:name="_Toc109537400"/>
      <w:r>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115"/>
    <w:p>
      <w:pPr>
        <w:adjustRightInd w:val="0"/>
        <w:snapToGrid w:val="0"/>
        <w:spacing w:line="360" w:lineRule="auto"/>
        <w:ind w:firstLine="482" w:firstLineChars="200"/>
        <w:rPr>
          <w:rFonts w:ascii="宋体" w:hAnsi="宋体"/>
          <w:b/>
          <w:sz w:val="24"/>
          <w:szCs w:val="24"/>
        </w:rPr>
      </w:pPr>
      <w:r>
        <w:rPr>
          <w:rFonts w:ascii="宋体" w:hAnsi="宋体"/>
          <w:b/>
          <w:sz w:val="24"/>
          <w:szCs w:val="24"/>
        </w:rPr>
        <w:t>（二）网上</w:t>
      </w:r>
      <w:r>
        <w:rPr>
          <w:rFonts w:hint="eastAsia" w:ascii="宋体" w:hAnsi="宋体"/>
          <w:b/>
          <w:sz w:val="24"/>
          <w:szCs w:val="24"/>
        </w:rPr>
        <w:t>直销</w:t>
      </w:r>
      <w:r>
        <w:rPr>
          <w:rFonts w:ascii="宋体" w:hAnsi="宋体"/>
          <w:b/>
          <w:sz w:val="24"/>
          <w:szCs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kern w:val="0"/>
          <w:sz w:val="24"/>
        </w:rPr>
      </w:pPr>
      <w:r>
        <w:rPr>
          <w:rFonts w:hAnsi="宋体"/>
          <w:sz w:val="24"/>
        </w:rPr>
        <w:t>在条件成熟的时候，</w:t>
      </w:r>
      <w:r>
        <w:rPr>
          <w:rFonts w:hAnsi="宋体"/>
          <w:kern w:val="0"/>
          <w:sz w:val="24"/>
        </w:rPr>
        <w:t>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投资人如果想查询申购和赎回等交易情况、分红方式状态、基金账户余额、基金产品与服务等信息，请拨打本基金管理人客户服务电话（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adjustRightInd w:val="0"/>
        <w:snapToGrid w:val="0"/>
        <w:spacing w:line="360" w:lineRule="auto"/>
        <w:ind w:firstLine="482" w:firstLineChars="200"/>
        <w:rPr>
          <w:rFonts w:ascii="宋体" w:hAnsi="宋体"/>
          <w:b/>
          <w:sz w:val="24"/>
          <w:szCs w:val="24"/>
        </w:rPr>
      </w:pPr>
      <w:r>
        <w:rPr>
          <w:rFonts w:ascii="宋体" w:hAnsi="宋体"/>
          <w:b/>
          <w:sz w:val="24"/>
          <w:szCs w:val="24"/>
        </w:rPr>
        <w:t>（四）</w:t>
      </w:r>
      <w:r>
        <w:rPr>
          <w:rFonts w:hint="eastAsia" w:ascii="宋体" w:hAnsi="宋体"/>
          <w:b/>
          <w:sz w:val="24"/>
          <w:szCs w:val="24"/>
        </w:rPr>
        <w:t>基金红利再投资</w:t>
      </w:r>
    </w:p>
    <w:p>
      <w:pPr>
        <w:widowControl/>
        <w:adjustRightInd w:val="0"/>
        <w:snapToGrid w:val="0"/>
        <w:spacing w:line="360" w:lineRule="auto"/>
        <w:ind w:firstLine="480" w:firstLineChars="200"/>
        <w:rPr>
          <w:kern w:val="0"/>
          <w:sz w:val="24"/>
        </w:rPr>
      </w:pPr>
      <w:r>
        <w:rPr>
          <w:rFonts w:hint="eastAsia" w:hAnsi="宋体"/>
          <w:kern w:val="0"/>
          <w:sz w:val="24"/>
        </w:rPr>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16" w:name="OLE_LINK11"/>
      <w:r>
        <w:rPr>
          <w:kern w:val="0"/>
          <w:sz w:val="24"/>
        </w:rPr>
        <w:t>管理人可通过销售机构为投资人提供定期定额投资的服务。通过定期定额</w:t>
      </w:r>
      <w:bookmarkEnd w:id="116"/>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kern w:val="0"/>
          <w:sz w:val="24"/>
        </w:rPr>
        <w:t>www.fund001.com</w:t>
      </w:r>
      <w:r>
        <w:rPr>
          <w:kern w:val="0"/>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（六）如本招募说明书存在任何您/贵机构无法理解的内容，请通过上述方式联系基金管理人。请确保投资前，您/贵机构已经全面理解了本招募说明书。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7" w:name="_Toc17729"/>
      <w:bookmarkStart w:id="118" w:name="_Toc56690602"/>
      <w:r>
        <w:rPr>
          <w:rFonts w:hint="eastAsia" w:ascii="宋体" w:hAnsi="宋体"/>
          <w:b/>
          <w:kern w:val="0"/>
          <w:sz w:val="30"/>
        </w:rPr>
        <w:t>二十一、其他应披露事项</w:t>
      </w:r>
      <w:bookmarkEnd w:id="117"/>
      <w:bookmarkEnd w:id="118"/>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9" w:name="_Toc3851"/>
      <w:bookmarkStart w:id="120" w:name="_Toc56690603"/>
      <w:r>
        <w:rPr>
          <w:rFonts w:hint="eastAsia" w:ascii="宋体" w:hAnsi="宋体"/>
          <w:b/>
          <w:kern w:val="0"/>
          <w:sz w:val="30"/>
        </w:rPr>
        <w:t>二十二、招募说明书的存放及查阅方式</w:t>
      </w:r>
      <w:bookmarkEnd w:id="119"/>
      <w:bookmarkEnd w:id="120"/>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21" w:name="_Toc109537401"/>
      <w:r>
        <w:rPr>
          <w:rFonts w:ascii="宋体" w:hAnsi="宋体"/>
          <w:kern w:val="0"/>
          <w:sz w:val="24"/>
        </w:rPr>
        <w:t>间内取得上述文件复制件</w:t>
      </w:r>
      <w:bookmarkEnd w:id="121"/>
      <w:r>
        <w:rPr>
          <w:rFonts w:ascii="宋体" w:hAnsi="宋体"/>
          <w:kern w:val="0"/>
          <w:sz w:val="24"/>
        </w:rPr>
        <w:t>或复印件。对投资人按此种方式所获得的文件及其复印件，基金管理人和基金托管人</w:t>
      </w:r>
      <w:bookmarkStart w:id="122" w:name="_Toc109537402"/>
      <w:r>
        <w:rPr>
          <w:rFonts w:ascii="宋体" w:hAnsi="宋体"/>
          <w:kern w:val="0"/>
          <w:sz w:val="24"/>
        </w:rPr>
        <w:t>保证文本的内容与所公告的内容完全一</w:t>
      </w:r>
      <w:bookmarkEnd w:id="122"/>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23" w:name="_Toc56690604"/>
      <w:bookmarkStart w:id="124" w:name="_Toc25407"/>
      <w:r>
        <w:rPr>
          <w:rFonts w:hint="eastAsia" w:ascii="宋体" w:hAnsi="宋体"/>
          <w:b/>
          <w:kern w:val="0"/>
          <w:sz w:val="30"/>
        </w:rPr>
        <w:t>二十三、备查文件</w:t>
      </w:r>
      <w:bookmarkEnd w:id="123"/>
      <w:bookmarkEnd w:id="124"/>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慧选睿信一年持有期混合型基金中基金（FOF）</w:t>
      </w:r>
      <w:r>
        <w:rPr>
          <w:rFonts w:ascii="宋体" w:hAnsi="宋体"/>
          <w:kern w:val="0"/>
          <w:sz w:val="24"/>
        </w:rPr>
        <w:t>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w:t>
      </w:r>
      <w:r>
        <w:rPr>
          <w:rFonts w:hint="eastAsia" w:ascii="宋体" w:hAnsi="宋体"/>
          <w:kern w:val="0"/>
          <w:sz w:val="24"/>
        </w:rPr>
        <w:t>德慧选睿信一年持有期混合型基金中基金（FOF）</w:t>
      </w:r>
      <w:r>
        <w:rPr>
          <w:rFonts w:ascii="宋体" w:hAnsi="宋体"/>
          <w:kern w:val="0"/>
          <w:sz w:val="24"/>
        </w:rPr>
        <w:t>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w:t>
      </w:r>
      <w:r>
        <w:rPr>
          <w:rFonts w:hint="eastAsia" w:ascii="宋体" w:hAnsi="宋体"/>
          <w:kern w:val="0"/>
          <w:sz w:val="24"/>
        </w:rPr>
        <w:t>德慧选睿信一年持有期混合型基金中基金（FOF）</w:t>
      </w:r>
      <w:r>
        <w:rPr>
          <w:rFonts w:ascii="宋体" w:hAnsi="宋体"/>
          <w:kern w:val="0"/>
          <w:sz w:val="24"/>
        </w:rPr>
        <w:t>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w:t>
      </w:r>
      <w:r>
        <w:rPr>
          <w:rFonts w:hint="eastAsia" w:ascii="宋体" w:hAnsi="宋体"/>
          <w:kern w:val="0"/>
          <w:sz w:val="24"/>
        </w:rPr>
        <w:t>德慧选睿信一年持有期混合型基金中基金（FOF）的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五">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19</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-220345</wp:posOffset>
          </wp:positionH>
          <wp:positionV relativeFrom="paragraph">
            <wp:posOffset>-152400</wp:posOffset>
          </wp:positionV>
          <wp:extent cx="1885950" cy="261620"/>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85950" cy="261937"/>
                  </a:xfrm>
                  <a:prstGeom prst="rect">
                    <a:avLst/>
                  </a:prstGeom>
                  <a:noFill/>
                  <a:ln>
                    <a:noFill/>
                  </a:ln>
                </pic:spPr>
              </pic:pic>
            </a:graphicData>
          </a:graphic>
        </wp:anchor>
      </w:drawing>
    </w:r>
    <w:r>
      <w:rPr>
        <w:rFonts w:hint="eastAsia"/>
      </w:rPr>
      <w:t>交银施罗德慧选睿信一年持有期混合型基金中基金（FOF）</w:t>
    </w:r>
  </w:p>
  <w:p>
    <w:pPr>
      <w:pStyle w:val="21"/>
      <w:jc w:val="right"/>
    </w:pPr>
    <w:r>
      <w:rPr>
        <w:rFonts w:hint="eastAsia"/>
      </w:rPr>
      <w:t>招募</w:t>
    </w:r>
    <w: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001F6"/>
    <w:multiLevelType w:val="multilevel"/>
    <w:tmpl w:val="6B7001F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2218"/>
    <w:rsid w:val="000023B4"/>
    <w:rsid w:val="00002D5D"/>
    <w:rsid w:val="000036ED"/>
    <w:rsid w:val="000049DF"/>
    <w:rsid w:val="00004BC7"/>
    <w:rsid w:val="00004F21"/>
    <w:rsid w:val="0000665B"/>
    <w:rsid w:val="0000674D"/>
    <w:rsid w:val="000077E2"/>
    <w:rsid w:val="00007B19"/>
    <w:rsid w:val="00007C4D"/>
    <w:rsid w:val="00012036"/>
    <w:rsid w:val="00013380"/>
    <w:rsid w:val="000141E9"/>
    <w:rsid w:val="000142FC"/>
    <w:rsid w:val="00014A8B"/>
    <w:rsid w:val="00015379"/>
    <w:rsid w:val="00015550"/>
    <w:rsid w:val="00015DB8"/>
    <w:rsid w:val="00016BA8"/>
    <w:rsid w:val="00020FB6"/>
    <w:rsid w:val="00021295"/>
    <w:rsid w:val="0002132B"/>
    <w:rsid w:val="00021950"/>
    <w:rsid w:val="00023E32"/>
    <w:rsid w:val="00023E75"/>
    <w:rsid w:val="00024617"/>
    <w:rsid w:val="000248AB"/>
    <w:rsid w:val="00025D7E"/>
    <w:rsid w:val="00026566"/>
    <w:rsid w:val="00026C62"/>
    <w:rsid w:val="0003244B"/>
    <w:rsid w:val="00032B65"/>
    <w:rsid w:val="00033D71"/>
    <w:rsid w:val="00034F61"/>
    <w:rsid w:val="00035769"/>
    <w:rsid w:val="00035A54"/>
    <w:rsid w:val="00035E99"/>
    <w:rsid w:val="0003639E"/>
    <w:rsid w:val="00037275"/>
    <w:rsid w:val="000375E0"/>
    <w:rsid w:val="000376EB"/>
    <w:rsid w:val="000437B3"/>
    <w:rsid w:val="00043A36"/>
    <w:rsid w:val="0004506F"/>
    <w:rsid w:val="000461B1"/>
    <w:rsid w:val="000467E8"/>
    <w:rsid w:val="000469CF"/>
    <w:rsid w:val="00047637"/>
    <w:rsid w:val="00047E47"/>
    <w:rsid w:val="00050316"/>
    <w:rsid w:val="000507CD"/>
    <w:rsid w:val="00050F5C"/>
    <w:rsid w:val="00051A7C"/>
    <w:rsid w:val="000531A3"/>
    <w:rsid w:val="00053490"/>
    <w:rsid w:val="00054043"/>
    <w:rsid w:val="00055357"/>
    <w:rsid w:val="000563F7"/>
    <w:rsid w:val="00056533"/>
    <w:rsid w:val="0005668A"/>
    <w:rsid w:val="00057796"/>
    <w:rsid w:val="00061974"/>
    <w:rsid w:val="000635F3"/>
    <w:rsid w:val="00063B48"/>
    <w:rsid w:val="00064EBA"/>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0B1"/>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0565"/>
    <w:rsid w:val="000A1DC7"/>
    <w:rsid w:val="000A21D3"/>
    <w:rsid w:val="000A2FD3"/>
    <w:rsid w:val="000A3044"/>
    <w:rsid w:val="000A365C"/>
    <w:rsid w:val="000A36E6"/>
    <w:rsid w:val="000A775B"/>
    <w:rsid w:val="000B07CA"/>
    <w:rsid w:val="000B26A8"/>
    <w:rsid w:val="000B3528"/>
    <w:rsid w:val="000B3D39"/>
    <w:rsid w:val="000B4C2D"/>
    <w:rsid w:val="000B4FB6"/>
    <w:rsid w:val="000B6967"/>
    <w:rsid w:val="000B73D3"/>
    <w:rsid w:val="000B78FB"/>
    <w:rsid w:val="000C0148"/>
    <w:rsid w:val="000C1A8D"/>
    <w:rsid w:val="000C2295"/>
    <w:rsid w:val="000C2DD2"/>
    <w:rsid w:val="000C4E01"/>
    <w:rsid w:val="000C650A"/>
    <w:rsid w:val="000C7222"/>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08D8"/>
    <w:rsid w:val="000E3675"/>
    <w:rsid w:val="000E3794"/>
    <w:rsid w:val="000E3A6B"/>
    <w:rsid w:val="000E4049"/>
    <w:rsid w:val="000E4073"/>
    <w:rsid w:val="000E410D"/>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48B1"/>
    <w:rsid w:val="00105E2F"/>
    <w:rsid w:val="00106793"/>
    <w:rsid w:val="00106936"/>
    <w:rsid w:val="00106E70"/>
    <w:rsid w:val="00107C20"/>
    <w:rsid w:val="00107D4B"/>
    <w:rsid w:val="00107EED"/>
    <w:rsid w:val="00111801"/>
    <w:rsid w:val="00112984"/>
    <w:rsid w:val="00114D9C"/>
    <w:rsid w:val="00115767"/>
    <w:rsid w:val="0011591F"/>
    <w:rsid w:val="0011593B"/>
    <w:rsid w:val="00115C4B"/>
    <w:rsid w:val="00115DD2"/>
    <w:rsid w:val="001166C2"/>
    <w:rsid w:val="00116B1B"/>
    <w:rsid w:val="00116E5F"/>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328"/>
    <w:rsid w:val="001325E6"/>
    <w:rsid w:val="00132970"/>
    <w:rsid w:val="001336A1"/>
    <w:rsid w:val="00134304"/>
    <w:rsid w:val="001347F3"/>
    <w:rsid w:val="00136501"/>
    <w:rsid w:val="00136C37"/>
    <w:rsid w:val="00140C46"/>
    <w:rsid w:val="001411CF"/>
    <w:rsid w:val="00141A31"/>
    <w:rsid w:val="00141A52"/>
    <w:rsid w:val="00143E10"/>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4416"/>
    <w:rsid w:val="00175439"/>
    <w:rsid w:val="00175E1A"/>
    <w:rsid w:val="001760E1"/>
    <w:rsid w:val="00176574"/>
    <w:rsid w:val="00176A90"/>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39CE"/>
    <w:rsid w:val="001940CA"/>
    <w:rsid w:val="001942B2"/>
    <w:rsid w:val="0019505F"/>
    <w:rsid w:val="0019658D"/>
    <w:rsid w:val="0019719A"/>
    <w:rsid w:val="00197746"/>
    <w:rsid w:val="001A1652"/>
    <w:rsid w:val="001A3878"/>
    <w:rsid w:val="001A39CE"/>
    <w:rsid w:val="001A401D"/>
    <w:rsid w:val="001A49AE"/>
    <w:rsid w:val="001A57CF"/>
    <w:rsid w:val="001B1792"/>
    <w:rsid w:val="001B2567"/>
    <w:rsid w:val="001B3218"/>
    <w:rsid w:val="001B33A8"/>
    <w:rsid w:val="001B4357"/>
    <w:rsid w:val="001B46A1"/>
    <w:rsid w:val="001B480D"/>
    <w:rsid w:val="001B4BD5"/>
    <w:rsid w:val="001B5948"/>
    <w:rsid w:val="001B5B85"/>
    <w:rsid w:val="001B65BB"/>
    <w:rsid w:val="001B7CA2"/>
    <w:rsid w:val="001C2AE6"/>
    <w:rsid w:val="001C3484"/>
    <w:rsid w:val="001C5648"/>
    <w:rsid w:val="001C651B"/>
    <w:rsid w:val="001C7D5B"/>
    <w:rsid w:val="001D0792"/>
    <w:rsid w:val="001D0A65"/>
    <w:rsid w:val="001D125E"/>
    <w:rsid w:val="001D187F"/>
    <w:rsid w:val="001D1B07"/>
    <w:rsid w:val="001D1D96"/>
    <w:rsid w:val="001D23C8"/>
    <w:rsid w:val="001D3529"/>
    <w:rsid w:val="001D39C0"/>
    <w:rsid w:val="001D49D6"/>
    <w:rsid w:val="001D55B4"/>
    <w:rsid w:val="001D5F76"/>
    <w:rsid w:val="001D6690"/>
    <w:rsid w:val="001D6A52"/>
    <w:rsid w:val="001D7E20"/>
    <w:rsid w:val="001E1159"/>
    <w:rsid w:val="001E31E7"/>
    <w:rsid w:val="001E3944"/>
    <w:rsid w:val="001E3FDB"/>
    <w:rsid w:val="001E4091"/>
    <w:rsid w:val="001E4801"/>
    <w:rsid w:val="001F1BCF"/>
    <w:rsid w:val="001F267C"/>
    <w:rsid w:val="001F2812"/>
    <w:rsid w:val="001F3354"/>
    <w:rsid w:val="001F3D5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F43"/>
    <w:rsid w:val="00207297"/>
    <w:rsid w:val="00207C0A"/>
    <w:rsid w:val="00210B5D"/>
    <w:rsid w:val="002112D0"/>
    <w:rsid w:val="00211327"/>
    <w:rsid w:val="0021175A"/>
    <w:rsid w:val="00211DDD"/>
    <w:rsid w:val="002127BF"/>
    <w:rsid w:val="00213CA7"/>
    <w:rsid w:val="002148CD"/>
    <w:rsid w:val="002159EF"/>
    <w:rsid w:val="002164DD"/>
    <w:rsid w:val="002172D5"/>
    <w:rsid w:val="00217E1A"/>
    <w:rsid w:val="0022028D"/>
    <w:rsid w:val="002206AB"/>
    <w:rsid w:val="00221127"/>
    <w:rsid w:val="002213BF"/>
    <w:rsid w:val="002229B0"/>
    <w:rsid w:val="00222C05"/>
    <w:rsid w:val="00222DC0"/>
    <w:rsid w:val="00225114"/>
    <w:rsid w:val="0022586B"/>
    <w:rsid w:val="0022646A"/>
    <w:rsid w:val="00227112"/>
    <w:rsid w:val="00230AE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4E0"/>
    <w:rsid w:val="00251677"/>
    <w:rsid w:val="00251890"/>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0E3A"/>
    <w:rsid w:val="00272220"/>
    <w:rsid w:val="00273181"/>
    <w:rsid w:val="0027455F"/>
    <w:rsid w:val="00281F8E"/>
    <w:rsid w:val="00284595"/>
    <w:rsid w:val="002860B5"/>
    <w:rsid w:val="002869FF"/>
    <w:rsid w:val="00287E74"/>
    <w:rsid w:val="00290B48"/>
    <w:rsid w:val="002920F3"/>
    <w:rsid w:val="00292156"/>
    <w:rsid w:val="0029355B"/>
    <w:rsid w:val="00293BC8"/>
    <w:rsid w:val="00296193"/>
    <w:rsid w:val="002962F6"/>
    <w:rsid w:val="0029691D"/>
    <w:rsid w:val="002979EB"/>
    <w:rsid w:val="002A16F7"/>
    <w:rsid w:val="002A18EA"/>
    <w:rsid w:val="002A1944"/>
    <w:rsid w:val="002A25B1"/>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452E"/>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E0AE6"/>
    <w:rsid w:val="002E1513"/>
    <w:rsid w:val="002E1A8B"/>
    <w:rsid w:val="002E1AC9"/>
    <w:rsid w:val="002E2738"/>
    <w:rsid w:val="002E4942"/>
    <w:rsid w:val="002E4A43"/>
    <w:rsid w:val="002E50C1"/>
    <w:rsid w:val="002E609E"/>
    <w:rsid w:val="002E72C3"/>
    <w:rsid w:val="002E7F7C"/>
    <w:rsid w:val="002F0904"/>
    <w:rsid w:val="002F0BA6"/>
    <w:rsid w:val="002F12C9"/>
    <w:rsid w:val="002F3CDD"/>
    <w:rsid w:val="002F3DC0"/>
    <w:rsid w:val="002F5679"/>
    <w:rsid w:val="002F579F"/>
    <w:rsid w:val="002F5C28"/>
    <w:rsid w:val="002F5CD3"/>
    <w:rsid w:val="002F60EF"/>
    <w:rsid w:val="002F7825"/>
    <w:rsid w:val="0030037A"/>
    <w:rsid w:val="00301328"/>
    <w:rsid w:val="00302D39"/>
    <w:rsid w:val="00302EB3"/>
    <w:rsid w:val="00304168"/>
    <w:rsid w:val="00304AF3"/>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47F70"/>
    <w:rsid w:val="0035089F"/>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7671"/>
    <w:rsid w:val="00387C79"/>
    <w:rsid w:val="00390549"/>
    <w:rsid w:val="003909E2"/>
    <w:rsid w:val="00391677"/>
    <w:rsid w:val="00392C8E"/>
    <w:rsid w:val="00393344"/>
    <w:rsid w:val="003946F2"/>
    <w:rsid w:val="003950D0"/>
    <w:rsid w:val="003956C4"/>
    <w:rsid w:val="003957F2"/>
    <w:rsid w:val="00395800"/>
    <w:rsid w:val="00395B30"/>
    <w:rsid w:val="00396296"/>
    <w:rsid w:val="00397050"/>
    <w:rsid w:val="00397CD6"/>
    <w:rsid w:val="003A0B2E"/>
    <w:rsid w:val="003A13EF"/>
    <w:rsid w:val="003A167C"/>
    <w:rsid w:val="003A1D49"/>
    <w:rsid w:val="003A2026"/>
    <w:rsid w:val="003A2955"/>
    <w:rsid w:val="003A2B26"/>
    <w:rsid w:val="003A333A"/>
    <w:rsid w:val="003A3437"/>
    <w:rsid w:val="003A36DB"/>
    <w:rsid w:val="003A5CAC"/>
    <w:rsid w:val="003A63FD"/>
    <w:rsid w:val="003A74EE"/>
    <w:rsid w:val="003B0B0C"/>
    <w:rsid w:val="003B2884"/>
    <w:rsid w:val="003B3010"/>
    <w:rsid w:val="003B66E3"/>
    <w:rsid w:val="003B7286"/>
    <w:rsid w:val="003C0901"/>
    <w:rsid w:val="003C0ED9"/>
    <w:rsid w:val="003C0F87"/>
    <w:rsid w:val="003C2778"/>
    <w:rsid w:val="003C2DAE"/>
    <w:rsid w:val="003C354F"/>
    <w:rsid w:val="003C4D79"/>
    <w:rsid w:val="003C6BE4"/>
    <w:rsid w:val="003D0009"/>
    <w:rsid w:val="003D08F8"/>
    <w:rsid w:val="003D0EF7"/>
    <w:rsid w:val="003D1A34"/>
    <w:rsid w:val="003D1D93"/>
    <w:rsid w:val="003D26AD"/>
    <w:rsid w:val="003D369D"/>
    <w:rsid w:val="003D3BA7"/>
    <w:rsid w:val="003D49F5"/>
    <w:rsid w:val="003D5261"/>
    <w:rsid w:val="003D5457"/>
    <w:rsid w:val="003D54ED"/>
    <w:rsid w:val="003D5728"/>
    <w:rsid w:val="003D5A80"/>
    <w:rsid w:val="003D655D"/>
    <w:rsid w:val="003D7221"/>
    <w:rsid w:val="003E1676"/>
    <w:rsid w:val="003E1CAC"/>
    <w:rsid w:val="003E2273"/>
    <w:rsid w:val="003E2863"/>
    <w:rsid w:val="003E31C3"/>
    <w:rsid w:val="003E3411"/>
    <w:rsid w:val="003E44F3"/>
    <w:rsid w:val="003E47F7"/>
    <w:rsid w:val="003E5507"/>
    <w:rsid w:val="003E5FAA"/>
    <w:rsid w:val="003E5FEA"/>
    <w:rsid w:val="003E63B2"/>
    <w:rsid w:val="003E6434"/>
    <w:rsid w:val="003E6C43"/>
    <w:rsid w:val="003E71BA"/>
    <w:rsid w:val="003F0BB2"/>
    <w:rsid w:val="003F0BCA"/>
    <w:rsid w:val="003F14E9"/>
    <w:rsid w:val="003F4168"/>
    <w:rsid w:val="003F416E"/>
    <w:rsid w:val="003F5225"/>
    <w:rsid w:val="003F6DDA"/>
    <w:rsid w:val="003F6DDC"/>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1AA6"/>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8DE"/>
    <w:rsid w:val="00437AD4"/>
    <w:rsid w:val="004403D5"/>
    <w:rsid w:val="0044052F"/>
    <w:rsid w:val="00440BB2"/>
    <w:rsid w:val="00440DEB"/>
    <w:rsid w:val="00440F8C"/>
    <w:rsid w:val="004414C4"/>
    <w:rsid w:val="0044187C"/>
    <w:rsid w:val="004419AE"/>
    <w:rsid w:val="0044364A"/>
    <w:rsid w:val="00443C68"/>
    <w:rsid w:val="004457B1"/>
    <w:rsid w:val="00445D20"/>
    <w:rsid w:val="004461DC"/>
    <w:rsid w:val="004464BF"/>
    <w:rsid w:val="004465B3"/>
    <w:rsid w:val="00447B3F"/>
    <w:rsid w:val="004509A7"/>
    <w:rsid w:val="0045195C"/>
    <w:rsid w:val="0045254B"/>
    <w:rsid w:val="0045443A"/>
    <w:rsid w:val="00454AED"/>
    <w:rsid w:val="00454D7C"/>
    <w:rsid w:val="004557AD"/>
    <w:rsid w:val="00455E68"/>
    <w:rsid w:val="00456E6D"/>
    <w:rsid w:val="00456FD9"/>
    <w:rsid w:val="004570C4"/>
    <w:rsid w:val="0046060E"/>
    <w:rsid w:val="0046107F"/>
    <w:rsid w:val="00461527"/>
    <w:rsid w:val="00463671"/>
    <w:rsid w:val="00463C82"/>
    <w:rsid w:val="00463CC8"/>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51A5"/>
    <w:rsid w:val="00485CB4"/>
    <w:rsid w:val="00486983"/>
    <w:rsid w:val="00486AEC"/>
    <w:rsid w:val="00490994"/>
    <w:rsid w:val="00490A0E"/>
    <w:rsid w:val="00491178"/>
    <w:rsid w:val="004915F3"/>
    <w:rsid w:val="00491993"/>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D19"/>
    <w:rsid w:val="004A6F6A"/>
    <w:rsid w:val="004A70BC"/>
    <w:rsid w:val="004B0A0B"/>
    <w:rsid w:val="004B10BE"/>
    <w:rsid w:val="004B1B07"/>
    <w:rsid w:val="004B24AE"/>
    <w:rsid w:val="004B35FB"/>
    <w:rsid w:val="004B3EF9"/>
    <w:rsid w:val="004B5132"/>
    <w:rsid w:val="004B550D"/>
    <w:rsid w:val="004B5876"/>
    <w:rsid w:val="004B7068"/>
    <w:rsid w:val="004B711A"/>
    <w:rsid w:val="004B7D31"/>
    <w:rsid w:val="004B7DC4"/>
    <w:rsid w:val="004C02A8"/>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04"/>
    <w:rsid w:val="004E708A"/>
    <w:rsid w:val="004E7380"/>
    <w:rsid w:val="004E758C"/>
    <w:rsid w:val="004E77AA"/>
    <w:rsid w:val="004E79BF"/>
    <w:rsid w:val="004E7A10"/>
    <w:rsid w:val="004E7FB4"/>
    <w:rsid w:val="004F0D4B"/>
    <w:rsid w:val="004F2C9E"/>
    <w:rsid w:val="004F2F74"/>
    <w:rsid w:val="004F30F2"/>
    <w:rsid w:val="004F3CB8"/>
    <w:rsid w:val="004F4D77"/>
    <w:rsid w:val="004F5D44"/>
    <w:rsid w:val="004F72EB"/>
    <w:rsid w:val="004F7BFD"/>
    <w:rsid w:val="004F7DE8"/>
    <w:rsid w:val="004F7F45"/>
    <w:rsid w:val="00501C88"/>
    <w:rsid w:val="00502251"/>
    <w:rsid w:val="00502B26"/>
    <w:rsid w:val="00502BFA"/>
    <w:rsid w:val="005036C2"/>
    <w:rsid w:val="00504BDF"/>
    <w:rsid w:val="00505A18"/>
    <w:rsid w:val="00505AE1"/>
    <w:rsid w:val="00505F1A"/>
    <w:rsid w:val="0050666F"/>
    <w:rsid w:val="0050679A"/>
    <w:rsid w:val="00506A30"/>
    <w:rsid w:val="00506A86"/>
    <w:rsid w:val="00507A31"/>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5642"/>
    <w:rsid w:val="00547CBE"/>
    <w:rsid w:val="0055062D"/>
    <w:rsid w:val="00551870"/>
    <w:rsid w:val="00551977"/>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4190"/>
    <w:rsid w:val="00575FD9"/>
    <w:rsid w:val="005778A7"/>
    <w:rsid w:val="0058033F"/>
    <w:rsid w:val="00582518"/>
    <w:rsid w:val="005829DC"/>
    <w:rsid w:val="00583F3A"/>
    <w:rsid w:val="0058406F"/>
    <w:rsid w:val="00585772"/>
    <w:rsid w:val="005857B3"/>
    <w:rsid w:val="0058672E"/>
    <w:rsid w:val="0058765F"/>
    <w:rsid w:val="005906B2"/>
    <w:rsid w:val="005907BE"/>
    <w:rsid w:val="0059094D"/>
    <w:rsid w:val="005914C2"/>
    <w:rsid w:val="00592EA6"/>
    <w:rsid w:val="005944F1"/>
    <w:rsid w:val="00594A1B"/>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5E1F"/>
    <w:rsid w:val="005A636B"/>
    <w:rsid w:val="005A647E"/>
    <w:rsid w:val="005B045A"/>
    <w:rsid w:val="005B1E60"/>
    <w:rsid w:val="005B20B8"/>
    <w:rsid w:val="005B2470"/>
    <w:rsid w:val="005B31F6"/>
    <w:rsid w:val="005B65AC"/>
    <w:rsid w:val="005B7856"/>
    <w:rsid w:val="005C1EA1"/>
    <w:rsid w:val="005C1FF8"/>
    <w:rsid w:val="005C3188"/>
    <w:rsid w:val="005C32FF"/>
    <w:rsid w:val="005C5891"/>
    <w:rsid w:val="005C59EB"/>
    <w:rsid w:val="005C68CC"/>
    <w:rsid w:val="005C69D8"/>
    <w:rsid w:val="005C6C99"/>
    <w:rsid w:val="005C6EB8"/>
    <w:rsid w:val="005C79D9"/>
    <w:rsid w:val="005D03FE"/>
    <w:rsid w:val="005D04D6"/>
    <w:rsid w:val="005D0924"/>
    <w:rsid w:val="005D0A1C"/>
    <w:rsid w:val="005D0F5F"/>
    <w:rsid w:val="005D0FAA"/>
    <w:rsid w:val="005D1849"/>
    <w:rsid w:val="005D1FA3"/>
    <w:rsid w:val="005D244A"/>
    <w:rsid w:val="005D3E58"/>
    <w:rsid w:val="005D50DE"/>
    <w:rsid w:val="005D5D38"/>
    <w:rsid w:val="005D7F7E"/>
    <w:rsid w:val="005E1110"/>
    <w:rsid w:val="005E114F"/>
    <w:rsid w:val="005E1707"/>
    <w:rsid w:val="005E23C6"/>
    <w:rsid w:val="005E4189"/>
    <w:rsid w:val="005E4237"/>
    <w:rsid w:val="005E42F3"/>
    <w:rsid w:val="005E4D0A"/>
    <w:rsid w:val="005E5BAA"/>
    <w:rsid w:val="005E6C6B"/>
    <w:rsid w:val="005E6E6E"/>
    <w:rsid w:val="005F0530"/>
    <w:rsid w:val="005F1A0A"/>
    <w:rsid w:val="005F3A68"/>
    <w:rsid w:val="005F3BD1"/>
    <w:rsid w:val="005F4D9E"/>
    <w:rsid w:val="005F505B"/>
    <w:rsid w:val="005F7265"/>
    <w:rsid w:val="0060212D"/>
    <w:rsid w:val="00602EFA"/>
    <w:rsid w:val="0060555B"/>
    <w:rsid w:val="00605792"/>
    <w:rsid w:val="00606059"/>
    <w:rsid w:val="00607BFE"/>
    <w:rsid w:val="0061036D"/>
    <w:rsid w:val="00611F66"/>
    <w:rsid w:val="00614214"/>
    <w:rsid w:val="00614256"/>
    <w:rsid w:val="00614933"/>
    <w:rsid w:val="00614FB2"/>
    <w:rsid w:val="00615406"/>
    <w:rsid w:val="006164ED"/>
    <w:rsid w:val="006175E7"/>
    <w:rsid w:val="00620F08"/>
    <w:rsid w:val="00621D49"/>
    <w:rsid w:val="0062244C"/>
    <w:rsid w:val="00623135"/>
    <w:rsid w:val="00623920"/>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4002B"/>
    <w:rsid w:val="0064179F"/>
    <w:rsid w:val="006423D5"/>
    <w:rsid w:val="00643AD4"/>
    <w:rsid w:val="00645542"/>
    <w:rsid w:val="006456EC"/>
    <w:rsid w:val="00645D5F"/>
    <w:rsid w:val="006475EF"/>
    <w:rsid w:val="0065008F"/>
    <w:rsid w:val="00650D60"/>
    <w:rsid w:val="00650E37"/>
    <w:rsid w:val="00650ECA"/>
    <w:rsid w:val="006511AE"/>
    <w:rsid w:val="006513E5"/>
    <w:rsid w:val="00652829"/>
    <w:rsid w:val="006529B8"/>
    <w:rsid w:val="00652EE1"/>
    <w:rsid w:val="00653919"/>
    <w:rsid w:val="00653AE2"/>
    <w:rsid w:val="00654F6A"/>
    <w:rsid w:val="00654FC7"/>
    <w:rsid w:val="00655E5A"/>
    <w:rsid w:val="0066095E"/>
    <w:rsid w:val="0066106E"/>
    <w:rsid w:val="00661737"/>
    <w:rsid w:val="006621AB"/>
    <w:rsid w:val="0066474C"/>
    <w:rsid w:val="00665BB1"/>
    <w:rsid w:val="00666A5B"/>
    <w:rsid w:val="00666AB3"/>
    <w:rsid w:val="006674A2"/>
    <w:rsid w:val="00667F13"/>
    <w:rsid w:val="0067087C"/>
    <w:rsid w:val="00670F48"/>
    <w:rsid w:val="0067415B"/>
    <w:rsid w:val="006744F8"/>
    <w:rsid w:val="00675DC1"/>
    <w:rsid w:val="00676EB0"/>
    <w:rsid w:val="006811F4"/>
    <w:rsid w:val="00681610"/>
    <w:rsid w:val="00681FB1"/>
    <w:rsid w:val="00682FDA"/>
    <w:rsid w:val="0068511A"/>
    <w:rsid w:val="00685C2F"/>
    <w:rsid w:val="00685C64"/>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1003"/>
    <w:rsid w:val="006A2AFC"/>
    <w:rsid w:val="006A3CDB"/>
    <w:rsid w:val="006A4FA6"/>
    <w:rsid w:val="006A5AC9"/>
    <w:rsid w:val="006A5B90"/>
    <w:rsid w:val="006B11B3"/>
    <w:rsid w:val="006B162C"/>
    <w:rsid w:val="006B1DEF"/>
    <w:rsid w:val="006B24DC"/>
    <w:rsid w:val="006B2B50"/>
    <w:rsid w:val="006B4139"/>
    <w:rsid w:val="006B458F"/>
    <w:rsid w:val="006B4FA1"/>
    <w:rsid w:val="006B5339"/>
    <w:rsid w:val="006B7879"/>
    <w:rsid w:val="006C0116"/>
    <w:rsid w:val="006C0D67"/>
    <w:rsid w:val="006C0F9E"/>
    <w:rsid w:val="006C45F9"/>
    <w:rsid w:val="006D0BDE"/>
    <w:rsid w:val="006D1496"/>
    <w:rsid w:val="006D167E"/>
    <w:rsid w:val="006D18E5"/>
    <w:rsid w:val="006D1FDA"/>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3D95"/>
    <w:rsid w:val="006E4796"/>
    <w:rsid w:val="006E4820"/>
    <w:rsid w:val="006E65C1"/>
    <w:rsid w:val="006E6CE2"/>
    <w:rsid w:val="006E6E62"/>
    <w:rsid w:val="006E7E55"/>
    <w:rsid w:val="006F2D10"/>
    <w:rsid w:val="006F3EB0"/>
    <w:rsid w:val="006F4975"/>
    <w:rsid w:val="006F4FF7"/>
    <w:rsid w:val="006F538A"/>
    <w:rsid w:val="006F576D"/>
    <w:rsid w:val="0070029F"/>
    <w:rsid w:val="00700E30"/>
    <w:rsid w:val="00700FE8"/>
    <w:rsid w:val="007012B3"/>
    <w:rsid w:val="007023A3"/>
    <w:rsid w:val="00702BB7"/>
    <w:rsid w:val="007034F7"/>
    <w:rsid w:val="00703C5F"/>
    <w:rsid w:val="007051FF"/>
    <w:rsid w:val="00705D59"/>
    <w:rsid w:val="00705F08"/>
    <w:rsid w:val="00706531"/>
    <w:rsid w:val="0070663B"/>
    <w:rsid w:val="00706AA1"/>
    <w:rsid w:val="00706E7C"/>
    <w:rsid w:val="00707BDA"/>
    <w:rsid w:val="00710549"/>
    <w:rsid w:val="007110DC"/>
    <w:rsid w:val="0071188A"/>
    <w:rsid w:val="00712521"/>
    <w:rsid w:val="0071254D"/>
    <w:rsid w:val="0071419B"/>
    <w:rsid w:val="00714750"/>
    <w:rsid w:val="007152EA"/>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3D4"/>
    <w:rsid w:val="00736687"/>
    <w:rsid w:val="007366C5"/>
    <w:rsid w:val="00736743"/>
    <w:rsid w:val="007373B2"/>
    <w:rsid w:val="007405DF"/>
    <w:rsid w:val="00741040"/>
    <w:rsid w:val="00741621"/>
    <w:rsid w:val="00743B8C"/>
    <w:rsid w:val="007441F1"/>
    <w:rsid w:val="00744C7A"/>
    <w:rsid w:val="0074594A"/>
    <w:rsid w:val="0074678C"/>
    <w:rsid w:val="00746952"/>
    <w:rsid w:val="0074704E"/>
    <w:rsid w:val="00747056"/>
    <w:rsid w:val="00747151"/>
    <w:rsid w:val="00750309"/>
    <w:rsid w:val="007505FB"/>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84C"/>
    <w:rsid w:val="00786E0E"/>
    <w:rsid w:val="007875DD"/>
    <w:rsid w:val="00790DE4"/>
    <w:rsid w:val="00790E3F"/>
    <w:rsid w:val="00792185"/>
    <w:rsid w:val="00792D39"/>
    <w:rsid w:val="00793126"/>
    <w:rsid w:val="00793F2F"/>
    <w:rsid w:val="00795E0C"/>
    <w:rsid w:val="00795EB8"/>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19C3"/>
    <w:rsid w:val="007C345B"/>
    <w:rsid w:val="007C38C9"/>
    <w:rsid w:val="007C39DF"/>
    <w:rsid w:val="007C3C47"/>
    <w:rsid w:val="007C3D3A"/>
    <w:rsid w:val="007C4D54"/>
    <w:rsid w:val="007C575B"/>
    <w:rsid w:val="007C5B7B"/>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3058"/>
    <w:rsid w:val="007E453F"/>
    <w:rsid w:val="007E4883"/>
    <w:rsid w:val="007E5806"/>
    <w:rsid w:val="007E6824"/>
    <w:rsid w:val="007E6DC4"/>
    <w:rsid w:val="007E74CF"/>
    <w:rsid w:val="007F096C"/>
    <w:rsid w:val="007F0E0D"/>
    <w:rsid w:val="007F2154"/>
    <w:rsid w:val="007F30AB"/>
    <w:rsid w:val="007F491D"/>
    <w:rsid w:val="007F50E0"/>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677"/>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58AE"/>
    <w:rsid w:val="00836205"/>
    <w:rsid w:val="00836272"/>
    <w:rsid w:val="00836381"/>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92E"/>
    <w:rsid w:val="00846FED"/>
    <w:rsid w:val="00847B3F"/>
    <w:rsid w:val="00850D31"/>
    <w:rsid w:val="0085161C"/>
    <w:rsid w:val="00851999"/>
    <w:rsid w:val="00851F67"/>
    <w:rsid w:val="00851FF5"/>
    <w:rsid w:val="00853D16"/>
    <w:rsid w:val="00854F1C"/>
    <w:rsid w:val="0085640C"/>
    <w:rsid w:val="00856DCD"/>
    <w:rsid w:val="00857A8E"/>
    <w:rsid w:val="0086069E"/>
    <w:rsid w:val="00861213"/>
    <w:rsid w:val="00861580"/>
    <w:rsid w:val="0086454A"/>
    <w:rsid w:val="008653A5"/>
    <w:rsid w:val="00870148"/>
    <w:rsid w:val="00870343"/>
    <w:rsid w:val="00870BF4"/>
    <w:rsid w:val="00872620"/>
    <w:rsid w:val="00872ACE"/>
    <w:rsid w:val="00873F21"/>
    <w:rsid w:val="00873FAE"/>
    <w:rsid w:val="00877EF5"/>
    <w:rsid w:val="0088033A"/>
    <w:rsid w:val="00880954"/>
    <w:rsid w:val="0088178D"/>
    <w:rsid w:val="00881894"/>
    <w:rsid w:val="00881B12"/>
    <w:rsid w:val="00881EEB"/>
    <w:rsid w:val="008827EB"/>
    <w:rsid w:val="008837D8"/>
    <w:rsid w:val="008844BC"/>
    <w:rsid w:val="008845A0"/>
    <w:rsid w:val="00884821"/>
    <w:rsid w:val="008854F2"/>
    <w:rsid w:val="008859DA"/>
    <w:rsid w:val="00885AC5"/>
    <w:rsid w:val="008864F9"/>
    <w:rsid w:val="008865D6"/>
    <w:rsid w:val="008874E8"/>
    <w:rsid w:val="00890820"/>
    <w:rsid w:val="008917A2"/>
    <w:rsid w:val="00891EA3"/>
    <w:rsid w:val="00892ADA"/>
    <w:rsid w:val="00892E65"/>
    <w:rsid w:val="00893094"/>
    <w:rsid w:val="0089361C"/>
    <w:rsid w:val="00893886"/>
    <w:rsid w:val="008945FB"/>
    <w:rsid w:val="008948E9"/>
    <w:rsid w:val="00895608"/>
    <w:rsid w:val="0089579F"/>
    <w:rsid w:val="00896629"/>
    <w:rsid w:val="0089666C"/>
    <w:rsid w:val="00897661"/>
    <w:rsid w:val="008A162B"/>
    <w:rsid w:val="008A2B9F"/>
    <w:rsid w:val="008A302A"/>
    <w:rsid w:val="008A3C1E"/>
    <w:rsid w:val="008A5275"/>
    <w:rsid w:val="008A6943"/>
    <w:rsid w:val="008A7905"/>
    <w:rsid w:val="008A79C0"/>
    <w:rsid w:val="008B0B9D"/>
    <w:rsid w:val="008B4EF3"/>
    <w:rsid w:val="008B54B5"/>
    <w:rsid w:val="008B6535"/>
    <w:rsid w:val="008B7A5D"/>
    <w:rsid w:val="008B7EBB"/>
    <w:rsid w:val="008C08C9"/>
    <w:rsid w:val="008C3274"/>
    <w:rsid w:val="008C3356"/>
    <w:rsid w:val="008C41CA"/>
    <w:rsid w:val="008C44A1"/>
    <w:rsid w:val="008C47AB"/>
    <w:rsid w:val="008C4BE2"/>
    <w:rsid w:val="008C4DFF"/>
    <w:rsid w:val="008C50FA"/>
    <w:rsid w:val="008C55B3"/>
    <w:rsid w:val="008C56D8"/>
    <w:rsid w:val="008C5FCD"/>
    <w:rsid w:val="008D02E0"/>
    <w:rsid w:val="008D060C"/>
    <w:rsid w:val="008D0B42"/>
    <w:rsid w:val="008D0F82"/>
    <w:rsid w:val="008D2C09"/>
    <w:rsid w:val="008D319B"/>
    <w:rsid w:val="008D39EE"/>
    <w:rsid w:val="008D3A2B"/>
    <w:rsid w:val="008D3BDC"/>
    <w:rsid w:val="008D4293"/>
    <w:rsid w:val="008D59D5"/>
    <w:rsid w:val="008D5FB4"/>
    <w:rsid w:val="008D7D2E"/>
    <w:rsid w:val="008E042D"/>
    <w:rsid w:val="008E0455"/>
    <w:rsid w:val="008E0605"/>
    <w:rsid w:val="008E1A59"/>
    <w:rsid w:val="008E4285"/>
    <w:rsid w:val="008E5973"/>
    <w:rsid w:val="008E5AD7"/>
    <w:rsid w:val="008E5C7F"/>
    <w:rsid w:val="008E5CFF"/>
    <w:rsid w:val="008E7649"/>
    <w:rsid w:val="008F11E1"/>
    <w:rsid w:val="008F216B"/>
    <w:rsid w:val="008F2CA9"/>
    <w:rsid w:val="008F3116"/>
    <w:rsid w:val="008F3866"/>
    <w:rsid w:val="008F3EEF"/>
    <w:rsid w:val="008F41B8"/>
    <w:rsid w:val="008F494C"/>
    <w:rsid w:val="008F4DE2"/>
    <w:rsid w:val="008F5642"/>
    <w:rsid w:val="008F5652"/>
    <w:rsid w:val="008F66A7"/>
    <w:rsid w:val="008F766D"/>
    <w:rsid w:val="00900079"/>
    <w:rsid w:val="009002A5"/>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186C"/>
    <w:rsid w:val="00942248"/>
    <w:rsid w:val="00942424"/>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56A37"/>
    <w:rsid w:val="009606FC"/>
    <w:rsid w:val="00960B05"/>
    <w:rsid w:val="00960D3D"/>
    <w:rsid w:val="00962D31"/>
    <w:rsid w:val="0096420F"/>
    <w:rsid w:val="00964438"/>
    <w:rsid w:val="00965FEE"/>
    <w:rsid w:val="00965FF5"/>
    <w:rsid w:val="009666A9"/>
    <w:rsid w:val="0096689D"/>
    <w:rsid w:val="0096764F"/>
    <w:rsid w:val="00970694"/>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93A"/>
    <w:rsid w:val="0098299E"/>
    <w:rsid w:val="00983575"/>
    <w:rsid w:val="009839E9"/>
    <w:rsid w:val="00984906"/>
    <w:rsid w:val="00985ADA"/>
    <w:rsid w:val="009863A5"/>
    <w:rsid w:val="00987842"/>
    <w:rsid w:val="0099090C"/>
    <w:rsid w:val="00990A72"/>
    <w:rsid w:val="0099382D"/>
    <w:rsid w:val="009956EE"/>
    <w:rsid w:val="00995CBE"/>
    <w:rsid w:val="00996461"/>
    <w:rsid w:val="00996727"/>
    <w:rsid w:val="009969D8"/>
    <w:rsid w:val="00997DAE"/>
    <w:rsid w:val="009A10BE"/>
    <w:rsid w:val="009A1DF5"/>
    <w:rsid w:val="009A264F"/>
    <w:rsid w:val="009A286B"/>
    <w:rsid w:val="009A2AB7"/>
    <w:rsid w:val="009A31BD"/>
    <w:rsid w:val="009A37D4"/>
    <w:rsid w:val="009A4FE5"/>
    <w:rsid w:val="009A5886"/>
    <w:rsid w:val="009A58B1"/>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5B81"/>
    <w:rsid w:val="009D5D26"/>
    <w:rsid w:val="009D68C2"/>
    <w:rsid w:val="009D72F4"/>
    <w:rsid w:val="009E0C8B"/>
    <w:rsid w:val="009E3A70"/>
    <w:rsid w:val="009E4F2B"/>
    <w:rsid w:val="009E613A"/>
    <w:rsid w:val="009E74EE"/>
    <w:rsid w:val="009E7A88"/>
    <w:rsid w:val="009F057F"/>
    <w:rsid w:val="009F14E8"/>
    <w:rsid w:val="009F1F21"/>
    <w:rsid w:val="009F2ABD"/>
    <w:rsid w:val="009F2F79"/>
    <w:rsid w:val="009F3094"/>
    <w:rsid w:val="009F40F3"/>
    <w:rsid w:val="009F494E"/>
    <w:rsid w:val="009F49EB"/>
    <w:rsid w:val="009F5613"/>
    <w:rsid w:val="009F67A1"/>
    <w:rsid w:val="009F6DF8"/>
    <w:rsid w:val="00A02D54"/>
    <w:rsid w:val="00A03254"/>
    <w:rsid w:val="00A03C52"/>
    <w:rsid w:val="00A04962"/>
    <w:rsid w:val="00A04A07"/>
    <w:rsid w:val="00A05DCC"/>
    <w:rsid w:val="00A0619B"/>
    <w:rsid w:val="00A06743"/>
    <w:rsid w:val="00A06FA7"/>
    <w:rsid w:val="00A07316"/>
    <w:rsid w:val="00A07BC4"/>
    <w:rsid w:val="00A07D16"/>
    <w:rsid w:val="00A105E9"/>
    <w:rsid w:val="00A109AD"/>
    <w:rsid w:val="00A10A7A"/>
    <w:rsid w:val="00A10BC1"/>
    <w:rsid w:val="00A12146"/>
    <w:rsid w:val="00A12A96"/>
    <w:rsid w:val="00A14E37"/>
    <w:rsid w:val="00A1557C"/>
    <w:rsid w:val="00A155FA"/>
    <w:rsid w:val="00A15C8B"/>
    <w:rsid w:val="00A161A0"/>
    <w:rsid w:val="00A16886"/>
    <w:rsid w:val="00A202D0"/>
    <w:rsid w:val="00A20831"/>
    <w:rsid w:val="00A20AAF"/>
    <w:rsid w:val="00A20D85"/>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5F30"/>
    <w:rsid w:val="00A379AC"/>
    <w:rsid w:val="00A40665"/>
    <w:rsid w:val="00A40B1F"/>
    <w:rsid w:val="00A40E09"/>
    <w:rsid w:val="00A44A3C"/>
    <w:rsid w:val="00A44DE5"/>
    <w:rsid w:val="00A450C8"/>
    <w:rsid w:val="00A457AE"/>
    <w:rsid w:val="00A45D3B"/>
    <w:rsid w:val="00A47447"/>
    <w:rsid w:val="00A50977"/>
    <w:rsid w:val="00A50FA4"/>
    <w:rsid w:val="00A5152F"/>
    <w:rsid w:val="00A51D39"/>
    <w:rsid w:val="00A524DA"/>
    <w:rsid w:val="00A52CA1"/>
    <w:rsid w:val="00A5341D"/>
    <w:rsid w:val="00A53952"/>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9AC"/>
    <w:rsid w:val="00A72B47"/>
    <w:rsid w:val="00A73D44"/>
    <w:rsid w:val="00A7451C"/>
    <w:rsid w:val="00A74910"/>
    <w:rsid w:val="00A759A6"/>
    <w:rsid w:val="00A76054"/>
    <w:rsid w:val="00A768E3"/>
    <w:rsid w:val="00A76CC4"/>
    <w:rsid w:val="00A76E28"/>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68B3"/>
    <w:rsid w:val="00A96FA3"/>
    <w:rsid w:val="00AA0571"/>
    <w:rsid w:val="00AA077C"/>
    <w:rsid w:val="00AA08FD"/>
    <w:rsid w:val="00AA0C8B"/>
    <w:rsid w:val="00AA0F51"/>
    <w:rsid w:val="00AA11C2"/>
    <w:rsid w:val="00AA1C1F"/>
    <w:rsid w:val="00AA5F7C"/>
    <w:rsid w:val="00AA7076"/>
    <w:rsid w:val="00AA7C3C"/>
    <w:rsid w:val="00AA7FA1"/>
    <w:rsid w:val="00AB1C08"/>
    <w:rsid w:val="00AB246F"/>
    <w:rsid w:val="00AB2E54"/>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6AA"/>
    <w:rsid w:val="00AE109E"/>
    <w:rsid w:val="00AE16FA"/>
    <w:rsid w:val="00AE1CC8"/>
    <w:rsid w:val="00AE499C"/>
    <w:rsid w:val="00AE57CD"/>
    <w:rsid w:val="00AE66BF"/>
    <w:rsid w:val="00AE675E"/>
    <w:rsid w:val="00AE6D55"/>
    <w:rsid w:val="00AE7AB0"/>
    <w:rsid w:val="00AE7B92"/>
    <w:rsid w:val="00AF1B7B"/>
    <w:rsid w:val="00AF30A5"/>
    <w:rsid w:val="00AF40E4"/>
    <w:rsid w:val="00AF4996"/>
    <w:rsid w:val="00AF6A69"/>
    <w:rsid w:val="00AF6BAA"/>
    <w:rsid w:val="00AF78D8"/>
    <w:rsid w:val="00B01D05"/>
    <w:rsid w:val="00B0225C"/>
    <w:rsid w:val="00B02A41"/>
    <w:rsid w:val="00B0460F"/>
    <w:rsid w:val="00B0494F"/>
    <w:rsid w:val="00B04B3E"/>
    <w:rsid w:val="00B0504C"/>
    <w:rsid w:val="00B053EF"/>
    <w:rsid w:val="00B054DF"/>
    <w:rsid w:val="00B0551E"/>
    <w:rsid w:val="00B055FA"/>
    <w:rsid w:val="00B059A9"/>
    <w:rsid w:val="00B06260"/>
    <w:rsid w:val="00B06BAE"/>
    <w:rsid w:val="00B07069"/>
    <w:rsid w:val="00B073D5"/>
    <w:rsid w:val="00B07C62"/>
    <w:rsid w:val="00B07FBB"/>
    <w:rsid w:val="00B128E2"/>
    <w:rsid w:val="00B1303D"/>
    <w:rsid w:val="00B16313"/>
    <w:rsid w:val="00B16C63"/>
    <w:rsid w:val="00B20E02"/>
    <w:rsid w:val="00B21A7B"/>
    <w:rsid w:val="00B2294C"/>
    <w:rsid w:val="00B22951"/>
    <w:rsid w:val="00B22E33"/>
    <w:rsid w:val="00B2384B"/>
    <w:rsid w:val="00B26448"/>
    <w:rsid w:val="00B27A66"/>
    <w:rsid w:val="00B322DF"/>
    <w:rsid w:val="00B325D4"/>
    <w:rsid w:val="00B32D0B"/>
    <w:rsid w:val="00B36727"/>
    <w:rsid w:val="00B3700E"/>
    <w:rsid w:val="00B4085C"/>
    <w:rsid w:val="00B40BA9"/>
    <w:rsid w:val="00B40D6A"/>
    <w:rsid w:val="00B4108B"/>
    <w:rsid w:val="00B41DA8"/>
    <w:rsid w:val="00B42A78"/>
    <w:rsid w:val="00B430E7"/>
    <w:rsid w:val="00B43360"/>
    <w:rsid w:val="00B44032"/>
    <w:rsid w:val="00B44DEE"/>
    <w:rsid w:val="00B45283"/>
    <w:rsid w:val="00B45981"/>
    <w:rsid w:val="00B465BD"/>
    <w:rsid w:val="00B47E88"/>
    <w:rsid w:val="00B513A5"/>
    <w:rsid w:val="00B52F38"/>
    <w:rsid w:val="00B53D61"/>
    <w:rsid w:val="00B54FC8"/>
    <w:rsid w:val="00B55077"/>
    <w:rsid w:val="00B553C3"/>
    <w:rsid w:val="00B55824"/>
    <w:rsid w:val="00B56A7E"/>
    <w:rsid w:val="00B57DCF"/>
    <w:rsid w:val="00B64865"/>
    <w:rsid w:val="00B65E77"/>
    <w:rsid w:val="00B66AF0"/>
    <w:rsid w:val="00B674E1"/>
    <w:rsid w:val="00B67BE8"/>
    <w:rsid w:val="00B67EF2"/>
    <w:rsid w:val="00B70FCC"/>
    <w:rsid w:val="00B7113B"/>
    <w:rsid w:val="00B71C8B"/>
    <w:rsid w:val="00B72629"/>
    <w:rsid w:val="00B736A3"/>
    <w:rsid w:val="00B7397A"/>
    <w:rsid w:val="00B73E12"/>
    <w:rsid w:val="00B74F98"/>
    <w:rsid w:val="00B76B46"/>
    <w:rsid w:val="00B76F56"/>
    <w:rsid w:val="00B77495"/>
    <w:rsid w:val="00B80091"/>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97ACC"/>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33E5"/>
    <w:rsid w:val="00BB4AE7"/>
    <w:rsid w:val="00BB4F39"/>
    <w:rsid w:val="00BB5179"/>
    <w:rsid w:val="00BB71FF"/>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2601"/>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15A6"/>
    <w:rsid w:val="00BF2456"/>
    <w:rsid w:val="00BF2D81"/>
    <w:rsid w:val="00BF34BC"/>
    <w:rsid w:val="00BF49E1"/>
    <w:rsid w:val="00BF4A7B"/>
    <w:rsid w:val="00BF4B10"/>
    <w:rsid w:val="00BF515F"/>
    <w:rsid w:val="00BF5C04"/>
    <w:rsid w:val="00BF7176"/>
    <w:rsid w:val="00BF74E5"/>
    <w:rsid w:val="00BF751D"/>
    <w:rsid w:val="00BF7BF3"/>
    <w:rsid w:val="00C00C23"/>
    <w:rsid w:val="00C01382"/>
    <w:rsid w:val="00C02B30"/>
    <w:rsid w:val="00C032E3"/>
    <w:rsid w:val="00C04C75"/>
    <w:rsid w:val="00C04F12"/>
    <w:rsid w:val="00C04F9E"/>
    <w:rsid w:val="00C06468"/>
    <w:rsid w:val="00C076ED"/>
    <w:rsid w:val="00C109B2"/>
    <w:rsid w:val="00C11005"/>
    <w:rsid w:val="00C1263B"/>
    <w:rsid w:val="00C13671"/>
    <w:rsid w:val="00C139D5"/>
    <w:rsid w:val="00C13C02"/>
    <w:rsid w:val="00C1553E"/>
    <w:rsid w:val="00C16291"/>
    <w:rsid w:val="00C171B2"/>
    <w:rsid w:val="00C17411"/>
    <w:rsid w:val="00C1765E"/>
    <w:rsid w:val="00C177F5"/>
    <w:rsid w:val="00C20625"/>
    <w:rsid w:val="00C20931"/>
    <w:rsid w:val="00C2097C"/>
    <w:rsid w:val="00C21A8A"/>
    <w:rsid w:val="00C21BAF"/>
    <w:rsid w:val="00C22689"/>
    <w:rsid w:val="00C22B1A"/>
    <w:rsid w:val="00C22F12"/>
    <w:rsid w:val="00C23DEB"/>
    <w:rsid w:val="00C24137"/>
    <w:rsid w:val="00C244B1"/>
    <w:rsid w:val="00C244C8"/>
    <w:rsid w:val="00C25CCC"/>
    <w:rsid w:val="00C260B4"/>
    <w:rsid w:val="00C26389"/>
    <w:rsid w:val="00C2682D"/>
    <w:rsid w:val="00C26B83"/>
    <w:rsid w:val="00C309F3"/>
    <w:rsid w:val="00C33DD7"/>
    <w:rsid w:val="00C3459A"/>
    <w:rsid w:val="00C3588D"/>
    <w:rsid w:val="00C36293"/>
    <w:rsid w:val="00C37185"/>
    <w:rsid w:val="00C372DC"/>
    <w:rsid w:val="00C37CB0"/>
    <w:rsid w:val="00C414B5"/>
    <w:rsid w:val="00C41C0A"/>
    <w:rsid w:val="00C4277E"/>
    <w:rsid w:val="00C43FD1"/>
    <w:rsid w:val="00C448A6"/>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76B"/>
    <w:rsid w:val="00C54819"/>
    <w:rsid w:val="00C548E5"/>
    <w:rsid w:val="00C54BC1"/>
    <w:rsid w:val="00C564BB"/>
    <w:rsid w:val="00C56A4F"/>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70E50"/>
    <w:rsid w:val="00C729E5"/>
    <w:rsid w:val="00C7451C"/>
    <w:rsid w:val="00C75204"/>
    <w:rsid w:val="00C765DA"/>
    <w:rsid w:val="00C8105A"/>
    <w:rsid w:val="00C82979"/>
    <w:rsid w:val="00C82DAF"/>
    <w:rsid w:val="00C82FB2"/>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E00"/>
    <w:rsid w:val="00C94836"/>
    <w:rsid w:val="00C9609D"/>
    <w:rsid w:val="00C9637C"/>
    <w:rsid w:val="00C965C3"/>
    <w:rsid w:val="00C96692"/>
    <w:rsid w:val="00C97BE9"/>
    <w:rsid w:val="00CA2552"/>
    <w:rsid w:val="00CA2A0D"/>
    <w:rsid w:val="00CA3FE2"/>
    <w:rsid w:val="00CA4C6D"/>
    <w:rsid w:val="00CA5EED"/>
    <w:rsid w:val="00CA6660"/>
    <w:rsid w:val="00CA69FE"/>
    <w:rsid w:val="00CA6EBA"/>
    <w:rsid w:val="00CA77CA"/>
    <w:rsid w:val="00CB0978"/>
    <w:rsid w:val="00CB1DBD"/>
    <w:rsid w:val="00CB30C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7753"/>
    <w:rsid w:val="00CD152D"/>
    <w:rsid w:val="00CD19E2"/>
    <w:rsid w:val="00CD1E5A"/>
    <w:rsid w:val="00CD23CE"/>
    <w:rsid w:val="00CD3215"/>
    <w:rsid w:val="00CD3561"/>
    <w:rsid w:val="00CD3FF3"/>
    <w:rsid w:val="00CD4FE0"/>
    <w:rsid w:val="00CD5ACE"/>
    <w:rsid w:val="00CD6316"/>
    <w:rsid w:val="00CD63A1"/>
    <w:rsid w:val="00CD6A81"/>
    <w:rsid w:val="00CD75E6"/>
    <w:rsid w:val="00CD77B5"/>
    <w:rsid w:val="00CE0310"/>
    <w:rsid w:val="00CE2315"/>
    <w:rsid w:val="00CE2C57"/>
    <w:rsid w:val="00CE33A0"/>
    <w:rsid w:val="00CE3484"/>
    <w:rsid w:val="00CE3E5C"/>
    <w:rsid w:val="00CE42D0"/>
    <w:rsid w:val="00CE5BBF"/>
    <w:rsid w:val="00CE6A0A"/>
    <w:rsid w:val="00CF0594"/>
    <w:rsid w:val="00CF1C61"/>
    <w:rsid w:val="00CF1E73"/>
    <w:rsid w:val="00CF2735"/>
    <w:rsid w:val="00CF28B5"/>
    <w:rsid w:val="00CF2924"/>
    <w:rsid w:val="00CF3309"/>
    <w:rsid w:val="00CF3784"/>
    <w:rsid w:val="00CF5041"/>
    <w:rsid w:val="00CF55CC"/>
    <w:rsid w:val="00CF6B92"/>
    <w:rsid w:val="00D00B45"/>
    <w:rsid w:val="00D01726"/>
    <w:rsid w:val="00D02C8B"/>
    <w:rsid w:val="00D02E65"/>
    <w:rsid w:val="00D0355B"/>
    <w:rsid w:val="00D04279"/>
    <w:rsid w:val="00D042E4"/>
    <w:rsid w:val="00D046F9"/>
    <w:rsid w:val="00D04B59"/>
    <w:rsid w:val="00D04F8E"/>
    <w:rsid w:val="00D0515E"/>
    <w:rsid w:val="00D05419"/>
    <w:rsid w:val="00D05889"/>
    <w:rsid w:val="00D058E6"/>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3C32"/>
    <w:rsid w:val="00D23D35"/>
    <w:rsid w:val="00D24796"/>
    <w:rsid w:val="00D24A5E"/>
    <w:rsid w:val="00D24C6A"/>
    <w:rsid w:val="00D27021"/>
    <w:rsid w:val="00D273F2"/>
    <w:rsid w:val="00D300CF"/>
    <w:rsid w:val="00D305A8"/>
    <w:rsid w:val="00D30B76"/>
    <w:rsid w:val="00D31076"/>
    <w:rsid w:val="00D31412"/>
    <w:rsid w:val="00D31414"/>
    <w:rsid w:val="00D3199E"/>
    <w:rsid w:val="00D319F9"/>
    <w:rsid w:val="00D33790"/>
    <w:rsid w:val="00D33CFE"/>
    <w:rsid w:val="00D346C8"/>
    <w:rsid w:val="00D3601A"/>
    <w:rsid w:val="00D3608D"/>
    <w:rsid w:val="00D36C25"/>
    <w:rsid w:val="00D3771F"/>
    <w:rsid w:val="00D379EF"/>
    <w:rsid w:val="00D37FAB"/>
    <w:rsid w:val="00D40709"/>
    <w:rsid w:val="00D41FCE"/>
    <w:rsid w:val="00D422C4"/>
    <w:rsid w:val="00D46FC3"/>
    <w:rsid w:val="00D47749"/>
    <w:rsid w:val="00D478A9"/>
    <w:rsid w:val="00D47AFA"/>
    <w:rsid w:val="00D51887"/>
    <w:rsid w:val="00D5262B"/>
    <w:rsid w:val="00D53368"/>
    <w:rsid w:val="00D535B9"/>
    <w:rsid w:val="00D53D55"/>
    <w:rsid w:val="00D551BB"/>
    <w:rsid w:val="00D55B36"/>
    <w:rsid w:val="00D566F5"/>
    <w:rsid w:val="00D60AED"/>
    <w:rsid w:val="00D611E2"/>
    <w:rsid w:val="00D6489B"/>
    <w:rsid w:val="00D65737"/>
    <w:rsid w:val="00D658C0"/>
    <w:rsid w:val="00D65CE3"/>
    <w:rsid w:val="00D65EC3"/>
    <w:rsid w:val="00D66349"/>
    <w:rsid w:val="00D66466"/>
    <w:rsid w:val="00D66571"/>
    <w:rsid w:val="00D67922"/>
    <w:rsid w:val="00D7177C"/>
    <w:rsid w:val="00D71D79"/>
    <w:rsid w:val="00D734A7"/>
    <w:rsid w:val="00D7503A"/>
    <w:rsid w:val="00D752E7"/>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53D0"/>
    <w:rsid w:val="00D96050"/>
    <w:rsid w:val="00D963A1"/>
    <w:rsid w:val="00D968FC"/>
    <w:rsid w:val="00D97B43"/>
    <w:rsid w:val="00D97EB0"/>
    <w:rsid w:val="00DA01B3"/>
    <w:rsid w:val="00DA0E28"/>
    <w:rsid w:val="00DA16B2"/>
    <w:rsid w:val="00DA1E29"/>
    <w:rsid w:val="00DA1E8E"/>
    <w:rsid w:val="00DA2F32"/>
    <w:rsid w:val="00DA3DAC"/>
    <w:rsid w:val="00DA57FC"/>
    <w:rsid w:val="00DA59CC"/>
    <w:rsid w:val="00DA5F54"/>
    <w:rsid w:val="00DA7EA2"/>
    <w:rsid w:val="00DB1F56"/>
    <w:rsid w:val="00DB2204"/>
    <w:rsid w:val="00DB22EE"/>
    <w:rsid w:val="00DB270D"/>
    <w:rsid w:val="00DB3F2E"/>
    <w:rsid w:val="00DB3FC0"/>
    <w:rsid w:val="00DB429A"/>
    <w:rsid w:val="00DB51F0"/>
    <w:rsid w:val="00DB5713"/>
    <w:rsid w:val="00DB6A58"/>
    <w:rsid w:val="00DC121B"/>
    <w:rsid w:val="00DC2BAE"/>
    <w:rsid w:val="00DC2E5F"/>
    <w:rsid w:val="00DC3323"/>
    <w:rsid w:val="00DC34F0"/>
    <w:rsid w:val="00DC47C9"/>
    <w:rsid w:val="00DC516A"/>
    <w:rsid w:val="00DC5A19"/>
    <w:rsid w:val="00DC7C4C"/>
    <w:rsid w:val="00DD04EC"/>
    <w:rsid w:val="00DD0508"/>
    <w:rsid w:val="00DD1444"/>
    <w:rsid w:val="00DD2240"/>
    <w:rsid w:val="00DD24E0"/>
    <w:rsid w:val="00DD2774"/>
    <w:rsid w:val="00DD31ED"/>
    <w:rsid w:val="00DD3AAC"/>
    <w:rsid w:val="00DD446A"/>
    <w:rsid w:val="00DD45C1"/>
    <w:rsid w:val="00DD48A7"/>
    <w:rsid w:val="00DD4C5F"/>
    <w:rsid w:val="00DD6F66"/>
    <w:rsid w:val="00DE0279"/>
    <w:rsid w:val="00DE1617"/>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A86"/>
    <w:rsid w:val="00E00770"/>
    <w:rsid w:val="00E00DB6"/>
    <w:rsid w:val="00E03677"/>
    <w:rsid w:val="00E03A2F"/>
    <w:rsid w:val="00E03F2E"/>
    <w:rsid w:val="00E0470C"/>
    <w:rsid w:val="00E04C10"/>
    <w:rsid w:val="00E0621C"/>
    <w:rsid w:val="00E07AA6"/>
    <w:rsid w:val="00E10B82"/>
    <w:rsid w:val="00E11B56"/>
    <w:rsid w:val="00E123CE"/>
    <w:rsid w:val="00E13A80"/>
    <w:rsid w:val="00E13C75"/>
    <w:rsid w:val="00E14C9F"/>
    <w:rsid w:val="00E15546"/>
    <w:rsid w:val="00E15940"/>
    <w:rsid w:val="00E15D46"/>
    <w:rsid w:val="00E17246"/>
    <w:rsid w:val="00E17BC0"/>
    <w:rsid w:val="00E20112"/>
    <w:rsid w:val="00E2030D"/>
    <w:rsid w:val="00E204C5"/>
    <w:rsid w:val="00E20C4D"/>
    <w:rsid w:val="00E20FEE"/>
    <w:rsid w:val="00E21692"/>
    <w:rsid w:val="00E22450"/>
    <w:rsid w:val="00E22F1B"/>
    <w:rsid w:val="00E23493"/>
    <w:rsid w:val="00E2356B"/>
    <w:rsid w:val="00E23843"/>
    <w:rsid w:val="00E239FF"/>
    <w:rsid w:val="00E23B66"/>
    <w:rsid w:val="00E23B69"/>
    <w:rsid w:val="00E243DC"/>
    <w:rsid w:val="00E24A75"/>
    <w:rsid w:val="00E24E76"/>
    <w:rsid w:val="00E24FAE"/>
    <w:rsid w:val="00E25DE4"/>
    <w:rsid w:val="00E312C1"/>
    <w:rsid w:val="00E315D4"/>
    <w:rsid w:val="00E322C5"/>
    <w:rsid w:val="00E33381"/>
    <w:rsid w:val="00E33EBC"/>
    <w:rsid w:val="00E33ECD"/>
    <w:rsid w:val="00E34760"/>
    <w:rsid w:val="00E34B39"/>
    <w:rsid w:val="00E358E9"/>
    <w:rsid w:val="00E3727D"/>
    <w:rsid w:val="00E40213"/>
    <w:rsid w:val="00E408B5"/>
    <w:rsid w:val="00E40B49"/>
    <w:rsid w:val="00E4185B"/>
    <w:rsid w:val="00E41934"/>
    <w:rsid w:val="00E423AA"/>
    <w:rsid w:val="00E42755"/>
    <w:rsid w:val="00E43CF8"/>
    <w:rsid w:val="00E43EED"/>
    <w:rsid w:val="00E45BBE"/>
    <w:rsid w:val="00E46472"/>
    <w:rsid w:val="00E466A2"/>
    <w:rsid w:val="00E46C9E"/>
    <w:rsid w:val="00E47EA0"/>
    <w:rsid w:val="00E50008"/>
    <w:rsid w:val="00E51AB2"/>
    <w:rsid w:val="00E51DBD"/>
    <w:rsid w:val="00E53724"/>
    <w:rsid w:val="00E53C8F"/>
    <w:rsid w:val="00E5438D"/>
    <w:rsid w:val="00E56110"/>
    <w:rsid w:val="00E568B5"/>
    <w:rsid w:val="00E56D1B"/>
    <w:rsid w:val="00E5779D"/>
    <w:rsid w:val="00E6010F"/>
    <w:rsid w:val="00E60A51"/>
    <w:rsid w:val="00E61E1A"/>
    <w:rsid w:val="00E621A3"/>
    <w:rsid w:val="00E62FA8"/>
    <w:rsid w:val="00E6377B"/>
    <w:rsid w:val="00E654C0"/>
    <w:rsid w:val="00E659DC"/>
    <w:rsid w:val="00E66087"/>
    <w:rsid w:val="00E67F75"/>
    <w:rsid w:val="00E7078C"/>
    <w:rsid w:val="00E70A78"/>
    <w:rsid w:val="00E71EE2"/>
    <w:rsid w:val="00E72992"/>
    <w:rsid w:val="00E72A8C"/>
    <w:rsid w:val="00E72EF2"/>
    <w:rsid w:val="00E73428"/>
    <w:rsid w:val="00E735AC"/>
    <w:rsid w:val="00E74ACA"/>
    <w:rsid w:val="00E74F7E"/>
    <w:rsid w:val="00E765D0"/>
    <w:rsid w:val="00E76A23"/>
    <w:rsid w:val="00E80568"/>
    <w:rsid w:val="00E8065F"/>
    <w:rsid w:val="00E808C3"/>
    <w:rsid w:val="00E814E7"/>
    <w:rsid w:val="00E81A9C"/>
    <w:rsid w:val="00E82420"/>
    <w:rsid w:val="00E8302D"/>
    <w:rsid w:val="00E83620"/>
    <w:rsid w:val="00E83ED5"/>
    <w:rsid w:val="00E84ACE"/>
    <w:rsid w:val="00E85277"/>
    <w:rsid w:val="00E86632"/>
    <w:rsid w:val="00E8691A"/>
    <w:rsid w:val="00E87D9E"/>
    <w:rsid w:val="00E901D5"/>
    <w:rsid w:val="00E9031F"/>
    <w:rsid w:val="00E917E1"/>
    <w:rsid w:val="00E918D1"/>
    <w:rsid w:val="00E921AB"/>
    <w:rsid w:val="00E92447"/>
    <w:rsid w:val="00E9339D"/>
    <w:rsid w:val="00E9395F"/>
    <w:rsid w:val="00E93C6A"/>
    <w:rsid w:val="00E93F0B"/>
    <w:rsid w:val="00E94E84"/>
    <w:rsid w:val="00E9502F"/>
    <w:rsid w:val="00E95439"/>
    <w:rsid w:val="00E956CD"/>
    <w:rsid w:val="00E96582"/>
    <w:rsid w:val="00EA2470"/>
    <w:rsid w:val="00EA2D6F"/>
    <w:rsid w:val="00EA3AF3"/>
    <w:rsid w:val="00EA3CE8"/>
    <w:rsid w:val="00EA4118"/>
    <w:rsid w:val="00EA5F2C"/>
    <w:rsid w:val="00EB0137"/>
    <w:rsid w:val="00EB130D"/>
    <w:rsid w:val="00EB15F3"/>
    <w:rsid w:val="00EB1F36"/>
    <w:rsid w:val="00EB1FDF"/>
    <w:rsid w:val="00EB363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4861"/>
    <w:rsid w:val="00ED528B"/>
    <w:rsid w:val="00ED5322"/>
    <w:rsid w:val="00ED5679"/>
    <w:rsid w:val="00ED5F98"/>
    <w:rsid w:val="00ED62BD"/>
    <w:rsid w:val="00ED749D"/>
    <w:rsid w:val="00ED7C85"/>
    <w:rsid w:val="00EE1D39"/>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DF4"/>
    <w:rsid w:val="00EF5A20"/>
    <w:rsid w:val="00EF5FD9"/>
    <w:rsid w:val="00EF66F8"/>
    <w:rsid w:val="00EF797C"/>
    <w:rsid w:val="00F00549"/>
    <w:rsid w:val="00F013AE"/>
    <w:rsid w:val="00F01998"/>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7B59"/>
    <w:rsid w:val="00F318CF"/>
    <w:rsid w:val="00F31D01"/>
    <w:rsid w:val="00F32C3F"/>
    <w:rsid w:val="00F32D89"/>
    <w:rsid w:val="00F32EE9"/>
    <w:rsid w:val="00F33CA5"/>
    <w:rsid w:val="00F33DDC"/>
    <w:rsid w:val="00F34FEF"/>
    <w:rsid w:val="00F3561D"/>
    <w:rsid w:val="00F365D8"/>
    <w:rsid w:val="00F36763"/>
    <w:rsid w:val="00F36D68"/>
    <w:rsid w:val="00F400C8"/>
    <w:rsid w:val="00F405F5"/>
    <w:rsid w:val="00F4154F"/>
    <w:rsid w:val="00F41935"/>
    <w:rsid w:val="00F4315F"/>
    <w:rsid w:val="00F45166"/>
    <w:rsid w:val="00F46411"/>
    <w:rsid w:val="00F46D01"/>
    <w:rsid w:val="00F46EC7"/>
    <w:rsid w:val="00F474AA"/>
    <w:rsid w:val="00F4770C"/>
    <w:rsid w:val="00F51877"/>
    <w:rsid w:val="00F51D4A"/>
    <w:rsid w:val="00F51EBD"/>
    <w:rsid w:val="00F541B7"/>
    <w:rsid w:val="00F54497"/>
    <w:rsid w:val="00F54582"/>
    <w:rsid w:val="00F56F2E"/>
    <w:rsid w:val="00F56F63"/>
    <w:rsid w:val="00F57AD3"/>
    <w:rsid w:val="00F61699"/>
    <w:rsid w:val="00F61CD0"/>
    <w:rsid w:val="00F6204D"/>
    <w:rsid w:val="00F62810"/>
    <w:rsid w:val="00F62A9C"/>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5C10"/>
    <w:rsid w:val="00F86646"/>
    <w:rsid w:val="00F86FBB"/>
    <w:rsid w:val="00F87930"/>
    <w:rsid w:val="00F9038C"/>
    <w:rsid w:val="00F905DF"/>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7D33"/>
    <w:rsid w:val="00FA02B5"/>
    <w:rsid w:val="00FA1253"/>
    <w:rsid w:val="00FA174A"/>
    <w:rsid w:val="00FA181D"/>
    <w:rsid w:val="00FA18B1"/>
    <w:rsid w:val="00FA2C7C"/>
    <w:rsid w:val="00FA2C95"/>
    <w:rsid w:val="00FA2D8D"/>
    <w:rsid w:val="00FA4AD5"/>
    <w:rsid w:val="00FA5C30"/>
    <w:rsid w:val="00FA6485"/>
    <w:rsid w:val="00FA6A90"/>
    <w:rsid w:val="00FB01F3"/>
    <w:rsid w:val="00FB179C"/>
    <w:rsid w:val="00FB26CB"/>
    <w:rsid w:val="00FB2D63"/>
    <w:rsid w:val="00FB3D8D"/>
    <w:rsid w:val="00FB5898"/>
    <w:rsid w:val="00FB5A2E"/>
    <w:rsid w:val="00FB6633"/>
    <w:rsid w:val="00FB702A"/>
    <w:rsid w:val="00FB732E"/>
    <w:rsid w:val="00FB7412"/>
    <w:rsid w:val="00FB7956"/>
    <w:rsid w:val="00FC0092"/>
    <w:rsid w:val="00FC0874"/>
    <w:rsid w:val="00FC0DC2"/>
    <w:rsid w:val="00FC3303"/>
    <w:rsid w:val="00FC3966"/>
    <w:rsid w:val="00FC3D1D"/>
    <w:rsid w:val="00FC3E5D"/>
    <w:rsid w:val="00FC49AB"/>
    <w:rsid w:val="00FC59D9"/>
    <w:rsid w:val="00FC6EE3"/>
    <w:rsid w:val="00FC7025"/>
    <w:rsid w:val="00FC7B08"/>
    <w:rsid w:val="00FD430F"/>
    <w:rsid w:val="00FD5CEE"/>
    <w:rsid w:val="00FD62A1"/>
    <w:rsid w:val="00FD751B"/>
    <w:rsid w:val="00FE01F5"/>
    <w:rsid w:val="00FE051B"/>
    <w:rsid w:val="00FE2904"/>
    <w:rsid w:val="00FE2C11"/>
    <w:rsid w:val="00FE31FC"/>
    <w:rsid w:val="00FE4074"/>
    <w:rsid w:val="00FE5338"/>
    <w:rsid w:val="00FE5605"/>
    <w:rsid w:val="00FE5B92"/>
    <w:rsid w:val="00FE6072"/>
    <w:rsid w:val="00FE6711"/>
    <w:rsid w:val="00FE6D0F"/>
    <w:rsid w:val="00FE79F2"/>
    <w:rsid w:val="00FE7C56"/>
    <w:rsid w:val="00FF0E6F"/>
    <w:rsid w:val="00FF13DE"/>
    <w:rsid w:val="00FF1437"/>
    <w:rsid w:val="00FF16AB"/>
    <w:rsid w:val="00FF1749"/>
    <w:rsid w:val="00FF4695"/>
    <w:rsid w:val="00FF48B5"/>
    <w:rsid w:val="00FF5EC7"/>
    <w:rsid w:val="0F404701"/>
    <w:rsid w:val="358023C0"/>
    <w:rsid w:val="47A51454"/>
    <w:rsid w:val="4FBB3EE5"/>
    <w:rsid w:val="69AB7EEE"/>
    <w:rsid w:val="747123B0"/>
    <w:rsid w:val="7D57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99"/>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qFormat/>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页眉 Char"/>
    <w:link w:val="21"/>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7F402-EB79-4A91-BDFB-B7D36A1FB9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15531</Words>
  <Characters>88532</Characters>
  <Lines>737</Lines>
  <Paragraphs>207</Paragraphs>
  <TotalTime>194</TotalTime>
  <ScaleCrop>false</ScaleCrop>
  <LinksUpToDate>false</LinksUpToDate>
  <CharactersWithSpaces>103856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2021-08-19T15:31:00Z</dcterms:created>
  <dc:creator>倪俊-2</dc:creator>
  <cp:lastModifiedBy>喻秋燕</cp:lastModifiedBy>
  <cp:lastPrinted>2021-11-08T03:22:00Z</cp:lastPrinted>
  <dcterms:modified xsi:type="dcterms:W3CDTF">2022-06-14T05:21:55Z</dcterms:modified>
  <dc:title>招募说明书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