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3A064" w14:textId="43283AF0" w:rsid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b/>
          <w:bCs/>
          <w:color w:val="000000"/>
          <w:sz w:val="30"/>
          <w:szCs w:val="30"/>
        </w:rPr>
      </w:pPr>
      <w:bookmarkStart w:id="0" w:name="_Toc249760023"/>
      <w:bookmarkStart w:id="1" w:name="_GoBack"/>
      <w:bookmarkEnd w:id="1"/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交银施罗德基金管理有限公司关于交银施罗德</w:t>
      </w:r>
      <w:r w:rsidR="0042635E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增利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债券证券投资基金暂停</w:t>
      </w:r>
      <w:r w:rsidR="001867E4" w:rsidRPr="001867E4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及恢复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大额申购（转换转入、定期定额投资）</w:t>
      </w:r>
      <w:r w:rsidR="00CE0B82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的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30"/>
          <w:szCs w:val="30"/>
        </w:rPr>
        <w:t>公告</w:t>
      </w:r>
    </w:p>
    <w:p w14:paraId="1FBCDB6C" w14:textId="5EEA1EBB" w:rsidR="001A3930" w:rsidRPr="001A3930" w:rsidRDefault="001A3930" w:rsidP="001A3930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公告送出日期：</w:t>
      </w:r>
      <w:r w:rsidR="00884A07">
        <w:rPr>
          <w:rFonts w:ascii="宋体" w:eastAsia="宋体" w:hAnsi="宋体" w:cs="Times New Roman"/>
          <w:b/>
          <w:sz w:val="24"/>
          <w:szCs w:val="24"/>
        </w:rPr>
        <w:t>2021</w:t>
      </w:r>
      <w:r w:rsidR="00884A07">
        <w:rPr>
          <w:rFonts w:ascii="宋体" w:eastAsia="宋体" w:hAnsi="宋体" w:cs="Times New Roman" w:hint="eastAsia"/>
          <w:b/>
          <w:sz w:val="24"/>
          <w:szCs w:val="24"/>
        </w:rPr>
        <w:t>年</w:t>
      </w:r>
      <w:r w:rsidR="00515A00">
        <w:rPr>
          <w:rFonts w:ascii="宋体" w:eastAsia="宋体" w:hAnsi="宋体" w:cs="Times New Roman"/>
          <w:b/>
          <w:sz w:val="24"/>
          <w:szCs w:val="24"/>
        </w:rPr>
        <w:t>10</w:t>
      </w:r>
      <w:r w:rsidR="007069E8">
        <w:rPr>
          <w:rFonts w:ascii="宋体" w:eastAsia="宋体" w:hAnsi="宋体" w:cs="Times New Roman"/>
          <w:b/>
          <w:sz w:val="24"/>
          <w:szCs w:val="24"/>
        </w:rPr>
        <w:t>月</w:t>
      </w:r>
      <w:r w:rsidR="0099236A">
        <w:rPr>
          <w:rFonts w:ascii="宋体" w:eastAsia="宋体" w:hAnsi="宋体" w:cs="Times New Roman"/>
          <w:b/>
          <w:sz w:val="24"/>
          <w:szCs w:val="24"/>
        </w:rPr>
        <w:t>1</w:t>
      </w:r>
      <w:r w:rsidR="00515A00">
        <w:rPr>
          <w:rFonts w:ascii="宋体" w:eastAsia="宋体" w:hAnsi="宋体" w:cs="Times New Roman"/>
          <w:b/>
          <w:sz w:val="24"/>
          <w:szCs w:val="24"/>
        </w:rPr>
        <w:t>4</w:t>
      </w:r>
      <w:r w:rsidR="007069E8">
        <w:rPr>
          <w:rFonts w:ascii="宋体" w:eastAsia="宋体" w:hAnsi="宋体" w:cs="Times New Roman"/>
          <w:b/>
          <w:sz w:val="24"/>
          <w:szCs w:val="24"/>
        </w:rPr>
        <w:t>日</w:t>
      </w:r>
    </w:p>
    <w:p w14:paraId="2B3A6F77" w14:textId="77777777" w:rsidR="001A3930" w:rsidRPr="001A3930" w:rsidRDefault="001A3930" w:rsidP="001A3930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bookmarkEnd w:id="0"/>
    <w:p w14:paraId="7BD2E8AA" w14:textId="77777777" w:rsidR="001A3930" w:rsidRPr="001A3930" w:rsidRDefault="001A3930" w:rsidP="001A3930">
      <w:pPr>
        <w:spacing w:line="360" w:lineRule="auto"/>
        <w:outlineLvl w:val="2"/>
        <w:rPr>
          <w:rFonts w:ascii="宋体" w:eastAsia="宋体" w:hAnsi="宋体" w:cs="Times New Roman"/>
          <w:b/>
          <w:sz w:val="24"/>
          <w:szCs w:val="24"/>
        </w:rPr>
      </w:pPr>
      <w:r w:rsidRPr="001A3930">
        <w:rPr>
          <w:rFonts w:ascii="宋体" w:eastAsia="宋体" w:hAnsi="宋体" w:cs="Times New Roman" w:hint="eastAsia"/>
          <w:b/>
          <w:sz w:val="24"/>
          <w:szCs w:val="24"/>
        </w:rPr>
        <w:t>1.公告基本信息</w:t>
      </w:r>
    </w:p>
    <w:tbl>
      <w:tblPr>
        <w:tblW w:w="93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2"/>
        <w:gridCol w:w="3150"/>
        <w:gridCol w:w="7"/>
        <w:gridCol w:w="3157"/>
      </w:tblGrid>
      <w:tr w:rsidR="001A3930" w:rsidRPr="001A3930" w14:paraId="49B50116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4CA0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83E26" w14:textId="5DE1F388" w:rsidR="001A3930" w:rsidRPr="001A3930" w:rsidRDefault="001A3930" w:rsidP="0042635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F4347">
              <w:rPr>
                <w:rFonts w:hint="eastAsia"/>
                <w:sz w:val="24"/>
              </w:rPr>
              <w:t>交银施罗德</w:t>
            </w:r>
            <w:r w:rsidR="0042635E">
              <w:rPr>
                <w:rFonts w:hint="eastAsia"/>
                <w:sz w:val="24"/>
              </w:rPr>
              <w:t>增利</w:t>
            </w:r>
            <w:r w:rsidRPr="005F4347">
              <w:rPr>
                <w:rFonts w:hint="eastAsia"/>
                <w:sz w:val="24"/>
              </w:rPr>
              <w:t>债券证券投资基金</w:t>
            </w:r>
          </w:p>
        </w:tc>
      </w:tr>
      <w:tr w:rsidR="001A3930" w:rsidRPr="001A3930" w14:paraId="2A9D3F03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7753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基金简称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7CE97" w14:textId="40487E59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42635E">
              <w:rPr>
                <w:rFonts w:hint="eastAsia"/>
                <w:sz w:val="24"/>
              </w:rPr>
              <w:t>增利</w:t>
            </w:r>
            <w:r>
              <w:rPr>
                <w:rFonts w:hint="eastAsia"/>
                <w:sz w:val="24"/>
              </w:rPr>
              <w:t>债券</w:t>
            </w:r>
          </w:p>
        </w:tc>
      </w:tr>
      <w:tr w:rsidR="001A3930" w:rsidRPr="001A3930" w14:paraId="62A6EF4C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72CD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基金主代码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B46F" w14:textId="38240349" w:rsidR="001A3930" w:rsidRPr="005575BA" w:rsidRDefault="0042635E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519680</w:t>
            </w:r>
          </w:p>
        </w:tc>
      </w:tr>
      <w:tr w:rsidR="001A3930" w:rsidRPr="001A3930" w14:paraId="65AC1F45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722E2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基金管理人名称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1FDA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交银施罗德基金管理有限公司</w:t>
            </w:r>
          </w:p>
        </w:tc>
      </w:tr>
      <w:tr w:rsidR="001A3930" w:rsidRPr="001A3930" w14:paraId="38D8EE74" w14:textId="77777777" w:rsidTr="00E21DB8">
        <w:trPr>
          <w:jc w:val="center"/>
        </w:trPr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77BB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公告依据</w:t>
            </w:r>
          </w:p>
        </w:tc>
        <w:tc>
          <w:tcPr>
            <w:tcW w:w="63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5F65B" w14:textId="712F3631" w:rsidR="001A3930" w:rsidRPr="001A3930" w:rsidRDefault="001A3930" w:rsidP="0042635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42635E">
              <w:rPr>
                <w:rFonts w:hint="eastAsia"/>
                <w:sz w:val="24"/>
              </w:rPr>
              <w:t>增利</w:t>
            </w:r>
            <w:r w:rsidRPr="00E46A67">
              <w:rPr>
                <w:rFonts w:hint="eastAsia"/>
                <w:sz w:val="24"/>
              </w:rPr>
              <w:t>债券证券投资基金</w:t>
            </w:r>
            <w:r>
              <w:rPr>
                <w:rFonts w:hint="eastAsia"/>
                <w:sz w:val="24"/>
              </w:rPr>
              <w:t>基金合同》、《</w:t>
            </w:r>
            <w:r w:rsidRPr="00E46A67">
              <w:rPr>
                <w:rFonts w:hint="eastAsia"/>
                <w:sz w:val="24"/>
              </w:rPr>
              <w:t>交银施罗德</w:t>
            </w:r>
            <w:r w:rsidR="0042635E">
              <w:rPr>
                <w:rFonts w:hint="eastAsia"/>
                <w:sz w:val="24"/>
              </w:rPr>
              <w:t>增利</w:t>
            </w:r>
            <w:r w:rsidRPr="00E46A67">
              <w:rPr>
                <w:rFonts w:hint="eastAsia"/>
                <w:sz w:val="24"/>
              </w:rPr>
              <w:t>债券证券投资基金</w:t>
            </w:r>
            <w:r>
              <w:rPr>
                <w:rFonts w:hint="eastAsia"/>
                <w:sz w:val="24"/>
              </w:rPr>
              <w:t>招募说明书》等</w:t>
            </w:r>
          </w:p>
        </w:tc>
      </w:tr>
      <w:tr w:rsidR="00BB219D" w:rsidRPr="001A3930" w14:paraId="1A028E73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540B97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暂停相关业务的起始日、金额及原因说明</w:t>
            </w:r>
          </w:p>
          <w:p w14:paraId="4F182EE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CF729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暂停大额申购起始日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E185" w14:textId="5E549B09" w:rsidR="00BB219D" w:rsidRPr="00C64911" w:rsidRDefault="00884A07" w:rsidP="00884A0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="00515A0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  <w:r w:rsidR="007069E8"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="0099236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="00515A0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  <w:r w:rsidR="007069E8"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BB219D" w:rsidRPr="001A3930" w14:paraId="12307E0F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1F913D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3CB98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暂停大额转换转入起始日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65890" w14:textId="360A24F5" w:rsidR="00BB219D" w:rsidRPr="00C64911" w:rsidRDefault="00884A07" w:rsidP="00884A0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21</w:t>
            </w:r>
            <w:r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="00515A0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  <w:r w:rsidR="007069E8"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="0099236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="00515A0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  <w:r w:rsidR="007069E8"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BB219D" w:rsidRPr="001A3930" w14:paraId="3C5664A7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60AEB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C3F5C" w14:textId="77777777" w:rsidR="00BB219D" w:rsidRPr="001A3930" w:rsidRDefault="00BB219D" w:rsidP="00BB219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暂停大额定期定额投资起始日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776D2" w14:textId="1D834ADE" w:rsidR="00BB219D" w:rsidRPr="00C64911" w:rsidRDefault="00884A07" w:rsidP="00884A07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20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21</w:t>
            </w:r>
            <w:r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="00515A0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10</w:t>
            </w:r>
            <w:r w:rsidR="007069E8"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月</w:t>
            </w:r>
            <w:r w:rsidR="0099236A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1</w:t>
            </w:r>
            <w:r w:rsidR="00515A00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4</w:t>
            </w:r>
            <w:r w:rsidR="007069E8" w:rsidRPr="007069E8"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日</w:t>
            </w:r>
          </w:p>
        </w:tc>
      </w:tr>
      <w:tr w:rsidR="001A3930" w:rsidRPr="001A3930" w14:paraId="631C9E4E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960390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7A923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限制大额申购金额（单位：元）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09263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09B52189" w14:textId="77777777" w:rsidTr="00E21DB8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23"/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F1F4F8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FB7B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限制大额转换转入金额（单位：元）</w:t>
            </w:r>
          </w:p>
        </w:tc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8D235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23F2D68C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D435ED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257E91" w14:textId="77777777" w:rsidR="001A3930" w:rsidRPr="001A3930" w:rsidRDefault="001A3930" w:rsidP="00FF28EA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FF28EA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6BB" w14:textId="77777777" w:rsidR="001A3930" w:rsidRPr="003C0067" w:rsidRDefault="00CE0B82" w:rsidP="001A3930">
            <w:pPr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1,000,000</w:t>
            </w:r>
          </w:p>
        </w:tc>
      </w:tr>
      <w:tr w:rsidR="001A3930" w:rsidRPr="001A3930" w14:paraId="5C4E4AF5" w14:textId="77777777" w:rsidTr="00E21D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D7EB2" w14:textId="77777777" w:rsidR="001A3930" w:rsidRPr="001A3930" w:rsidRDefault="001A3930" w:rsidP="001A3930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492313B" w14:textId="77777777" w:rsidR="001A3930" w:rsidRPr="001A3930" w:rsidRDefault="001A3930" w:rsidP="00F72082">
            <w:pPr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706EF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暂停大额申购（转换转入、定期定额投资）的原因说明</w:t>
            </w:r>
          </w:p>
        </w:tc>
        <w:tc>
          <w:tcPr>
            <w:tcW w:w="3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7719D" w14:textId="225AD7FF" w:rsidR="001A3930" w:rsidRPr="001A3930" w:rsidRDefault="001A3930" w:rsidP="00CE0B8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宋体" w:cs="Times New Roman"/>
                <w:sz w:val="24"/>
                <w:szCs w:val="24"/>
              </w:rPr>
              <w:t>为保护基金份额持有人的利益</w:t>
            </w:r>
          </w:p>
        </w:tc>
      </w:tr>
      <w:tr w:rsidR="001A3930" w:rsidRPr="001A3930" w14:paraId="25C9189F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7850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下属分级基金的基金简称</w:t>
            </w: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0B3" w14:textId="1E70302E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42635E">
              <w:rPr>
                <w:rFonts w:hint="eastAsia"/>
                <w:sz w:val="24"/>
              </w:rPr>
              <w:t>增利</w:t>
            </w:r>
            <w:r>
              <w:rPr>
                <w:rFonts w:hint="eastAsia"/>
                <w:sz w:val="24"/>
              </w:rPr>
              <w:t>债券</w:t>
            </w:r>
            <w:r w:rsidRPr="00995A04">
              <w:rPr>
                <w:rFonts w:hint="eastAsia"/>
                <w:sz w:val="24"/>
              </w:rPr>
              <w:t>A/B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627C" w14:textId="50F52A34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交银</w:t>
            </w:r>
            <w:r w:rsidR="0042635E">
              <w:rPr>
                <w:rFonts w:hint="eastAsia"/>
                <w:sz w:val="24"/>
              </w:rPr>
              <w:t>增利</w:t>
            </w:r>
            <w:r>
              <w:rPr>
                <w:rFonts w:hint="eastAsia"/>
                <w:sz w:val="24"/>
              </w:rPr>
              <w:t>债券</w:t>
            </w:r>
            <w:r>
              <w:rPr>
                <w:rFonts w:hint="eastAsia"/>
                <w:sz w:val="24"/>
              </w:rPr>
              <w:t>C</w:t>
            </w:r>
          </w:p>
        </w:tc>
      </w:tr>
      <w:tr w:rsidR="001A3930" w:rsidRPr="00BD50CB" w14:paraId="2524E0CA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2630E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下属分级基金的交易代码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DB03" w14:textId="69F334EC" w:rsidR="001A3930" w:rsidRPr="00FF28EA" w:rsidRDefault="0042635E" w:rsidP="0042635E">
            <w:pPr>
              <w:rPr>
                <w:rFonts w:ascii="Times New Roman" w:hAnsi="Times New Roman" w:cs="Times New Roman"/>
                <w:sz w:val="24"/>
              </w:rPr>
            </w:pPr>
            <w:r w:rsidRPr="00FF28EA">
              <w:rPr>
                <w:rFonts w:ascii="Times New Roman" w:hAnsi="Times New Roman" w:cs="Times New Roman"/>
                <w:sz w:val="24"/>
              </w:rPr>
              <w:t>519</w:t>
            </w:r>
            <w:r>
              <w:rPr>
                <w:rFonts w:ascii="Times New Roman" w:hAnsi="Times New Roman" w:cs="Times New Roman"/>
                <w:sz w:val="24"/>
              </w:rPr>
              <w:t>680</w:t>
            </w:r>
            <w:r w:rsidR="001A3930" w:rsidRPr="00FF28EA">
              <w:rPr>
                <w:rFonts w:ascii="Times New Roman" w:hAnsi="Times New Roman" w:cs="Times New Roman" w:hint="eastAsia"/>
                <w:sz w:val="24"/>
              </w:rPr>
              <w:t>（前端）、</w:t>
            </w:r>
            <w:r w:rsidRPr="00FF28EA">
              <w:rPr>
                <w:rFonts w:ascii="Times New Roman" w:hAnsi="Times New Roman" w:cs="Times New Roman"/>
                <w:sz w:val="24"/>
              </w:rPr>
              <w:t>519</w:t>
            </w:r>
            <w:r>
              <w:rPr>
                <w:rFonts w:ascii="Times New Roman" w:hAnsi="Times New Roman" w:cs="Times New Roman"/>
                <w:sz w:val="24"/>
              </w:rPr>
              <w:t>681</w:t>
            </w:r>
            <w:r w:rsidR="001A3930" w:rsidRPr="00FF28EA">
              <w:rPr>
                <w:rFonts w:ascii="Times New Roman" w:hAnsi="Times New Roman" w:cs="Times New Roman" w:hint="eastAsia"/>
                <w:sz w:val="24"/>
              </w:rPr>
              <w:t>（后端）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F482" w14:textId="32422098" w:rsidR="001A3930" w:rsidRPr="00BD50CB" w:rsidRDefault="0042635E" w:rsidP="0042635E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F28EA">
              <w:rPr>
                <w:rFonts w:ascii="Times New Roman" w:hAnsi="Times New Roman" w:cs="Times New Roman"/>
                <w:sz w:val="24"/>
              </w:rPr>
              <w:t>519</w:t>
            </w:r>
            <w:r>
              <w:rPr>
                <w:rFonts w:ascii="Times New Roman" w:hAnsi="Times New Roman" w:cs="Times New Roman"/>
                <w:sz w:val="24"/>
              </w:rPr>
              <w:t>682</w:t>
            </w:r>
          </w:p>
        </w:tc>
      </w:tr>
      <w:tr w:rsidR="001A3930" w:rsidRPr="001A3930" w14:paraId="32C8E906" w14:textId="77777777" w:rsidTr="00E21D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7CC1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该分级基金是否暂停大额申购（转换转入、定期定额投资）</w:t>
            </w:r>
          </w:p>
        </w:tc>
        <w:tc>
          <w:tcPr>
            <w:tcW w:w="3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EA3A5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DF3C" w14:textId="77777777" w:rsidR="001A3930" w:rsidRPr="001A3930" w:rsidRDefault="001A3930" w:rsidP="001A3930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A3930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</w:t>
            </w:r>
          </w:p>
        </w:tc>
      </w:tr>
    </w:tbl>
    <w:p w14:paraId="60A0580E" w14:textId="77777777" w:rsidR="001A3930" w:rsidRPr="00FF28EA" w:rsidRDefault="001A3930" w:rsidP="001A3930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2449F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注：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（</w:t>
      </w:r>
      <w:r w:rsidRPr="00FF28EA">
        <w:rPr>
          <w:rFonts w:ascii="Times New Roman" w:hAnsi="Times New Roman" w:cs="Times New Roman"/>
          <w:color w:val="000000"/>
          <w:sz w:val="24"/>
        </w:rPr>
        <w:t>1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）本基金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类基金份额采用前端收费模式，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类基金份额采用后端收费模式，前端交易代码即为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类基金份额交易代码，后端交易代码即为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类基金份额交易代码。</w:t>
      </w:r>
    </w:p>
    <w:p w14:paraId="025EF8DE" w14:textId="4BEF8E18" w:rsidR="001A3930" w:rsidRPr="00FF28EA" w:rsidRDefault="001A3930" w:rsidP="001A3930">
      <w:pPr>
        <w:spacing w:line="360" w:lineRule="auto"/>
        <w:rPr>
          <w:rFonts w:ascii="Times New Roman" w:hAnsi="Times New Roman" w:cs="Times New Roman"/>
          <w:color w:val="000000"/>
          <w:sz w:val="24"/>
        </w:rPr>
      </w:pPr>
      <w:r w:rsidRPr="00FF28EA">
        <w:rPr>
          <w:rFonts w:ascii="Times New Roman" w:hAnsi="Times New Roman" w:cs="Times New Roman"/>
          <w:color w:val="000000"/>
          <w:sz w:val="24"/>
        </w:rPr>
        <w:t xml:space="preserve">   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（</w:t>
      </w:r>
      <w:r w:rsidRPr="00FF28EA">
        <w:rPr>
          <w:rFonts w:ascii="Times New Roman" w:hAnsi="Times New Roman" w:cs="Times New Roman"/>
          <w:color w:val="000000"/>
          <w:sz w:val="24"/>
        </w:rPr>
        <w:t>2</w:t>
      </w:r>
      <w:r w:rsidRPr="00FF28EA">
        <w:rPr>
          <w:rFonts w:ascii="Times New Roman" w:hAnsi="Times New Roman" w:cs="Times New Roman" w:hint="eastAsia"/>
          <w:color w:val="000000"/>
          <w:sz w:val="24"/>
        </w:rPr>
        <w:t>）除了对单笔金额在人民币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</w:t>
      </w:r>
      <w:r w:rsidRPr="00FF28EA">
        <w:rPr>
          <w:rFonts w:ascii="Times New Roman" w:hAnsi="Times New Roman" w:cs="Times New Roman"/>
          <w:color w:val="000000"/>
          <w:sz w:val="24"/>
        </w:rPr>
        <w:t>(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</w:t>
      </w:r>
      <w:r w:rsidRPr="00FF28EA">
        <w:rPr>
          <w:rFonts w:ascii="Times New Roman" w:hAnsi="Times New Roman" w:cs="Times New Roman"/>
          <w:color w:val="000000"/>
          <w:sz w:val="24"/>
        </w:rPr>
        <w:t>)</w:t>
      </w:r>
      <w:r w:rsidRPr="00FF28EA">
        <w:rPr>
          <w:rFonts w:ascii="Times New Roman" w:hAnsi="Times New Roman" w:cs="Times New Roman" w:hint="eastAsia"/>
          <w:color w:val="000000"/>
          <w:sz w:val="24"/>
        </w:rPr>
        <w:t>的申购及转换入申请（含定期定额投资业务发起的申购申请）进行限制外，对于当日单个基金账</w:t>
      </w:r>
      <w:r w:rsidRPr="00FF28EA">
        <w:rPr>
          <w:rFonts w:ascii="Times New Roman" w:hAnsi="Times New Roman" w:cs="Times New Roman" w:hint="eastAsia"/>
          <w:color w:val="000000"/>
          <w:sz w:val="24"/>
        </w:rPr>
        <w:lastRenderedPageBreak/>
        <w:t>户累计申购及转换入金额在人民币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万元以上（不含</w:t>
      </w:r>
      <w:r w:rsidR="00CE0B82">
        <w:rPr>
          <w:rFonts w:ascii="Times New Roman" w:hAnsi="Times New Roman" w:cs="Times New Roman"/>
          <w:color w:val="000000"/>
          <w:sz w:val="24"/>
        </w:rPr>
        <w:t>100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万元）的申购及转换入申请（含定期定额投资业务发起的申购申请，本基金</w:t>
      </w:r>
      <w:r w:rsidRPr="00FF28EA">
        <w:rPr>
          <w:rFonts w:ascii="Times New Roman" w:hAnsi="Times New Roman" w:cs="Times New Roman"/>
          <w:color w:val="000000"/>
          <w:sz w:val="24"/>
        </w:rPr>
        <w:t>A</w:t>
      </w:r>
      <w:r w:rsidRPr="00FF28EA">
        <w:rPr>
          <w:rFonts w:ascii="Times New Roman" w:hAnsi="Times New Roman" w:cs="Times New Roman" w:hint="eastAsia"/>
          <w:color w:val="000000"/>
          <w:sz w:val="24"/>
        </w:rPr>
        <w:t>、</w:t>
      </w:r>
      <w:r w:rsidRPr="00FF28EA">
        <w:rPr>
          <w:rFonts w:ascii="Times New Roman" w:hAnsi="Times New Roman" w:cs="Times New Roman"/>
          <w:color w:val="000000"/>
          <w:sz w:val="24"/>
        </w:rPr>
        <w:t>B</w:t>
      </w:r>
      <w:r w:rsidRPr="00FF28EA">
        <w:rPr>
          <w:rFonts w:ascii="Times New Roman" w:hAnsi="Times New Roman" w:cs="Times New Roman" w:hint="eastAsia"/>
          <w:color w:val="000000"/>
          <w:sz w:val="24"/>
        </w:rPr>
        <w:t>、</w:t>
      </w:r>
      <w:r w:rsidRPr="00FF28EA">
        <w:rPr>
          <w:rFonts w:ascii="Times New Roman" w:hAnsi="Times New Roman" w:cs="Times New Roman"/>
          <w:color w:val="000000"/>
          <w:sz w:val="24"/>
        </w:rPr>
        <w:t>C</w:t>
      </w:r>
      <w:r w:rsidRPr="00FF28EA">
        <w:rPr>
          <w:rFonts w:ascii="Times New Roman" w:hAnsi="Times New Roman" w:cs="Times New Roman" w:hint="eastAsia"/>
          <w:color w:val="000000"/>
          <w:sz w:val="24"/>
        </w:rPr>
        <w:t>三类基金份额申请金额并予以合计），本基金管理人也有权拒绝，不予确认。</w:t>
      </w:r>
    </w:p>
    <w:p w14:paraId="107DFFB8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4CC7E99F" w14:textId="77777777" w:rsidR="001A3930" w:rsidRPr="001A3930" w:rsidRDefault="001A3930" w:rsidP="001A3930">
      <w:pPr>
        <w:spacing w:line="360" w:lineRule="auto"/>
        <w:outlineLvl w:val="2"/>
        <w:rPr>
          <w:rFonts w:ascii="Times New Roman" w:eastAsia="宋体" w:hAnsi="Times New Roman" w:cs="Times New Roman"/>
          <w:b/>
          <w:bCs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2.</w:t>
      </w:r>
      <w:r w:rsidRPr="001A3930">
        <w:rPr>
          <w:rFonts w:ascii="Times New Roman" w:eastAsia="宋体" w:hAnsi="Times New Roman" w:cs="Times New Roman" w:hint="eastAsia"/>
          <w:b/>
          <w:bCs/>
          <w:color w:val="000000"/>
          <w:sz w:val="24"/>
          <w:szCs w:val="24"/>
        </w:rPr>
        <w:t>其他需要提示的事项</w:t>
      </w:r>
    </w:p>
    <w:p w14:paraId="2C5A56F3" w14:textId="5100948C" w:rsidR="001A3930" w:rsidRPr="001A3930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在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上述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暂停大额申购（转换转入、定期定额投资）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期间，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本基金的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赎回、转换转出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业务</w:t>
      </w:r>
      <w:r w:rsidR="006633BB">
        <w:rPr>
          <w:rFonts w:ascii="Times New Roman" w:eastAsia="宋体" w:hAnsi="Times New Roman" w:cs="Times New Roman"/>
          <w:color w:val="000000"/>
          <w:sz w:val="24"/>
          <w:szCs w:val="24"/>
        </w:rPr>
        <w:t>正常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进行</w:t>
      </w:r>
      <w:r w:rsidR="001A3930"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20C6681E" w14:textId="2098E947" w:rsidR="00056FED" w:rsidRDefault="00056FED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自</w:t>
      </w:r>
      <w:r w:rsidR="004D0952" w:rsidRPr="007069E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202</w:t>
      </w:r>
      <w:r w:rsidR="004D0952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="004D0952" w:rsidRPr="007069E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年</w:t>
      </w:r>
      <w:r w:rsidR="00527E92">
        <w:rPr>
          <w:rFonts w:ascii="Times New Roman" w:eastAsia="宋体" w:hAnsi="Times New Roman" w:cs="Times New Roman"/>
          <w:color w:val="000000"/>
          <w:sz w:val="24"/>
          <w:szCs w:val="24"/>
        </w:rPr>
        <w:t>10</w:t>
      </w:r>
      <w:r w:rsidR="007069E8" w:rsidRPr="007069E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月</w:t>
      </w:r>
      <w:r w:rsidR="0099236A">
        <w:rPr>
          <w:rFonts w:ascii="Times New Roman" w:eastAsia="宋体" w:hAnsi="Times New Roman" w:cs="Times New Roman"/>
          <w:color w:val="000000"/>
          <w:sz w:val="24"/>
          <w:szCs w:val="24"/>
        </w:rPr>
        <w:t>2</w:t>
      </w:r>
      <w:r w:rsidR="00527E92">
        <w:rPr>
          <w:rFonts w:ascii="Times New Roman" w:eastAsia="宋体" w:hAnsi="Times New Roman" w:cs="Times New Roman"/>
          <w:color w:val="000000"/>
          <w:sz w:val="24"/>
          <w:szCs w:val="24"/>
        </w:rPr>
        <w:t>1</w:t>
      </w:r>
      <w:r w:rsidR="007069E8" w:rsidRPr="007069E8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日</w:t>
      </w:r>
      <w:r w:rsidR="006633BB" w:rsidRPr="006D519A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起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，本基金</w:t>
      </w:r>
      <w:r w:rsidR="006633BB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将</w:t>
      </w:r>
      <w:r w:rsidR="006633BB"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恢复办理大额申购（转换转入、定期定额投资）业务，届时不再另行公告</w:t>
      </w:r>
      <w:r w:rsidRPr="00056FED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。</w:t>
      </w:r>
    </w:p>
    <w:p w14:paraId="76951771" w14:textId="33D467CE" w:rsidR="00CE0B82" w:rsidRDefault="00CE0B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3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）投资者可以登录本公司网站（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www.fund001.com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）或拨打客户服务电话（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400-700-5000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，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021-61055000</w:t>
      </w:r>
      <w:r w:rsidRPr="00CE0B82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）咨询基金相关信息。</w:t>
      </w:r>
    </w:p>
    <w:p w14:paraId="71FAF341" w14:textId="1FDA69F8" w:rsidR="001A3930" w:rsidRPr="001A3930" w:rsidRDefault="00F72082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>
        <w:rPr>
          <w:rFonts w:ascii="Times New Roman" w:eastAsia="宋体" w:hAnsi="Times New Roman" w:cs="Times New Roman" w:hint="eastAsia"/>
          <w:color w:val="000000"/>
          <w:sz w:val="24"/>
          <w:szCs w:val="24"/>
        </w:rPr>
        <w:t xml:space="preserve"> </w:t>
      </w:r>
    </w:p>
    <w:p w14:paraId="435304D1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62EC97AC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298381D8" w14:textId="77777777" w:rsidR="001A3930" w:rsidRPr="001A3930" w:rsidRDefault="001A3930" w:rsidP="001A3930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000000"/>
          <w:sz w:val="24"/>
          <w:szCs w:val="24"/>
        </w:rPr>
      </w:pPr>
      <w:r w:rsidRPr="001A3930">
        <w:rPr>
          <w:rFonts w:ascii="Times New Roman" w:eastAsia="宋体" w:hAnsi="Times New Roman" w:cs="Times New Roman" w:hint="eastAsia"/>
          <w:color w:val="000000"/>
          <w:sz w:val="24"/>
          <w:szCs w:val="24"/>
        </w:rPr>
        <w:t>特此公告。</w:t>
      </w:r>
    </w:p>
    <w:p w14:paraId="35190593" w14:textId="77777777" w:rsidR="001A3930" w:rsidRPr="001A3930" w:rsidRDefault="001A3930" w:rsidP="001A3930">
      <w:pPr>
        <w:spacing w:line="360" w:lineRule="auto"/>
        <w:rPr>
          <w:rFonts w:ascii="Times New Roman" w:eastAsia="宋体" w:hAnsi="Times New Roman" w:cs="Times New Roman"/>
          <w:color w:val="000000"/>
          <w:sz w:val="24"/>
          <w:szCs w:val="24"/>
        </w:rPr>
      </w:pPr>
    </w:p>
    <w:p w14:paraId="1BF7A488" w14:textId="77777777" w:rsidR="001A3930" w:rsidRPr="001A3930" w:rsidRDefault="001A3930" w:rsidP="001A3930">
      <w:pPr>
        <w:rPr>
          <w:rFonts w:ascii="Times New Roman" w:eastAsia="宋体" w:hAnsi="Times New Roman" w:cs="Times New Roman"/>
          <w:sz w:val="24"/>
          <w:szCs w:val="24"/>
        </w:rPr>
      </w:pPr>
    </w:p>
    <w:p w14:paraId="066FBDDE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07D39391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5AD0D1B4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1809D0CB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4B9BAC86" w14:textId="77777777" w:rsidR="001A3930" w:rsidRPr="001A3930" w:rsidRDefault="001A3930" w:rsidP="001A3930">
      <w:pPr>
        <w:rPr>
          <w:rFonts w:ascii="Times New Roman" w:eastAsia="宋体" w:hAnsi="Times New Roman" w:cs="Times New Roman"/>
          <w:szCs w:val="24"/>
        </w:rPr>
      </w:pPr>
    </w:p>
    <w:p w14:paraId="2E367409" w14:textId="77777777" w:rsidR="001A3930" w:rsidRPr="001A3930" w:rsidRDefault="001A3930" w:rsidP="001A3930"/>
    <w:p w14:paraId="7A0E5190" w14:textId="77777777" w:rsidR="001A3930" w:rsidRPr="001A3930" w:rsidRDefault="001A3930" w:rsidP="001A3930"/>
    <w:p w14:paraId="125BE86B" w14:textId="77777777" w:rsidR="001A3930" w:rsidRPr="001A3930" w:rsidRDefault="001A3930" w:rsidP="001A3930"/>
    <w:p w14:paraId="6AF001F2" w14:textId="77777777" w:rsidR="00825AFB" w:rsidRDefault="00FF7E9E"/>
    <w:sectPr w:rsidR="00825AFB" w:rsidSect="005401BF">
      <w:headerReference w:type="default" r:id="rId6"/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4065F3" w14:textId="77777777" w:rsidR="00FF7E9E" w:rsidRDefault="00FF7E9E">
      <w:r>
        <w:separator/>
      </w:r>
    </w:p>
  </w:endnote>
  <w:endnote w:type="continuationSeparator" w:id="0">
    <w:p w14:paraId="5A17A490" w14:textId="77777777" w:rsidR="00FF7E9E" w:rsidRDefault="00FF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BF42F" w14:textId="77777777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A03A1B6" w14:textId="77777777" w:rsidR="005401BF" w:rsidRDefault="00FF7E9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0B87D" w14:textId="5BA2D7BD" w:rsidR="005401BF" w:rsidRDefault="001A3930" w:rsidP="005401B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27BC6">
      <w:rPr>
        <w:rStyle w:val="a7"/>
        <w:noProof/>
      </w:rPr>
      <w:t>2</w:t>
    </w:r>
    <w:r>
      <w:rPr>
        <w:rStyle w:val="a7"/>
      </w:rPr>
      <w:fldChar w:fldCharType="end"/>
    </w:r>
  </w:p>
  <w:p w14:paraId="0FC24B3C" w14:textId="77777777" w:rsidR="005401BF" w:rsidRDefault="00FF7E9E" w:rsidP="005401B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9A745" w14:textId="77777777" w:rsidR="00FF7E9E" w:rsidRDefault="00FF7E9E">
      <w:r>
        <w:separator/>
      </w:r>
    </w:p>
  </w:footnote>
  <w:footnote w:type="continuationSeparator" w:id="0">
    <w:p w14:paraId="07A0114D" w14:textId="77777777" w:rsidR="00FF7E9E" w:rsidRDefault="00FF7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136CF" w14:textId="77777777" w:rsidR="005401BF" w:rsidRPr="004649DF" w:rsidRDefault="001A3930" w:rsidP="005401BF">
    <w:pPr>
      <w:pStyle w:val="a3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 wp14:anchorId="3CBD21CB" wp14:editId="3EC64E93">
          <wp:simplePos x="0" y="0"/>
          <wp:positionH relativeFrom="column">
            <wp:posOffset>1905</wp:posOffset>
          </wp:positionH>
          <wp:positionV relativeFrom="paragraph">
            <wp:posOffset>635</wp:posOffset>
          </wp:positionV>
          <wp:extent cx="5462270" cy="385445"/>
          <wp:effectExtent l="0" t="0" r="508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2270" cy="385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Style w:val="a7"/>
        <w:rFonts w:hint="eastAsia"/>
      </w:rPr>
      <w:t xml:space="preserve">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930"/>
    <w:rsid w:val="00000A1B"/>
    <w:rsid w:val="00056FED"/>
    <w:rsid w:val="0008404E"/>
    <w:rsid w:val="000B5F6E"/>
    <w:rsid w:val="000C5BF6"/>
    <w:rsid w:val="000E7653"/>
    <w:rsid w:val="00102B53"/>
    <w:rsid w:val="00121892"/>
    <w:rsid w:val="00143AB6"/>
    <w:rsid w:val="0016017C"/>
    <w:rsid w:val="0018595C"/>
    <w:rsid w:val="001867E4"/>
    <w:rsid w:val="001A3930"/>
    <w:rsid w:val="001B76A6"/>
    <w:rsid w:val="001F0902"/>
    <w:rsid w:val="002449FA"/>
    <w:rsid w:val="00252D1B"/>
    <w:rsid w:val="002D08E8"/>
    <w:rsid w:val="002D23CF"/>
    <w:rsid w:val="002D5A78"/>
    <w:rsid w:val="002E332C"/>
    <w:rsid w:val="002F209E"/>
    <w:rsid w:val="002F6BB5"/>
    <w:rsid w:val="0037378A"/>
    <w:rsid w:val="003C0067"/>
    <w:rsid w:val="00425F53"/>
    <w:rsid w:val="0042635E"/>
    <w:rsid w:val="004827F3"/>
    <w:rsid w:val="004D0952"/>
    <w:rsid w:val="00515A00"/>
    <w:rsid w:val="00527E92"/>
    <w:rsid w:val="005311FD"/>
    <w:rsid w:val="005575BA"/>
    <w:rsid w:val="005E3124"/>
    <w:rsid w:val="0060353B"/>
    <w:rsid w:val="0060484E"/>
    <w:rsid w:val="006633BB"/>
    <w:rsid w:val="006706EF"/>
    <w:rsid w:val="00683FDD"/>
    <w:rsid w:val="006C212D"/>
    <w:rsid w:val="006F2424"/>
    <w:rsid w:val="007069E8"/>
    <w:rsid w:val="00726F16"/>
    <w:rsid w:val="00750A5B"/>
    <w:rsid w:val="00752A22"/>
    <w:rsid w:val="007540A2"/>
    <w:rsid w:val="00763018"/>
    <w:rsid w:val="007A55F6"/>
    <w:rsid w:val="007C03DF"/>
    <w:rsid w:val="007C7D68"/>
    <w:rsid w:val="007E7CD2"/>
    <w:rsid w:val="007F50FD"/>
    <w:rsid w:val="007F5BE7"/>
    <w:rsid w:val="00803B22"/>
    <w:rsid w:val="0080512C"/>
    <w:rsid w:val="00814C24"/>
    <w:rsid w:val="008336DF"/>
    <w:rsid w:val="00846F73"/>
    <w:rsid w:val="00847813"/>
    <w:rsid w:val="0086671A"/>
    <w:rsid w:val="00884A07"/>
    <w:rsid w:val="00885F07"/>
    <w:rsid w:val="0098097D"/>
    <w:rsid w:val="00986E3D"/>
    <w:rsid w:val="0099236A"/>
    <w:rsid w:val="009E657C"/>
    <w:rsid w:val="00A27BC6"/>
    <w:rsid w:val="00A91C87"/>
    <w:rsid w:val="00AC4B22"/>
    <w:rsid w:val="00B11A9E"/>
    <w:rsid w:val="00B1700D"/>
    <w:rsid w:val="00BA49F9"/>
    <w:rsid w:val="00BB219D"/>
    <w:rsid w:val="00BD30BF"/>
    <w:rsid w:val="00BD50CB"/>
    <w:rsid w:val="00C5439B"/>
    <w:rsid w:val="00C70B9A"/>
    <w:rsid w:val="00C83498"/>
    <w:rsid w:val="00CE0B82"/>
    <w:rsid w:val="00CF5B26"/>
    <w:rsid w:val="00D1172A"/>
    <w:rsid w:val="00D57B07"/>
    <w:rsid w:val="00D70E66"/>
    <w:rsid w:val="00DA551A"/>
    <w:rsid w:val="00DD0D25"/>
    <w:rsid w:val="00E449C4"/>
    <w:rsid w:val="00E73645"/>
    <w:rsid w:val="00E91485"/>
    <w:rsid w:val="00EB5C88"/>
    <w:rsid w:val="00EC3C8E"/>
    <w:rsid w:val="00F50D66"/>
    <w:rsid w:val="00F609AD"/>
    <w:rsid w:val="00F72082"/>
    <w:rsid w:val="00FA1C89"/>
    <w:rsid w:val="00FA68A1"/>
    <w:rsid w:val="00FC3A1F"/>
    <w:rsid w:val="00FD1960"/>
    <w:rsid w:val="00FE0B59"/>
    <w:rsid w:val="00FE157D"/>
    <w:rsid w:val="00FE30BE"/>
    <w:rsid w:val="00FF28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AB92FB"/>
  <w15:chartTrackingRefBased/>
  <w15:docId w15:val="{538BD7A5-F684-4417-AA1A-904AECF7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39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1A393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rsid w:val="001A393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1A3930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1A3930"/>
  </w:style>
  <w:style w:type="paragraph" w:styleId="a8">
    <w:name w:val="Balloon Text"/>
    <w:basedOn w:val="a"/>
    <w:link w:val="a9"/>
    <w:uiPriority w:val="99"/>
    <w:semiHidden/>
    <w:unhideWhenUsed/>
    <w:rsid w:val="001867E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867E4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706EF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6706EF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6706EF"/>
  </w:style>
  <w:style w:type="paragraph" w:styleId="ad">
    <w:name w:val="annotation subject"/>
    <w:basedOn w:val="ab"/>
    <w:next w:val="ab"/>
    <w:link w:val="ae"/>
    <w:uiPriority w:val="99"/>
    <w:semiHidden/>
    <w:unhideWhenUsed/>
    <w:rsid w:val="006706EF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670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964</Characters>
  <Application>Microsoft Office Word</Application>
  <DocSecurity>0</DocSecurity>
  <Lines>8</Lines>
  <Paragraphs>2</Paragraphs>
  <ScaleCrop>false</ScaleCrop>
  <Company>Microsoft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法务实习</dc:creator>
  <cp:keywords/>
  <dc:description/>
  <cp:lastModifiedBy>张婕茹</cp:lastModifiedBy>
  <cp:revision>6</cp:revision>
  <dcterms:created xsi:type="dcterms:W3CDTF">2021-06-11T02:37:00Z</dcterms:created>
  <dcterms:modified xsi:type="dcterms:W3CDTF">2021-10-12T07:46:00Z</dcterms:modified>
</cp:coreProperties>
</file>