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FE" w:rsidRDefault="004408FE">
      <w:pPr>
        <w:adjustRightInd w:val="0"/>
        <w:snapToGrid w:val="0"/>
        <w:jc w:val="center"/>
        <w:rPr>
          <w:rFonts w:ascii="彩虹粗仿宋" w:eastAsia="彩虹粗仿宋" w:hAnsi="宋体" w:cs="Arial"/>
          <w:b/>
          <w:sz w:val="44"/>
        </w:rPr>
      </w:pPr>
      <w:bookmarkStart w:id="0" w:name="_GoBack"/>
      <w:bookmarkEnd w:id="0"/>
    </w:p>
    <w:p w:rsidR="004408FE" w:rsidRDefault="004408FE">
      <w:pPr>
        <w:adjustRightInd w:val="0"/>
        <w:snapToGrid w:val="0"/>
        <w:jc w:val="center"/>
        <w:rPr>
          <w:rFonts w:ascii="彩虹粗仿宋" w:eastAsia="彩虹粗仿宋" w:hAnsi="宋体" w:cs="Arial"/>
          <w:b/>
          <w:sz w:val="44"/>
        </w:rPr>
      </w:pPr>
    </w:p>
    <w:p w:rsidR="004408FE" w:rsidRDefault="004408FE">
      <w:pPr>
        <w:adjustRightInd w:val="0"/>
        <w:snapToGrid w:val="0"/>
        <w:jc w:val="center"/>
        <w:rPr>
          <w:rFonts w:ascii="彩虹粗仿宋" w:eastAsia="彩虹粗仿宋" w:hAnsi="宋体" w:cs="Arial"/>
          <w:b/>
          <w:sz w:val="44"/>
        </w:rPr>
      </w:pPr>
    </w:p>
    <w:p w:rsidR="004408FE" w:rsidRDefault="00437179">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rsidR="004408FE" w:rsidRDefault="004408FE">
      <w:pPr>
        <w:adjustRightInd w:val="0"/>
        <w:snapToGrid w:val="0"/>
        <w:jc w:val="center"/>
        <w:rPr>
          <w:rFonts w:ascii="彩虹粗仿宋" w:eastAsia="彩虹粗仿宋" w:hAnsi="宋体" w:cs="Arial"/>
          <w:b/>
          <w:sz w:val="44"/>
        </w:rPr>
      </w:pPr>
    </w:p>
    <w:p w:rsidR="004408FE" w:rsidRDefault="004408FE">
      <w:pPr>
        <w:adjustRightInd w:val="0"/>
        <w:snapToGrid w:val="0"/>
        <w:jc w:val="center"/>
        <w:rPr>
          <w:rFonts w:ascii="彩虹粗仿宋" w:eastAsia="彩虹粗仿宋" w:hAnsi="宋体" w:cs="Arial"/>
          <w:b/>
          <w:sz w:val="44"/>
        </w:rPr>
      </w:pPr>
    </w:p>
    <w:p w:rsidR="004408FE" w:rsidRDefault="0043717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w:t>
      </w:r>
      <w:proofErr w:type="gramStart"/>
      <w:r>
        <w:rPr>
          <w:rFonts w:ascii="彩虹粗仿宋" w:eastAsia="彩虹粗仿宋" w:hAnsi="宋体" w:cs="Arial" w:hint="eastAsia"/>
          <w:b/>
          <w:sz w:val="44"/>
        </w:rPr>
        <w:t>施罗德瑞卓三年</w:t>
      </w:r>
      <w:proofErr w:type="gramEnd"/>
      <w:r>
        <w:rPr>
          <w:rFonts w:ascii="彩虹粗仿宋" w:eastAsia="彩虹粗仿宋" w:hAnsi="宋体" w:cs="Arial" w:hint="eastAsia"/>
          <w:b/>
          <w:sz w:val="44"/>
        </w:rPr>
        <w:t>持有期混合型证券投资基金托管协议</w:t>
      </w: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3717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rsidR="004408FE" w:rsidRDefault="0043717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3717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Pr>
          <w:rFonts w:ascii="彩虹粗仿宋" w:eastAsia="彩虹粗仿宋" w:hAnsi="宋体" w:cs="Arial"/>
          <w:sz w:val="24"/>
        </w:rPr>
        <w:t>一</w:t>
      </w:r>
      <w:r>
        <w:rPr>
          <w:rFonts w:ascii="彩虹粗仿宋" w:eastAsia="彩虹粗仿宋" w:hAnsi="宋体" w:cs="Arial" w:hint="eastAsia"/>
          <w:sz w:val="24"/>
        </w:rPr>
        <w:t>年</w:t>
      </w:r>
      <w:r w:rsidR="00833A27">
        <w:rPr>
          <w:rFonts w:ascii="彩虹粗仿宋" w:eastAsia="彩虹粗仿宋" w:hAnsi="宋体" w:cs="Arial"/>
          <w:sz w:val="24"/>
        </w:rPr>
        <w:t>八</w:t>
      </w:r>
      <w:r>
        <w:rPr>
          <w:rFonts w:ascii="彩虹粗仿宋" w:eastAsia="彩虹粗仿宋" w:hAnsi="宋体" w:cs="Arial" w:hint="eastAsia"/>
          <w:sz w:val="24"/>
        </w:rPr>
        <w:t>月</w:t>
      </w:r>
    </w:p>
    <w:p w:rsidR="004408FE" w:rsidRDefault="00437179">
      <w:pPr>
        <w:jc w:val="center"/>
        <w:rPr>
          <w:rFonts w:ascii="彩虹粗仿宋" w:eastAsia="彩虹粗仿宋"/>
          <w:b/>
          <w:bCs/>
          <w:sz w:val="30"/>
        </w:rPr>
      </w:pPr>
      <w:r>
        <w:rPr>
          <w:rFonts w:ascii="彩虹粗仿宋" w:eastAsia="彩虹粗仿宋" w:hint="eastAsia"/>
          <w:b/>
          <w:bCs/>
          <w:sz w:val="30"/>
        </w:rPr>
        <w:lastRenderedPageBreak/>
        <w:t>目    录</w:t>
      </w:r>
    </w:p>
    <w:p w:rsidR="004408FE" w:rsidRDefault="00437179">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A83CE9">
          <w:rPr>
            <w:rFonts w:ascii="彩虹粗仿宋" w:eastAsia="彩虹粗仿宋" w:hAnsi="宋体"/>
            <w:noProof/>
            <w:sz w:val="28"/>
          </w:rPr>
          <w:t>3</w:t>
        </w:r>
        <w:r>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86" w:history="1">
        <w:r w:rsidR="00437179">
          <w:rPr>
            <w:rStyle w:val="af"/>
            <w:rFonts w:ascii="彩虹粗仿宋" w:eastAsia="彩虹粗仿宋" w:hAnsi="宋体" w:hint="eastAsia"/>
            <w:noProof/>
            <w:sz w:val="28"/>
            <w:szCs w:val="32"/>
          </w:rPr>
          <w:t>二、基金托管协议的依据、目的和原则</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_Toc124325886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4</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87" w:history="1">
        <w:r w:rsidR="00437179">
          <w:rPr>
            <w:rStyle w:val="af"/>
            <w:rFonts w:ascii="彩虹粗仿宋" w:eastAsia="彩虹粗仿宋" w:hAnsi="宋体" w:hint="eastAsia"/>
            <w:noProof/>
            <w:sz w:val="28"/>
            <w:szCs w:val="32"/>
          </w:rPr>
          <w:t>三、基金托管人对基金管理人的业务监督和核查</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_Toc124325887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5</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88" w:history="1">
        <w:r w:rsidR="00437179">
          <w:rPr>
            <w:rStyle w:val="af"/>
            <w:rFonts w:ascii="彩虹粗仿宋" w:eastAsia="彩虹粗仿宋" w:hAnsi="宋体" w:hint="eastAsia"/>
            <w:noProof/>
            <w:sz w:val="28"/>
            <w:szCs w:val="32"/>
          </w:rPr>
          <w:t>四、基金管理人对基金托管人的业务核查</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_Toc124325888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11</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89" w:history="1">
        <w:r w:rsidR="00437179">
          <w:rPr>
            <w:rStyle w:val="af"/>
            <w:rFonts w:ascii="彩虹粗仿宋" w:eastAsia="彩虹粗仿宋" w:hAnsi="宋体" w:hint="eastAsia"/>
            <w:noProof/>
            <w:sz w:val="28"/>
            <w:szCs w:val="32"/>
          </w:rPr>
          <w:t>五、基金财产的保管</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_Toc124325889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11</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0" w:history="1">
        <w:r w:rsidR="00437179">
          <w:rPr>
            <w:rStyle w:val="af"/>
            <w:rFonts w:ascii="彩虹粗仿宋" w:eastAsia="彩虹粗仿宋" w:hAnsi="宋体" w:hint="eastAsia"/>
            <w:noProof/>
            <w:sz w:val="28"/>
            <w:szCs w:val="32"/>
          </w:rPr>
          <w:t>六、指令的发送、确认及执行</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_Toc124325890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14</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1" w:history="1">
        <w:r w:rsidR="00437179">
          <w:rPr>
            <w:rStyle w:val="af"/>
            <w:rFonts w:ascii="彩虹粗仿宋" w:eastAsia="彩虹粗仿宋" w:hAnsi="宋体" w:hint="eastAsia"/>
            <w:noProof/>
            <w:sz w:val="28"/>
            <w:szCs w:val="32"/>
          </w:rPr>
          <w:t>七、交易及清算交收安排</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_Toc124325891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17</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2" w:history="1">
        <w:r w:rsidR="00437179">
          <w:rPr>
            <w:rStyle w:val="af"/>
            <w:rFonts w:ascii="彩虹粗仿宋" w:eastAsia="彩虹粗仿宋" w:hAnsi="宋体" w:hint="eastAsia"/>
            <w:noProof/>
            <w:sz w:val="28"/>
            <w:szCs w:val="32"/>
          </w:rPr>
          <w:t>八、基金资产净值计算和会计核算</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_Toc124325892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21</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3" w:history="1">
        <w:r w:rsidR="00437179">
          <w:rPr>
            <w:rStyle w:val="af"/>
            <w:rFonts w:ascii="彩虹粗仿宋" w:eastAsia="彩虹粗仿宋" w:hAnsi="宋体" w:hint="eastAsia"/>
            <w:noProof/>
            <w:sz w:val="28"/>
            <w:szCs w:val="32"/>
          </w:rPr>
          <w:t>九、基金收益分配</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_Toc124325893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26</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4" w:history="1">
        <w:r w:rsidR="00437179">
          <w:rPr>
            <w:rStyle w:val="af"/>
            <w:rFonts w:ascii="彩虹粗仿宋" w:eastAsia="彩虹粗仿宋" w:hAnsi="宋体" w:hint="eastAsia"/>
            <w:noProof/>
            <w:sz w:val="28"/>
            <w:szCs w:val="32"/>
          </w:rPr>
          <w:t>十、基金信息披露</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_Toc124325894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27</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5" w:history="1">
        <w:r w:rsidR="00437179">
          <w:rPr>
            <w:rStyle w:val="af"/>
            <w:rFonts w:ascii="彩虹粗仿宋" w:eastAsia="彩虹粗仿宋" w:hAnsi="宋体" w:hint="eastAsia"/>
            <w:noProof/>
            <w:sz w:val="28"/>
            <w:szCs w:val="32"/>
          </w:rPr>
          <w:t>十一、基金费用</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_Toc124325895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29</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6" w:history="1">
        <w:r w:rsidR="00437179">
          <w:rPr>
            <w:rStyle w:val="af"/>
            <w:rFonts w:ascii="彩虹粗仿宋" w:eastAsia="彩虹粗仿宋" w:hAnsi="宋体" w:hint="eastAsia"/>
            <w:noProof/>
            <w:sz w:val="28"/>
            <w:szCs w:val="32"/>
          </w:rPr>
          <w:t>十二、基金份额持有人名册的保管</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_Toc124325896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30</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7" w:history="1">
        <w:r w:rsidR="00437179">
          <w:rPr>
            <w:rStyle w:val="af"/>
            <w:rFonts w:ascii="彩虹粗仿宋" w:eastAsia="彩虹粗仿宋" w:hAnsi="宋体" w:hint="eastAsia"/>
            <w:noProof/>
            <w:sz w:val="28"/>
            <w:szCs w:val="32"/>
          </w:rPr>
          <w:t>十三、基金有关文件档案的保存</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_Toc124325897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31</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8" w:history="1">
        <w:r w:rsidR="00437179">
          <w:rPr>
            <w:rStyle w:val="af"/>
            <w:rFonts w:ascii="彩虹粗仿宋" w:eastAsia="彩虹粗仿宋" w:hAnsi="宋体" w:hint="eastAsia"/>
            <w:noProof/>
            <w:sz w:val="28"/>
            <w:szCs w:val="32"/>
          </w:rPr>
          <w:t>十四、基金管理人和基金托管人的更换</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_Toc124325898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31</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899" w:history="1">
        <w:r w:rsidR="00437179">
          <w:rPr>
            <w:rStyle w:val="af"/>
            <w:rFonts w:ascii="彩虹粗仿宋" w:eastAsia="彩虹粗仿宋" w:hAnsi="宋体" w:hint="eastAsia"/>
            <w:noProof/>
            <w:sz w:val="28"/>
            <w:szCs w:val="32"/>
          </w:rPr>
          <w:t>十五、禁止行为</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_Toc124325899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33</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900" w:history="1">
        <w:r w:rsidR="00437179">
          <w:rPr>
            <w:rStyle w:val="af"/>
            <w:rFonts w:ascii="彩虹粗仿宋" w:eastAsia="彩虹粗仿宋" w:hAnsi="宋体" w:hint="eastAsia"/>
            <w:noProof/>
            <w:sz w:val="28"/>
            <w:szCs w:val="32"/>
          </w:rPr>
          <w:t>十六、托管协议的变更、终止与基金财产的清算</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_Toc124325900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34</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901" w:history="1">
        <w:r w:rsidR="00437179">
          <w:rPr>
            <w:rStyle w:val="af"/>
            <w:rFonts w:ascii="彩虹粗仿宋" w:eastAsia="彩虹粗仿宋" w:hAnsi="宋体" w:hint="eastAsia"/>
            <w:noProof/>
            <w:sz w:val="28"/>
            <w:szCs w:val="32"/>
          </w:rPr>
          <w:t>十七、违约责任</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_Toc124325901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36</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902" w:history="1">
        <w:r w:rsidR="00437179">
          <w:rPr>
            <w:rStyle w:val="af"/>
            <w:rFonts w:ascii="彩虹粗仿宋" w:eastAsia="彩虹粗仿宋" w:hAnsi="宋体" w:hint="eastAsia"/>
            <w:noProof/>
            <w:sz w:val="28"/>
            <w:szCs w:val="32"/>
          </w:rPr>
          <w:t>十八、争议解决方式</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_Toc124325902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37</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903" w:history="1">
        <w:r w:rsidR="00437179">
          <w:rPr>
            <w:rStyle w:val="af"/>
            <w:rFonts w:ascii="彩虹粗仿宋" w:eastAsia="彩虹粗仿宋" w:hAnsi="宋体" w:hint="eastAsia"/>
            <w:noProof/>
            <w:sz w:val="28"/>
            <w:szCs w:val="32"/>
          </w:rPr>
          <w:t>十九、托管协议的效力</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_Toc124325903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37</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904" w:history="1">
        <w:r w:rsidR="00437179">
          <w:rPr>
            <w:rStyle w:val="af"/>
            <w:rFonts w:ascii="彩虹粗仿宋" w:eastAsia="彩虹粗仿宋" w:hAnsi="宋体" w:hint="eastAsia"/>
            <w:noProof/>
            <w:sz w:val="28"/>
            <w:szCs w:val="32"/>
          </w:rPr>
          <w:t>二十、其他事项</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_Toc124325904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38</w:t>
        </w:r>
        <w:r w:rsidR="00437179">
          <w:rPr>
            <w:rFonts w:ascii="彩虹粗仿宋" w:eastAsia="彩虹粗仿宋" w:hAnsi="宋体" w:hint="eastAsia"/>
            <w:noProof/>
            <w:sz w:val="28"/>
          </w:rPr>
          <w:fldChar w:fldCharType="end"/>
        </w:r>
      </w:hyperlink>
    </w:p>
    <w:p w:rsidR="004408FE" w:rsidRDefault="00424DBA">
      <w:pPr>
        <w:pStyle w:val="21"/>
        <w:tabs>
          <w:tab w:val="right" w:leader="dot" w:pos="8494"/>
        </w:tabs>
        <w:rPr>
          <w:rFonts w:ascii="彩虹粗仿宋" w:eastAsia="彩虹粗仿宋" w:hAnsi="宋体"/>
          <w:noProof/>
          <w:sz w:val="28"/>
        </w:rPr>
      </w:pPr>
      <w:hyperlink w:anchor="_Toc124325905" w:history="1">
        <w:r w:rsidR="00437179">
          <w:rPr>
            <w:rStyle w:val="af"/>
            <w:rFonts w:ascii="彩虹粗仿宋" w:eastAsia="彩虹粗仿宋" w:hAnsi="宋体" w:hint="eastAsia"/>
            <w:noProof/>
            <w:sz w:val="28"/>
            <w:szCs w:val="32"/>
          </w:rPr>
          <w:t>二十一、托管协议的签订</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_Toc124325905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38</w:t>
        </w:r>
        <w:r w:rsidR="00437179">
          <w:rPr>
            <w:rFonts w:ascii="彩虹粗仿宋" w:eastAsia="彩虹粗仿宋" w:hAnsi="宋体" w:hint="eastAsia"/>
            <w:noProof/>
            <w:sz w:val="28"/>
          </w:rPr>
          <w:fldChar w:fldCharType="end"/>
        </w:r>
      </w:hyperlink>
    </w:p>
    <w:p w:rsidR="004408FE" w:rsidRDefault="00437179">
      <w:pPr>
        <w:rPr>
          <w:rFonts w:ascii="彩虹粗仿宋" w:eastAsia="彩虹粗仿宋"/>
          <w:sz w:val="24"/>
        </w:rPr>
      </w:pPr>
      <w:r>
        <w:rPr>
          <w:rFonts w:ascii="彩虹粗仿宋" w:eastAsia="彩虹粗仿宋" w:hAnsi="宋体" w:hint="eastAsia"/>
          <w:sz w:val="28"/>
        </w:rPr>
        <w:lastRenderedPageBreak/>
        <w:fldChar w:fldCharType="end"/>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w:t>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证券投资基金的基金托管人；</w:t>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w:t>
      </w:r>
      <w:r>
        <w:rPr>
          <w:rFonts w:ascii="彩虹粗仿宋" w:eastAsia="彩虹粗仿宋" w:hAnsi="宋体" w:cs="Arial" w:hint="eastAsia"/>
          <w:sz w:val="24"/>
        </w:rPr>
        <w:t>交</w:t>
      </w:r>
      <w:proofErr w:type="gramEnd"/>
      <w:r>
        <w:rPr>
          <w:rFonts w:ascii="彩虹粗仿宋" w:eastAsia="彩虹粗仿宋" w:hAnsi="宋体" w:cs="Arial" w:hint="eastAsia"/>
          <w:sz w:val="24"/>
        </w:rPr>
        <w:t>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证券投资基金的基金管理人和基金托管人之间的权利义务关系，特制订本托管协议；</w:t>
      </w:r>
    </w:p>
    <w:p w:rsidR="004408FE" w:rsidRDefault="00437179">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交银施罗德瑞卓三年持有期混合型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408FE" w:rsidRDefault="00437179">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若本基金实施</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的，</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实施期间的相关安排</w:t>
      </w:r>
      <w:proofErr w:type="gramStart"/>
      <w:r>
        <w:rPr>
          <w:rFonts w:ascii="彩虹粗仿宋" w:eastAsia="彩虹粗仿宋" w:hAnsi="宋体" w:cs="Arial" w:hint="eastAsia"/>
          <w:kern w:val="0"/>
          <w:sz w:val="24"/>
          <w:lang w:val="en-GB"/>
        </w:rPr>
        <w:t>见基金</w:t>
      </w:r>
      <w:proofErr w:type="gramEnd"/>
      <w:r>
        <w:rPr>
          <w:rFonts w:ascii="彩虹粗仿宋" w:eastAsia="彩虹粗仿宋" w:hAnsi="宋体" w:cs="Arial" w:hint="eastAsia"/>
          <w:kern w:val="0"/>
          <w:sz w:val="24"/>
          <w:lang w:val="en-GB"/>
        </w:rPr>
        <w:t>合同和招募说明书的规定。</w:t>
      </w:r>
    </w:p>
    <w:p w:rsidR="004408FE" w:rsidRDefault="004408FE">
      <w:pPr>
        <w:rPr>
          <w:rFonts w:ascii="彩虹粗仿宋" w:eastAsia="彩虹粗仿宋"/>
          <w:sz w:val="24"/>
          <w:lang w:val="en-GB"/>
        </w:rPr>
      </w:pPr>
    </w:p>
    <w:p w:rsidR="004408FE" w:rsidRDefault="00437179">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w:t>
      </w:r>
      <w:proofErr w:type="gramStart"/>
      <w:r>
        <w:rPr>
          <w:rFonts w:ascii="彩虹粗仿宋" w:eastAsia="彩虹粗仿宋" w:hAnsi="宋体" w:cs="Arial" w:hint="eastAsia"/>
          <w:sz w:val="24"/>
        </w:rPr>
        <w:t>新区世纪</w:t>
      </w:r>
      <w:proofErr w:type="gramEnd"/>
      <w:r>
        <w:rPr>
          <w:rFonts w:ascii="彩虹粗仿宋" w:eastAsia="彩虹粗仿宋" w:hAnsi="宋体" w:cs="Arial" w:hint="eastAsia"/>
          <w:sz w:val="24"/>
        </w:rPr>
        <w:t>大道</w:t>
      </w:r>
      <w:r>
        <w:rPr>
          <w:rFonts w:ascii="彩虹粗仿宋" w:eastAsia="彩虹粗仿宋" w:hAnsi="宋体" w:cs="Arial"/>
          <w:sz w:val="24"/>
        </w:rPr>
        <w:t>8号国</w:t>
      </w:r>
      <w:proofErr w:type="gramStart"/>
      <w:r>
        <w:rPr>
          <w:rFonts w:ascii="彩虹粗仿宋" w:eastAsia="彩虹粗仿宋" w:hAnsi="宋体" w:cs="Arial" w:hint="eastAsia"/>
          <w:sz w:val="24"/>
        </w:rPr>
        <w:t>金中心</w:t>
      </w:r>
      <w:proofErr w:type="gramEnd"/>
      <w:r>
        <w:rPr>
          <w:rFonts w:ascii="彩虹粗仿宋" w:eastAsia="彩虹粗仿宋" w:hAnsi="宋体" w:cs="Arial" w:hint="eastAsia"/>
          <w:sz w:val="24"/>
        </w:rPr>
        <w:t>二期</w:t>
      </w:r>
      <w:r>
        <w:rPr>
          <w:rFonts w:ascii="彩虹粗仿宋" w:eastAsia="彩虹粗仿宋" w:hAnsi="宋体" w:cs="Arial"/>
          <w:sz w:val="24"/>
        </w:rPr>
        <w:t>21-22楼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Fonts w:hint="eastAsia"/>
        </w:rPr>
        <w:t>[</w:t>
      </w:r>
      <w:r>
        <w:t>2005</w:t>
      </w:r>
      <w:r>
        <w:rPr>
          <w:rFonts w:hint="eastAsia"/>
        </w:rPr>
        <w:t>]</w:t>
      </w:r>
      <w:r>
        <w:t>128</w:t>
      </w:r>
      <w:r>
        <w:rPr>
          <w:rFonts w:ascii="彩虹粗仿宋" w:eastAsia="彩虹粗仿宋" w:hAnsi="宋体" w:cs="Arial" w:hint="eastAsia"/>
          <w:sz w:val="24"/>
        </w:rPr>
        <w:t>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经营范围：基金募集、基金销售、资产管理和中国证监会许可的其它业务。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408FE" w:rsidRDefault="0043717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rsidR="004408FE" w:rsidRDefault="0043717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408FE" w:rsidRDefault="0043717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szCs w:val="24"/>
        </w:rPr>
      </w:pPr>
      <w:bookmarkStart w:id="4" w:name="_Toc124325887"/>
      <w:r>
        <w:rPr>
          <w:rFonts w:ascii="彩虹粗仿宋" w:eastAsia="彩虹粗仿宋" w:hint="eastAsia"/>
          <w:sz w:val="30"/>
        </w:rPr>
        <w:lastRenderedPageBreak/>
        <w:t>三、基金托管人对基金管理人的业务监督和核查</w:t>
      </w:r>
      <w:bookmarkEnd w:id="4"/>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408FE" w:rsidRDefault="00437179">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w:t>
      </w:r>
      <w:proofErr w:type="gramStart"/>
      <w:r>
        <w:rPr>
          <w:rFonts w:ascii="彩虹粗仿宋" w:eastAsia="彩虹粗仿宋" w:hAnsi="宋体" w:cs="Arial" w:hint="eastAsia"/>
          <w:sz w:val="24"/>
        </w:rPr>
        <w:t>含可分离</w:t>
      </w:r>
      <w:proofErr w:type="gramEnd"/>
      <w:r>
        <w:rPr>
          <w:rFonts w:ascii="彩虹粗仿宋" w:eastAsia="彩虹粗仿宋" w:hAnsi="宋体" w:cs="Arial" w:hint="eastAsia"/>
          <w:sz w:val="24"/>
        </w:rPr>
        <w:t>交易可转换债券）、可交换公司债券、次级债券、中期票据、短期融资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等）、资产支持证券、货币市场工具、债券回购、同业存单、银行存款（</w:t>
      </w:r>
      <w:proofErr w:type="gramStart"/>
      <w:r>
        <w:rPr>
          <w:rFonts w:ascii="彩虹粗仿宋" w:eastAsia="彩虹粗仿宋" w:hAnsi="宋体" w:cs="Arial" w:hint="eastAsia"/>
          <w:sz w:val="24"/>
        </w:rPr>
        <w:t>含协议</w:t>
      </w:r>
      <w:proofErr w:type="gramEnd"/>
      <w:r>
        <w:rPr>
          <w:rFonts w:ascii="彩虹粗仿宋" w:eastAsia="彩虹粗仿宋" w:hAnsi="宋体" w:cs="Arial" w:hint="eastAsia"/>
          <w:sz w:val="24"/>
        </w:rPr>
        <w:t>存款、定期存款及其他银行存款）、股指期货以及法律法规或中国证监会允许基金投资的其他金融工具(但须符合中国证监会相关规定)。</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Pr>
          <w:rFonts w:ascii="彩虹粗仿宋" w:eastAsia="彩虹粗仿宋" w:hAnsi="宋体" w:cs="Arial" w:hint="eastAsia"/>
          <w:bCs/>
          <w:sz w:val="24"/>
        </w:rPr>
        <w:t>（</w:t>
      </w:r>
      <w:proofErr w:type="gramStart"/>
      <w:r>
        <w:rPr>
          <w:rFonts w:ascii="彩虹粗仿宋" w:eastAsia="彩虹粗仿宋" w:hAnsi="宋体" w:cs="Arial"/>
          <w:bCs/>
          <w:sz w:val="24"/>
        </w:rPr>
        <w:t>含存托</w:t>
      </w:r>
      <w:proofErr w:type="gramEnd"/>
      <w:r>
        <w:rPr>
          <w:rFonts w:ascii="彩虹粗仿宋" w:eastAsia="彩虹粗仿宋" w:hAnsi="宋体" w:cs="Arial"/>
          <w:bCs/>
          <w:sz w:val="24"/>
        </w:rPr>
        <w:t>凭证</w:t>
      </w:r>
      <w:r>
        <w:rPr>
          <w:rFonts w:ascii="彩虹粗仿宋" w:eastAsia="彩虹粗仿宋" w:hAnsi="宋体" w:cs="Arial" w:hint="eastAsia"/>
          <w:bCs/>
          <w:sz w:val="24"/>
        </w:rPr>
        <w:t>）</w:t>
      </w:r>
      <w:r>
        <w:rPr>
          <w:rFonts w:ascii="彩虹粗仿宋" w:eastAsia="彩虹粗仿宋" w:hAnsi="宋体" w:cs="Arial" w:hint="eastAsia"/>
          <w:sz w:val="24"/>
        </w:rPr>
        <w:t>占基金资产的比例为60%-95%，其中投资于港股通标的股票的比例占股票资产的</w:t>
      </w:r>
      <w:r>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4408FE" w:rsidRDefault="0043717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408FE" w:rsidRDefault="00437179">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Pr>
          <w:rFonts w:hint="eastAsia"/>
          <w:bCs/>
          <w:sz w:val="24"/>
        </w:rPr>
        <w:t>（</w:t>
      </w:r>
      <w:proofErr w:type="gramStart"/>
      <w:r>
        <w:rPr>
          <w:rFonts w:hint="eastAsia"/>
          <w:bCs/>
          <w:sz w:val="24"/>
        </w:rPr>
        <w:t>含</w:t>
      </w:r>
      <w:r>
        <w:rPr>
          <w:bCs/>
          <w:sz w:val="24"/>
        </w:rPr>
        <w:t>存托</w:t>
      </w:r>
      <w:proofErr w:type="gramEnd"/>
      <w:r>
        <w:rPr>
          <w:bCs/>
          <w:sz w:val="24"/>
        </w:rPr>
        <w:t>凭证</w:t>
      </w:r>
      <w:r>
        <w:rPr>
          <w:rFonts w:hint="eastAsia"/>
          <w:bCs/>
          <w:sz w:val="24"/>
        </w:rPr>
        <w:t>）</w:t>
      </w:r>
      <w:r>
        <w:rPr>
          <w:rFonts w:ascii="彩虹粗仿宋" w:eastAsia="彩虹粗仿宋" w:hAnsi="宋体" w:cs="Arial" w:hint="eastAsia"/>
          <w:sz w:val="24"/>
        </w:rPr>
        <w:t>占基金资产的比例为60%-95%，其中投资于港股通标的股票的比例占股票资产的</w:t>
      </w:r>
      <w:r>
        <w:rPr>
          <w:rFonts w:ascii="彩虹粗仿宋" w:eastAsia="彩虹粗仿宋" w:hAnsi="宋体" w:cs="Arial"/>
          <w:sz w:val="24"/>
        </w:rPr>
        <w:t>0%-50%</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Pr>
          <w:rFonts w:ascii="彩虹粗仿宋" w:eastAsia="彩虹粗仿宋" w:hAnsi="宋体" w:cs="Arial" w:hint="eastAsia"/>
          <w:sz w:val="24"/>
        </w:rPr>
        <w:t>（同一家公司在内地和香港同时上市的</w:t>
      </w:r>
      <w:r>
        <w:rPr>
          <w:rFonts w:ascii="彩虹粗仿宋" w:eastAsia="彩虹粗仿宋" w:hAnsi="宋体" w:cs="Arial"/>
          <w:sz w:val="24"/>
        </w:rPr>
        <w:t xml:space="preserve">A+H </w:t>
      </w:r>
      <w:r>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本基金参与股指期货交易，则：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w:t>
      </w:r>
      <w:r>
        <w:rPr>
          <w:rFonts w:ascii="彩虹粗仿宋" w:eastAsia="彩虹粗仿宋" w:hAnsi="宋体" w:cs="Arial" w:hint="eastAsia"/>
          <w:sz w:val="24"/>
        </w:rPr>
        <w:lastRenderedPageBreak/>
        <w:t>值之和，不得超过基金资产净值的95%。其中，有价证券指股票、债券（不含到期日在一年以内的政府债券）、资产支持证券、买入返售金融资产（不含质押式回购）等；</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rsidR="004408FE" w:rsidRDefault="00437179" w:rsidP="00A83CE9">
      <w:pPr>
        <w:pStyle w:val="a0"/>
        <w:adjustRightInd w:val="0"/>
        <w:snapToGrid w:val="0"/>
        <w:ind w:firstLine="480"/>
        <w:rPr>
          <w:rFonts w:ascii="彩虹粗仿宋" w:eastAsia="彩虹粗仿宋"/>
          <w:sz w:val="24"/>
        </w:rPr>
      </w:pPr>
      <w:r>
        <w:rPr>
          <w:rFonts w:ascii="彩虹粗仿宋" w:eastAsia="彩虹粗仿宋" w:hAnsi="宋体" w:cs="Arial" w:hint="eastAsia"/>
          <w:sz w:val="24"/>
        </w:rPr>
        <w:t>15</w:t>
      </w:r>
      <w:r>
        <w:rPr>
          <w:rFonts w:ascii="彩虹粗仿宋" w:eastAsia="彩虹粗仿宋" w:hAnsi="宋体" w:cs="Arial"/>
          <w:sz w:val="24"/>
        </w:rPr>
        <w:t>.</w:t>
      </w:r>
      <w:r>
        <w:rPr>
          <w:rFonts w:ascii="彩虹粗仿宋" w:eastAsia="彩虹粗仿宋" w:hAnsi="宋体" w:cs="Arial" w:hint="eastAsia"/>
          <w:sz w:val="24"/>
        </w:rPr>
        <w:t>本基金资产总值不超过基金资产净值的140%；</w:t>
      </w:r>
    </w:p>
    <w:p w:rsidR="004408FE" w:rsidRDefault="00437179">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6</w:t>
      </w:r>
      <w:r>
        <w:rPr>
          <w:rFonts w:ascii="彩虹粗仿宋" w:eastAsia="彩虹粗仿宋" w:hAnsi="宋体" w:cs="Arial"/>
          <w:sz w:val="24"/>
        </w:rPr>
        <w:t>.</w:t>
      </w:r>
      <w:r>
        <w:rPr>
          <w:rFonts w:ascii="彩虹粗仿宋" w:eastAsia="彩虹粗仿宋" w:hAnsi="宋体" w:cs="Arial" w:hint="eastAsia"/>
          <w:bCs/>
          <w:sz w:val="24"/>
        </w:rPr>
        <w:t xml:space="preserve"> 本基金投资存托凭证的比例限制依照境内上市交易的股票执行；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17</w:t>
      </w:r>
      <w:r>
        <w:rPr>
          <w:rFonts w:ascii="彩虹粗仿宋" w:eastAsia="彩虹粗仿宋" w:hAnsi="宋体" w:cs="Arial"/>
          <w:bCs/>
          <w:sz w:val="24"/>
        </w:rPr>
        <w:t>.</w:t>
      </w:r>
      <w:r>
        <w:rPr>
          <w:rFonts w:ascii="彩虹粗仿宋" w:eastAsia="彩虹粗仿宋" w:hAnsi="宋体" w:cs="Arial" w:hint="eastAsia"/>
          <w:sz w:val="24"/>
        </w:rPr>
        <w:t>法律法规及中国证监会规定的和《基金合同》约定的其他投资限制。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投资禁止行为通过事后监督方式进行监督。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w:t>
      </w:r>
      <w:r>
        <w:rPr>
          <w:rFonts w:ascii="彩虹粗仿宋" w:eastAsia="彩虹粗仿宋" w:hAnsi="宋体" w:cs="Arial" w:hint="eastAsia"/>
          <w:sz w:val="24"/>
        </w:rPr>
        <w:lastRenderedPageBreak/>
        <w:t>律法规予以披露。重大关联交易应提交基金管理人董事会审议，并经过三分之二以上的独立董事通过。基金管理人董事会应至少每半年对关联交易事项进行审查。</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若管理人未提供交易对手名单，则视同可与所有交易对手进行交易。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w:t>
      </w:r>
      <w:r>
        <w:rPr>
          <w:rFonts w:ascii="彩虹粗仿宋" w:eastAsia="彩虹粗仿宋" w:hAnsi="宋体" w:cs="Arial" w:hint="eastAsia"/>
          <w:sz w:val="24"/>
        </w:rPr>
        <w:lastRenderedPageBreak/>
        <w:t>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等流通受限证券。本基金不投资有</w:t>
      </w:r>
      <w:proofErr w:type="gramStart"/>
      <w:r>
        <w:rPr>
          <w:rFonts w:ascii="彩虹粗仿宋" w:eastAsia="彩虹粗仿宋" w:hAnsi="宋体" w:cs="Arial" w:hint="eastAsia"/>
          <w:sz w:val="24"/>
        </w:rPr>
        <w:t>锁定期但锁定</w:t>
      </w:r>
      <w:proofErr w:type="gramEnd"/>
      <w:r>
        <w:rPr>
          <w:rFonts w:ascii="彩虹粗仿宋" w:eastAsia="彩虹粗仿宋" w:hAnsi="宋体" w:cs="Arial" w:hint="eastAsia"/>
          <w:sz w:val="24"/>
        </w:rPr>
        <w:t>期不明确的证券。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w:t>
      </w:r>
      <w:r>
        <w:rPr>
          <w:rFonts w:ascii="彩虹粗仿宋" w:eastAsia="彩虹粗仿宋" w:hAnsi="宋体" w:cs="Arial" w:hint="eastAsia"/>
          <w:sz w:val="24"/>
        </w:rPr>
        <w:lastRenderedPageBreak/>
        <w:t>成本和账面价值占基金资产净值的比例、锁定期等信息。</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w:t>
      </w:r>
      <w:r>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7" w:name="_Toc86737929"/>
      <w:bookmarkStart w:id="8" w:name="_Toc110830492"/>
      <w:bookmarkStart w:id="9" w:name="_Toc86726439"/>
      <w:bookmarkStart w:id="10" w:name="_Toc108512358"/>
      <w:bookmarkStart w:id="11" w:name="_Toc86225291"/>
      <w:bookmarkStart w:id="12" w:name="_Toc86727355"/>
      <w:bookmarkStart w:id="13" w:name="_Toc118774803"/>
      <w:bookmarkStart w:id="14" w:name="_Toc110761796"/>
      <w:bookmarkStart w:id="15" w:name="_Toc86223242"/>
      <w:bookmarkStart w:id="16" w:name="_Toc119402710"/>
      <w:bookmarkStart w:id="17" w:name="_Toc120435783"/>
      <w:bookmarkStart w:id="18" w:name="_Toc86649722"/>
      <w:bookmarkStart w:id="19" w:name="_Toc118972648"/>
      <w:bookmarkStart w:id="20" w:name="_Toc124325888"/>
      <w:bookmarkStart w:id="21" w:name="_Toc118212950"/>
      <w:bookmarkStart w:id="22" w:name="_Toc110765660"/>
      <w:bookmarkStart w:id="23" w:name="_Toc8916336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24" w:name="_Toc84234435"/>
      <w:bookmarkStart w:id="25" w:name="_Toc118212951"/>
      <w:bookmarkStart w:id="26" w:name="_Toc118774804"/>
      <w:bookmarkStart w:id="27" w:name="_Toc118972649"/>
      <w:bookmarkStart w:id="28" w:name="_Toc119402711"/>
      <w:bookmarkStart w:id="29" w:name="_Toc84133786"/>
      <w:bookmarkStart w:id="30" w:name="_Toc84234388"/>
      <w:bookmarkStart w:id="31" w:name="_Toc86225292"/>
      <w:bookmarkStart w:id="32" w:name="_Toc86727356"/>
      <w:bookmarkStart w:id="33" w:name="_Toc110761797"/>
      <w:bookmarkStart w:id="34" w:name="_Toc110765661"/>
      <w:bookmarkStart w:id="35" w:name="_Toc86223243"/>
      <w:bookmarkStart w:id="36" w:name="_Toc108512359"/>
      <w:bookmarkStart w:id="37" w:name="_Toc89163369"/>
      <w:bookmarkStart w:id="38" w:name="_Toc120435784"/>
      <w:bookmarkStart w:id="39" w:name="_Toc124325889"/>
      <w:bookmarkStart w:id="40" w:name="_Toc86204789"/>
      <w:bookmarkStart w:id="41" w:name="_Toc86649723"/>
      <w:bookmarkStart w:id="42" w:name="_Toc86737930"/>
      <w:bookmarkStart w:id="43" w:name="_Toc86726440"/>
      <w:bookmarkStart w:id="44" w:name="_Toc110830493"/>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4.基金托管人对所托管的不同基金财产分别设置账户，确保基金财产的完整与独立。</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Ansi="宋体" w:cs="Arial" w:hint="eastAsia"/>
          <w:sz w:val="24"/>
        </w:rPr>
        <w:t>收交易</w:t>
      </w:r>
      <w:proofErr w:type="gramEnd"/>
      <w:r>
        <w:rPr>
          <w:rFonts w:ascii="彩虹粗仿宋" w:eastAsia="彩虹粗仿宋" w:hAnsi="宋体" w:cs="Arial" w:hint="eastAsia"/>
          <w:sz w:val="24"/>
        </w:rPr>
        <w:t>费、结算费和账户维护费等费用）。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w:t>
      </w:r>
      <w:r>
        <w:rPr>
          <w:rFonts w:ascii="彩虹粗仿宋" w:eastAsia="彩虹粗仿宋" w:hAnsi="宋体" w:cs="Arial" w:hint="eastAsia"/>
          <w:sz w:val="24"/>
        </w:rPr>
        <w:lastRenderedPageBreak/>
        <w:t>理基金资产的支付。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5.基金管理人应于基金合同终止后及时完成收益兑付、费用结清及其他应收应付款项资金划转，在确保后续不再发生款项进出后的10个工作日内向托管人发出销户申请。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proofErr w:type="gramStart"/>
      <w:r>
        <w:rPr>
          <w:rFonts w:ascii="彩虹粗仿宋" w:eastAsia="彩虹粗仿宋" w:hAnsi="宋体" w:cs="Arial" w:hint="eastAsia"/>
          <w:sz w:val="24"/>
        </w:rPr>
        <w:t>待本基金</w:t>
      </w:r>
      <w:proofErr w:type="gramEnd"/>
      <w:r>
        <w:rPr>
          <w:rFonts w:ascii="彩虹粗仿宋" w:eastAsia="彩虹粗仿宋" w:hAnsi="宋体" w:cs="Arial" w:hint="eastAsia"/>
          <w:sz w:val="24"/>
        </w:rPr>
        <w:t>启始运营后，基金管理人可向基金托管人发送划款指令，将代垫开户费从本基金托管资金账户中扣还基金管理人。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（六）其他账户的开立和管理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期限。</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45" w:name="_Toc118212952"/>
      <w:bookmarkStart w:id="46" w:name="_Toc118774805"/>
      <w:bookmarkStart w:id="47" w:name="_Toc120435785"/>
      <w:bookmarkStart w:id="48" w:name="_Toc86737931"/>
      <w:bookmarkStart w:id="49" w:name="_Toc110765662"/>
      <w:bookmarkStart w:id="50" w:name="_Toc110830494"/>
      <w:bookmarkStart w:id="51" w:name="_Toc110761798"/>
      <w:bookmarkStart w:id="52" w:name="_Toc84234436"/>
      <w:bookmarkStart w:id="53" w:name="_Toc89163370"/>
      <w:bookmarkStart w:id="54" w:name="_Toc108512360"/>
      <w:bookmarkStart w:id="55" w:name="_Toc118972650"/>
      <w:bookmarkStart w:id="56" w:name="_Toc119402712"/>
      <w:bookmarkStart w:id="57" w:name="_Toc86223244"/>
      <w:bookmarkStart w:id="58" w:name="_Toc86649724"/>
      <w:bookmarkStart w:id="59" w:name="_Toc86727357"/>
      <w:bookmarkStart w:id="60" w:name="_Toc84234389"/>
      <w:bookmarkStart w:id="61" w:name="_Toc84133787"/>
      <w:bookmarkStart w:id="62" w:name="_Toc86225293"/>
      <w:bookmarkStart w:id="63" w:name="_Toc86726441"/>
      <w:bookmarkStart w:id="64" w:name="_Toc86204790"/>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w:t>
      </w:r>
      <w:r>
        <w:rPr>
          <w:rFonts w:ascii="彩虹粗仿宋" w:eastAsia="彩虹粗仿宋" w:hAnsi="宋体" w:cs="Arial" w:hint="eastAsia"/>
          <w:sz w:val="24"/>
        </w:rPr>
        <w:lastRenderedPageBreak/>
        <w:t>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sz w:val="24"/>
        </w:rPr>
        <w:t>并相关</w:t>
      </w:r>
      <w:proofErr w:type="gramEnd"/>
      <w:r>
        <w:rPr>
          <w:rFonts w:ascii="彩虹粗仿宋" w:eastAsia="彩虹粗仿宋" w:hAnsi="宋体" w:cs="Arial" w:hint="eastAsia"/>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408FE" w:rsidRDefault="00437179">
      <w:pPr>
        <w:pStyle w:val="a0"/>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不同，由此产生的责任由基金管理人承担。基金托管人更换接受基金管理人指令的人员，应提前通过录音电话通知基金管理人。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66" w:name="_Toc86223245"/>
      <w:bookmarkStart w:id="67" w:name="_Toc86204791"/>
      <w:bookmarkStart w:id="68" w:name="_Toc86649725"/>
      <w:bookmarkStart w:id="69" w:name="_Toc110761799"/>
      <w:bookmarkStart w:id="70" w:name="_Toc118972651"/>
      <w:bookmarkStart w:id="71" w:name="_Toc119402713"/>
      <w:bookmarkStart w:id="72" w:name="_Toc86225294"/>
      <w:bookmarkStart w:id="73" w:name="_Toc89163371"/>
      <w:bookmarkStart w:id="74" w:name="_Toc86727358"/>
      <w:bookmarkStart w:id="75" w:name="_Toc108512361"/>
      <w:bookmarkStart w:id="76" w:name="_Toc110765663"/>
      <w:bookmarkStart w:id="77" w:name="_Toc110830495"/>
      <w:bookmarkStart w:id="78" w:name="_Toc118212953"/>
      <w:bookmarkStart w:id="79" w:name="_Toc84234437"/>
      <w:bookmarkStart w:id="80" w:name="_Toc86726442"/>
      <w:bookmarkStart w:id="81" w:name="_Toc118774806"/>
      <w:bookmarkStart w:id="82" w:name="_Toc84234390"/>
      <w:bookmarkStart w:id="83" w:name="_Toc120435786"/>
      <w:bookmarkStart w:id="84" w:name="_Toc124325891"/>
      <w:bookmarkStart w:id="85" w:name="_Toc86737932"/>
      <w:bookmarkStart w:id="86" w:name="_Toc84133788"/>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进行处置造成的投资风险和损失由基金管理人承担。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基金管理人和基金托管人每交易日结束后核对基金证券账目，确保双方账目相符。基金管理人和基金托管人每月月末核对实物证券账目。</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资金交收日，下同)按照托管账户应收资金与应付资金的差额来确定托管账户净应收额或净应付额，以此确定资金交收额。发生巨额赎回的情形，款项的交收参照本</w:t>
      </w:r>
      <w:proofErr w:type="gramStart"/>
      <w:r>
        <w:rPr>
          <w:rFonts w:ascii="彩虹粗仿宋" w:eastAsia="彩虹粗仿宋" w:hAnsi="宋体" w:cs="Arial" w:hint="eastAsia"/>
          <w:sz w:val="24"/>
        </w:rPr>
        <w:t>基金基金</w:t>
      </w:r>
      <w:proofErr w:type="gramEnd"/>
      <w:r>
        <w:rPr>
          <w:rFonts w:ascii="彩虹粗仿宋" w:eastAsia="彩虹粗仿宋" w:hAnsi="宋体" w:cs="Arial" w:hint="eastAsia"/>
          <w:sz w:val="24"/>
        </w:rPr>
        <w:t>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w:t>
      </w:r>
      <w:r>
        <w:rPr>
          <w:rFonts w:ascii="彩虹粗仿宋" w:eastAsia="彩虹粗仿宋" w:hAnsi="宋体" w:cs="Arial" w:hint="eastAsia"/>
          <w:sz w:val="24"/>
        </w:rPr>
        <w:lastRenderedPageBreak/>
        <w:t>过渡账户中不出现滞留，不被挪用。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4408FE" w:rsidRDefault="004408FE">
      <w:pPr>
        <w:pStyle w:val="a0"/>
        <w:adjustRightInd w:val="0"/>
        <w:snapToGrid w:val="0"/>
        <w:ind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w:t>
      </w:r>
      <w:r>
        <w:rPr>
          <w:rFonts w:ascii="彩虹粗仿宋" w:eastAsia="彩虹粗仿宋" w:hAnsi="宋体" w:cs="Arial" w:hint="eastAsia"/>
          <w:sz w:val="24"/>
        </w:rPr>
        <w:lastRenderedPageBreak/>
        <w:t>《基金合同》的规定暂停估值时除外。基金管理人每个工作日对基金资产估值后，将基金份额净值结果发送基金托管人，经基金托管人复核无误后，由基金管理人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基金所拥有的股票、债券、资产支持证券、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w:t>
      </w:r>
      <w:r>
        <w:rPr>
          <w:rFonts w:ascii="彩虹粗仿宋" w:eastAsia="彩虹粗仿宋" w:hAnsi="宋体" w:cs="Arial" w:hint="eastAsia"/>
          <w:sz w:val="24"/>
        </w:rPr>
        <w:lastRenderedPageBreak/>
        <w:t>允价值。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证券同时在两个或两个以上市场交易的，按证券所处的市场分别估值。估值计算中涉及港币对人民币汇率的，将依据下列信息提供机构所提供的汇率为基准：当日中国人民银行或其授权机构公布的人民币汇率中间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rsidR="004408FE" w:rsidRDefault="00437179">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Pr>
          <w:rFonts w:ascii="彩虹粗仿宋" w:eastAsia="彩虹粗仿宋" w:hAnsi="宋体" w:cs="Arial" w:hint="eastAsia"/>
          <w:bCs/>
          <w:sz w:val="24"/>
        </w:rPr>
        <w:t>本基金投资存托凭证的估值核算依照境内上市交易的股票执行。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w:t>
      </w:r>
      <w:r>
        <w:rPr>
          <w:rFonts w:ascii="彩虹粗仿宋" w:eastAsia="彩虹粗仿宋" w:hAnsi="宋体" w:cs="Arial"/>
          <w:sz w:val="24"/>
        </w:rPr>
        <w:t>9</w:t>
      </w:r>
      <w:r>
        <w:rPr>
          <w:rFonts w:ascii="彩虹粗仿宋" w:eastAsia="彩虹粗仿宋" w:hAnsi="宋体" w:cs="Arial" w:hint="eastAsia"/>
          <w:sz w:val="24"/>
        </w:rPr>
        <w:t>）相关法律法规以及监管部门有强制规定的，从其规定。如有新增事项，按国家最新规定估值。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408FE" w:rsidRDefault="0043717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.当特定资产占前一估值日基金资产净值50%以上的，经与基金托管人协商确认后，基金管理人应当暂停估值；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的，应根据基金合同的约定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的基金净值信息，暂停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份额净值。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（六）基金会计制度</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（七）基金账册的建立</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w:t>
      </w:r>
      <w:r>
        <w:rPr>
          <w:rFonts w:ascii="彩虹粗仿宋" w:eastAsia="彩虹粗仿宋" w:hAnsi="宋体" w:cs="Arial" w:hint="eastAsia"/>
          <w:sz w:val="24"/>
        </w:rPr>
        <w:lastRenderedPageBreak/>
        <w:t>金资产净值的计算和公告的，以基金管理人的账册为准。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（八）基金财务报表与报告的编制和复核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符合《中华人民共和国证券法》规定的会计师事务所</w:t>
      </w:r>
      <w:r>
        <w:rPr>
          <w:rFonts w:ascii="彩虹粗仿宋" w:eastAsia="彩虹粗仿宋" w:hAnsi="宋体" w:cs="Arial" w:hint="eastAsia"/>
          <w:sz w:val="24"/>
        </w:rPr>
        <w:t>审计。《基金合同》生效不足两个月的，基金管理人可以不编制当期季度报告、中期报告或者年度报告。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rsidR="004408FE" w:rsidRDefault="004408FE">
      <w:pPr>
        <w:pStyle w:val="a0"/>
        <w:adjustRightInd w:val="0"/>
        <w:snapToGrid w:val="0"/>
        <w:ind w:firstLineChars="0" w:firstLine="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w:t>
      </w:r>
      <w:r>
        <w:rPr>
          <w:rFonts w:ascii="彩虹粗仿宋" w:eastAsia="彩虹粗仿宋" w:hAnsi="宋体" w:cs="Arial" w:hint="eastAsia"/>
          <w:sz w:val="24"/>
        </w:rPr>
        <w:lastRenderedPageBreak/>
        <w:t>利或将现金红利自动转为基金份额进行再投资；投资者红利再投资所得基金份额不受最短持有期限制；若投资者不选择，本基金默认的收益分配方式是现金分红；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规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408FE" w:rsidRDefault="0043717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rsidR="004408FE" w:rsidRDefault="0043717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不进行收益分配，详见招募说明书的规定。</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w:t>
      </w:r>
      <w:r>
        <w:rPr>
          <w:rFonts w:ascii="彩虹粗仿宋" w:eastAsia="彩虹粗仿宋" w:hAnsi="宋体" w:cs="Arial" w:hint="eastAsia"/>
          <w:sz w:val="24"/>
        </w:rPr>
        <w:lastRenderedPageBreak/>
        <w:t>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期间的信息披露、清算报告、本基金投资股指期货、资产支持证券、港股通标的股票、根据法律法规需要披露的信息、中国证监会规定的其他信息。基金年度报告中的财务会计报告需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w:t>
      </w:r>
      <w:r>
        <w:rPr>
          <w:rFonts w:ascii="彩虹粗仿宋" w:eastAsia="彩虹粗仿宋" w:hAnsi="宋体" w:cs="Arial" w:hint="eastAsia"/>
          <w:sz w:val="24"/>
        </w:rPr>
        <w:lastRenderedPageBreak/>
        <w:t>保证文本的内容与所公告的内容完全一致。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rsidR="004408FE" w:rsidRDefault="004408FE">
      <w:pPr>
        <w:pStyle w:val="a0"/>
        <w:ind w:firstLineChars="0" w:firstLine="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w:t>
      </w:r>
      <w:proofErr w:type="gramStart"/>
      <w:r>
        <w:rPr>
          <w:rFonts w:ascii="彩虹粗仿宋" w:eastAsia="彩虹粗仿宋" w:hAnsi="宋体" w:cs="Arial"/>
          <w:sz w:val="24"/>
        </w:rPr>
        <w:t>须召开</w:t>
      </w:r>
      <w:proofErr w:type="gramEnd"/>
      <w:r>
        <w:rPr>
          <w:rFonts w:ascii="彩虹粗仿宋" w:eastAsia="彩虹粗仿宋" w:hAnsi="宋体" w:cs="Arial" w:hint="eastAsia"/>
          <w:sz w:val="24"/>
        </w:rPr>
        <w:t>基金份额持有人大会。基金管理人必须</w:t>
      </w:r>
      <w:r>
        <w:rPr>
          <w:rFonts w:ascii="彩虹粗仿宋" w:eastAsia="彩虹粗仿宋" w:hAnsi="宋体" w:cs="Arial" w:hint="eastAsia"/>
          <w:sz w:val="24"/>
        </w:rPr>
        <w:lastRenderedPageBreak/>
        <w:t>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在规定媒介上刊登公告。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在首期支付基金管理费前，基金管理人应向基金托管人出具正式函件指定基金管理费的收款账户。基金管理人如需要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账户，应提前5个工作日向基金托管人出具书面的收款账户变更通知。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账户资产变现后方可列支，有关费用可酌情收取或减免，但不得收取管理费，详见招募说明书的规定。</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低于法律法规规定的最低期限。如不能妥善保管，则按相关法规承担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w:t>
      </w:r>
      <w:r>
        <w:rPr>
          <w:rFonts w:ascii="彩虹粗仿宋" w:eastAsia="彩虹粗仿宋" w:hAnsi="宋体" w:hint="eastAsia"/>
          <w:kern w:val="0"/>
          <w:sz w:val="24"/>
        </w:rPr>
        <w:lastRenderedPageBreak/>
        <w:t>途，并应遵守保密义务。</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rsidR="004408FE" w:rsidRDefault="00437179">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（四）基金管理人和基金托管人应按各自职责完整保存原始凭证、记账凭证、基金账册、交易记录和重要合同等，承担保密义务并保存不低于法律法规规定的最低期限。</w:t>
      </w:r>
    </w:p>
    <w:p w:rsidR="004408FE" w:rsidRDefault="004408FE">
      <w:pPr>
        <w:adjustRightInd w:val="0"/>
        <w:snapToGrid w:val="0"/>
        <w:rPr>
          <w:rFonts w:ascii="彩虹粗仿宋" w:eastAsia="彩虹粗仿宋"/>
          <w:sz w:val="30"/>
          <w:szCs w:val="30"/>
        </w:rPr>
      </w:pPr>
    </w:p>
    <w:p w:rsidR="004408FE" w:rsidRDefault="00437179">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管理人应当符合法律法规及中国证监会规定的资格条件；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(5)公告：基金管理人更换后，由基金托管人在更换基金管理人的基金份额持有人大会决议生效后依照《信息披露办法》的规定在规定媒介公告；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管理人或者临时基金管理人应与基金托管人核对基金资产总值和净值；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(7)审计：基金管理人职责终止的，应当按照法律法规规定聘请符合《中华人民共和国证券法》规定的会计师事务所对基金财产进行审计，并将审计结果予以公告，同时报中国证监会备案，</w:t>
      </w:r>
      <w:r>
        <w:rPr>
          <w:rFonts w:ascii="彩虹粗仿宋" w:eastAsia="彩虹粗仿宋" w:hAnsi="宋体" w:cs="Arial"/>
          <w:sz w:val="24"/>
        </w:rPr>
        <w:t>审计费用从基金财产中列支</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w:t>
      </w:r>
      <w:r>
        <w:rPr>
          <w:rFonts w:ascii="彩虹粗仿宋" w:eastAsia="彩虹粗仿宋" w:hAnsi="宋体" w:cs="Arial" w:hint="eastAsia"/>
          <w:sz w:val="24"/>
        </w:rPr>
        <w:lastRenderedPageBreak/>
        <w:t>人应当符合法律法规及中国证监会规定的资格条件；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(5)公告：基金托管人更换后，由基金管理人在更换基金托管人的基金份额持有人大会决议生效后依照《信息披露办法》的规定在规定媒介公告；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托管人或者临时基金托管人与基金管理人核对基金资产总值和净值；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(7)审计：基金托管人职责终止的，应当按照法律法规规定聘请符合《中华人民共和国证券法》规定的会计师事务所对基金财产进行审计，并将审计结果予以公告，同时报中国证监会备案，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托管人应在更换基金管理人和基金托管人的基金份额持有人大会决议生效后依照《信息披露办法》的规定在规定媒介上联合公告。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管理人或基金托管人在继续履行相关职责期间，仍有权按照基金合同的约定收取基金管理费或基金托管费。</w:t>
      </w:r>
    </w:p>
    <w:p w:rsidR="004408FE" w:rsidRDefault="004408FE">
      <w:pPr>
        <w:adjustRightInd w:val="0"/>
        <w:snapToGrid w:val="0"/>
        <w:ind w:firstLineChars="200"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w:t>
      </w:r>
      <w:r>
        <w:rPr>
          <w:rFonts w:ascii="彩虹粗仿宋" w:eastAsia="彩虹粗仿宋" w:hAnsi="宋体" w:cs="Arial" w:hint="eastAsia"/>
          <w:sz w:val="24"/>
        </w:rPr>
        <w:lastRenderedPageBreak/>
        <w:t>地对待其托管的不同基金财产。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rsidR="004408FE" w:rsidRDefault="004408FE">
      <w:pPr>
        <w:adjustRightInd w:val="0"/>
        <w:snapToGrid w:val="0"/>
        <w:rPr>
          <w:rFonts w:ascii="彩虹粗仿宋" w:eastAsia="彩虹粗仿宋"/>
          <w:sz w:val="30"/>
          <w:szCs w:val="30"/>
        </w:rPr>
      </w:pPr>
    </w:p>
    <w:p w:rsidR="004408FE" w:rsidRDefault="00437179">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408FE" w:rsidRDefault="0043717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bCs/>
          <w:sz w:val="24"/>
        </w:rPr>
        <w:t>符合</w:t>
      </w:r>
      <w:r>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w:t>
      </w:r>
      <w:r>
        <w:rPr>
          <w:rFonts w:ascii="彩虹粗仿宋" w:eastAsia="彩虹粗仿宋" w:hAnsi="宋体" w:cs="Arial" w:hint="eastAsia"/>
          <w:sz w:val="24"/>
        </w:rPr>
        <w:lastRenderedPageBreak/>
        <w:t>算报告登载在规定网站上，并将清算报告提示性公告登载在规定报刊上。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基金财产清算账册及有关文件由基金托管人保存不低于法律法规规定的最低期限。</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在没有过错的情况下，基金管理人由于按照《基金合同》规定的投资原则行使或不行使其投资权而造成的损失等；</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Pr>
          <w:rFonts w:ascii="彩虹粗仿宋" w:eastAsia="彩虹粗仿宋" w:hAnsi="宋体" w:cs="Arial" w:hint="eastAsia"/>
          <w:sz w:val="24"/>
        </w:rPr>
        <w:lastRenderedPageBreak/>
        <w:t>赔偿责任。但是基金管理人和基金托管人应积极采取必要的措施减轻或消除由此造成的影响。</w:t>
      </w:r>
    </w:p>
    <w:p w:rsidR="004408FE" w:rsidRDefault="004408FE">
      <w:pPr>
        <w:adjustRightInd w:val="0"/>
        <w:snapToGrid w:val="0"/>
        <w:ind w:firstLineChars="200"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rsidR="004408FE" w:rsidRDefault="004408FE">
      <w:pPr>
        <w:adjustRightInd w:val="0"/>
        <w:snapToGrid w:val="0"/>
        <w:ind w:firstLineChars="200"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9" w:name="_Toc124325904"/>
      <w:r>
        <w:rPr>
          <w:rFonts w:ascii="彩虹粗仿宋" w:eastAsia="彩虹粗仿宋" w:hint="eastAsia"/>
          <w:sz w:val="30"/>
        </w:rPr>
        <w:lastRenderedPageBreak/>
        <w:t>二十、其他事项</w:t>
      </w:r>
      <w:bookmarkEnd w:id="99"/>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408FE" w:rsidRDefault="004408FE">
      <w:pPr>
        <w:adjustRightInd w:val="0"/>
        <w:snapToGrid w:val="0"/>
        <w:rPr>
          <w:rFonts w:ascii="彩虹粗仿宋" w:eastAsia="彩虹粗仿宋"/>
          <w:b/>
          <w:bCs/>
        </w:rPr>
      </w:pPr>
    </w:p>
    <w:p w:rsidR="004408FE" w:rsidRDefault="00437179">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408FE" w:rsidRDefault="004408FE">
      <w:pPr>
        <w:adjustRightInd w:val="0"/>
        <w:snapToGrid w:val="0"/>
        <w:ind w:firstLineChars="200" w:firstLine="480"/>
        <w:rPr>
          <w:rFonts w:ascii="彩虹粗仿宋" w:eastAsia="彩虹粗仿宋" w:hAnsi="宋体" w:cs="Arial"/>
          <w:sz w:val="24"/>
        </w:rPr>
        <w:sectPr w:rsidR="004408FE">
          <w:headerReference w:type="default" r:id="rId9"/>
          <w:pgSz w:w="11906" w:h="16838"/>
          <w:pgMar w:top="1418" w:right="1701" w:bottom="1418" w:left="1701" w:header="851" w:footer="992" w:gutter="0"/>
          <w:cols w:space="425"/>
          <w:docGrid w:type="lines" w:linePitch="312"/>
        </w:sectPr>
      </w:pPr>
    </w:p>
    <w:p w:rsidR="004408FE" w:rsidRDefault="00437179">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Pr>
          <w:rFonts w:ascii="彩虹粗仿宋" w:eastAsia="彩虹粗仿宋" w:hint="eastAsia"/>
          <w:sz w:val="24"/>
        </w:rPr>
        <w:t>瑞卓三年持有期</w:t>
      </w:r>
      <w:r>
        <w:rPr>
          <w:rFonts w:ascii="彩虹粗仿宋" w:eastAsia="彩虹粗仿宋"/>
          <w:sz w:val="24"/>
        </w:rPr>
        <w:t>混合型</w:t>
      </w:r>
      <w:r>
        <w:rPr>
          <w:rFonts w:ascii="彩虹粗仿宋" w:eastAsia="彩虹粗仿宋" w:hint="eastAsia"/>
          <w:sz w:val="24"/>
        </w:rPr>
        <w:t>证券投资基金托管协议》的签字盖章页。</w:t>
      </w:r>
    </w:p>
    <w:p w:rsidR="004408FE" w:rsidRDefault="004408FE">
      <w:pPr>
        <w:spacing w:line="360" w:lineRule="auto"/>
        <w:rPr>
          <w:rFonts w:ascii="彩虹粗仿宋" w:eastAsia="彩虹粗仿宋"/>
          <w:sz w:val="24"/>
        </w:rPr>
      </w:pPr>
    </w:p>
    <w:p w:rsidR="004408FE" w:rsidRDefault="004408FE">
      <w:pPr>
        <w:spacing w:line="360" w:lineRule="auto"/>
        <w:rPr>
          <w:rFonts w:ascii="彩虹粗仿宋" w:eastAsia="彩虹粗仿宋"/>
          <w:sz w:val="24"/>
        </w:rPr>
      </w:pPr>
    </w:p>
    <w:p w:rsidR="004408FE" w:rsidRDefault="00437179">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37179">
      <w:pPr>
        <w:spacing w:line="360" w:lineRule="auto"/>
        <w:ind w:right="26"/>
        <w:rPr>
          <w:rFonts w:ascii="彩虹粗仿宋" w:eastAsia="彩虹粗仿宋"/>
          <w:sz w:val="24"/>
        </w:rPr>
      </w:pPr>
      <w:r>
        <w:rPr>
          <w:rFonts w:ascii="彩虹粗仿宋" w:eastAsia="彩虹粗仿宋" w:hint="eastAsia"/>
          <w:sz w:val="24"/>
        </w:rPr>
        <w:t>法定代表人或授权代表：</w:t>
      </w: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3717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37179">
      <w:pPr>
        <w:rPr>
          <w:rFonts w:ascii="彩虹粗仿宋" w:eastAsia="彩虹粗仿宋"/>
          <w:sz w:val="24"/>
        </w:rPr>
      </w:pPr>
      <w:r>
        <w:rPr>
          <w:rFonts w:ascii="彩虹粗仿宋" w:eastAsia="彩虹粗仿宋" w:hint="eastAsia"/>
          <w:sz w:val="24"/>
        </w:rPr>
        <w:t>法定代表人或授权代表：</w:t>
      </w:r>
    </w:p>
    <w:p w:rsidR="004408FE" w:rsidRDefault="004408FE">
      <w:pPr>
        <w:rPr>
          <w:rFonts w:ascii="彩虹粗仿宋" w:eastAsia="彩虹粗仿宋"/>
          <w:sz w:val="24"/>
        </w:rPr>
      </w:pPr>
    </w:p>
    <w:p w:rsidR="004408FE" w:rsidRDefault="004408FE">
      <w:pPr>
        <w:rPr>
          <w:rFonts w:ascii="彩虹粗仿宋" w:eastAsia="彩虹粗仿宋"/>
          <w:sz w:val="24"/>
        </w:rPr>
      </w:pPr>
    </w:p>
    <w:p w:rsidR="004408FE" w:rsidRDefault="004408FE">
      <w:pPr>
        <w:rPr>
          <w:rFonts w:ascii="彩虹粗仿宋" w:eastAsia="彩虹粗仿宋"/>
          <w:sz w:val="24"/>
        </w:rPr>
      </w:pPr>
    </w:p>
    <w:p w:rsidR="004408FE" w:rsidRDefault="00437179">
      <w:r>
        <w:rPr>
          <w:rFonts w:hint="eastAsia"/>
        </w:rPr>
        <w:t>签订地点：北京</w:t>
      </w:r>
    </w:p>
    <w:p w:rsidR="004408FE" w:rsidRDefault="004408FE"/>
    <w:p w:rsidR="004408FE" w:rsidRDefault="00437179">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408F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DBA" w:rsidRDefault="00424DBA">
      <w:r>
        <w:separator/>
      </w:r>
    </w:p>
  </w:endnote>
  <w:endnote w:type="continuationSeparator" w:id="0">
    <w:p w:rsidR="00424DBA" w:rsidRDefault="0042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DBA" w:rsidRDefault="00424DBA">
      <w:r>
        <w:separator/>
      </w:r>
    </w:p>
  </w:footnote>
  <w:footnote w:type="continuationSeparator" w:id="0">
    <w:p w:rsidR="00424DBA" w:rsidRDefault="00424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8FE" w:rsidRDefault="00437179">
    <w:pPr>
      <w:pStyle w:val="a9"/>
      <w:jc w:val="right"/>
    </w:pPr>
    <w:r>
      <w:rPr>
        <w:rFonts w:hint="eastAsia"/>
        <w:noProof/>
      </w:rPr>
      <w:drawing>
        <wp:anchor distT="0" distB="0" distL="114300" distR="114300" simplePos="0" relativeHeight="251659264" behindDoc="0" locked="0" layoutInCell="1" allowOverlap="1">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proofErr w:type="gramStart"/>
    <w:r>
      <w:t>施罗德</w:t>
    </w:r>
    <w:r>
      <w:rPr>
        <w:rFonts w:hint="eastAsia"/>
      </w:rPr>
      <w:t>瑞卓三年</w:t>
    </w:r>
    <w:proofErr w:type="gramEnd"/>
    <w:r>
      <w:rPr>
        <w:rFonts w:hint="eastAsia"/>
      </w:rPr>
      <w:t>持有期</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8FE" w:rsidRDefault="004408FE">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076BA"/>
    <w:rsid w:val="0002708A"/>
    <w:rsid w:val="00036E6C"/>
    <w:rsid w:val="000451AA"/>
    <w:rsid w:val="000464DB"/>
    <w:rsid w:val="0005262A"/>
    <w:rsid w:val="0006099E"/>
    <w:rsid w:val="000701A7"/>
    <w:rsid w:val="00071F96"/>
    <w:rsid w:val="0007422F"/>
    <w:rsid w:val="00076EDE"/>
    <w:rsid w:val="00097535"/>
    <w:rsid w:val="000A3AC8"/>
    <w:rsid w:val="000B0F3F"/>
    <w:rsid w:val="000B3CA9"/>
    <w:rsid w:val="000B68B2"/>
    <w:rsid w:val="000C297B"/>
    <w:rsid w:val="000C6593"/>
    <w:rsid w:val="000C7EBD"/>
    <w:rsid w:val="000F6AB7"/>
    <w:rsid w:val="0010049A"/>
    <w:rsid w:val="00103652"/>
    <w:rsid w:val="00126B23"/>
    <w:rsid w:val="00144253"/>
    <w:rsid w:val="00144D6D"/>
    <w:rsid w:val="001664ED"/>
    <w:rsid w:val="00182EE9"/>
    <w:rsid w:val="0018762A"/>
    <w:rsid w:val="00191972"/>
    <w:rsid w:val="00194895"/>
    <w:rsid w:val="001A21CE"/>
    <w:rsid w:val="001A2681"/>
    <w:rsid w:val="001B0987"/>
    <w:rsid w:val="001B57BD"/>
    <w:rsid w:val="001C0465"/>
    <w:rsid w:val="001C2257"/>
    <w:rsid w:val="001C6978"/>
    <w:rsid w:val="001D5594"/>
    <w:rsid w:val="001E5623"/>
    <w:rsid w:val="001E7A03"/>
    <w:rsid w:val="001F2A75"/>
    <w:rsid w:val="001F682A"/>
    <w:rsid w:val="002107D9"/>
    <w:rsid w:val="00213061"/>
    <w:rsid w:val="00220F22"/>
    <w:rsid w:val="00226D43"/>
    <w:rsid w:val="00231040"/>
    <w:rsid w:val="002310E9"/>
    <w:rsid w:val="00232E70"/>
    <w:rsid w:val="00235357"/>
    <w:rsid w:val="00240E3D"/>
    <w:rsid w:val="00251CA8"/>
    <w:rsid w:val="002569ED"/>
    <w:rsid w:val="00271864"/>
    <w:rsid w:val="00277CD9"/>
    <w:rsid w:val="002826A7"/>
    <w:rsid w:val="002905CF"/>
    <w:rsid w:val="00296AFE"/>
    <w:rsid w:val="002A1BE9"/>
    <w:rsid w:val="002B3B24"/>
    <w:rsid w:val="002C127D"/>
    <w:rsid w:val="002D1D54"/>
    <w:rsid w:val="002F094F"/>
    <w:rsid w:val="002F2931"/>
    <w:rsid w:val="002F3DE1"/>
    <w:rsid w:val="003007B6"/>
    <w:rsid w:val="00304D20"/>
    <w:rsid w:val="00305A55"/>
    <w:rsid w:val="00306741"/>
    <w:rsid w:val="00312783"/>
    <w:rsid w:val="00326339"/>
    <w:rsid w:val="003551D1"/>
    <w:rsid w:val="00364095"/>
    <w:rsid w:val="00364A25"/>
    <w:rsid w:val="0037231D"/>
    <w:rsid w:val="003726BE"/>
    <w:rsid w:val="00385012"/>
    <w:rsid w:val="00391DC8"/>
    <w:rsid w:val="003A1B40"/>
    <w:rsid w:val="003A6DF6"/>
    <w:rsid w:val="003D0EEA"/>
    <w:rsid w:val="003D583E"/>
    <w:rsid w:val="003E31DC"/>
    <w:rsid w:val="003E4611"/>
    <w:rsid w:val="003E71A8"/>
    <w:rsid w:val="00402FE3"/>
    <w:rsid w:val="004211E7"/>
    <w:rsid w:val="0042215B"/>
    <w:rsid w:val="0042280C"/>
    <w:rsid w:val="00424A4B"/>
    <w:rsid w:val="00424D8C"/>
    <w:rsid w:val="00424DBA"/>
    <w:rsid w:val="00434A73"/>
    <w:rsid w:val="00437179"/>
    <w:rsid w:val="0043775E"/>
    <w:rsid w:val="004408FE"/>
    <w:rsid w:val="00461B52"/>
    <w:rsid w:val="00462395"/>
    <w:rsid w:val="00472897"/>
    <w:rsid w:val="00473263"/>
    <w:rsid w:val="00482D1E"/>
    <w:rsid w:val="004A566A"/>
    <w:rsid w:val="004B0DAF"/>
    <w:rsid w:val="004C742F"/>
    <w:rsid w:val="004E14F3"/>
    <w:rsid w:val="004E6FD0"/>
    <w:rsid w:val="004F5FC3"/>
    <w:rsid w:val="004F7051"/>
    <w:rsid w:val="00530F17"/>
    <w:rsid w:val="00535B4B"/>
    <w:rsid w:val="0056231C"/>
    <w:rsid w:val="005623B2"/>
    <w:rsid w:val="00567488"/>
    <w:rsid w:val="005709CB"/>
    <w:rsid w:val="0058092A"/>
    <w:rsid w:val="005933AC"/>
    <w:rsid w:val="00595B36"/>
    <w:rsid w:val="005A0400"/>
    <w:rsid w:val="005C092F"/>
    <w:rsid w:val="005D004A"/>
    <w:rsid w:val="005F09CB"/>
    <w:rsid w:val="005F2FFD"/>
    <w:rsid w:val="00612D6F"/>
    <w:rsid w:val="00614707"/>
    <w:rsid w:val="0061608D"/>
    <w:rsid w:val="00617149"/>
    <w:rsid w:val="00621866"/>
    <w:rsid w:val="0063715B"/>
    <w:rsid w:val="00653BFA"/>
    <w:rsid w:val="006611F9"/>
    <w:rsid w:val="00670E5B"/>
    <w:rsid w:val="00673462"/>
    <w:rsid w:val="00677EF2"/>
    <w:rsid w:val="00684014"/>
    <w:rsid w:val="00695B55"/>
    <w:rsid w:val="006B0301"/>
    <w:rsid w:val="006B2441"/>
    <w:rsid w:val="006B5C2D"/>
    <w:rsid w:val="006F6389"/>
    <w:rsid w:val="00710C44"/>
    <w:rsid w:val="00723601"/>
    <w:rsid w:val="00737DC5"/>
    <w:rsid w:val="0076725A"/>
    <w:rsid w:val="00780C25"/>
    <w:rsid w:val="00796807"/>
    <w:rsid w:val="007A15B5"/>
    <w:rsid w:val="007C0F90"/>
    <w:rsid w:val="007C5B5E"/>
    <w:rsid w:val="007D0866"/>
    <w:rsid w:val="007F5424"/>
    <w:rsid w:val="00833A27"/>
    <w:rsid w:val="008516A6"/>
    <w:rsid w:val="008672D9"/>
    <w:rsid w:val="00883402"/>
    <w:rsid w:val="008B5E56"/>
    <w:rsid w:val="008B7946"/>
    <w:rsid w:val="008E0B35"/>
    <w:rsid w:val="008E1F1F"/>
    <w:rsid w:val="008F0D04"/>
    <w:rsid w:val="008F74EC"/>
    <w:rsid w:val="00900A50"/>
    <w:rsid w:val="009145BF"/>
    <w:rsid w:val="00915A7C"/>
    <w:rsid w:val="00923D50"/>
    <w:rsid w:val="00930190"/>
    <w:rsid w:val="009326C6"/>
    <w:rsid w:val="00940F72"/>
    <w:rsid w:val="009448C9"/>
    <w:rsid w:val="00945E83"/>
    <w:rsid w:val="009522F8"/>
    <w:rsid w:val="00954945"/>
    <w:rsid w:val="0096064F"/>
    <w:rsid w:val="00962C31"/>
    <w:rsid w:val="00963F57"/>
    <w:rsid w:val="00966C65"/>
    <w:rsid w:val="00977C44"/>
    <w:rsid w:val="009A4EAE"/>
    <w:rsid w:val="009B3CCF"/>
    <w:rsid w:val="009D79D3"/>
    <w:rsid w:val="009E3187"/>
    <w:rsid w:val="009E691F"/>
    <w:rsid w:val="009E7DA5"/>
    <w:rsid w:val="009F5D6F"/>
    <w:rsid w:val="00A05112"/>
    <w:rsid w:val="00A247C8"/>
    <w:rsid w:val="00A64FA1"/>
    <w:rsid w:val="00A70203"/>
    <w:rsid w:val="00A74EFA"/>
    <w:rsid w:val="00A8077D"/>
    <w:rsid w:val="00A80B44"/>
    <w:rsid w:val="00A83CE9"/>
    <w:rsid w:val="00AB4E7B"/>
    <w:rsid w:val="00AE1EFF"/>
    <w:rsid w:val="00AE3D74"/>
    <w:rsid w:val="00AF08AD"/>
    <w:rsid w:val="00AF224B"/>
    <w:rsid w:val="00AF2283"/>
    <w:rsid w:val="00B14218"/>
    <w:rsid w:val="00B16CA6"/>
    <w:rsid w:val="00B36E22"/>
    <w:rsid w:val="00B37D6C"/>
    <w:rsid w:val="00B457B9"/>
    <w:rsid w:val="00B53C60"/>
    <w:rsid w:val="00B55924"/>
    <w:rsid w:val="00B6437B"/>
    <w:rsid w:val="00B86E94"/>
    <w:rsid w:val="00B90D0D"/>
    <w:rsid w:val="00BD4BFA"/>
    <w:rsid w:val="00BF7465"/>
    <w:rsid w:val="00C00D47"/>
    <w:rsid w:val="00C233B5"/>
    <w:rsid w:val="00C37790"/>
    <w:rsid w:val="00C507D7"/>
    <w:rsid w:val="00C51361"/>
    <w:rsid w:val="00C71239"/>
    <w:rsid w:val="00C71B46"/>
    <w:rsid w:val="00C955C5"/>
    <w:rsid w:val="00C962EB"/>
    <w:rsid w:val="00CA7822"/>
    <w:rsid w:val="00CC53EA"/>
    <w:rsid w:val="00CE67A2"/>
    <w:rsid w:val="00CF3BBC"/>
    <w:rsid w:val="00CF41DE"/>
    <w:rsid w:val="00CF7823"/>
    <w:rsid w:val="00D00878"/>
    <w:rsid w:val="00D12C1B"/>
    <w:rsid w:val="00D228C7"/>
    <w:rsid w:val="00D23A4A"/>
    <w:rsid w:val="00D247DE"/>
    <w:rsid w:val="00D24CDF"/>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100AB"/>
    <w:rsid w:val="00E24DD0"/>
    <w:rsid w:val="00E42C2C"/>
    <w:rsid w:val="00E43A23"/>
    <w:rsid w:val="00E44AA9"/>
    <w:rsid w:val="00E46BB4"/>
    <w:rsid w:val="00E46CAF"/>
    <w:rsid w:val="00E529B7"/>
    <w:rsid w:val="00E60B76"/>
    <w:rsid w:val="00E62B95"/>
    <w:rsid w:val="00E644F3"/>
    <w:rsid w:val="00E975C2"/>
    <w:rsid w:val="00EA031A"/>
    <w:rsid w:val="00EB13C7"/>
    <w:rsid w:val="00EB29A4"/>
    <w:rsid w:val="00EB7D85"/>
    <w:rsid w:val="00EC20B2"/>
    <w:rsid w:val="00EC2D72"/>
    <w:rsid w:val="00EC4E1C"/>
    <w:rsid w:val="00EC51F9"/>
    <w:rsid w:val="00EC66A1"/>
    <w:rsid w:val="00ED6D65"/>
    <w:rsid w:val="00EE7A06"/>
    <w:rsid w:val="00EF21C8"/>
    <w:rsid w:val="00EF56EB"/>
    <w:rsid w:val="00EF67D7"/>
    <w:rsid w:val="00F16794"/>
    <w:rsid w:val="00F2031C"/>
    <w:rsid w:val="00F21143"/>
    <w:rsid w:val="00F45A3A"/>
    <w:rsid w:val="00F66409"/>
    <w:rsid w:val="00F700E4"/>
    <w:rsid w:val="00F71EB1"/>
    <w:rsid w:val="00F75E96"/>
    <w:rsid w:val="00F82333"/>
    <w:rsid w:val="00FA436C"/>
    <w:rsid w:val="00FD58E5"/>
    <w:rsid w:val="00FD613B"/>
    <w:rsid w:val="00FD71B5"/>
    <w:rsid w:val="00FF0D63"/>
    <w:rsid w:val="00FF40A9"/>
    <w:rsid w:val="00FF6EE0"/>
    <w:rsid w:val="383B7079"/>
    <w:rsid w:val="3A574E83"/>
    <w:rsid w:val="45B4233A"/>
    <w:rsid w:val="46A2402E"/>
    <w:rsid w:val="784577B9"/>
    <w:rsid w:val="7931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30F64-4982-4E03-82E3-DC6498FF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qFormat/>
    <w:rPr>
      <w:color w:val="954F72" w:themeColor="followedHyperlink"/>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4">
    <w:name w:val="页眉 Char"/>
    <w:basedOn w:val="a1"/>
    <w:link w:val="a9"/>
    <w:qFormat/>
    <w:rPr>
      <w:rFonts w:ascii="Times New Roman" w:eastAsia="宋体" w:hAnsi="Times New Roman" w:cs="Times New Roman"/>
      <w:sz w:val="18"/>
      <w:szCs w:val="18"/>
    </w:rPr>
  </w:style>
  <w:style w:type="character" w:customStyle="1" w:styleId="Char3">
    <w:name w:val="页脚 Char"/>
    <w:basedOn w:val="a1"/>
    <w:link w:val="a8"/>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customStyle="1" w:styleId="22">
    <w:name w:val="修订2"/>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43FDE-151C-41F4-8D06-9D1865F1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4852</Words>
  <Characters>27663</Characters>
  <Application>Microsoft Office Word</Application>
  <DocSecurity>0</DocSecurity>
  <Lines>230</Lines>
  <Paragraphs>64</Paragraphs>
  <ScaleCrop>false</ScaleCrop>
  <Company>Microsoft</Company>
  <LinksUpToDate>false</LinksUpToDate>
  <CharactersWithSpaces>32451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张敏峻</cp:lastModifiedBy>
  <cp:revision>101</cp:revision>
  <cp:lastPrinted>2019-09-19T08:32:00Z</cp:lastPrinted>
  <dcterms:created xsi:type="dcterms:W3CDTF">2019-07-31T05:23:00Z</dcterms:created>
  <dcterms:modified xsi:type="dcterms:W3CDTF">2021-08-16T05:18:00Z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