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4588" w14:textId="77777777" w:rsidR="005A582E" w:rsidRDefault="00111516">
      <w:pPr>
        <w:pStyle w:val="af8"/>
        <w:rPr>
          <w:rFonts w:eastAsia="黑体"/>
          <w:color w:val="000000"/>
          <w:kern w:val="0"/>
          <w:sz w:val="30"/>
        </w:rPr>
      </w:pPr>
      <w:bookmarkStart w:id="0" w:name="_Toc355966666"/>
      <w:r>
        <w:rPr>
          <w:rFonts w:eastAsia="黑体"/>
          <w:color w:val="000000"/>
          <w:kern w:val="0"/>
          <w:sz w:val="30"/>
        </w:rPr>
        <w:t>交银施罗德基金管理有限公司旗下基金转换</w:t>
      </w:r>
      <w:bookmarkEnd w:id="0"/>
      <w:r>
        <w:rPr>
          <w:rFonts w:eastAsia="黑体"/>
          <w:color w:val="000000"/>
          <w:kern w:val="0"/>
          <w:sz w:val="30"/>
        </w:rPr>
        <w:t>业务规则</w:t>
      </w:r>
    </w:p>
    <w:p w14:paraId="0F1E5BC2" w14:textId="77777777" w:rsidR="005A582E" w:rsidRDefault="00111516">
      <w:pPr>
        <w:spacing w:line="360" w:lineRule="auto"/>
        <w:ind w:firstLineChars="200" w:firstLine="482"/>
        <w:rPr>
          <w:b/>
          <w:bCs/>
          <w:color w:val="000000"/>
          <w:sz w:val="24"/>
          <w:szCs w:val="21"/>
        </w:rPr>
      </w:pPr>
      <w:r>
        <w:rPr>
          <w:b/>
          <w:bCs/>
          <w:color w:val="000000"/>
          <w:sz w:val="24"/>
          <w:szCs w:val="21"/>
        </w:rPr>
        <w:t>（一）基金转换</w:t>
      </w:r>
    </w:p>
    <w:p w14:paraId="1AB2E3CA" w14:textId="77777777" w:rsidR="005A582E" w:rsidRDefault="00111516">
      <w:pPr>
        <w:pStyle w:val="afc"/>
        <w:spacing w:after="0" w:line="360" w:lineRule="auto"/>
        <w:ind w:rightChars="-85" w:right="-178" w:firstLineChars="200" w:firstLine="480"/>
        <w:rPr>
          <w:sz w:val="24"/>
          <w:szCs w:val="24"/>
        </w:rPr>
      </w:pPr>
      <w:r>
        <w:rPr>
          <w:rFonts w:hAnsi="宋体"/>
          <w:sz w:val="24"/>
          <w:szCs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5BD98CB4" w14:textId="77777777" w:rsidR="005A582E" w:rsidRDefault="00111516">
      <w:pPr>
        <w:spacing w:line="360" w:lineRule="auto"/>
        <w:ind w:firstLineChars="200" w:firstLine="482"/>
        <w:rPr>
          <w:b/>
          <w:bCs/>
          <w:color w:val="000000"/>
          <w:sz w:val="24"/>
          <w:szCs w:val="21"/>
        </w:rPr>
      </w:pPr>
      <w:r>
        <w:rPr>
          <w:b/>
          <w:bCs/>
          <w:color w:val="000000"/>
          <w:sz w:val="24"/>
          <w:szCs w:val="21"/>
        </w:rPr>
        <w:t>（二）转换业务办理时间</w:t>
      </w:r>
    </w:p>
    <w:p w14:paraId="43F7CACE" w14:textId="77777777" w:rsidR="005A582E" w:rsidRDefault="00111516">
      <w:pPr>
        <w:pStyle w:val="afc"/>
        <w:spacing w:line="360" w:lineRule="auto"/>
        <w:ind w:rightChars="-85" w:right="-178" w:firstLineChars="200" w:firstLine="480"/>
        <w:rPr>
          <w:sz w:val="24"/>
          <w:szCs w:val="24"/>
        </w:rPr>
      </w:pPr>
      <w:r>
        <w:rPr>
          <w:rFonts w:hAnsi="宋体"/>
          <w:sz w:val="24"/>
          <w:szCs w:val="24"/>
        </w:rPr>
        <w:t>办理基金间转换的时间为上海证券交易所、深圳证券交易所交易日。若出现新的证券交易市场或交易所交易时间更改或其它原因，基金管理人将视情况进行相应的调整并公告。</w:t>
      </w:r>
    </w:p>
    <w:p w14:paraId="142C0C84" w14:textId="77777777" w:rsidR="005A582E" w:rsidRDefault="00111516">
      <w:pPr>
        <w:pStyle w:val="afc"/>
        <w:spacing w:line="360" w:lineRule="auto"/>
        <w:ind w:rightChars="-85" w:right="-178" w:firstLineChars="200" w:firstLine="480"/>
        <w:rPr>
          <w:sz w:val="24"/>
          <w:szCs w:val="24"/>
        </w:rPr>
      </w:pPr>
      <w:r>
        <w:rPr>
          <w:rFonts w:hAnsi="宋体"/>
          <w:sz w:val="24"/>
          <w:szCs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78E8E8F5" w14:textId="77777777" w:rsidR="005A582E" w:rsidRDefault="00111516">
      <w:pPr>
        <w:spacing w:line="360" w:lineRule="auto"/>
        <w:ind w:firstLineChars="200" w:firstLine="482"/>
        <w:rPr>
          <w:b/>
          <w:bCs/>
          <w:color w:val="000000"/>
          <w:sz w:val="24"/>
          <w:szCs w:val="21"/>
        </w:rPr>
      </w:pPr>
      <w:r>
        <w:rPr>
          <w:b/>
          <w:bCs/>
          <w:color w:val="000000"/>
          <w:sz w:val="24"/>
          <w:szCs w:val="21"/>
        </w:rPr>
        <w:t>（三）转换业务适用的基金范围</w:t>
      </w:r>
    </w:p>
    <w:p w14:paraId="1A3E0A60" w14:textId="77777777" w:rsidR="005A582E" w:rsidRDefault="001115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目前本基金管理人旗下管理的基金如下：</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246"/>
        <w:gridCol w:w="2069"/>
        <w:gridCol w:w="1656"/>
      </w:tblGrid>
      <w:tr w:rsidR="005A582E" w14:paraId="3EB71622" w14:textId="77777777">
        <w:trPr>
          <w:trHeight w:val="285"/>
          <w:jc w:val="center"/>
        </w:trPr>
        <w:tc>
          <w:tcPr>
            <w:tcW w:w="416" w:type="pct"/>
            <w:shd w:val="clear" w:color="auto" w:fill="auto"/>
            <w:noWrap/>
            <w:vAlign w:val="center"/>
          </w:tcPr>
          <w:p w14:paraId="5920B2A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序号</w:t>
            </w:r>
          </w:p>
        </w:tc>
        <w:tc>
          <w:tcPr>
            <w:tcW w:w="2442" w:type="pct"/>
            <w:shd w:val="clear" w:color="auto" w:fill="auto"/>
            <w:noWrap/>
            <w:vAlign w:val="center"/>
          </w:tcPr>
          <w:p w14:paraId="5672B03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基金名称</w:t>
            </w:r>
          </w:p>
        </w:tc>
        <w:tc>
          <w:tcPr>
            <w:tcW w:w="1190" w:type="pct"/>
            <w:shd w:val="clear" w:color="auto" w:fill="auto"/>
            <w:vAlign w:val="center"/>
          </w:tcPr>
          <w:p w14:paraId="08DE4DD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简称</w:t>
            </w:r>
          </w:p>
        </w:tc>
        <w:tc>
          <w:tcPr>
            <w:tcW w:w="952" w:type="pct"/>
            <w:shd w:val="clear" w:color="auto" w:fill="auto"/>
            <w:noWrap/>
            <w:vAlign w:val="center"/>
          </w:tcPr>
          <w:p w14:paraId="535D55F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适用基金代码</w:t>
            </w:r>
          </w:p>
        </w:tc>
      </w:tr>
      <w:tr w:rsidR="005A582E" w14:paraId="223DE949" w14:textId="77777777">
        <w:trPr>
          <w:trHeight w:val="640"/>
          <w:jc w:val="center"/>
        </w:trPr>
        <w:tc>
          <w:tcPr>
            <w:tcW w:w="416" w:type="pct"/>
            <w:shd w:val="clear" w:color="auto" w:fill="auto"/>
            <w:noWrap/>
            <w:vAlign w:val="center"/>
          </w:tcPr>
          <w:p w14:paraId="10D8DB70"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w:t>
            </w:r>
          </w:p>
        </w:tc>
        <w:tc>
          <w:tcPr>
            <w:tcW w:w="2442" w:type="pct"/>
            <w:shd w:val="clear" w:color="auto" w:fill="auto"/>
            <w:vAlign w:val="center"/>
          </w:tcPr>
          <w:p w14:paraId="6A671D4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交银施罗德精选混合型证券投资基金</w:t>
            </w:r>
          </w:p>
        </w:tc>
        <w:tc>
          <w:tcPr>
            <w:tcW w:w="1190" w:type="pct"/>
            <w:shd w:val="clear" w:color="auto" w:fill="auto"/>
            <w:vAlign w:val="center"/>
          </w:tcPr>
          <w:p w14:paraId="10DBBCA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交银精选</w:t>
            </w:r>
          </w:p>
        </w:tc>
        <w:tc>
          <w:tcPr>
            <w:tcW w:w="952" w:type="pct"/>
            <w:shd w:val="clear" w:color="auto" w:fill="auto"/>
            <w:vAlign w:val="center"/>
          </w:tcPr>
          <w:p w14:paraId="58E06C6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 xml:space="preserve">前端519688 </w:t>
            </w:r>
          </w:p>
          <w:p w14:paraId="34AB147E"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 519689</w:t>
            </w:r>
          </w:p>
        </w:tc>
      </w:tr>
      <w:tr w:rsidR="005A582E" w14:paraId="05F9E08E" w14:textId="77777777">
        <w:trPr>
          <w:trHeight w:val="630"/>
          <w:jc w:val="center"/>
        </w:trPr>
        <w:tc>
          <w:tcPr>
            <w:tcW w:w="416" w:type="pct"/>
            <w:shd w:val="clear" w:color="auto" w:fill="auto"/>
            <w:noWrap/>
            <w:vAlign w:val="center"/>
          </w:tcPr>
          <w:p w14:paraId="3C2B623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w:t>
            </w:r>
          </w:p>
        </w:tc>
        <w:tc>
          <w:tcPr>
            <w:tcW w:w="2442" w:type="pct"/>
            <w:shd w:val="clear" w:color="auto" w:fill="auto"/>
            <w:vAlign w:val="center"/>
          </w:tcPr>
          <w:p w14:paraId="6764E4B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交银施罗德货币市场证券投资基金</w:t>
            </w:r>
          </w:p>
        </w:tc>
        <w:tc>
          <w:tcPr>
            <w:tcW w:w="1190" w:type="pct"/>
            <w:shd w:val="clear" w:color="auto" w:fill="auto"/>
            <w:vAlign w:val="center"/>
          </w:tcPr>
          <w:p w14:paraId="24A7853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交银货币</w:t>
            </w:r>
          </w:p>
        </w:tc>
        <w:tc>
          <w:tcPr>
            <w:tcW w:w="952" w:type="pct"/>
            <w:shd w:val="clear" w:color="auto" w:fill="auto"/>
            <w:vAlign w:val="center"/>
          </w:tcPr>
          <w:p w14:paraId="49AF74E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A级519588</w:t>
            </w:r>
          </w:p>
          <w:p w14:paraId="6B25033B"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B级519589</w:t>
            </w:r>
          </w:p>
        </w:tc>
      </w:tr>
      <w:tr w:rsidR="005A582E" w14:paraId="16F7EC09" w14:textId="77777777">
        <w:trPr>
          <w:trHeight w:val="624"/>
          <w:jc w:val="center"/>
        </w:trPr>
        <w:tc>
          <w:tcPr>
            <w:tcW w:w="416" w:type="pct"/>
            <w:shd w:val="clear" w:color="auto" w:fill="auto"/>
            <w:noWrap/>
            <w:vAlign w:val="center"/>
          </w:tcPr>
          <w:p w14:paraId="5E284D4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w:t>
            </w:r>
          </w:p>
        </w:tc>
        <w:tc>
          <w:tcPr>
            <w:tcW w:w="2442" w:type="pct"/>
            <w:shd w:val="clear" w:color="auto" w:fill="auto"/>
            <w:vAlign w:val="center"/>
          </w:tcPr>
          <w:p w14:paraId="4B295E4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交银施罗德稳健配置混合型证券投资基金</w:t>
            </w:r>
          </w:p>
        </w:tc>
        <w:tc>
          <w:tcPr>
            <w:tcW w:w="1190" w:type="pct"/>
            <w:shd w:val="clear" w:color="auto" w:fill="auto"/>
            <w:vAlign w:val="center"/>
          </w:tcPr>
          <w:p w14:paraId="0D12C08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交银稳健</w:t>
            </w:r>
          </w:p>
        </w:tc>
        <w:tc>
          <w:tcPr>
            <w:tcW w:w="952" w:type="pct"/>
            <w:shd w:val="clear" w:color="auto" w:fill="auto"/>
            <w:vAlign w:val="center"/>
          </w:tcPr>
          <w:p w14:paraId="2371DD9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前端519690</w:t>
            </w:r>
          </w:p>
          <w:p w14:paraId="624F4ADD"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后端519691</w:t>
            </w:r>
          </w:p>
        </w:tc>
      </w:tr>
      <w:tr w:rsidR="005A582E" w14:paraId="0640BA4A" w14:textId="77777777">
        <w:trPr>
          <w:trHeight w:val="624"/>
          <w:jc w:val="center"/>
        </w:trPr>
        <w:tc>
          <w:tcPr>
            <w:tcW w:w="416" w:type="pct"/>
            <w:shd w:val="clear" w:color="auto" w:fill="auto"/>
            <w:noWrap/>
            <w:vAlign w:val="center"/>
          </w:tcPr>
          <w:p w14:paraId="4026D06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w:t>
            </w:r>
          </w:p>
        </w:tc>
        <w:tc>
          <w:tcPr>
            <w:tcW w:w="2442" w:type="pct"/>
            <w:shd w:val="clear" w:color="auto" w:fill="auto"/>
            <w:vAlign w:val="center"/>
          </w:tcPr>
          <w:p w14:paraId="2C154BD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交银施罗德成长混合型证券投资基金</w:t>
            </w:r>
          </w:p>
        </w:tc>
        <w:tc>
          <w:tcPr>
            <w:tcW w:w="1190" w:type="pct"/>
            <w:shd w:val="clear" w:color="auto" w:fill="auto"/>
            <w:vAlign w:val="center"/>
          </w:tcPr>
          <w:p w14:paraId="480C5EB0"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交银成长</w:t>
            </w:r>
          </w:p>
        </w:tc>
        <w:tc>
          <w:tcPr>
            <w:tcW w:w="952" w:type="pct"/>
            <w:shd w:val="clear" w:color="auto" w:fill="auto"/>
            <w:vAlign w:val="center"/>
          </w:tcPr>
          <w:p w14:paraId="1D99540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前端519692</w:t>
            </w:r>
          </w:p>
          <w:p w14:paraId="1E38DB45"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后端519693</w:t>
            </w:r>
          </w:p>
        </w:tc>
      </w:tr>
      <w:tr w:rsidR="005A582E" w14:paraId="5D65049D" w14:textId="77777777">
        <w:trPr>
          <w:trHeight w:val="624"/>
          <w:jc w:val="center"/>
        </w:trPr>
        <w:tc>
          <w:tcPr>
            <w:tcW w:w="416" w:type="pct"/>
            <w:shd w:val="clear" w:color="auto" w:fill="auto"/>
            <w:noWrap/>
            <w:vAlign w:val="center"/>
          </w:tcPr>
          <w:p w14:paraId="7C3762A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w:t>
            </w:r>
          </w:p>
        </w:tc>
        <w:tc>
          <w:tcPr>
            <w:tcW w:w="2442" w:type="pct"/>
            <w:shd w:val="clear" w:color="auto" w:fill="auto"/>
            <w:vAlign w:val="center"/>
          </w:tcPr>
          <w:p w14:paraId="73D07C3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交银施罗德蓝筹混合型证券投资基金</w:t>
            </w:r>
          </w:p>
        </w:tc>
        <w:tc>
          <w:tcPr>
            <w:tcW w:w="1190" w:type="pct"/>
            <w:shd w:val="clear" w:color="auto" w:fill="auto"/>
            <w:vAlign w:val="center"/>
          </w:tcPr>
          <w:p w14:paraId="203ABC1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交银蓝筹</w:t>
            </w:r>
          </w:p>
        </w:tc>
        <w:tc>
          <w:tcPr>
            <w:tcW w:w="952" w:type="pct"/>
            <w:shd w:val="clear" w:color="auto" w:fill="auto"/>
            <w:vAlign w:val="center"/>
          </w:tcPr>
          <w:p w14:paraId="084DFA4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前端519694</w:t>
            </w:r>
          </w:p>
          <w:p w14:paraId="32861875"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后端519695</w:t>
            </w:r>
          </w:p>
        </w:tc>
      </w:tr>
      <w:tr w:rsidR="005A582E" w14:paraId="729A9AEC" w14:textId="77777777">
        <w:trPr>
          <w:trHeight w:val="962"/>
          <w:jc w:val="center"/>
        </w:trPr>
        <w:tc>
          <w:tcPr>
            <w:tcW w:w="416" w:type="pct"/>
            <w:shd w:val="clear" w:color="auto" w:fill="auto"/>
            <w:noWrap/>
            <w:vAlign w:val="center"/>
          </w:tcPr>
          <w:p w14:paraId="076ED92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w:t>
            </w:r>
          </w:p>
        </w:tc>
        <w:tc>
          <w:tcPr>
            <w:tcW w:w="2442" w:type="pct"/>
            <w:shd w:val="clear" w:color="auto" w:fill="auto"/>
            <w:vAlign w:val="center"/>
          </w:tcPr>
          <w:p w14:paraId="428D3FA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交银施罗德增利债券证券投资基金</w:t>
            </w:r>
          </w:p>
        </w:tc>
        <w:tc>
          <w:tcPr>
            <w:tcW w:w="1190" w:type="pct"/>
            <w:shd w:val="clear" w:color="auto" w:fill="auto"/>
            <w:vAlign w:val="center"/>
          </w:tcPr>
          <w:p w14:paraId="3FD0A48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交银增利</w:t>
            </w:r>
          </w:p>
        </w:tc>
        <w:tc>
          <w:tcPr>
            <w:tcW w:w="952" w:type="pct"/>
            <w:shd w:val="clear" w:color="auto" w:fill="auto"/>
            <w:vAlign w:val="center"/>
          </w:tcPr>
          <w:p w14:paraId="42443F8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A类519680</w:t>
            </w:r>
          </w:p>
          <w:p w14:paraId="4F462D9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B类519681</w:t>
            </w:r>
          </w:p>
          <w:p w14:paraId="52506E0C"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C类519682</w:t>
            </w:r>
          </w:p>
        </w:tc>
      </w:tr>
      <w:tr w:rsidR="005A582E" w14:paraId="535FE303" w14:textId="77777777">
        <w:trPr>
          <w:trHeight w:val="285"/>
          <w:jc w:val="center"/>
        </w:trPr>
        <w:tc>
          <w:tcPr>
            <w:tcW w:w="416" w:type="pct"/>
            <w:shd w:val="clear" w:color="auto" w:fill="auto"/>
            <w:noWrap/>
            <w:vAlign w:val="center"/>
          </w:tcPr>
          <w:p w14:paraId="3036446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7</w:t>
            </w:r>
          </w:p>
        </w:tc>
        <w:tc>
          <w:tcPr>
            <w:tcW w:w="2442" w:type="pct"/>
            <w:shd w:val="clear" w:color="auto" w:fill="auto"/>
            <w:vAlign w:val="center"/>
          </w:tcPr>
          <w:p w14:paraId="2CEACFD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交银施罗德环球精选价值证券投资基金</w:t>
            </w:r>
          </w:p>
        </w:tc>
        <w:tc>
          <w:tcPr>
            <w:tcW w:w="1190" w:type="pct"/>
            <w:shd w:val="clear" w:color="auto" w:fill="auto"/>
            <w:vAlign w:val="center"/>
          </w:tcPr>
          <w:p w14:paraId="4734AD0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交银环球</w:t>
            </w:r>
          </w:p>
        </w:tc>
        <w:tc>
          <w:tcPr>
            <w:tcW w:w="952" w:type="pct"/>
            <w:shd w:val="clear" w:color="auto" w:fill="auto"/>
            <w:vAlign w:val="center"/>
          </w:tcPr>
          <w:p w14:paraId="4ADE75F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519696</w:t>
            </w:r>
          </w:p>
        </w:tc>
      </w:tr>
      <w:tr w:rsidR="005A582E" w14:paraId="518DC172" w14:textId="77777777">
        <w:trPr>
          <w:trHeight w:val="570"/>
          <w:jc w:val="center"/>
        </w:trPr>
        <w:tc>
          <w:tcPr>
            <w:tcW w:w="416" w:type="pct"/>
            <w:shd w:val="clear" w:color="auto" w:fill="auto"/>
            <w:noWrap/>
            <w:vAlign w:val="center"/>
          </w:tcPr>
          <w:p w14:paraId="2094CDF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8</w:t>
            </w:r>
          </w:p>
        </w:tc>
        <w:tc>
          <w:tcPr>
            <w:tcW w:w="2442" w:type="pct"/>
            <w:shd w:val="clear" w:color="auto" w:fill="auto"/>
            <w:vAlign w:val="center"/>
          </w:tcPr>
          <w:p w14:paraId="07AE81C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交银施罗德优势行业灵活配置混合型证券投资基金</w:t>
            </w:r>
          </w:p>
        </w:tc>
        <w:tc>
          <w:tcPr>
            <w:tcW w:w="1190" w:type="pct"/>
            <w:shd w:val="clear" w:color="auto" w:fill="auto"/>
            <w:vAlign w:val="center"/>
          </w:tcPr>
          <w:p w14:paraId="4CB6861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交银行业</w:t>
            </w:r>
          </w:p>
        </w:tc>
        <w:tc>
          <w:tcPr>
            <w:tcW w:w="952" w:type="pct"/>
            <w:shd w:val="clear" w:color="auto" w:fill="auto"/>
            <w:vAlign w:val="center"/>
          </w:tcPr>
          <w:p w14:paraId="1142FA6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519697</w:t>
            </w:r>
          </w:p>
        </w:tc>
      </w:tr>
      <w:tr w:rsidR="005A582E" w14:paraId="6BD32846" w14:textId="77777777">
        <w:trPr>
          <w:trHeight w:val="624"/>
          <w:jc w:val="center"/>
        </w:trPr>
        <w:tc>
          <w:tcPr>
            <w:tcW w:w="416" w:type="pct"/>
            <w:shd w:val="clear" w:color="auto" w:fill="auto"/>
            <w:noWrap/>
            <w:vAlign w:val="center"/>
          </w:tcPr>
          <w:p w14:paraId="464325C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lastRenderedPageBreak/>
              <w:t>9</w:t>
            </w:r>
          </w:p>
        </w:tc>
        <w:tc>
          <w:tcPr>
            <w:tcW w:w="2442" w:type="pct"/>
            <w:shd w:val="clear" w:color="auto" w:fill="auto"/>
            <w:vAlign w:val="center"/>
          </w:tcPr>
          <w:p w14:paraId="190E1F3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交银施罗德先锋混合型证券投资基金</w:t>
            </w:r>
          </w:p>
        </w:tc>
        <w:tc>
          <w:tcPr>
            <w:tcW w:w="1190" w:type="pct"/>
            <w:shd w:val="clear" w:color="auto" w:fill="auto"/>
            <w:vAlign w:val="center"/>
          </w:tcPr>
          <w:p w14:paraId="4DCF35A0"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交银先锋</w:t>
            </w:r>
          </w:p>
        </w:tc>
        <w:tc>
          <w:tcPr>
            <w:tcW w:w="952" w:type="pct"/>
            <w:shd w:val="clear" w:color="auto" w:fill="auto"/>
            <w:vAlign w:val="center"/>
          </w:tcPr>
          <w:p w14:paraId="2149160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前端519698</w:t>
            </w:r>
          </w:p>
          <w:p w14:paraId="0BDE5798"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后端519699</w:t>
            </w:r>
          </w:p>
        </w:tc>
      </w:tr>
      <w:tr w:rsidR="005A582E" w14:paraId="4E5B33FF" w14:textId="77777777">
        <w:trPr>
          <w:trHeight w:val="570"/>
          <w:jc w:val="center"/>
        </w:trPr>
        <w:tc>
          <w:tcPr>
            <w:tcW w:w="416" w:type="pct"/>
            <w:shd w:val="clear" w:color="auto" w:fill="auto"/>
            <w:noWrap/>
            <w:vAlign w:val="center"/>
          </w:tcPr>
          <w:p w14:paraId="1EBCFF4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10</w:t>
            </w:r>
          </w:p>
        </w:tc>
        <w:tc>
          <w:tcPr>
            <w:tcW w:w="2442" w:type="pct"/>
            <w:shd w:val="clear" w:color="auto" w:fill="auto"/>
            <w:vAlign w:val="center"/>
          </w:tcPr>
          <w:p w14:paraId="539994A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上证180公司治理交易型开放式指数证券投资基金</w:t>
            </w:r>
          </w:p>
        </w:tc>
        <w:tc>
          <w:tcPr>
            <w:tcW w:w="1190" w:type="pct"/>
            <w:shd w:val="clear" w:color="auto" w:fill="auto"/>
            <w:vAlign w:val="center"/>
          </w:tcPr>
          <w:p w14:paraId="45E92A1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治理ETF</w:t>
            </w:r>
          </w:p>
        </w:tc>
        <w:tc>
          <w:tcPr>
            <w:tcW w:w="952" w:type="pct"/>
            <w:shd w:val="clear" w:color="auto" w:fill="auto"/>
            <w:vAlign w:val="center"/>
          </w:tcPr>
          <w:p w14:paraId="1D011A5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510010</w:t>
            </w:r>
          </w:p>
        </w:tc>
      </w:tr>
      <w:tr w:rsidR="005A582E" w14:paraId="3CA4E111" w14:textId="77777777">
        <w:trPr>
          <w:trHeight w:val="926"/>
          <w:jc w:val="center"/>
        </w:trPr>
        <w:tc>
          <w:tcPr>
            <w:tcW w:w="416" w:type="pct"/>
            <w:shd w:val="clear" w:color="auto" w:fill="auto"/>
            <w:noWrap/>
            <w:vAlign w:val="center"/>
          </w:tcPr>
          <w:p w14:paraId="1BE69BA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11</w:t>
            </w:r>
          </w:p>
        </w:tc>
        <w:tc>
          <w:tcPr>
            <w:tcW w:w="2442" w:type="pct"/>
            <w:shd w:val="clear" w:color="auto" w:fill="auto"/>
            <w:vAlign w:val="center"/>
          </w:tcPr>
          <w:p w14:paraId="78EEEDB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交银施罗德上证180公司治理交易型开放式指数证券投资基金联接基金</w:t>
            </w:r>
          </w:p>
        </w:tc>
        <w:tc>
          <w:tcPr>
            <w:tcW w:w="1190" w:type="pct"/>
            <w:shd w:val="clear" w:color="auto" w:fill="auto"/>
            <w:vAlign w:val="center"/>
          </w:tcPr>
          <w:p w14:paraId="0123B78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交银治理</w:t>
            </w:r>
          </w:p>
        </w:tc>
        <w:tc>
          <w:tcPr>
            <w:tcW w:w="952" w:type="pct"/>
            <w:shd w:val="clear" w:color="auto" w:fill="auto"/>
            <w:vAlign w:val="center"/>
          </w:tcPr>
          <w:p w14:paraId="52450C6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前端519686</w:t>
            </w:r>
          </w:p>
          <w:p w14:paraId="3DFA0BD6"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后端519687</w:t>
            </w:r>
          </w:p>
        </w:tc>
      </w:tr>
      <w:tr w:rsidR="005A582E" w14:paraId="10EB1713" w14:textId="77777777">
        <w:trPr>
          <w:trHeight w:val="634"/>
          <w:jc w:val="center"/>
        </w:trPr>
        <w:tc>
          <w:tcPr>
            <w:tcW w:w="416" w:type="pct"/>
            <w:shd w:val="clear" w:color="auto" w:fill="auto"/>
            <w:noWrap/>
            <w:vAlign w:val="center"/>
          </w:tcPr>
          <w:p w14:paraId="1C5B183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12</w:t>
            </w:r>
          </w:p>
        </w:tc>
        <w:tc>
          <w:tcPr>
            <w:tcW w:w="2442" w:type="pct"/>
            <w:shd w:val="clear" w:color="auto" w:fill="auto"/>
            <w:vAlign w:val="center"/>
          </w:tcPr>
          <w:p w14:paraId="6DBD34B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交银施罗德主题优选灵活配置混合型证券投资基金</w:t>
            </w:r>
          </w:p>
        </w:tc>
        <w:tc>
          <w:tcPr>
            <w:tcW w:w="1190" w:type="pct"/>
            <w:shd w:val="clear" w:color="auto" w:fill="auto"/>
            <w:vAlign w:val="center"/>
          </w:tcPr>
          <w:p w14:paraId="0E9D6EC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交银主题</w:t>
            </w:r>
          </w:p>
        </w:tc>
        <w:tc>
          <w:tcPr>
            <w:tcW w:w="952" w:type="pct"/>
            <w:shd w:val="clear" w:color="auto" w:fill="auto"/>
            <w:vAlign w:val="center"/>
          </w:tcPr>
          <w:p w14:paraId="48AEED8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前端519700</w:t>
            </w:r>
          </w:p>
          <w:p w14:paraId="79DC3BB2"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后端519701</w:t>
            </w:r>
          </w:p>
        </w:tc>
      </w:tr>
      <w:tr w:rsidR="005A582E" w14:paraId="3EF959F2" w14:textId="77777777">
        <w:trPr>
          <w:trHeight w:val="634"/>
          <w:jc w:val="center"/>
        </w:trPr>
        <w:tc>
          <w:tcPr>
            <w:tcW w:w="416" w:type="pct"/>
            <w:shd w:val="clear" w:color="auto" w:fill="auto"/>
            <w:noWrap/>
            <w:vAlign w:val="center"/>
          </w:tcPr>
          <w:p w14:paraId="25E0EDA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13</w:t>
            </w:r>
          </w:p>
        </w:tc>
        <w:tc>
          <w:tcPr>
            <w:tcW w:w="2442" w:type="pct"/>
            <w:shd w:val="clear" w:color="auto" w:fill="auto"/>
            <w:vAlign w:val="center"/>
          </w:tcPr>
          <w:p w14:paraId="410ABB0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交银施罗德趋势优先混合型证券投资基金</w:t>
            </w:r>
          </w:p>
        </w:tc>
        <w:tc>
          <w:tcPr>
            <w:tcW w:w="1190" w:type="pct"/>
            <w:shd w:val="clear" w:color="auto" w:fill="auto"/>
            <w:vAlign w:val="center"/>
          </w:tcPr>
          <w:p w14:paraId="53B693D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交银趋势</w:t>
            </w:r>
          </w:p>
        </w:tc>
        <w:tc>
          <w:tcPr>
            <w:tcW w:w="952" w:type="pct"/>
            <w:shd w:val="clear" w:color="auto" w:fill="auto"/>
            <w:vAlign w:val="center"/>
          </w:tcPr>
          <w:p w14:paraId="1E52D98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前端519702</w:t>
            </w:r>
          </w:p>
          <w:p w14:paraId="6B6FE6E2"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后端519703</w:t>
            </w:r>
          </w:p>
        </w:tc>
      </w:tr>
      <w:tr w:rsidR="005A582E" w14:paraId="333D3C3E" w14:textId="77777777">
        <w:trPr>
          <w:trHeight w:val="634"/>
          <w:jc w:val="center"/>
        </w:trPr>
        <w:tc>
          <w:tcPr>
            <w:tcW w:w="416" w:type="pct"/>
            <w:shd w:val="clear" w:color="auto" w:fill="auto"/>
            <w:noWrap/>
            <w:vAlign w:val="center"/>
          </w:tcPr>
          <w:p w14:paraId="7EFC7DD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14</w:t>
            </w:r>
          </w:p>
        </w:tc>
        <w:tc>
          <w:tcPr>
            <w:tcW w:w="2442" w:type="pct"/>
            <w:shd w:val="clear" w:color="auto" w:fill="auto"/>
            <w:vAlign w:val="center"/>
          </w:tcPr>
          <w:p w14:paraId="377494A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交银施罗德信用添利债券证券投资基金(LOF)</w:t>
            </w:r>
          </w:p>
        </w:tc>
        <w:tc>
          <w:tcPr>
            <w:tcW w:w="1190" w:type="pct"/>
            <w:shd w:val="clear" w:color="auto" w:fill="auto"/>
            <w:vAlign w:val="center"/>
          </w:tcPr>
          <w:p w14:paraId="0E775B6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交银添利</w:t>
            </w:r>
          </w:p>
        </w:tc>
        <w:tc>
          <w:tcPr>
            <w:tcW w:w="952" w:type="pct"/>
            <w:shd w:val="clear" w:color="auto" w:fill="auto"/>
            <w:vAlign w:val="center"/>
          </w:tcPr>
          <w:p w14:paraId="13F95F2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前端164902</w:t>
            </w:r>
          </w:p>
          <w:p w14:paraId="60C2FBA8"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后端164903</w:t>
            </w:r>
          </w:p>
        </w:tc>
      </w:tr>
      <w:tr w:rsidR="005A582E" w14:paraId="6597B20A" w14:textId="77777777">
        <w:trPr>
          <w:trHeight w:val="634"/>
          <w:jc w:val="center"/>
        </w:trPr>
        <w:tc>
          <w:tcPr>
            <w:tcW w:w="416" w:type="pct"/>
            <w:shd w:val="clear" w:color="auto" w:fill="auto"/>
            <w:noWrap/>
            <w:vAlign w:val="center"/>
          </w:tcPr>
          <w:p w14:paraId="4F3CD2B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15</w:t>
            </w:r>
          </w:p>
        </w:tc>
        <w:tc>
          <w:tcPr>
            <w:tcW w:w="2442" w:type="pct"/>
            <w:shd w:val="clear" w:color="auto" w:fill="auto"/>
            <w:vAlign w:val="center"/>
          </w:tcPr>
          <w:p w14:paraId="6B6BA4A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交银施罗德先进制造混合型证券投资基金</w:t>
            </w:r>
          </w:p>
        </w:tc>
        <w:tc>
          <w:tcPr>
            <w:tcW w:w="1190" w:type="pct"/>
            <w:shd w:val="clear" w:color="auto" w:fill="auto"/>
            <w:vAlign w:val="center"/>
          </w:tcPr>
          <w:p w14:paraId="1B99223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交银制造</w:t>
            </w:r>
          </w:p>
        </w:tc>
        <w:tc>
          <w:tcPr>
            <w:tcW w:w="952" w:type="pct"/>
            <w:shd w:val="clear" w:color="auto" w:fill="auto"/>
            <w:vAlign w:val="center"/>
          </w:tcPr>
          <w:p w14:paraId="5CC1853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前端519704</w:t>
            </w:r>
          </w:p>
          <w:p w14:paraId="071FAF60"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后端519705</w:t>
            </w:r>
          </w:p>
        </w:tc>
      </w:tr>
      <w:tr w:rsidR="005A582E" w14:paraId="0EA4267A" w14:textId="77777777">
        <w:trPr>
          <w:trHeight w:val="570"/>
          <w:jc w:val="center"/>
        </w:trPr>
        <w:tc>
          <w:tcPr>
            <w:tcW w:w="416" w:type="pct"/>
            <w:shd w:val="clear" w:color="auto" w:fill="auto"/>
            <w:noWrap/>
            <w:vAlign w:val="center"/>
          </w:tcPr>
          <w:p w14:paraId="0796245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16</w:t>
            </w:r>
          </w:p>
        </w:tc>
        <w:tc>
          <w:tcPr>
            <w:tcW w:w="2442" w:type="pct"/>
            <w:shd w:val="clear" w:color="auto" w:fill="auto"/>
            <w:vAlign w:val="center"/>
          </w:tcPr>
          <w:p w14:paraId="25FDF1D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深证300价值交易型开放式指数证券投资基金</w:t>
            </w:r>
          </w:p>
        </w:tc>
        <w:tc>
          <w:tcPr>
            <w:tcW w:w="1190" w:type="pct"/>
            <w:shd w:val="clear" w:color="auto" w:fill="auto"/>
            <w:vAlign w:val="center"/>
          </w:tcPr>
          <w:p w14:paraId="1A3431E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交银深证300价值ETF</w:t>
            </w:r>
          </w:p>
        </w:tc>
        <w:tc>
          <w:tcPr>
            <w:tcW w:w="952" w:type="pct"/>
            <w:shd w:val="clear" w:color="auto" w:fill="auto"/>
            <w:vAlign w:val="center"/>
          </w:tcPr>
          <w:p w14:paraId="5F6A5DF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159913</w:t>
            </w:r>
          </w:p>
        </w:tc>
      </w:tr>
      <w:tr w:rsidR="005A582E" w14:paraId="3A49F11F" w14:textId="77777777">
        <w:trPr>
          <w:trHeight w:val="955"/>
          <w:jc w:val="center"/>
        </w:trPr>
        <w:tc>
          <w:tcPr>
            <w:tcW w:w="416" w:type="pct"/>
            <w:shd w:val="clear" w:color="auto" w:fill="auto"/>
            <w:noWrap/>
            <w:vAlign w:val="center"/>
          </w:tcPr>
          <w:p w14:paraId="4A64C3F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17</w:t>
            </w:r>
          </w:p>
        </w:tc>
        <w:tc>
          <w:tcPr>
            <w:tcW w:w="2442" w:type="pct"/>
            <w:shd w:val="clear" w:color="auto" w:fill="auto"/>
            <w:vAlign w:val="center"/>
          </w:tcPr>
          <w:p w14:paraId="16BE32D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交银施罗德双利债券证券投资基金</w:t>
            </w:r>
          </w:p>
        </w:tc>
        <w:tc>
          <w:tcPr>
            <w:tcW w:w="1190" w:type="pct"/>
            <w:shd w:val="clear" w:color="auto" w:fill="auto"/>
            <w:vAlign w:val="center"/>
          </w:tcPr>
          <w:p w14:paraId="19B2569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交银双利</w:t>
            </w:r>
          </w:p>
        </w:tc>
        <w:tc>
          <w:tcPr>
            <w:tcW w:w="952" w:type="pct"/>
            <w:shd w:val="clear" w:color="auto" w:fill="auto"/>
            <w:vAlign w:val="center"/>
          </w:tcPr>
          <w:p w14:paraId="69B01CC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A类519683</w:t>
            </w:r>
          </w:p>
          <w:p w14:paraId="244C837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B类519684</w:t>
            </w:r>
          </w:p>
          <w:p w14:paraId="265C342A"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C类519685</w:t>
            </w:r>
          </w:p>
        </w:tc>
      </w:tr>
      <w:tr w:rsidR="005A582E" w14:paraId="507F0A43" w14:textId="77777777">
        <w:trPr>
          <w:trHeight w:val="640"/>
          <w:jc w:val="center"/>
        </w:trPr>
        <w:tc>
          <w:tcPr>
            <w:tcW w:w="416" w:type="pct"/>
            <w:shd w:val="clear" w:color="auto" w:fill="auto"/>
            <w:noWrap/>
            <w:vAlign w:val="center"/>
          </w:tcPr>
          <w:p w14:paraId="41B3FF2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18</w:t>
            </w:r>
          </w:p>
        </w:tc>
        <w:tc>
          <w:tcPr>
            <w:tcW w:w="2442" w:type="pct"/>
            <w:shd w:val="clear" w:color="auto" w:fill="auto"/>
            <w:vAlign w:val="center"/>
          </w:tcPr>
          <w:p w14:paraId="314FC97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交银施罗德深证300价值交易型开放式指数证券投资基金联接基金</w:t>
            </w:r>
          </w:p>
        </w:tc>
        <w:tc>
          <w:tcPr>
            <w:tcW w:w="1190" w:type="pct"/>
            <w:shd w:val="clear" w:color="auto" w:fill="auto"/>
            <w:vAlign w:val="center"/>
          </w:tcPr>
          <w:p w14:paraId="5CF1B03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交银价值</w:t>
            </w:r>
          </w:p>
        </w:tc>
        <w:tc>
          <w:tcPr>
            <w:tcW w:w="952" w:type="pct"/>
            <w:shd w:val="clear" w:color="auto" w:fill="auto"/>
            <w:vAlign w:val="center"/>
          </w:tcPr>
          <w:p w14:paraId="3F01950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前端519706</w:t>
            </w:r>
          </w:p>
          <w:p w14:paraId="3ABF1B1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后端519707</w:t>
            </w:r>
          </w:p>
        </w:tc>
      </w:tr>
      <w:tr w:rsidR="005A582E" w14:paraId="7EB5C96F" w14:textId="77777777">
        <w:trPr>
          <w:trHeight w:val="570"/>
          <w:jc w:val="center"/>
        </w:trPr>
        <w:tc>
          <w:tcPr>
            <w:tcW w:w="416" w:type="pct"/>
            <w:shd w:val="clear" w:color="auto" w:fill="auto"/>
            <w:noWrap/>
            <w:vAlign w:val="center"/>
          </w:tcPr>
          <w:p w14:paraId="34B97C1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19</w:t>
            </w:r>
          </w:p>
        </w:tc>
        <w:tc>
          <w:tcPr>
            <w:tcW w:w="2442" w:type="pct"/>
            <w:shd w:val="clear" w:color="auto" w:fill="auto"/>
            <w:vAlign w:val="center"/>
          </w:tcPr>
          <w:p w14:paraId="4AD955D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交银施罗德策略回报灵活配置混合型证券投资基金</w:t>
            </w:r>
          </w:p>
        </w:tc>
        <w:tc>
          <w:tcPr>
            <w:tcW w:w="1190" w:type="pct"/>
            <w:shd w:val="clear" w:color="auto" w:fill="auto"/>
            <w:vAlign w:val="center"/>
          </w:tcPr>
          <w:p w14:paraId="0EBF05C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交银策略回报</w:t>
            </w:r>
          </w:p>
        </w:tc>
        <w:tc>
          <w:tcPr>
            <w:tcW w:w="952" w:type="pct"/>
            <w:shd w:val="clear" w:color="auto" w:fill="auto"/>
            <w:vAlign w:val="center"/>
          </w:tcPr>
          <w:p w14:paraId="514C7F2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519710</w:t>
            </w:r>
          </w:p>
        </w:tc>
      </w:tr>
      <w:tr w:rsidR="005A582E" w14:paraId="7EF5E53D" w14:textId="77777777">
        <w:trPr>
          <w:trHeight w:val="630"/>
          <w:jc w:val="center"/>
        </w:trPr>
        <w:tc>
          <w:tcPr>
            <w:tcW w:w="416" w:type="pct"/>
            <w:shd w:val="clear" w:color="auto" w:fill="auto"/>
            <w:noWrap/>
            <w:vAlign w:val="center"/>
          </w:tcPr>
          <w:p w14:paraId="1EFDAD3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20</w:t>
            </w:r>
          </w:p>
        </w:tc>
        <w:tc>
          <w:tcPr>
            <w:tcW w:w="2442" w:type="pct"/>
            <w:shd w:val="clear" w:color="auto" w:fill="auto"/>
            <w:vAlign w:val="center"/>
          </w:tcPr>
          <w:p w14:paraId="04EB2DF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交银施罗德阿尔法核心混合型证券投资基金</w:t>
            </w:r>
          </w:p>
        </w:tc>
        <w:tc>
          <w:tcPr>
            <w:tcW w:w="1190" w:type="pct"/>
            <w:shd w:val="clear" w:color="auto" w:fill="auto"/>
            <w:vAlign w:val="center"/>
          </w:tcPr>
          <w:p w14:paraId="4D4F106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交银核心</w:t>
            </w:r>
          </w:p>
        </w:tc>
        <w:tc>
          <w:tcPr>
            <w:tcW w:w="952" w:type="pct"/>
            <w:shd w:val="clear" w:color="auto" w:fill="auto"/>
            <w:vAlign w:val="center"/>
          </w:tcPr>
          <w:p w14:paraId="6D36328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前端519712</w:t>
            </w:r>
          </w:p>
          <w:p w14:paraId="533DA529"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后端519713</w:t>
            </w:r>
          </w:p>
        </w:tc>
      </w:tr>
      <w:tr w:rsidR="005A582E" w14:paraId="1F8CFF8F" w14:textId="77777777">
        <w:trPr>
          <w:trHeight w:val="640"/>
          <w:jc w:val="center"/>
        </w:trPr>
        <w:tc>
          <w:tcPr>
            <w:tcW w:w="416" w:type="pct"/>
            <w:shd w:val="clear" w:color="auto" w:fill="auto"/>
            <w:noWrap/>
            <w:vAlign w:val="center"/>
          </w:tcPr>
          <w:p w14:paraId="3A68631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21</w:t>
            </w:r>
          </w:p>
        </w:tc>
        <w:tc>
          <w:tcPr>
            <w:tcW w:w="2442" w:type="pct"/>
            <w:shd w:val="clear" w:color="auto" w:fill="auto"/>
            <w:vAlign w:val="center"/>
          </w:tcPr>
          <w:p w14:paraId="51ADAAF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w:t>
            </w:r>
            <w:r>
              <w:rPr>
                <w:rFonts w:asciiTheme="minorEastAsia" w:eastAsiaTheme="minorEastAsia" w:hAnsiTheme="minorEastAsia" w:hint="eastAsia"/>
                <w:color w:val="000000"/>
                <w:kern w:val="0"/>
                <w:sz w:val="24"/>
              </w:rPr>
              <w:t>中高等级</w:t>
            </w:r>
            <w:r>
              <w:rPr>
                <w:rFonts w:asciiTheme="minorEastAsia" w:eastAsiaTheme="minorEastAsia" w:hAnsiTheme="minorEastAsia"/>
                <w:color w:val="000000"/>
                <w:kern w:val="0"/>
                <w:sz w:val="24"/>
              </w:rPr>
              <w:t>信用债债券型证券投资基金</w:t>
            </w:r>
          </w:p>
        </w:tc>
        <w:tc>
          <w:tcPr>
            <w:tcW w:w="1190" w:type="pct"/>
            <w:shd w:val="clear" w:color="auto" w:fill="auto"/>
            <w:vAlign w:val="center"/>
          </w:tcPr>
          <w:p w14:paraId="0E83ADA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w:t>
            </w:r>
            <w:r>
              <w:rPr>
                <w:rFonts w:asciiTheme="minorEastAsia" w:eastAsiaTheme="minorEastAsia" w:hAnsiTheme="minorEastAsia" w:hint="eastAsia"/>
                <w:color w:val="000000"/>
                <w:kern w:val="0"/>
                <w:sz w:val="24"/>
              </w:rPr>
              <w:t>中高等级</w:t>
            </w:r>
            <w:r>
              <w:rPr>
                <w:rFonts w:asciiTheme="minorEastAsia" w:eastAsiaTheme="minorEastAsia" w:hAnsiTheme="minorEastAsia"/>
                <w:color w:val="000000"/>
                <w:kern w:val="0"/>
                <w:sz w:val="24"/>
              </w:rPr>
              <w:t>信用债</w:t>
            </w:r>
          </w:p>
        </w:tc>
        <w:tc>
          <w:tcPr>
            <w:tcW w:w="952" w:type="pct"/>
            <w:shd w:val="clear" w:color="auto" w:fill="auto"/>
            <w:vAlign w:val="center"/>
          </w:tcPr>
          <w:p w14:paraId="6CA8B74D"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519717</w:t>
            </w:r>
          </w:p>
        </w:tc>
      </w:tr>
      <w:tr w:rsidR="005A582E" w14:paraId="58B26E76" w14:textId="77777777">
        <w:trPr>
          <w:trHeight w:val="640"/>
          <w:jc w:val="center"/>
        </w:trPr>
        <w:tc>
          <w:tcPr>
            <w:tcW w:w="416" w:type="pct"/>
            <w:shd w:val="clear" w:color="auto" w:fill="auto"/>
            <w:noWrap/>
            <w:vAlign w:val="center"/>
          </w:tcPr>
          <w:p w14:paraId="7F34CAB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22</w:t>
            </w:r>
          </w:p>
        </w:tc>
        <w:tc>
          <w:tcPr>
            <w:tcW w:w="2442" w:type="pct"/>
            <w:shd w:val="clear" w:color="auto" w:fill="auto"/>
            <w:vAlign w:val="center"/>
          </w:tcPr>
          <w:p w14:paraId="2751D06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交银施罗德消费新驱动股票型证券投资基金</w:t>
            </w:r>
          </w:p>
        </w:tc>
        <w:tc>
          <w:tcPr>
            <w:tcW w:w="1190" w:type="pct"/>
            <w:shd w:val="clear" w:color="auto" w:fill="auto"/>
            <w:vAlign w:val="center"/>
          </w:tcPr>
          <w:p w14:paraId="08B4FE6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交银消费新驱动</w:t>
            </w:r>
          </w:p>
        </w:tc>
        <w:tc>
          <w:tcPr>
            <w:tcW w:w="952" w:type="pct"/>
            <w:shd w:val="clear" w:color="auto" w:fill="auto"/>
            <w:vAlign w:val="center"/>
          </w:tcPr>
          <w:p w14:paraId="22914A8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前端519714</w:t>
            </w:r>
          </w:p>
          <w:p w14:paraId="3AE4057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后端519715</w:t>
            </w:r>
          </w:p>
        </w:tc>
      </w:tr>
      <w:tr w:rsidR="005A582E" w14:paraId="3D02DB9F" w14:textId="77777777">
        <w:trPr>
          <w:trHeight w:val="965"/>
          <w:jc w:val="center"/>
        </w:trPr>
        <w:tc>
          <w:tcPr>
            <w:tcW w:w="416" w:type="pct"/>
            <w:shd w:val="clear" w:color="auto" w:fill="auto"/>
            <w:noWrap/>
            <w:vAlign w:val="center"/>
          </w:tcPr>
          <w:p w14:paraId="5044829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23</w:t>
            </w:r>
          </w:p>
        </w:tc>
        <w:tc>
          <w:tcPr>
            <w:tcW w:w="2442" w:type="pct"/>
            <w:shd w:val="clear" w:color="auto" w:fill="auto"/>
            <w:vAlign w:val="center"/>
          </w:tcPr>
          <w:p w14:paraId="6F5330B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交银施罗德纯债债券型发起式证券投资基金</w:t>
            </w:r>
          </w:p>
        </w:tc>
        <w:tc>
          <w:tcPr>
            <w:tcW w:w="1190" w:type="pct"/>
            <w:shd w:val="clear" w:color="auto" w:fill="auto"/>
            <w:vAlign w:val="center"/>
          </w:tcPr>
          <w:p w14:paraId="65802C4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交银纯债</w:t>
            </w:r>
          </w:p>
        </w:tc>
        <w:tc>
          <w:tcPr>
            <w:tcW w:w="952" w:type="pct"/>
            <w:shd w:val="clear" w:color="auto" w:fill="auto"/>
            <w:vAlign w:val="center"/>
          </w:tcPr>
          <w:p w14:paraId="013067C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A类519718</w:t>
            </w:r>
          </w:p>
          <w:p w14:paraId="3909328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B类519719</w:t>
            </w:r>
          </w:p>
          <w:p w14:paraId="30E42F99"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C类519720</w:t>
            </w:r>
          </w:p>
        </w:tc>
      </w:tr>
      <w:tr w:rsidR="005A582E" w14:paraId="5933A97E" w14:textId="77777777">
        <w:trPr>
          <w:trHeight w:val="640"/>
          <w:jc w:val="center"/>
        </w:trPr>
        <w:tc>
          <w:tcPr>
            <w:tcW w:w="416" w:type="pct"/>
            <w:shd w:val="clear" w:color="auto" w:fill="auto"/>
            <w:noWrap/>
            <w:vAlign w:val="center"/>
          </w:tcPr>
          <w:p w14:paraId="31B030D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24</w:t>
            </w:r>
          </w:p>
        </w:tc>
        <w:tc>
          <w:tcPr>
            <w:tcW w:w="2442" w:type="pct"/>
            <w:shd w:val="clear" w:color="auto" w:fill="auto"/>
            <w:vAlign w:val="center"/>
          </w:tcPr>
          <w:p w14:paraId="4F4E65E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w:t>
            </w:r>
            <w:r>
              <w:rPr>
                <w:rFonts w:asciiTheme="minorEastAsia" w:eastAsiaTheme="minorEastAsia" w:hAnsiTheme="minorEastAsia" w:hint="eastAsia"/>
                <w:color w:val="000000"/>
                <w:kern w:val="0"/>
                <w:sz w:val="24"/>
              </w:rPr>
              <w:t>裕惠纯债</w:t>
            </w:r>
            <w:r>
              <w:rPr>
                <w:rFonts w:asciiTheme="minorEastAsia" w:eastAsiaTheme="minorEastAsia" w:hAnsiTheme="minorEastAsia"/>
                <w:color w:val="000000"/>
                <w:kern w:val="0"/>
                <w:sz w:val="24"/>
              </w:rPr>
              <w:t>债券型证券投资基金</w:t>
            </w:r>
          </w:p>
        </w:tc>
        <w:tc>
          <w:tcPr>
            <w:tcW w:w="1190" w:type="pct"/>
            <w:shd w:val="clear" w:color="auto" w:fill="auto"/>
            <w:vAlign w:val="center"/>
          </w:tcPr>
          <w:p w14:paraId="0DA8E2F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w:t>
            </w:r>
            <w:r>
              <w:rPr>
                <w:rFonts w:asciiTheme="minorEastAsia" w:eastAsiaTheme="minorEastAsia" w:hAnsiTheme="minorEastAsia" w:hint="eastAsia"/>
                <w:color w:val="000000"/>
                <w:kern w:val="0"/>
                <w:sz w:val="24"/>
              </w:rPr>
              <w:t>裕惠纯债</w:t>
            </w:r>
          </w:p>
        </w:tc>
        <w:tc>
          <w:tcPr>
            <w:tcW w:w="952" w:type="pct"/>
            <w:shd w:val="clear" w:color="auto" w:fill="auto"/>
            <w:vAlign w:val="center"/>
          </w:tcPr>
          <w:p w14:paraId="23178AC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519722</w:t>
            </w:r>
          </w:p>
        </w:tc>
      </w:tr>
      <w:tr w:rsidR="005A582E" w14:paraId="4D279513" w14:textId="77777777">
        <w:trPr>
          <w:trHeight w:val="965"/>
          <w:jc w:val="center"/>
        </w:trPr>
        <w:tc>
          <w:tcPr>
            <w:tcW w:w="416" w:type="pct"/>
            <w:shd w:val="clear" w:color="auto" w:fill="auto"/>
            <w:noWrap/>
            <w:vAlign w:val="center"/>
          </w:tcPr>
          <w:p w14:paraId="2DFA1F4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25</w:t>
            </w:r>
          </w:p>
        </w:tc>
        <w:tc>
          <w:tcPr>
            <w:tcW w:w="2442" w:type="pct"/>
            <w:shd w:val="clear" w:color="auto" w:fill="auto"/>
            <w:vAlign w:val="center"/>
          </w:tcPr>
          <w:p w14:paraId="6F8E3B0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交银施罗德双轮动债券型证券投资基金</w:t>
            </w:r>
          </w:p>
        </w:tc>
        <w:tc>
          <w:tcPr>
            <w:tcW w:w="1190" w:type="pct"/>
            <w:shd w:val="clear" w:color="auto" w:fill="auto"/>
            <w:vAlign w:val="center"/>
          </w:tcPr>
          <w:p w14:paraId="3E7B9F1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交银双轮动</w:t>
            </w:r>
          </w:p>
        </w:tc>
        <w:tc>
          <w:tcPr>
            <w:tcW w:w="952" w:type="pct"/>
            <w:shd w:val="clear" w:color="auto" w:fill="auto"/>
            <w:vAlign w:val="center"/>
          </w:tcPr>
          <w:p w14:paraId="2793E31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A类519723</w:t>
            </w:r>
          </w:p>
          <w:p w14:paraId="6F7BD51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B类519724</w:t>
            </w:r>
          </w:p>
          <w:p w14:paraId="7CAB27EC"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C类519725</w:t>
            </w:r>
          </w:p>
        </w:tc>
      </w:tr>
      <w:tr w:rsidR="005A582E" w14:paraId="316FA1B4" w14:textId="77777777">
        <w:trPr>
          <w:trHeight w:val="570"/>
          <w:jc w:val="center"/>
        </w:trPr>
        <w:tc>
          <w:tcPr>
            <w:tcW w:w="416" w:type="pct"/>
            <w:shd w:val="clear" w:color="auto" w:fill="auto"/>
            <w:noWrap/>
            <w:vAlign w:val="center"/>
          </w:tcPr>
          <w:p w14:paraId="028EDBF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26</w:t>
            </w:r>
          </w:p>
        </w:tc>
        <w:tc>
          <w:tcPr>
            <w:tcW w:w="2442" w:type="pct"/>
            <w:shd w:val="clear" w:color="auto" w:fill="auto"/>
            <w:vAlign w:val="center"/>
          </w:tcPr>
          <w:p w14:paraId="3D9A237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w:t>
            </w:r>
            <w:r>
              <w:rPr>
                <w:rFonts w:asciiTheme="minorEastAsia" w:eastAsiaTheme="minorEastAsia" w:hAnsiTheme="minorEastAsia" w:hint="eastAsia"/>
                <w:color w:val="000000"/>
                <w:kern w:val="0"/>
                <w:sz w:val="24"/>
              </w:rPr>
              <w:t>稳固收益</w:t>
            </w:r>
            <w:r>
              <w:rPr>
                <w:rFonts w:asciiTheme="minorEastAsia" w:eastAsiaTheme="minorEastAsia" w:hAnsiTheme="minorEastAsia"/>
                <w:color w:val="000000"/>
                <w:kern w:val="0"/>
                <w:sz w:val="24"/>
              </w:rPr>
              <w:t>债券型证券投资基金</w:t>
            </w:r>
          </w:p>
        </w:tc>
        <w:tc>
          <w:tcPr>
            <w:tcW w:w="1190" w:type="pct"/>
            <w:shd w:val="clear" w:color="auto" w:fill="auto"/>
            <w:vAlign w:val="center"/>
          </w:tcPr>
          <w:p w14:paraId="5D4F930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w:t>
            </w:r>
            <w:r>
              <w:rPr>
                <w:rFonts w:asciiTheme="minorEastAsia" w:eastAsiaTheme="minorEastAsia" w:hAnsiTheme="minorEastAsia" w:hint="eastAsia"/>
                <w:color w:val="000000"/>
                <w:kern w:val="0"/>
                <w:sz w:val="24"/>
              </w:rPr>
              <w:t>稳固收益</w:t>
            </w:r>
          </w:p>
        </w:tc>
        <w:tc>
          <w:tcPr>
            <w:tcW w:w="952" w:type="pct"/>
            <w:shd w:val="clear" w:color="auto" w:fill="auto"/>
            <w:vAlign w:val="center"/>
          </w:tcPr>
          <w:p w14:paraId="50C85B9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519726</w:t>
            </w:r>
          </w:p>
        </w:tc>
      </w:tr>
      <w:tr w:rsidR="005A582E" w14:paraId="62E21BE8" w14:textId="77777777">
        <w:trPr>
          <w:trHeight w:val="630"/>
          <w:jc w:val="center"/>
        </w:trPr>
        <w:tc>
          <w:tcPr>
            <w:tcW w:w="416" w:type="pct"/>
            <w:shd w:val="clear" w:color="auto" w:fill="auto"/>
            <w:noWrap/>
            <w:vAlign w:val="center"/>
          </w:tcPr>
          <w:p w14:paraId="229B400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27</w:t>
            </w:r>
          </w:p>
        </w:tc>
        <w:tc>
          <w:tcPr>
            <w:tcW w:w="2442" w:type="pct"/>
            <w:shd w:val="clear" w:color="auto" w:fill="auto"/>
            <w:vAlign w:val="center"/>
          </w:tcPr>
          <w:p w14:paraId="38F4D50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交银施罗德成长30混合型证券投资基金</w:t>
            </w:r>
          </w:p>
        </w:tc>
        <w:tc>
          <w:tcPr>
            <w:tcW w:w="1190" w:type="pct"/>
            <w:shd w:val="clear" w:color="auto" w:fill="auto"/>
            <w:vAlign w:val="center"/>
          </w:tcPr>
          <w:p w14:paraId="239DC1D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交银成长30</w:t>
            </w:r>
          </w:p>
        </w:tc>
        <w:tc>
          <w:tcPr>
            <w:tcW w:w="952" w:type="pct"/>
            <w:shd w:val="clear" w:color="auto" w:fill="auto"/>
            <w:vAlign w:val="center"/>
          </w:tcPr>
          <w:p w14:paraId="762138F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前端519727</w:t>
            </w:r>
          </w:p>
          <w:p w14:paraId="7392D429"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后端519728</w:t>
            </w:r>
          </w:p>
        </w:tc>
      </w:tr>
      <w:tr w:rsidR="005A582E" w14:paraId="056C836A" w14:textId="77777777">
        <w:trPr>
          <w:trHeight w:val="637"/>
          <w:jc w:val="center"/>
        </w:trPr>
        <w:tc>
          <w:tcPr>
            <w:tcW w:w="416" w:type="pct"/>
            <w:shd w:val="clear" w:color="auto" w:fill="auto"/>
            <w:noWrap/>
            <w:vAlign w:val="center"/>
          </w:tcPr>
          <w:p w14:paraId="17558C9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lastRenderedPageBreak/>
              <w:t>28</w:t>
            </w:r>
          </w:p>
        </w:tc>
        <w:tc>
          <w:tcPr>
            <w:tcW w:w="2442" w:type="pct"/>
            <w:shd w:val="clear" w:color="auto" w:fill="auto"/>
            <w:vAlign w:val="center"/>
          </w:tcPr>
          <w:p w14:paraId="47FF599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交银施罗德定期支付月月丰债券型证券投资基金</w:t>
            </w:r>
          </w:p>
        </w:tc>
        <w:tc>
          <w:tcPr>
            <w:tcW w:w="1190" w:type="pct"/>
            <w:shd w:val="clear" w:color="auto" w:fill="auto"/>
            <w:vAlign w:val="center"/>
          </w:tcPr>
          <w:p w14:paraId="2A1DD74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交银月月丰</w:t>
            </w:r>
          </w:p>
        </w:tc>
        <w:tc>
          <w:tcPr>
            <w:tcW w:w="952" w:type="pct"/>
            <w:shd w:val="clear" w:color="auto" w:fill="auto"/>
            <w:vAlign w:val="center"/>
          </w:tcPr>
          <w:p w14:paraId="55D92A5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A类519730</w:t>
            </w:r>
          </w:p>
          <w:p w14:paraId="073B34FD"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C类519731</w:t>
            </w:r>
          </w:p>
        </w:tc>
      </w:tr>
      <w:tr w:rsidR="005A582E" w14:paraId="48E78021" w14:textId="77777777">
        <w:trPr>
          <w:trHeight w:val="570"/>
          <w:jc w:val="center"/>
        </w:trPr>
        <w:tc>
          <w:tcPr>
            <w:tcW w:w="416" w:type="pct"/>
            <w:shd w:val="clear" w:color="auto" w:fill="auto"/>
            <w:noWrap/>
            <w:vAlign w:val="center"/>
          </w:tcPr>
          <w:p w14:paraId="2EFA212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29</w:t>
            </w:r>
          </w:p>
        </w:tc>
        <w:tc>
          <w:tcPr>
            <w:tcW w:w="2442" w:type="pct"/>
            <w:shd w:val="clear" w:color="auto" w:fill="auto"/>
            <w:vAlign w:val="center"/>
          </w:tcPr>
          <w:p w14:paraId="4CD665A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交银施罗德定期支付双息平衡混合型证券投资基金</w:t>
            </w:r>
          </w:p>
        </w:tc>
        <w:tc>
          <w:tcPr>
            <w:tcW w:w="1190" w:type="pct"/>
            <w:shd w:val="clear" w:color="auto" w:fill="auto"/>
            <w:vAlign w:val="center"/>
          </w:tcPr>
          <w:p w14:paraId="5806900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交银双息平衡</w:t>
            </w:r>
          </w:p>
        </w:tc>
        <w:tc>
          <w:tcPr>
            <w:tcW w:w="952" w:type="pct"/>
            <w:shd w:val="clear" w:color="auto" w:fill="auto"/>
            <w:vAlign w:val="center"/>
          </w:tcPr>
          <w:p w14:paraId="0ECF7C7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519732</w:t>
            </w:r>
          </w:p>
        </w:tc>
      </w:tr>
      <w:tr w:rsidR="005A582E" w14:paraId="3D6E22A6" w14:textId="77777777">
        <w:trPr>
          <w:trHeight w:val="570"/>
          <w:jc w:val="center"/>
        </w:trPr>
        <w:tc>
          <w:tcPr>
            <w:tcW w:w="416" w:type="pct"/>
            <w:shd w:val="clear" w:color="auto" w:fill="auto"/>
            <w:noWrap/>
            <w:vAlign w:val="center"/>
          </w:tcPr>
          <w:p w14:paraId="742B5F1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30</w:t>
            </w:r>
          </w:p>
        </w:tc>
        <w:tc>
          <w:tcPr>
            <w:tcW w:w="2442" w:type="pct"/>
            <w:shd w:val="clear" w:color="auto" w:fill="auto"/>
            <w:vAlign w:val="center"/>
          </w:tcPr>
          <w:p w14:paraId="3EEB947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交银施罗德增强收益债券型证券投资基金</w:t>
            </w:r>
          </w:p>
        </w:tc>
        <w:tc>
          <w:tcPr>
            <w:tcW w:w="1190" w:type="pct"/>
            <w:shd w:val="clear" w:color="auto" w:fill="auto"/>
            <w:vAlign w:val="center"/>
          </w:tcPr>
          <w:p w14:paraId="6EAAE84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交银增强收益</w:t>
            </w:r>
          </w:p>
        </w:tc>
        <w:tc>
          <w:tcPr>
            <w:tcW w:w="952" w:type="pct"/>
            <w:shd w:val="clear" w:color="auto" w:fill="auto"/>
            <w:vAlign w:val="center"/>
          </w:tcPr>
          <w:p w14:paraId="2D9EBAB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519729</w:t>
            </w:r>
          </w:p>
        </w:tc>
      </w:tr>
      <w:tr w:rsidR="005A582E" w14:paraId="71724DD9" w14:textId="77777777">
        <w:trPr>
          <w:trHeight w:val="955"/>
          <w:jc w:val="center"/>
        </w:trPr>
        <w:tc>
          <w:tcPr>
            <w:tcW w:w="416" w:type="pct"/>
            <w:shd w:val="clear" w:color="auto" w:fill="auto"/>
            <w:noWrap/>
            <w:vAlign w:val="center"/>
          </w:tcPr>
          <w:p w14:paraId="4534132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31</w:t>
            </w:r>
          </w:p>
        </w:tc>
        <w:tc>
          <w:tcPr>
            <w:tcW w:w="2442" w:type="pct"/>
            <w:shd w:val="clear" w:color="auto" w:fill="auto"/>
            <w:vAlign w:val="center"/>
          </w:tcPr>
          <w:p w14:paraId="79D042C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交银施罗德强化回报债券型证券投资基金</w:t>
            </w:r>
          </w:p>
        </w:tc>
        <w:tc>
          <w:tcPr>
            <w:tcW w:w="1190" w:type="pct"/>
            <w:shd w:val="clear" w:color="auto" w:fill="auto"/>
            <w:vAlign w:val="center"/>
          </w:tcPr>
          <w:p w14:paraId="459F4E5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交银强化回报</w:t>
            </w:r>
          </w:p>
        </w:tc>
        <w:tc>
          <w:tcPr>
            <w:tcW w:w="952" w:type="pct"/>
            <w:shd w:val="clear" w:color="auto" w:fill="auto"/>
            <w:vAlign w:val="center"/>
          </w:tcPr>
          <w:p w14:paraId="0B8D75B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A类519733</w:t>
            </w:r>
          </w:p>
          <w:p w14:paraId="4CE8B41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B类519734</w:t>
            </w:r>
          </w:p>
          <w:p w14:paraId="1652617A"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C类519735</w:t>
            </w:r>
          </w:p>
        </w:tc>
      </w:tr>
      <w:tr w:rsidR="005A582E" w14:paraId="408416F0" w14:textId="77777777">
        <w:trPr>
          <w:trHeight w:val="640"/>
          <w:jc w:val="center"/>
        </w:trPr>
        <w:tc>
          <w:tcPr>
            <w:tcW w:w="416" w:type="pct"/>
            <w:shd w:val="clear" w:color="auto" w:fill="auto"/>
            <w:noWrap/>
            <w:vAlign w:val="center"/>
          </w:tcPr>
          <w:p w14:paraId="4921777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32</w:t>
            </w:r>
          </w:p>
        </w:tc>
        <w:tc>
          <w:tcPr>
            <w:tcW w:w="2442" w:type="pct"/>
            <w:shd w:val="clear" w:color="auto" w:fill="auto"/>
            <w:vAlign w:val="center"/>
          </w:tcPr>
          <w:p w14:paraId="23EFFC6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交银施罗德新成长混合型证券投资基金</w:t>
            </w:r>
          </w:p>
        </w:tc>
        <w:tc>
          <w:tcPr>
            <w:tcW w:w="1190" w:type="pct"/>
            <w:shd w:val="clear" w:color="auto" w:fill="auto"/>
            <w:vAlign w:val="center"/>
          </w:tcPr>
          <w:p w14:paraId="48B2A06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交银新成长</w:t>
            </w:r>
          </w:p>
        </w:tc>
        <w:tc>
          <w:tcPr>
            <w:tcW w:w="952" w:type="pct"/>
            <w:shd w:val="clear" w:color="auto" w:fill="auto"/>
            <w:vAlign w:val="center"/>
          </w:tcPr>
          <w:p w14:paraId="07C191D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前端519736</w:t>
            </w:r>
          </w:p>
          <w:p w14:paraId="28041AC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后端519737</w:t>
            </w:r>
          </w:p>
        </w:tc>
      </w:tr>
      <w:tr w:rsidR="005A582E" w14:paraId="4AA7A3BF" w14:textId="77777777">
        <w:trPr>
          <w:trHeight w:val="1250"/>
          <w:jc w:val="center"/>
        </w:trPr>
        <w:tc>
          <w:tcPr>
            <w:tcW w:w="416" w:type="pct"/>
            <w:shd w:val="clear" w:color="auto" w:fill="auto"/>
            <w:noWrap/>
            <w:vAlign w:val="center"/>
          </w:tcPr>
          <w:p w14:paraId="2670DC7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33</w:t>
            </w:r>
          </w:p>
        </w:tc>
        <w:tc>
          <w:tcPr>
            <w:tcW w:w="2442" w:type="pct"/>
            <w:shd w:val="clear" w:color="auto" w:fill="auto"/>
            <w:vAlign w:val="center"/>
          </w:tcPr>
          <w:p w14:paraId="52C59A1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交银施罗德周期回报灵活配置混合型证券投资基金</w:t>
            </w:r>
          </w:p>
        </w:tc>
        <w:tc>
          <w:tcPr>
            <w:tcW w:w="1190" w:type="pct"/>
            <w:shd w:val="clear" w:color="auto" w:fill="auto"/>
            <w:vAlign w:val="center"/>
          </w:tcPr>
          <w:p w14:paraId="01B44EC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交银周期回报</w:t>
            </w:r>
          </w:p>
        </w:tc>
        <w:tc>
          <w:tcPr>
            <w:tcW w:w="952" w:type="pct"/>
            <w:shd w:val="clear" w:color="auto" w:fill="auto"/>
            <w:vAlign w:val="center"/>
          </w:tcPr>
          <w:p w14:paraId="7D3FD30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A类前端519738</w:t>
            </w:r>
          </w:p>
          <w:p w14:paraId="148FBB7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A类后端519739</w:t>
            </w:r>
          </w:p>
          <w:p w14:paraId="6917A1D0"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C类519759</w:t>
            </w:r>
          </w:p>
        </w:tc>
      </w:tr>
      <w:tr w:rsidR="005A582E" w14:paraId="56B77909" w14:textId="77777777">
        <w:trPr>
          <w:trHeight w:val="570"/>
          <w:jc w:val="center"/>
        </w:trPr>
        <w:tc>
          <w:tcPr>
            <w:tcW w:w="416" w:type="pct"/>
            <w:shd w:val="clear" w:color="auto" w:fill="auto"/>
            <w:noWrap/>
            <w:vAlign w:val="center"/>
          </w:tcPr>
          <w:p w14:paraId="1C41A18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34</w:t>
            </w:r>
          </w:p>
        </w:tc>
        <w:tc>
          <w:tcPr>
            <w:tcW w:w="2442" w:type="pct"/>
            <w:shd w:val="clear" w:color="auto" w:fill="auto"/>
            <w:vAlign w:val="center"/>
          </w:tcPr>
          <w:p w14:paraId="1CDF0C1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交银施罗德丰盈收益债券型证券投资基金</w:t>
            </w:r>
          </w:p>
        </w:tc>
        <w:tc>
          <w:tcPr>
            <w:tcW w:w="1190" w:type="pct"/>
            <w:shd w:val="clear" w:color="auto" w:fill="auto"/>
            <w:vAlign w:val="center"/>
          </w:tcPr>
          <w:p w14:paraId="33DFA9D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交银丰盈</w:t>
            </w:r>
          </w:p>
        </w:tc>
        <w:tc>
          <w:tcPr>
            <w:tcW w:w="952" w:type="pct"/>
            <w:shd w:val="clear" w:color="auto" w:fill="auto"/>
            <w:vAlign w:val="center"/>
          </w:tcPr>
          <w:p w14:paraId="268394F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A类519740</w:t>
            </w:r>
          </w:p>
          <w:p w14:paraId="20F79FB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C类 005025</w:t>
            </w:r>
          </w:p>
        </w:tc>
      </w:tr>
      <w:tr w:rsidR="005A582E" w14:paraId="64BAB78C" w14:textId="77777777">
        <w:trPr>
          <w:trHeight w:val="630"/>
          <w:jc w:val="center"/>
        </w:trPr>
        <w:tc>
          <w:tcPr>
            <w:tcW w:w="416" w:type="pct"/>
            <w:shd w:val="clear" w:color="auto" w:fill="auto"/>
            <w:noWrap/>
            <w:vAlign w:val="center"/>
          </w:tcPr>
          <w:p w14:paraId="57AB3FA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35</w:t>
            </w:r>
          </w:p>
        </w:tc>
        <w:tc>
          <w:tcPr>
            <w:tcW w:w="2442" w:type="pct"/>
            <w:shd w:val="clear" w:color="auto" w:fill="auto"/>
            <w:vAlign w:val="center"/>
          </w:tcPr>
          <w:p w14:paraId="5FB5233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交银施罗德现金宝货币市场基金</w:t>
            </w:r>
          </w:p>
        </w:tc>
        <w:tc>
          <w:tcPr>
            <w:tcW w:w="1190" w:type="pct"/>
            <w:shd w:val="clear" w:color="auto" w:fill="auto"/>
            <w:vAlign w:val="center"/>
          </w:tcPr>
          <w:p w14:paraId="4315988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交银现金宝</w:t>
            </w:r>
          </w:p>
        </w:tc>
        <w:tc>
          <w:tcPr>
            <w:tcW w:w="952" w:type="pct"/>
            <w:shd w:val="clear" w:color="auto" w:fill="auto"/>
            <w:vAlign w:val="center"/>
          </w:tcPr>
          <w:p w14:paraId="2E8943D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A类000710</w:t>
            </w:r>
          </w:p>
          <w:p w14:paraId="62FB7B6C"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E类002918</w:t>
            </w:r>
          </w:p>
        </w:tc>
      </w:tr>
      <w:tr w:rsidR="005A582E" w14:paraId="0E329AEA" w14:textId="77777777">
        <w:trPr>
          <w:trHeight w:val="640"/>
          <w:jc w:val="center"/>
        </w:trPr>
        <w:tc>
          <w:tcPr>
            <w:tcW w:w="416" w:type="pct"/>
            <w:shd w:val="clear" w:color="auto" w:fill="auto"/>
            <w:noWrap/>
            <w:vAlign w:val="center"/>
          </w:tcPr>
          <w:p w14:paraId="6A20637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36</w:t>
            </w:r>
          </w:p>
        </w:tc>
        <w:tc>
          <w:tcPr>
            <w:tcW w:w="2442" w:type="pct"/>
            <w:shd w:val="clear" w:color="auto" w:fill="auto"/>
            <w:vAlign w:val="center"/>
          </w:tcPr>
          <w:p w14:paraId="7795358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交银施罗德丰润收益债券型证券投资基金</w:t>
            </w:r>
          </w:p>
        </w:tc>
        <w:tc>
          <w:tcPr>
            <w:tcW w:w="1190" w:type="pct"/>
            <w:shd w:val="clear" w:color="auto" w:fill="auto"/>
            <w:vAlign w:val="center"/>
          </w:tcPr>
          <w:p w14:paraId="32347A8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交银丰润</w:t>
            </w:r>
          </w:p>
        </w:tc>
        <w:tc>
          <w:tcPr>
            <w:tcW w:w="952" w:type="pct"/>
            <w:shd w:val="clear" w:color="auto" w:fill="auto"/>
            <w:vAlign w:val="center"/>
          </w:tcPr>
          <w:p w14:paraId="224E57B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A类519743</w:t>
            </w:r>
          </w:p>
          <w:p w14:paraId="32875E1F"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C类519745</w:t>
            </w:r>
          </w:p>
        </w:tc>
      </w:tr>
      <w:tr w:rsidR="005A582E" w14:paraId="506632C7" w14:textId="77777777">
        <w:trPr>
          <w:trHeight w:val="570"/>
          <w:jc w:val="center"/>
        </w:trPr>
        <w:tc>
          <w:tcPr>
            <w:tcW w:w="416" w:type="pct"/>
            <w:shd w:val="clear" w:color="auto" w:fill="auto"/>
            <w:noWrap/>
            <w:vAlign w:val="center"/>
          </w:tcPr>
          <w:p w14:paraId="466DB9B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37</w:t>
            </w:r>
          </w:p>
        </w:tc>
        <w:tc>
          <w:tcPr>
            <w:tcW w:w="2442" w:type="pct"/>
            <w:shd w:val="clear" w:color="auto" w:fill="auto"/>
            <w:vAlign w:val="center"/>
          </w:tcPr>
          <w:p w14:paraId="7A7A1F2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交银施罗德丰享收益债券型证券投资基金</w:t>
            </w:r>
          </w:p>
        </w:tc>
        <w:tc>
          <w:tcPr>
            <w:tcW w:w="1190" w:type="pct"/>
            <w:shd w:val="clear" w:color="auto" w:fill="auto"/>
            <w:vAlign w:val="center"/>
          </w:tcPr>
          <w:p w14:paraId="3A0A298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交银丰享</w:t>
            </w:r>
          </w:p>
        </w:tc>
        <w:tc>
          <w:tcPr>
            <w:tcW w:w="952" w:type="pct"/>
            <w:shd w:val="clear" w:color="auto" w:fill="auto"/>
            <w:vAlign w:val="center"/>
          </w:tcPr>
          <w:p w14:paraId="32E824B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A类 519746</w:t>
            </w:r>
          </w:p>
          <w:p w14:paraId="0ED65AC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C类519748</w:t>
            </w:r>
          </w:p>
        </w:tc>
      </w:tr>
      <w:tr w:rsidR="005A582E" w14:paraId="656134D9" w14:textId="77777777">
        <w:trPr>
          <w:trHeight w:val="570"/>
          <w:jc w:val="center"/>
        </w:trPr>
        <w:tc>
          <w:tcPr>
            <w:tcW w:w="416" w:type="pct"/>
            <w:shd w:val="clear" w:color="auto" w:fill="auto"/>
            <w:noWrap/>
            <w:vAlign w:val="center"/>
          </w:tcPr>
          <w:p w14:paraId="7BB6E0F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38</w:t>
            </w:r>
          </w:p>
        </w:tc>
        <w:tc>
          <w:tcPr>
            <w:tcW w:w="2442" w:type="pct"/>
            <w:shd w:val="clear" w:color="auto" w:fill="auto"/>
            <w:vAlign w:val="center"/>
          </w:tcPr>
          <w:p w14:paraId="31E2754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交银施罗德国证新能源指数证券投资基金(LOF)</w:t>
            </w:r>
          </w:p>
        </w:tc>
        <w:tc>
          <w:tcPr>
            <w:tcW w:w="1190" w:type="pct"/>
            <w:shd w:val="clear" w:color="auto" w:fill="auto"/>
            <w:vAlign w:val="center"/>
          </w:tcPr>
          <w:p w14:paraId="57B9C1C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交银新能源</w:t>
            </w:r>
          </w:p>
        </w:tc>
        <w:tc>
          <w:tcPr>
            <w:tcW w:w="952" w:type="pct"/>
            <w:shd w:val="clear" w:color="auto" w:fill="auto"/>
            <w:vAlign w:val="center"/>
          </w:tcPr>
          <w:p w14:paraId="0C4C478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164905</w:t>
            </w:r>
          </w:p>
        </w:tc>
      </w:tr>
      <w:tr w:rsidR="005A582E" w14:paraId="6685B478" w14:textId="77777777">
        <w:trPr>
          <w:trHeight w:val="630"/>
          <w:jc w:val="center"/>
        </w:trPr>
        <w:tc>
          <w:tcPr>
            <w:tcW w:w="416" w:type="pct"/>
            <w:shd w:val="clear" w:color="auto" w:fill="auto"/>
            <w:noWrap/>
            <w:vAlign w:val="center"/>
          </w:tcPr>
          <w:p w14:paraId="5D35601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39</w:t>
            </w:r>
          </w:p>
        </w:tc>
        <w:tc>
          <w:tcPr>
            <w:tcW w:w="2442" w:type="pct"/>
            <w:shd w:val="clear" w:color="auto" w:fill="auto"/>
            <w:vAlign w:val="center"/>
          </w:tcPr>
          <w:p w14:paraId="63B53F5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交银施罗德新回报灵活配置混合型证券投资基金</w:t>
            </w:r>
          </w:p>
        </w:tc>
        <w:tc>
          <w:tcPr>
            <w:tcW w:w="1190" w:type="pct"/>
            <w:shd w:val="clear" w:color="auto" w:fill="auto"/>
            <w:vAlign w:val="center"/>
          </w:tcPr>
          <w:p w14:paraId="3B4B70F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交银新回报</w:t>
            </w:r>
          </w:p>
        </w:tc>
        <w:tc>
          <w:tcPr>
            <w:tcW w:w="952" w:type="pct"/>
            <w:shd w:val="clear" w:color="auto" w:fill="auto"/>
            <w:vAlign w:val="center"/>
          </w:tcPr>
          <w:p w14:paraId="583908A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A类519752</w:t>
            </w:r>
          </w:p>
          <w:p w14:paraId="1F0D9123"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C类519760</w:t>
            </w:r>
          </w:p>
        </w:tc>
      </w:tr>
      <w:tr w:rsidR="005A582E" w14:paraId="5DB88ACC" w14:textId="77777777">
        <w:trPr>
          <w:trHeight w:val="600"/>
          <w:jc w:val="center"/>
        </w:trPr>
        <w:tc>
          <w:tcPr>
            <w:tcW w:w="416" w:type="pct"/>
            <w:shd w:val="clear" w:color="auto" w:fill="auto"/>
            <w:noWrap/>
            <w:vAlign w:val="center"/>
          </w:tcPr>
          <w:p w14:paraId="326947B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40</w:t>
            </w:r>
          </w:p>
        </w:tc>
        <w:tc>
          <w:tcPr>
            <w:tcW w:w="2442" w:type="pct"/>
            <w:shd w:val="clear" w:color="auto" w:fill="auto"/>
            <w:vAlign w:val="center"/>
          </w:tcPr>
          <w:p w14:paraId="0BF2304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交银施罗德中证海外中国互联网指数型证券投资基金(LOF)</w:t>
            </w:r>
          </w:p>
        </w:tc>
        <w:tc>
          <w:tcPr>
            <w:tcW w:w="1190" w:type="pct"/>
            <w:shd w:val="clear" w:color="auto" w:fill="auto"/>
            <w:vAlign w:val="center"/>
          </w:tcPr>
          <w:p w14:paraId="6533992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交银海外中国互联网(LOF)</w:t>
            </w:r>
          </w:p>
        </w:tc>
        <w:tc>
          <w:tcPr>
            <w:tcW w:w="952" w:type="pct"/>
            <w:shd w:val="clear" w:color="auto" w:fill="auto"/>
            <w:vAlign w:val="center"/>
          </w:tcPr>
          <w:p w14:paraId="0786E98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164906</w:t>
            </w:r>
          </w:p>
        </w:tc>
      </w:tr>
      <w:tr w:rsidR="005A582E" w14:paraId="489BD6D4" w14:textId="77777777">
        <w:trPr>
          <w:trHeight w:val="570"/>
          <w:jc w:val="center"/>
        </w:trPr>
        <w:tc>
          <w:tcPr>
            <w:tcW w:w="416" w:type="pct"/>
            <w:shd w:val="clear" w:color="auto" w:fill="auto"/>
            <w:noWrap/>
            <w:vAlign w:val="center"/>
          </w:tcPr>
          <w:p w14:paraId="0BB18FE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41</w:t>
            </w:r>
          </w:p>
        </w:tc>
        <w:tc>
          <w:tcPr>
            <w:tcW w:w="2442" w:type="pct"/>
            <w:shd w:val="clear" w:color="auto" w:fill="auto"/>
            <w:vAlign w:val="center"/>
          </w:tcPr>
          <w:p w14:paraId="35EA319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w:t>
            </w:r>
            <w:r>
              <w:rPr>
                <w:rFonts w:asciiTheme="minorEastAsia" w:eastAsiaTheme="minorEastAsia" w:hAnsiTheme="minorEastAsia" w:hint="eastAsia"/>
                <w:color w:val="000000"/>
                <w:kern w:val="0"/>
                <w:sz w:val="24"/>
              </w:rPr>
              <w:t>安心</w:t>
            </w:r>
            <w:r>
              <w:rPr>
                <w:rFonts w:asciiTheme="minorEastAsia" w:eastAsiaTheme="minorEastAsia" w:hAnsiTheme="minorEastAsia"/>
                <w:color w:val="000000"/>
                <w:kern w:val="0"/>
                <w:sz w:val="24"/>
              </w:rPr>
              <w:t>收益</w:t>
            </w:r>
            <w:r>
              <w:rPr>
                <w:rFonts w:asciiTheme="minorEastAsia" w:eastAsiaTheme="minorEastAsia" w:hAnsiTheme="minorEastAsia" w:hint="eastAsia"/>
                <w:color w:val="000000"/>
                <w:kern w:val="0"/>
                <w:sz w:val="24"/>
              </w:rPr>
              <w:t>债券型</w:t>
            </w:r>
            <w:r>
              <w:rPr>
                <w:rFonts w:asciiTheme="minorEastAsia" w:eastAsiaTheme="minorEastAsia" w:hAnsiTheme="minorEastAsia"/>
                <w:color w:val="000000"/>
                <w:kern w:val="0"/>
                <w:sz w:val="24"/>
              </w:rPr>
              <w:t>证券投资基金</w:t>
            </w:r>
          </w:p>
        </w:tc>
        <w:tc>
          <w:tcPr>
            <w:tcW w:w="1190" w:type="pct"/>
            <w:shd w:val="clear" w:color="auto" w:fill="auto"/>
            <w:vAlign w:val="center"/>
          </w:tcPr>
          <w:p w14:paraId="747D28D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w:t>
            </w:r>
            <w:r>
              <w:rPr>
                <w:rFonts w:asciiTheme="minorEastAsia" w:eastAsiaTheme="minorEastAsia" w:hAnsiTheme="minorEastAsia" w:hint="eastAsia"/>
                <w:color w:val="000000"/>
                <w:kern w:val="0"/>
                <w:sz w:val="24"/>
              </w:rPr>
              <w:t>安心收益</w:t>
            </w:r>
          </w:p>
        </w:tc>
        <w:tc>
          <w:tcPr>
            <w:tcW w:w="952" w:type="pct"/>
            <w:shd w:val="clear" w:color="auto" w:fill="auto"/>
            <w:vAlign w:val="center"/>
          </w:tcPr>
          <w:p w14:paraId="0093FE9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519753</w:t>
            </w:r>
          </w:p>
        </w:tc>
      </w:tr>
      <w:tr w:rsidR="005A582E" w14:paraId="16FD6E6F" w14:textId="77777777">
        <w:trPr>
          <w:trHeight w:val="630"/>
          <w:jc w:val="center"/>
        </w:trPr>
        <w:tc>
          <w:tcPr>
            <w:tcW w:w="416" w:type="pct"/>
            <w:shd w:val="clear" w:color="auto" w:fill="auto"/>
            <w:noWrap/>
            <w:vAlign w:val="center"/>
          </w:tcPr>
          <w:p w14:paraId="1D8D5E4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42</w:t>
            </w:r>
          </w:p>
        </w:tc>
        <w:tc>
          <w:tcPr>
            <w:tcW w:w="2442" w:type="pct"/>
            <w:shd w:val="clear" w:color="auto" w:fill="auto"/>
            <w:vAlign w:val="center"/>
          </w:tcPr>
          <w:p w14:paraId="5366B83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交银施罗德多策略回报灵活配置混合型证券投资基金</w:t>
            </w:r>
          </w:p>
        </w:tc>
        <w:tc>
          <w:tcPr>
            <w:tcW w:w="1190" w:type="pct"/>
            <w:shd w:val="clear" w:color="auto" w:fill="auto"/>
            <w:vAlign w:val="center"/>
          </w:tcPr>
          <w:p w14:paraId="26B6CBF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交银多策略回报</w:t>
            </w:r>
          </w:p>
        </w:tc>
        <w:tc>
          <w:tcPr>
            <w:tcW w:w="952" w:type="pct"/>
            <w:shd w:val="clear" w:color="auto" w:fill="auto"/>
            <w:vAlign w:val="center"/>
          </w:tcPr>
          <w:p w14:paraId="4DBB610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A类519755</w:t>
            </w:r>
          </w:p>
          <w:p w14:paraId="2885258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C类519761</w:t>
            </w:r>
          </w:p>
        </w:tc>
      </w:tr>
      <w:tr w:rsidR="005A582E" w14:paraId="30F71184" w14:textId="77777777">
        <w:trPr>
          <w:trHeight w:val="570"/>
          <w:jc w:val="center"/>
        </w:trPr>
        <w:tc>
          <w:tcPr>
            <w:tcW w:w="416" w:type="pct"/>
            <w:shd w:val="clear" w:color="auto" w:fill="auto"/>
            <w:noWrap/>
            <w:vAlign w:val="center"/>
          </w:tcPr>
          <w:p w14:paraId="1382494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43</w:t>
            </w:r>
          </w:p>
        </w:tc>
        <w:tc>
          <w:tcPr>
            <w:tcW w:w="2442" w:type="pct"/>
            <w:shd w:val="clear" w:color="auto" w:fill="auto"/>
            <w:vAlign w:val="center"/>
          </w:tcPr>
          <w:p w14:paraId="08410D8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交银施罗德国企改革灵活配置混合型证券投资基金</w:t>
            </w:r>
          </w:p>
        </w:tc>
        <w:tc>
          <w:tcPr>
            <w:tcW w:w="1190" w:type="pct"/>
            <w:shd w:val="clear" w:color="auto" w:fill="auto"/>
            <w:vAlign w:val="center"/>
          </w:tcPr>
          <w:p w14:paraId="42B1598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交银国企改革</w:t>
            </w:r>
          </w:p>
        </w:tc>
        <w:tc>
          <w:tcPr>
            <w:tcW w:w="952" w:type="pct"/>
            <w:shd w:val="clear" w:color="auto" w:fill="auto"/>
            <w:vAlign w:val="center"/>
          </w:tcPr>
          <w:p w14:paraId="28C537B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519756</w:t>
            </w:r>
          </w:p>
        </w:tc>
      </w:tr>
      <w:tr w:rsidR="005A582E" w14:paraId="0F1CE7B0" w14:textId="77777777">
        <w:trPr>
          <w:trHeight w:val="600"/>
          <w:jc w:val="center"/>
        </w:trPr>
        <w:tc>
          <w:tcPr>
            <w:tcW w:w="416" w:type="pct"/>
            <w:shd w:val="clear" w:color="auto" w:fill="auto"/>
            <w:noWrap/>
            <w:vAlign w:val="center"/>
          </w:tcPr>
          <w:p w14:paraId="1167CAF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44</w:t>
            </w:r>
          </w:p>
        </w:tc>
        <w:tc>
          <w:tcPr>
            <w:tcW w:w="2442" w:type="pct"/>
            <w:shd w:val="clear" w:color="auto" w:fill="auto"/>
            <w:vAlign w:val="center"/>
          </w:tcPr>
          <w:p w14:paraId="55E27A0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交银施罗德中证环境治理指数型证券投资基金（LOF）</w:t>
            </w:r>
          </w:p>
        </w:tc>
        <w:tc>
          <w:tcPr>
            <w:tcW w:w="1190" w:type="pct"/>
            <w:shd w:val="clear" w:color="auto" w:fill="auto"/>
            <w:vAlign w:val="center"/>
          </w:tcPr>
          <w:p w14:paraId="6C6FB0D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交银环境治理</w:t>
            </w:r>
          </w:p>
        </w:tc>
        <w:tc>
          <w:tcPr>
            <w:tcW w:w="952" w:type="pct"/>
            <w:shd w:val="clear" w:color="auto" w:fill="auto"/>
            <w:vAlign w:val="center"/>
          </w:tcPr>
          <w:p w14:paraId="13DFE33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164908</w:t>
            </w:r>
          </w:p>
        </w:tc>
      </w:tr>
      <w:tr w:rsidR="005A582E" w14:paraId="1AE3D1F1" w14:textId="77777777">
        <w:trPr>
          <w:trHeight w:val="630"/>
          <w:jc w:val="center"/>
        </w:trPr>
        <w:tc>
          <w:tcPr>
            <w:tcW w:w="416" w:type="pct"/>
            <w:shd w:val="clear" w:color="auto" w:fill="auto"/>
            <w:noWrap/>
            <w:vAlign w:val="center"/>
          </w:tcPr>
          <w:p w14:paraId="62F1069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45</w:t>
            </w:r>
          </w:p>
        </w:tc>
        <w:tc>
          <w:tcPr>
            <w:tcW w:w="2442" w:type="pct"/>
            <w:shd w:val="clear" w:color="auto" w:fill="auto"/>
            <w:vAlign w:val="center"/>
          </w:tcPr>
          <w:p w14:paraId="53964C1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交银施罗德裕通纯债债券型证券投资基金</w:t>
            </w:r>
          </w:p>
        </w:tc>
        <w:tc>
          <w:tcPr>
            <w:tcW w:w="1190" w:type="pct"/>
            <w:shd w:val="clear" w:color="auto" w:fill="auto"/>
            <w:vAlign w:val="center"/>
          </w:tcPr>
          <w:p w14:paraId="47F1A62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交银裕通</w:t>
            </w:r>
          </w:p>
        </w:tc>
        <w:tc>
          <w:tcPr>
            <w:tcW w:w="952" w:type="pct"/>
            <w:shd w:val="clear" w:color="auto" w:fill="auto"/>
            <w:vAlign w:val="center"/>
          </w:tcPr>
          <w:p w14:paraId="1C8129C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A类519762</w:t>
            </w:r>
          </w:p>
          <w:p w14:paraId="222C5C76"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C类519763</w:t>
            </w:r>
          </w:p>
        </w:tc>
      </w:tr>
      <w:tr w:rsidR="005A582E" w14:paraId="38C727FC" w14:textId="77777777">
        <w:trPr>
          <w:trHeight w:val="570"/>
          <w:jc w:val="center"/>
        </w:trPr>
        <w:tc>
          <w:tcPr>
            <w:tcW w:w="416" w:type="pct"/>
            <w:shd w:val="clear" w:color="auto" w:fill="auto"/>
            <w:noWrap/>
            <w:vAlign w:val="center"/>
          </w:tcPr>
          <w:p w14:paraId="30F9D16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46</w:t>
            </w:r>
          </w:p>
        </w:tc>
        <w:tc>
          <w:tcPr>
            <w:tcW w:w="2442" w:type="pct"/>
            <w:shd w:val="clear" w:color="auto" w:fill="auto"/>
            <w:vAlign w:val="center"/>
          </w:tcPr>
          <w:p w14:paraId="7AE462B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交银施罗德荣鑫</w:t>
            </w:r>
            <w:r>
              <w:rPr>
                <w:rFonts w:asciiTheme="minorEastAsia" w:eastAsiaTheme="minorEastAsia" w:hAnsiTheme="minorEastAsia" w:hint="eastAsia"/>
                <w:color w:val="000000"/>
                <w:kern w:val="0"/>
                <w:sz w:val="24"/>
              </w:rPr>
              <w:t>灵活配置</w:t>
            </w:r>
            <w:r>
              <w:rPr>
                <w:rFonts w:asciiTheme="minorEastAsia" w:eastAsiaTheme="minorEastAsia" w:hAnsiTheme="minorEastAsia"/>
                <w:color w:val="000000"/>
                <w:kern w:val="0"/>
                <w:sz w:val="24"/>
              </w:rPr>
              <w:t>混合型证券投资基金</w:t>
            </w:r>
          </w:p>
        </w:tc>
        <w:tc>
          <w:tcPr>
            <w:tcW w:w="1190" w:type="pct"/>
            <w:shd w:val="clear" w:color="auto" w:fill="auto"/>
            <w:vAlign w:val="center"/>
          </w:tcPr>
          <w:p w14:paraId="26AC0D0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交银荣鑫</w:t>
            </w:r>
          </w:p>
        </w:tc>
        <w:tc>
          <w:tcPr>
            <w:tcW w:w="952" w:type="pct"/>
            <w:shd w:val="clear" w:color="auto" w:fill="auto"/>
            <w:vAlign w:val="center"/>
          </w:tcPr>
          <w:p w14:paraId="317D8E4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519766</w:t>
            </w:r>
          </w:p>
        </w:tc>
      </w:tr>
      <w:tr w:rsidR="005A582E" w14:paraId="008DED4E" w14:textId="77777777">
        <w:trPr>
          <w:trHeight w:val="630"/>
          <w:jc w:val="center"/>
        </w:trPr>
        <w:tc>
          <w:tcPr>
            <w:tcW w:w="416" w:type="pct"/>
            <w:shd w:val="clear" w:color="auto" w:fill="auto"/>
            <w:noWrap/>
            <w:vAlign w:val="center"/>
          </w:tcPr>
          <w:p w14:paraId="4B55B64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lastRenderedPageBreak/>
              <w:t>47</w:t>
            </w:r>
          </w:p>
        </w:tc>
        <w:tc>
          <w:tcPr>
            <w:tcW w:w="2442" w:type="pct"/>
            <w:shd w:val="clear" w:color="auto" w:fill="auto"/>
            <w:vAlign w:val="center"/>
          </w:tcPr>
          <w:p w14:paraId="323DAEE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交银施罗德优选回报灵活配置混合型证券投资基金</w:t>
            </w:r>
          </w:p>
        </w:tc>
        <w:tc>
          <w:tcPr>
            <w:tcW w:w="1190" w:type="pct"/>
            <w:shd w:val="clear" w:color="auto" w:fill="auto"/>
            <w:vAlign w:val="center"/>
          </w:tcPr>
          <w:p w14:paraId="036CE01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交银优选回报</w:t>
            </w:r>
          </w:p>
        </w:tc>
        <w:tc>
          <w:tcPr>
            <w:tcW w:w="952" w:type="pct"/>
            <w:shd w:val="clear" w:color="auto" w:fill="auto"/>
            <w:vAlign w:val="center"/>
          </w:tcPr>
          <w:p w14:paraId="02DCAC7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A类519768</w:t>
            </w:r>
          </w:p>
          <w:p w14:paraId="66D12539"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C类519769</w:t>
            </w:r>
          </w:p>
        </w:tc>
      </w:tr>
      <w:tr w:rsidR="005A582E" w14:paraId="2CDABF2F" w14:textId="77777777">
        <w:trPr>
          <w:trHeight w:val="640"/>
          <w:jc w:val="center"/>
        </w:trPr>
        <w:tc>
          <w:tcPr>
            <w:tcW w:w="416" w:type="pct"/>
            <w:shd w:val="clear" w:color="auto" w:fill="auto"/>
            <w:noWrap/>
            <w:vAlign w:val="center"/>
          </w:tcPr>
          <w:p w14:paraId="5FD57B8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48</w:t>
            </w:r>
          </w:p>
        </w:tc>
        <w:tc>
          <w:tcPr>
            <w:tcW w:w="2442" w:type="pct"/>
            <w:shd w:val="clear" w:color="auto" w:fill="auto"/>
            <w:vAlign w:val="center"/>
          </w:tcPr>
          <w:p w14:paraId="1BF12B7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交银施罗德优择回报灵活配置混合型证券投资基金</w:t>
            </w:r>
          </w:p>
        </w:tc>
        <w:tc>
          <w:tcPr>
            <w:tcW w:w="1190" w:type="pct"/>
            <w:shd w:val="clear" w:color="auto" w:fill="auto"/>
            <w:vAlign w:val="center"/>
          </w:tcPr>
          <w:p w14:paraId="0E1C1F8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交银优择回报</w:t>
            </w:r>
          </w:p>
        </w:tc>
        <w:tc>
          <w:tcPr>
            <w:tcW w:w="952" w:type="pct"/>
            <w:shd w:val="clear" w:color="auto" w:fill="auto"/>
            <w:vAlign w:val="center"/>
          </w:tcPr>
          <w:p w14:paraId="67F1A46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A类519770</w:t>
            </w:r>
          </w:p>
          <w:p w14:paraId="3C3DE082"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C类519771</w:t>
            </w:r>
          </w:p>
        </w:tc>
      </w:tr>
      <w:tr w:rsidR="005A582E" w14:paraId="11495A1E" w14:textId="77777777">
        <w:trPr>
          <w:trHeight w:val="570"/>
          <w:jc w:val="center"/>
        </w:trPr>
        <w:tc>
          <w:tcPr>
            <w:tcW w:w="416" w:type="pct"/>
            <w:shd w:val="clear" w:color="auto" w:fill="auto"/>
            <w:noWrap/>
            <w:vAlign w:val="center"/>
          </w:tcPr>
          <w:p w14:paraId="5EE52D6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49</w:t>
            </w:r>
          </w:p>
        </w:tc>
        <w:tc>
          <w:tcPr>
            <w:tcW w:w="2442" w:type="pct"/>
            <w:shd w:val="clear" w:color="auto" w:fill="auto"/>
            <w:vAlign w:val="center"/>
          </w:tcPr>
          <w:p w14:paraId="190B1B7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交银施罗德科技创新灵活配置混合型证券投资基金</w:t>
            </w:r>
          </w:p>
        </w:tc>
        <w:tc>
          <w:tcPr>
            <w:tcW w:w="1190" w:type="pct"/>
            <w:shd w:val="clear" w:color="auto" w:fill="auto"/>
            <w:vAlign w:val="center"/>
          </w:tcPr>
          <w:p w14:paraId="5A29584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交银科技创新</w:t>
            </w:r>
          </w:p>
        </w:tc>
        <w:tc>
          <w:tcPr>
            <w:tcW w:w="952" w:type="pct"/>
            <w:shd w:val="clear" w:color="auto" w:fill="auto"/>
            <w:vAlign w:val="center"/>
          </w:tcPr>
          <w:p w14:paraId="7F2D8B6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519767</w:t>
            </w:r>
          </w:p>
        </w:tc>
      </w:tr>
      <w:tr w:rsidR="005A582E" w14:paraId="784BD649" w14:textId="77777777">
        <w:trPr>
          <w:trHeight w:val="630"/>
          <w:jc w:val="center"/>
        </w:trPr>
        <w:tc>
          <w:tcPr>
            <w:tcW w:w="416" w:type="pct"/>
            <w:shd w:val="clear" w:color="auto" w:fill="auto"/>
            <w:noWrap/>
            <w:vAlign w:val="center"/>
          </w:tcPr>
          <w:p w14:paraId="4612DBD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50</w:t>
            </w:r>
          </w:p>
        </w:tc>
        <w:tc>
          <w:tcPr>
            <w:tcW w:w="2442" w:type="pct"/>
            <w:shd w:val="clear" w:color="auto" w:fill="auto"/>
            <w:vAlign w:val="center"/>
          </w:tcPr>
          <w:p w14:paraId="5C88574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交银施罗德活期通货币市场基金</w:t>
            </w:r>
          </w:p>
        </w:tc>
        <w:tc>
          <w:tcPr>
            <w:tcW w:w="1190" w:type="pct"/>
            <w:shd w:val="clear" w:color="auto" w:fill="auto"/>
            <w:vAlign w:val="center"/>
          </w:tcPr>
          <w:p w14:paraId="758994B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交银活期通</w:t>
            </w:r>
          </w:p>
        </w:tc>
        <w:tc>
          <w:tcPr>
            <w:tcW w:w="952" w:type="pct"/>
            <w:shd w:val="clear" w:color="auto" w:fill="auto"/>
            <w:vAlign w:val="center"/>
          </w:tcPr>
          <w:p w14:paraId="3A1AFA5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A类003042</w:t>
            </w:r>
          </w:p>
          <w:p w14:paraId="38037928"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E类003043</w:t>
            </w:r>
          </w:p>
        </w:tc>
      </w:tr>
      <w:tr w:rsidR="005A582E" w14:paraId="46C24406" w14:textId="77777777">
        <w:trPr>
          <w:trHeight w:val="570"/>
          <w:jc w:val="center"/>
        </w:trPr>
        <w:tc>
          <w:tcPr>
            <w:tcW w:w="416" w:type="pct"/>
            <w:shd w:val="clear" w:color="auto" w:fill="auto"/>
            <w:noWrap/>
            <w:vAlign w:val="center"/>
          </w:tcPr>
          <w:p w14:paraId="106897C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w:t>
            </w:r>
          </w:p>
        </w:tc>
        <w:tc>
          <w:tcPr>
            <w:tcW w:w="2442" w:type="pct"/>
            <w:shd w:val="clear" w:color="auto" w:fill="auto"/>
            <w:vAlign w:val="center"/>
          </w:tcPr>
          <w:p w14:paraId="1794288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交银施罗德数据产业灵活配置混合型证券投资基金</w:t>
            </w:r>
          </w:p>
        </w:tc>
        <w:tc>
          <w:tcPr>
            <w:tcW w:w="1190" w:type="pct"/>
            <w:shd w:val="clear" w:color="auto" w:fill="auto"/>
            <w:vAlign w:val="center"/>
          </w:tcPr>
          <w:p w14:paraId="29E39E7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交银数据产业</w:t>
            </w:r>
          </w:p>
        </w:tc>
        <w:tc>
          <w:tcPr>
            <w:tcW w:w="952" w:type="pct"/>
            <w:shd w:val="clear" w:color="auto" w:fill="auto"/>
            <w:vAlign w:val="center"/>
          </w:tcPr>
          <w:p w14:paraId="1C42B90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519773</w:t>
            </w:r>
          </w:p>
        </w:tc>
      </w:tr>
      <w:tr w:rsidR="005A582E" w14:paraId="3ABFF850" w14:textId="77777777">
        <w:trPr>
          <w:trHeight w:val="630"/>
          <w:jc w:val="center"/>
        </w:trPr>
        <w:tc>
          <w:tcPr>
            <w:tcW w:w="416" w:type="pct"/>
            <w:shd w:val="clear" w:color="auto" w:fill="auto"/>
            <w:noWrap/>
            <w:vAlign w:val="center"/>
          </w:tcPr>
          <w:p w14:paraId="25B8704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52</w:t>
            </w:r>
          </w:p>
        </w:tc>
        <w:tc>
          <w:tcPr>
            <w:tcW w:w="2442" w:type="pct"/>
            <w:shd w:val="clear" w:color="auto" w:fill="auto"/>
            <w:vAlign w:val="center"/>
          </w:tcPr>
          <w:p w14:paraId="2FB7FBF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交银施罗德天利宝货币市场基金</w:t>
            </w:r>
          </w:p>
        </w:tc>
        <w:tc>
          <w:tcPr>
            <w:tcW w:w="1190" w:type="pct"/>
            <w:shd w:val="clear" w:color="auto" w:fill="auto"/>
            <w:vAlign w:val="center"/>
          </w:tcPr>
          <w:p w14:paraId="4049A74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交银天利宝</w:t>
            </w:r>
          </w:p>
        </w:tc>
        <w:tc>
          <w:tcPr>
            <w:tcW w:w="952" w:type="pct"/>
            <w:shd w:val="clear" w:color="auto" w:fill="auto"/>
            <w:vAlign w:val="center"/>
          </w:tcPr>
          <w:p w14:paraId="64A2BD8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A类002889</w:t>
            </w:r>
          </w:p>
          <w:p w14:paraId="524EF954"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E类002890</w:t>
            </w:r>
          </w:p>
        </w:tc>
      </w:tr>
      <w:tr w:rsidR="005A582E" w14:paraId="15E91184" w14:textId="77777777">
        <w:trPr>
          <w:trHeight w:val="570"/>
          <w:jc w:val="center"/>
        </w:trPr>
        <w:tc>
          <w:tcPr>
            <w:tcW w:w="416" w:type="pct"/>
            <w:shd w:val="clear" w:color="auto" w:fill="auto"/>
            <w:noWrap/>
            <w:vAlign w:val="center"/>
          </w:tcPr>
          <w:p w14:paraId="71A5E50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53</w:t>
            </w:r>
          </w:p>
        </w:tc>
        <w:tc>
          <w:tcPr>
            <w:tcW w:w="2442" w:type="pct"/>
            <w:shd w:val="clear" w:color="auto" w:fill="auto"/>
            <w:vAlign w:val="center"/>
          </w:tcPr>
          <w:p w14:paraId="044F76A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交银施罗德经济新动力混合型证券投资基金</w:t>
            </w:r>
          </w:p>
        </w:tc>
        <w:tc>
          <w:tcPr>
            <w:tcW w:w="1190" w:type="pct"/>
            <w:shd w:val="clear" w:color="auto" w:fill="auto"/>
            <w:vAlign w:val="center"/>
          </w:tcPr>
          <w:p w14:paraId="778811D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交银经济新动力</w:t>
            </w:r>
          </w:p>
        </w:tc>
        <w:tc>
          <w:tcPr>
            <w:tcW w:w="952" w:type="pct"/>
            <w:shd w:val="clear" w:color="auto" w:fill="auto"/>
            <w:vAlign w:val="center"/>
          </w:tcPr>
          <w:p w14:paraId="3A20C31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519778</w:t>
            </w:r>
          </w:p>
        </w:tc>
      </w:tr>
      <w:tr w:rsidR="005A582E" w14:paraId="6608F3AD" w14:textId="77777777">
        <w:trPr>
          <w:trHeight w:val="630"/>
          <w:jc w:val="center"/>
        </w:trPr>
        <w:tc>
          <w:tcPr>
            <w:tcW w:w="416" w:type="pct"/>
            <w:shd w:val="clear" w:color="auto" w:fill="auto"/>
            <w:noWrap/>
            <w:vAlign w:val="center"/>
          </w:tcPr>
          <w:p w14:paraId="2951A55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54</w:t>
            </w:r>
          </w:p>
        </w:tc>
        <w:tc>
          <w:tcPr>
            <w:tcW w:w="2442" w:type="pct"/>
            <w:shd w:val="clear" w:color="auto" w:fill="auto"/>
            <w:vAlign w:val="center"/>
          </w:tcPr>
          <w:p w14:paraId="3C417AF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交银施罗德裕盈纯债债券型证券投资基金</w:t>
            </w:r>
          </w:p>
        </w:tc>
        <w:tc>
          <w:tcPr>
            <w:tcW w:w="1190" w:type="pct"/>
            <w:shd w:val="clear" w:color="auto" w:fill="auto"/>
            <w:vAlign w:val="center"/>
          </w:tcPr>
          <w:p w14:paraId="37160BB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交银裕盈</w:t>
            </w:r>
          </w:p>
        </w:tc>
        <w:tc>
          <w:tcPr>
            <w:tcW w:w="952" w:type="pct"/>
            <w:shd w:val="clear" w:color="auto" w:fill="auto"/>
            <w:vAlign w:val="center"/>
          </w:tcPr>
          <w:p w14:paraId="63CC9D6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A类519776</w:t>
            </w:r>
          </w:p>
          <w:p w14:paraId="3BC09460"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C类519777</w:t>
            </w:r>
          </w:p>
        </w:tc>
      </w:tr>
      <w:tr w:rsidR="005A582E" w14:paraId="2FD054EB" w14:textId="77777777">
        <w:trPr>
          <w:trHeight w:val="570"/>
          <w:jc w:val="center"/>
        </w:trPr>
        <w:tc>
          <w:tcPr>
            <w:tcW w:w="416" w:type="pct"/>
            <w:shd w:val="clear" w:color="auto" w:fill="auto"/>
            <w:noWrap/>
            <w:vAlign w:val="center"/>
          </w:tcPr>
          <w:p w14:paraId="007914A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55</w:t>
            </w:r>
          </w:p>
        </w:tc>
        <w:tc>
          <w:tcPr>
            <w:tcW w:w="2442" w:type="pct"/>
            <w:shd w:val="clear" w:color="auto" w:fill="auto"/>
            <w:vAlign w:val="center"/>
          </w:tcPr>
          <w:p w14:paraId="401A3E9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交银施罗德沪港深价值精选灵活配置混合型证券投资基金</w:t>
            </w:r>
          </w:p>
        </w:tc>
        <w:tc>
          <w:tcPr>
            <w:tcW w:w="1190" w:type="pct"/>
            <w:shd w:val="clear" w:color="auto" w:fill="auto"/>
            <w:vAlign w:val="center"/>
          </w:tcPr>
          <w:p w14:paraId="49DFB3E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交银沪港深价值精选</w:t>
            </w:r>
          </w:p>
        </w:tc>
        <w:tc>
          <w:tcPr>
            <w:tcW w:w="952" w:type="pct"/>
            <w:shd w:val="clear" w:color="auto" w:fill="auto"/>
            <w:vAlign w:val="center"/>
          </w:tcPr>
          <w:p w14:paraId="26052E5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519779</w:t>
            </w:r>
          </w:p>
        </w:tc>
      </w:tr>
      <w:tr w:rsidR="005A582E" w14:paraId="6A2AA375" w14:textId="77777777">
        <w:trPr>
          <w:trHeight w:val="570"/>
          <w:jc w:val="center"/>
        </w:trPr>
        <w:tc>
          <w:tcPr>
            <w:tcW w:w="416" w:type="pct"/>
            <w:shd w:val="clear" w:color="auto" w:fill="auto"/>
            <w:noWrap/>
            <w:vAlign w:val="center"/>
          </w:tcPr>
          <w:p w14:paraId="6656788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56</w:t>
            </w:r>
          </w:p>
        </w:tc>
        <w:tc>
          <w:tcPr>
            <w:tcW w:w="2442" w:type="pct"/>
            <w:shd w:val="clear" w:color="auto" w:fill="auto"/>
            <w:vAlign w:val="center"/>
          </w:tcPr>
          <w:p w14:paraId="1E5A1BD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交银施罗德新生活力灵活配置混合型证券投资基金</w:t>
            </w:r>
          </w:p>
        </w:tc>
        <w:tc>
          <w:tcPr>
            <w:tcW w:w="1190" w:type="pct"/>
            <w:shd w:val="clear" w:color="auto" w:fill="auto"/>
            <w:vAlign w:val="center"/>
          </w:tcPr>
          <w:p w14:paraId="01EA262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交银新生活力</w:t>
            </w:r>
          </w:p>
        </w:tc>
        <w:tc>
          <w:tcPr>
            <w:tcW w:w="952" w:type="pct"/>
            <w:shd w:val="clear" w:color="auto" w:fill="auto"/>
            <w:vAlign w:val="center"/>
          </w:tcPr>
          <w:p w14:paraId="0EC6580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519772</w:t>
            </w:r>
          </w:p>
        </w:tc>
      </w:tr>
      <w:tr w:rsidR="005A582E" w14:paraId="3B048613" w14:textId="77777777">
        <w:trPr>
          <w:trHeight w:val="630"/>
          <w:jc w:val="center"/>
        </w:trPr>
        <w:tc>
          <w:tcPr>
            <w:tcW w:w="416" w:type="pct"/>
            <w:shd w:val="clear" w:color="auto" w:fill="auto"/>
            <w:noWrap/>
            <w:vAlign w:val="center"/>
          </w:tcPr>
          <w:p w14:paraId="00CDBDD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57</w:t>
            </w:r>
          </w:p>
        </w:tc>
        <w:tc>
          <w:tcPr>
            <w:tcW w:w="2442" w:type="pct"/>
            <w:shd w:val="clear" w:color="auto" w:fill="auto"/>
            <w:vAlign w:val="center"/>
          </w:tcPr>
          <w:p w14:paraId="6FF877A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交银施罗德裕利纯债债券型证券投资基金</w:t>
            </w:r>
          </w:p>
        </w:tc>
        <w:tc>
          <w:tcPr>
            <w:tcW w:w="1190" w:type="pct"/>
            <w:shd w:val="clear" w:color="auto" w:fill="auto"/>
            <w:vAlign w:val="center"/>
          </w:tcPr>
          <w:p w14:paraId="2A135BB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交银裕利</w:t>
            </w:r>
          </w:p>
        </w:tc>
        <w:tc>
          <w:tcPr>
            <w:tcW w:w="952" w:type="pct"/>
            <w:shd w:val="clear" w:color="auto" w:fill="auto"/>
            <w:vAlign w:val="center"/>
          </w:tcPr>
          <w:p w14:paraId="43B2989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A类519786</w:t>
            </w:r>
          </w:p>
          <w:p w14:paraId="35954854"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C类519787</w:t>
            </w:r>
          </w:p>
        </w:tc>
      </w:tr>
      <w:tr w:rsidR="005A582E" w14:paraId="068FB373" w14:textId="77777777">
        <w:trPr>
          <w:trHeight w:val="640"/>
          <w:jc w:val="center"/>
        </w:trPr>
        <w:tc>
          <w:tcPr>
            <w:tcW w:w="416" w:type="pct"/>
            <w:shd w:val="clear" w:color="auto" w:fill="auto"/>
            <w:noWrap/>
            <w:vAlign w:val="center"/>
          </w:tcPr>
          <w:p w14:paraId="37984C4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58</w:t>
            </w:r>
          </w:p>
        </w:tc>
        <w:tc>
          <w:tcPr>
            <w:tcW w:w="2442" w:type="pct"/>
            <w:shd w:val="clear" w:color="auto" w:fill="auto"/>
            <w:vAlign w:val="center"/>
          </w:tcPr>
          <w:p w14:paraId="68B36E0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交银施罗德裕隆纯债债券型证券投资基金</w:t>
            </w:r>
          </w:p>
        </w:tc>
        <w:tc>
          <w:tcPr>
            <w:tcW w:w="1190" w:type="pct"/>
            <w:shd w:val="clear" w:color="auto" w:fill="auto"/>
            <w:vAlign w:val="center"/>
          </w:tcPr>
          <w:p w14:paraId="468FDBE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交银裕隆</w:t>
            </w:r>
          </w:p>
        </w:tc>
        <w:tc>
          <w:tcPr>
            <w:tcW w:w="952" w:type="pct"/>
            <w:shd w:val="clear" w:color="auto" w:fill="auto"/>
            <w:vAlign w:val="center"/>
          </w:tcPr>
          <w:p w14:paraId="17F407F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A类519782</w:t>
            </w:r>
          </w:p>
          <w:p w14:paraId="07E21015"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C类519783</w:t>
            </w:r>
          </w:p>
        </w:tc>
      </w:tr>
      <w:tr w:rsidR="005A582E" w14:paraId="41771133" w14:textId="77777777">
        <w:trPr>
          <w:trHeight w:val="640"/>
          <w:jc w:val="center"/>
        </w:trPr>
        <w:tc>
          <w:tcPr>
            <w:tcW w:w="416" w:type="pct"/>
            <w:shd w:val="clear" w:color="auto" w:fill="auto"/>
            <w:noWrap/>
            <w:vAlign w:val="center"/>
          </w:tcPr>
          <w:p w14:paraId="51E3F0A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59</w:t>
            </w:r>
          </w:p>
        </w:tc>
        <w:tc>
          <w:tcPr>
            <w:tcW w:w="2442" w:type="pct"/>
            <w:shd w:val="clear" w:color="auto" w:fill="auto"/>
            <w:vAlign w:val="center"/>
          </w:tcPr>
          <w:p w14:paraId="309356F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交银施罗德天鑫宝货币市场基金</w:t>
            </w:r>
          </w:p>
        </w:tc>
        <w:tc>
          <w:tcPr>
            <w:tcW w:w="1190" w:type="pct"/>
            <w:shd w:val="clear" w:color="auto" w:fill="auto"/>
            <w:vAlign w:val="center"/>
          </w:tcPr>
          <w:p w14:paraId="1F7CDD1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交银天鑫宝</w:t>
            </w:r>
          </w:p>
        </w:tc>
        <w:tc>
          <w:tcPr>
            <w:tcW w:w="952" w:type="pct"/>
            <w:shd w:val="clear" w:color="auto" w:fill="auto"/>
            <w:vAlign w:val="center"/>
          </w:tcPr>
          <w:p w14:paraId="143B53A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A类003482</w:t>
            </w:r>
          </w:p>
          <w:p w14:paraId="43056817"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E类003483</w:t>
            </w:r>
          </w:p>
        </w:tc>
      </w:tr>
      <w:tr w:rsidR="005A582E" w14:paraId="076FEB0A" w14:textId="77777777">
        <w:trPr>
          <w:trHeight w:val="570"/>
          <w:jc w:val="center"/>
        </w:trPr>
        <w:tc>
          <w:tcPr>
            <w:tcW w:w="416" w:type="pct"/>
            <w:shd w:val="clear" w:color="auto" w:fill="auto"/>
            <w:noWrap/>
            <w:vAlign w:val="center"/>
          </w:tcPr>
          <w:p w14:paraId="0FDB990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60</w:t>
            </w:r>
          </w:p>
        </w:tc>
        <w:tc>
          <w:tcPr>
            <w:tcW w:w="2442" w:type="pct"/>
            <w:shd w:val="clear" w:color="auto" w:fill="auto"/>
            <w:vAlign w:val="center"/>
          </w:tcPr>
          <w:p w14:paraId="7689C68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交银施罗德瑞鑫定期开放灵活配置混合型证券投资基金</w:t>
            </w:r>
          </w:p>
        </w:tc>
        <w:tc>
          <w:tcPr>
            <w:tcW w:w="1190" w:type="pct"/>
            <w:shd w:val="clear" w:color="auto" w:fill="auto"/>
            <w:vAlign w:val="center"/>
          </w:tcPr>
          <w:p w14:paraId="1E91287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交银瑞鑫</w:t>
            </w:r>
          </w:p>
        </w:tc>
        <w:tc>
          <w:tcPr>
            <w:tcW w:w="952" w:type="pct"/>
            <w:shd w:val="clear" w:color="auto" w:fill="auto"/>
            <w:vAlign w:val="center"/>
          </w:tcPr>
          <w:p w14:paraId="41CA42C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003900</w:t>
            </w:r>
          </w:p>
        </w:tc>
      </w:tr>
      <w:tr w:rsidR="005A582E" w14:paraId="4F129FE3" w14:textId="77777777">
        <w:trPr>
          <w:trHeight w:val="630"/>
          <w:jc w:val="center"/>
        </w:trPr>
        <w:tc>
          <w:tcPr>
            <w:tcW w:w="416" w:type="pct"/>
            <w:shd w:val="clear" w:color="auto" w:fill="auto"/>
            <w:noWrap/>
            <w:vAlign w:val="center"/>
          </w:tcPr>
          <w:p w14:paraId="6B989AF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w:t>
            </w:r>
          </w:p>
        </w:tc>
        <w:tc>
          <w:tcPr>
            <w:tcW w:w="2442" w:type="pct"/>
            <w:shd w:val="clear" w:color="auto" w:fill="auto"/>
            <w:vAlign w:val="center"/>
          </w:tcPr>
          <w:p w14:paraId="587D3E9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交银施罗德天益宝货币市场基金</w:t>
            </w:r>
          </w:p>
        </w:tc>
        <w:tc>
          <w:tcPr>
            <w:tcW w:w="1190" w:type="pct"/>
            <w:shd w:val="clear" w:color="auto" w:fill="auto"/>
            <w:vAlign w:val="center"/>
          </w:tcPr>
          <w:p w14:paraId="57D6BFF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交银天益宝</w:t>
            </w:r>
          </w:p>
        </w:tc>
        <w:tc>
          <w:tcPr>
            <w:tcW w:w="952" w:type="pct"/>
            <w:shd w:val="clear" w:color="auto" w:fill="auto"/>
            <w:vAlign w:val="center"/>
          </w:tcPr>
          <w:p w14:paraId="648EEE1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A类003968</w:t>
            </w:r>
          </w:p>
          <w:p w14:paraId="5A502119" w14:textId="77777777" w:rsidR="005A582E" w:rsidRDefault="00111516">
            <w:pPr>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E类003969</w:t>
            </w:r>
          </w:p>
        </w:tc>
      </w:tr>
      <w:tr w:rsidR="005A582E" w14:paraId="63D740E9" w14:textId="77777777">
        <w:trPr>
          <w:trHeight w:val="570"/>
          <w:jc w:val="center"/>
        </w:trPr>
        <w:tc>
          <w:tcPr>
            <w:tcW w:w="416" w:type="pct"/>
            <w:shd w:val="clear" w:color="auto" w:fill="auto"/>
            <w:noWrap/>
            <w:vAlign w:val="center"/>
          </w:tcPr>
          <w:p w14:paraId="188C9F3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62</w:t>
            </w:r>
          </w:p>
        </w:tc>
        <w:tc>
          <w:tcPr>
            <w:tcW w:w="2442" w:type="pct"/>
            <w:shd w:val="clear" w:color="auto" w:fill="auto"/>
            <w:vAlign w:val="center"/>
          </w:tcPr>
          <w:p w14:paraId="65C482A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交银施罗德境尚收益债券型证券投资基金</w:t>
            </w:r>
          </w:p>
        </w:tc>
        <w:tc>
          <w:tcPr>
            <w:tcW w:w="1190" w:type="pct"/>
            <w:shd w:val="clear" w:color="auto" w:fill="auto"/>
            <w:vAlign w:val="center"/>
          </w:tcPr>
          <w:p w14:paraId="3ED4342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交银境尚</w:t>
            </w:r>
          </w:p>
        </w:tc>
        <w:tc>
          <w:tcPr>
            <w:tcW w:w="952" w:type="pct"/>
            <w:shd w:val="clear" w:color="auto" w:fill="auto"/>
            <w:vAlign w:val="center"/>
          </w:tcPr>
          <w:p w14:paraId="6DE28C7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类519784</w:t>
            </w:r>
          </w:p>
          <w:p w14:paraId="2732D30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C类519785</w:t>
            </w:r>
          </w:p>
        </w:tc>
      </w:tr>
      <w:tr w:rsidR="005A582E" w14:paraId="7287048F" w14:textId="77777777">
        <w:trPr>
          <w:trHeight w:val="570"/>
          <w:jc w:val="center"/>
        </w:trPr>
        <w:tc>
          <w:tcPr>
            <w:tcW w:w="416" w:type="pct"/>
            <w:shd w:val="clear" w:color="auto" w:fill="auto"/>
            <w:noWrap/>
            <w:vAlign w:val="center"/>
          </w:tcPr>
          <w:p w14:paraId="53E2046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63</w:t>
            </w:r>
          </w:p>
        </w:tc>
        <w:tc>
          <w:tcPr>
            <w:tcW w:w="2442" w:type="pct"/>
            <w:shd w:val="clear" w:color="auto" w:fill="auto"/>
            <w:vAlign w:val="center"/>
          </w:tcPr>
          <w:p w14:paraId="20CFFAD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交银施罗德医药创新股票型证券投资基金</w:t>
            </w:r>
          </w:p>
        </w:tc>
        <w:tc>
          <w:tcPr>
            <w:tcW w:w="1190" w:type="pct"/>
            <w:shd w:val="clear" w:color="auto" w:fill="auto"/>
            <w:vAlign w:val="center"/>
          </w:tcPr>
          <w:p w14:paraId="65D7345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医药创新</w:t>
            </w:r>
          </w:p>
        </w:tc>
        <w:tc>
          <w:tcPr>
            <w:tcW w:w="952" w:type="pct"/>
            <w:shd w:val="clear" w:color="auto" w:fill="auto"/>
            <w:vAlign w:val="center"/>
          </w:tcPr>
          <w:p w14:paraId="0BFFE1D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04075</w:t>
            </w:r>
          </w:p>
        </w:tc>
      </w:tr>
      <w:tr w:rsidR="005A582E" w14:paraId="7BA6540E" w14:textId="77777777">
        <w:trPr>
          <w:trHeight w:val="570"/>
          <w:jc w:val="center"/>
        </w:trPr>
        <w:tc>
          <w:tcPr>
            <w:tcW w:w="416" w:type="pct"/>
            <w:shd w:val="clear" w:color="auto" w:fill="auto"/>
            <w:noWrap/>
            <w:vAlign w:val="center"/>
          </w:tcPr>
          <w:p w14:paraId="40C6E8E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64</w:t>
            </w:r>
          </w:p>
        </w:tc>
        <w:tc>
          <w:tcPr>
            <w:tcW w:w="2442" w:type="pct"/>
            <w:shd w:val="clear" w:color="auto" w:fill="auto"/>
            <w:vAlign w:val="center"/>
          </w:tcPr>
          <w:p w14:paraId="29E1784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交银施罗德增利增强债券型证券投资基金</w:t>
            </w:r>
          </w:p>
        </w:tc>
        <w:tc>
          <w:tcPr>
            <w:tcW w:w="1190" w:type="pct"/>
            <w:shd w:val="clear" w:color="auto" w:fill="auto"/>
            <w:vAlign w:val="center"/>
          </w:tcPr>
          <w:p w14:paraId="49D0028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增利增强</w:t>
            </w:r>
          </w:p>
        </w:tc>
        <w:tc>
          <w:tcPr>
            <w:tcW w:w="952" w:type="pct"/>
            <w:shd w:val="clear" w:color="auto" w:fill="auto"/>
            <w:vAlign w:val="center"/>
          </w:tcPr>
          <w:p w14:paraId="4BFDBA8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类004427</w:t>
            </w:r>
          </w:p>
          <w:p w14:paraId="5FE8A8F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C类004428</w:t>
            </w:r>
          </w:p>
        </w:tc>
      </w:tr>
      <w:tr w:rsidR="005A582E" w14:paraId="4AF228DC" w14:textId="77777777">
        <w:trPr>
          <w:trHeight w:val="570"/>
          <w:jc w:val="center"/>
        </w:trPr>
        <w:tc>
          <w:tcPr>
            <w:tcW w:w="416" w:type="pct"/>
            <w:shd w:val="clear" w:color="auto" w:fill="auto"/>
            <w:noWrap/>
            <w:vAlign w:val="center"/>
          </w:tcPr>
          <w:p w14:paraId="36F39ED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65</w:t>
            </w:r>
          </w:p>
        </w:tc>
        <w:tc>
          <w:tcPr>
            <w:tcW w:w="2442" w:type="pct"/>
            <w:shd w:val="clear" w:color="auto" w:fill="auto"/>
            <w:vAlign w:val="center"/>
          </w:tcPr>
          <w:p w14:paraId="3B224ED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施罗德股息优化</w:t>
            </w:r>
            <w:r>
              <w:rPr>
                <w:rFonts w:asciiTheme="minorEastAsia" w:eastAsiaTheme="minorEastAsia" w:hAnsiTheme="minorEastAsia" w:hint="eastAsia"/>
                <w:color w:val="000000"/>
                <w:kern w:val="0"/>
                <w:sz w:val="24"/>
              </w:rPr>
              <w:t>混合型</w:t>
            </w:r>
            <w:r>
              <w:rPr>
                <w:rFonts w:asciiTheme="minorEastAsia" w:eastAsiaTheme="minorEastAsia" w:hAnsiTheme="minorEastAsia"/>
                <w:color w:val="000000"/>
                <w:kern w:val="0"/>
                <w:sz w:val="24"/>
              </w:rPr>
              <w:t>证券投资基金</w:t>
            </w:r>
          </w:p>
        </w:tc>
        <w:tc>
          <w:tcPr>
            <w:tcW w:w="1190" w:type="pct"/>
            <w:shd w:val="clear" w:color="auto" w:fill="auto"/>
            <w:vAlign w:val="center"/>
          </w:tcPr>
          <w:p w14:paraId="2E375DA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股息优化</w:t>
            </w:r>
          </w:p>
        </w:tc>
        <w:tc>
          <w:tcPr>
            <w:tcW w:w="952" w:type="pct"/>
            <w:shd w:val="clear" w:color="auto" w:fill="auto"/>
            <w:vAlign w:val="center"/>
          </w:tcPr>
          <w:p w14:paraId="1D11B24E"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04868</w:t>
            </w:r>
          </w:p>
        </w:tc>
      </w:tr>
      <w:tr w:rsidR="005A582E" w14:paraId="4D2BD7CB" w14:textId="77777777">
        <w:trPr>
          <w:trHeight w:val="570"/>
          <w:jc w:val="center"/>
        </w:trPr>
        <w:tc>
          <w:tcPr>
            <w:tcW w:w="416" w:type="pct"/>
            <w:shd w:val="clear" w:color="auto" w:fill="auto"/>
            <w:noWrap/>
            <w:vAlign w:val="center"/>
          </w:tcPr>
          <w:p w14:paraId="4716678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66</w:t>
            </w:r>
          </w:p>
        </w:tc>
        <w:tc>
          <w:tcPr>
            <w:tcW w:w="2442" w:type="pct"/>
            <w:shd w:val="clear" w:color="auto" w:fill="auto"/>
            <w:vAlign w:val="center"/>
          </w:tcPr>
          <w:p w14:paraId="418F47B7"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w:t>
            </w:r>
            <w:r>
              <w:rPr>
                <w:rFonts w:asciiTheme="minorEastAsia" w:eastAsiaTheme="minorEastAsia" w:hAnsiTheme="minorEastAsia" w:hint="eastAsia"/>
                <w:color w:val="000000"/>
                <w:kern w:val="0"/>
                <w:sz w:val="24"/>
              </w:rPr>
              <w:t>恒益灵活配置混合型</w:t>
            </w:r>
            <w:r>
              <w:rPr>
                <w:rFonts w:asciiTheme="minorEastAsia" w:eastAsiaTheme="minorEastAsia" w:hAnsiTheme="minorEastAsia"/>
                <w:color w:val="000000"/>
                <w:kern w:val="0"/>
                <w:sz w:val="24"/>
              </w:rPr>
              <w:t>证券投资基金</w:t>
            </w:r>
          </w:p>
        </w:tc>
        <w:tc>
          <w:tcPr>
            <w:tcW w:w="1190" w:type="pct"/>
            <w:shd w:val="clear" w:color="auto" w:fill="auto"/>
            <w:vAlign w:val="center"/>
          </w:tcPr>
          <w:p w14:paraId="30BF19D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恒益</w:t>
            </w:r>
          </w:p>
        </w:tc>
        <w:tc>
          <w:tcPr>
            <w:tcW w:w="952" w:type="pct"/>
            <w:shd w:val="clear" w:color="auto" w:fill="auto"/>
            <w:vAlign w:val="center"/>
          </w:tcPr>
          <w:p w14:paraId="2E4FF9B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04975</w:t>
            </w:r>
          </w:p>
        </w:tc>
      </w:tr>
      <w:tr w:rsidR="005A582E" w14:paraId="07EFE85F" w14:textId="77777777">
        <w:trPr>
          <w:trHeight w:val="570"/>
          <w:jc w:val="center"/>
        </w:trPr>
        <w:tc>
          <w:tcPr>
            <w:tcW w:w="416" w:type="pct"/>
            <w:shd w:val="clear" w:color="auto" w:fill="auto"/>
            <w:noWrap/>
            <w:vAlign w:val="center"/>
          </w:tcPr>
          <w:p w14:paraId="2602595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67</w:t>
            </w:r>
          </w:p>
        </w:tc>
        <w:tc>
          <w:tcPr>
            <w:tcW w:w="2442" w:type="pct"/>
            <w:shd w:val="clear" w:color="auto" w:fill="auto"/>
            <w:vAlign w:val="center"/>
          </w:tcPr>
          <w:p w14:paraId="432958B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w:t>
            </w:r>
            <w:r>
              <w:rPr>
                <w:rFonts w:asciiTheme="minorEastAsia" w:eastAsiaTheme="minorEastAsia" w:hAnsiTheme="minorEastAsia"/>
                <w:color w:val="000000"/>
                <w:kern w:val="0"/>
                <w:sz w:val="24"/>
              </w:rPr>
              <w:t>持续成长主题</w:t>
            </w:r>
            <w:r>
              <w:rPr>
                <w:rFonts w:asciiTheme="minorEastAsia" w:eastAsiaTheme="minorEastAsia" w:hAnsiTheme="minorEastAsia" w:hint="eastAsia"/>
                <w:color w:val="000000"/>
                <w:kern w:val="0"/>
                <w:sz w:val="24"/>
              </w:rPr>
              <w:t>混合型</w:t>
            </w:r>
            <w:r>
              <w:rPr>
                <w:rFonts w:asciiTheme="minorEastAsia" w:eastAsiaTheme="minorEastAsia" w:hAnsiTheme="minorEastAsia"/>
                <w:color w:val="000000"/>
                <w:kern w:val="0"/>
                <w:sz w:val="24"/>
              </w:rPr>
              <w:t>证券投资基金</w:t>
            </w:r>
          </w:p>
        </w:tc>
        <w:tc>
          <w:tcPr>
            <w:tcW w:w="1190" w:type="pct"/>
            <w:shd w:val="clear" w:color="auto" w:fill="auto"/>
            <w:vAlign w:val="center"/>
          </w:tcPr>
          <w:p w14:paraId="243D014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持续成长</w:t>
            </w:r>
          </w:p>
        </w:tc>
        <w:tc>
          <w:tcPr>
            <w:tcW w:w="952" w:type="pct"/>
            <w:shd w:val="clear" w:color="auto" w:fill="auto"/>
            <w:vAlign w:val="center"/>
          </w:tcPr>
          <w:p w14:paraId="5365EAD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05001</w:t>
            </w:r>
          </w:p>
        </w:tc>
      </w:tr>
      <w:tr w:rsidR="005A582E" w14:paraId="0D4A13CE" w14:textId="77777777">
        <w:trPr>
          <w:trHeight w:val="570"/>
          <w:jc w:val="center"/>
        </w:trPr>
        <w:tc>
          <w:tcPr>
            <w:tcW w:w="416" w:type="pct"/>
            <w:shd w:val="clear" w:color="auto" w:fill="auto"/>
            <w:noWrap/>
            <w:vAlign w:val="center"/>
          </w:tcPr>
          <w:p w14:paraId="19B22DF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lastRenderedPageBreak/>
              <w:t>68</w:t>
            </w:r>
          </w:p>
        </w:tc>
        <w:tc>
          <w:tcPr>
            <w:tcW w:w="2442" w:type="pct"/>
            <w:shd w:val="clear" w:color="auto" w:fill="auto"/>
            <w:vAlign w:val="center"/>
          </w:tcPr>
          <w:p w14:paraId="639987E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施罗德品质升级混合型证券投资基金</w:t>
            </w:r>
          </w:p>
        </w:tc>
        <w:tc>
          <w:tcPr>
            <w:tcW w:w="1190" w:type="pct"/>
            <w:shd w:val="clear" w:color="auto" w:fill="auto"/>
            <w:vAlign w:val="center"/>
          </w:tcPr>
          <w:p w14:paraId="13FFDE2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品质升级</w:t>
            </w:r>
          </w:p>
        </w:tc>
        <w:tc>
          <w:tcPr>
            <w:tcW w:w="952" w:type="pct"/>
            <w:shd w:val="clear" w:color="auto" w:fill="auto"/>
            <w:vAlign w:val="center"/>
          </w:tcPr>
          <w:p w14:paraId="59FB005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05004</w:t>
            </w:r>
          </w:p>
        </w:tc>
      </w:tr>
      <w:tr w:rsidR="005A582E" w14:paraId="298521FD" w14:textId="77777777">
        <w:trPr>
          <w:trHeight w:val="570"/>
          <w:jc w:val="center"/>
        </w:trPr>
        <w:tc>
          <w:tcPr>
            <w:tcW w:w="416" w:type="pct"/>
            <w:shd w:val="clear" w:color="auto" w:fill="auto"/>
            <w:noWrap/>
            <w:vAlign w:val="center"/>
          </w:tcPr>
          <w:p w14:paraId="6DE690C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69</w:t>
            </w:r>
          </w:p>
        </w:tc>
        <w:tc>
          <w:tcPr>
            <w:tcW w:w="2442" w:type="pct"/>
            <w:shd w:val="clear" w:color="auto" w:fill="auto"/>
          </w:tcPr>
          <w:p w14:paraId="414C7B4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交银施罗德丰晟收益债券型证券投资基金</w:t>
            </w:r>
          </w:p>
        </w:tc>
        <w:tc>
          <w:tcPr>
            <w:tcW w:w="1190" w:type="pct"/>
            <w:shd w:val="clear" w:color="auto" w:fill="auto"/>
            <w:vAlign w:val="center"/>
          </w:tcPr>
          <w:p w14:paraId="2E21548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丰晟</w:t>
            </w:r>
          </w:p>
        </w:tc>
        <w:tc>
          <w:tcPr>
            <w:tcW w:w="952" w:type="pct"/>
            <w:shd w:val="clear" w:color="auto" w:fill="auto"/>
            <w:vAlign w:val="center"/>
          </w:tcPr>
          <w:p w14:paraId="4FB5098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类005577</w:t>
            </w:r>
          </w:p>
          <w:p w14:paraId="6F3A456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C类005578</w:t>
            </w:r>
          </w:p>
        </w:tc>
      </w:tr>
      <w:tr w:rsidR="005A582E" w14:paraId="0431651A" w14:textId="77777777">
        <w:trPr>
          <w:trHeight w:val="570"/>
          <w:jc w:val="center"/>
        </w:trPr>
        <w:tc>
          <w:tcPr>
            <w:tcW w:w="416" w:type="pct"/>
            <w:shd w:val="clear" w:color="auto" w:fill="auto"/>
            <w:noWrap/>
            <w:vAlign w:val="center"/>
          </w:tcPr>
          <w:p w14:paraId="7375A8C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70</w:t>
            </w:r>
          </w:p>
        </w:tc>
        <w:tc>
          <w:tcPr>
            <w:tcW w:w="2442" w:type="pct"/>
            <w:shd w:val="clear" w:color="auto" w:fill="auto"/>
          </w:tcPr>
          <w:p w14:paraId="03D880C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交银施罗德裕如纯债债券型证券投资基金</w:t>
            </w:r>
          </w:p>
        </w:tc>
        <w:tc>
          <w:tcPr>
            <w:tcW w:w="1190" w:type="pct"/>
            <w:shd w:val="clear" w:color="auto" w:fill="auto"/>
            <w:vAlign w:val="center"/>
          </w:tcPr>
          <w:p w14:paraId="23D246C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交银裕如</w:t>
            </w:r>
          </w:p>
        </w:tc>
        <w:tc>
          <w:tcPr>
            <w:tcW w:w="952" w:type="pct"/>
            <w:shd w:val="clear" w:color="auto" w:fill="auto"/>
            <w:vAlign w:val="center"/>
          </w:tcPr>
          <w:p w14:paraId="54F17E3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类005972</w:t>
            </w:r>
          </w:p>
          <w:p w14:paraId="4F83892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C类005973</w:t>
            </w:r>
          </w:p>
        </w:tc>
      </w:tr>
      <w:tr w:rsidR="005A582E" w14:paraId="4F9C82EE" w14:textId="77777777">
        <w:trPr>
          <w:trHeight w:val="570"/>
          <w:jc w:val="center"/>
        </w:trPr>
        <w:tc>
          <w:tcPr>
            <w:tcW w:w="416" w:type="pct"/>
            <w:shd w:val="clear" w:color="auto" w:fill="auto"/>
            <w:noWrap/>
            <w:vAlign w:val="center"/>
          </w:tcPr>
          <w:p w14:paraId="7600584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1</w:t>
            </w:r>
          </w:p>
        </w:tc>
        <w:tc>
          <w:tcPr>
            <w:tcW w:w="2442" w:type="pct"/>
            <w:shd w:val="clear" w:color="auto" w:fill="auto"/>
          </w:tcPr>
          <w:p w14:paraId="06489B9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交银施罗德裕祥纯债债券型证券投资基金</w:t>
            </w:r>
          </w:p>
        </w:tc>
        <w:tc>
          <w:tcPr>
            <w:tcW w:w="1190" w:type="pct"/>
            <w:shd w:val="clear" w:color="auto" w:fill="auto"/>
            <w:vAlign w:val="center"/>
          </w:tcPr>
          <w:p w14:paraId="2A853E5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裕祥</w:t>
            </w:r>
          </w:p>
        </w:tc>
        <w:tc>
          <w:tcPr>
            <w:tcW w:w="952" w:type="pct"/>
            <w:shd w:val="clear" w:color="auto" w:fill="auto"/>
            <w:vAlign w:val="center"/>
          </w:tcPr>
          <w:p w14:paraId="54B4F3E2"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类006367</w:t>
            </w:r>
          </w:p>
          <w:p w14:paraId="3CFCF70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C类006368</w:t>
            </w:r>
          </w:p>
        </w:tc>
      </w:tr>
      <w:tr w:rsidR="005A582E" w14:paraId="38492D69" w14:textId="77777777">
        <w:trPr>
          <w:trHeight w:val="570"/>
          <w:jc w:val="center"/>
        </w:trPr>
        <w:tc>
          <w:tcPr>
            <w:tcW w:w="416" w:type="pct"/>
            <w:shd w:val="clear" w:color="auto" w:fill="auto"/>
            <w:noWrap/>
            <w:vAlign w:val="center"/>
          </w:tcPr>
          <w:p w14:paraId="4257CCB0"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2</w:t>
            </w:r>
          </w:p>
        </w:tc>
        <w:tc>
          <w:tcPr>
            <w:tcW w:w="2442" w:type="pct"/>
            <w:shd w:val="clear" w:color="auto" w:fill="auto"/>
          </w:tcPr>
          <w:p w14:paraId="3D5448D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交银施罗德创新成长混合型证券投资基金</w:t>
            </w:r>
          </w:p>
        </w:tc>
        <w:tc>
          <w:tcPr>
            <w:tcW w:w="1190" w:type="pct"/>
            <w:shd w:val="clear" w:color="auto" w:fill="auto"/>
            <w:vAlign w:val="center"/>
          </w:tcPr>
          <w:p w14:paraId="657A3B5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创新成长</w:t>
            </w:r>
          </w:p>
        </w:tc>
        <w:tc>
          <w:tcPr>
            <w:tcW w:w="952" w:type="pct"/>
            <w:shd w:val="clear" w:color="auto" w:fill="auto"/>
            <w:vAlign w:val="center"/>
          </w:tcPr>
          <w:p w14:paraId="1D43420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06223</w:t>
            </w:r>
          </w:p>
        </w:tc>
      </w:tr>
      <w:tr w:rsidR="005A582E" w14:paraId="1CDC538E" w14:textId="77777777">
        <w:trPr>
          <w:trHeight w:val="570"/>
          <w:jc w:val="center"/>
        </w:trPr>
        <w:tc>
          <w:tcPr>
            <w:tcW w:w="416" w:type="pct"/>
            <w:shd w:val="clear" w:color="auto" w:fill="auto"/>
            <w:noWrap/>
            <w:vAlign w:val="center"/>
          </w:tcPr>
          <w:p w14:paraId="6A5FDC5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3</w:t>
            </w:r>
          </w:p>
        </w:tc>
        <w:tc>
          <w:tcPr>
            <w:tcW w:w="2442" w:type="pct"/>
            <w:shd w:val="clear" w:color="auto" w:fill="auto"/>
          </w:tcPr>
          <w:p w14:paraId="7A944B6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施罗德核心资产混合型证券投资基金</w:t>
            </w:r>
          </w:p>
        </w:tc>
        <w:tc>
          <w:tcPr>
            <w:tcW w:w="1190" w:type="pct"/>
            <w:shd w:val="clear" w:color="auto" w:fill="auto"/>
            <w:vAlign w:val="center"/>
          </w:tcPr>
          <w:p w14:paraId="261E3DF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核心资产</w:t>
            </w:r>
          </w:p>
        </w:tc>
        <w:tc>
          <w:tcPr>
            <w:tcW w:w="952" w:type="pct"/>
            <w:shd w:val="clear" w:color="auto" w:fill="auto"/>
            <w:vAlign w:val="center"/>
          </w:tcPr>
          <w:p w14:paraId="713BC40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06202</w:t>
            </w:r>
          </w:p>
        </w:tc>
      </w:tr>
      <w:tr w:rsidR="005A582E" w14:paraId="0750777C" w14:textId="77777777">
        <w:trPr>
          <w:trHeight w:val="570"/>
          <w:jc w:val="center"/>
        </w:trPr>
        <w:tc>
          <w:tcPr>
            <w:tcW w:w="416" w:type="pct"/>
            <w:shd w:val="clear" w:color="auto" w:fill="auto"/>
            <w:noWrap/>
            <w:vAlign w:val="center"/>
          </w:tcPr>
          <w:p w14:paraId="4B7E30B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4</w:t>
            </w:r>
          </w:p>
        </w:tc>
        <w:tc>
          <w:tcPr>
            <w:tcW w:w="2442" w:type="pct"/>
            <w:shd w:val="clear" w:color="auto" w:fill="auto"/>
          </w:tcPr>
          <w:p w14:paraId="4320F82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交银施罗德稳鑫短债债券型证券投资基金</w:t>
            </w:r>
          </w:p>
        </w:tc>
        <w:tc>
          <w:tcPr>
            <w:tcW w:w="1190" w:type="pct"/>
            <w:shd w:val="clear" w:color="auto" w:fill="auto"/>
            <w:vAlign w:val="center"/>
          </w:tcPr>
          <w:p w14:paraId="62DC2E0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交银稳鑫短债</w:t>
            </w:r>
          </w:p>
        </w:tc>
        <w:tc>
          <w:tcPr>
            <w:tcW w:w="952" w:type="pct"/>
            <w:shd w:val="clear" w:color="auto" w:fill="auto"/>
            <w:vAlign w:val="center"/>
          </w:tcPr>
          <w:p w14:paraId="33DDCDA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类006793</w:t>
            </w:r>
          </w:p>
          <w:p w14:paraId="5F27721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C类006794</w:t>
            </w:r>
          </w:p>
        </w:tc>
      </w:tr>
      <w:tr w:rsidR="005A582E" w14:paraId="0BDF31ED" w14:textId="77777777">
        <w:trPr>
          <w:trHeight w:val="570"/>
          <w:jc w:val="center"/>
        </w:trPr>
        <w:tc>
          <w:tcPr>
            <w:tcW w:w="416" w:type="pct"/>
            <w:shd w:val="clear" w:color="auto" w:fill="auto"/>
            <w:noWrap/>
            <w:vAlign w:val="center"/>
          </w:tcPr>
          <w:p w14:paraId="35047A1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5</w:t>
            </w:r>
          </w:p>
        </w:tc>
        <w:tc>
          <w:tcPr>
            <w:tcW w:w="2442" w:type="pct"/>
            <w:shd w:val="clear" w:color="auto" w:fill="auto"/>
          </w:tcPr>
          <w:p w14:paraId="07CC4DA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交银施罗德中债1-3年农发行债券指数证券投资基金</w:t>
            </w:r>
          </w:p>
        </w:tc>
        <w:tc>
          <w:tcPr>
            <w:tcW w:w="1190" w:type="pct"/>
            <w:shd w:val="clear" w:color="auto" w:fill="auto"/>
            <w:vAlign w:val="center"/>
          </w:tcPr>
          <w:p w14:paraId="43CBA0D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交银农发债指数</w:t>
            </w:r>
          </w:p>
        </w:tc>
        <w:tc>
          <w:tcPr>
            <w:tcW w:w="952" w:type="pct"/>
            <w:shd w:val="clear" w:color="auto" w:fill="auto"/>
            <w:vAlign w:val="center"/>
          </w:tcPr>
          <w:p w14:paraId="75E703A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类006745</w:t>
            </w:r>
          </w:p>
          <w:p w14:paraId="3A84989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C类006746</w:t>
            </w:r>
          </w:p>
        </w:tc>
      </w:tr>
      <w:tr w:rsidR="005A582E" w14:paraId="4305E2EE" w14:textId="77777777">
        <w:trPr>
          <w:trHeight w:val="570"/>
          <w:jc w:val="center"/>
        </w:trPr>
        <w:tc>
          <w:tcPr>
            <w:tcW w:w="416" w:type="pct"/>
            <w:shd w:val="clear" w:color="auto" w:fill="auto"/>
            <w:noWrap/>
            <w:vAlign w:val="center"/>
          </w:tcPr>
          <w:p w14:paraId="0C8B0CB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6</w:t>
            </w:r>
          </w:p>
        </w:tc>
        <w:tc>
          <w:tcPr>
            <w:tcW w:w="2442" w:type="pct"/>
            <w:shd w:val="clear" w:color="auto" w:fill="auto"/>
          </w:tcPr>
          <w:p w14:paraId="4D749EF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交银施罗德安享稳健养老目标一年持有期混合型基金中基金（FOF）</w:t>
            </w:r>
          </w:p>
        </w:tc>
        <w:tc>
          <w:tcPr>
            <w:tcW w:w="1190" w:type="pct"/>
            <w:shd w:val="clear" w:color="auto" w:fill="auto"/>
            <w:vAlign w:val="center"/>
          </w:tcPr>
          <w:p w14:paraId="0E03C161"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交银安享稳健（FOF）</w:t>
            </w:r>
          </w:p>
        </w:tc>
        <w:tc>
          <w:tcPr>
            <w:tcW w:w="952" w:type="pct"/>
            <w:shd w:val="clear" w:color="auto" w:fill="auto"/>
            <w:vAlign w:val="center"/>
          </w:tcPr>
          <w:p w14:paraId="411E5093" w14:textId="77777777" w:rsidR="005A582E" w:rsidRDefault="00111516">
            <w:pPr>
              <w:widowControl/>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006880</w:t>
            </w:r>
          </w:p>
        </w:tc>
      </w:tr>
      <w:tr w:rsidR="005A582E" w14:paraId="742499CC" w14:textId="77777777">
        <w:trPr>
          <w:trHeight w:val="570"/>
          <w:jc w:val="center"/>
        </w:trPr>
        <w:tc>
          <w:tcPr>
            <w:tcW w:w="416" w:type="pct"/>
            <w:shd w:val="clear" w:color="auto" w:fill="auto"/>
            <w:noWrap/>
            <w:vAlign w:val="center"/>
          </w:tcPr>
          <w:p w14:paraId="53DFA1E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w:t>
            </w:r>
            <w:r>
              <w:rPr>
                <w:rFonts w:asciiTheme="minorEastAsia" w:eastAsiaTheme="minorEastAsia" w:hAnsiTheme="minorEastAsia"/>
                <w:color w:val="000000"/>
                <w:kern w:val="0"/>
                <w:sz w:val="24"/>
              </w:rPr>
              <w:t>7</w:t>
            </w:r>
          </w:p>
        </w:tc>
        <w:tc>
          <w:tcPr>
            <w:tcW w:w="2442" w:type="pct"/>
            <w:shd w:val="clear" w:color="auto" w:fill="auto"/>
          </w:tcPr>
          <w:p w14:paraId="4552BB7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施罗德可转债债券型证券投资基金</w:t>
            </w:r>
          </w:p>
        </w:tc>
        <w:tc>
          <w:tcPr>
            <w:tcW w:w="1190" w:type="pct"/>
            <w:shd w:val="clear" w:color="auto" w:fill="auto"/>
            <w:vAlign w:val="center"/>
          </w:tcPr>
          <w:p w14:paraId="11ED8B1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可转债</w:t>
            </w:r>
          </w:p>
        </w:tc>
        <w:tc>
          <w:tcPr>
            <w:tcW w:w="952" w:type="pct"/>
            <w:shd w:val="clear" w:color="auto" w:fill="auto"/>
            <w:vAlign w:val="center"/>
          </w:tcPr>
          <w:p w14:paraId="60FD84D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类007316</w:t>
            </w:r>
          </w:p>
          <w:p w14:paraId="78DDE84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C类007317</w:t>
            </w:r>
          </w:p>
        </w:tc>
      </w:tr>
      <w:tr w:rsidR="005A582E" w14:paraId="7984FEA7" w14:textId="77777777">
        <w:trPr>
          <w:trHeight w:val="570"/>
          <w:jc w:val="center"/>
        </w:trPr>
        <w:tc>
          <w:tcPr>
            <w:tcW w:w="416" w:type="pct"/>
            <w:shd w:val="clear" w:color="auto" w:fill="auto"/>
            <w:noWrap/>
            <w:vAlign w:val="center"/>
          </w:tcPr>
          <w:p w14:paraId="3B2D155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78</w:t>
            </w:r>
          </w:p>
        </w:tc>
        <w:tc>
          <w:tcPr>
            <w:tcW w:w="2442" w:type="pct"/>
            <w:shd w:val="clear" w:color="auto" w:fill="auto"/>
          </w:tcPr>
          <w:p w14:paraId="4B9818D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施罗德瑞丰</w:t>
            </w:r>
            <w:r>
              <w:rPr>
                <w:rFonts w:asciiTheme="minorEastAsia" w:eastAsiaTheme="minorEastAsia" w:hAnsiTheme="minorEastAsia" w:hint="eastAsia"/>
                <w:color w:val="000000"/>
                <w:kern w:val="0"/>
                <w:sz w:val="24"/>
              </w:rPr>
              <w:t>三年</w:t>
            </w:r>
            <w:r>
              <w:rPr>
                <w:rFonts w:asciiTheme="minorEastAsia" w:eastAsiaTheme="minorEastAsia" w:hAnsiTheme="minorEastAsia"/>
                <w:color w:val="000000"/>
                <w:kern w:val="0"/>
                <w:sz w:val="24"/>
              </w:rPr>
              <w:t>封闭运作混合型证券投资基金</w:t>
            </w:r>
          </w:p>
        </w:tc>
        <w:tc>
          <w:tcPr>
            <w:tcW w:w="1190" w:type="pct"/>
            <w:shd w:val="clear" w:color="auto" w:fill="auto"/>
            <w:vAlign w:val="center"/>
          </w:tcPr>
          <w:p w14:paraId="24FE14C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瑞丰</w:t>
            </w:r>
          </w:p>
        </w:tc>
        <w:tc>
          <w:tcPr>
            <w:tcW w:w="952" w:type="pct"/>
            <w:shd w:val="clear" w:color="auto" w:fill="auto"/>
            <w:vAlign w:val="center"/>
          </w:tcPr>
          <w:p w14:paraId="4270B96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5</w:t>
            </w:r>
            <w:r>
              <w:rPr>
                <w:rFonts w:asciiTheme="minorEastAsia" w:eastAsiaTheme="minorEastAsia" w:hAnsiTheme="minorEastAsia"/>
                <w:color w:val="000000"/>
                <w:kern w:val="0"/>
                <w:sz w:val="24"/>
              </w:rPr>
              <w:t>01087</w:t>
            </w:r>
          </w:p>
        </w:tc>
      </w:tr>
      <w:tr w:rsidR="005A582E" w14:paraId="739EDD4B" w14:textId="77777777">
        <w:trPr>
          <w:trHeight w:val="570"/>
          <w:jc w:val="center"/>
        </w:trPr>
        <w:tc>
          <w:tcPr>
            <w:tcW w:w="416" w:type="pct"/>
            <w:shd w:val="clear" w:color="auto" w:fill="auto"/>
            <w:noWrap/>
            <w:vAlign w:val="center"/>
          </w:tcPr>
          <w:p w14:paraId="7E2A37E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79</w:t>
            </w:r>
          </w:p>
        </w:tc>
        <w:tc>
          <w:tcPr>
            <w:tcW w:w="2442" w:type="pct"/>
            <w:shd w:val="clear" w:color="auto" w:fill="auto"/>
          </w:tcPr>
          <w:p w14:paraId="34AEFCF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施罗德创业板50指数型</w:t>
            </w:r>
            <w:r>
              <w:rPr>
                <w:rFonts w:asciiTheme="minorEastAsia" w:eastAsiaTheme="minorEastAsia" w:hAnsiTheme="minorEastAsia" w:hint="eastAsia"/>
                <w:color w:val="000000"/>
                <w:kern w:val="0"/>
                <w:sz w:val="24"/>
              </w:rPr>
              <w:t>证券</w:t>
            </w:r>
            <w:r>
              <w:rPr>
                <w:rFonts w:asciiTheme="minorEastAsia" w:eastAsiaTheme="minorEastAsia" w:hAnsiTheme="minorEastAsia"/>
                <w:color w:val="000000"/>
                <w:kern w:val="0"/>
                <w:sz w:val="24"/>
              </w:rPr>
              <w:t>投资基金</w:t>
            </w:r>
          </w:p>
        </w:tc>
        <w:tc>
          <w:tcPr>
            <w:tcW w:w="1190" w:type="pct"/>
            <w:shd w:val="clear" w:color="auto" w:fill="auto"/>
            <w:vAlign w:val="center"/>
          </w:tcPr>
          <w:p w14:paraId="382B998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创业板50</w:t>
            </w:r>
          </w:p>
        </w:tc>
        <w:tc>
          <w:tcPr>
            <w:tcW w:w="952" w:type="pct"/>
            <w:shd w:val="clear" w:color="auto" w:fill="auto"/>
            <w:vAlign w:val="center"/>
          </w:tcPr>
          <w:p w14:paraId="7BAD84F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类007464</w:t>
            </w:r>
          </w:p>
          <w:p w14:paraId="4AD1F48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C类007465</w:t>
            </w:r>
          </w:p>
        </w:tc>
      </w:tr>
      <w:tr w:rsidR="005A582E" w14:paraId="74D22925" w14:textId="77777777">
        <w:trPr>
          <w:trHeight w:val="570"/>
          <w:jc w:val="center"/>
        </w:trPr>
        <w:tc>
          <w:tcPr>
            <w:tcW w:w="416" w:type="pct"/>
            <w:shd w:val="clear" w:color="auto" w:fill="auto"/>
            <w:noWrap/>
            <w:vAlign w:val="center"/>
          </w:tcPr>
          <w:p w14:paraId="309C88E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0</w:t>
            </w:r>
          </w:p>
        </w:tc>
        <w:tc>
          <w:tcPr>
            <w:tcW w:w="2442" w:type="pct"/>
            <w:shd w:val="clear" w:color="auto" w:fill="auto"/>
          </w:tcPr>
          <w:p w14:paraId="003D973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施罗德裕泰</w:t>
            </w:r>
            <w:r>
              <w:rPr>
                <w:rFonts w:asciiTheme="minorEastAsia" w:eastAsiaTheme="minorEastAsia" w:hAnsiTheme="minorEastAsia" w:hint="eastAsia"/>
                <w:color w:val="000000"/>
                <w:kern w:val="0"/>
                <w:sz w:val="24"/>
              </w:rPr>
              <w:t>两年</w:t>
            </w:r>
            <w:r>
              <w:rPr>
                <w:rFonts w:asciiTheme="minorEastAsia" w:eastAsiaTheme="minorEastAsia" w:hAnsiTheme="minorEastAsia"/>
                <w:color w:val="000000"/>
                <w:kern w:val="0"/>
                <w:sz w:val="24"/>
              </w:rPr>
              <w:t>定期开放债券型证券投资基金</w:t>
            </w:r>
          </w:p>
        </w:tc>
        <w:tc>
          <w:tcPr>
            <w:tcW w:w="1190" w:type="pct"/>
            <w:shd w:val="clear" w:color="auto" w:fill="auto"/>
            <w:vAlign w:val="center"/>
          </w:tcPr>
          <w:p w14:paraId="55DDAA8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裕泰</w:t>
            </w:r>
            <w:r>
              <w:rPr>
                <w:rFonts w:asciiTheme="minorEastAsia" w:eastAsiaTheme="minorEastAsia" w:hAnsiTheme="minorEastAsia" w:hint="eastAsia"/>
                <w:color w:val="000000"/>
                <w:kern w:val="0"/>
                <w:sz w:val="24"/>
              </w:rPr>
              <w:t>两年</w:t>
            </w:r>
            <w:r>
              <w:rPr>
                <w:rFonts w:asciiTheme="minorEastAsia" w:eastAsiaTheme="minorEastAsia" w:hAnsiTheme="minorEastAsia"/>
                <w:color w:val="000000"/>
                <w:kern w:val="0"/>
                <w:sz w:val="24"/>
              </w:rPr>
              <w:t>定开</w:t>
            </w:r>
          </w:p>
        </w:tc>
        <w:tc>
          <w:tcPr>
            <w:tcW w:w="952" w:type="pct"/>
            <w:shd w:val="clear" w:color="auto" w:fill="auto"/>
            <w:vAlign w:val="center"/>
          </w:tcPr>
          <w:p w14:paraId="33E50A8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08223</w:t>
            </w:r>
          </w:p>
        </w:tc>
      </w:tr>
      <w:tr w:rsidR="005A582E" w14:paraId="4D8FE71A" w14:textId="77777777">
        <w:trPr>
          <w:trHeight w:val="570"/>
          <w:jc w:val="center"/>
        </w:trPr>
        <w:tc>
          <w:tcPr>
            <w:tcW w:w="416" w:type="pct"/>
            <w:shd w:val="clear" w:color="auto" w:fill="auto"/>
            <w:noWrap/>
            <w:vAlign w:val="center"/>
          </w:tcPr>
          <w:p w14:paraId="3D81688D"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1</w:t>
            </w:r>
          </w:p>
        </w:tc>
        <w:tc>
          <w:tcPr>
            <w:tcW w:w="2442" w:type="pct"/>
            <w:shd w:val="clear" w:color="auto" w:fill="auto"/>
          </w:tcPr>
          <w:p w14:paraId="2894C9A8"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w:t>
            </w:r>
            <w:r>
              <w:rPr>
                <w:rFonts w:asciiTheme="minorEastAsia" w:eastAsiaTheme="minorEastAsia" w:hAnsiTheme="minorEastAsia"/>
                <w:color w:val="000000"/>
                <w:kern w:val="0"/>
                <w:sz w:val="24"/>
              </w:rPr>
              <w:t>施罗德稳利</w:t>
            </w:r>
            <w:r>
              <w:rPr>
                <w:rFonts w:asciiTheme="minorEastAsia" w:eastAsiaTheme="minorEastAsia" w:hAnsiTheme="minorEastAsia" w:hint="eastAsia"/>
                <w:color w:val="000000"/>
                <w:kern w:val="0"/>
                <w:sz w:val="24"/>
              </w:rPr>
              <w:t>中短债</w:t>
            </w:r>
            <w:r>
              <w:rPr>
                <w:rFonts w:asciiTheme="minorEastAsia" w:eastAsiaTheme="minorEastAsia" w:hAnsiTheme="minorEastAsia"/>
                <w:color w:val="000000"/>
                <w:kern w:val="0"/>
                <w:sz w:val="24"/>
              </w:rPr>
              <w:t>债券型证券投资基金</w:t>
            </w:r>
          </w:p>
        </w:tc>
        <w:tc>
          <w:tcPr>
            <w:tcW w:w="1190" w:type="pct"/>
            <w:shd w:val="clear" w:color="auto" w:fill="auto"/>
            <w:vAlign w:val="center"/>
          </w:tcPr>
          <w:p w14:paraId="6F09031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交银稳利</w:t>
            </w:r>
          </w:p>
        </w:tc>
        <w:tc>
          <w:tcPr>
            <w:tcW w:w="952" w:type="pct"/>
            <w:shd w:val="clear" w:color="auto" w:fill="auto"/>
            <w:vAlign w:val="center"/>
          </w:tcPr>
          <w:p w14:paraId="47C8EAD1"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类008204</w:t>
            </w:r>
          </w:p>
          <w:p w14:paraId="01E51CD6"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C类008205</w:t>
            </w:r>
          </w:p>
        </w:tc>
      </w:tr>
      <w:tr w:rsidR="005A582E" w14:paraId="536A4BBA" w14:textId="77777777">
        <w:trPr>
          <w:trHeight w:val="570"/>
          <w:jc w:val="center"/>
        </w:trPr>
        <w:tc>
          <w:tcPr>
            <w:tcW w:w="416" w:type="pct"/>
            <w:shd w:val="clear" w:color="auto" w:fill="auto"/>
            <w:noWrap/>
            <w:vAlign w:val="center"/>
          </w:tcPr>
          <w:p w14:paraId="24A1B47B"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2</w:t>
            </w:r>
          </w:p>
        </w:tc>
        <w:tc>
          <w:tcPr>
            <w:tcW w:w="2442" w:type="pct"/>
            <w:shd w:val="clear" w:color="auto" w:fill="auto"/>
          </w:tcPr>
          <w:p w14:paraId="6A95899B"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交银施罗德裕坤纯债一年定期开放债券型发起式证券投资基金</w:t>
            </w:r>
          </w:p>
        </w:tc>
        <w:tc>
          <w:tcPr>
            <w:tcW w:w="1190" w:type="pct"/>
            <w:shd w:val="clear" w:color="auto" w:fill="auto"/>
            <w:vAlign w:val="center"/>
          </w:tcPr>
          <w:p w14:paraId="05CCDE9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交银裕坤一年定开</w:t>
            </w:r>
          </w:p>
        </w:tc>
        <w:tc>
          <w:tcPr>
            <w:tcW w:w="952" w:type="pct"/>
            <w:shd w:val="clear" w:color="auto" w:fill="auto"/>
            <w:vAlign w:val="center"/>
          </w:tcPr>
          <w:p w14:paraId="1F852F0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08352</w:t>
            </w:r>
          </w:p>
        </w:tc>
      </w:tr>
      <w:tr w:rsidR="005A582E" w14:paraId="1B3BE6C8" w14:textId="77777777">
        <w:trPr>
          <w:trHeight w:val="570"/>
          <w:jc w:val="center"/>
        </w:trPr>
        <w:tc>
          <w:tcPr>
            <w:tcW w:w="416" w:type="pct"/>
            <w:shd w:val="clear" w:color="auto" w:fill="auto"/>
            <w:noWrap/>
            <w:vAlign w:val="center"/>
          </w:tcPr>
          <w:p w14:paraId="2FE8082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3</w:t>
            </w:r>
          </w:p>
        </w:tc>
        <w:tc>
          <w:tcPr>
            <w:tcW w:w="2442" w:type="pct"/>
            <w:shd w:val="clear" w:color="auto" w:fill="auto"/>
          </w:tcPr>
          <w:p w14:paraId="738D4AA8" w14:textId="77777777" w:rsidR="005A582E" w:rsidRDefault="00111516">
            <w:pPr>
              <w:widowControl/>
              <w:jc w:val="left"/>
              <w:rPr>
                <w:rFonts w:asciiTheme="minorEastAsia" w:eastAsiaTheme="minorEastAsia" w:hAnsiTheme="minorEastAsia"/>
                <w:color w:val="000000"/>
                <w:kern w:val="0"/>
                <w:sz w:val="24"/>
              </w:rPr>
            </w:pPr>
            <w:r>
              <w:rPr>
                <w:rFonts w:hint="eastAsia"/>
                <w:sz w:val="24"/>
              </w:rPr>
              <w:t>交银施罗德内核驱动混合型证券投资基金</w:t>
            </w:r>
          </w:p>
        </w:tc>
        <w:tc>
          <w:tcPr>
            <w:tcW w:w="1190" w:type="pct"/>
            <w:shd w:val="clear" w:color="auto" w:fill="auto"/>
            <w:vAlign w:val="center"/>
          </w:tcPr>
          <w:p w14:paraId="0E75F95C" w14:textId="77777777" w:rsidR="005A582E" w:rsidRDefault="00111516">
            <w:pPr>
              <w:widowControl/>
              <w:jc w:val="center"/>
              <w:rPr>
                <w:rFonts w:asciiTheme="minorEastAsia" w:eastAsiaTheme="minorEastAsia" w:hAnsiTheme="minorEastAsia"/>
                <w:color w:val="000000"/>
                <w:kern w:val="0"/>
                <w:sz w:val="24"/>
              </w:rPr>
            </w:pPr>
            <w:r>
              <w:rPr>
                <w:rFonts w:hint="eastAsia"/>
                <w:sz w:val="24"/>
              </w:rPr>
              <w:t>交银内核驱动</w:t>
            </w:r>
          </w:p>
        </w:tc>
        <w:tc>
          <w:tcPr>
            <w:tcW w:w="952" w:type="pct"/>
            <w:shd w:val="clear" w:color="auto" w:fill="auto"/>
            <w:vAlign w:val="center"/>
          </w:tcPr>
          <w:p w14:paraId="5EEBE84E" w14:textId="77777777" w:rsidR="005A582E" w:rsidRDefault="00111516">
            <w:pPr>
              <w:widowControl/>
              <w:jc w:val="left"/>
              <w:rPr>
                <w:rFonts w:asciiTheme="minorEastAsia" w:eastAsiaTheme="minorEastAsia" w:hAnsiTheme="minorEastAsia"/>
                <w:color w:val="000000"/>
                <w:kern w:val="0"/>
                <w:sz w:val="24"/>
              </w:rPr>
            </w:pPr>
            <w:r>
              <w:rPr>
                <w:sz w:val="24"/>
              </w:rPr>
              <w:t>008507</w:t>
            </w:r>
          </w:p>
        </w:tc>
      </w:tr>
      <w:tr w:rsidR="005A582E" w14:paraId="0F867417" w14:textId="77777777">
        <w:trPr>
          <w:trHeight w:val="570"/>
          <w:jc w:val="center"/>
        </w:trPr>
        <w:tc>
          <w:tcPr>
            <w:tcW w:w="416" w:type="pct"/>
            <w:shd w:val="clear" w:color="auto" w:fill="auto"/>
            <w:noWrap/>
            <w:vAlign w:val="center"/>
          </w:tcPr>
          <w:p w14:paraId="64115674"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4</w:t>
            </w:r>
          </w:p>
        </w:tc>
        <w:tc>
          <w:tcPr>
            <w:tcW w:w="2442" w:type="pct"/>
            <w:shd w:val="clear" w:color="auto" w:fill="auto"/>
          </w:tcPr>
          <w:p w14:paraId="082E8B24" w14:textId="77777777" w:rsidR="005A582E" w:rsidRDefault="00111516">
            <w:pPr>
              <w:widowControl/>
              <w:jc w:val="left"/>
              <w:rPr>
                <w:sz w:val="24"/>
              </w:rPr>
            </w:pPr>
            <w:r>
              <w:rPr>
                <w:rFonts w:hint="eastAsia"/>
                <w:sz w:val="24"/>
              </w:rPr>
              <w:t>交银施罗德科锐科技创</w:t>
            </w:r>
            <w:r>
              <w:rPr>
                <w:sz w:val="24"/>
              </w:rPr>
              <w:t>新</w:t>
            </w:r>
            <w:r>
              <w:rPr>
                <w:rFonts w:hint="eastAsia"/>
                <w:sz w:val="24"/>
              </w:rPr>
              <w:t>混合型证券投资基金</w:t>
            </w:r>
          </w:p>
        </w:tc>
        <w:tc>
          <w:tcPr>
            <w:tcW w:w="1190" w:type="pct"/>
            <w:shd w:val="clear" w:color="auto" w:fill="auto"/>
            <w:vAlign w:val="center"/>
          </w:tcPr>
          <w:p w14:paraId="7C9CA63D" w14:textId="77777777" w:rsidR="005A582E" w:rsidRDefault="00111516">
            <w:pPr>
              <w:widowControl/>
              <w:jc w:val="center"/>
              <w:rPr>
                <w:sz w:val="24"/>
              </w:rPr>
            </w:pPr>
            <w:r>
              <w:rPr>
                <w:rFonts w:hint="eastAsia"/>
                <w:sz w:val="24"/>
              </w:rPr>
              <w:t>交银</w:t>
            </w:r>
            <w:r>
              <w:rPr>
                <w:sz w:val="24"/>
              </w:rPr>
              <w:t>科锐科技创新</w:t>
            </w:r>
          </w:p>
        </w:tc>
        <w:tc>
          <w:tcPr>
            <w:tcW w:w="952" w:type="pct"/>
            <w:shd w:val="clear" w:color="auto" w:fill="auto"/>
            <w:vAlign w:val="center"/>
          </w:tcPr>
          <w:p w14:paraId="20A25AEA" w14:textId="77777777" w:rsidR="005A582E" w:rsidRDefault="00111516">
            <w:pPr>
              <w:widowControl/>
              <w:jc w:val="left"/>
              <w:rPr>
                <w:sz w:val="24"/>
              </w:rPr>
            </w:pPr>
            <w:r>
              <w:rPr>
                <w:rFonts w:hint="eastAsia"/>
                <w:sz w:val="24"/>
              </w:rPr>
              <w:t>0</w:t>
            </w:r>
            <w:r>
              <w:rPr>
                <w:sz w:val="24"/>
              </w:rPr>
              <w:t>08734</w:t>
            </w:r>
          </w:p>
        </w:tc>
      </w:tr>
      <w:tr w:rsidR="005A582E" w14:paraId="735A58CB" w14:textId="77777777">
        <w:trPr>
          <w:trHeight w:val="570"/>
          <w:jc w:val="center"/>
        </w:trPr>
        <w:tc>
          <w:tcPr>
            <w:tcW w:w="416" w:type="pct"/>
            <w:shd w:val="clear" w:color="auto" w:fill="auto"/>
            <w:noWrap/>
            <w:vAlign w:val="center"/>
          </w:tcPr>
          <w:p w14:paraId="342048DC"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5</w:t>
            </w:r>
          </w:p>
        </w:tc>
        <w:tc>
          <w:tcPr>
            <w:tcW w:w="2442" w:type="pct"/>
            <w:shd w:val="clear" w:color="auto" w:fill="auto"/>
          </w:tcPr>
          <w:p w14:paraId="5597E3BB" w14:textId="77777777" w:rsidR="005A582E" w:rsidRDefault="00111516">
            <w:pPr>
              <w:widowControl/>
              <w:jc w:val="left"/>
              <w:rPr>
                <w:sz w:val="24"/>
              </w:rPr>
            </w:pPr>
            <w:r>
              <w:rPr>
                <w:rFonts w:hint="eastAsia"/>
                <w:sz w:val="24"/>
              </w:rPr>
              <w:t>交银</w:t>
            </w:r>
            <w:r>
              <w:rPr>
                <w:sz w:val="24"/>
              </w:rPr>
              <w:t>施罗德瑞思三年封闭运作</w:t>
            </w:r>
            <w:r>
              <w:rPr>
                <w:rFonts w:hint="eastAsia"/>
                <w:sz w:val="24"/>
              </w:rPr>
              <w:t>混合型</w:t>
            </w:r>
            <w:r>
              <w:rPr>
                <w:sz w:val="24"/>
              </w:rPr>
              <w:t>证券投资基金</w:t>
            </w:r>
          </w:p>
        </w:tc>
        <w:tc>
          <w:tcPr>
            <w:tcW w:w="1190" w:type="pct"/>
            <w:shd w:val="clear" w:color="auto" w:fill="auto"/>
            <w:vAlign w:val="center"/>
          </w:tcPr>
          <w:p w14:paraId="3F086589" w14:textId="77777777" w:rsidR="005A582E" w:rsidRDefault="00111516">
            <w:pPr>
              <w:widowControl/>
              <w:jc w:val="center"/>
              <w:rPr>
                <w:sz w:val="24"/>
              </w:rPr>
            </w:pPr>
            <w:r>
              <w:rPr>
                <w:rFonts w:hint="eastAsia"/>
                <w:sz w:val="24"/>
              </w:rPr>
              <w:t>交银</w:t>
            </w:r>
            <w:r>
              <w:rPr>
                <w:sz w:val="24"/>
              </w:rPr>
              <w:t>瑞思</w:t>
            </w:r>
          </w:p>
        </w:tc>
        <w:tc>
          <w:tcPr>
            <w:tcW w:w="952" w:type="pct"/>
            <w:shd w:val="clear" w:color="auto" w:fill="auto"/>
            <w:vAlign w:val="center"/>
          </w:tcPr>
          <w:p w14:paraId="402C0220" w14:textId="77777777" w:rsidR="005A582E" w:rsidRDefault="00111516">
            <w:pPr>
              <w:widowControl/>
              <w:jc w:val="left"/>
              <w:rPr>
                <w:sz w:val="24"/>
              </w:rPr>
            </w:pPr>
            <w:r>
              <w:rPr>
                <w:rFonts w:hint="eastAsia"/>
                <w:sz w:val="24"/>
              </w:rPr>
              <w:t>5</w:t>
            </w:r>
            <w:r>
              <w:rPr>
                <w:sz w:val="24"/>
              </w:rPr>
              <w:t>01092</w:t>
            </w:r>
          </w:p>
        </w:tc>
      </w:tr>
      <w:tr w:rsidR="005A582E" w14:paraId="66093197" w14:textId="77777777">
        <w:trPr>
          <w:trHeight w:val="570"/>
          <w:jc w:val="center"/>
        </w:trPr>
        <w:tc>
          <w:tcPr>
            <w:tcW w:w="416" w:type="pct"/>
            <w:shd w:val="clear" w:color="auto" w:fill="auto"/>
            <w:noWrap/>
            <w:vAlign w:val="center"/>
          </w:tcPr>
          <w:p w14:paraId="6C0D5569"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6</w:t>
            </w:r>
          </w:p>
        </w:tc>
        <w:tc>
          <w:tcPr>
            <w:tcW w:w="2442" w:type="pct"/>
            <w:shd w:val="clear" w:color="auto" w:fill="auto"/>
          </w:tcPr>
          <w:p w14:paraId="56928C1D" w14:textId="77777777" w:rsidR="005A582E" w:rsidRDefault="00111516">
            <w:pPr>
              <w:widowControl/>
              <w:jc w:val="left"/>
              <w:rPr>
                <w:sz w:val="24"/>
              </w:rPr>
            </w:pPr>
            <w:r>
              <w:rPr>
                <w:rFonts w:hint="eastAsia"/>
                <w:sz w:val="24"/>
              </w:rPr>
              <w:t>交银</w:t>
            </w:r>
            <w:r>
              <w:rPr>
                <w:sz w:val="24"/>
              </w:rPr>
              <w:t>施罗德</w:t>
            </w:r>
            <w:r>
              <w:rPr>
                <w:rFonts w:hint="eastAsia"/>
                <w:sz w:val="24"/>
              </w:rPr>
              <w:t>创新领航混合型</w:t>
            </w:r>
            <w:r>
              <w:rPr>
                <w:sz w:val="24"/>
              </w:rPr>
              <w:t>证券投资基金</w:t>
            </w:r>
          </w:p>
        </w:tc>
        <w:tc>
          <w:tcPr>
            <w:tcW w:w="1190" w:type="pct"/>
            <w:shd w:val="clear" w:color="auto" w:fill="auto"/>
            <w:vAlign w:val="center"/>
          </w:tcPr>
          <w:p w14:paraId="4F160ED3" w14:textId="77777777" w:rsidR="005A582E" w:rsidRDefault="00111516">
            <w:pPr>
              <w:widowControl/>
              <w:jc w:val="center"/>
              <w:rPr>
                <w:sz w:val="24"/>
              </w:rPr>
            </w:pPr>
            <w:r>
              <w:rPr>
                <w:rFonts w:hint="eastAsia"/>
                <w:sz w:val="24"/>
              </w:rPr>
              <w:t>交银</w:t>
            </w:r>
            <w:r>
              <w:rPr>
                <w:sz w:val="24"/>
              </w:rPr>
              <w:t>创新领航</w:t>
            </w:r>
          </w:p>
        </w:tc>
        <w:tc>
          <w:tcPr>
            <w:tcW w:w="952" w:type="pct"/>
            <w:shd w:val="clear" w:color="auto" w:fill="auto"/>
            <w:vAlign w:val="center"/>
          </w:tcPr>
          <w:p w14:paraId="1C4389C6" w14:textId="77777777" w:rsidR="005A582E" w:rsidRDefault="00111516">
            <w:pPr>
              <w:widowControl/>
              <w:jc w:val="left"/>
              <w:rPr>
                <w:sz w:val="24"/>
              </w:rPr>
            </w:pPr>
            <w:r>
              <w:rPr>
                <w:rFonts w:hint="eastAsia"/>
                <w:sz w:val="24"/>
              </w:rPr>
              <w:t>0</w:t>
            </w:r>
            <w:r>
              <w:rPr>
                <w:sz w:val="24"/>
              </w:rPr>
              <w:t>08955</w:t>
            </w:r>
          </w:p>
        </w:tc>
      </w:tr>
      <w:tr w:rsidR="005A582E" w14:paraId="778D08D1" w14:textId="77777777">
        <w:trPr>
          <w:trHeight w:val="570"/>
          <w:jc w:val="center"/>
        </w:trPr>
        <w:tc>
          <w:tcPr>
            <w:tcW w:w="416" w:type="pct"/>
            <w:shd w:val="clear" w:color="auto" w:fill="auto"/>
            <w:noWrap/>
            <w:vAlign w:val="center"/>
          </w:tcPr>
          <w:p w14:paraId="09C064B2"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7</w:t>
            </w:r>
          </w:p>
        </w:tc>
        <w:tc>
          <w:tcPr>
            <w:tcW w:w="2442" w:type="pct"/>
            <w:shd w:val="clear" w:color="auto" w:fill="auto"/>
          </w:tcPr>
          <w:p w14:paraId="34E3B74A" w14:textId="77777777" w:rsidR="005A582E" w:rsidRDefault="00111516">
            <w:pPr>
              <w:widowControl/>
              <w:jc w:val="left"/>
              <w:rPr>
                <w:sz w:val="24"/>
              </w:rPr>
            </w:pPr>
            <w:r>
              <w:rPr>
                <w:rFonts w:hint="eastAsia"/>
                <w:sz w:val="24"/>
              </w:rPr>
              <w:t>交银施罗德养老目标日期</w:t>
            </w:r>
            <w:r>
              <w:rPr>
                <w:rFonts w:hint="eastAsia"/>
                <w:sz w:val="24"/>
              </w:rPr>
              <w:t>2035</w:t>
            </w:r>
            <w:r>
              <w:rPr>
                <w:rFonts w:hint="eastAsia"/>
                <w:sz w:val="24"/>
              </w:rPr>
              <w:t>三年持有期混合型基金中基金（</w:t>
            </w:r>
            <w:r>
              <w:rPr>
                <w:rFonts w:hint="eastAsia"/>
                <w:sz w:val="24"/>
              </w:rPr>
              <w:t>FOF</w:t>
            </w:r>
            <w:r>
              <w:rPr>
                <w:rFonts w:hint="eastAsia"/>
                <w:sz w:val="24"/>
              </w:rPr>
              <w:t>）</w:t>
            </w:r>
          </w:p>
        </w:tc>
        <w:tc>
          <w:tcPr>
            <w:tcW w:w="1190" w:type="pct"/>
            <w:shd w:val="clear" w:color="auto" w:fill="auto"/>
            <w:vAlign w:val="center"/>
          </w:tcPr>
          <w:p w14:paraId="1EFB5552" w14:textId="77777777" w:rsidR="005A582E" w:rsidRDefault="00111516">
            <w:pPr>
              <w:widowControl/>
              <w:jc w:val="center"/>
              <w:rPr>
                <w:sz w:val="24"/>
              </w:rPr>
            </w:pPr>
            <w:r>
              <w:rPr>
                <w:rFonts w:hint="eastAsia"/>
                <w:sz w:val="24"/>
              </w:rPr>
              <w:t>交银</w:t>
            </w:r>
            <w:r>
              <w:rPr>
                <w:rFonts w:hint="eastAsia"/>
                <w:sz w:val="24"/>
              </w:rPr>
              <w:t>2035FOF</w:t>
            </w:r>
          </w:p>
        </w:tc>
        <w:tc>
          <w:tcPr>
            <w:tcW w:w="952" w:type="pct"/>
            <w:shd w:val="clear" w:color="auto" w:fill="auto"/>
            <w:vAlign w:val="center"/>
          </w:tcPr>
          <w:p w14:paraId="2B04F08D" w14:textId="77777777" w:rsidR="005A582E" w:rsidRDefault="00111516">
            <w:pPr>
              <w:widowControl/>
              <w:jc w:val="left"/>
              <w:rPr>
                <w:sz w:val="24"/>
              </w:rPr>
            </w:pPr>
            <w:r>
              <w:rPr>
                <w:sz w:val="24"/>
              </w:rPr>
              <w:t>008697</w:t>
            </w:r>
          </w:p>
        </w:tc>
      </w:tr>
      <w:tr w:rsidR="005A582E" w14:paraId="3E91F3AC" w14:textId="77777777">
        <w:trPr>
          <w:trHeight w:val="570"/>
          <w:jc w:val="center"/>
        </w:trPr>
        <w:tc>
          <w:tcPr>
            <w:tcW w:w="416" w:type="pct"/>
            <w:shd w:val="clear" w:color="auto" w:fill="auto"/>
            <w:noWrap/>
            <w:vAlign w:val="center"/>
          </w:tcPr>
          <w:p w14:paraId="78983195"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88</w:t>
            </w:r>
          </w:p>
        </w:tc>
        <w:tc>
          <w:tcPr>
            <w:tcW w:w="2442" w:type="pct"/>
            <w:shd w:val="clear" w:color="auto" w:fill="auto"/>
            <w:vAlign w:val="center"/>
          </w:tcPr>
          <w:p w14:paraId="01B3247B" w14:textId="77777777" w:rsidR="005A582E" w:rsidRDefault="00111516">
            <w:pPr>
              <w:widowControl/>
              <w:jc w:val="left"/>
              <w:rPr>
                <w:sz w:val="24"/>
              </w:rPr>
            </w:pPr>
            <w:r>
              <w:rPr>
                <w:rFonts w:hint="eastAsia"/>
                <w:sz w:val="24"/>
              </w:rPr>
              <w:t>交银施罗德启明混合型证券投资基金</w:t>
            </w:r>
          </w:p>
        </w:tc>
        <w:tc>
          <w:tcPr>
            <w:tcW w:w="1190" w:type="pct"/>
            <w:shd w:val="clear" w:color="auto" w:fill="auto"/>
            <w:vAlign w:val="center"/>
          </w:tcPr>
          <w:p w14:paraId="508B4631" w14:textId="77777777" w:rsidR="005A582E" w:rsidRDefault="00111516">
            <w:pPr>
              <w:widowControl/>
              <w:jc w:val="center"/>
              <w:rPr>
                <w:sz w:val="24"/>
              </w:rPr>
            </w:pPr>
            <w:r>
              <w:rPr>
                <w:rFonts w:eastAsiaTheme="minorEastAsia" w:hint="eastAsia"/>
                <w:sz w:val="24"/>
              </w:rPr>
              <w:t>交银启明</w:t>
            </w:r>
          </w:p>
        </w:tc>
        <w:tc>
          <w:tcPr>
            <w:tcW w:w="952" w:type="pct"/>
            <w:shd w:val="clear" w:color="auto" w:fill="auto"/>
            <w:vAlign w:val="center"/>
          </w:tcPr>
          <w:p w14:paraId="0A10B8E6" w14:textId="77777777" w:rsidR="005A582E" w:rsidRDefault="00111516">
            <w:pPr>
              <w:widowControl/>
              <w:jc w:val="left"/>
              <w:rPr>
                <w:sz w:val="24"/>
              </w:rPr>
            </w:pPr>
            <w:r>
              <w:rPr>
                <w:sz w:val="24"/>
              </w:rPr>
              <w:t>009402</w:t>
            </w:r>
          </w:p>
        </w:tc>
      </w:tr>
      <w:tr w:rsidR="005A582E" w14:paraId="2476F6C3" w14:textId="77777777">
        <w:trPr>
          <w:trHeight w:val="570"/>
          <w:jc w:val="center"/>
        </w:trPr>
        <w:tc>
          <w:tcPr>
            <w:tcW w:w="416" w:type="pct"/>
            <w:shd w:val="clear" w:color="auto" w:fill="auto"/>
            <w:noWrap/>
            <w:vAlign w:val="center"/>
          </w:tcPr>
          <w:p w14:paraId="003DD618"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9</w:t>
            </w:r>
          </w:p>
        </w:tc>
        <w:tc>
          <w:tcPr>
            <w:tcW w:w="2442" w:type="pct"/>
            <w:shd w:val="clear" w:color="auto" w:fill="auto"/>
            <w:vAlign w:val="center"/>
          </w:tcPr>
          <w:p w14:paraId="5F4B0A91" w14:textId="77777777" w:rsidR="005A582E" w:rsidRDefault="00111516">
            <w:pPr>
              <w:widowControl/>
              <w:jc w:val="left"/>
              <w:rPr>
                <w:sz w:val="24"/>
              </w:rPr>
            </w:pPr>
            <w:r>
              <w:rPr>
                <w:rFonts w:hint="eastAsia"/>
                <w:sz w:val="24"/>
              </w:rPr>
              <w:t>交银施罗德启汇混合型证券投资基金</w:t>
            </w:r>
          </w:p>
        </w:tc>
        <w:tc>
          <w:tcPr>
            <w:tcW w:w="1190" w:type="pct"/>
            <w:shd w:val="clear" w:color="auto" w:fill="auto"/>
            <w:vAlign w:val="center"/>
          </w:tcPr>
          <w:p w14:paraId="5CE15130" w14:textId="77777777" w:rsidR="005A582E" w:rsidRDefault="00111516">
            <w:pPr>
              <w:widowControl/>
              <w:jc w:val="center"/>
              <w:rPr>
                <w:rFonts w:eastAsiaTheme="minorEastAsia"/>
                <w:sz w:val="24"/>
              </w:rPr>
            </w:pPr>
            <w:r>
              <w:rPr>
                <w:rFonts w:eastAsiaTheme="minorEastAsia" w:hint="eastAsia"/>
                <w:sz w:val="24"/>
              </w:rPr>
              <w:t>交银启汇</w:t>
            </w:r>
          </w:p>
        </w:tc>
        <w:tc>
          <w:tcPr>
            <w:tcW w:w="952" w:type="pct"/>
            <w:shd w:val="clear" w:color="auto" w:fill="auto"/>
            <w:vAlign w:val="center"/>
          </w:tcPr>
          <w:p w14:paraId="4AF497F9" w14:textId="77777777" w:rsidR="005A582E" w:rsidRDefault="00111516">
            <w:pPr>
              <w:widowControl/>
              <w:jc w:val="left"/>
              <w:rPr>
                <w:sz w:val="24"/>
              </w:rPr>
            </w:pPr>
            <w:r>
              <w:rPr>
                <w:rFonts w:eastAsiaTheme="minorEastAsia"/>
                <w:kern w:val="0"/>
                <w:sz w:val="24"/>
              </w:rPr>
              <w:t>009618</w:t>
            </w:r>
          </w:p>
        </w:tc>
      </w:tr>
      <w:tr w:rsidR="005A582E" w14:paraId="38F3AB23" w14:textId="77777777">
        <w:trPr>
          <w:trHeight w:val="570"/>
          <w:jc w:val="center"/>
        </w:trPr>
        <w:tc>
          <w:tcPr>
            <w:tcW w:w="416" w:type="pct"/>
            <w:shd w:val="clear" w:color="auto" w:fill="auto"/>
            <w:noWrap/>
            <w:vAlign w:val="center"/>
          </w:tcPr>
          <w:p w14:paraId="02E55F60"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lastRenderedPageBreak/>
              <w:t>9</w:t>
            </w:r>
            <w:r>
              <w:rPr>
                <w:rFonts w:asciiTheme="minorEastAsia" w:eastAsiaTheme="minorEastAsia" w:hAnsiTheme="minorEastAsia"/>
                <w:color w:val="000000"/>
                <w:kern w:val="0"/>
                <w:sz w:val="24"/>
              </w:rPr>
              <w:t>0</w:t>
            </w:r>
          </w:p>
        </w:tc>
        <w:tc>
          <w:tcPr>
            <w:tcW w:w="2442" w:type="pct"/>
            <w:shd w:val="clear" w:color="auto" w:fill="auto"/>
            <w:vAlign w:val="center"/>
          </w:tcPr>
          <w:p w14:paraId="348892C2" w14:textId="77777777" w:rsidR="005A582E" w:rsidRDefault="00111516">
            <w:pPr>
              <w:widowControl/>
              <w:jc w:val="left"/>
              <w:rPr>
                <w:sz w:val="24"/>
              </w:rPr>
            </w:pPr>
            <w:r>
              <w:rPr>
                <w:rFonts w:hint="eastAsia"/>
                <w:sz w:val="24"/>
              </w:rPr>
              <w:t>交银施罗德中债</w:t>
            </w:r>
            <w:r>
              <w:rPr>
                <w:rFonts w:hint="eastAsia"/>
                <w:sz w:val="24"/>
              </w:rPr>
              <w:t>1-3</w:t>
            </w:r>
            <w:r>
              <w:rPr>
                <w:rFonts w:hint="eastAsia"/>
                <w:sz w:val="24"/>
              </w:rPr>
              <w:t>年政策性金融债指数证券投资基金</w:t>
            </w:r>
          </w:p>
        </w:tc>
        <w:tc>
          <w:tcPr>
            <w:tcW w:w="1190" w:type="pct"/>
            <w:shd w:val="clear" w:color="auto" w:fill="auto"/>
            <w:vAlign w:val="center"/>
          </w:tcPr>
          <w:p w14:paraId="7672EEBF" w14:textId="77777777" w:rsidR="005A582E" w:rsidRDefault="00111516">
            <w:pPr>
              <w:widowControl/>
              <w:jc w:val="center"/>
              <w:rPr>
                <w:rFonts w:eastAsiaTheme="minorEastAsia"/>
                <w:sz w:val="24"/>
              </w:rPr>
            </w:pPr>
            <w:r>
              <w:rPr>
                <w:rFonts w:eastAsiaTheme="minorEastAsia" w:hint="eastAsia"/>
                <w:sz w:val="24"/>
              </w:rPr>
              <w:t>交银政金债指数</w:t>
            </w:r>
          </w:p>
        </w:tc>
        <w:tc>
          <w:tcPr>
            <w:tcW w:w="952" w:type="pct"/>
            <w:shd w:val="clear" w:color="auto" w:fill="auto"/>
            <w:vAlign w:val="center"/>
          </w:tcPr>
          <w:p w14:paraId="323E172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类009315</w:t>
            </w:r>
          </w:p>
          <w:p w14:paraId="130B70D1" w14:textId="77777777" w:rsidR="005A582E" w:rsidRDefault="00111516">
            <w:pPr>
              <w:widowControl/>
              <w:jc w:val="left"/>
              <w:rPr>
                <w:rFonts w:eastAsiaTheme="minorEastAsia"/>
                <w:kern w:val="0"/>
                <w:sz w:val="24"/>
              </w:rPr>
            </w:pPr>
            <w:r>
              <w:rPr>
                <w:rFonts w:asciiTheme="minorEastAsia" w:eastAsiaTheme="minorEastAsia" w:hAnsiTheme="minorEastAsia"/>
                <w:color w:val="000000"/>
                <w:kern w:val="0"/>
                <w:sz w:val="24"/>
              </w:rPr>
              <w:t>C类009316</w:t>
            </w:r>
          </w:p>
        </w:tc>
      </w:tr>
      <w:tr w:rsidR="005A582E" w14:paraId="447ABB54" w14:textId="77777777">
        <w:trPr>
          <w:trHeight w:val="570"/>
          <w:jc w:val="center"/>
        </w:trPr>
        <w:tc>
          <w:tcPr>
            <w:tcW w:w="416" w:type="pct"/>
            <w:shd w:val="clear" w:color="auto" w:fill="auto"/>
            <w:noWrap/>
            <w:vAlign w:val="center"/>
          </w:tcPr>
          <w:p w14:paraId="76F933C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91</w:t>
            </w:r>
          </w:p>
        </w:tc>
        <w:tc>
          <w:tcPr>
            <w:tcW w:w="2442" w:type="pct"/>
            <w:shd w:val="clear" w:color="auto" w:fill="auto"/>
            <w:vAlign w:val="center"/>
          </w:tcPr>
          <w:p w14:paraId="51455AB9" w14:textId="77777777" w:rsidR="005A582E" w:rsidRDefault="00111516">
            <w:pPr>
              <w:widowControl/>
              <w:jc w:val="left"/>
              <w:rPr>
                <w:sz w:val="24"/>
              </w:rPr>
            </w:pPr>
            <w:r>
              <w:rPr>
                <w:rFonts w:hint="eastAsia"/>
                <w:sz w:val="24"/>
              </w:rPr>
              <w:t>交银施罗德产业机遇混合型证券投资基金</w:t>
            </w:r>
          </w:p>
        </w:tc>
        <w:tc>
          <w:tcPr>
            <w:tcW w:w="1190" w:type="pct"/>
            <w:shd w:val="clear" w:color="auto" w:fill="auto"/>
            <w:vAlign w:val="center"/>
          </w:tcPr>
          <w:p w14:paraId="6CB652D5" w14:textId="77777777" w:rsidR="005A582E" w:rsidRDefault="00111516">
            <w:pPr>
              <w:widowControl/>
              <w:jc w:val="center"/>
              <w:rPr>
                <w:rFonts w:eastAsiaTheme="minorEastAsia"/>
                <w:sz w:val="24"/>
              </w:rPr>
            </w:pPr>
            <w:r>
              <w:rPr>
                <w:rFonts w:eastAsiaTheme="minorEastAsia" w:hint="eastAsia"/>
                <w:sz w:val="24"/>
              </w:rPr>
              <w:t>交银</w:t>
            </w:r>
            <w:r>
              <w:rPr>
                <w:rFonts w:eastAsiaTheme="minorEastAsia"/>
                <w:sz w:val="24"/>
              </w:rPr>
              <w:t>产业机遇</w:t>
            </w:r>
          </w:p>
        </w:tc>
        <w:tc>
          <w:tcPr>
            <w:tcW w:w="952" w:type="pct"/>
            <w:shd w:val="clear" w:color="auto" w:fill="auto"/>
            <w:vAlign w:val="center"/>
          </w:tcPr>
          <w:p w14:paraId="2994973D"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010094</w:t>
            </w:r>
          </w:p>
        </w:tc>
      </w:tr>
      <w:tr w:rsidR="005A582E" w14:paraId="7A435B0D" w14:textId="77777777">
        <w:trPr>
          <w:trHeight w:val="570"/>
          <w:jc w:val="center"/>
        </w:trPr>
        <w:tc>
          <w:tcPr>
            <w:tcW w:w="416" w:type="pct"/>
            <w:shd w:val="clear" w:color="auto" w:fill="auto"/>
            <w:noWrap/>
            <w:vAlign w:val="center"/>
          </w:tcPr>
          <w:p w14:paraId="337159E3"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92</w:t>
            </w:r>
          </w:p>
        </w:tc>
        <w:tc>
          <w:tcPr>
            <w:tcW w:w="2442" w:type="pct"/>
            <w:shd w:val="clear" w:color="auto" w:fill="auto"/>
            <w:vAlign w:val="center"/>
          </w:tcPr>
          <w:p w14:paraId="1E92212C" w14:textId="77777777" w:rsidR="005A582E" w:rsidRDefault="00111516">
            <w:pPr>
              <w:widowControl/>
              <w:jc w:val="left"/>
              <w:rPr>
                <w:sz w:val="24"/>
              </w:rPr>
            </w:pPr>
            <w:r>
              <w:rPr>
                <w:rFonts w:hint="eastAsia"/>
                <w:sz w:val="24"/>
              </w:rPr>
              <w:t>交银施罗德启欣混合型证券投资基金</w:t>
            </w:r>
          </w:p>
        </w:tc>
        <w:tc>
          <w:tcPr>
            <w:tcW w:w="1190" w:type="pct"/>
            <w:shd w:val="clear" w:color="auto" w:fill="auto"/>
            <w:vAlign w:val="center"/>
          </w:tcPr>
          <w:p w14:paraId="670F684D" w14:textId="77777777" w:rsidR="005A582E" w:rsidRDefault="00111516">
            <w:pPr>
              <w:widowControl/>
              <w:jc w:val="center"/>
              <w:rPr>
                <w:rFonts w:eastAsiaTheme="minorEastAsia"/>
                <w:sz w:val="24"/>
              </w:rPr>
            </w:pPr>
            <w:r>
              <w:rPr>
                <w:rFonts w:eastAsiaTheme="minorEastAsia" w:hint="eastAsia"/>
                <w:sz w:val="24"/>
              </w:rPr>
              <w:t>交银</w:t>
            </w:r>
            <w:r>
              <w:rPr>
                <w:rFonts w:eastAsiaTheme="minorEastAsia"/>
                <w:sz w:val="24"/>
              </w:rPr>
              <w:t>启欣</w:t>
            </w:r>
          </w:p>
        </w:tc>
        <w:tc>
          <w:tcPr>
            <w:tcW w:w="952" w:type="pct"/>
            <w:shd w:val="clear" w:color="auto" w:fill="auto"/>
            <w:vAlign w:val="center"/>
          </w:tcPr>
          <w:p w14:paraId="55215193"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10143</w:t>
            </w:r>
          </w:p>
        </w:tc>
      </w:tr>
      <w:tr w:rsidR="005A582E" w14:paraId="46DFED9B" w14:textId="77777777">
        <w:trPr>
          <w:trHeight w:val="570"/>
          <w:jc w:val="center"/>
        </w:trPr>
        <w:tc>
          <w:tcPr>
            <w:tcW w:w="416" w:type="pct"/>
            <w:shd w:val="clear" w:color="auto" w:fill="auto"/>
            <w:noWrap/>
            <w:vAlign w:val="center"/>
          </w:tcPr>
          <w:p w14:paraId="0508FC1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w:t>
            </w:r>
            <w:r>
              <w:rPr>
                <w:rFonts w:asciiTheme="minorEastAsia" w:eastAsiaTheme="minorEastAsia" w:hAnsiTheme="minorEastAsia"/>
                <w:color w:val="000000"/>
                <w:kern w:val="0"/>
                <w:sz w:val="24"/>
              </w:rPr>
              <w:t>3</w:t>
            </w:r>
          </w:p>
        </w:tc>
        <w:tc>
          <w:tcPr>
            <w:tcW w:w="2442" w:type="pct"/>
            <w:shd w:val="clear" w:color="auto" w:fill="auto"/>
            <w:vAlign w:val="center"/>
          </w:tcPr>
          <w:p w14:paraId="44BB7CEF" w14:textId="77777777" w:rsidR="005A582E" w:rsidRDefault="00111516">
            <w:pPr>
              <w:widowControl/>
              <w:jc w:val="left"/>
              <w:rPr>
                <w:sz w:val="24"/>
              </w:rPr>
            </w:pPr>
            <w:r>
              <w:rPr>
                <w:rFonts w:hint="eastAsia"/>
                <w:sz w:val="24"/>
              </w:rPr>
              <w:t>交银施罗德内需增长</w:t>
            </w:r>
            <w:r>
              <w:rPr>
                <w:sz w:val="24"/>
              </w:rPr>
              <w:t>一年持有期</w:t>
            </w:r>
            <w:r>
              <w:rPr>
                <w:rFonts w:hint="eastAsia"/>
                <w:sz w:val="24"/>
              </w:rPr>
              <w:t>混合型证券投资基金</w:t>
            </w:r>
          </w:p>
        </w:tc>
        <w:tc>
          <w:tcPr>
            <w:tcW w:w="1190" w:type="pct"/>
            <w:shd w:val="clear" w:color="auto" w:fill="auto"/>
            <w:vAlign w:val="center"/>
          </w:tcPr>
          <w:p w14:paraId="67B4A55A" w14:textId="77777777" w:rsidR="005A582E" w:rsidRDefault="00111516">
            <w:pPr>
              <w:widowControl/>
              <w:jc w:val="center"/>
              <w:rPr>
                <w:rFonts w:eastAsiaTheme="minorEastAsia"/>
                <w:sz w:val="24"/>
              </w:rPr>
            </w:pPr>
            <w:r>
              <w:rPr>
                <w:rFonts w:eastAsiaTheme="minorEastAsia" w:hint="eastAsia"/>
                <w:sz w:val="24"/>
              </w:rPr>
              <w:t>交银</w:t>
            </w:r>
            <w:r>
              <w:rPr>
                <w:rFonts w:eastAsiaTheme="minorEastAsia"/>
                <w:sz w:val="24"/>
              </w:rPr>
              <w:t>内需增长一年</w:t>
            </w:r>
          </w:p>
        </w:tc>
        <w:tc>
          <w:tcPr>
            <w:tcW w:w="952" w:type="pct"/>
            <w:shd w:val="clear" w:color="auto" w:fill="auto"/>
            <w:vAlign w:val="center"/>
          </w:tcPr>
          <w:p w14:paraId="1838674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10454</w:t>
            </w:r>
          </w:p>
        </w:tc>
      </w:tr>
      <w:tr w:rsidR="005A582E" w14:paraId="73FC961D" w14:textId="77777777">
        <w:trPr>
          <w:trHeight w:val="570"/>
          <w:jc w:val="center"/>
        </w:trPr>
        <w:tc>
          <w:tcPr>
            <w:tcW w:w="416" w:type="pct"/>
            <w:shd w:val="clear" w:color="auto" w:fill="auto"/>
            <w:noWrap/>
            <w:vAlign w:val="center"/>
          </w:tcPr>
          <w:p w14:paraId="17AB3E16"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w:t>
            </w:r>
            <w:r>
              <w:rPr>
                <w:rFonts w:asciiTheme="minorEastAsia" w:eastAsiaTheme="minorEastAsia" w:hAnsiTheme="minorEastAsia"/>
                <w:color w:val="000000"/>
                <w:kern w:val="0"/>
                <w:sz w:val="24"/>
              </w:rPr>
              <w:t>4</w:t>
            </w:r>
          </w:p>
        </w:tc>
        <w:tc>
          <w:tcPr>
            <w:tcW w:w="2442" w:type="pct"/>
            <w:shd w:val="clear" w:color="auto" w:fill="auto"/>
            <w:vAlign w:val="center"/>
          </w:tcPr>
          <w:p w14:paraId="1F797F40" w14:textId="77777777" w:rsidR="005A582E" w:rsidRDefault="00111516">
            <w:pPr>
              <w:widowControl/>
              <w:jc w:val="left"/>
              <w:rPr>
                <w:sz w:val="24"/>
              </w:rPr>
            </w:pPr>
            <w:r>
              <w:rPr>
                <w:rFonts w:hint="eastAsia"/>
                <w:sz w:val="24"/>
              </w:rPr>
              <w:t>交银施罗德臻选回报混合型证券投资基金</w:t>
            </w:r>
          </w:p>
        </w:tc>
        <w:tc>
          <w:tcPr>
            <w:tcW w:w="1190" w:type="pct"/>
            <w:shd w:val="clear" w:color="auto" w:fill="auto"/>
            <w:vAlign w:val="center"/>
          </w:tcPr>
          <w:p w14:paraId="13138901" w14:textId="77777777" w:rsidR="005A582E" w:rsidRDefault="00111516">
            <w:pPr>
              <w:widowControl/>
              <w:jc w:val="center"/>
              <w:rPr>
                <w:rFonts w:eastAsiaTheme="minorEastAsia"/>
                <w:sz w:val="24"/>
              </w:rPr>
            </w:pPr>
            <w:r>
              <w:rPr>
                <w:rFonts w:eastAsiaTheme="minorEastAsia" w:hint="eastAsia"/>
                <w:sz w:val="24"/>
              </w:rPr>
              <w:t>交银</w:t>
            </w:r>
            <w:r>
              <w:rPr>
                <w:rFonts w:eastAsiaTheme="minorEastAsia"/>
                <w:sz w:val="24"/>
              </w:rPr>
              <w:t>臻选回报</w:t>
            </w:r>
          </w:p>
        </w:tc>
        <w:tc>
          <w:tcPr>
            <w:tcW w:w="952" w:type="pct"/>
            <w:shd w:val="clear" w:color="auto" w:fill="auto"/>
            <w:vAlign w:val="center"/>
          </w:tcPr>
          <w:p w14:paraId="6F7B9B2A"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10916</w:t>
            </w:r>
          </w:p>
        </w:tc>
      </w:tr>
      <w:tr w:rsidR="005A582E" w14:paraId="549B9B52" w14:textId="77777777">
        <w:trPr>
          <w:trHeight w:val="570"/>
          <w:jc w:val="center"/>
        </w:trPr>
        <w:tc>
          <w:tcPr>
            <w:tcW w:w="416" w:type="pct"/>
            <w:shd w:val="clear" w:color="auto" w:fill="auto"/>
            <w:noWrap/>
            <w:vAlign w:val="center"/>
          </w:tcPr>
          <w:p w14:paraId="3C17BA1E"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w:t>
            </w:r>
            <w:r>
              <w:rPr>
                <w:rFonts w:asciiTheme="minorEastAsia" w:eastAsiaTheme="minorEastAsia" w:hAnsiTheme="minorEastAsia"/>
                <w:color w:val="000000"/>
                <w:kern w:val="0"/>
                <w:sz w:val="24"/>
              </w:rPr>
              <w:t>5</w:t>
            </w:r>
          </w:p>
        </w:tc>
        <w:tc>
          <w:tcPr>
            <w:tcW w:w="2442" w:type="pct"/>
            <w:shd w:val="clear" w:color="auto" w:fill="auto"/>
            <w:vAlign w:val="center"/>
          </w:tcPr>
          <w:p w14:paraId="754BD3CE" w14:textId="77777777" w:rsidR="005A582E" w:rsidRDefault="00111516">
            <w:pPr>
              <w:widowControl/>
              <w:jc w:val="left"/>
              <w:rPr>
                <w:sz w:val="24"/>
              </w:rPr>
            </w:pPr>
            <w:r>
              <w:rPr>
                <w:rFonts w:hint="eastAsia"/>
                <w:sz w:val="24"/>
              </w:rPr>
              <w:t>交银施罗德启道混合型证券投资基金</w:t>
            </w:r>
          </w:p>
        </w:tc>
        <w:tc>
          <w:tcPr>
            <w:tcW w:w="1190" w:type="pct"/>
            <w:shd w:val="clear" w:color="auto" w:fill="auto"/>
            <w:vAlign w:val="center"/>
          </w:tcPr>
          <w:p w14:paraId="79098DE7" w14:textId="77777777" w:rsidR="005A582E" w:rsidRDefault="00111516">
            <w:pPr>
              <w:widowControl/>
              <w:jc w:val="center"/>
              <w:rPr>
                <w:rFonts w:eastAsiaTheme="minorEastAsia"/>
                <w:sz w:val="24"/>
              </w:rPr>
            </w:pPr>
            <w:r>
              <w:rPr>
                <w:rFonts w:eastAsiaTheme="minorEastAsia" w:hint="eastAsia"/>
                <w:sz w:val="24"/>
              </w:rPr>
              <w:t>交银启道</w:t>
            </w:r>
          </w:p>
        </w:tc>
        <w:tc>
          <w:tcPr>
            <w:tcW w:w="952" w:type="pct"/>
            <w:shd w:val="clear" w:color="auto" w:fill="auto"/>
            <w:vAlign w:val="center"/>
          </w:tcPr>
          <w:p w14:paraId="7E95D1B9"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10483</w:t>
            </w:r>
          </w:p>
        </w:tc>
      </w:tr>
      <w:tr w:rsidR="005A582E" w14:paraId="2DC864F4" w14:textId="77777777">
        <w:trPr>
          <w:trHeight w:val="570"/>
          <w:jc w:val="center"/>
        </w:trPr>
        <w:tc>
          <w:tcPr>
            <w:tcW w:w="416" w:type="pct"/>
            <w:shd w:val="clear" w:color="auto" w:fill="auto"/>
            <w:noWrap/>
            <w:vAlign w:val="center"/>
          </w:tcPr>
          <w:p w14:paraId="70A26F07"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w:t>
            </w:r>
            <w:r>
              <w:rPr>
                <w:rFonts w:asciiTheme="minorEastAsia" w:eastAsiaTheme="minorEastAsia" w:hAnsiTheme="minorEastAsia"/>
                <w:color w:val="000000"/>
                <w:kern w:val="0"/>
                <w:sz w:val="24"/>
              </w:rPr>
              <w:t>6</w:t>
            </w:r>
          </w:p>
        </w:tc>
        <w:tc>
          <w:tcPr>
            <w:tcW w:w="2442" w:type="pct"/>
            <w:shd w:val="clear" w:color="auto" w:fill="auto"/>
            <w:vAlign w:val="center"/>
          </w:tcPr>
          <w:p w14:paraId="228A625F" w14:textId="77777777" w:rsidR="005A582E" w:rsidRDefault="00111516">
            <w:pPr>
              <w:widowControl/>
              <w:jc w:val="left"/>
              <w:rPr>
                <w:sz w:val="24"/>
              </w:rPr>
            </w:pPr>
            <w:r>
              <w:rPr>
                <w:rFonts w:hint="eastAsia"/>
                <w:sz w:val="24"/>
              </w:rPr>
              <w:t>交银施罗德均衡成长</w:t>
            </w:r>
            <w:r>
              <w:rPr>
                <w:sz w:val="24"/>
              </w:rPr>
              <w:t>一年持有期</w:t>
            </w:r>
            <w:r>
              <w:rPr>
                <w:rFonts w:hint="eastAsia"/>
                <w:sz w:val="24"/>
              </w:rPr>
              <w:t>混合型证券投资基金</w:t>
            </w:r>
          </w:p>
        </w:tc>
        <w:tc>
          <w:tcPr>
            <w:tcW w:w="1190" w:type="pct"/>
            <w:shd w:val="clear" w:color="auto" w:fill="auto"/>
            <w:vAlign w:val="center"/>
          </w:tcPr>
          <w:p w14:paraId="31EC8FAF" w14:textId="77777777" w:rsidR="005A582E" w:rsidRDefault="00111516">
            <w:pPr>
              <w:widowControl/>
              <w:jc w:val="center"/>
              <w:rPr>
                <w:rFonts w:eastAsiaTheme="minorEastAsia"/>
                <w:sz w:val="24"/>
              </w:rPr>
            </w:pPr>
            <w:r>
              <w:rPr>
                <w:rFonts w:eastAsiaTheme="minorEastAsia" w:hint="eastAsia"/>
                <w:sz w:val="24"/>
              </w:rPr>
              <w:t>交银均衡成长</w:t>
            </w:r>
            <w:r>
              <w:rPr>
                <w:rFonts w:eastAsiaTheme="minorEastAsia"/>
                <w:sz w:val="24"/>
              </w:rPr>
              <w:t>一年</w:t>
            </w:r>
          </w:p>
        </w:tc>
        <w:tc>
          <w:tcPr>
            <w:tcW w:w="952" w:type="pct"/>
            <w:shd w:val="clear" w:color="auto" w:fill="auto"/>
            <w:vAlign w:val="center"/>
          </w:tcPr>
          <w:p w14:paraId="5B50F6C0"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类010936</w:t>
            </w:r>
          </w:p>
          <w:p w14:paraId="4C171D3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C类010937</w:t>
            </w:r>
          </w:p>
        </w:tc>
      </w:tr>
      <w:tr w:rsidR="005A582E" w14:paraId="6D0441BF" w14:textId="77777777">
        <w:trPr>
          <w:trHeight w:val="570"/>
          <w:jc w:val="center"/>
        </w:trPr>
        <w:tc>
          <w:tcPr>
            <w:tcW w:w="416" w:type="pct"/>
            <w:shd w:val="clear" w:color="auto" w:fill="auto"/>
            <w:noWrap/>
            <w:vAlign w:val="center"/>
          </w:tcPr>
          <w:p w14:paraId="7BD5B14A"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97</w:t>
            </w:r>
          </w:p>
        </w:tc>
        <w:tc>
          <w:tcPr>
            <w:tcW w:w="2442" w:type="pct"/>
            <w:shd w:val="clear" w:color="auto" w:fill="auto"/>
            <w:vAlign w:val="center"/>
          </w:tcPr>
          <w:p w14:paraId="4FFF5D1E" w14:textId="77777777" w:rsidR="005A582E" w:rsidRDefault="00111516">
            <w:pPr>
              <w:widowControl/>
              <w:jc w:val="left"/>
              <w:rPr>
                <w:sz w:val="24"/>
              </w:rPr>
            </w:pPr>
            <w:r>
              <w:rPr>
                <w:rFonts w:hint="eastAsia"/>
                <w:sz w:val="24"/>
              </w:rPr>
              <w:t>交银施罗德鸿光一年持有期混合型证券投资基金</w:t>
            </w:r>
          </w:p>
        </w:tc>
        <w:tc>
          <w:tcPr>
            <w:tcW w:w="1190" w:type="pct"/>
            <w:shd w:val="clear" w:color="auto" w:fill="auto"/>
            <w:vAlign w:val="center"/>
          </w:tcPr>
          <w:p w14:paraId="12A41DD8" w14:textId="77777777" w:rsidR="005A582E" w:rsidRDefault="00111516">
            <w:pPr>
              <w:widowControl/>
              <w:jc w:val="center"/>
              <w:rPr>
                <w:rFonts w:eastAsiaTheme="minorEastAsia"/>
                <w:sz w:val="24"/>
              </w:rPr>
            </w:pPr>
            <w:r>
              <w:rPr>
                <w:rFonts w:asciiTheme="minorEastAsia" w:eastAsiaTheme="minorEastAsia" w:hAnsiTheme="minorEastAsia" w:hint="eastAsia"/>
                <w:sz w:val="24"/>
              </w:rPr>
              <w:t>交银鸿光一年</w:t>
            </w:r>
          </w:p>
        </w:tc>
        <w:tc>
          <w:tcPr>
            <w:tcW w:w="952" w:type="pct"/>
            <w:shd w:val="clear" w:color="auto" w:fill="auto"/>
            <w:vAlign w:val="center"/>
          </w:tcPr>
          <w:p w14:paraId="3D19A80F"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类011256</w:t>
            </w:r>
          </w:p>
          <w:p w14:paraId="1C5110F5"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C类011257</w:t>
            </w:r>
          </w:p>
        </w:tc>
      </w:tr>
      <w:tr w:rsidR="005A582E" w14:paraId="5028347B" w14:textId="77777777">
        <w:trPr>
          <w:trHeight w:val="570"/>
          <w:jc w:val="center"/>
        </w:trPr>
        <w:tc>
          <w:tcPr>
            <w:tcW w:w="416" w:type="pct"/>
            <w:shd w:val="clear" w:color="auto" w:fill="auto"/>
            <w:noWrap/>
            <w:vAlign w:val="center"/>
          </w:tcPr>
          <w:p w14:paraId="575B25CF" w14:textId="77777777" w:rsidR="005A582E"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98</w:t>
            </w:r>
          </w:p>
        </w:tc>
        <w:tc>
          <w:tcPr>
            <w:tcW w:w="2442" w:type="pct"/>
            <w:shd w:val="clear" w:color="auto" w:fill="auto"/>
            <w:vAlign w:val="center"/>
          </w:tcPr>
          <w:p w14:paraId="5EC665EA" w14:textId="77777777" w:rsidR="005A582E" w:rsidRDefault="00111516">
            <w:pPr>
              <w:widowControl/>
              <w:jc w:val="left"/>
              <w:rPr>
                <w:sz w:val="24"/>
              </w:rPr>
            </w:pPr>
            <w:r>
              <w:rPr>
                <w:rFonts w:hint="eastAsia"/>
                <w:sz w:val="24"/>
              </w:rPr>
              <w:t>交银施罗德鸿福六个月持有期混合型证券投资基金</w:t>
            </w:r>
          </w:p>
        </w:tc>
        <w:tc>
          <w:tcPr>
            <w:tcW w:w="1190" w:type="pct"/>
            <w:shd w:val="clear" w:color="auto" w:fill="auto"/>
            <w:vAlign w:val="center"/>
          </w:tcPr>
          <w:p w14:paraId="7C40BB8A" w14:textId="77777777" w:rsidR="005A582E" w:rsidRDefault="00111516">
            <w:pPr>
              <w:widowControl/>
              <w:jc w:val="center"/>
              <w:rPr>
                <w:rFonts w:asciiTheme="minorEastAsia" w:eastAsiaTheme="minorEastAsia" w:hAnsiTheme="minorEastAsia"/>
                <w:sz w:val="24"/>
              </w:rPr>
            </w:pPr>
            <w:r>
              <w:rPr>
                <w:rFonts w:asciiTheme="minorEastAsia" w:eastAsiaTheme="minorEastAsia" w:hAnsiTheme="minorEastAsia" w:hint="eastAsia"/>
                <w:sz w:val="24"/>
              </w:rPr>
              <w:t>交银鸿福六个月</w:t>
            </w:r>
          </w:p>
        </w:tc>
        <w:tc>
          <w:tcPr>
            <w:tcW w:w="952" w:type="pct"/>
            <w:shd w:val="clear" w:color="auto" w:fill="auto"/>
            <w:vAlign w:val="center"/>
          </w:tcPr>
          <w:p w14:paraId="5A678ECC"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类010890</w:t>
            </w:r>
          </w:p>
          <w:p w14:paraId="51DE1714" w14:textId="77777777" w:rsidR="005A582E" w:rsidRDefault="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C类010891</w:t>
            </w:r>
          </w:p>
        </w:tc>
      </w:tr>
      <w:tr w:rsidR="00111516" w14:paraId="2AF7481A" w14:textId="77777777">
        <w:trPr>
          <w:trHeight w:val="570"/>
          <w:jc w:val="center"/>
        </w:trPr>
        <w:tc>
          <w:tcPr>
            <w:tcW w:w="416" w:type="pct"/>
            <w:shd w:val="clear" w:color="auto" w:fill="auto"/>
            <w:noWrap/>
            <w:vAlign w:val="center"/>
          </w:tcPr>
          <w:p w14:paraId="317220D6" w14:textId="77777777" w:rsidR="00111516"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9</w:t>
            </w:r>
            <w:r>
              <w:rPr>
                <w:rFonts w:asciiTheme="minorEastAsia" w:eastAsiaTheme="minorEastAsia" w:hAnsiTheme="minorEastAsia"/>
                <w:color w:val="000000"/>
                <w:kern w:val="0"/>
                <w:sz w:val="24"/>
              </w:rPr>
              <w:t>9</w:t>
            </w:r>
          </w:p>
        </w:tc>
        <w:tc>
          <w:tcPr>
            <w:tcW w:w="2442" w:type="pct"/>
            <w:shd w:val="clear" w:color="auto" w:fill="auto"/>
            <w:vAlign w:val="center"/>
          </w:tcPr>
          <w:p w14:paraId="02627688" w14:textId="77777777" w:rsidR="00111516" w:rsidRDefault="00111516">
            <w:pPr>
              <w:widowControl/>
              <w:jc w:val="left"/>
              <w:rPr>
                <w:sz w:val="24"/>
              </w:rPr>
            </w:pPr>
            <w:r>
              <w:rPr>
                <w:rFonts w:hint="eastAsia"/>
                <w:sz w:val="24"/>
              </w:rPr>
              <w:t>交银</w:t>
            </w:r>
            <w:r>
              <w:rPr>
                <w:sz w:val="24"/>
              </w:rPr>
              <w:t>施罗德</w:t>
            </w:r>
            <w:r>
              <w:rPr>
                <w:rFonts w:hint="eastAsia"/>
                <w:sz w:val="24"/>
              </w:rPr>
              <w:t>鑫选</w:t>
            </w:r>
            <w:r>
              <w:rPr>
                <w:sz w:val="24"/>
              </w:rPr>
              <w:t>回报</w:t>
            </w:r>
            <w:r>
              <w:rPr>
                <w:rFonts w:hint="eastAsia"/>
                <w:sz w:val="24"/>
              </w:rPr>
              <w:t>混合型证券投资基金</w:t>
            </w:r>
          </w:p>
        </w:tc>
        <w:tc>
          <w:tcPr>
            <w:tcW w:w="1190" w:type="pct"/>
            <w:shd w:val="clear" w:color="auto" w:fill="auto"/>
            <w:vAlign w:val="center"/>
          </w:tcPr>
          <w:p w14:paraId="1669E925" w14:textId="77777777" w:rsidR="00111516" w:rsidRDefault="00111516">
            <w:pPr>
              <w:widowControl/>
              <w:jc w:val="center"/>
              <w:rPr>
                <w:rFonts w:asciiTheme="minorEastAsia" w:eastAsiaTheme="minorEastAsia" w:hAnsiTheme="minorEastAsia"/>
                <w:sz w:val="24"/>
              </w:rPr>
            </w:pPr>
            <w:r>
              <w:rPr>
                <w:rFonts w:eastAsiaTheme="minorEastAsia" w:hint="eastAsia"/>
                <w:sz w:val="24"/>
              </w:rPr>
              <w:t>交银</w:t>
            </w:r>
            <w:r>
              <w:rPr>
                <w:rFonts w:hint="eastAsia"/>
                <w:sz w:val="24"/>
              </w:rPr>
              <w:t>鑫选</w:t>
            </w:r>
            <w:r>
              <w:rPr>
                <w:rFonts w:eastAsiaTheme="minorEastAsia"/>
                <w:sz w:val="24"/>
              </w:rPr>
              <w:t>回报</w:t>
            </w:r>
          </w:p>
        </w:tc>
        <w:tc>
          <w:tcPr>
            <w:tcW w:w="952" w:type="pct"/>
            <w:shd w:val="clear" w:color="auto" w:fill="auto"/>
            <w:vAlign w:val="center"/>
          </w:tcPr>
          <w:p w14:paraId="7821EA96" w14:textId="77777777" w:rsidR="00111516" w:rsidRDefault="00111516" w:rsidP="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类011198</w:t>
            </w:r>
          </w:p>
          <w:p w14:paraId="48316B89" w14:textId="77777777" w:rsidR="00111516" w:rsidRDefault="00111516" w:rsidP="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C类011199</w:t>
            </w:r>
          </w:p>
        </w:tc>
      </w:tr>
      <w:tr w:rsidR="00111516" w14:paraId="2930E105" w14:textId="77777777">
        <w:trPr>
          <w:trHeight w:val="570"/>
          <w:jc w:val="center"/>
        </w:trPr>
        <w:tc>
          <w:tcPr>
            <w:tcW w:w="416" w:type="pct"/>
            <w:shd w:val="clear" w:color="auto" w:fill="auto"/>
            <w:noWrap/>
            <w:vAlign w:val="center"/>
          </w:tcPr>
          <w:p w14:paraId="6B95E569" w14:textId="77777777" w:rsidR="00111516" w:rsidRDefault="00111516">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w:t>
            </w:r>
            <w:r>
              <w:rPr>
                <w:rFonts w:asciiTheme="minorEastAsia" w:eastAsiaTheme="minorEastAsia" w:hAnsiTheme="minorEastAsia"/>
                <w:color w:val="000000"/>
                <w:kern w:val="0"/>
                <w:sz w:val="24"/>
              </w:rPr>
              <w:t>00</w:t>
            </w:r>
          </w:p>
        </w:tc>
        <w:tc>
          <w:tcPr>
            <w:tcW w:w="2442" w:type="pct"/>
            <w:shd w:val="clear" w:color="auto" w:fill="auto"/>
            <w:vAlign w:val="center"/>
          </w:tcPr>
          <w:p w14:paraId="708ED06C" w14:textId="77777777" w:rsidR="00111516" w:rsidRDefault="00111516">
            <w:pPr>
              <w:widowControl/>
              <w:jc w:val="left"/>
              <w:rPr>
                <w:sz w:val="24"/>
              </w:rPr>
            </w:pPr>
            <w:r>
              <w:rPr>
                <w:rFonts w:hint="eastAsia"/>
                <w:sz w:val="24"/>
              </w:rPr>
              <w:t>交银</w:t>
            </w:r>
            <w:r>
              <w:rPr>
                <w:sz w:val="24"/>
              </w:rPr>
              <w:t>施罗德成长动力一年持有期混合型证券投资</w:t>
            </w:r>
            <w:r>
              <w:rPr>
                <w:rFonts w:hint="eastAsia"/>
                <w:sz w:val="24"/>
              </w:rPr>
              <w:t>基金</w:t>
            </w:r>
          </w:p>
        </w:tc>
        <w:tc>
          <w:tcPr>
            <w:tcW w:w="1190" w:type="pct"/>
            <w:shd w:val="clear" w:color="auto" w:fill="auto"/>
            <w:vAlign w:val="center"/>
          </w:tcPr>
          <w:p w14:paraId="31DEB300" w14:textId="77777777" w:rsidR="00111516" w:rsidRDefault="00111516" w:rsidP="00111516">
            <w:pPr>
              <w:widowControl/>
              <w:jc w:val="center"/>
              <w:rPr>
                <w:rFonts w:asciiTheme="minorEastAsia" w:eastAsiaTheme="minorEastAsia" w:hAnsiTheme="minorEastAsia"/>
                <w:sz w:val="24"/>
              </w:rPr>
            </w:pPr>
            <w:r>
              <w:rPr>
                <w:rFonts w:hint="eastAsia"/>
                <w:sz w:val="24"/>
              </w:rPr>
              <w:t>交银</w:t>
            </w:r>
            <w:r>
              <w:rPr>
                <w:sz w:val="24"/>
              </w:rPr>
              <w:t>成长动力一年</w:t>
            </w:r>
          </w:p>
        </w:tc>
        <w:tc>
          <w:tcPr>
            <w:tcW w:w="952" w:type="pct"/>
            <w:shd w:val="clear" w:color="auto" w:fill="auto"/>
            <w:vAlign w:val="center"/>
          </w:tcPr>
          <w:p w14:paraId="4785D2E7" w14:textId="77777777" w:rsidR="00111516" w:rsidRDefault="00111516" w:rsidP="00111516">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A</w:t>
            </w:r>
            <w:r>
              <w:rPr>
                <w:rFonts w:asciiTheme="minorEastAsia" w:eastAsiaTheme="minorEastAsia" w:hAnsiTheme="minorEastAsia"/>
                <w:color w:val="000000"/>
                <w:kern w:val="0"/>
                <w:sz w:val="24"/>
              </w:rPr>
              <w:t>类011275</w:t>
            </w:r>
          </w:p>
          <w:p w14:paraId="73F8C1D4" w14:textId="77777777" w:rsidR="00111516" w:rsidRDefault="00111516" w:rsidP="00111516">
            <w:pPr>
              <w:widowControl/>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C类011276</w:t>
            </w:r>
          </w:p>
        </w:tc>
      </w:tr>
    </w:tbl>
    <w:p w14:paraId="53355229" w14:textId="77777777" w:rsidR="005A582E" w:rsidRDefault="00111516">
      <w:pPr>
        <w:spacing w:line="360" w:lineRule="auto"/>
        <w:ind w:firstLineChars="200" w:firstLine="480"/>
        <w:rPr>
          <w:rFonts w:hAnsi="宋体"/>
          <w:sz w:val="24"/>
        </w:rPr>
      </w:pPr>
      <w:r>
        <w:rPr>
          <w:rFonts w:hAnsi="宋体"/>
          <w:sz w:val="24"/>
        </w:rPr>
        <w:t>上述基金已开通转换业务的范围如下表所示：</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3"/>
        <w:gridCol w:w="1276"/>
        <w:gridCol w:w="1303"/>
        <w:gridCol w:w="851"/>
        <w:gridCol w:w="850"/>
        <w:gridCol w:w="851"/>
        <w:gridCol w:w="850"/>
        <w:gridCol w:w="1264"/>
        <w:gridCol w:w="1281"/>
      </w:tblGrid>
      <w:tr w:rsidR="005A582E" w14:paraId="6D283CF1" w14:textId="77777777">
        <w:trPr>
          <w:trHeight w:val="2601"/>
          <w:jc w:val="center"/>
        </w:trPr>
        <w:tc>
          <w:tcPr>
            <w:tcW w:w="1363" w:type="dxa"/>
            <w:tcBorders>
              <w:tl2br w:val="single" w:sz="4" w:space="0" w:color="auto"/>
            </w:tcBorders>
          </w:tcPr>
          <w:p w14:paraId="3F9DC477" w14:textId="77777777" w:rsidR="005A582E" w:rsidRDefault="00111516">
            <w:pPr>
              <w:pStyle w:val="afc"/>
              <w:spacing w:line="360" w:lineRule="auto"/>
              <w:ind w:rightChars="-85" w:right="-178" w:firstLineChars="235" w:firstLine="423"/>
              <w:rPr>
                <w:sz w:val="18"/>
                <w:szCs w:val="18"/>
              </w:rPr>
            </w:pPr>
            <w:r>
              <w:rPr>
                <w:rFonts w:hAnsi="宋体"/>
                <w:sz w:val="18"/>
                <w:szCs w:val="18"/>
              </w:rPr>
              <w:t>转入</w:t>
            </w:r>
          </w:p>
          <w:p w14:paraId="2286CD58" w14:textId="77777777" w:rsidR="005A582E" w:rsidRDefault="00111516">
            <w:pPr>
              <w:pStyle w:val="afc"/>
              <w:spacing w:line="360" w:lineRule="auto"/>
              <w:ind w:rightChars="-85" w:right="-178" w:firstLineChars="235" w:firstLine="423"/>
              <w:rPr>
                <w:sz w:val="18"/>
                <w:szCs w:val="18"/>
              </w:rPr>
            </w:pPr>
            <w:r>
              <w:rPr>
                <w:rFonts w:hAnsi="宋体"/>
                <w:sz w:val="18"/>
                <w:szCs w:val="18"/>
              </w:rPr>
              <w:t>基金</w:t>
            </w:r>
          </w:p>
          <w:p w14:paraId="288060B8" w14:textId="77777777" w:rsidR="005A582E" w:rsidRDefault="00111516">
            <w:pPr>
              <w:pStyle w:val="afc"/>
              <w:spacing w:line="360" w:lineRule="auto"/>
              <w:ind w:rightChars="-85" w:right="-178" w:firstLine="0"/>
              <w:rPr>
                <w:sz w:val="18"/>
                <w:szCs w:val="18"/>
              </w:rPr>
            </w:pPr>
            <w:r>
              <w:rPr>
                <w:rFonts w:hAnsi="宋体"/>
                <w:sz w:val="18"/>
                <w:szCs w:val="18"/>
              </w:rPr>
              <w:t>转出</w:t>
            </w:r>
          </w:p>
          <w:p w14:paraId="600B2BB6" w14:textId="77777777" w:rsidR="005A582E" w:rsidRDefault="00111516">
            <w:pPr>
              <w:pStyle w:val="afc"/>
              <w:spacing w:line="360" w:lineRule="auto"/>
              <w:ind w:rightChars="-85" w:right="-178" w:firstLine="0"/>
              <w:rPr>
                <w:sz w:val="18"/>
                <w:szCs w:val="18"/>
              </w:rPr>
            </w:pPr>
            <w:r>
              <w:rPr>
                <w:rFonts w:hAnsi="宋体"/>
                <w:sz w:val="18"/>
                <w:szCs w:val="18"/>
              </w:rPr>
              <w:t>基金</w:t>
            </w:r>
          </w:p>
        </w:tc>
        <w:tc>
          <w:tcPr>
            <w:tcW w:w="1276" w:type="dxa"/>
            <w:vAlign w:val="center"/>
          </w:tcPr>
          <w:p w14:paraId="2798E027" w14:textId="77777777" w:rsidR="005A582E" w:rsidRDefault="00111516">
            <w:pPr>
              <w:pStyle w:val="afc"/>
              <w:spacing w:line="360" w:lineRule="auto"/>
              <w:ind w:rightChars="-85" w:right="-178" w:firstLine="0"/>
              <w:jc w:val="left"/>
              <w:rPr>
                <w:sz w:val="18"/>
                <w:szCs w:val="18"/>
              </w:rPr>
            </w:pPr>
            <w:r>
              <w:rPr>
                <w:rFonts w:hAnsi="宋体"/>
                <w:sz w:val="18"/>
                <w:szCs w:val="18"/>
              </w:rPr>
              <w:t>前端收费模式下股票基金和混合基金</w:t>
            </w:r>
          </w:p>
        </w:tc>
        <w:tc>
          <w:tcPr>
            <w:tcW w:w="1303" w:type="dxa"/>
            <w:vAlign w:val="center"/>
          </w:tcPr>
          <w:p w14:paraId="2EDBF563" w14:textId="77777777" w:rsidR="005A582E" w:rsidRDefault="00111516">
            <w:pPr>
              <w:pStyle w:val="afc"/>
              <w:spacing w:line="360" w:lineRule="auto"/>
              <w:ind w:firstLine="0"/>
              <w:jc w:val="center"/>
              <w:rPr>
                <w:sz w:val="18"/>
                <w:szCs w:val="18"/>
              </w:rPr>
            </w:pPr>
            <w:r>
              <w:rPr>
                <w:rFonts w:hAnsi="宋体"/>
                <w:sz w:val="18"/>
                <w:szCs w:val="18"/>
              </w:rPr>
              <w:t>后端收费模式下股票基金和混合基金</w:t>
            </w:r>
          </w:p>
        </w:tc>
        <w:tc>
          <w:tcPr>
            <w:tcW w:w="851" w:type="dxa"/>
            <w:vAlign w:val="center"/>
          </w:tcPr>
          <w:p w14:paraId="476199CD" w14:textId="77777777" w:rsidR="005A582E" w:rsidRDefault="00111516">
            <w:pPr>
              <w:pStyle w:val="afc"/>
              <w:spacing w:line="360" w:lineRule="auto"/>
              <w:ind w:rightChars="-85" w:right="-178" w:firstLine="0"/>
              <w:jc w:val="left"/>
              <w:rPr>
                <w:sz w:val="18"/>
                <w:szCs w:val="18"/>
              </w:rPr>
            </w:pPr>
            <w:r>
              <w:rPr>
                <w:rFonts w:hAnsi="宋体"/>
                <w:sz w:val="18"/>
                <w:szCs w:val="18"/>
              </w:rPr>
              <w:t>债券基金</w:t>
            </w:r>
            <w:r>
              <w:rPr>
                <w:sz w:val="18"/>
                <w:szCs w:val="18"/>
              </w:rPr>
              <w:t>A</w:t>
            </w:r>
            <w:r>
              <w:rPr>
                <w:rFonts w:hAnsi="宋体"/>
                <w:sz w:val="18"/>
                <w:szCs w:val="18"/>
              </w:rPr>
              <w:t>类基金份额</w:t>
            </w:r>
          </w:p>
        </w:tc>
        <w:tc>
          <w:tcPr>
            <w:tcW w:w="850" w:type="dxa"/>
            <w:vAlign w:val="center"/>
          </w:tcPr>
          <w:p w14:paraId="06562837" w14:textId="77777777" w:rsidR="005A582E" w:rsidRDefault="00111516">
            <w:pPr>
              <w:pStyle w:val="afc"/>
              <w:spacing w:line="360" w:lineRule="auto"/>
              <w:ind w:rightChars="-85" w:right="-178" w:firstLine="0"/>
              <w:jc w:val="left"/>
              <w:rPr>
                <w:sz w:val="18"/>
                <w:szCs w:val="18"/>
              </w:rPr>
            </w:pPr>
            <w:r>
              <w:rPr>
                <w:rFonts w:hAnsi="宋体"/>
                <w:sz w:val="18"/>
                <w:szCs w:val="18"/>
              </w:rPr>
              <w:t>债券基金</w:t>
            </w:r>
            <w:r>
              <w:rPr>
                <w:sz w:val="18"/>
                <w:szCs w:val="18"/>
              </w:rPr>
              <w:t>B</w:t>
            </w:r>
            <w:r>
              <w:rPr>
                <w:rFonts w:hAnsi="宋体"/>
                <w:sz w:val="18"/>
                <w:szCs w:val="18"/>
              </w:rPr>
              <w:t>类基金份额</w:t>
            </w:r>
          </w:p>
        </w:tc>
        <w:tc>
          <w:tcPr>
            <w:tcW w:w="851" w:type="dxa"/>
            <w:vAlign w:val="center"/>
          </w:tcPr>
          <w:p w14:paraId="3251782F" w14:textId="77777777" w:rsidR="005A582E" w:rsidRDefault="00111516">
            <w:pPr>
              <w:pStyle w:val="afc"/>
              <w:spacing w:line="360" w:lineRule="auto"/>
              <w:ind w:rightChars="-85" w:right="-178" w:firstLine="0"/>
              <w:jc w:val="left"/>
              <w:rPr>
                <w:sz w:val="18"/>
                <w:szCs w:val="18"/>
              </w:rPr>
            </w:pPr>
            <w:r>
              <w:rPr>
                <w:rFonts w:hAnsi="宋体"/>
                <w:sz w:val="18"/>
                <w:szCs w:val="18"/>
              </w:rPr>
              <w:t>债券基金</w:t>
            </w:r>
            <w:r>
              <w:rPr>
                <w:sz w:val="18"/>
                <w:szCs w:val="18"/>
              </w:rPr>
              <w:t>C</w:t>
            </w:r>
            <w:r>
              <w:rPr>
                <w:rFonts w:hAnsi="宋体"/>
                <w:sz w:val="18"/>
                <w:szCs w:val="18"/>
              </w:rPr>
              <w:t>类基金份额</w:t>
            </w:r>
          </w:p>
        </w:tc>
        <w:tc>
          <w:tcPr>
            <w:tcW w:w="850" w:type="dxa"/>
            <w:vAlign w:val="center"/>
          </w:tcPr>
          <w:p w14:paraId="7A7C715F" w14:textId="77777777" w:rsidR="005A582E" w:rsidRDefault="00111516">
            <w:pPr>
              <w:pStyle w:val="afc"/>
              <w:spacing w:line="360" w:lineRule="auto"/>
              <w:ind w:rightChars="-85" w:right="-178" w:firstLine="0"/>
              <w:jc w:val="left"/>
              <w:rPr>
                <w:sz w:val="18"/>
                <w:szCs w:val="18"/>
              </w:rPr>
            </w:pPr>
            <w:r>
              <w:rPr>
                <w:rFonts w:hAnsi="宋体"/>
                <w:sz w:val="18"/>
                <w:szCs w:val="18"/>
              </w:rPr>
              <w:t>交银货币</w:t>
            </w:r>
          </w:p>
        </w:tc>
        <w:tc>
          <w:tcPr>
            <w:tcW w:w="1264" w:type="dxa"/>
          </w:tcPr>
          <w:p w14:paraId="13164299" w14:textId="77777777" w:rsidR="005A582E" w:rsidRDefault="00111516">
            <w:pPr>
              <w:pStyle w:val="afc"/>
              <w:spacing w:line="360" w:lineRule="auto"/>
              <w:ind w:rightChars="-85" w:right="-178" w:firstLine="0"/>
              <w:jc w:val="left"/>
              <w:rPr>
                <w:rFonts w:hAnsi="宋体"/>
                <w:sz w:val="18"/>
                <w:szCs w:val="18"/>
              </w:rPr>
            </w:pPr>
            <w:r>
              <w:rPr>
                <w:rFonts w:hAnsi="宋体" w:hint="eastAsia"/>
                <w:sz w:val="18"/>
                <w:szCs w:val="18"/>
              </w:rPr>
              <w:t>除交银</w:t>
            </w:r>
            <w:r>
              <w:rPr>
                <w:rFonts w:hAnsi="宋体"/>
                <w:sz w:val="18"/>
                <w:szCs w:val="18"/>
              </w:rPr>
              <w:t>货币</w:t>
            </w:r>
            <w:r>
              <w:rPr>
                <w:rFonts w:hAnsi="宋体" w:hint="eastAsia"/>
                <w:sz w:val="18"/>
                <w:szCs w:val="18"/>
              </w:rPr>
              <w:t>以外</w:t>
            </w:r>
            <w:r>
              <w:rPr>
                <w:rFonts w:hAnsi="宋体"/>
                <w:sz w:val="18"/>
                <w:szCs w:val="18"/>
              </w:rPr>
              <w:t>的</w:t>
            </w:r>
            <w:r>
              <w:rPr>
                <w:rFonts w:hAnsi="宋体" w:hint="eastAsia"/>
                <w:sz w:val="18"/>
                <w:szCs w:val="18"/>
              </w:rPr>
              <w:t>其他</w:t>
            </w:r>
            <w:r>
              <w:rPr>
                <w:rFonts w:hAnsi="宋体"/>
                <w:sz w:val="18"/>
                <w:szCs w:val="18"/>
              </w:rPr>
              <w:t>货币基金</w:t>
            </w:r>
            <w:r>
              <w:rPr>
                <w:rFonts w:hAnsi="宋体" w:hint="eastAsia"/>
                <w:sz w:val="18"/>
                <w:szCs w:val="18"/>
              </w:rPr>
              <w:t>A</w:t>
            </w:r>
            <w:r>
              <w:rPr>
                <w:rFonts w:hAnsi="宋体"/>
                <w:sz w:val="18"/>
                <w:szCs w:val="18"/>
              </w:rPr>
              <w:t>类</w:t>
            </w:r>
            <w:r>
              <w:rPr>
                <w:rFonts w:hAnsi="宋体" w:hint="eastAsia"/>
                <w:sz w:val="18"/>
                <w:szCs w:val="18"/>
              </w:rPr>
              <w:t>基金</w:t>
            </w:r>
            <w:r>
              <w:rPr>
                <w:rFonts w:hAnsi="宋体"/>
                <w:sz w:val="18"/>
                <w:szCs w:val="18"/>
              </w:rPr>
              <w:t>份额</w:t>
            </w:r>
          </w:p>
        </w:tc>
        <w:tc>
          <w:tcPr>
            <w:tcW w:w="1281" w:type="dxa"/>
          </w:tcPr>
          <w:p w14:paraId="5805AF70" w14:textId="77777777" w:rsidR="005A582E" w:rsidRDefault="00111516">
            <w:pPr>
              <w:pStyle w:val="afc"/>
              <w:spacing w:line="360" w:lineRule="auto"/>
              <w:ind w:left="90" w:rightChars="-85" w:right="-178" w:hangingChars="50" w:hanging="90"/>
              <w:jc w:val="left"/>
              <w:rPr>
                <w:rFonts w:hAnsi="宋体"/>
                <w:sz w:val="18"/>
                <w:szCs w:val="18"/>
              </w:rPr>
            </w:pPr>
            <w:r>
              <w:rPr>
                <w:rFonts w:hAnsi="宋体" w:hint="eastAsia"/>
                <w:sz w:val="18"/>
                <w:szCs w:val="18"/>
              </w:rPr>
              <w:t>除交银</w:t>
            </w:r>
            <w:r>
              <w:rPr>
                <w:rFonts w:hAnsi="宋体"/>
                <w:sz w:val="18"/>
                <w:szCs w:val="18"/>
              </w:rPr>
              <w:t>货币</w:t>
            </w:r>
            <w:r>
              <w:rPr>
                <w:rFonts w:hAnsi="宋体" w:hint="eastAsia"/>
                <w:sz w:val="18"/>
                <w:szCs w:val="18"/>
              </w:rPr>
              <w:t>以外</w:t>
            </w:r>
            <w:r>
              <w:rPr>
                <w:rFonts w:hAnsi="宋体"/>
                <w:sz w:val="18"/>
                <w:szCs w:val="18"/>
              </w:rPr>
              <w:t>的</w:t>
            </w:r>
            <w:r>
              <w:rPr>
                <w:rFonts w:hAnsi="宋体" w:hint="eastAsia"/>
                <w:sz w:val="18"/>
                <w:szCs w:val="18"/>
              </w:rPr>
              <w:t>其他</w:t>
            </w:r>
            <w:r>
              <w:rPr>
                <w:rFonts w:hAnsi="宋体"/>
                <w:sz w:val="18"/>
                <w:szCs w:val="18"/>
              </w:rPr>
              <w:t>货币基金</w:t>
            </w:r>
            <w:r>
              <w:rPr>
                <w:rFonts w:hAnsi="宋体"/>
                <w:sz w:val="18"/>
                <w:szCs w:val="18"/>
              </w:rPr>
              <w:t>E</w:t>
            </w:r>
            <w:r>
              <w:rPr>
                <w:rFonts w:hAnsi="宋体"/>
                <w:sz w:val="18"/>
                <w:szCs w:val="18"/>
              </w:rPr>
              <w:t>类</w:t>
            </w:r>
            <w:r>
              <w:rPr>
                <w:rFonts w:hAnsi="宋体" w:hint="eastAsia"/>
                <w:sz w:val="18"/>
                <w:szCs w:val="18"/>
              </w:rPr>
              <w:t>基金</w:t>
            </w:r>
            <w:r>
              <w:rPr>
                <w:rFonts w:hAnsi="宋体"/>
                <w:sz w:val="18"/>
                <w:szCs w:val="18"/>
              </w:rPr>
              <w:t>份额</w:t>
            </w:r>
          </w:p>
        </w:tc>
      </w:tr>
      <w:tr w:rsidR="005A582E" w14:paraId="5AC32DE9" w14:textId="77777777">
        <w:trPr>
          <w:trHeight w:val="1275"/>
          <w:jc w:val="center"/>
        </w:trPr>
        <w:tc>
          <w:tcPr>
            <w:tcW w:w="1363" w:type="dxa"/>
            <w:vAlign w:val="center"/>
          </w:tcPr>
          <w:p w14:paraId="3BB6E0EA" w14:textId="77777777" w:rsidR="005A582E" w:rsidRDefault="00111516">
            <w:pPr>
              <w:pStyle w:val="afc"/>
              <w:spacing w:line="360" w:lineRule="auto"/>
              <w:ind w:firstLine="0"/>
              <w:jc w:val="center"/>
              <w:rPr>
                <w:sz w:val="18"/>
                <w:szCs w:val="18"/>
              </w:rPr>
            </w:pPr>
            <w:r>
              <w:rPr>
                <w:rFonts w:hAnsi="宋体"/>
                <w:sz w:val="18"/>
                <w:szCs w:val="18"/>
              </w:rPr>
              <w:t>前端收费模式下股票基金和混合基金</w:t>
            </w:r>
          </w:p>
        </w:tc>
        <w:tc>
          <w:tcPr>
            <w:tcW w:w="1276" w:type="dxa"/>
            <w:vAlign w:val="center"/>
          </w:tcPr>
          <w:p w14:paraId="71DF321E"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303" w:type="dxa"/>
            <w:vAlign w:val="center"/>
          </w:tcPr>
          <w:p w14:paraId="1A92A32F" w14:textId="77777777" w:rsidR="005A582E" w:rsidRDefault="00111516">
            <w:pPr>
              <w:pStyle w:val="afc"/>
              <w:spacing w:line="360" w:lineRule="auto"/>
              <w:ind w:firstLine="0"/>
              <w:jc w:val="center"/>
              <w:rPr>
                <w:sz w:val="18"/>
                <w:szCs w:val="18"/>
              </w:rPr>
            </w:pPr>
            <w:r>
              <w:rPr>
                <w:sz w:val="18"/>
                <w:szCs w:val="18"/>
              </w:rPr>
              <w:t>—</w:t>
            </w:r>
          </w:p>
        </w:tc>
        <w:tc>
          <w:tcPr>
            <w:tcW w:w="851" w:type="dxa"/>
            <w:vAlign w:val="center"/>
          </w:tcPr>
          <w:p w14:paraId="068B0656"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1E7ED6EE" w14:textId="77777777" w:rsidR="005A582E" w:rsidRDefault="00111516">
            <w:pPr>
              <w:pStyle w:val="afc"/>
              <w:spacing w:line="360" w:lineRule="auto"/>
              <w:ind w:firstLine="0"/>
              <w:jc w:val="center"/>
              <w:rPr>
                <w:sz w:val="18"/>
                <w:szCs w:val="18"/>
              </w:rPr>
            </w:pPr>
            <w:r>
              <w:rPr>
                <w:sz w:val="18"/>
                <w:szCs w:val="18"/>
              </w:rPr>
              <w:t>—</w:t>
            </w:r>
          </w:p>
        </w:tc>
        <w:tc>
          <w:tcPr>
            <w:tcW w:w="851" w:type="dxa"/>
            <w:vAlign w:val="center"/>
          </w:tcPr>
          <w:p w14:paraId="03081918"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68B75CC6"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64" w:type="dxa"/>
            <w:vAlign w:val="center"/>
          </w:tcPr>
          <w:p w14:paraId="5D6EF478" w14:textId="77777777" w:rsidR="005A582E" w:rsidRDefault="00111516">
            <w:pPr>
              <w:pStyle w:val="afc"/>
              <w:spacing w:line="360" w:lineRule="auto"/>
              <w:ind w:firstLineChars="200" w:firstLine="360"/>
              <w:rPr>
                <w:sz w:val="18"/>
                <w:szCs w:val="18"/>
              </w:rPr>
            </w:pPr>
            <w:r>
              <w:rPr>
                <w:sz w:val="18"/>
                <w:szCs w:val="18"/>
              </w:rPr>
              <w:t>—</w:t>
            </w:r>
          </w:p>
        </w:tc>
        <w:tc>
          <w:tcPr>
            <w:tcW w:w="1281" w:type="dxa"/>
            <w:vAlign w:val="center"/>
          </w:tcPr>
          <w:p w14:paraId="04A57697" w14:textId="77777777" w:rsidR="005A582E" w:rsidRDefault="00111516">
            <w:pPr>
              <w:pStyle w:val="afc"/>
              <w:spacing w:line="360" w:lineRule="auto"/>
              <w:ind w:firstLine="0"/>
              <w:jc w:val="center"/>
              <w:rPr>
                <w:rFonts w:hAnsi="宋体"/>
                <w:sz w:val="18"/>
                <w:szCs w:val="18"/>
              </w:rPr>
            </w:pPr>
            <w:r>
              <w:rPr>
                <w:sz w:val="18"/>
                <w:szCs w:val="18"/>
              </w:rPr>
              <w:t>—</w:t>
            </w:r>
          </w:p>
        </w:tc>
      </w:tr>
      <w:tr w:rsidR="005A582E" w14:paraId="413CF7E5" w14:textId="77777777">
        <w:trPr>
          <w:trHeight w:val="1311"/>
          <w:jc w:val="center"/>
        </w:trPr>
        <w:tc>
          <w:tcPr>
            <w:tcW w:w="1363" w:type="dxa"/>
            <w:vAlign w:val="center"/>
          </w:tcPr>
          <w:p w14:paraId="0CC5202F" w14:textId="77777777" w:rsidR="005A582E" w:rsidRDefault="00111516">
            <w:pPr>
              <w:pStyle w:val="afc"/>
              <w:spacing w:line="360" w:lineRule="auto"/>
              <w:ind w:firstLine="0"/>
              <w:jc w:val="center"/>
              <w:rPr>
                <w:sz w:val="18"/>
                <w:szCs w:val="18"/>
              </w:rPr>
            </w:pPr>
            <w:r>
              <w:rPr>
                <w:rFonts w:hAnsi="宋体"/>
                <w:sz w:val="18"/>
                <w:szCs w:val="18"/>
              </w:rPr>
              <w:t>后端收费模式下股票基金和混合基金</w:t>
            </w:r>
          </w:p>
        </w:tc>
        <w:tc>
          <w:tcPr>
            <w:tcW w:w="1276" w:type="dxa"/>
            <w:vAlign w:val="center"/>
          </w:tcPr>
          <w:p w14:paraId="01706B11" w14:textId="77777777" w:rsidR="005A582E" w:rsidRDefault="00111516">
            <w:pPr>
              <w:pStyle w:val="afc"/>
              <w:spacing w:line="360" w:lineRule="auto"/>
              <w:ind w:firstLine="0"/>
              <w:jc w:val="center"/>
              <w:rPr>
                <w:sz w:val="18"/>
                <w:szCs w:val="18"/>
              </w:rPr>
            </w:pPr>
            <w:r>
              <w:rPr>
                <w:sz w:val="18"/>
                <w:szCs w:val="18"/>
              </w:rPr>
              <w:t>—</w:t>
            </w:r>
          </w:p>
        </w:tc>
        <w:tc>
          <w:tcPr>
            <w:tcW w:w="1303" w:type="dxa"/>
            <w:vAlign w:val="center"/>
          </w:tcPr>
          <w:p w14:paraId="50C8234C"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28FEF653" w14:textId="77777777" w:rsidR="005A582E" w:rsidRDefault="00111516">
            <w:pPr>
              <w:pStyle w:val="afc"/>
              <w:spacing w:line="360" w:lineRule="auto"/>
              <w:ind w:firstLine="0"/>
              <w:jc w:val="center"/>
              <w:rPr>
                <w:sz w:val="18"/>
                <w:szCs w:val="18"/>
              </w:rPr>
            </w:pPr>
            <w:r>
              <w:rPr>
                <w:sz w:val="18"/>
                <w:szCs w:val="18"/>
              </w:rPr>
              <w:t>—</w:t>
            </w:r>
          </w:p>
        </w:tc>
        <w:tc>
          <w:tcPr>
            <w:tcW w:w="850" w:type="dxa"/>
            <w:vAlign w:val="center"/>
          </w:tcPr>
          <w:p w14:paraId="583C99AE"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27E085A6"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6B73F82F"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64" w:type="dxa"/>
            <w:vAlign w:val="center"/>
          </w:tcPr>
          <w:p w14:paraId="5B051CD5" w14:textId="77777777" w:rsidR="005A582E" w:rsidRDefault="00111516">
            <w:pPr>
              <w:pStyle w:val="afc"/>
              <w:spacing w:line="360" w:lineRule="auto"/>
              <w:ind w:firstLine="0"/>
              <w:jc w:val="center"/>
              <w:rPr>
                <w:rFonts w:hAnsi="宋体"/>
                <w:sz w:val="18"/>
                <w:szCs w:val="18"/>
              </w:rPr>
            </w:pPr>
            <w:r>
              <w:rPr>
                <w:sz w:val="18"/>
                <w:szCs w:val="18"/>
              </w:rPr>
              <w:t>—</w:t>
            </w:r>
          </w:p>
        </w:tc>
        <w:tc>
          <w:tcPr>
            <w:tcW w:w="1281" w:type="dxa"/>
            <w:vAlign w:val="center"/>
          </w:tcPr>
          <w:p w14:paraId="6E2FF7A9" w14:textId="77777777" w:rsidR="005A582E" w:rsidRDefault="00111516">
            <w:pPr>
              <w:pStyle w:val="afc"/>
              <w:spacing w:line="360" w:lineRule="auto"/>
              <w:ind w:firstLine="0"/>
              <w:jc w:val="center"/>
              <w:rPr>
                <w:rFonts w:hAnsi="宋体"/>
                <w:sz w:val="18"/>
                <w:szCs w:val="18"/>
              </w:rPr>
            </w:pPr>
            <w:r>
              <w:rPr>
                <w:sz w:val="18"/>
                <w:szCs w:val="18"/>
              </w:rPr>
              <w:t>—</w:t>
            </w:r>
          </w:p>
        </w:tc>
      </w:tr>
      <w:tr w:rsidR="005A582E" w14:paraId="32AFE9E3" w14:textId="77777777">
        <w:trPr>
          <w:trHeight w:val="786"/>
          <w:jc w:val="center"/>
        </w:trPr>
        <w:tc>
          <w:tcPr>
            <w:tcW w:w="1363" w:type="dxa"/>
            <w:vAlign w:val="center"/>
          </w:tcPr>
          <w:p w14:paraId="5AFEDC70" w14:textId="77777777" w:rsidR="005A582E" w:rsidRDefault="00111516">
            <w:pPr>
              <w:pStyle w:val="afc"/>
              <w:spacing w:line="360" w:lineRule="auto"/>
              <w:ind w:firstLine="0"/>
              <w:jc w:val="center"/>
              <w:rPr>
                <w:sz w:val="18"/>
                <w:szCs w:val="18"/>
              </w:rPr>
            </w:pPr>
            <w:r>
              <w:rPr>
                <w:rFonts w:hAnsi="宋体"/>
                <w:sz w:val="18"/>
                <w:szCs w:val="18"/>
              </w:rPr>
              <w:t>债券基金</w:t>
            </w:r>
            <w:r>
              <w:rPr>
                <w:sz w:val="18"/>
                <w:szCs w:val="18"/>
              </w:rPr>
              <w:t>A</w:t>
            </w:r>
            <w:r>
              <w:rPr>
                <w:rFonts w:hAnsi="宋体"/>
                <w:sz w:val="18"/>
                <w:szCs w:val="18"/>
              </w:rPr>
              <w:t>类</w:t>
            </w:r>
            <w:r>
              <w:rPr>
                <w:rFonts w:hAnsi="宋体"/>
                <w:sz w:val="18"/>
                <w:szCs w:val="18"/>
              </w:rPr>
              <w:lastRenderedPageBreak/>
              <w:t>基金份额</w:t>
            </w:r>
          </w:p>
        </w:tc>
        <w:tc>
          <w:tcPr>
            <w:tcW w:w="1276" w:type="dxa"/>
            <w:tcBorders>
              <w:right w:val="single" w:sz="4" w:space="0" w:color="auto"/>
            </w:tcBorders>
            <w:vAlign w:val="center"/>
          </w:tcPr>
          <w:p w14:paraId="7E5BA321" w14:textId="77777777" w:rsidR="005A582E" w:rsidRDefault="00111516">
            <w:pPr>
              <w:pStyle w:val="afc"/>
              <w:spacing w:line="360" w:lineRule="auto"/>
              <w:ind w:firstLine="0"/>
              <w:jc w:val="center"/>
              <w:rPr>
                <w:sz w:val="18"/>
                <w:szCs w:val="18"/>
              </w:rPr>
            </w:pPr>
            <w:r>
              <w:rPr>
                <w:rFonts w:hAnsi="宋体"/>
                <w:sz w:val="18"/>
                <w:szCs w:val="18"/>
              </w:rPr>
              <w:lastRenderedPageBreak/>
              <w:t>已开通</w:t>
            </w:r>
          </w:p>
        </w:tc>
        <w:tc>
          <w:tcPr>
            <w:tcW w:w="1303" w:type="dxa"/>
            <w:tcBorders>
              <w:right w:val="single" w:sz="4" w:space="0" w:color="auto"/>
            </w:tcBorders>
            <w:vAlign w:val="center"/>
          </w:tcPr>
          <w:p w14:paraId="1C8E1F27" w14:textId="77777777" w:rsidR="005A582E" w:rsidRDefault="00111516">
            <w:pPr>
              <w:pStyle w:val="afc"/>
              <w:spacing w:line="360" w:lineRule="auto"/>
              <w:ind w:firstLine="0"/>
              <w:jc w:val="center"/>
              <w:rPr>
                <w:sz w:val="18"/>
                <w:szCs w:val="18"/>
              </w:rPr>
            </w:pPr>
            <w:r>
              <w:rPr>
                <w:sz w:val="18"/>
                <w:szCs w:val="18"/>
              </w:rPr>
              <w:t>—</w:t>
            </w:r>
          </w:p>
        </w:tc>
        <w:tc>
          <w:tcPr>
            <w:tcW w:w="851" w:type="dxa"/>
            <w:tcBorders>
              <w:left w:val="single" w:sz="4" w:space="0" w:color="auto"/>
            </w:tcBorders>
            <w:vAlign w:val="center"/>
          </w:tcPr>
          <w:p w14:paraId="134DDFE1"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2D9283DF" w14:textId="77777777" w:rsidR="005A582E" w:rsidRDefault="00111516">
            <w:pPr>
              <w:pStyle w:val="afc"/>
              <w:spacing w:line="360" w:lineRule="auto"/>
              <w:ind w:firstLine="0"/>
              <w:jc w:val="center"/>
              <w:rPr>
                <w:sz w:val="18"/>
                <w:szCs w:val="18"/>
              </w:rPr>
            </w:pPr>
            <w:r>
              <w:rPr>
                <w:sz w:val="18"/>
                <w:szCs w:val="18"/>
              </w:rPr>
              <w:t>—</w:t>
            </w:r>
          </w:p>
        </w:tc>
        <w:tc>
          <w:tcPr>
            <w:tcW w:w="851" w:type="dxa"/>
            <w:vAlign w:val="center"/>
          </w:tcPr>
          <w:p w14:paraId="68D9C046"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04B23B77"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64" w:type="dxa"/>
            <w:vAlign w:val="center"/>
          </w:tcPr>
          <w:p w14:paraId="449FE546" w14:textId="77777777" w:rsidR="005A582E" w:rsidRDefault="00111516">
            <w:pPr>
              <w:pStyle w:val="afc"/>
              <w:spacing w:line="360" w:lineRule="auto"/>
              <w:ind w:firstLine="0"/>
              <w:jc w:val="center"/>
              <w:rPr>
                <w:rFonts w:hAnsi="宋体"/>
                <w:sz w:val="18"/>
                <w:szCs w:val="18"/>
              </w:rPr>
            </w:pPr>
            <w:r>
              <w:rPr>
                <w:sz w:val="18"/>
                <w:szCs w:val="18"/>
              </w:rPr>
              <w:t>—</w:t>
            </w:r>
          </w:p>
        </w:tc>
        <w:tc>
          <w:tcPr>
            <w:tcW w:w="1281" w:type="dxa"/>
            <w:vAlign w:val="center"/>
          </w:tcPr>
          <w:p w14:paraId="452B8C3D" w14:textId="77777777" w:rsidR="005A582E" w:rsidRDefault="00111516">
            <w:pPr>
              <w:pStyle w:val="afc"/>
              <w:spacing w:line="360" w:lineRule="auto"/>
              <w:ind w:firstLine="0"/>
              <w:jc w:val="center"/>
              <w:rPr>
                <w:rFonts w:hAnsi="宋体"/>
                <w:sz w:val="18"/>
                <w:szCs w:val="18"/>
              </w:rPr>
            </w:pPr>
            <w:r>
              <w:rPr>
                <w:sz w:val="18"/>
                <w:szCs w:val="18"/>
              </w:rPr>
              <w:t>—</w:t>
            </w:r>
          </w:p>
        </w:tc>
      </w:tr>
      <w:tr w:rsidR="005A582E" w14:paraId="067BF8C1" w14:textId="77777777">
        <w:trPr>
          <w:trHeight w:val="838"/>
          <w:jc w:val="center"/>
        </w:trPr>
        <w:tc>
          <w:tcPr>
            <w:tcW w:w="1363" w:type="dxa"/>
            <w:vAlign w:val="center"/>
          </w:tcPr>
          <w:p w14:paraId="21AC6842" w14:textId="77777777" w:rsidR="005A582E" w:rsidRDefault="00111516">
            <w:pPr>
              <w:pStyle w:val="afc"/>
              <w:spacing w:line="360" w:lineRule="auto"/>
              <w:ind w:firstLine="0"/>
              <w:jc w:val="center"/>
              <w:rPr>
                <w:sz w:val="18"/>
                <w:szCs w:val="18"/>
              </w:rPr>
            </w:pPr>
            <w:r>
              <w:rPr>
                <w:rFonts w:hAnsi="宋体"/>
                <w:sz w:val="18"/>
                <w:szCs w:val="18"/>
              </w:rPr>
              <w:t>债券基金</w:t>
            </w:r>
            <w:r>
              <w:rPr>
                <w:sz w:val="18"/>
                <w:szCs w:val="18"/>
              </w:rPr>
              <w:t>B</w:t>
            </w:r>
            <w:r>
              <w:rPr>
                <w:rFonts w:hAnsi="宋体"/>
                <w:sz w:val="18"/>
                <w:szCs w:val="18"/>
              </w:rPr>
              <w:t>类基金份额</w:t>
            </w:r>
          </w:p>
        </w:tc>
        <w:tc>
          <w:tcPr>
            <w:tcW w:w="1276" w:type="dxa"/>
            <w:tcBorders>
              <w:right w:val="single" w:sz="4" w:space="0" w:color="auto"/>
            </w:tcBorders>
            <w:vAlign w:val="center"/>
          </w:tcPr>
          <w:p w14:paraId="6E2867B1" w14:textId="77777777" w:rsidR="005A582E" w:rsidRDefault="00111516">
            <w:pPr>
              <w:pStyle w:val="afc"/>
              <w:spacing w:line="360" w:lineRule="auto"/>
              <w:ind w:firstLine="0"/>
              <w:jc w:val="center"/>
              <w:rPr>
                <w:sz w:val="18"/>
                <w:szCs w:val="18"/>
              </w:rPr>
            </w:pPr>
            <w:r>
              <w:rPr>
                <w:sz w:val="18"/>
                <w:szCs w:val="18"/>
              </w:rPr>
              <w:t>—</w:t>
            </w:r>
          </w:p>
        </w:tc>
        <w:tc>
          <w:tcPr>
            <w:tcW w:w="1303" w:type="dxa"/>
            <w:tcBorders>
              <w:right w:val="single" w:sz="4" w:space="0" w:color="auto"/>
            </w:tcBorders>
            <w:vAlign w:val="center"/>
          </w:tcPr>
          <w:p w14:paraId="1F1EE897"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tcBorders>
              <w:left w:val="single" w:sz="4" w:space="0" w:color="auto"/>
            </w:tcBorders>
            <w:vAlign w:val="center"/>
          </w:tcPr>
          <w:p w14:paraId="7FCDA2EC" w14:textId="77777777" w:rsidR="005A582E" w:rsidRDefault="00111516">
            <w:pPr>
              <w:pStyle w:val="afc"/>
              <w:spacing w:line="360" w:lineRule="auto"/>
              <w:ind w:firstLine="0"/>
              <w:jc w:val="center"/>
              <w:rPr>
                <w:sz w:val="18"/>
                <w:szCs w:val="18"/>
              </w:rPr>
            </w:pPr>
            <w:r>
              <w:rPr>
                <w:sz w:val="18"/>
                <w:szCs w:val="18"/>
              </w:rPr>
              <w:t>—</w:t>
            </w:r>
          </w:p>
        </w:tc>
        <w:tc>
          <w:tcPr>
            <w:tcW w:w="850" w:type="dxa"/>
            <w:vAlign w:val="center"/>
          </w:tcPr>
          <w:p w14:paraId="0EF02F2C"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2F4E7324"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6FA402D8"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64" w:type="dxa"/>
            <w:vAlign w:val="center"/>
          </w:tcPr>
          <w:p w14:paraId="020DFF59" w14:textId="77777777" w:rsidR="005A582E" w:rsidRDefault="00111516">
            <w:pPr>
              <w:pStyle w:val="afc"/>
              <w:spacing w:line="360" w:lineRule="auto"/>
              <w:ind w:firstLine="0"/>
              <w:jc w:val="center"/>
              <w:rPr>
                <w:rFonts w:hAnsi="宋体"/>
                <w:sz w:val="18"/>
                <w:szCs w:val="18"/>
              </w:rPr>
            </w:pPr>
            <w:r>
              <w:rPr>
                <w:sz w:val="18"/>
                <w:szCs w:val="18"/>
              </w:rPr>
              <w:t>—</w:t>
            </w:r>
          </w:p>
        </w:tc>
        <w:tc>
          <w:tcPr>
            <w:tcW w:w="1281" w:type="dxa"/>
            <w:vAlign w:val="center"/>
          </w:tcPr>
          <w:p w14:paraId="6E09BBF1" w14:textId="77777777" w:rsidR="005A582E" w:rsidRDefault="00111516">
            <w:pPr>
              <w:pStyle w:val="afc"/>
              <w:spacing w:line="360" w:lineRule="auto"/>
              <w:ind w:firstLine="0"/>
              <w:jc w:val="center"/>
              <w:rPr>
                <w:rFonts w:hAnsi="宋体"/>
                <w:sz w:val="18"/>
                <w:szCs w:val="18"/>
              </w:rPr>
            </w:pPr>
            <w:r>
              <w:rPr>
                <w:sz w:val="18"/>
                <w:szCs w:val="18"/>
              </w:rPr>
              <w:t>—</w:t>
            </w:r>
          </w:p>
        </w:tc>
      </w:tr>
      <w:tr w:rsidR="005A582E" w14:paraId="17BCBE28" w14:textId="77777777">
        <w:trPr>
          <w:trHeight w:val="979"/>
          <w:jc w:val="center"/>
        </w:trPr>
        <w:tc>
          <w:tcPr>
            <w:tcW w:w="1363" w:type="dxa"/>
            <w:vAlign w:val="center"/>
          </w:tcPr>
          <w:p w14:paraId="5D02B364" w14:textId="77777777" w:rsidR="005A582E" w:rsidRDefault="00111516">
            <w:pPr>
              <w:pStyle w:val="afc"/>
              <w:spacing w:line="360" w:lineRule="auto"/>
              <w:ind w:firstLine="0"/>
              <w:jc w:val="center"/>
              <w:rPr>
                <w:sz w:val="18"/>
                <w:szCs w:val="18"/>
              </w:rPr>
            </w:pPr>
            <w:r>
              <w:rPr>
                <w:rFonts w:hAnsi="宋体"/>
                <w:sz w:val="18"/>
                <w:szCs w:val="18"/>
              </w:rPr>
              <w:t>债券基金</w:t>
            </w:r>
            <w:r>
              <w:rPr>
                <w:sz w:val="18"/>
                <w:szCs w:val="18"/>
              </w:rPr>
              <w:t>C</w:t>
            </w:r>
            <w:r>
              <w:rPr>
                <w:rFonts w:hAnsi="宋体"/>
                <w:sz w:val="18"/>
                <w:szCs w:val="18"/>
              </w:rPr>
              <w:t>类基金份额</w:t>
            </w:r>
          </w:p>
        </w:tc>
        <w:tc>
          <w:tcPr>
            <w:tcW w:w="1276" w:type="dxa"/>
            <w:vAlign w:val="center"/>
          </w:tcPr>
          <w:p w14:paraId="4BA8F4C5"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303" w:type="dxa"/>
            <w:vAlign w:val="center"/>
          </w:tcPr>
          <w:p w14:paraId="2BC3038F"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736C3E31"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1A9AD550"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40F62D1D"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tcBorders>
              <w:bottom w:val="single" w:sz="4" w:space="0" w:color="auto"/>
            </w:tcBorders>
            <w:vAlign w:val="center"/>
          </w:tcPr>
          <w:p w14:paraId="3F2D7D37"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64" w:type="dxa"/>
            <w:tcBorders>
              <w:bottom w:val="single" w:sz="4" w:space="0" w:color="auto"/>
            </w:tcBorders>
            <w:vAlign w:val="center"/>
          </w:tcPr>
          <w:p w14:paraId="4F296BFD" w14:textId="77777777" w:rsidR="005A582E" w:rsidRDefault="00111516">
            <w:pPr>
              <w:pStyle w:val="afc"/>
              <w:spacing w:line="360" w:lineRule="auto"/>
              <w:ind w:firstLine="0"/>
              <w:jc w:val="center"/>
              <w:rPr>
                <w:rFonts w:hAnsi="宋体"/>
                <w:sz w:val="18"/>
                <w:szCs w:val="18"/>
              </w:rPr>
            </w:pPr>
            <w:r>
              <w:rPr>
                <w:sz w:val="18"/>
                <w:szCs w:val="18"/>
              </w:rPr>
              <w:t>—</w:t>
            </w:r>
          </w:p>
        </w:tc>
        <w:tc>
          <w:tcPr>
            <w:tcW w:w="1281" w:type="dxa"/>
            <w:tcBorders>
              <w:bottom w:val="single" w:sz="4" w:space="0" w:color="auto"/>
            </w:tcBorders>
            <w:vAlign w:val="center"/>
          </w:tcPr>
          <w:p w14:paraId="0320ADEB" w14:textId="77777777" w:rsidR="005A582E" w:rsidRDefault="00111516">
            <w:pPr>
              <w:pStyle w:val="afc"/>
              <w:spacing w:line="360" w:lineRule="auto"/>
              <w:ind w:firstLine="0"/>
              <w:jc w:val="center"/>
              <w:rPr>
                <w:rFonts w:hAnsi="宋体"/>
                <w:sz w:val="18"/>
                <w:szCs w:val="18"/>
              </w:rPr>
            </w:pPr>
            <w:r>
              <w:rPr>
                <w:sz w:val="18"/>
                <w:szCs w:val="18"/>
              </w:rPr>
              <w:t>—</w:t>
            </w:r>
          </w:p>
        </w:tc>
      </w:tr>
      <w:tr w:rsidR="005A582E" w14:paraId="4B4E3033" w14:textId="77777777">
        <w:trPr>
          <w:trHeight w:val="624"/>
          <w:jc w:val="center"/>
        </w:trPr>
        <w:tc>
          <w:tcPr>
            <w:tcW w:w="1363" w:type="dxa"/>
            <w:vAlign w:val="center"/>
          </w:tcPr>
          <w:p w14:paraId="3ED7B756" w14:textId="77777777" w:rsidR="005A582E" w:rsidRDefault="00111516">
            <w:pPr>
              <w:pStyle w:val="afc"/>
              <w:spacing w:line="360" w:lineRule="auto"/>
              <w:ind w:firstLine="0"/>
              <w:jc w:val="center"/>
              <w:rPr>
                <w:sz w:val="18"/>
                <w:szCs w:val="18"/>
              </w:rPr>
            </w:pPr>
            <w:r>
              <w:rPr>
                <w:rFonts w:hAnsi="宋体"/>
                <w:sz w:val="18"/>
                <w:szCs w:val="18"/>
              </w:rPr>
              <w:t>交银货币</w:t>
            </w:r>
          </w:p>
        </w:tc>
        <w:tc>
          <w:tcPr>
            <w:tcW w:w="1276" w:type="dxa"/>
            <w:vAlign w:val="center"/>
          </w:tcPr>
          <w:p w14:paraId="74A12E90"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303" w:type="dxa"/>
            <w:vAlign w:val="center"/>
          </w:tcPr>
          <w:p w14:paraId="66843FB9"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7A8D8E52"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vAlign w:val="center"/>
          </w:tcPr>
          <w:p w14:paraId="2399D222"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1" w:type="dxa"/>
            <w:vAlign w:val="center"/>
          </w:tcPr>
          <w:p w14:paraId="5F1F1D05" w14:textId="77777777" w:rsidR="005A582E" w:rsidRDefault="00111516">
            <w:pPr>
              <w:pStyle w:val="afc"/>
              <w:spacing w:line="360" w:lineRule="auto"/>
              <w:ind w:firstLine="0"/>
              <w:jc w:val="center"/>
              <w:rPr>
                <w:sz w:val="18"/>
                <w:szCs w:val="18"/>
              </w:rPr>
            </w:pPr>
            <w:r>
              <w:rPr>
                <w:rFonts w:hAnsi="宋体"/>
                <w:sz w:val="18"/>
                <w:szCs w:val="18"/>
              </w:rPr>
              <w:t>已开通</w:t>
            </w:r>
          </w:p>
        </w:tc>
        <w:tc>
          <w:tcPr>
            <w:tcW w:w="850" w:type="dxa"/>
            <w:tcBorders>
              <w:top w:val="single" w:sz="4" w:space="0" w:color="auto"/>
              <w:bottom w:val="single" w:sz="4" w:space="0" w:color="auto"/>
            </w:tcBorders>
            <w:vAlign w:val="center"/>
          </w:tcPr>
          <w:p w14:paraId="47A92B46" w14:textId="77777777" w:rsidR="005A582E" w:rsidRDefault="00111516">
            <w:pPr>
              <w:pStyle w:val="afc"/>
              <w:spacing w:line="360" w:lineRule="auto"/>
              <w:ind w:firstLine="0"/>
              <w:jc w:val="center"/>
              <w:rPr>
                <w:sz w:val="18"/>
                <w:szCs w:val="18"/>
              </w:rPr>
            </w:pPr>
            <w:r>
              <w:rPr>
                <w:sz w:val="18"/>
                <w:szCs w:val="18"/>
              </w:rPr>
              <w:t>—</w:t>
            </w:r>
          </w:p>
        </w:tc>
        <w:tc>
          <w:tcPr>
            <w:tcW w:w="1264" w:type="dxa"/>
            <w:tcBorders>
              <w:top w:val="single" w:sz="4" w:space="0" w:color="auto"/>
              <w:bottom w:val="single" w:sz="4" w:space="0" w:color="auto"/>
            </w:tcBorders>
            <w:vAlign w:val="center"/>
          </w:tcPr>
          <w:p w14:paraId="3FEDE9D5" w14:textId="77777777" w:rsidR="005A582E" w:rsidRDefault="00111516">
            <w:pPr>
              <w:pStyle w:val="afc"/>
              <w:spacing w:line="360" w:lineRule="auto"/>
              <w:ind w:firstLineChars="200" w:firstLine="360"/>
              <w:rPr>
                <w:sz w:val="18"/>
                <w:szCs w:val="18"/>
              </w:rPr>
            </w:pPr>
            <w:r>
              <w:rPr>
                <w:sz w:val="18"/>
                <w:szCs w:val="18"/>
              </w:rPr>
              <w:t>—</w:t>
            </w:r>
          </w:p>
        </w:tc>
        <w:tc>
          <w:tcPr>
            <w:tcW w:w="1281" w:type="dxa"/>
            <w:tcBorders>
              <w:top w:val="single" w:sz="4" w:space="0" w:color="auto"/>
              <w:bottom w:val="single" w:sz="4" w:space="0" w:color="auto"/>
            </w:tcBorders>
            <w:vAlign w:val="center"/>
          </w:tcPr>
          <w:p w14:paraId="25305C35" w14:textId="77777777" w:rsidR="005A582E" w:rsidRDefault="00111516">
            <w:pPr>
              <w:pStyle w:val="afc"/>
              <w:spacing w:line="360" w:lineRule="auto"/>
              <w:ind w:firstLine="0"/>
              <w:jc w:val="center"/>
              <w:rPr>
                <w:sz w:val="18"/>
                <w:szCs w:val="18"/>
              </w:rPr>
            </w:pPr>
            <w:r>
              <w:rPr>
                <w:sz w:val="18"/>
                <w:szCs w:val="18"/>
              </w:rPr>
              <w:t>—</w:t>
            </w:r>
          </w:p>
        </w:tc>
      </w:tr>
      <w:tr w:rsidR="005A582E" w14:paraId="45CFAF1D" w14:textId="77777777">
        <w:trPr>
          <w:trHeight w:val="2816"/>
          <w:jc w:val="center"/>
        </w:trPr>
        <w:tc>
          <w:tcPr>
            <w:tcW w:w="1363" w:type="dxa"/>
            <w:vAlign w:val="center"/>
          </w:tcPr>
          <w:p w14:paraId="119BF14B" w14:textId="77777777" w:rsidR="005A582E" w:rsidRDefault="00111516">
            <w:pPr>
              <w:pStyle w:val="afc"/>
              <w:spacing w:line="360" w:lineRule="auto"/>
              <w:ind w:firstLine="0"/>
              <w:jc w:val="center"/>
              <w:rPr>
                <w:rFonts w:hAnsi="宋体"/>
                <w:sz w:val="18"/>
                <w:szCs w:val="18"/>
              </w:rPr>
            </w:pPr>
            <w:r>
              <w:rPr>
                <w:rFonts w:hAnsi="宋体" w:hint="eastAsia"/>
                <w:sz w:val="18"/>
                <w:szCs w:val="18"/>
              </w:rPr>
              <w:t>除交银</w:t>
            </w:r>
            <w:r>
              <w:rPr>
                <w:rFonts w:hAnsi="宋体"/>
                <w:sz w:val="18"/>
                <w:szCs w:val="18"/>
              </w:rPr>
              <w:t>货币</w:t>
            </w:r>
            <w:r>
              <w:rPr>
                <w:rFonts w:hAnsi="宋体" w:hint="eastAsia"/>
                <w:sz w:val="18"/>
                <w:szCs w:val="18"/>
              </w:rPr>
              <w:t>以外</w:t>
            </w:r>
            <w:r>
              <w:rPr>
                <w:rFonts w:hAnsi="宋体"/>
                <w:sz w:val="18"/>
                <w:szCs w:val="18"/>
              </w:rPr>
              <w:t>的</w:t>
            </w:r>
            <w:r>
              <w:rPr>
                <w:rFonts w:hAnsi="宋体" w:hint="eastAsia"/>
                <w:sz w:val="18"/>
                <w:szCs w:val="18"/>
              </w:rPr>
              <w:t>其他</w:t>
            </w:r>
            <w:r>
              <w:rPr>
                <w:rFonts w:hAnsi="宋体"/>
                <w:sz w:val="18"/>
                <w:szCs w:val="18"/>
              </w:rPr>
              <w:t>货币基金</w:t>
            </w:r>
            <w:r>
              <w:rPr>
                <w:rFonts w:hAnsi="宋体"/>
                <w:sz w:val="18"/>
                <w:szCs w:val="18"/>
              </w:rPr>
              <w:t>A</w:t>
            </w:r>
            <w:r>
              <w:rPr>
                <w:rFonts w:hAnsi="宋体"/>
                <w:sz w:val="18"/>
                <w:szCs w:val="18"/>
              </w:rPr>
              <w:t>类</w:t>
            </w:r>
            <w:r>
              <w:rPr>
                <w:rFonts w:hAnsi="宋体" w:hint="eastAsia"/>
                <w:sz w:val="18"/>
                <w:szCs w:val="18"/>
              </w:rPr>
              <w:t>基金</w:t>
            </w:r>
            <w:r>
              <w:rPr>
                <w:rFonts w:hAnsi="宋体"/>
                <w:sz w:val="18"/>
                <w:szCs w:val="18"/>
              </w:rPr>
              <w:t>份额</w:t>
            </w:r>
          </w:p>
        </w:tc>
        <w:tc>
          <w:tcPr>
            <w:tcW w:w="1276" w:type="dxa"/>
            <w:vAlign w:val="center"/>
          </w:tcPr>
          <w:p w14:paraId="268478C7" w14:textId="77777777" w:rsidR="005A582E" w:rsidRDefault="00111516">
            <w:pPr>
              <w:pStyle w:val="afc"/>
              <w:spacing w:line="360" w:lineRule="auto"/>
              <w:ind w:firstLine="0"/>
              <w:jc w:val="center"/>
              <w:rPr>
                <w:rFonts w:hAnsi="宋体"/>
                <w:sz w:val="18"/>
                <w:szCs w:val="18"/>
              </w:rPr>
            </w:pPr>
            <w:r>
              <w:rPr>
                <w:sz w:val="18"/>
                <w:szCs w:val="18"/>
              </w:rPr>
              <w:t>—</w:t>
            </w:r>
          </w:p>
        </w:tc>
        <w:tc>
          <w:tcPr>
            <w:tcW w:w="1303" w:type="dxa"/>
            <w:vAlign w:val="center"/>
          </w:tcPr>
          <w:p w14:paraId="431A3C6A" w14:textId="77777777" w:rsidR="005A582E" w:rsidRDefault="00111516">
            <w:pPr>
              <w:pStyle w:val="afc"/>
              <w:spacing w:line="360" w:lineRule="auto"/>
              <w:ind w:firstLine="0"/>
              <w:jc w:val="center"/>
              <w:rPr>
                <w:rFonts w:hAnsi="宋体"/>
                <w:sz w:val="18"/>
                <w:szCs w:val="18"/>
              </w:rPr>
            </w:pPr>
            <w:r>
              <w:rPr>
                <w:sz w:val="18"/>
                <w:szCs w:val="18"/>
              </w:rPr>
              <w:t>—</w:t>
            </w:r>
          </w:p>
        </w:tc>
        <w:tc>
          <w:tcPr>
            <w:tcW w:w="851" w:type="dxa"/>
            <w:vAlign w:val="center"/>
          </w:tcPr>
          <w:p w14:paraId="608C8B58" w14:textId="77777777" w:rsidR="005A582E" w:rsidRDefault="00111516">
            <w:pPr>
              <w:pStyle w:val="afc"/>
              <w:spacing w:line="360" w:lineRule="auto"/>
              <w:ind w:firstLine="0"/>
              <w:jc w:val="center"/>
              <w:rPr>
                <w:rFonts w:hAnsi="宋体"/>
                <w:sz w:val="18"/>
                <w:szCs w:val="18"/>
              </w:rPr>
            </w:pPr>
            <w:r>
              <w:rPr>
                <w:sz w:val="18"/>
                <w:szCs w:val="18"/>
              </w:rPr>
              <w:t>—</w:t>
            </w:r>
          </w:p>
        </w:tc>
        <w:tc>
          <w:tcPr>
            <w:tcW w:w="850" w:type="dxa"/>
            <w:vAlign w:val="center"/>
          </w:tcPr>
          <w:p w14:paraId="0ACA8AD6" w14:textId="77777777" w:rsidR="005A582E" w:rsidRDefault="00111516">
            <w:pPr>
              <w:pStyle w:val="afc"/>
              <w:spacing w:line="360" w:lineRule="auto"/>
              <w:ind w:firstLine="0"/>
              <w:jc w:val="center"/>
              <w:rPr>
                <w:rFonts w:hAnsi="宋体"/>
                <w:sz w:val="18"/>
                <w:szCs w:val="18"/>
              </w:rPr>
            </w:pPr>
            <w:r>
              <w:rPr>
                <w:sz w:val="18"/>
                <w:szCs w:val="18"/>
              </w:rPr>
              <w:t>—</w:t>
            </w:r>
          </w:p>
        </w:tc>
        <w:tc>
          <w:tcPr>
            <w:tcW w:w="851" w:type="dxa"/>
            <w:vAlign w:val="center"/>
          </w:tcPr>
          <w:p w14:paraId="173CDB62" w14:textId="77777777" w:rsidR="005A582E" w:rsidRDefault="00111516">
            <w:pPr>
              <w:pStyle w:val="afc"/>
              <w:spacing w:line="360" w:lineRule="auto"/>
              <w:ind w:firstLine="0"/>
              <w:jc w:val="center"/>
              <w:rPr>
                <w:rFonts w:hAnsi="宋体"/>
                <w:sz w:val="18"/>
                <w:szCs w:val="18"/>
              </w:rPr>
            </w:pPr>
            <w:r>
              <w:rPr>
                <w:sz w:val="18"/>
                <w:szCs w:val="18"/>
              </w:rPr>
              <w:t>—</w:t>
            </w:r>
          </w:p>
        </w:tc>
        <w:tc>
          <w:tcPr>
            <w:tcW w:w="850" w:type="dxa"/>
            <w:tcBorders>
              <w:top w:val="single" w:sz="4" w:space="0" w:color="auto"/>
              <w:bottom w:val="single" w:sz="4" w:space="0" w:color="auto"/>
            </w:tcBorders>
            <w:vAlign w:val="center"/>
          </w:tcPr>
          <w:p w14:paraId="14B8F574" w14:textId="77777777" w:rsidR="005A582E" w:rsidRDefault="00111516">
            <w:pPr>
              <w:pStyle w:val="afc"/>
              <w:spacing w:line="360" w:lineRule="auto"/>
              <w:ind w:firstLine="0"/>
              <w:jc w:val="center"/>
              <w:rPr>
                <w:sz w:val="18"/>
                <w:szCs w:val="18"/>
              </w:rPr>
            </w:pPr>
            <w:r>
              <w:rPr>
                <w:sz w:val="18"/>
                <w:szCs w:val="18"/>
              </w:rPr>
              <w:t>—</w:t>
            </w:r>
          </w:p>
        </w:tc>
        <w:tc>
          <w:tcPr>
            <w:tcW w:w="1264" w:type="dxa"/>
            <w:tcBorders>
              <w:top w:val="single" w:sz="4" w:space="0" w:color="auto"/>
              <w:bottom w:val="single" w:sz="4" w:space="0" w:color="auto"/>
            </w:tcBorders>
            <w:vAlign w:val="center"/>
          </w:tcPr>
          <w:p w14:paraId="16AD151F" w14:textId="77777777" w:rsidR="005A582E" w:rsidRDefault="00111516">
            <w:pPr>
              <w:pStyle w:val="afc"/>
              <w:spacing w:line="360" w:lineRule="auto"/>
              <w:ind w:firstLine="0"/>
              <w:jc w:val="center"/>
              <w:rPr>
                <w:sz w:val="18"/>
                <w:szCs w:val="18"/>
              </w:rPr>
            </w:pPr>
            <w:r>
              <w:rPr>
                <w:rFonts w:hAnsi="宋体"/>
                <w:sz w:val="18"/>
                <w:szCs w:val="18"/>
              </w:rPr>
              <w:t>已开通</w:t>
            </w:r>
          </w:p>
        </w:tc>
        <w:tc>
          <w:tcPr>
            <w:tcW w:w="1281" w:type="dxa"/>
            <w:tcBorders>
              <w:top w:val="single" w:sz="4" w:space="0" w:color="auto"/>
              <w:bottom w:val="single" w:sz="4" w:space="0" w:color="auto"/>
            </w:tcBorders>
            <w:vAlign w:val="center"/>
          </w:tcPr>
          <w:p w14:paraId="090FFFA9" w14:textId="77777777" w:rsidR="005A582E" w:rsidRDefault="00111516">
            <w:pPr>
              <w:pStyle w:val="afc"/>
              <w:spacing w:line="360" w:lineRule="auto"/>
              <w:ind w:firstLine="0"/>
              <w:jc w:val="center"/>
              <w:rPr>
                <w:sz w:val="18"/>
                <w:szCs w:val="18"/>
              </w:rPr>
            </w:pPr>
            <w:r>
              <w:rPr>
                <w:sz w:val="18"/>
                <w:szCs w:val="18"/>
              </w:rPr>
              <w:t>—</w:t>
            </w:r>
          </w:p>
        </w:tc>
      </w:tr>
      <w:tr w:rsidR="005A582E" w14:paraId="1A80FABC" w14:textId="77777777">
        <w:trPr>
          <w:trHeight w:val="1692"/>
          <w:jc w:val="center"/>
        </w:trPr>
        <w:tc>
          <w:tcPr>
            <w:tcW w:w="1363" w:type="dxa"/>
            <w:vAlign w:val="center"/>
          </w:tcPr>
          <w:p w14:paraId="4B7DD8A1" w14:textId="77777777" w:rsidR="005A582E" w:rsidRDefault="00111516">
            <w:pPr>
              <w:pStyle w:val="afc"/>
              <w:spacing w:line="360" w:lineRule="auto"/>
              <w:ind w:firstLine="0"/>
              <w:jc w:val="center"/>
              <w:rPr>
                <w:rFonts w:hAnsi="宋体"/>
                <w:sz w:val="18"/>
                <w:szCs w:val="18"/>
              </w:rPr>
            </w:pPr>
            <w:r>
              <w:rPr>
                <w:rFonts w:hAnsi="宋体" w:hint="eastAsia"/>
                <w:sz w:val="18"/>
                <w:szCs w:val="18"/>
              </w:rPr>
              <w:t>除交银</w:t>
            </w:r>
            <w:r>
              <w:rPr>
                <w:rFonts w:hAnsi="宋体"/>
                <w:sz w:val="18"/>
                <w:szCs w:val="18"/>
              </w:rPr>
              <w:t>货币</w:t>
            </w:r>
            <w:r>
              <w:rPr>
                <w:rFonts w:hAnsi="宋体" w:hint="eastAsia"/>
                <w:sz w:val="18"/>
                <w:szCs w:val="18"/>
              </w:rPr>
              <w:t>以外</w:t>
            </w:r>
            <w:r>
              <w:rPr>
                <w:rFonts w:hAnsi="宋体"/>
                <w:sz w:val="18"/>
                <w:szCs w:val="18"/>
              </w:rPr>
              <w:t>的</w:t>
            </w:r>
            <w:r>
              <w:rPr>
                <w:rFonts w:hAnsi="宋体" w:hint="eastAsia"/>
                <w:sz w:val="18"/>
                <w:szCs w:val="18"/>
              </w:rPr>
              <w:t>其他</w:t>
            </w:r>
            <w:r>
              <w:rPr>
                <w:rFonts w:hAnsi="宋体"/>
                <w:sz w:val="18"/>
                <w:szCs w:val="18"/>
              </w:rPr>
              <w:t>货币基金</w:t>
            </w:r>
            <w:r>
              <w:rPr>
                <w:rFonts w:hAnsi="宋体"/>
                <w:sz w:val="18"/>
                <w:szCs w:val="18"/>
              </w:rPr>
              <w:t>E</w:t>
            </w:r>
            <w:r>
              <w:rPr>
                <w:rFonts w:hAnsi="宋体"/>
                <w:sz w:val="18"/>
                <w:szCs w:val="18"/>
              </w:rPr>
              <w:t>类</w:t>
            </w:r>
            <w:r>
              <w:rPr>
                <w:rFonts w:hAnsi="宋体" w:hint="eastAsia"/>
                <w:sz w:val="18"/>
                <w:szCs w:val="18"/>
              </w:rPr>
              <w:t>基金</w:t>
            </w:r>
            <w:r>
              <w:rPr>
                <w:rFonts w:hAnsi="宋体"/>
                <w:sz w:val="18"/>
                <w:szCs w:val="18"/>
              </w:rPr>
              <w:t>份额</w:t>
            </w:r>
          </w:p>
        </w:tc>
        <w:tc>
          <w:tcPr>
            <w:tcW w:w="1276" w:type="dxa"/>
            <w:vAlign w:val="center"/>
          </w:tcPr>
          <w:p w14:paraId="35EC8450" w14:textId="77777777" w:rsidR="005A582E" w:rsidRDefault="00111516">
            <w:pPr>
              <w:pStyle w:val="afc"/>
              <w:spacing w:line="360" w:lineRule="auto"/>
              <w:ind w:firstLine="0"/>
              <w:jc w:val="center"/>
              <w:rPr>
                <w:rFonts w:hAnsi="宋体"/>
                <w:sz w:val="18"/>
                <w:szCs w:val="18"/>
              </w:rPr>
            </w:pPr>
            <w:r>
              <w:rPr>
                <w:sz w:val="18"/>
                <w:szCs w:val="18"/>
              </w:rPr>
              <w:t>—</w:t>
            </w:r>
          </w:p>
        </w:tc>
        <w:tc>
          <w:tcPr>
            <w:tcW w:w="1303" w:type="dxa"/>
            <w:vAlign w:val="center"/>
          </w:tcPr>
          <w:p w14:paraId="4D9CB326" w14:textId="77777777" w:rsidR="005A582E" w:rsidRDefault="00111516">
            <w:pPr>
              <w:pStyle w:val="afc"/>
              <w:spacing w:line="360" w:lineRule="auto"/>
              <w:ind w:firstLine="0"/>
              <w:jc w:val="center"/>
              <w:rPr>
                <w:rFonts w:hAnsi="宋体"/>
                <w:sz w:val="18"/>
                <w:szCs w:val="18"/>
              </w:rPr>
            </w:pPr>
            <w:r>
              <w:rPr>
                <w:sz w:val="18"/>
                <w:szCs w:val="18"/>
              </w:rPr>
              <w:t>—</w:t>
            </w:r>
          </w:p>
        </w:tc>
        <w:tc>
          <w:tcPr>
            <w:tcW w:w="851" w:type="dxa"/>
            <w:vAlign w:val="center"/>
          </w:tcPr>
          <w:p w14:paraId="0F919A97" w14:textId="77777777" w:rsidR="005A582E" w:rsidRDefault="00111516">
            <w:pPr>
              <w:pStyle w:val="afc"/>
              <w:spacing w:line="360" w:lineRule="auto"/>
              <w:ind w:firstLine="0"/>
              <w:jc w:val="center"/>
              <w:rPr>
                <w:rFonts w:hAnsi="宋体"/>
                <w:sz w:val="18"/>
                <w:szCs w:val="18"/>
              </w:rPr>
            </w:pPr>
            <w:r>
              <w:rPr>
                <w:sz w:val="18"/>
                <w:szCs w:val="18"/>
              </w:rPr>
              <w:t>—</w:t>
            </w:r>
          </w:p>
        </w:tc>
        <w:tc>
          <w:tcPr>
            <w:tcW w:w="850" w:type="dxa"/>
            <w:vAlign w:val="center"/>
          </w:tcPr>
          <w:p w14:paraId="5FE447E7" w14:textId="77777777" w:rsidR="005A582E" w:rsidRDefault="00111516">
            <w:pPr>
              <w:pStyle w:val="afc"/>
              <w:spacing w:line="360" w:lineRule="auto"/>
              <w:ind w:firstLine="0"/>
              <w:jc w:val="center"/>
              <w:rPr>
                <w:rFonts w:hAnsi="宋体"/>
                <w:sz w:val="18"/>
                <w:szCs w:val="18"/>
              </w:rPr>
            </w:pPr>
            <w:r>
              <w:rPr>
                <w:sz w:val="18"/>
                <w:szCs w:val="18"/>
              </w:rPr>
              <w:t>—</w:t>
            </w:r>
          </w:p>
        </w:tc>
        <w:tc>
          <w:tcPr>
            <w:tcW w:w="851" w:type="dxa"/>
            <w:vAlign w:val="center"/>
          </w:tcPr>
          <w:p w14:paraId="53A759D6" w14:textId="77777777" w:rsidR="005A582E" w:rsidRDefault="00111516">
            <w:pPr>
              <w:pStyle w:val="afc"/>
              <w:spacing w:line="360" w:lineRule="auto"/>
              <w:ind w:firstLine="0"/>
              <w:jc w:val="center"/>
              <w:rPr>
                <w:rFonts w:hAnsi="宋体"/>
                <w:sz w:val="18"/>
                <w:szCs w:val="18"/>
              </w:rPr>
            </w:pPr>
            <w:r>
              <w:rPr>
                <w:sz w:val="18"/>
                <w:szCs w:val="18"/>
              </w:rPr>
              <w:t>—</w:t>
            </w:r>
          </w:p>
        </w:tc>
        <w:tc>
          <w:tcPr>
            <w:tcW w:w="850" w:type="dxa"/>
            <w:tcBorders>
              <w:top w:val="single" w:sz="4" w:space="0" w:color="auto"/>
            </w:tcBorders>
            <w:vAlign w:val="center"/>
          </w:tcPr>
          <w:p w14:paraId="562E3651" w14:textId="77777777" w:rsidR="005A582E" w:rsidRDefault="00111516">
            <w:pPr>
              <w:pStyle w:val="afc"/>
              <w:spacing w:line="360" w:lineRule="auto"/>
              <w:ind w:firstLine="0"/>
              <w:jc w:val="center"/>
              <w:rPr>
                <w:sz w:val="18"/>
                <w:szCs w:val="18"/>
              </w:rPr>
            </w:pPr>
            <w:r>
              <w:rPr>
                <w:sz w:val="18"/>
                <w:szCs w:val="18"/>
              </w:rPr>
              <w:t>—</w:t>
            </w:r>
          </w:p>
        </w:tc>
        <w:tc>
          <w:tcPr>
            <w:tcW w:w="1264" w:type="dxa"/>
            <w:tcBorders>
              <w:top w:val="single" w:sz="4" w:space="0" w:color="auto"/>
            </w:tcBorders>
            <w:vAlign w:val="center"/>
          </w:tcPr>
          <w:p w14:paraId="45E69785" w14:textId="77777777" w:rsidR="005A582E" w:rsidRDefault="00111516">
            <w:pPr>
              <w:pStyle w:val="afc"/>
              <w:spacing w:line="360" w:lineRule="auto"/>
              <w:ind w:firstLine="0"/>
              <w:jc w:val="center"/>
              <w:rPr>
                <w:sz w:val="18"/>
                <w:szCs w:val="18"/>
              </w:rPr>
            </w:pPr>
            <w:r>
              <w:rPr>
                <w:sz w:val="18"/>
                <w:szCs w:val="18"/>
              </w:rPr>
              <w:t>—</w:t>
            </w:r>
          </w:p>
        </w:tc>
        <w:tc>
          <w:tcPr>
            <w:tcW w:w="1281" w:type="dxa"/>
            <w:tcBorders>
              <w:top w:val="single" w:sz="4" w:space="0" w:color="auto"/>
            </w:tcBorders>
            <w:vAlign w:val="center"/>
          </w:tcPr>
          <w:p w14:paraId="3A4F97D8" w14:textId="77777777" w:rsidR="005A582E" w:rsidRDefault="00111516">
            <w:pPr>
              <w:pStyle w:val="afc"/>
              <w:spacing w:line="360" w:lineRule="auto"/>
              <w:ind w:firstLine="0"/>
              <w:jc w:val="center"/>
              <w:rPr>
                <w:sz w:val="18"/>
                <w:szCs w:val="18"/>
              </w:rPr>
            </w:pPr>
            <w:r>
              <w:rPr>
                <w:rFonts w:hAnsi="宋体"/>
                <w:sz w:val="18"/>
                <w:szCs w:val="18"/>
              </w:rPr>
              <w:t>已开通</w:t>
            </w:r>
          </w:p>
        </w:tc>
      </w:tr>
    </w:tbl>
    <w:p w14:paraId="611FB9CA" w14:textId="77777777" w:rsidR="005A582E" w:rsidRDefault="00111516">
      <w:pPr>
        <w:pStyle w:val="aff4"/>
        <w:spacing w:line="360" w:lineRule="auto"/>
        <w:ind w:left="360"/>
        <w:rPr>
          <w:rFonts w:ascii="Times New Roman" w:hAnsi="Times New Roman" w:cs="Times New Roman"/>
          <w:kern w:val="2"/>
          <w:sz w:val="18"/>
          <w:szCs w:val="18"/>
        </w:rPr>
      </w:pPr>
      <w:r>
        <w:rPr>
          <w:rFonts w:ascii="Times New Roman" w:cs="Times New Roman"/>
          <w:kern w:val="2"/>
          <w:sz w:val="18"/>
          <w:szCs w:val="18"/>
        </w:rPr>
        <w:t>注：</w:t>
      </w:r>
      <w:r>
        <w:rPr>
          <w:rFonts w:ascii="Times New Roman" w:hAnsi="Times New Roman" w:cs="Times New Roman"/>
          <w:kern w:val="2"/>
          <w:sz w:val="18"/>
          <w:szCs w:val="18"/>
        </w:rPr>
        <w:t>1</w:t>
      </w:r>
      <w:r>
        <w:rPr>
          <w:rFonts w:ascii="Times New Roman" w:cs="Times New Roman"/>
          <w:kern w:val="2"/>
          <w:sz w:val="18"/>
          <w:szCs w:val="18"/>
        </w:rPr>
        <w:t>、同一基金的</w:t>
      </w:r>
      <w:r>
        <w:rPr>
          <w:rFonts w:ascii="Times New Roman" w:hAnsi="Times New Roman" w:cs="Times New Roman"/>
          <w:kern w:val="2"/>
          <w:sz w:val="18"/>
          <w:szCs w:val="18"/>
        </w:rPr>
        <w:t>A</w:t>
      </w:r>
      <w:r>
        <w:rPr>
          <w:rFonts w:ascii="Times New Roman" w:cs="Times New Roman"/>
          <w:kern w:val="2"/>
          <w:sz w:val="18"/>
          <w:szCs w:val="18"/>
        </w:rPr>
        <w:t>类、</w:t>
      </w:r>
      <w:r>
        <w:rPr>
          <w:rFonts w:ascii="Times New Roman" w:hAnsi="Times New Roman" w:cs="Times New Roman"/>
          <w:kern w:val="2"/>
          <w:sz w:val="18"/>
          <w:szCs w:val="18"/>
        </w:rPr>
        <w:t>B</w:t>
      </w:r>
      <w:r>
        <w:rPr>
          <w:rFonts w:ascii="Times New Roman" w:cs="Times New Roman"/>
          <w:kern w:val="2"/>
          <w:sz w:val="18"/>
          <w:szCs w:val="18"/>
        </w:rPr>
        <w:t>类</w:t>
      </w:r>
      <w:r>
        <w:rPr>
          <w:rFonts w:ascii="Times New Roman" w:cs="Times New Roman" w:hint="eastAsia"/>
          <w:kern w:val="2"/>
          <w:sz w:val="18"/>
          <w:szCs w:val="18"/>
        </w:rPr>
        <w:t>、</w:t>
      </w:r>
      <w:r>
        <w:rPr>
          <w:rFonts w:ascii="Times New Roman" w:hAnsi="Times New Roman" w:cs="Times New Roman"/>
          <w:kern w:val="2"/>
          <w:sz w:val="18"/>
          <w:szCs w:val="18"/>
        </w:rPr>
        <w:t>C</w:t>
      </w:r>
      <w:r>
        <w:rPr>
          <w:rFonts w:ascii="Times New Roman" w:cs="Times New Roman"/>
          <w:kern w:val="2"/>
          <w:sz w:val="18"/>
          <w:szCs w:val="18"/>
        </w:rPr>
        <w:t>类</w:t>
      </w:r>
      <w:r>
        <w:rPr>
          <w:rFonts w:ascii="Times New Roman" w:cs="Times New Roman" w:hint="eastAsia"/>
          <w:kern w:val="2"/>
          <w:sz w:val="18"/>
          <w:szCs w:val="18"/>
        </w:rPr>
        <w:t>和</w:t>
      </w:r>
      <w:r>
        <w:rPr>
          <w:rFonts w:ascii="Times New Roman" w:cs="Times New Roman"/>
          <w:kern w:val="2"/>
          <w:sz w:val="18"/>
          <w:szCs w:val="18"/>
        </w:rPr>
        <w:t>E</w:t>
      </w:r>
      <w:r>
        <w:rPr>
          <w:rFonts w:ascii="Times New Roman" w:cs="Times New Roman"/>
          <w:kern w:val="2"/>
          <w:sz w:val="18"/>
          <w:szCs w:val="18"/>
        </w:rPr>
        <w:t>类基金份额之间不可转换。</w:t>
      </w:r>
    </w:p>
    <w:p w14:paraId="19275CC4" w14:textId="70829DB0" w:rsidR="005A582E" w:rsidRDefault="00111516">
      <w:pPr>
        <w:pStyle w:val="aff4"/>
        <w:spacing w:line="360" w:lineRule="auto"/>
        <w:ind w:leftChars="171" w:left="359" w:firstLineChars="400" w:firstLine="720"/>
        <w:rPr>
          <w:rFonts w:ascii="Times New Roman" w:cs="Times New Roman"/>
          <w:kern w:val="2"/>
          <w:sz w:val="18"/>
          <w:szCs w:val="18"/>
        </w:rPr>
      </w:pPr>
      <w:r>
        <w:rPr>
          <w:rFonts w:ascii="Times New Roman" w:hAnsi="Times New Roman" w:cs="Times New Roman"/>
          <w:kern w:val="2"/>
          <w:sz w:val="18"/>
          <w:szCs w:val="18"/>
        </w:rPr>
        <w:t>2</w:t>
      </w:r>
      <w:r>
        <w:rPr>
          <w:rFonts w:ascii="Times New Roman" w:cs="Times New Roman"/>
          <w:kern w:val="2"/>
          <w:sz w:val="18"/>
          <w:szCs w:val="18"/>
        </w:rPr>
        <w:t>、表格中分别列示的前后端收费模式下的股票基金和混合基金包括交银精选、交银稳健、交银成长、交银蓝筹、交银先锋、交银治理、交银主题、交银趋势、交银制造、交银价值、交银核心、交银消费新驱动、交银成长</w:t>
      </w:r>
      <w:r>
        <w:rPr>
          <w:rFonts w:ascii="Times New Roman" w:cs="Times New Roman"/>
          <w:kern w:val="2"/>
          <w:sz w:val="18"/>
          <w:szCs w:val="18"/>
        </w:rPr>
        <w:t>30</w:t>
      </w:r>
      <w:r>
        <w:rPr>
          <w:rFonts w:ascii="Times New Roman" w:cs="Times New Roman"/>
          <w:kern w:val="2"/>
          <w:sz w:val="18"/>
          <w:szCs w:val="18"/>
        </w:rPr>
        <w:t>、交银周期回报、交银新成长。表格中列示的前端收费模式下的股票基金和混合基金还包括交银行业、交银策略回报、</w:t>
      </w:r>
      <w:r>
        <w:rPr>
          <w:rFonts w:ascii="Times New Roman" w:cs="Times New Roman" w:hint="eastAsia"/>
          <w:kern w:val="2"/>
          <w:sz w:val="18"/>
          <w:szCs w:val="18"/>
        </w:rPr>
        <w:t>交银</w:t>
      </w:r>
      <w:r>
        <w:rPr>
          <w:rFonts w:ascii="Times New Roman" w:cs="Times New Roman"/>
          <w:kern w:val="2"/>
          <w:sz w:val="18"/>
          <w:szCs w:val="18"/>
        </w:rPr>
        <w:t>荣鑫、交银双息平衡、交银新回报、交银多策略回报、交银国企改革</w:t>
      </w:r>
      <w:r>
        <w:rPr>
          <w:rFonts w:ascii="Times New Roman" w:cs="Times New Roman" w:hint="eastAsia"/>
          <w:kern w:val="2"/>
          <w:sz w:val="18"/>
          <w:szCs w:val="18"/>
        </w:rPr>
        <w:t>、交银科技创新、交银数据产业、交银经济新动力、</w:t>
      </w:r>
      <w:r>
        <w:rPr>
          <w:rFonts w:ascii="Times New Roman" w:cs="Times New Roman"/>
          <w:kern w:val="2"/>
          <w:sz w:val="18"/>
          <w:szCs w:val="18"/>
        </w:rPr>
        <w:t>交银新生活力</w:t>
      </w:r>
      <w:r>
        <w:rPr>
          <w:rFonts w:ascii="Times New Roman" w:cs="Times New Roman" w:hint="eastAsia"/>
          <w:kern w:val="2"/>
          <w:sz w:val="18"/>
          <w:szCs w:val="18"/>
        </w:rPr>
        <w:t>、交银医药</w:t>
      </w:r>
      <w:r>
        <w:rPr>
          <w:rFonts w:ascii="Times New Roman" w:cs="Times New Roman"/>
          <w:kern w:val="2"/>
          <w:sz w:val="18"/>
          <w:szCs w:val="18"/>
        </w:rPr>
        <w:t>创新</w:t>
      </w:r>
      <w:r>
        <w:rPr>
          <w:rFonts w:ascii="Times New Roman" w:cs="Times New Roman" w:hint="eastAsia"/>
          <w:kern w:val="2"/>
          <w:sz w:val="18"/>
          <w:szCs w:val="18"/>
        </w:rPr>
        <w:t>、交银</w:t>
      </w:r>
      <w:r>
        <w:rPr>
          <w:rFonts w:ascii="Times New Roman" w:cs="Times New Roman"/>
          <w:kern w:val="2"/>
          <w:sz w:val="18"/>
          <w:szCs w:val="18"/>
        </w:rPr>
        <w:t>持续成长、交银品质升级</w:t>
      </w:r>
      <w:r>
        <w:rPr>
          <w:rFonts w:ascii="Times New Roman" w:cs="Times New Roman" w:hint="eastAsia"/>
          <w:kern w:val="2"/>
          <w:sz w:val="18"/>
          <w:szCs w:val="18"/>
        </w:rPr>
        <w:t>、</w:t>
      </w:r>
      <w:r>
        <w:rPr>
          <w:rFonts w:ascii="Times New Roman" w:cs="Times New Roman"/>
          <w:kern w:val="2"/>
          <w:sz w:val="18"/>
          <w:szCs w:val="18"/>
        </w:rPr>
        <w:t>交银创新成长</w:t>
      </w:r>
      <w:r>
        <w:rPr>
          <w:rFonts w:ascii="Times New Roman" w:cs="Times New Roman" w:hint="eastAsia"/>
          <w:kern w:val="2"/>
          <w:sz w:val="18"/>
          <w:szCs w:val="18"/>
        </w:rPr>
        <w:t>、</w:t>
      </w:r>
      <w:r>
        <w:rPr>
          <w:rFonts w:ascii="Times New Roman" w:cs="Times New Roman"/>
          <w:kern w:val="2"/>
          <w:sz w:val="18"/>
          <w:szCs w:val="18"/>
        </w:rPr>
        <w:t>交银核心资产</w:t>
      </w:r>
      <w:r>
        <w:rPr>
          <w:rFonts w:ascii="Times New Roman" w:cs="Times New Roman" w:hint="eastAsia"/>
          <w:kern w:val="2"/>
          <w:sz w:val="18"/>
          <w:szCs w:val="18"/>
        </w:rPr>
        <w:t>、</w:t>
      </w:r>
      <w:r>
        <w:rPr>
          <w:rFonts w:ascii="Times New Roman" w:cs="Times New Roman"/>
          <w:kern w:val="2"/>
          <w:sz w:val="18"/>
          <w:szCs w:val="18"/>
        </w:rPr>
        <w:t>交银股息优化</w:t>
      </w:r>
      <w:r>
        <w:rPr>
          <w:rFonts w:ascii="Times New Roman" w:cs="Times New Roman" w:hint="eastAsia"/>
          <w:kern w:val="2"/>
          <w:sz w:val="18"/>
          <w:szCs w:val="18"/>
        </w:rPr>
        <w:t>、</w:t>
      </w:r>
      <w:r>
        <w:rPr>
          <w:rFonts w:ascii="Times New Roman" w:cs="Times New Roman"/>
          <w:kern w:val="2"/>
          <w:sz w:val="18"/>
          <w:szCs w:val="18"/>
        </w:rPr>
        <w:t>交银创业板</w:t>
      </w:r>
      <w:r>
        <w:rPr>
          <w:rFonts w:ascii="Times New Roman" w:cs="Times New Roman"/>
          <w:kern w:val="2"/>
          <w:sz w:val="18"/>
          <w:szCs w:val="18"/>
        </w:rPr>
        <w:t>50</w:t>
      </w:r>
      <w:r>
        <w:rPr>
          <w:rFonts w:ascii="Times New Roman" w:cs="Times New Roman" w:hint="eastAsia"/>
          <w:kern w:val="2"/>
          <w:sz w:val="18"/>
          <w:szCs w:val="18"/>
        </w:rPr>
        <w:t>、交银内核驱动、交银创新领航、</w:t>
      </w:r>
      <w:r>
        <w:rPr>
          <w:rFonts w:ascii="Times New Roman" w:cs="Times New Roman"/>
          <w:kern w:val="2"/>
          <w:sz w:val="18"/>
          <w:szCs w:val="18"/>
        </w:rPr>
        <w:t>交银优择回报</w:t>
      </w:r>
      <w:r>
        <w:rPr>
          <w:rFonts w:ascii="Times New Roman" w:cs="Times New Roman" w:hint="eastAsia"/>
          <w:kern w:val="2"/>
          <w:sz w:val="18"/>
          <w:szCs w:val="18"/>
        </w:rPr>
        <w:t>、交银优选回报、</w:t>
      </w:r>
      <w:r>
        <w:rPr>
          <w:rFonts w:ascii="Times New Roman" w:cs="Times New Roman"/>
          <w:kern w:val="2"/>
          <w:sz w:val="18"/>
          <w:szCs w:val="18"/>
        </w:rPr>
        <w:t>交银启汇</w:t>
      </w:r>
      <w:r>
        <w:rPr>
          <w:rFonts w:ascii="Times New Roman" w:cs="Times New Roman" w:hint="eastAsia"/>
          <w:kern w:val="2"/>
          <w:sz w:val="18"/>
          <w:szCs w:val="18"/>
        </w:rPr>
        <w:t>、交银启明、</w:t>
      </w:r>
      <w:r>
        <w:rPr>
          <w:rFonts w:ascii="Times New Roman" w:cs="Times New Roman"/>
          <w:kern w:val="2"/>
          <w:sz w:val="18"/>
          <w:szCs w:val="18"/>
        </w:rPr>
        <w:t>交银产业机遇</w:t>
      </w:r>
      <w:r>
        <w:rPr>
          <w:rFonts w:ascii="Times New Roman" w:cs="Times New Roman" w:hint="eastAsia"/>
          <w:kern w:val="2"/>
          <w:sz w:val="18"/>
          <w:szCs w:val="18"/>
        </w:rPr>
        <w:t>、</w:t>
      </w:r>
      <w:r>
        <w:rPr>
          <w:rFonts w:ascii="Times New Roman" w:cs="Times New Roman"/>
          <w:kern w:val="2"/>
          <w:sz w:val="18"/>
          <w:szCs w:val="18"/>
        </w:rPr>
        <w:t>交银科锐科技创新</w:t>
      </w:r>
      <w:r>
        <w:rPr>
          <w:rFonts w:ascii="Times New Roman" w:cs="Times New Roman" w:hint="eastAsia"/>
          <w:kern w:val="2"/>
          <w:sz w:val="18"/>
          <w:szCs w:val="18"/>
        </w:rPr>
        <w:t>、</w:t>
      </w:r>
      <w:r>
        <w:rPr>
          <w:rFonts w:ascii="Times New Roman" w:cs="Times New Roman"/>
          <w:kern w:val="2"/>
          <w:sz w:val="18"/>
          <w:szCs w:val="18"/>
        </w:rPr>
        <w:t>交银启欣</w:t>
      </w:r>
      <w:r>
        <w:rPr>
          <w:rFonts w:ascii="Times New Roman" w:cs="Times New Roman" w:hint="eastAsia"/>
          <w:kern w:val="2"/>
          <w:sz w:val="18"/>
          <w:szCs w:val="18"/>
        </w:rPr>
        <w:t>、</w:t>
      </w:r>
      <w:r>
        <w:rPr>
          <w:rFonts w:ascii="Times New Roman" w:cs="Times New Roman"/>
          <w:kern w:val="2"/>
          <w:sz w:val="18"/>
          <w:szCs w:val="18"/>
        </w:rPr>
        <w:t>交银内需增长一年</w:t>
      </w:r>
      <w:r>
        <w:rPr>
          <w:rFonts w:ascii="Times New Roman" w:cs="Times New Roman" w:hint="eastAsia"/>
          <w:kern w:val="2"/>
          <w:sz w:val="18"/>
          <w:szCs w:val="18"/>
        </w:rPr>
        <w:t>、交银均衡成长一年、</w:t>
      </w:r>
      <w:r>
        <w:rPr>
          <w:rFonts w:ascii="Times New Roman" w:cs="Times New Roman"/>
          <w:kern w:val="2"/>
          <w:sz w:val="18"/>
          <w:szCs w:val="18"/>
        </w:rPr>
        <w:t>交银启道</w:t>
      </w:r>
      <w:r>
        <w:rPr>
          <w:rFonts w:ascii="Times New Roman" w:cs="Times New Roman" w:hint="eastAsia"/>
          <w:kern w:val="2"/>
          <w:sz w:val="18"/>
          <w:szCs w:val="18"/>
        </w:rPr>
        <w:t>、</w:t>
      </w:r>
      <w:r>
        <w:rPr>
          <w:rFonts w:ascii="Times New Roman" w:cs="Times New Roman"/>
          <w:kern w:val="2"/>
          <w:sz w:val="18"/>
          <w:szCs w:val="18"/>
        </w:rPr>
        <w:t>交银鸿福六个月</w:t>
      </w:r>
      <w:r w:rsidR="00B36660">
        <w:rPr>
          <w:rFonts w:ascii="Times New Roman" w:cs="Times New Roman" w:hint="eastAsia"/>
          <w:kern w:val="2"/>
          <w:sz w:val="18"/>
          <w:szCs w:val="18"/>
        </w:rPr>
        <w:t>、交银鑫选回报</w:t>
      </w:r>
      <w:r>
        <w:rPr>
          <w:rFonts w:ascii="Times New Roman" w:cs="Times New Roman"/>
          <w:kern w:val="2"/>
          <w:sz w:val="18"/>
          <w:szCs w:val="18"/>
        </w:rPr>
        <w:t>。表格中列示的债券基金包括交银增利、交银双利、交银纯债、交银双轮动、交银月月丰、交银强化回报</w:t>
      </w:r>
      <w:r>
        <w:rPr>
          <w:rFonts w:ascii="Times New Roman" w:cs="Times New Roman" w:hint="eastAsia"/>
          <w:kern w:val="2"/>
          <w:sz w:val="18"/>
          <w:szCs w:val="18"/>
        </w:rPr>
        <w:t>、交银</w:t>
      </w:r>
      <w:r>
        <w:rPr>
          <w:rFonts w:ascii="Times New Roman" w:cs="Times New Roman"/>
          <w:kern w:val="2"/>
          <w:sz w:val="18"/>
          <w:szCs w:val="18"/>
        </w:rPr>
        <w:t>稳鑫</w:t>
      </w:r>
      <w:r>
        <w:rPr>
          <w:rFonts w:ascii="Times New Roman" w:cs="Times New Roman" w:hint="eastAsia"/>
          <w:kern w:val="2"/>
          <w:sz w:val="18"/>
          <w:szCs w:val="18"/>
        </w:rPr>
        <w:t>短债、</w:t>
      </w:r>
      <w:r>
        <w:rPr>
          <w:rFonts w:ascii="Times New Roman" w:cs="Times New Roman"/>
          <w:kern w:val="2"/>
          <w:sz w:val="18"/>
          <w:szCs w:val="18"/>
        </w:rPr>
        <w:t>交银境尚</w:t>
      </w:r>
      <w:r>
        <w:rPr>
          <w:rFonts w:ascii="Times New Roman" w:cs="Times New Roman" w:hint="eastAsia"/>
          <w:kern w:val="2"/>
          <w:sz w:val="18"/>
          <w:szCs w:val="18"/>
        </w:rPr>
        <w:t>、</w:t>
      </w:r>
      <w:r>
        <w:rPr>
          <w:rFonts w:ascii="Times New Roman" w:cs="Times New Roman"/>
          <w:kern w:val="2"/>
          <w:sz w:val="18"/>
          <w:szCs w:val="18"/>
        </w:rPr>
        <w:t>交银可转债</w:t>
      </w:r>
      <w:r>
        <w:rPr>
          <w:rFonts w:ascii="Times New Roman" w:cs="Times New Roman" w:hint="eastAsia"/>
          <w:kern w:val="2"/>
          <w:sz w:val="18"/>
          <w:szCs w:val="18"/>
        </w:rPr>
        <w:t>、</w:t>
      </w:r>
      <w:r>
        <w:rPr>
          <w:rFonts w:ascii="Times New Roman" w:cs="Times New Roman"/>
          <w:kern w:val="2"/>
          <w:sz w:val="18"/>
          <w:szCs w:val="18"/>
        </w:rPr>
        <w:t>交银丰润</w:t>
      </w:r>
      <w:r>
        <w:rPr>
          <w:rFonts w:ascii="Times New Roman" w:cs="Times New Roman" w:hint="eastAsia"/>
          <w:kern w:val="2"/>
          <w:sz w:val="18"/>
          <w:szCs w:val="18"/>
        </w:rPr>
        <w:t>、</w:t>
      </w:r>
      <w:r>
        <w:rPr>
          <w:rFonts w:ascii="Times New Roman" w:cs="Times New Roman"/>
          <w:kern w:val="2"/>
          <w:sz w:val="18"/>
          <w:szCs w:val="18"/>
        </w:rPr>
        <w:t>交银裕通、交银</w:t>
      </w:r>
      <w:r>
        <w:rPr>
          <w:rFonts w:ascii="Times New Roman" w:cs="Times New Roman" w:hint="eastAsia"/>
          <w:kern w:val="2"/>
          <w:sz w:val="18"/>
          <w:szCs w:val="18"/>
        </w:rPr>
        <w:t>丰晟、交银丰盈、交银中高等级信用债、交银裕惠纯债</w:t>
      </w:r>
      <w:r>
        <w:rPr>
          <w:rFonts w:ascii="Times New Roman" w:cs="Times New Roman"/>
          <w:kern w:val="2"/>
          <w:sz w:val="18"/>
          <w:szCs w:val="18"/>
        </w:rPr>
        <w:t>，如无特别说明，后文提及</w:t>
      </w:r>
      <w:r>
        <w:rPr>
          <w:rFonts w:ascii="Times New Roman" w:cs="Times New Roman"/>
          <w:kern w:val="2"/>
          <w:sz w:val="18"/>
          <w:szCs w:val="18"/>
        </w:rPr>
        <w:t>“</w:t>
      </w:r>
      <w:r>
        <w:rPr>
          <w:rFonts w:ascii="Times New Roman" w:cs="Times New Roman"/>
          <w:kern w:val="2"/>
          <w:sz w:val="18"/>
          <w:szCs w:val="18"/>
        </w:rPr>
        <w:t>债券基金</w:t>
      </w:r>
      <w:r>
        <w:rPr>
          <w:rFonts w:ascii="Times New Roman" w:cs="Times New Roman"/>
          <w:kern w:val="2"/>
          <w:sz w:val="18"/>
          <w:szCs w:val="18"/>
        </w:rPr>
        <w:t>”</w:t>
      </w:r>
      <w:r>
        <w:rPr>
          <w:rFonts w:ascii="Times New Roman" w:cs="Times New Roman"/>
          <w:kern w:val="2"/>
          <w:sz w:val="18"/>
          <w:szCs w:val="18"/>
        </w:rPr>
        <w:t>即指上述基金。</w:t>
      </w:r>
    </w:p>
    <w:p w14:paraId="161E91A3" w14:textId="5886A4ED" w:rsidR="005A582E" w:rsidRDefault="00111516">
      <w:pPr>
        <w:pStyle w:val="aff4"/>
        <w:spacing w:line="360" w:lineRule="auto"/>
        <w:ind w:leftChars="171" w:left="359" w:firstLineChars="400" w:firstLine="720"/>
        <w:rPr>
          <w:rFonts w:ascii="Times New Roman" w:cs="Times New Roman"/>
          <w:kern w:val="2"/>
          <w:sz w:val="18"/>
          <w:szCs w:val="18"/>
        </w:rPr>
      </w:pPr>
      <w:r>
        <w:rPr>
          <w:rFonts w:ascii="Times New Roman" w:hAnsi="Times New Roman" w:cs="Times New Roman"/>
          <w:kern w:val="2"/>
          <w:sz w:val="18"/>
          <w:szCs w:val="18"/>
        </w:rPr>
        <w:lastRenderedPageBreak/>
        <w:t>3</w:t>
      </w:r>
      <w:r>
        <w:rPr>
          <w:rFonts w:ascii="Times New Roman" w:cs="Times New Roman"/>
          <w:kern w:val="2"/>
          <w:sz w:val="18"/>
          <w:szCs w:val="18"/>
        </w:rPr>
        <w:t>、交银环球、治理</w:t>
      </w:r>
      <w:r>
        <w:rPr>
          <w:rFonts w:ascii="Times New Roman" w:cs="Times New Roman"/>
          <w:kern w:val="2"/>
          <w:sz w:val="18"/>
          <w:szCs w:val="18"/>
        </w:rPr>
        <w:t>ETF</w:t>
      </w:r>
      <w:r>
        <w:rPr>
          <w:rFonts w:ascii="Times New Roman" w:cs="Times New Roman"/>
          <w:kern w:val="2"/>
          <w:sz w:val="18"/>
          <w:szCs w:val="18"/>
        </w:rPr>
        <w:t>、交银添利（</w:t>
      </w:r>
      <w:r>
        <w:rPr>
          <w:rFonts w:ascii="Times New Roman" w:cs="Times New Roman"/>
          <w:kern w:val="2"/>
          <w:sz w:val="18"/>
          <w:szCs w:val="18"/>
        </w:rPr>
        <w:t>LOF</w:t>
      </w:r>
      <w:r>
        <w:rPr>
          <w:rFonts w:ascii="Times New Roman" w:cs="Times New Roman"/>
          <w:kern w:val="2"/>
          <w:sz w:val="18"/>
          <w:szCs w:val="18"/>
        </w:rPr>
        <w:t>）、</w:t>
      </w:r>
      <w:proofErr w:type="gramStart"/>
      <w:r>
        <w:rPr>
          <w:rFonts w:ascii="Times New Roman" w:cs="Times New Roman"/>
          <w:kern w:val="2"/>
          <w:sz w:val="18"/>
          <w:szCs w:val="18"/>
        </w:rPr>
        <w:t>交银深证</w:t>
      </w:r>
      <w:proofErr w:type="gramEnd"/>
      <w:r>
        <w:rPr>
          <w:rFonts w:ascii="Times New Roman" w:cs="Times New Roman"/>
          <w:kern w:val="2"/>
          <w:sz w:val="18"/>
          <w:szCs w:val="18"/>
        </w:rPr>
        <w:t>300</w:t>
      </w:r>
      <w:r>
        <w:rPr>
          <w:rFonts w:ascii="Times New Roman" w:cs="Times New Roman"/>
          <w:kern w:val="2"/>
          <w:sz w:val="18"/>
          <w:szCs w:val="18"/>
        </w:rPr>
        <w:t>价值</w:t>
      </w:r>
      <w:r>
        <w:rPr>
          <w:rFonts w:ascii="Times New Roman" w:cs="Times New Roman"/>
          <w:kern w:val="2"/>
          <w:sz w:val="18"/>
          <w:szCs w:val="18"/>
        </w:rPr>
        <w:t>ETF</w:t>
      </w:r>
      <w:r>
        <w:rPr>
          <w:rFonts w:ascii="Times New Roman" w:cs="Times New Roman"/>
          <w:kern w:val="2"/>
          <w:sz w:val="18"/>
          <w:szCs w:val="18"/>
        </w:rPr>
        <w:t>、</w:t>
      </w:r>
      <w:r>
        <w:rPr>
          <w:rFonts w:ascii="Times New Roman" w:cs="Times New Roman" w:hint="eastAsia"/>
          <w:kern w:val="2"/>
          <w:sz w:val="18"/>
          <w:szCs w:val="18"/>
        </w:rPr>
        <w:t>交</w:t>
      </w:r>
      <w:proofErr w:type="gramStart"/>
      <w:r>
        <w:rPr>
          <w:rFonts w:ascii="Times New Roman" w:cs="Times New Roman" w:hint="eastAsia"/>
          <w:kern w:val="2"/>
          <w:sz w:val="18"/>
          <w:szCs w:val="18"/>
        </w:rPr>
        <w:t>银增强</w:t>
      </w:r>
      <w:proofErr w:type="gramEnd"/>
      <w:r>
        <w:rPr>
          <w:rFonts w:ascii="Times New Roman" w:cs="Times New Roman" w:hint="eastAsia"/>
          <w:kern w:val="2"/>
          <w:sz w:val="18"/>
          <w:szCs w:val="18"/>
        </w:rPr>
        <w:t>收益、</w:t>
      </w:r>
      <w:r>
        <w:rPr>
          <w:rFonts w:ascii="Times New Roman" w:cs="Times New Roman"/>
          <w:kern w:val="2"/>
          <w:sz w:val="18"/>
          <w:szCs w:val="18"/>
        </w:rPr>
        <w:t>交银丰享、</w:t>
      </w:r>
      <w:r>
        <w:rPr>
          <w:rFonts w:ascii="Times New Roman" w:cs="Times New Roman" w:hint="eastAsia"/>
          <w:kern w:val="2"/>
          <w:sz w:val="18"/>
          <w:szCs w:val="18"/>
        </w:rPr>
        <w:t>交银</w:t>
      </w:r>
      <w:r>
        <w:rPr>
          <w:rFonts w:ascii="Times New Roman" w:cs="Times New Roman"/>
          <w:kern w:val="2"/>
          <w:sz w:val="18"/>
          <w:szCs w:val="18"/>
        </w:rPr>
        <w:t>安心收益、交银新能源、交</w:t>
      </w:r>
      <w:proofErr w:type="gramStart"/>
      <w:r>
        <w:rPr>
          <w:rFonts w:ascii="Times New Roman" w:cs="Times New Roman"/>
          <w:kern w:val="2"/>
          <w:sz w:val="18"/>
          <w:szCs w:val="18"/>
        </w:rPr>
        <w:t>银海外</w:t>
      </w:r>
      <w:proofErr w:type="gramEnd"/>
      <w:r>
        <w:rPr>
          <w:rFonts w:ascii="Times New Roman" w:cs="Times New Roman"/>
          <w:kern w:val="2"/>
          <w:sz w:val="18"/>
          <w:szCs w:val="18"/>
        </w:rPr>
        <w:t>中国互联网</w:t>
      </w:r>
      <w:r>
        <w:rPr>
          <w:rFonts w:ascii="Times New Roman" w:cs="Times New Roman"/>
          <w:kern w:val="2"/>
          <w:sz w:val="18"/>
          <w:szCs w:val="18"/>
        </w:rPr>
        <w:t>(LOF)</w:t>
      </w:r>
      <w:r>
        <w:rPr>
          <w:rFonts w:ascii="Times New Roman" w:cs="Times New Roman"/>
          <w:kern w:val="2"/>
          <w:sz w:val="18"/>
          <w:szCs w:val="18"/>
        </w:rPr>
        <w:t>、交银互联网金融、交</w:t>
      </w:r>
      <w:proofErr w:type="gramStart"/>
      <w:r>
        <w:rPr>
          <w:rFonts w:ascii="Times New Roman" w:cs="Times New Roman"/>
          <w:kern w:val="2"/>
          <w:sz w:val="18"/>
          <w:szCs w:val="18"/>
        </w:rPr>
        <w:t>银环境</w:t>
      </w:r>
      <w:proofErr w:type="gramEnd"/>
      <w:r>
        <w:rPr>
          <w:rFonts w:ascii="Times New Roman" w:cs="Times New Roman"/>
          <w:kern w:val="2"/>
          <w:sz w:val="18"/>
          <w:szCs w:val="18"/>
        </w:rPr>
        <w:t>治理</w:t>
      </w:r>
      <w:r>
        <w:rPr>
          <w:rFonts w:ascii="Times New Roman" w:cs="Times New Roman" w:hint="eastAsia"/>
          <w:kern w:val="2"/>
          <w:sz w:val="18"/>
          <w:szCs w:val="18"/>
        </w:rPr>
        <w:t>、交</w:t>
      </w:r>
      <w:proofErr w:type="gramStart"/>
      <w:r>
        <w:rPr>
          <w:rFonts w:ascii="Times New Roman" w:cs="Times New Roman" w:hint="eastAsia"/>
          <w:kern w:val="2"/>
          <w:sz w:val="18"/>
          <w:szCs w:val="18"/>
        </w:rPr>
        <w:t>银裕盈</w:t>
      </w:r>
      <w:proofErr w:type="gramEnd"/>
      <w:r>
        <w:rPr>
          <w:rFonts w:ascii="Times New Roman" w:cs="Times New Roman" w:hint="eastAsia"/>
          <w:kern w:val="2"/>
          <w:sz w:val="18"/>
          <w:szCs w:val="18"/>
        </w:rPr>
        <w:t>、交</w:t>
      </w:r>
      <w:proofErr w:type="gramStart"/>
      <w:r>
        <w:rPr>
          <w:rFonts w:ascii="Times New Roman" w:cs="Times New Roman" w:hint="eastAsia"/>
          <w:kern w:val="2"/>
          <w:sz w:val="18"/>
          <w:szCs w:val="18"/>
        </w:rPr>
        <w:t>银沪港深价值</w:t>
      </w:r>
      <w:proofErr w:type="gramEnd"/>
      <w:r>
        <w:rPr>
          <w:rFonts w:ascii="Times New Roman" w:cs="Times New Roman" w:hint="eastAsia"/>
          <w:kern w:val="2"/>
          <w:sz w:val="18"/>
          <w:szCs w:val="18"/>
        </w:rPr>
        <w:t>精选、交</w:t>
      </w:r>
      <w:proofErr w:type="gramStart"/>
      <w:r>
        <w:rPr>
          <w:rFonts w:ascii="Times New Roman" w:cs="Times New Roman" w:hint="eastAsia"/>
          <w:kern w:val="2"/>
          <w:sz w:val="18"/>
          <w:szCs w:val="18"/>
        </w:rPr>
        <w:t>银裕利</w:t>
      </w:r>
      <w:proofErr w:type="gramEnd"/>
      <w:r>
        <w:rPr>
          <w:rFonts w:ascii="Times New Roman" w:cs="Times New Roman" w:hint="eastAsia"/>
          <w:kern w:val="2"/>
          <w:sz w:val="18"/>
          <w:szCs w:val="18"/>
        </w:rPr>
        <w:t>、</w:t>
      </w:r>
      <w:proofErr w:type="gramStart"/>
      <w:r>
        <w:rPr>
          <w:rFonts w:ascii="Times New Roman" w:cs="Times New Roman" w:hint="eastAsia"/>
          <w:kern w:val="2"/>
          <w:sz w:val="18"/>
          <w:szCs w:val="18"/>
        </w:rPr>
        <w:t>交银裕隆</w:t>
      </w:r>
      <w:proofErr w:type="gramEnd"/>
      <w:r>
        <w:rPr>
          <w:rFonts w:ascii="Times New Roman" w:cs="Times New Roman" w:hint="eastAsia"/>
          <w:kern w:val="2"/>
          <w:sz w:val="18"/>
          <w:szCs w:val="18"/>
        </w:rPr>
        <w:t>、交银瑞</w:t>
      </w:r>
      <w:proofErr w:type="gramStart"/>
      <w:r>
        <w:rPr>
          <w:rFonts w:ascii="Times New Roman" w:cs="Times New Roman" w:hint="eastAsia"/>
          <w:kern w:val="2"/>
          <w:sz w:val="18"/>
          <w:szCs w:val="18"/>
        </w:rPr>
        <w:t>鑫</w:t>
      </w:r>
      <w:proofErr w:type="gramEnd"/>
      <w:r>
        <w:rPr>
          <w:rFonts w:ascii="Times New Roman" w:cs="Times New Roman" w:hint="eastAsia"/>
          <w:kern w:val="2"/>
          <w:sz w:val="18"/>
          <w:szCs w:val="18"/>
        </w:rPr>
        <w:t>、</w:t>
      </w:r>
      <w:r>
        <w:rPr>
          <w:rFonts w:ascii="Times New Roman" w:cs="Times New Roman"/>
          <w:kern w:val="2"/>
          <w:sz w:val="18"/>
          <w:szCs w:val="18"/>
        </w:rPr>
        <w:t>交银增利增强</w:t>
      </w:r>
      <w:r>
        <w:rPr>
          <w:rFonts w:ascii="Times New Roman" w:cs="Times New Roman" w:hint="eastAsia"/>
          <w:kern w:val="2"/>
          <w:sz w:val="18"/>
          <w:szCs w:val="18"/>
        </w:rPr>
        <w:t>、</w:t>
      </w:r>
      <w:proofErr w:type="gramStart"/>
      <w:r>
        <w:rPr>
          <w:rFonts w:ascii="Times New Roman" w:cs="Times New Roman"/>
          <w:kern w:val="2"/>
          <w:sz w:val="18"/>
          <w:szCs w:val="18"/>
        </w:rPr>
        <w:t>交银恒益</w:t>
      </w:r>
      <w:proofErr w:type="gramEnd"/>
      <w:r>
        <w:rPr>
          <w:rFonts w:ascii="Times New Roman" w:cs="Times New Roman" w:hint="eastAsia"/>
          <w:kern w:val="2"/>
          <w:sz w:val="18"/>
          <w:szCs w:val="18"/>
        </w:rPr>
        <w:t>、</w:t>
      </w:r>
      <w:r>
        <w:rPr>
          <w:rFonts w:ascii="Times New Roman" w:cs="Times New Roman"/>
          <w:kern w:val="2"/>
          <w:sz w:val="18"/>
          <w:szCs w:val="18"/>
        </w:rPr>
        <w:t>交银裕如、交银裕</w:t>
      </w:r>
      <w:proofErr w:type="gramStart"/>
      <w:r>
        <w:rPr>
          <w:rFonts w:ascii="Times New Roman" w:cs="Times New Roman"/>
          <w:kern w:val="2"/>
          <w:sz w:val="18"/>
          <w:szCs w:val="18"/>
        </w:rPr>
        <w:t>祥</w:t>
      </w:r>
      <w:proofErr w:type="gramEnd"/>
      <w:r>
        <w:rPr>
          <w:rFonts w:ascii="Times New Roman" w:cs="Times New Roman" w:hint="eastAsia"/>
          <w:kern w:val="2"/>
          <w:sz w:val="18"/>
          <w:szCs w:val="18"/>
        </w:rPr>
        <w:t>、</w:t>
      </w:r>
      <w:r>
        <w:rPr>
          <w:rFonts w:ascii="Times New Roman" w:cs="Times New Roman"/>
          <w:kern w:val="2"/>
          <w:sz w:val="18"/>
          <w:szCs w:val="18"/>
        </w:rPr>
        <w:t>交银农发债指数</w:t>
      </w:r>
      <w:r>
        <w:rPr>
          <w:rFonts w:ascii="Times New Roman" w:cs="Times New Roman" w:hint="eastAsia"/>
          <w:kern w:val="2"/>
          <w:sz w:val="18"/>
          <w:szCs w:val="18"/>
        </w:rPr>
        <w:t>、</w:t>
      </w:r>
      <w:r>
        <w:rPr>
          <w:rFonts w:ascii="Times New Roman" w:cs="Times New Roman"/>
          <w:kern w:val="2"/>
          <w:sz w:val="18"/>
          <w:szCs w:val="18"/>
        </w:rPr>
        <w:t>交银安享</w:t>
      </w:r>
      <w:r>
        <w:rPr>
          <w:rFonts w:ascii="Times New Roman" w:cs="Times New Roman" w:hint="eastAsia"/>
          <w:kern w:val="2"/>
          <w:sz w:val="18"/>
          <w:szCs w:val="18"/>
        </w:rPr>
        <w:t>稳健</w:t>
      </w:r>
      <w:r>
        <w:rPr>
          <w:rFonts w:ascii="Times New Roman" w:cs="Times New Roman"/>
          <w:kern w:val="2"/>
          <w:sz w:val="18"/>
          <w:szCs w:val="18"/>
        </w:rPr>
        <w:t>（</w:t>
      </w:r>
      <w:r>
        <w:rPr>
          <w:rFonts w:ascii="Times New Roman" w:cs="Times New Roman" w:hint="eastAsia"/>
          <w:kern w:val="2"/>
          <w:sz w:val="18"/>
          <w:szCs w:val="18"/>
        </w:rPr>
        <w:t>F</w:t>
      </w:r>
      <w:r>
        <w:rPr>
          <w:rFonts w:ascii="Times New Roman" w:cs="Times New Roman"/>
          <w:kern w:val="2"/>
          <w:sz w:val="18"/>
          <w:szCs w:val="18"/>
        </w:rPr>
        <w:t>OF</w:t>
      </w:r>
      <w:r>
        <w:rPr>
          <w:rFonts w:ascii="Times New Roman" w:cs="Times New Roman" w:hint="eastAsia"/>
          <w:kern w:val="2"/>
          <w:sz w:val="18"/>
          <w:szCs w:val="18"/>
        </w:rPr>
        <w:t>）、</w:t>
      </w:r>
      <w:proofErr w:type="gramStart"/>
      <w:r>
        <w:rPr>
          <w:rFonts w:ascii="Times New Roman" w:cs="Times New Roman" w:hint="eastAsia"/>
          <w:kern w:val="2"/>
          <w:sz w:val="18"/>
          <w:szCs w:val="18"/>
        </w:rPr>
        <w:t>交银瑞丰</w:t>
      </w:r>
      <w:proofErr w:type="gramEnd"/>
      <w:r>
        <w:rPr>
          <w:rFonts w:ascii="Times New Roman" w:cs="Times New Roman" w:hint="eastAsia"/>
          <w:kern w:val="2"/>
          <w:sz w:val="18"/>
          <w:szCs w:val="18"/>
        </w:rPr>
        <w:t>、</w:t>
      </w:r>
      <w:proofErr w:type="gramStart"/>
      <w:r>
        <w:rPr>
          <w:rFonts w:ascii="Times New Roman" w:cs="Times New Roman" w:hint="eastAsia"/>
          <w:kern w:val="2"/>
          <w:sz w:val="18"/>
          <w:szCs w:val="18"/>
        </w:rPr>
        <w:t>交银裕泰</w:t>
      </w:r>
      <w:proofErr w:type="gramEnd"/>
      <w:r>
        <w:rPr>
          <w:rFonts w:ascii="Times New Roman" w:cs="Times New Roman" w:hint="eastAsia"/>
          <w:kern w:val="2"/>
          <w:sz w:val="18"/>
          <w:szCs w:val="18"/>
        </w:rPr>
        <w:t>两年定开、交</w:t>
      </w:r>
      <w:proofErr w:type="gramStart"/>
      <w:r>
        <w:rPr>
          <w:rFonts w:ascii="Times New Roman" w:cs="Times New Roman" w:hint="eastAsia"/>
          <w:kern w:val="2"/>
          <w:sz w:val="18"/>
          <w:szCs w:val="18"/>
        </w:rPr>
        <w:t>银稳利</w:t>
      </w:r>
      <w:proofErr w:type="gramEnd"/>
      <w:r>
        <w:rPr>
          <w:rFonts w:ascii="Times New Roman" w:cs="Times New Roman" w:hint="eastAsia"/>
          <w:kern w:val="2"/>
          <w:sz w:val="18"/>
          <w:szCs w:val="18"/>
        </w:rPr>
        <w:t>、交</w:t>
      </w:r>
      <w:proofErr w:type="gramStart"/>
      <w:r>
        <w:rPr>
          <w:rFonts w:ascii="Times New Roman" w:cs="Times New Roman" w:hint="eastAsia"/>
          <w:kern w:val="2"/>
          <w:sz w:val="18"/>
          <w:szCs w:val="18"/>
        </w:rPr>
        <w:t>银裕坤</w:t>
      </w:r>
      <w:proofErr w:type="gramEnd"/>
      <w:r>
        <w:rPr>
          <w:rFonts w:ascii="Times New Roman" w:cs="Times New Roman" w:hint="eastAsia"/>
          <w:kern w:val="2"/>
          <w:sz w:val="18"/>
          <w:szCs w:val="18"/>
        </w:rPr>
        <w:t>一年定开、</w:t>
      </w:r>
      <w:r>
        <w:rPr>
          <w:rFonts w:ascii="Times New Roman" w:cs="Times New Roman"/>
          <w:kern w:val="2"/>
          <w:sz w:val="18"/>
          <w:szCs w:val="18"/>
        </w:rPr>
        <w:t>交</w:t>
      </w:r>
      <w:proofErr w:type="gramStart"/>
      <w:r>
        <w:rPr>
          <w:rFonts w:ascii="Times New Roman" w:cs="Times New Roman"/>
          <w:kern w:val="2"/>
          <w:sz w:val="18"/>
          <w:szCs w:val="18"/>
        </w:rPr>
        <w:t>银瑞思</w:t>
      </w:r>
      <w:proofErr w:type="gramEnd"/>
      <w:r>
        <w:rPr>
          <w:rFonts w:ascii="Times New Roman" w:cs="Times New Roman" w:hint="eastAsia"/>
          <w:kern w:val="2"/>
          <w:sz w:val="18"/>
          <w:szCs w:val="18"/>
        </w:rPr>
        <w:t>、</w:t>
      </w:r>
      <w:r>
        <w:rPr>
          <w:rFonts w:ascii="Times New Roman" w:cs="Times New Roman"/>
          <w:kern w:val="2"/>
          <w:sz w:val="18"/>
          <w:szCs w:val="18"/>
        </w:rPr>
        <w:t>交银</w:t>
      </w:r>
      <w:r>
        <w:rPr>
          <w:rFonts w:ascii="Times New Roman" w:cs="Times New Roman" w:hint="eastAsia"/>
          <w:kern w:val="2"/>
          <w:sz w:val="18"/>
          <w:szCs w:val="18"/>
        </w:rPr>
        <w:t>2</w:t>
      </w:r>
      <w:r>
        <w:rPr>
          <w:rFonts w:ascii="Times New Roman" w:cs="Times New Roman"/>
          <w:kern w:val="2"/>
          <w:sz w:val="18"/>
          <w:szCs w:val="18"/>
        </w:rPr>
        <w:t>035FOF</w:t>
      </w:r>
      <w:r>
        <w:rPr>
          <w:rFonts w:ascii="Times New Roman" w:cs="Times New Roman" w:hint="eastAsia"/>
          <w:kern w:val="2"/>
          <w:sz w:val="18"/>
          <w:szCs w:val="18"/>
        </w:rPr>
        <w:t>、</w:t>
      </w:r>
      <w:r>
        <w:rPr>
          <w:rFonts w:ascii="Times New Roman" w:cs="Times New Roman"/>
          <w:kern w:val="2"/>
          <w:sz w:val="18"/>
          <w:szCs w:val="18"/>
        </w:rPr>
        <w:t>交</w:t>
      </w:r>
      <w:proofErr w:type="gramStart"/>
      <w:r>
        <w:rPr>
          <w:rFonts w:ascii="Times New Roman" w:cs="Times New Roman"/>
          <w:kern w:val="2"/>
          <w:sz w:val="18"/>
          <w:szCs w:val="18"/>
        </w:rPr>
        <w:t>银</w:t>
      </w:r>
      <w:r>
        <w:rPr>
          <w:rFonts w:ascii="Times New Roman" w:cs="Times New Roman" w:hint="eastAsia"/>
          <w:kern w:val="2"/>
          <w:sz w:val="18"/>
          <w:szCs w:val="18"/>
        </w:rPr>
        <w:t>政金债</w:t>
      </w:r>
      <w:proofErr w:type="gramEnd"/>
      <w:r>
        <w:rPr>
          <w:rFonts w:ascii="Times New Roman" w:cs="Times New Roman"/>
          <w:kern w:val="2"/>
          <w:sz w:val="18"/>
          <w:szCs w:val="18"/>
        </w:rPr>
        <w:t>指数、交银</w:t>
      </w:r>
      <w:proofErr w:type="gramStart"/>
      <w:r>
        <w:rPr>
          <w:rFonts w:ascii="Times New Roman" w:cs="Times New Roman"/>
          <w:kern w:val="2"/>
          <w:sz w:val="18"/>
          <w:szCs w:val="18"/>
        </w:rPr>
        <w:t>臻</w:t>
      </w:r>
      <w:proofErr w:type="gramEnd"/>
      <w:r>
        <w:rPr>
          <w:rFonts w:ascii="Times New Roman" w:cs="Times New Roman"/>
          <w:kern w:val="2"/>
          <w:sz w:val="18"/>
          <w:szCs w:val="18"/>
        </w:rPr>
        <w:t>选回报</w:t>
      </w:r>
      <w:r>
        <w:rPr>
          <w:rFonts w:ascii="Times New Roman" w:cs="Times New Roman" w:hint="eastAsia"/>
          <w:kern w:val="2"/>
          <w:sz w:val="18"/>
          <w:szCs w:val="18"/>
        </w:rPr>
        <w:t>、交银鸿光一年、</w:t>
      </w:r>
      <w:r>
        <w:rPr>
          <w:rFonts w:ascii="Times New Roman" w:cs="Times New Roman"/>
          <w:kern w:val="2"/>
          <w:sz w:val="18"/>
          <w:szCs w:val="18"/>
        </w:rPr>
        <w:t>交</w:t>
      </w:r>
      <w:proofErr w:type="gramStart"/>
      <w:r>
        <w:rPr>
          <w:rFonts w:ascii="Times New Roman" w:cs="Times New Roman"/>
          <w:kern w:val="2"/>
          <w:sz w:val="18"/>
          <w:szCs w:val="18"/>
        </w:rPr>
        <w:t>银成长</w:t>
      </w:r>
      <w:proofErr w:type="gramEnd"/>
      <w:r>
        <w:rPr>
          <w:rFonts w:ascii="Times New Roman" w:cs="Times New Roman"/>
          <w:kern w:val="2"/>
          <w:sz w:val="18"/>
          <w:szCs w:val="18"/>
        </w:rPr>
        <w:t>动力一年的基金转换业务暂不开通。本公司今后发行的开放式基金将根据具体情况确定是否适用于上述业务。</w:t>
      </w:r>
    </w:p>
    <w:p w14:paraId="2DC5EA2A" w14:textId="77777777" w:rsidR="005A582E" w:rsidRDefault="00111516">
      <w:pPr>
        <w:pStyle w:val="aff4"/>
        <w:spacing w:line="360" w:lineRule="auto"/>
        <w:ind w:leftChars="171" w:left="359" w:firstLineChars="400" w:firstLine="720"/>
        <w:rPr>
          <w:rFonts w:ascii="Times New Roman" w:cs="Times New Roman"/>
          <w:kern w:val="2"/>
          <w:sz w:val="18"/>
          <w:szCs w:val="18"/>
        </w:rPr>
      </w:pPr>
      <w:r>
        <w:rPr>
          <w:rFonts w:ascii="Times New Roman" w:cs="Times New Roman" w:hint="eastAsia"/>
          <w:kern w:val="2"/>
          <w:sz w:val="18"/>
          <w:szCs w:val="18"/>
        </w:rPr>
        <w:t>4</w:t>
      </w:r>
      <w:r>
        <w:rPr>
          <w:rFonts w:ascii="Times New Roman" w:cs="Times New Roman" w:hint="eastAsia"/>
          <w:kern w:val="2"/>
          <w:sz w:val="18"/>
          <w:szCs w:val="18"/>
        </w:rPr>
        <w:t>、交银周期回报、交银新回报、交银多策略回报的</w:t>
      </w:r>
      <w:r>
        <w:rPr>
          <w:rFonts w:ascii="Times New Roman" w:cs="Times New Roman" w:hint="eastAsia"/>
          <w:kern w:val="2"/>
          <w:sz w:val="18"/>
          <w:szCs w:val="18"/>
        </w:rPr>
        <w:t>C</w:t>
      </w:r>
      <w:r>
        <w:rPr>
          <w:rFonts w:ascii="Times New Roman" w:cs="Times New Roman" w:hint="eastAsia"/>
          <w:kern w:val="2"/>
          <w:sz w:val="18"/>
          <w:szCs w:val="18"/>
        </w:rPr>
        <w:t>类基金份额暂不开通转换业务。</w:t>
      </w:r>
      <w:r>
        <w:rPr>
          <w:rFonts w:ascii="Times New Roman" w:cs="Times New Roman"/>
          <w:kern w:val="2"/>
          <w:sz w:val="18"/>
          <w:szCs w:val="18"/>
        </w:rPr>
        <w:t>本公司今后发行的开放式基金</w:t>
      </w:r>
      <w:r>
        <w:rPr>
          <w:rFonts w:ascii="Times New Roman" w:cs="Times New Roman" w:hint="eastAsia"/>
          <w:kern w:val="2"/>
          <w:sz w:val="18"/>
          <w:szCs w:val="18"/>
        </w:rPr>
        <w:t>C</w:t>
      </w:r>
      <w:r>
        <w:rPr>
          <w:rFonts w:ascii="Times New Roman" w:cs="Times New Roman" w:hint="eastAsia"/>
          <w:kern w:val="2"/>
          <w:sz w:val="18"/>
          <w:szCs w:val="18"/>
        </w:rPr>
        <w:t>类基金份额</w:t>
      </w:r>
      <w:r>
        <w:rPr>
          <w:rFonts w:ascii="Times New Roman" w:cs="Times New Roman"/>
          <w:kern w:val="2"/>
          <w:sz w:val="18"/>
          <w:szCs w:val="18"/>
        </w:rPr>
        <w:t>将根据具体情况确定是否适用于上述业务。</w:t>
      </w:r>
    </w:p>
    <w:p w14:paraId="1CB51FD5" w14:textId="77777777" w:rsidR="005A582E" w:rsidRDefault="00111516">
      <w:pPr>
        <w:pStyle w:val="aff4"/>
        <w:spacing w:line="360" w:lineRule="auto"/>
        <w:ind w:leftChars="171" w:left="359" w:firstLineChars="400" w:firstLine="720"/>
        <w:rPr>
          <w:rFonts w:hAnsi="宋体"/>
          <w:sz w:val="18"/>
          <w:szCs w:val="18"/>
        </w:rPr>
      </w:pPr>
      <w:r>
        <w:rPr>
          <w:rFonts w:ascii="Times New Roman" w:cs="Times New Roman" w:hint="eastAsia"/>
          <w:kern w:val="2"/>
          <w:sz w:val="18"/>
          <w:szCs w:val="18"/>
        </w:rPr>
        <w:t>5</w:t>
      </w:r>
      <w:r>
        <w:rPr>
          <w:rFonts w:ascii="Times New Roman" w:cs="Times New Roman"/>
          <w:kern w:val="2"/>
          <w:sz w:val="18"/>
          <w:szCs w:val="18"/>
        </w:rPr>
        <w:t>、</w:t>
      </w:r>
      <w:r>
        <w:rPr>
          <w:rFonts w:ascii="Times New Roman" w:cs="Times New Roman" w:hint="eastAsia"/>
          <w:kern w:val="2"/>
          <w:sz w:val="18"/>
          <w:szCs w:val="18"/>
        </w:rPr>
        <w:t>表格</w:t>
      </w:r>
      <w:r>
        <w:rPr>
          <w:rFonts w:ascii="Times New Roman" w:cs="Times New Roman"/>
          <w:kern w:val="2"/>
          <w:sz w:val="18"/>
          <w:szCs w:val="18"/>
        </w:rPr>
        <w:t>中列示的</w:t>
      </w:r>
      <w:r>
        <w:rPr>
          <w:rFonts w:hAnsi="宋体" w:hint="eastAsia"/>
          <w:sz w:val="18"/>
          <w:szCs w:val="18"/>
        </w:rPr>
        <w:t>除交银</w:t>
      </w:r>
      <w:r>
        <w:rPr>
          <w:rFonts w:hAnsi="宋体"/>
          <w:sz w:val="18"/>
          <w:szCs w:val="18"/>
        </w:rPr>
        <w:t>货币</w:t>
      </w:r>
      <w:r>
        <w:rPr>
          <w:rFonts w:hAnsi="宋体" w:hint="eastAsia"/>
          <w:sz w:val="18"/>
          <w:szCs w:val="18"/>
        </w:rPr>
        <w:t>以外</w:t>
      </w:r>
      <w:r>
        <w:rPr>
          <w:rFonts w:hAnsi="宋体"/>
          <w:sz w:val="18"/>
          <w:szCs w:val="18"/>
        </w:rPr>
        <w:t>的</w:t>
      </w:r>
      <w:r>
        <w:rPr>
          <w:rFonts w:hAnsi="宋体" w:hint="eastAsia"/>
          <w:sz w:val="18"/>
          <w:szCs w:val="18"/>
        </w:rPr>
        <w:t>其他</w:t>
      </w:r>
      <w:r>
        <w:rPr>
          <w:rFonts w:hAnsi="宋体"/>
          <w:sz w:val="18"/>
          <w:szCs w:val="18"/>
        </w:rPr>
        <w:t>货币基金</w:t>
      </w:r>
      <w:r>
        <w:rPr>
          <w:rFonts w:hAnsi="宋体" w:hint="eastAsia"/>
          <w:sz w:val="18"/>
          <w:szCs w:val="18"/>
        </w:rPr>
        <w:t>包括</w:t>
      </w:r>
      <w:r>
        <w:rPr>
          <w:rFonts w:hAnsi="宋体"/>
          <w:sz w:val="18"/>
          <w:szCs w:val="18"/>
        </w:rPr>
        <w:t>交银现金宝、交银活期通、交银天利宝、交银天鑫宝、</w:t>
      </w:r>
      <w:r>
        <w:rPr>
          <w:rFonts w:hAnsi="宋体" w:hint="eastAsia"/>
          <w:sz w:val="18"/>
          <w:szCs w:val="18"/>
        </w:rPr>
        <w:t>交银</w:t>
      </w:r>
      <w:r>
        <w:rPr>
          <w:rFonts w:hAnsi="宋体"/>
          <w:sz w:val="18"/>
          <w:szCs w:val="18"/>
        </w:rPr>
        <w:t>天益宝</w:t>
      </w:r>
      <w:r>
        <w:rPr>
          <w:rFonts w:hAnsi="宋体" w:hint="eastAsia"/>
          <w:sz w:val="18"/>
          <w:szCs w:val="18"/>
        </w:rPr>
        <w:t>。</w:t>
      </w:r>
      <w:r>
        <w:rPr>
          <w:rFonts w:hAnsi="宋体"/>
          <w:sz w:val="18"/>
          <w:szCs w:val="18"/>
        </w:rPr>
        <w:t>本</w:t>
      </w:r>
      <w:r>
        <w:rPr>
          <w:rFonts w:hAnsi="宋体" w:hint="eastAsia"/>
          <w:sz w:val="18"/>
          <w:szCs w:val="18"/>
        </w:rPr>
        <w:t>公司</w:t>
      </w:r>
      <w:r>
        <w:rPr>
          <w:rFonts w:hAnsi="宋体"/>
          <w:sz w:val="18"/>
          <w:szCs w:val="18"/>
        </w:rPr>
        <w:t>今后发行的货币基金</w:t>
      </w:r>
      <w:r>
        <w:rPr>
          <w:rFonts w:hAnsi="宋体" w:hint="eastAsia"/>
          <w:sz w:val="18"/>
          <w:szCs w:val="18"/>
        </w:rPr>
        <w:t>将</w:t>
      </w:r>
      <w:r>
        <w:rPr>
          <w:rFonts w:hAnsi="宋体"/>
          <w:sz w:val="18"/>
          <w:szCs w:val="18"/>
        </w:rPr>
        <w:t>根据具体情况确定是否适用于上述业务。</w:t>
      </w:r>
    </w:p>
    <w:p w14:paraId="6B92E84C" w14:textId="77777777" w:rsidR="005A582E" w:rsidRDefault="00111516">
      <w:pPr>
        <w:pStyle w:val="aff4"/>
        <w:spacing w:line="360" w:lineRule="auto"/>
        <w:ind w:leftChars="171" w:left="359" w:firstLineChars="400" w:firstLine="720"/>
        <w:rPr>
          <w:rFonts w:ascii="Times New Roman" w:cs="Times New Roman"/>
          <w:kern w:val="2"/>
          <w:sz w:val="18"/>
          <w:szCs w:val="18"/>
        </w:rPr>
      </w:pPr>
      <w:r>
        <w:rPr>
          <w:rFonts w:hAnsi="宋体" w:hint="eastAsia"/>
          <w:sz w:val="18"/>
          <w:szCs w:val="18"/>
        </w:rPr>
        <w:t>6</w:t>
      </w:r>
      <w:r>
        <w:rPr>
          <w:rFonts w:hAnsi="宋体"/>
          <w:sz w:val="18"/>
          <w:szCs w:val="18"/>
        </w:rPr>
        <w:t>、交银内需增长一年</w:t>
      </w:r>
      <w:r>
        <w:rPr>
          <w:rFonts w:hAnsi="宋体" w:hint="eastAsia"/>
          <w:sz w:val="18"/>
          <w:szCs w:val="18"/>
        </w:rPr>
        <w:t>、交银均衡成长一年、</w:t>
      </w:r>
      <w:r>
        <w:rPr>
          <w:rFonts w:hAnsi="宋体"/>
          <w:sz w:val="18"/>
          <w:szCs w:val="18"/>
        </w:rPr>
        <w:t>交银鸿福六个月暂未开通转换转出业务。</w:t>
      </w:r>
    </w:p>
    <w:p w14:paraId="7DE6951B" w14:textId="77777777" w:rsidR="005A582E" w:rsidRDefault="00111516">
      <w:pPr>
        <w:pStyle w:val="afc"/>
        <w:spacing w:line="360" w:lineRule="auto"/>
        <w:ind w:rightChars="-85" w:right="-178" w:firstLineChars="200" w:firstLine="480"/>
        <w:rPr>
          <w:b/>
          <w:sz w:val="24"/>
          <w:szCs w:val="24"/>
        </w:rPr>
      </w:pPr>
      <w:r>
        <w:rPr>
          <w:rFonts w:hAnsi="宋体"/>
          <w:sz w:val="24"/>
        </w:rPr>
        <w:t>如果未来开通本基金管理人旗下其他基金的转换业务，基金管理人将及时公告。</w:t>
      </w:r>
    </w:p>
    <w:p w14:paraId="11F3236C" w14:textId="77777777" w:rsidR="005A582E" w:rsidRDefault="00111516">
      <w:pPr>
        <w:spacing w:line="360" w:lineRule="auto"/>
        <w:ind w:firstLineChars="200" w:firstLine="482"/>
        <w:rPr>
          <w:b/>
          <w:bCs/>
          <w:color w:val="000000"/>
          <w:sz w:val="24"/>
          <w:szCs w:val="21"/>
        </w:rPr>
      </w:pPr>
      <w:r>
        <w:rPr>
          <w:b/>
          <w:bCs/>
          <w:color w:val="000000"/>
          <w:sz w:val="24"/>
          <w:szCs w:val="21"/>
        </w:rPr>
        <w:t>（四）</w:t>
      </w:r>
      <w:r>
        <w:rPr>
          <w:b/>
          <w:bCs/>
          <w:color w:val="000000"/>
          <w:sz w:val="24"/>
          <w:szCs w:val="21"/>
        </w:rPr>
        <w:t xml:space="preserve"> </w:t>
      </w:r>
      <w:r>
        <w:rPr>
          <w:b/>
          <w:bCs/>
          <w:color w:val="000000"/>
          <w:sz w:val="24"/>
          <w:szCs w:val="21"/>
        </w:rPr>
        <w:t>基金转换的程序</w:t>
      </w:r>
    </w:p>
    <w:p w14:paraId="37A2AE64" w14:textId="77777777" w:rsidR="005A582E" w:rsidRDefault="00111516">
      <w:pPr>
        <w:pStyle w:val="a1"/>
        <w:autoSpaceDE w:val="0"/>
        <w:autoSpaceDN w:val="0"/>
        <w:adjustRightInd w:val="0"/>
        <w:spacing w:line="360" w:lineRule="auto"/>
        <w:ind w:rightChars="-85" w:right="-178" w:firstLine="480"/>
        <w:rPr>
          <w:rFonts w:hAnsi="宋体"/>
          <w:sz w:val="24"/>
        </w:rPr>
      </w:pPr>
      <w:r>
        <w:rPr>
          <w:rFonts w:hAnsi="宋体"/>
          <w:sz w:val="24"/>
        </w:rPr>
        <w:t xml:space="preserve">1. </w:t>
      </w:r>
      <w:r>
        <w:rPr>
          <w:rFonts w:hAnsi="宋体"/>
          <w:sz w:val="24"/>
        </w:rPr>
        <w:t>申请方式：书面申请或销售机构公布的其他方式。</w:t>
      </w:r>
      <w:r>
        <w:rPr>
          <w:rFonts w:hAnsi="宋体"/>
          <w:sz w:val="24"/>
        </w:rPr>
        <w:t xml:space="preserve"> </w:t>
      </w:r>
    </w:p>
    <w:p w14:paraId="77090918" w14:textId="77777777" w:rsidR="005A582E" w:rsidRDefault="00111516">
      <w:pPr>
        <w:pStyle w:val="a1"/>
        <w:autoSpaceDE w:val="0"/>
        <w:autoSpaceDN w:val="0"/>
        <w:adjustRightInd w:val="0"/>
        <w:spacing w:line="360" w:lineRule="auto"/>
        <w:ind w:rightChars="-85" w:right="-178" w:firstLine="480"/>
        <w:rPr>
          <w:rFonts w:hAnsi="宋体"/>
          <w:sz w:val="24"/>
        </w:rPr>
      </w:pPr>
      <w:r>
        <w:rPr>
          <w:rFonts w:hAnsi="宋体"/>
          <w:sz w:val="24"/>
        </w:rPr>
        <w:t xml:space="preserve">2. </w:t>
      </w:r>
      <w:r>
        <w:rPr>
          <w:rFonts w:hAnsi="宋体"/>
          <w:sz w:val="24"/>
        </w:rPr>
        <w:t>基金转换申请的确认</w:t>
      </w:r>
    </w:p>
    <w:p w14:paraId="30AEC499" w14:textId="77777777" w:rsidR="005A582E" w:rsidRDefault="00111516">
      <w:pPr>
        <w:pStyle w:val="a1"/>
        <w:autoSpaceDE w:val="0"/>
        <w:autoSpaceDN w:val="0"/>
        <w:adjustRightInd w:val="0"/>
        <w:spacing w:line="360" w:lineRule="auto"/>
        <w:ind w:rightChars="-85" w:right="-178" w:firstLine="480"/>
        <w:rPr>
          <w:rFonts w:hAnsi="宋体"/>
          <w:sz w:val="24"/>
        </w:rPr>
      </w:pPr>
      <w:r>
        <w:rPr>
          <w:rFonts w:hAnsi="宋体"/>
          <w:sz w:val="24"/>
        </w:rPr>
        <w:t>正常情况下，</w:t>
      </w:r>
      <w:r>
        <w:rPr>
          <w:rFonts w:hAnsi="宋体"/>
          <w:sz w:val="24"/>
        </w:rPr>
        <w:t>T</w:t>
      </w:r>
      <w:r>
        <w:rPr>
          <w:rFonts w:hAnsi="宋体"/>
          <w:sz w:val="24"/>
        </w:rPr>
        <w:t>日规定时间受理的申请，基金注册登记机构在</w:t>
      </w:r>
      <w:r>
        <w:rPr>
          <w:rFonts w:hAnsi="宋体"/>
          <w:sz w:val="24"/>
        </w:rPr>
        <w:t>T</w:t>
      </w:r>
      <w:r>
        <w:rPr>
          <w:rFonts w:hAnsi="宋体"/>
          <w:sz w:val="24"/>
        </w:rPr>
        <w:t>＋</w:t>
      </w:r>
      <w:r>
        <w:rPr>
          <w:rFonts w:hAnsi="宋体"/>
          <w:sz w:val="24"/>
        </w:rPr>
        <w:t>1</w:t>
      </w:r>
      <w:r>
        <w:rPr>
          <w:rFonts w:hAnsi="宋体"/>
          <w:sz w:val="24"/>
        </w:rPr>
        <w:t>日内为投资人对该交易的有效性进行确认，在</w:t>
      </w:r>
      <w:r>
        <w:rPr>
          <w:rFonts w:hAnsi="宋体"/>
          <w:sz w:val="24"/>
        </w:rPr>
        <w:t>T</w:t>
      </w:r>
      <w:r>
        <w:rPr>
          <w:rFonts w:hAnsi="宋体"/>
          <w:sz w:val="24"/>
        </w:rPr>
        <w:t>＋</w:t>
      </w:r>
      <w:r>
        <w:rPr>
          <w:rFonts w:hAnsi="宋体"/>
          <w:sz w:val="24"/>
        </w:rPr>
        <w:t>2</w:t>
      </w:r>
      <w:r>
        <w:rPr>
          <w:rFonts w:hAnsi="宋体"/>
          <w:sz w:val="24"/>
        </w:rPr>
        <w:t>日后（包括该日）投资人可向销售机构查询转换的确认情况。</w:t>
      </w:r>
    </w:p>
    <w:p w14:paraId="3BB8E432" w14:textId="77777777" w:rsidR="005A582E" w:rsidRDefault="00111516">
      <w:pPr>
        <w:pStyle w:val="a1"/>
        <w:autoSpaceDE w:val="0"/>
        <w:autoSpaceDN w:val="0"/>
        <w:adjustRightInd w:val="0"/>
        <w:spacing w:line="360" w:lineRule="auto"/>
        <w:ind w:rightChars="-85" w:right="-178" w:firstLine="480"/>
        <w:rPr>
          <w:rFonts w:hAnsi="宋体"/>
          <w:sz w:val="24"/>
        </w:rPr>
      </w:pPr>
      <w:r>
        <w:rPr>
          <w:rFonts w:hAnsi="宋体"/>
          <w:sz w:val="24"/>
        </w:rPr>
        <w:t xml:space="preserve">3. </w:t>
      </w:r>
      <w:r>
        <w:rPr>
          <w:rFonts w:hAnsi="宋体"/>
          <w:sz w:val="24"/>
        </w:rPr>
        <w:t>基金转换的注册登记</w:t>
      </w:r>
    </w:p>
    <w:p w14:paraId="3F1717FF" w14:textId="77777777" w:rsidR="005A582E" w:rsidRDefault="00111516">
      <w:pPr>
        <w:pStyle w:val="a1"/>
        <w:autoSpaceDE w:val="0"/>
        <w:autoSpaceDN w:val="0"/>
        <w:adjustRightInd w:val="0"/>
        <w:spacing w:line="360" w:lineRule="auto"/>
        <w:ind w:rightChars="-85" w:right="-178" w:firstLine="480"/>
        <w:rPr>
          <w:rFonts w:hAnsi="宋体"/>
          <w:sz w:val="24"/>
        </w:rPr>
      </w:pPr>
      <w:r>
        <w:rPr>
          <w:rFonts w:hAnsi="宋体"/>
          <w:sz w:val="24"/>
        </w:rPr>
        <w:t>注册登记机构以收到有效转换申请的当天作为转换申请日（</w:t>
      </w:r>
      <w:r>
        <w:rPr>
          <w:rFonts w:hAnsi="宋体"/>
          <w:sz w:val="24"/>
        </w:rPr>
        <w:t>T</w:t>
      </w:r>
      <w:r>
        <w:rPr>
          <w:rFonts w:hAnsi="宋体"/>
          <w:sz w:val="24"/>
        </w:rPr>
        <w:t>日）。投资人转换基金成功的，注册登记机构在</w:t>
      </w:r>
      <w:r>
        <w:rPr>
          <w:rFonts w:hAnsi="宋体"/>
          <w:sz w:val="24"/>
        </w:rPr>
        <w:t>T</w:t>
      </w:r>
      <w:r>
        <w:rPr>
          <w:rFonts w:hAnsi="宋体"/>
          <w:sz w:val="24"/>
        </w:rPr>
        <w:t>＋</w:t>
      </w:r>
      <w:r>
        <w:rPr>
          <w:rFonts w:hAnsi="宋体"/>
          <w:sz w:val="24"/>
        </w:rPr>
        <w:t>1</w:t>
      </w:r>
      <w:r>
        <w:rPr>
          <w:rFonts w:hAnsi="宋体"/>
          <w:sz w:val="24"/>
        </w:rPr>
        <w:t>日为投资人</w:t>
      </w:r>
      <w:r>
        <w:rPr>
          <w:rFonts w:hAnsi="宋体"/>
          <w:sz w:val="24"/>
        </w:rPr>
        <w:t>T</w:t>
      </w:r>
      <w:r>
        <w:rPr>
          <w:rFonts w:hAnsi="宋体"/>
          <w:sz w:val="24"/>
        </w:rPr>
        <w:t>日的基金转换业务申请进行有效性确认，办理转出基金的权益扣除以及转入基金的权益登记，在</w:t>
      </w:r>
      <w:r>
        <w:rPr>
          <w:rFonts w:hAnsi="宋体"/>
          <w:sz w:val="24"/>
        </w:rPr>
        <w:t>T</w:t>
      </w:r>
      <w:r>
        <w:rPr>
          <w:rFonts w:hAnsi="宋体"/>
          <w:sz w:val="24"/>
        </w:rPr>
        <w:t>＋</w:t>
      </w:r>
      <w:r>
        <w:rPr>
          <w:rFonts w:hAnsi="宋体"/>
          <w:sz w:val="24"/>
        </w:rPr>
        <w:t>2</w:t>
      </w:r>
      <w:r>
        <w:rPr>
          <w:rFonts w:hAnsi="宋体"/>
          <w:sz w:val="24"/>
        </w:rPr>
        <w:t>日后（包含该日）投资人可向销售机构查询转换业务的成交情况，并有权转换或赎回该部分基金份额。</w:t>
      </w:r>
    </w:p>
    <w:p w14:paraId="74007690" w14:textId="77777777" w:rsidR="005A582E" w:rsidRDefault="00111516">
      <w:pPr>
        <w:spacing w:line="360" w:lineRule="auto"/>
        <w:ind w:firstLineChars="200" w:firstLine="482"/>
        <w:rPr>
          <w:b/>
          <w:bCs/>
          <w:color w:val="000000"/>
          <w:sz w:val="24"/>
          <w:szCs w:val="21"/>
        </w:rPr>
      </w:pPr>
      <w:r>
        <w:rPr>
          <w:b/>
          <w:bCs/>
          <w:color w:val="000000"/>
          <w:sz w:val="24"/>
          <w:szCs w:val="21"/>
        </w:rPr>
        <w:t>（五）</w:t>
      </w:r>
      <w:r>
        <w:rPr>
          <w:b/>
          <w:bCs/>
          <w:color w:val="000000"/>
          <w:sz w:val="24"/>
          <w:szCs w:val="21"/>
        </w:rPr>
        <w:t xml:space="preserve"> </w:t>
      </w:r>
      <w:r>
        <w:rPr>
          <w:b/>
          <w:bCs/>
          <w:color w:val="000000"/>
          <w:sz w:val="24"/>
          <w:szCs w:val="21"/>
        </w:rPr>
        <w:t>基金转换的数额限制</w:t>
      </w:r>
    </w:p>
    <w:p w14:paraId="50D165DA" w14:textId="77777777" w:rsidR="005A582E" w:rsidRDefault="00111516">
      <w:pPr>
        <w:pStyle w:val="a1"/>
        <w:autoSpaceDE w:val="0"/>
        <w:autoSpaceDN w:val="0"/>
        <w:adjustRightInd w:val="0"/>
        <w:spacing w:line="360" w:lineRule="auto"/>
        <w:ind w:rightChars="-85" w:right="-178" w:firstLine="480"/>
        <w:rPr>
          <w:sz w:val="24"/>
        </w:rPr>
      </w:pPr>
      <w:r>
        <w:rPr>
          <w:rFonts w:hAnsi="宋体"/>
          <w:sz w:val="24"/>
        </w:rPr>
        <w:t>基金转换以份额为单位进行申请，申请转换份额精确到小数点后两位，小数点后两位以后的部分四舍五入，误差部分归基金财产。</w:t>
      </w:r>
    </w:p>
    <w:p w14:paraId="0C3D39A2" w14:textId="77777777" w:rsidR="005A582E" w:rsidRDefault="00111516">
      <w:pPr>
        <w:pStyle w:val="a1"/>
        <w:autoSpaceDE w:val="0"/>
        <w:autoSpaceDN w:val="0"/>
        <w:adjustRightInd w:val="0"/>
        <w:spacing w:line="360" w:lineRule="auto"/>
        <w:ind w:rightChars="-85" w:right="-178" w:firstLine="480"/>
        <w:rPr>
          <w:kern w:val="0"/>
          <w:sz w:val="24"/>
        </w:rPr>
      </w:pPr>
      <w:r>
        <w:rPr>
          <w:kern w:val="0"/>
          <w:sz w:val="24"/>
        </w:rPr>
        <w:lastRenderedPageBreak/>
        <w:t>基金遵</w:t>
      </w:r>
      <w:r>
        <w:rPr>
          <w:rFonts w:asciiTheme="minorEastAsia" w:eastAsiaTheme="minorEastAsia" w:hAnsiTheme="minorEastAsia"/>
          <w:kern w:val="0"/>
          <w:sz w:val="24"/>
        </w:rPr>
        <w:t>循“份额转换”的</w:t>
      </w:r>
      <w:r>
        <w:rPr>
          <w:kern w:val="0"/>
          <w:sz w:val="24"/>
        </w:rPr>
        <w:t>原则，</w:t>
      </w:r>
      <w:r>
        <w:rPr>
          <w:rFonts w:hAnsi="宋体"/>
          <w:sz w:val="24"/>
        </w:rPr>
        <w:t>单笔转换份额不得低于</w:t>
      </w:r>
      <w:r>
        <w:rPr>
          <w:sz w:val="24"/>
        </w:rPr>
        <w:t>1</w:t>
      </w:r>
      <w:r>
        <w:rPr>
          <w:rFonts w:hAnsi="宋体"/>
          <w:sz w:val="24"/>
        </w:rPr>
        <w:t>份。基金持有人可将其全部或部分基金份额转换成其它基金，单笔转换申请不受转入基金最低申购限额限制。</w:t>
      </w:r>
    </w:p>
    <w:p w14:paraId="23D8C2BC" w14:textId="77777777" w:rsidR="005A582E" w:rsidRDefault="00111516">
      <w:pPr>
        <w:spacing w:line="360" w:lineRule="auto"/>
        <w:ind w:firstLineChars="200" w:firstLine="480"/>
        <w:rPr>
          <w:sz w:val="24"/>
        </w:rPr>
      </w:pPr>
      <w:r>
        <w:rPr>
          <w:rFonts w:hint="eastAsia"/>
          <w:bCs/>
          <w:sz w:val="24"/>
        </w:rPr>
        <w:t>基于投资人在单个交易账户保留的</w:t>
      </w:r>
      <w:r>
        <w:rPr>
          <w:rFonts w:hint="eastAsia"/>
          <w:sz w:val="24"/>
          <w:szCs w:val="21"/>
        </w:rPr>
        <w:t>交银现金宝、交银活期通、交银天利宝、交银天鑫宝、交银天益宝</w:t>
      </w:r>
      <w:r>
        <w:rPr>
          <w:sz w:val="24"/>
          <w:szCs w:val="21"/>
        </w:rPr>
        <w:t>的最低保留余额为</w:t>
      </w:r>
      <w:r>
        <w:rPr>
          <w:sz w:val="24"/>
          <w:szCs w:val="21"/>
        </w:rPr>
        <w:t>0.01</w:t>
      </w:r>
      <w:r>
        <w:rPr>
          <w:sz w:val="24"/>
          <w:szCs w:val="21"/>
        </w:rPr>
        <w:t>份，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14:paraId="4DB379B1" w14:textId="77777777" w:rsidR="005A582E" w:rsidRDefault="00111516">
      <w:pPr>
        <w:spacing w:line="360" w:lineRule="auto"/>
        <w:ind w:firstLineChars="200" w:firstLine="482"/>
        <w:rPr>
          <w:b/>
          <w:bCs/>
          <w:color w:val="000000"/>
          <w:sz w:val="24"/>
          <w:szCs w:val="21"/>
        </w:rPr>
      </w:pPr>
      <w:r>
        <w:rPr>
          <w:b/>
          <w:bCs/>
          <w:color w:val="000000"/>
          <w:sz w:val="24"/>
          <w:szCs w:val="21"/>
        </w:rPr>
        <w:t>（六）业务规则</w:t>
      </w:r>
    </w:p>
    <w:p w14:paraId="79505B81" w14:textId="77777777" w:rsidR="005A582E" w:rsidRDefault="00111516">
      <w:pPr>
        <w:pStyle w:val="afc"/>
        <w:spacing w:line="360" w:lineRule="auto"/>
        <w:ind w:rightChars="-85" w:right="-178" w:firstLineChars="200" w:firstLine="480"/>
        <w:rPr>
          <w:sz w:val="24"/>
          <w:szCs w:val="24"/>
        </w:rPr>
      </w:pPr>
      <w:r>
        <w:rPr>
          <w:sz w:val="24"/>
          <w:szCs w:val="24"/>
        </w:rPr>
        <w:t>1</w:t>
      </w:r>
      <w:r>
        <w:rPr>
          <w:rFonts w:hAnsi="宋体"/>
          <w:sz w:val="24"/>
          <w:szCs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1AD36CC3" w14:textId="77777777" w:rsidR="005A582E" w:rsidRDefault="00111516">
      <w:pPr>
        <w:spacing w:line="360" w:lineRule="auto"/>
        <w:ind w:firstLineChars="200" w:firstLine="480"/>
        <w:rPr>
          <w:sz w:val="24"/>
        </w:rPr>
      </w:pPr>
      <w:r>
        <w:rPr>
          <w:sz w:val="24"/>
        </w:rPr>
        <w:t>2</w:t>
      </w:r>
      <w:r>
        <w:rPr>
          <w:rFonts w:hAnsi="宋体"/>
          <w:sz w:val="24"/>
        </w:rPr>
        <w:t>、投资人只能在相同收费模式下进行基金转换。前端收费模式的开放式基金只能转换到前端收费模式的其他基金，后端收费模式的基金只能转换到后端收费模式的其他基金。交银货币、债券基金</w:t>
      </w:r>
      <w:r>
        <w:rPr>
          <w:sz w:val="24"/>
        </w:rPr>
        <w:t>C</w:t>
      </w:r>
      <w:r>
        <w:rPr>
          <w:rFonts w:hAnsi="宋体"/>
          <w:sz w:val="24"/>
        </w:rPr>
        <w:t>类基金份额与其他基金之间的转换不受上述收费模式的限制。</w:t>
      </w:r>
      <w:r>
        <w:rPr>
          <w:sz w:val="24"/>
        </w:rPr>
        <w:t xml:space="preserve"> </w:t>
      </w:r>
    </w:p>
    <w:p w14:paraId="3C0022EC" w14:textId="77777777" w:rsidR="005A582E" w:rsidRDefault="00111516">
      <w:pPr>
        <w:pStyle w:val="afc"/>
        <w:spacing w:line="360" w:lineRule="auto"/>
        <w:ind w:rightChars="-85" w:right="-178" w:firstLineChars="200" w:firstLine="480"/>
        <w:rPr>
          <w:sz w:val="24"/>
          <w:szCs w:val="24"/>
        </w:rPr>
      </w:pPr>
      <w:r>
        <w:rPr>
          <w:sz w:val="24"/>
          <w:szCs w:val="24"/>
        </w:rPr>
        <w:t>3</w:t>
      </w:r>
      <w:r>
        <w:rPr>
          <w:rFonts w:hAnsi="宋体"/>
          <w:sz w:val="24"/>
          <w:szCs w:val="24"/>
        </w:rPr>
        <w:t>、基金转换采取未知价法，即</w:t>
      </w:r>
      <w:r>
        <w:rPr>
          <w:rFonts w:hAnsi="宋体"/>
          <w:sz w:val="24"/>
        </w:rPr>
        <w:t>基金的转换价格</w:t>
      </w:r>
      <w:r>
        <w:rPr>
          <w:rFonts w:hAnsi="宋体"/>
          <w:sz w:val="24"/>
          <w:szCs w:val="24"/>
        </w:rPr>
        <w:t>以申请受理当日各转出、转入基金的基金份额净值为基础进行计算。（货币市场基金的基金份额净值为固定价</w:t>
      </w:r>
      <w:r>
        <w:rPr>
          <w:sz w:val="24"/>
          <w:szCs w:val="24"/>
        </w:rPr>
        <w:t>1.00</w:t>
      </w:r>
      <w:r>
        <w:rPr>
          <w:rFonts w:hAnsi="宋体"/>
          <w:sz w:val="24"/>
          <w:szCs w:val="24"/>
        </w:rPr>
        <w:t>元）。</w:t>
      </w:r>
    </w:p>
    <w:p w14:paraId="6C488668" w14:textId="77777777" w:rsidR="005A582E" w:rsidRDefault="00111516">
      <w:pPr>
        <w:pStyle w:val="afc"/>
        <w:spacing w:line="360" w:lineRule="auto"/>
        <w:ind w:rightChars="-85" w:right="-178" w:firstLineChars="200" w:firstLine="480"/>
        <w:rPr>
          <w:sz w:val="24"/>
          <w:szCs w:val="24"/>
        </w:rPr>
      </w:pPr>
      <w:r>
        <w:rPr>
          <w:sz w:val="24"/>
          <w:szCs w:val="24"/>
        </w:rPr>
        <w:t>4</w:t>
      </w:r>
      <w:r>
        <w:rPr>
          <w:rFonts w:hAnsi="宋体"/>
          <w:sz w:val="24"/>
          <w:szCs w:val="24"/>
        </w:rPr>
        <w:t>、基金份额持有人申请将其账户内交银货币</w:t>
      </w:r>
      <w:r>
        <w:rPr>
          <w:rFonts w:hAnsi="宋体" w:hint="eastAsia"/>
          <w:sz w:val="24"/>
          <w:szCs w:val="24"/>
        </w:rPr>
        <w:t>、</w:t>
      </w:r>
      <w:r>
        <w:rPr>
          <w:rFonts w:hint="eastAsia"/>
          <w:sz w:val="24"/>
          <w:szCs w:val="21"/>
        </w:rPr>
        <w:t>交银现金宝、交银活期通、交银天利宝、交银天鑫宝、交银天益宝</w:t>
      </w:r>
      <w:r>
        <w:rPr>
          <w:rFonts w:hAnsi="宋体"/>
          <w:sz w:val="24"/>
          <w:szCs w:val="24"/>
        </w:rPr>
        <w:t>的基金份额转换为其他基金份额时，注册登记机构将自动结转该转出份额对应的待支付收益，该收益将一并计入转出金额并折算为转入基金的基金份额，但收益部分不收取转换费用。</w:t>
      </w:r>
    </w:p>
    <w:p w14:paraId="35593958" w14:textId="77777777" w:rsidR="005A582E" w:rsidRDefault="00111516">
      <w:pPr>
        <w:pStyle w:val="afc"/>
        <w:spacing w:line="360" w:lineRule="auto"/>
        <w:ind w:rightChars="-85" w:right="-178" w:firstLineChars="200" w:firstLine="480"/>
        <w:rPr>
          <w:sz w:val="24"/>
        </w:rPr>
      </w:pPr>
      <w:r>
        <w:rPr>
          <w:sz w:val="24"/>
          <w:szCs w:val="24"/>
        </w:rPr>
        <w:t>5</w:t>
      </w:r>
      <w:r>
        <w:rPr>
          <w:rFonts w:hAnsi="宋体"/>
          <w:sz w:val="24"/>
          <w:szCs w:val="24"/>
        </w:rPr>
        <w:t>、转换后，</w:t>
      </w:r>
      <w:r>
        <w:rPr>
          <w:rFonts w:hAnsi="宋体"/>
          <w:sz w:val="24"/>
        </w:rPr>
        <w:t>转入基金份额的持有时间将重新计算，即转入基金份额的持有期</w:t>
      </w:r>
      <w:r>
        <w:rPr>
          <w:rFonts w:hAnsi="宋体"/>
          <w:sz w:val="24"/>
        </w:rPr>
        <w:lastRenderedPageBreak/>
        <w:t>将自转入基金份额被确认日起重新开始计算。</w:t>
      </w:r>
    </w:p>
    <w:p w14:paraId="3AF9BEA9" w14:textId="77777777" w:rsidR="005A582E" w:rsidRDefault="00111516">
      <w:pPr>
        <w:spacing w:line="360" w:lineRule="auto"/>
        <w:ind w:firstLineChars="200" w:firstLine="482"/>
        <w:rPr>
          <w:b/>
          <w:bCs/>
          <w:color w:val="000000"/>
          <w:sz w:val="24"/>
          <w:szCs w:val="21"/>
        </w:rPr>
      </w:pPr>
      <w:r>
        <w:rPr>
          <w:b/>
          <w:bCs/>
          <w:color w:val="000000"/>
          <w:sz w:val="24"/>
          <w:szCs w:val="21"/>
        </w:rPr>
        <w:t>（七）暂停基金转换</w:t>
      </w:r>
    </w:p>
    <w:p w14:paraId="1A141D22" w14:textId="77777777" w:rsidR="005A582E" w:rsidRDefault="00111516">
      <w:pPr>
        <w:pStyle w:val="afc"/>
        <w:spacing w:line="360" w:lineRule="auto"/>
        <w:ind w:rightChars="-85" w:right="-178" w:firstLineChars="200" w:firstLine="480"/>
        <w:rPr>
          <w:sz w:val="24"/>
          <w:szCs w:val="24"/>
        </w:rPr>
      </w:pPr>
      <w:r>
        <w:rPr>
          <w:rFonts w:hAnsi="宋体"/>
          <w:sz w:val="24"/>
          <w:szCs w:val="24"/>
        </w:rPr>
        <w:t>基金转换视同为转出基金的赎回和转入基金的申购，因此有关转出基金和转入基金关于暂停或拒绝申购、暂停赎回的情形和公告的有关规定</w:t>
      </w:r>
      <w:r>
        <w:rPr>
          <w:rFonts w:hAnsi="宋体"/>
          <w:sz w:val="24"/>
        </w:rPr>
        <w:t>一般</w:t>
      </w:r>
      <w:r>
        <w:rPr>
          <w:rFonts w:hAnsi="宋体"/>
          <w:sz w:val="24"/>
          <w:szCs w:val="24"/>
        </w:rPr>
        <w:t>也适用于暂停基金转换</w:t>
      </w:r>
      <w:r>
        <w:rPr>
          <w:rFonts w:hAnsi="宋体"/>
          <w:sz w:val="24"/>
        </w:rPr>
        <w:t>，具体暂停或恢复基金转换的相关业务请详见届时本基金管理人发布的相关公告</w:t>
      </w:r>
      <w:r>
        <w:rPr>
          <w:rFonts w:hAnsi="宋体"/>
          <w:sz w:val="24"/>
          <w:szCs w:val="24"/>
        </w:rPr>
        <w:t>。</w:t>
      </w:r>
    </w:p>
    <w:p w14:paraId="10AE5CA0" w14:textId="77777777" w:rsidR="005A582E" w:rsidRDefault="00111516">
      <w:pPr>
        <w:spacing w:line="360" w:lineRule="auto"/>
        <w:ind w:firstLineChars="200" w:firstLine="480"/>
      </w:pPr>
      <w:r>
        <w:rPr>
          <w:kern w:val="0"/>
          <w:sz w:val="24"/>
        </w:rPr>
        <w:t>单个开放日，基金净赎回申请份额（该基金赎回申请总份额加上基金转换中转出申请总份额后扣除申购申请总份额及基金转换中转入申请总份额后的余额）超过上一日基金总份额的</w:t>
      </w:r>
      <w:r>
        <w:rPr>
          <w:kern w:val="0"/>
          <w:sz w:val="24"/>
        </w:rPr>
        <w:t>10%</w:t>
      </w:r>
      <w:r>
        <w:rPr>
          <w:kern w:val="0"/>
          <w:sz w:val="24"/>
        </w:rPr>
        <w:t>时，即认为发生了巨额赎回。</w:t>
      </w:r>
      <w:r>
        <w:rPr>
          <w:rFonts w:hAnsi="宋体"/>
          <w:sz w:val="24"/>
        </w:rPr>
        <w:t>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sectPr w:rsidR="005A58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A67A" w14:textId="77777777" w:rsidR="000A711F" w:rsidRDefault="000A711F" w:rsidP="0094521B">
      <w:r>
        <w:separator/>
      </w:r>
    </w:p>
  </w:endnote>
  <w:endnote w:type="continuationSeparator" w:id="0">
    <w:p w14:paraId="18B58EC6" w14:textId="77777777" w:rsidR="000A711F" w:rsidRDefault="000A711F" w:rsidP="0094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五">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8A81B" w14:textId="77777777" w:rsidR="000A711F" w:rsidRDefault="000A711F" w:rsidP="0094521B">
      <w:r>
        <w:separator/>
      </w:r>
    </w:p>
  </w:footnote>
  <w:footnote w:type="continuationSeparator" w:id="0">
    <w:p w14:paraId="5C30655C" w14:textId="77777777" w:rsidR="000A711F" w:rsidRDefault="000A711F" w:rsidP="0094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CA61A10"/>
    <w:multiLevelType w:val="multilevel"/>
    <w:tmpl w:val="2CA61A10"/>
    <w:lvl w:ilvl="0">
      <w:start w:val="1"/>
      <w:numFmt w:val="chineseCountingThousand"/>
      <w:pStyle w:val="1"/>
      <w:lvlText w:val="第%1章"/>
      <w:lvlJc w:val="left"/>
      <w:pPr>
        <w:tabs>
          <w:tab w:val="left" w:pos="1182"/>
        </w:tabs>
        <w:ind w:left="527" w:hanging="425"/>
      </w:pPr>
      <w:rPr>
        <w:rFonts w:hint="eastAsia"/>
        <w:b/>
        <w:i w:val="0"/>
        <w:sz w:val="30"/>
      </w:rPr>
    </w:lvl>
    <w:lvl w:ilvl="1">
      <w:start w:val="1"/>
      <w:numFmt w:val="chineseCountingThousand"/>
      <w:pStyle w:val="20"/>
      <w:lvlText w:val="%2、"/>
      <w:lvlJc w:val="left"/>
      <w:pPr>
        <w:tabs>
          <w:tab w:val="left" w:pos="2434"/>
        </w:tabs>
        <w:ind w:left="2434" w:hanging="454"/>
      </w:pPr>
      <w:rPr>
        <w:rFonts w:hint="eastAsia"/>
        <w:b/>
        <w:i w:val="0"/>
        <w:sz w:val="24"/>
      </w:rPr>
    </w:lvl>
    <w:lvl w:ilvl="2">
      <w:start w:val="1"/>
      <w:numFmt w:val="decimal"/>
      <w:pStyle w:val="3"/>
      <w:lvlText w:val="%3. "/>
      <w:lvlJc w:val="left"/>
      <w:pPr>
        <w:tabs>
          <w:tab w:val="left" w:pos="475"/>
        </w:tabs>
        <w:ind w:left="102" w:firstLine="13"/>
      </w:pPr>
      <w:rPr>
        <w:rFonts w:hint="eastAsia"/>
        <w:sz w:val="24"/>
      </w:rPr>
    </w:lvl>
    <w:lvl w:ilvl="3">
      <w:start w:val="1"/>
      <w:numFmt w:val="decimal"/>
      <w:lvlText w:val="（%4）"/>
      <w:lvlJc w:val="left"/>
      <w:pPr>
        <w:tabs>
          <w:tab w:val="left" w:pos="720"/>
        </w:tabs>
        <w:ind w:left="57" w:hanging="57"/>
      </w:pPr>
      <w:rPr>
        <w:rFonts w:hint="eastAsia"/>
        <w:sz w:val="24"/>
      </w:rPr>
    </w:lvl>
    <w:lvl w:ilvl="4">
      <w:start w:val="1"/>
      <w:numFmt w:val="upperLetter"/>
      <w:pStyle w:val="5"/>
      <w:lvlText w:val="%5."/>
      <w:lvlJc w:val="left"/>
      <w:pPr>
        <w:tabs>
          <w:tab w:val="left" w:pos="462"/>
        </w:tabs>
        <w:ind w:left="102" w:firstLine="0"/>
      </w:pPr>
      <w:rPr>
        <w:rFonts w:hint="eastAsia"/>
        <w:sz w:val="24"/>
      </w:rPr>
    </w:lvl>
    <w:lvl w:ilvl="5">
      <w:start w:val="1"/>
      <w:numFmt w:val="lowerLetter"/>
      <w:pStyle w:val="6"/>
      <w:lvlText w:val="%6."/>
      <w:lvlJc w:val="left"/>
      <w:pPr>
        <w:tabs>
          <w:tab w:val="left" w:pos="462"/>
        </w:tabs>
        <w:ind w:left="102" w:firstLine="0"/>
      </w:pPr>
      <w:rPr>
        <w:rFonts w:hint="eastAsia"/>
        <w:sz w:val="24"/>
      </w:rPr>
    </w:lvl>
    <w:lvl w:ilvl="6">
      <w:start w:val="1"/>
      <w:numFmt w:val="none"/>
      <w:lvlText w:val=""/>
      <w:lvlJc w:val="left"/>
      <w:pPr>
        <w:tabs>
          <w:tab w:val="left" w:pos="3929"/>
        </w:tabs>
        <w:ind w:left="3929" w:hanging="1276"/>
      </w:pPr>
      <w:rPr>
        <w:rFonts w:hint="eastAsia"/>
      </w:rPr>
    </w:lvl>
    <w:lvl w:ilvl="7">
      <w:start w:val="1"/>
      <w:numFmt w:val="none"/>
      <w:lvlText w:val=""/>
      <w:lvlJc w:val="left"/>
      <w:pPr>
        <w:tabs>
          <w:tab w:val="left" w:pos="4496"/>
        </w:tabs>
        <w:ind w:left="4496" w:hanging="1418"/>
      </w:pPr>
      <w:rPr>
        <w:rFonts w:hint="eastAsia"/>
      </w:rPr>
    </w:lvl>
    <w:lvl w:ilvl="8">
      <w:start w:val="1"/>
      <w:numFmt w:val="none"/>
      <w:lvlText w:val=""/>
      <w:lvlJc w:val="left"/>
      <w:pPr>
        <w:tabs>
          <w:tab w:val="left" w:pos="5204"/>
        </w:tabs>
        <w:ind w:left="5204" w:hanging="1700"/>
      </w:pPr>
      <w:rPr>
        <w:rFonts w:hint="eastAsia"/>
      </w:rPr>
    </w:lvl>
  </w:abstractNum>
  <w:abstractNum w:abstractNumId="2"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6FE147B6"/>
    <w:multiLevelType w:val="singleLevel"/>
    <w:tmpl w:val="6FE147B6"/>
    <w:lvl w:ilvl="0">
      <w:start w:val="1"/>
      <w:numFmt w:val="decimal"/>
      <w:pStyle w:val="21"/>
      <w:lvlText w:val="(%1)"/>
      <w:lvlJc w:val="left"/>
      <w:pPr>
        <w:tabs>
          <w:tab w:val="left" w:pos="360"/>
        </w:tabs>
        <w:ind w:left="0" w:firstLine="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24"/>
    <w:rsid w:val="00000983"/>
    <w:rsid w:val="00002A76"/>
    <w:rsid w:val="00013BB8"/>
    <w:rsid w:val="00014A2F"/>
    <w:rsid w:val="00014F02"/>
    <w:rsid w:val="00020CF5"/>
    <w:rsid w:val="000279B1"/>
    <w:rsid w:val="00032457"/>
    <w:rsid w:val="000357A0"/>
    <w:rsid w:val="00037D4F"/>
    <w:rsid w:val="0004027A"/>
    <w:rsid w:val="00043BC7"/>
    <w:rsid w:val="00046265"/>
    <w:rsid w:val="00054228"/>
    <w:rsid w:val="000711EE"/>
    <w:rsid w:val="0007129C"/>
    <w:rsid w:val="00074528"/>
    <w:rsid w:val="00077DE1"/>
    <w:rsid w:val="00082E27"/>
    <w:rsid w:val="000870DE"/>
    <w:rsid w:val="000875D5"/>
    <w:rsid w:val="000A567B"/>
    <w:rsid w:val="000A711F"/>
    <w:rsid w:val="000C3A4C"/>
    <w:rsid w:val="000D342E"/>
    <w:rsid w:val="000D5098"/>
    <w:rsid w:val="000E7133"/>
    <w:rsid w:val="000E781A"/>
    <w:rsid w:val="000F0F3E"/>
    <w:rsid w:val="000F19D4"/>
    <w:rsid w:val="000F2278"/>
    <w:rsid w:val="000F3738"/>
    <w:rsid w:val="000F49FA"/>
    <w:rsid w:val="00105F8B"/>
    <w:rsid w:val="00111516"/>
    <w:rsid w:val="00120372"/>
    <w:rsid w:val="0012695F"/>
    <w:rsid w:val="00133B1C"/>
    <w:rsid w:val="00143047"/>
    <w:rsid w:val="00147DCB"/>
    <w:rsid w:val="00154464"/>
    <w:rsid w:val="0016337B"/>
    <w:rsid w:val="00182F7A"/>
    <w:rsid w:val="00183641"/>
    <w:rsid w:val="00184893"/>
    <w:rsid w:val="00195B99"/>
    <w:rsid w:val="001A00B9"/>
    <w:rsid w:val="001A2CDE"/>
    <w:rsid w:val="001D0752"/>
    <w:rsid w:val="001E3972"/>
    <w:rsid w:val="001E60E5"/>
    <w:rsid w:val="001E7D39"/>
    <w:rsid w:val="002003D2"/>
    <w:rsid w:val="00201F7A"/>
    <w:rsid w:val="00203E71"/>
    <w:rsid w:val="00213C67"/>
    <w:rsid w:val="00221992"/>
    <w:rsid w:val="00227D6B"/>
    <w:rsid w:val="00230CCE"/>
    <w:rsid w:val="002418FF"/>
    <w:rsid w:val="00242F92"/>
    <w:rsid w:val="00246B80"/>
    <w:rsid w:val="002518D0"/>
    <w:rsid w:val="00254C63"/>
    <w:rsid w:val="002561A3"/>
    <w:rsid w:val="00267F81"/>
    <w:rsid w:val="00280C27"/>
    <w:rsid w:val="0028775D"/>
    <w:rsid w:val="0029175F"/>
    <w:rsid w:val="002A29D1"/>
    <w:rsid w:val="002C2BCB"/>
    <w:rsid w:val="002D16F3"/>
    <w:rsid w:val="002E7D9F"/>
    <w:rsid w:val="002F182D"/>
    <w:rsid w:val="002F40D1"/>
    <w:rsid w:val="002F64C4"/>
    <w:rsid w:val="00300C7B"/>
    <w:rsid w:val="0030170E"/>
    <w:rsid w:val="00303E12"/>
    <w:rsid w:val="0030689A"/>
    <w:rsid w:val="00307A3A"/>
    <w:rsid w:val="003168E3"/>
    <w:rsid w:val="00316C41"/>
    <w:rsid w:val="0033366D"/>
    <w:rsid w:val="00334599"/>
    <w:rsid w:val="00341BC6"/>
    <w:rsid w:val="003507A2"/>
    <w:rsid w:val="00361FA3"/>
    <w:rsid w:val="00363C33"/>
    <w:rsid w:val="00364A9D"/>
    <w:rsid w:val="003758A7"/>
    <w:rsid w:val="00380224"/>
    <w:rsid w:val="003834D3"/>
    <w:rsid w:val="00385F55"/>
    <w:rsid w:val="00387FDA"/>
    <w:rsid w:val="00393110"/>
    <w:rsid w:val="003A3DD5"/>
    <w:rsid w:val="003B222B"/>
    <w:rsid w:val="003D12EF"/>
    <w:rsid w:val="003D45BF"/>
    <w:rsid w:val="003D4637"/>
    <w:rsid w:val="003D6D35"/>
    <w:rsid w:val="003D73AA"/>
    <w:rsid w:val="003E02D9"/>
    <w:rsid w:val="003E4DFE"/>
    <w:rsid w:val="003E7975"/>
    <w:rsid w:val="003F7DD6"/>
    <w:rsid w:val="00406568"/>
    <w:rsid w:val="00411612"/>
    <w:rsid w:val="00421F2F"/>
    <w:rsid w:val="004245B6"/>
    <w:rsid w:val="00430319"/>
    <w:rsid w:val="00432C7C"/>
    <w:rsid w:val="00433E27"/>
    <w:rsid w:val="0045325D"/>
    <w:rsid w:val="00462370"/>
    <w:rsid w:val="00470520"/>
    <w:rsid w:val="004749A6"/>
    <w:rsid w:val="00474B23"/>
    <w:rsid w:val="00475811"/>
    <w:rsid w:val="0048197B"/>
    <w:rsid w:val="00491333"/>
    <w:rsid w:val="00492597"/>
    <w:rsid w:val="00497C26"/>
    <w:rsid w:val="004A061B"/>
    <w:rsid w:val="004A6334"/>
    <w:rsid w:val="004A6B4C"/>
    <w:rsid w:val="004B7964"/>
    <w:rsid w:val="004C4628"/>
    <w:rsid w:val="004C74C3"/>
    <w:rsid w:val="004D4A0B"/>
    <w:rsid w:val="004D52BA"/>
    <w:rsid w:val="004D5E82"/>
    <w:rsid w:val="004E44F2"/>
    <w:rsid w:val="004E6F43"/>
    <w:rsid w:val="005026CE"/>
    <w:rsid w:val="00504DAD"/>
    <w:rsid w:val="00506A47"/>
    <w:rsid w:val="0052146C"/>
    <w:rsid w:val="00524DBE"/>
    <w:rsid w:val="005268B5"/>
    <w:rsid w:val="00530B5B"/>
    <w:rsid w:val="00532082"/>
    <w:rsid w:val="005375DB"/>
    <w:rsid w:val="0053776B"/>
    <w:rsid w:val="00543FFA"/>
    <w:rsid w:val="0054484E"/>
    <w:rsid w:val="0054498A"/>
    <w:rsid w:val="005516E6"/>
    <w:rsid w:val="00551B4D"/>
    <w:rsid w:val="0055490D"/>
    <w:rsid w:val="005561BB"/>
    <w:rsid w:val="00561C7C"/>
    <w:rsid w:val="00564BF1"/>
    <w:rsid w:val="00567987"/>
    <w:rsid w:val="0057161D"/>
    <w:rsid w:val="00576581"/>
    <w:rsid w:val="005A0C5E"/>
    <w:rsid w:val="005A35F1"/>
    <w:rsid w:val="005A42D6"/>
    <w:rsid w:val="005A43B1"/>
    <w:rsid w:val="005A582E"/>
    <w:rsid w:val="005A69FD"/>
    <w:rsid w:val="005B599D"/>
    <w:rsid w:val="005C1D59"/>
    <w:rsid w:val="005C3FBE"/>
    <w:rsid w:val="005C4EFC"/>
    <w:rsid w:val="005D51CF"/>
    <w:rsid w:val="005D6293"/>
    <w:rsid w:val="005D64A6"/>
    <w:rsid w:val="005E241C"/>
    <w:rsid w:val="005F4FA5"/>
    <w:rsid w:val="005F6381"/>
    <w:rsid w:val="005F72AC"/>
    <w:rsid w:val="00604734"/>
    <w:rsid w:val="0060688D"/>
    <w:rsid w:val="00611DA5"/>
    <w:rsid w:val="00615029"/>
    <w:rsid w:val="00620447"/>
    <w:rsid w:val="006211DD"/>
    <w:rsid w:val="00625C66"/>
    <w:rsid w:val="00626E8C"/>
    <w:rsid w:val="00626F28"/>
    <w:rsid w:val="00630572"/>
    <w:rsid w:val="00634763"/>
    <w:rsid w:val="0063565E"/>
    <w:rsid w:val="00637E34"/>
    <w:rsid w:val="00640CF9"/>
    <w:rsid w:val="006416F7"/>
    <w:rsid w:val="00643AB0"/>
    <w:rsid w:val="006453F8"/>
    <w:rsid w:val="00647E8F"/>
    <w:rsid w:val="006568FF"/>
    <w:rsid w:val="00661CDE"/>
    <w:rsid w:val="00664250"/>
    <w:rsid w:val="00666307"/>
    <w:rsid w:val="006678DA"/>
    <w:rsid w:val="00670C1A"/>
    <w:rsid w:val="006716C1"/>
    <w:rsid w:val="006723E0"/>
    <w:rsid w:val="006809A5"/>
    <w:rsid w:val="00681FFF"/>
    <w:rsid w:val="0068319A"/>
    <w:rsid w:val="00685785"/>
    <w:rsid w:val="00685D62"/>
    <w:rsid w:val="00687231"/>
    <w:rsid w:val="00695735"/>
    <w:rsid w:val="006A2C97"/>
    <w:rsid w:val="006A6B45"/>
    <w:rsid w:val="006B775F"/>
    <w:rsid w:val="006C6A54"/>
    <w:rsid w:val="006C7A8C"/>
    <w:rsid w:val="006D1433"/>
    <w:rsid w:val="006D2721"/>
    <w:rsid w:val="006D4CA4"/>
    <w:rsid w:val="006D4E35"/>
    <w:rsid w:val="006D6742"/>
    <w:rsid w:val="006F2A00"/>
    <w:rsid w:val="006F50C7"/>
    <w:rsid w:val="006F6031"/>
    <w:rsid w:val="00700E69"/>
    <w:rsid w:val="00707D26"/>
    <w:rsid w:val="0071363A"/>
    <w:rsid w:val="0071724E"/>
    <w:rsid w:val="00717804"/>
    <w:rsid w:val="00726EC1"/>
    <w:rsid w:val="007300DD"/>
    <w:rsid w:val="00750A4F"/>
    <w:rsid w:val="00750F1E"/>
    <w:rsid w:val="00776B3A"/>
    <w:rsid w:val="007843F5"/>
    <w:rsid w:val="00784A04"/>
    <w:rsid w:val="00784B38"/>
    <w:rsid w:val="00786DE4"/>
    <w:rsid w:val="007903D6"/>
    <w:rsid w:val="00794598"/>
    <w:rsid w:val="007A6B45"/>
    <w:rsid w:val="007C18A1"/>
    <w:rsid w:val="007C74D3"/>
    <w:rsid w:val="007D2586"/>
    <w:rsid w:val="007D77CC"/>
    <w:rsid w:val="007D7B10"/>
    <w:rsid w:val="007E1354"/>
    <w:rsid w:val="007E58FB"/>
    <w:rsid w:val="007E5ADD"/>
    <w:rsid w:val="007F1CF3"/>
    <w:rsid w:val="008045FA"/>
    <w:rsid w:val="00804B62"/>
    <w:rsid w:val="00812719"/>
    <w:rsid w:val="00812EA3"/>
    <w:rsid w:val="008426D6"/>
    <w:rsid w:val="00842B15"/>
    <w:rsid w:val="00845509"/>
    <w:rsid w:val="0085784A"/>
    <w:rsid w:val="0086460C"/>
    <w:rsid w:val="0086639A"/>
    <w:rsid w:val="00871F4E"/>
    <w:rsid w:val="008732B3"/>
    <w:rsid w:val="00874E44"/>
    <w:rsid w:val="00875F3E"/>
    <w:rsid w:val="00877715"/>
    <w:rsid w:val="00881225"/>
    <w:rsid w:val="008A1488"/>
    <w:rsid w:val="008A31A7"/>
    <w:rsid w:val="008A44BB"/>
    <w:rsid w:val="008A6991"/>
    <w:rsid w:val="008A794A"/>
    <w:rsid w:val="008B5F4D"/>
    <w:rsid w:val="008B739A"/>
    <w:rsid w:val="008C083C"/>
    <w:rsid w:val="008C1B41"/>
    <w:rsid w:val="008C30F6"/>
    <w:rsid w:val="008D68DD"/>
    <w:rsid w:val="008D78F7"/>
    <w:rsid w:val="008E6284"/>
    <w:rsid w:val="008E702E"/>
    <w:rsid w:val="008F17C8"/>
    <w:rsid w:val="008F23F9"/>
    <w:rsid w:val="0090324C"/>
    <w:rsid w:val="00903EEF"/>
    <w:rsid w:val="00911440"/>
    <w:rsid w:val="009143B4"/>
    <w:rsid w:val="00921C89"/>
    <w:rsid w:val="00931167"/>
    <w:rsid w:val="00932C3E"/>
    <w:rsid w:val="00933D03"/>
    <w:rsid w:val="00945056"/>
    <w:rsid w:val="0094521B"/>
    <w:rsid w:val="00945C64"/>
    <w:rsid w:val="009512A1"/>
    <w:rsid w:val="00963635"/>
    <w:rsid w:val="00963D35"/>
    <w:rsid w:val="009874DF"/>
    <w:rsid w:val="00993CE7"/>
    <w:rsid w:val="00995520"/>
    <w:rsid w:val="009A152A"/>
    <w:rsid w:val="009A1DE5"/>
    <w:rsid w:val="009A6023"/>
    <w:rsid w:val="009B55FD"/>
    <w:rsid w:val="009C0C45"/>
    <w:rsid w:val="009C1112"/>
    <w:rsid w:val="009C2E0F"/>
    <w:rsid w:val="009C45D6"/>
    <w:rsid w:val="009D1127"/>
    <w:rsid w:val="009D7F04"/>
    <w:rsid w:val="009E33FF"/>
    <w:rsid w:val="009F2D1F"/>
    <w:rsid w:val="009F64CD"/>
    <w:rsid w:val="009F7AAA"/>
    <w:rsid w:val="00A0370D"/>
    <w:rsid w:val="00A14B7A"/>
    <w:rsid w:val="00A158DE"/>
    <w:rsid w:val="00A168AA"/>
    <w:rsid w:val="00A17C22"/>
    <w:rsid w:val="00A21DA4"/>
    <w:rsid w:val="00A32206"/>
    <w:rsid w:val="00A32234"/>
    <w:rsid w:val="00A35DDE"/>
    <w:rsid w:val="00A46607"/>
    <w:rsid w:val="00A50154"/>
    <w:rsid w:val="00A56FF2"/>
    <w:rsid w:val="00A6616E"/>
    <w:rsid w:val="00A70C62"/>
    <w:rsid w:val="00A72304"/>
    <w:rsid w:val="00A768B9"/>
    <w:rsid w:val="00A77764"/>
    <w:rsid w:val="00A82323"/>
    <w:rsid w:val="00A82727"/>
    <w:rsid w:val="00AC62BB"/>
    <w:rsid w:val="00AD11ED"/>
    <w:rsid w:val="00AE1B3E"/>
    <w:rsid w:val="00AF5769"/>
    <w:rsid w:val="00B10135"/>
    <w:rsid w:val="00B14542"/>
    <w:rsid w:val="00B17DA4"/>
    <w:rsid w:val="00B30E2B"/>
    <w:rsid w:val="00B33331"/>
    <w:rsid w:val="00B36660"/>
    <w:rsid w:val="00B37A70"/>
    <w:rsid w:val="00B42A72"/>
    <w:rsid w:val="00B42D8F"/>
    <w:rsid w:val="00B62CDA"/>
    <w:rsid w:val="00B70FA1"/>
    <w:rsid w:val="00B727CD"/>
    <w:rsid w:val="00B87296"/>
    <w:rsid w:val="00B91B50"/>
    <w:rsid w:val="00B92624"/>
    <w:rsid w:val="00BA12AE"/>
    <w:rsid w:val="00BB0A87"/>
    <w:rsid w:val="00BB3ABC"/>
    <w:rsid w:val="00BB63F4"/>
    <w:rsid w:val="00BC34F9"/>
    <w:rsid w:val="00BC4E12"/>
    <w:rsid w:val="00BC7AC9"/>
    <w:rsid w:val="00BD6FAD"/>
    <w:rsid w:val="00BE08AF"/>
    <w:rsid w:val="00BE2B76"/>
    <w:rsid w:val="00BE75DF"/>
    <w:rsid w:val="00C010D4"/>
    <w:rsid w:val="00C01320"/>
    <w:rsid w:val="00C07476"/>
    <w:rsid w:val="00C2790D"/>
    <w:rsid w:val="00C33C59"/>
    <w:rsid w:val="00C37A16"/>
    <w:rsid w:val="00C40FBC"/>
    <w:rsid w:val="00C43876"/>
    <w:rsid w:val="00C44140"/>
    <w:rsid w:val="00C55C8A"/>
    <w:rsid w:val="00C56169"/>
    <w:rsid w:val="00C571B0"/>
    <w:rsid w:val="00C57D6E"/>
    <w:rsid w:val="00C6103B"/>
    <w:rsid w:val="00C62FCC"/>
    <w:rsid w:val="00C70840"/>
    <w:rsid w:val="00C94F96"/>
    <w:rsid w:val="00C959C8"/>
    <w:rsid w:val="00CB0821"/>
    <w:rsid w:val="00CB3D06"/>
    <w:rsid w:val="00CC08F0"/>
    <w:rsid w:val="00CC1BBE"/>
    <w:rsid w:val="00CD4119"/>
    <w:rsid w:val="00CF1AA1"/>
    <w:rsid w:val="00CF2086"/>
    <w:rsid w:val="00CF5026"/>
    <w:rsid w:val="00CF7DFB"/>
    <w:rsid w:val="00D1677D"/>
    <w:rsid w:val="00D16BA1"/>
    <w:rsid w:val="00D17A84"/>
    <w:rsid w:val="00D24985"/>
    <w:rsid w:val="00D332C1"/>
    <w:rsid w:val="00D34D4C"/>
    <w:rsid w:val="00D35964"/>
    <w:rsid w:val="00D4623F"/>
    <w:rsid w:val="00D4710F"/>
    <w:rsid w:val="00D5340C"/>
    <w:rsid w:val="00D6080A"/>
    <w:rsid w:val="00D62681"/>
    <w:rsid w:val="00D906EF"/>
    <w:rsid w:val="00D95DE2"/>
    <w:rsid w:val="00D966D4"/>
    <w:rsid w:val="00D979D9"/>
    <w:rsid w:val="00DB157F"/>
    <w:rsid w:val="00DB26A9"/>
    <w:rsid w:val="00DB505A"/>
    <w:rsid w:val="00DC3F87"/>
    <w:rsid w:val="00DD7154"/>
    <w:rsid w:val="00DD7D88"/>
    <w:rsid w:val="00DE03C9"/>
    <w:rsid w:val="00DF310D"/>
    <w:rsid w:val="00E01122"/>
    <w:rsid w:val="00E02376"/>
    <w:rsid w:val="00E12310"/>
    <w:rsid w:val="00E1473A"/>
    <w:rsid w:val="00E267D6"/>
    <w:rsid w:val="00E51E58"/>
    <w:rsid w:val="00E67864"/>
    <w:rsid w:val="00E7278C"/>
    <w:rsid w:val="00E81EC2"/>
    <w:rsid w:val="00E8223D"/>
    <w:rsid w:val="00E86A42"/>
    <w:rsid w:val="00EA52B9"/>
    <w:rsid w:val="00EB224A"/>
    <w:rsid w:val="00EC1DFD"/>
    <w:rsid w:val="00EC64B2"/>
    <w:rsid w:val="00ED05D6"/>
    <w:rsid w:val="00ED5751"/>
    <w:rsid w:val="00ED6EE6"/>
    <w:rsid w:val="00EF0EEB"/>
    <w:rsid w:val="00F0145C"/>
    <w:rsid w:val="00F039F6"/>
    <w:rsid w:val="00F105D6"/>
    <w:rsid w:val="00F15239"/>
    <w:rsid w:val="00F27CC1"/>
    <w:rsid w:val="00F346CD"/>
    <w:rsid w:val="00F370AE"/>
    <w:rsid w:val="00F4490B"/>
    <w:rsid w:val="00F55165"/>
    <w:rsid w:val="00F56048"/>
    <w:rsid w:val="00F61104"/>
    <w:rsid w:val="00F73E72"/>
    <w:rsid w:val="00F80A16"/>
    <w:rsid w:val="00F84C8C"/>
    <w:rsid w:val="00F95148"/>
    <w:rsid w:val="00F97593"/>
    <w:rsid w:val="00FA3999"/>
    <w:rsid w:val="00FA5D3D"/>
    <w:rsid w:val="00FB00F7"/>
    <w:rsid w:val="00FB7DDF"/>
    <w:rsid w:val="00FC24F2"/>
    <w:rsid w:val="00FC3752"/>
    <w:rsid w:val="00FD0AA0"/>
    <w:rsid w:val="00FD24E7"/>
    <w:rsid w:val="00FD6362"/>
    <w:rsid w:val="00FE138D"/>
    <w:rsid w:val="00FE2260"/>
    <w:rsid w:val="00FE322D"/>
    <w:rsid w:val="00FE5263"/>
    <w:rsid w:val="00FF1D39"/>
    <w:rsid w:val="0A8659C8"/>
    <w:rsid w:val="0BCC111F"/>
    <w:rsid w:val="3BD644D0"/>
    <w:rsid w:val="403C5155"/>
    <w:rsid w:val="4912302B"/>
    <w:rsid w:val="71A4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180F3"/>
  <w15:docId w15:val="{8B5493F2-B842-4319-9C99-F50C1267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iPriority="0"/>
    <w:lsdException w:name="Block Text" w:semiHidden="1" w:unhideWhenUsed="1"/>
    <w:lsdException w:name="Strong" w:uiPriority="0" w:qFormat="1"/>
    <w:lsdException w:name="Emphasis" w:uiPriority="2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
    <w:name w:val="heading 1"/>
    <w:basedOn w:val="a0"/>
    <w:next w:val="a0"/>
    <w:link w:val="10"/>
    <w:qFormat/>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link w:val="22"/>
    <w:qFormat/>
    <w:pPr>
      <w:keepNext/>
      <w:keepLines/>
      <w:numPr>
        <w:ilvl w:val="1"/>
        <w:numId w:val="1"/>
      </w:numPr>
      <w:tabs>
        <w:tab w:val="clear" w:pos="2434"/>
        <w:tab w:val="left" w:pos="456"/>
      </w:tabs>
      <w:spacing w:beforeLines="100" w:afterLines="100" w:line="360" w:lineRule="auto"/>
      <w:ind w:left="456"/>
      <w:outlineLvl w:val="1"/>
    </w:pPr>
    <w:rPr>
      <w:rFonts w:cs="Arial"/>
      <w:b/>
      <w:sz w:val="24"/>
      <w:szCs w:val="20"/>
    </w:rPr>
  </w:style>
  <w:style w:type="paragraph" w:styleId="3">
    <w:name w:val="heading 3"/>
    <w:basedOn w:val="a0"/>
    <w:next w:val="a1"/>
    <w:link w:val="30"/>
    <w:qFormat/>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0"/>
    <w:qFormat/>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link w:val="60"/>
    <w:qFormat/>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link w:val="70"/>
    <w:qFormat/>
    <w:pPr>
      <w:keepNext/>
      <w:keepLines/>
      <w:spacing w:before="240" w:after="64" w:line="320" w:lineRule="auto"/>
      <w:outlineLvl w:val="6"/>
    </w:pPr>
    <w:rPr>
      <w:b/>
      <w:sz w:val="24"/>
      <w:szCs w:val="20"/>
    </w:rPr>
  </w:style>
  <w:style w:type="paragraph" w:styleId="8">
    <w:name w:val="heading 8"/>
    <w:basedOn w:val="a0"/>
    <w:next w:val="a0"/>
    <w:link w:val="80"/>
    <w:qFormat/>
    <w:pPr>
      <w:keepNext/>
      <w:keepLines/>
      <w:spacing w:before="240" w:after="64" w:line="320" w:lineRule="auto"/>
      <w:outlineLvl w:val="7"/>
    </w:pPr>
    <w:rPr>
      <w:rFonts w:ascii="Arial" w:eastAsia="黑体" w:hAnsi="Arial"/>
      <w:sz w:val="24"/>
      <w:szCs w:val="20"/>
    </w:rPr>
  </w:style>
  <w:style w:type="paragraph" w:styleId="9">
    <w:name w:val="heading 9"/>
    <w:basedOn w:val="a0"/>
    <w:next w:val="a0"/>
    <w:link w:val="90"/>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Document Map"/>
    <w:basedOn w:val="a0"/>
    <w:link w:val="a6"/>
    <w:unhideWhenUsed/>
    <w:pPr>
      <w:shd w:val="clear" w:color="auto" w:fill="000080"/>
      <w:tabs>
        <w:tab w:val="left" w:pos="420"/>
      </w:tabs>
    </w:pPr>
    <w:rPr>
      <w:rFonts w:ascii="Calibri" w:hAnsi="Calibri"/>
    </w:rPr>
  </w:style>
  <w:style w:type="paragraph" w:styleId="a7">
    <w:name w:val="annotation text"/>
    <w:basedOn w:val="a0"/>
    <w:link w:val="a8"/>
    <w:pPr>
      <w:jc w:val="left"/>
    </w:pPr>
  </w:style>
  <w:style w:type="paragraph" w:styleId="31">
    <w:name w:val="Body Text 3"/>
    <w:basedOn w:val="a0"/>
    <w:link w:val="32"/>
    <w:pPr>
      <w:spacing w:line="360" w:lineRule="auto"/>
    </w:pPr>
    <w:rPr>
      <w:rFonts w:ascii="仿宋_GB2312" w:eastAsia="仿宋_GB2312" w:hAnsi="Arial"/>
    </w:rPr>
  </w:style>
  <w:style w:type="paragraph" w:styleId="a9">
    <w:name w:val="Body Text"/>
    <w:basedOn w:val="a0"/>
    <w:link w:val="aa"/>
    <w:uiPriority w:val="99"/>
    <w:unhideWhenUsed/>
    <w:qFormat/>
    <w:pPr>
      <w:spacing w:after="120"/>
    </w:pPr>
  </w:style>
  <w:style w:type="paragraph" w:styleId="ab">
    <w:name w:val="Body Text Indent"/>
    <w:basedOn w:val="a0"/>
    <w:link w:val="ac"/>
    <w:pPr>
      <w:widowControl/>
      <w:spacing w:line="360" w:lineRule="auto"/>
      <w:ind w:rightChars="-85" w:right="-178" w:firstLineChars="150" w:firstLine="360"/>
      <w:jc w:val="left"/>
    </w:pPr>
    <w:rPr>
      <w:rFonts w:ascii="宋体" w:hAnsi="宋体"/>
      <w:sz w:val="24"/>
    </w:rPr>
  </w:style>
  <w:style w:type="paragraph" w:styleId="ad">
    <w:name w:val="Plain Text"/>
    <w:basedOn w:val="a0"/>
    <w:link w:val="ae"/>
    <w:pPr>
      <w:widowControl/>
      <w:jc w:val="left"/>
    </w:pPr>
    <w:rPr>
      <w:rFonts w:ascii="Courier New" w:hAnsi="Courier New" w:cs="Courier New"/>
      <w:kern w:val="0"/>
      <w:sz w:val="20"/>
      <w:szCs w:val="20"/>
    </w:rPr>
  </w:style>
  <w:style w:type="paragraph" w:styleId="af">
    <w:name w:val="Date"/>
    <w:basedOn w:val="a0"/>
    <w:next w:val="a0"/>
    <w:link w:val="af0"/>
    <w:qFormat/>
    <w:pPr>
      <w:ind w:leftChars="2500" w:left="100"/>
    </w:pPr>
  </w:style>
  <w:style w:type="paragraph" w:styleId="23">
    <w:name w:val="Body Text Indent 2"/>
    <w:basedOn w:val="a0"/>
    <w:link w:val="24"/>
    <w:pPr>
      <w:widowControl/>
      <w:spacing w:before="100" w:beforeAutospacing="1" w:after="100" w:afterAutospacing="1"/>
      <w:ind w:rightChars="-85" w:right="-178" w:firstLine="480"/>
      <w:outlineLvl w:val="0"/>
    </w:pPr>
    <w:rPr>
      <w:rFonts w:ascii="宋体" w:hAnsi="宋体"/>
      <w:color w:val="000000"/>
      <w:sz w:val="24"/>
    </w:rPr>
  </w:style>
  <w:style w:type="paragraph" w:styleId="af1">
    <w:name w:val="Balloon Text"/>
    <w:basedOn w:val="a0"/>
    <w:link w:val="af2"/>
    <w:rPr>
      <w:sz w:val="18"/>
      <w:szCs w:val="18"/>
    </w:rPr>
  </w:style>
  <w:style w:type="paragraph" w:styleId="af3">
    <w:name w:val="footer"/>
    <w:basedOn w:val="a0"/>
    <w:link w:val="af4"/>
    <w:pPr>
      <w:tabs>
        <w:tab w:val="center" w:pos="4153"/>
        <w:tab w:val="right" w:pos="8306"/>
      </w:tabs>
      <w:snapToGrid w:val="0"/>
      <w:jc w:val="left"/>
    </w:pPr>
    <w:rPr>
      <w:sz w:val="18"/>
      <w:szCs w:val="18"/>
    </w:rPr>
  </w:style>
  <w:style w:type="paragraph" w:styleId="af5">
    <w:name w:val="header"/>
    <w:basedOn w:val="a0"/>
    <w:link w:val="af6"/>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pPr>
      <w:tabs>
        <w:tab w:val="right" w:leader="dot" w:pos="8450"/>
      </w:tabs>
      <w:spacing w:afterLines="50"/>
    </w:pPr>
    <w:rPr>
      <w:rFonts w:ascii="黑体" w:eastAsia="黑体" w:hAnsi="宋体"/>
      <w:sz w:val="24"/>
    </w:rPr>
  </w:style>
  <w:style w:type="paragraph" w:styleId="33">
    <w:name w:val="Body Text Indent 3"/>
    <w:basedOn w:val="a0"/>
    <w:link w:val="34"/>
    <w:pPr>
      <w:spacing w:after="120"/>
      <w:ind w:leftChars="200" w:left="420"/>
    </w:pPr>
    <w:rPr>
      <w:sz w:val="16"/>
      <w:szCs w:val="16"/>
    </w:rPr>
  </w:style>
  <w:style w:type="paragraph" w:styleId="TOC2">
    <w:name w:val="toc 2"/>
    <w:basedOn w:val="a0"/>
    <w:next w:val="a0"/>
    <w:pPr>
      <w:ind w:leftChars="200" w:left="420"/>
    </w:pPr>
  </w:style>
  <w:style w:type="paragraph" w:styleId="af7">
    <w:name w:val="Normal (Web)"/>
    <w:basedOn w:val="a0"/>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8">
    <w:name w:val="Title"/>
    <w:basedOn w:val="a9"/>
    <w:next w:val="a9"/>
    <w:link w:val="af9"/>
    <w:qFormat/>
    <w:pPr>
      <w:tabs>
        <w:tab w:val="left" w:pos="-540"/>
        <w:tab w:val="left" w:pos="1182"/>
      </w:tabs>
      <w:snapToGrid w:val="0"/>
      <w:spacing w:before="240" w:after="60" w:line="360" w:lineRule="auto"/>
      <w:ind w:left="527" w:hanging="425"/>
      <w:jc w:val="center"/>
      <w:outlineLvl w:val="0"/>
    </w:pPr>
    <w:rPr>
      <w:b/>
      <w:bCs/>
      <w:sz w:val="36"/>
      <w:szCs w:val="20"/>
    </w:rPr>
  </w:style>
  <w:style w:type="paragraph" w:styleId="afa">
    <w:name w:val="annotation subject"/>
    <w:basedOn w:val="a7"/>
    <w:next w:val="a7"/>
    <w:link w:val="afb"/>
    <w:rPr>
      <w:b/>
      <w:bCs/>
    </w:rPr>
  </w:style>
  <w:style w:type="paragraph" w:styleId="afc">
    <w:name w:val="Body Text First Indent"/>
    <w:basedOn w:val="a9"/>
    <w:link w:val="afd"/>
    <w:qFormat/>
    <w:pPr>
      <w:spacing w:line="300" w:lineRule="auto"/>
      <w:ind w:firstLine="425"/>
    </w:pPr>
    <w:rPr>
      <w:szCs w:val="20"/>
    </w:rPr>
  </w:style>
  <w:style w:type="table" w:styleId="afe">
    <w:name w:val="Table Grid"/>
    <w:basedOn w:val="a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2"/>
    <w:qFormat/>
    <w:rPr>
      <w:b/>
      <w:bCs/>
    </w:rPr>
  </w:style>
  <w:style w:type="character" w:styleId="aff0">
    <w:name w:val="page number"/>
    <w:basedOn w:val="a2"/>
  </w:style>
  <w:style w:type="character" w:styleId="aff1">
    <w:name w:val="FollowedHyperlink"/>
    <w:basedOn w:val="a2"/>
    <w:uiPriority w:val="99"/>
    <w:rPr>
      <w:color w:val="800080"/>
      <w:u w:val="single"/>
    </w:rPr>
  </w:style>
  <w:style w:type="character" w:styleId="aff2">
    <w:name w:val="Hyperlink"/>
    <w:basedOn w:val="a2"/>
    <w:uiPriority w:val="99"/>
    <w:rPr>
      <w:color w:val="0000FF"/>
      <w:u w:val="single"/>
    </w:rPr>
  </w:style>
  <w:style w:type="character" w:styleId="aff3">
    <w:name w:val="annotation reference"/>
    <w:basedOn w:val="a2"/>
    <w:rPr>
      <w:sz w:val="21"/>
      <w:szCs w:val="21"/>
    </w:rPr>
  </w:style>
  <w:style w:type="character" w:customStyle="1" w:styleId="aa">
    <w:name w:val="正文文本 字符"/>
    <w:basedOn w:val="a2"/>
    <w:link w:val="a9"/>
    <w:uiPriority w:val="99"/>
    <w:rPr>
      <w:rFonts w:ascii="Times New Roman" w:eastAsia="宋体" w:hAnsi="Times New Roman" w:cs="Times New Roman"/>
      <w:szCs w:val="24"/>
    </w:rPr>
  </w:style>
  <w:style w:type="character" w:customStyle="1" w:styleId="afd">
    <w:name w:val="正文文本首行缩进 字符"/>
    <w:basedOn w:val="aa"/>
    <w:link w:val="afc"/>
    <w:qFormat/>
    <w:rPr>
      <w:rFonts w:ascii="Times New Roman" w:eastAsia="宋体" w:hAnsi="Times New Roman" w:cs="Times New Roman"/>
      <w:szCs w:val="20"/>
    </w:rPr>
  </w:style>
  <w:style w:type="character" w:customStyle="1" w:styleId="af9">
    <w:name w:val="标题 字符"/>
    <w:basedOn w:val="a2"/>
    <w:link w:val="af8"/>
    <w:qFormat/>
    <w:rPr>
      <w:rFonts w:ascii="Times New Roman" w:eastAsia="宋体" w:hAnsi="Times New Roman" w:cs="Times New Roman"/>
      <w:b/>
      <w:bCs/>
      <w:sz w:val="36"/>
      <w:szCs w:val="20"/>
    </w:rPr>
  </w:style>
  <w:style w:type="paragraph" w:styleId="aff4">
    <w:name w:val="List Paragraph"/>
    <w:basedOn w:val="a0"/>
    <w:qFormat/>
    <w:pPr>
      <w:widowControl/>
      <w:ind w:firstLine="420"/>
    </w:pPr>
    <w:rPr>
      <w:rFonts w:ascii="Calibri" w:hAnsi="Calibri" w:cs="宋体"/>
      <w:kern w:val="0"/>
      <w:sz w:val="24"/>
    </w:rPr>
  </w:style>
  <w:style w:type="character" w:customStyle="1" w:styleId="10">
    <w:name w:val="标题 1 字符"/>
    <w:basedOn w:val="a2"/>
    <w:link w:val="1"/>
    <w:rPr>
      <w:rFonts w:ascii="Times New Roman" w:eastAsia="楷体_GB2312" w:hAnsi="Times New Roman" w:cs="Times New Roman"/>
      <w:b/>
      <w:kern w:val="44"/>
      <w:sz w:val="32"/>
      <w:szCs w:val="20"/>
    </w:rPr>
  </w:style>
  <w:style w:type="character" w:customStyle="1" w:styleId="22">
    <w:name w:val="标题 2 字符"/>
    <w:basedOn w:val="a2"/>
    <w:link w:val="20"/>
    <w:rPr>
      <w:rFonts w:ascii="Times New Roman" w:eastAsia="宋体" w:hAnsi="Times New Roman" w:cs="Arial"/>
      <w:b/>
      <w:sz w:val="24"/>
      <w:szCs w:val="20"/>
    </w:rPr>
  </w:style>
  <w:style w:type="character" w:customStyle="1" w:styleId="30">
    <w:name w:val="标题 3 字符"/>
    <w:basedOn w:val="a2"/>
    <w:link w:val="3"/>
    <w:qFormat/>
    <w:rPr>
      <w:rFonts w:ascii="Times New Roman" w:eastAsia="宋体" w:hAnsi="Times New Roman" w:cs="Arial"/>
      <w:b/>
      <w:sz w:val="24"/>
      <w:szCs w:val="20"/>
    </w:rPr>
  </w:style>
  <w:style w:type="character" w:customStyle="1" w:styleId="40">
    <w:name w:val="标题 4 字符"/>
    <w:basedOn w:val="a2"/>
    <w:link w:val="4"/>
    <w:qFormat/>
    <w:rPr>
      <w:rFonts w:ascii="Arial" w:eastAsia="黑体" w:hAnsi="Arial" w:cs="Times New Roman"/>
      <w:b/>
      <w:bCs/>
      <w:sz w:val="28"/>
      <w:szCs w:val="28"/>
    </w:rPr>
  </w:style>
  <w:style w:type="character" w:customStyle="1" w:styleId="50">
    <w:name w:val="标题 5 字符"/>
    <w:basedOn w:val="a2"/>
    <w:link w:val="5"/>
    <w:qFormat/>
    <w:rPr>
      <w:rFonts w:ascii="Times New Roman" w:eastAsia="宋体" w:hAnsi="Times New Roman" w:cs="Arial"/>
      <w:b/>
      <w:sz w:val="24"/>
      <w:szCs w:val="20"/>
    </w:rPr>
  </w:style>
  <w:style w:type="character" w:customStyle="1" w:styleId="60">
    <w:name w:val="标题 6 字符"/>
    <w:basedOn w:val="a2"/>
    <w:link w:val="6"/>
    <w:rPr>
      <w:rFonts w:ascii="Times New Roman" w:eastAsia="宋体" w:hAnsi="Times New Roman" w:cs="Arial"/>
      <w:b/>
      <w:szCs w:val="20"/>
    </w:rPr>
  </w:style>
  <w:style w:type="character" w:customStyle="1" w:styleId="70">
    <w:name w:val="标题 7 字符"/>
    <w:basedOn w:val="a2"/>
    <w:link w:val="7"/>
    <w:rPr>
      <w:rFonts w:ascii="Times New Roman" w:eastAsia="宋体" w:hAnsi="Times New Roman" w:cs="Times New Roman"/>
      <w:b/>
      <w:sz w:val="24"/>
      <w:szCs w:val="20"/>
    </w:rPr>
  </w:style>
  <w:style w:type="character" w:customStyle="1" w:styleId="80">
    <w:name w:val="标题 8 字符"/>
    <w:basedOn w:val="a2"/>
    <w:link w:val="8"/>
    <w:rPr>
      <w:rFonts w:ascii="Arial" w:eastAsia="黑体" w:hAnsi="Arial" w:cs="Times New Roman"/>
      <w:sz w:val="24"/>
      <w:szCs w:val="20"/>
    </w:rPr>
  </w:style>
  <w:style w:type="character" w:customStyle="1" w:styleId="90">
    <w:name w:val="标题 9 字符"/>
    <w:basedOn w:val="a2"/>
    <w:link w:val="9"/>
    <w:rPr>
      <w:rFonts w:ascii="Arial" w:eastAsia="黑体" w:hAnsi="Arial" w:cs="Times New Roman"/>
      <w:szCs w:val="20"/>
    </w:rPr>
  </w:style>
  <w:style w:type="paragraph" w:customStyle="1" w:styleId="xl22">
    <w:name w:val="xl22"/>
    <w:basedOn w:val="a0"/>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ff5">
    <w:name w:val="表格正文"/>
    <w:basedOn w:val="a1"/>
    <w:pPr>
      <w:spacing w:beforeLines="50"/>
      <w:ind w:firstLineChars="0" w:firstLine="0"/>
      <w:jc w:val="center"/>
    </w:pPr>
    <w:rPr>
      <w:sz w:val="24"/>
      <w:szCs w:val="20"/>
    </w:rPr>
  </w:style>
  <w:style w:type="character" w:customStyle="1" w:styleId="af2">
    <w:name w:val="批注框文本 字符"/>
    <w:basedOn w:val="a2"/>
    <w:link w:val="af1"/>
    <w:rPr>
      <w:rFonts w:ascii="Times New Roman" w:eastAsia="宋体" w:hAnsi="Times New Roman" w:cs="Times New Roman"/>
      <w:sz w:val="18"/>
      <w:szCs w:val="18"/>
    </w:rPr>
  </w:style>
  <w:style w:type="character" w:customStyle="1" w:styleId="af4">
    <w:name w:val="页脚 字符"/>
    <w:basedOn w:val="a2"/>
    <w:link w:val="af3"/>
    <w:rPr>
      <w:rFonts w:ascii="Times New Roman" w:eastAsia="宋体" w:hAnsi="Times New Roman" w:cs="Times New Roman"/>
      <w:sz w:val="18"/>
      <w:szCs w:val="18"/>
    </w:rPr>
  </w:style>
  <w:style w:type="character" w:customStyle="1" w:styleId="ae">
    <w:name w:val="纯文本 字符"/>
    <w:basedOn w:val="a2"/>
    <w:link w:val="ad"/>
    <w:rPr>
      <w:rFonts w:ascii="Courier New" w:eastAsia="宋体" w:hAnsi="Courier New" w:cs="Courier New"/>
      <w:kern w:val="0"/>
      <w:sz w:val="20"/>
      <w:szCs w:val="20"/>
    </w:rPr>
  </w:style>
  <w:style w:type="character" w:customStyle="1" w:styleId="af6">
    <w:name w:val="页眉 字符"/>
    <w:basedOn w:val="a2"/>
    <w:link w:val="af5"/>
    <w:rPr>
      <w:rFonts w:ascii="Times New Roman" w:eastAsia="宋体" w:hAnsi="Times New Roman" w:cs="Times New Roman"/>
      <w:sz w:val="18"/>
      <w:szCs w:val="18"/>
    </w:rPr>
  </w:style>
  <w:style w:type="character" w:customStyle="1" w:styleId="ac">
    <w:name w:val="正文文本缩进 字符"/>
    <w:basedOn w:val="a2"/>
    <w:link w:val="ab"/>
    <w:rPr>
      <w:rFonts w:ascii="宋体" w:eastAsia="宋体" w:hAnsi="宋体" w:cs="Times New Roman"/>
      <w:sz w:val="24"/>
      <w:szCs w:val="24"/>
    </w:rPr>
  </w:style>
  <w:style w:type="character" w:customStyle="1" w:styleId="24">
    <w:name w:val="正文文本缩进 2 字符"/>
    <w:basedOn w:val="a2"/>
    <w:link w:val="23"/>
    <w:rPr>
      <w:rFonts w:ascii="宋体" w:eastAsia="宋体" w:hAnsi="宋体" w:cs="Times New Roman"/>
      <w:color w:val="000000"/>
      <w:sz w:val="24"/>
      <w:szCs w:val="24"/>
    </w:rPr>
  </w:style>
  <w:style w:type="paragraph" w:customStyle="1" w:styleId="a">
    <w:name w:val="项目"/>
    <w:basedOn w:val="4"/>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aff6">
    <w:name w:val="报告署名"/>
    <w:basedOn w:val="a0"/>
    <w:next w:val="a0"/>
    <w:pPr>
      <w:spacing w:line="360" w:lineRule="auto"/>
      <w:jc w:val="center"/>
    </w:pPr>
    <w:rPr>
      <w:rFonts w:ascii="宋体" w:hAnsi="宋体"/>
      <w:sz w:val="24"/>
      <w:szCs w:val="20"/>
    </w:rPr>
  </w:style>
  <w:style w:type="character" w:customStyle="1" w:styleId="big1">
    <w:name w:val="big1"/>
    <w:basedOn w:val="a2"/>
    <w:rPr>
      <w:spacing w:val="360"/>
      <w:sz w:val="22"/>
      <w:szCs w:val="22"/>
    </w:rPr>
  </w:style>
  <w:style w:type="paragraph" w:customStyle="1" w:styleId="21">
    <w:name w:val="列表2"/>
    <w:basedOn w:val="a0"/>
    <w:next w:val="af8"/>
    <w:qFormat/>
    <w:pPr>
      <w:numPr>
        <w:numId w:val="3"/>
      </w:numPr>
      <w:tabs>
        <w:tab w:val="clear" w:pos="360"/>
        <w:tab w:val="left" w:pos="1125"/>
      </w:tabs>
      <w:spacing w:line="360" w:lineRule="auto"/>
      <w:ind w:left="1125" w:hanging="1125"/>
    </w:pPr>
    <w:rPr>
      <w:rFonts w:ascii="宋体"/>
      <w:szCs w:val="20"/>
    </w:rPr>
  </w:style>
  <w:style w:type="character" w:customStyle="1" w:styleId="ten51">
    <w:name w:val="ten51"/>
    <w:basedOn w:val="a2"/>
    <w:rPr>
      <w:sz w:val="21"/>
      <w:szCs w:val="21"/>
    </w:rPr>
  </w:style>
  <w:style w:type="paragraph" w:customStyle="1" w:styleId="2">
    <w:name w:val="编号正文2"/>
    <w:basedOn w:val="a0"/>
    <w:pPr>
      <w:numPr>
        <w:numId w:val="4"/>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style>
  <w:style w:type="character" w:customStyle="1" w:styleId="34">
    <w:name w:val="正文文本缩进 3 字符"/>
    <w:basedOn w:val="a2"/>
    <w:link w:val="33"/>
    <w:rPr>
      <w:rFonts w:ascii="Times New Roman" w:eastAsia="宋体" w:hAnsi="Times New Roman" w:cs="Times New Roman"/>
      <w:sz w:val="16"/>
      <w:szCs w:val="16"/>
    </w:rPr>
  </w:style>
  <w:style w:type="paragraph" w:customStyle="1" w:styleId="CharCharCharCharCharCharChar">
    <w:name w:val="Char Char Char Char Char Char Char"/>
    <w:basedOn w:val="a0"/>
  </w:style>
  <w:style w:type="paragraph" w:customStyle="1" w:styleId="CharChar">
    <w:name w:val="Char Char"/>
    <w:basedOn w:val="a0"/>
    <w:pPr>
      <w:tabs>
        <w:tab w:val="left" w:pos="840"/>
      </w:tabs>
      <w:ind w:left="840" w:hanging="360"/>
    </w:pPr>
    <w:rPr>
      <w:sz w:val="24"/>
    </w:rPr>
  </w:style>
  <w:style w:type="paragraph" w:customStyle="1" w:styleId="Char">
    <w:name w:val="Char"/>
    <w:basedOn w:val="a0"/>
    <w:qFormat/>
  </w:style>
  <w:style w:type="character" w:customStyle="1" w:styleId="EmailStyle65">
    <w:name w:val="EmailStyle65"/>
    <w:basedOn w:val="a2"/>
    <w:semiHidden/>
    <w:rPr>
      <w:rFonts w:ascii="宋体" w:eastAsia="宋体"/>
      <w:color w:val="0000FF"/>
      <w:sz w:val="21"/>
      <w:szCs w:val="21"/>
      <w:u w:val="none"/>
    </w:rPr>
  </w:style>
  <w:style w:type="character" w:customStyle="1" w:styleId="af0">
    <w:name w:val="日期 字符"/>
    <w:basedOn w:val="a2"/>
    <w:link w:val="af"/>
    <w:rPr>
      <w:rFonts w:ascii="Times New Roman" w:eastAsia="宋体" w:hAnsi="Times New Roman" w:cs="Times New Roman"/>
      <w:szCs w:val="24"/>
    </w:rPr>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CharCharCharCharCharCharCharCharChar1CharCharCharChar">
    <w:name w:val="Char Char Char Char Char Char Char Char Char1 Char Char Char Char"/>
    <w:basedOn w:val="a0"/>
    <w:qFormat/>
    <w:pPr>
      <w:tabs>
        <w:tab w:val="left" w:pos="840"/>
      </w:tabs>
      <w:ind w:left="840" w:hanging="360"/>
    </w:pPr>
    <w:rPr>
      <w:sz w:val="24"/>
    </w:rPr>
  </w:style>
  <w:style w:type="paragraph" w:customStyle="1" w:styleId="1Char">
    <w:name w:val="1 Char"/>
    <w:basedOn w:val="a0"/>
    <w:semiHidden/>
    <w:pPr>
      <w:tabs>
        <w:tab w:val="left" w:pos="360"/>
      </w:tabs>
    </w:pPr>
    <w:rPr>
      <w:sz w:val="24"/>
    </w:rPr>
  </w:style>
  <w:style w:type="character" w:customStyle="1" w:styleId="a8">
    <w:name w:val="批注文字 字符"/>
    <w:basedOn w:val="a2"/>
    <w:link w:val="a7"/>
    <w:rPr>
      <w:rFonts w:ascii="Times New Roman" w:eastAsia="宋体" w:hAnsi="Times New Roman" w:cs="Times New Roman"/>
      <w:szCs w:val="24"/>
    </w:rPr>
  </w:style>
  <w:style w:type="character" w:customStyle="1" w:styleId="afb">
    <w:name w:val="批注主题 字符"/>
    <w:basedOn w:val="a8"/>
    <w:link w:val="afa"/>
    <w:rPr>
      <w:rFonts w:ascii="Times New Roman" w:eastAsia="宋体" w:hAnsi="Times New Roman" w:cs="Times New Roman"/>
      <w:b/>
      <w:bCs/>
      <w:szCs w:val="24"/>
    </w:rPr>
  </w:style>
  <w:style w:type="paragraph" w:customStyle="1" w:styleId="CharCharChar">
    <w:name w:val="Char Char Char"/>
    <w:basedOn w:val="a0"/>
  </w:style>
  <w:style w:type="paragraph" w:customStyle="1" w:styleId="Char1">
    <w:name w:val="Char1"/>
    <w:basedOn w:val="a0"/>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32">
    <w:name w:val="正文文本 3 字符"/>
    <w:basedOn w:val="a2"/>
    <w:link w:val="31"/>
    <w:qFormat/>
    <w:rPr>
      <w:rFonts w:ascii="仿宋_GB2312" w:eastAsia="仿宋_GB2312" w:hAnsi="Arial" w:cs="Times New Roman"/>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CharCharCharChar1CharCharChar">
    <w:name w:val="Char Char Char Char1 Char Char Char"/>
    <w:basedOn w:val="a0"/>
  </w:style>
  <w:style w:type="paragraph" w:customStyle="1" w:styleId="ParaChar">
    <w:name w:val="默认段落字体 Para Char"/>
    <w:basedOn w:val="a0"/>
    <w:pPr>
      <w:tabs>
        <w:tab w:val="left" w:pos="840"/>
      </w:tabs>
      <w:ind w:left="840" w:hanging="420"/>
    </w:pPr>
    <w:rPr>
      <w:sz w:val="24"/>
    </w:rPr>
  </w:style>
  <w:style w:type="paragraph" w:customStyle="1" w:styleId="11">
    <w:name w:val="修订1"/>
    <w:hidden/>
    <w:rPr>
      <w:rFonts w:ascii="Times New Roman" w:hAnsi="Times New Roman"/>
      <w:kern w:val="2"/>
      <w:sz w:val="21"/>
      <w:szCs w:val="24"/>
    </w:rPr>
  </w:style>
  <w:style w:type="character" w:customStyle="1" w:styleId="unnamed11">
    <w:name w:val="unnamed11"/>
    <w:basedOn w:val="a2"/>
    <w:rPr>
      <w:rFonts w:ascii="宋体" w:eastAsia="宋体" w:hAnsi="宋体" w:hint="eastAsia"/>
      <w:sz w:val="18"/>
      <w:szCs w:val="18"/>
    </w:rPr>
  </w:style>
  <w:style w:type="paragraph" w:customStyle="1" w:styleId="CharCharCharCharCharCharChar1">
    <w:name w:val="Char Char Char Char Char Char Char1"/>
    <w:basedOn w:val="a0"/>
  </w:style>
  <w:style w:type="paragraph" w:customStyle="1" w:styleId="Char2">
    <w:name w:val="Char2"/>
    <w:basedOn w:val="a0"/>
  </w:style>
  <w:style w:type="paragraph" w:customStyle="1" w:styleId="CharChar1">
    <w:name w:val="Char Char1"/>
    <w:basedOn w:val="a0"/>
    <w:pPr>
      <w:tabs>
        <w:tab w:val="left" w:pos="840"/>
      </w:tabs>
      <w:ind w:left="840" w:hanging="360"/>
    </w:pPr>
    <w:rPr>
      <w:sz w:val="24"/>
    </w:rPr>
  </w:style>
  <w:style w:type="character" w:customStyle="1" w:styleId="txtcontent11">
    <w:name w:val="txtcontent11"/>
    <w:basedOn w:val="a2"/>
    <w:rPr>
      <w:rFonts w:ascii="ˎ̥" w:hAnsi="ˎ̥" w:hint="default"/>
      <w:color w:val="000000"/>
      <w:sz w:val="21"/>
      <w:szCs w:val="21"/>
    </w:rPr>
  </w:style>
  <w:style w:type="paragraph" w:customStyle="1" w:styleId="ParaCharCharCharCharCharCharChar">
    <w:name w:val="默认段落字体 Para Char Char Char Char Char Char Char"/>
    <w:basedOn w:val="a0"/>
    <w:pPr>
      <w:widowControl/>
      <w:jc w:val="left"/>
    </w:pPr>
    <w:rPr>
      <w:rFonts w:ascii="Tahoma" w:hAnsi="Tahoma"/>
      <w:color w:val="000000"/>
      <w:kern w:val="0"/>
      <w:sz w:val="24"/>
      <w:szCs w:val="20"/>
    </w:rPr>
  </w:style>
  <w:style w:type="paragraph" w:customStyle="1" w:styleId="CharCharChar1">
    <w:name w:val="Char Char Char1"/>
    <w:basedOn w:val="a0"/>
    <w:rPr>
      <w:szCs w:val="20"/>
    </w:rPr>
  </w:style>
  <w:style w:type="paragraph" w:customStyle="1" w:styleId="12">
    <w:name w:val="1"/>
    <w:basedOn w:val="a0"/>
    <w:next w:val="33"/>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style>
  <w:style w:type="paragraph" w:customStyle="1" w:styleId="Char11">
    <w:name w:val="Char11"/>
    <w:basedOn w:val="a0"/>
  </w:style>
  <w:style w:type="paragraph" w:customStyle="1" w:styleId="CharCharChar2">
    <w:name w:val="Char Char Char2"/>
    <w:basedOn w:val="a0"/>
  </w:style>
  <w:style w:type="paragraph" w:customStyle="1" w:styleId="CharCharCharChar1CharCharChar1">
    <w:name w:val="Char Char Char Char1 Char Char Char1"/>
    <w:basedOn w:val="a0"/>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1"/>
    <w:basedOn w:val="a0"/>
  </w:style>
  <w:style w:type="character" w:customStyle="1" w:styleId="a6">
    <w:name w:val="文档结构图 字符"/>
    <w:basedOn w:val="a2"/>
    <w:link w:val="a5"/>
    <w:rPr>
      <w:szCs w:val="24"/>
      <w:shd w:val="clear" w:color="auto" w:fill="000080"/>
    </w:rPr>
  </w:style>
  <w:style w:type="character" w:customStyle="1" w:styleId="Char10">
    <w:name w:val="文档结构图 Char1"/>
    <w:basedOn w:val="a2"/>
    <w:rPr>
      <w:rFonts w:ascii="宋体" w:eastAsia="宋体" w:hAnsi="Times New Roman" w:cs="Times New Roman"/>
      <w:sz w:val="18"/>
      <w:szCs w:val="18"/>
    </w:rPr>
  </w:style>
  <w:style w:type="paragraph" w:customStyle="1" w:styleId="c">
    <w:name w:val="c_"/>
    <w:pPr>
      <w:widowControl w:val="0"/>
      <w:tabs>
        <w:tab w:val="left" w:pos="420"/>
      </w:tabs>
      <w:autoSpaceDE w:val="0"/>
      <w:autoSpaceDN w:val="0"/>
      <w:adjustRightInd w:val="0"/>
      <w:jc w:val="both"/>
    </w:pPr>
    <w:rPr>
      <w:rFonts w:ascii="五" w:eastAsia="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1193</Words>
  <Characters>6802</Characters>
  <Application>Microsoft Office Word</Application>
  <DocSecurity>0</DocSecurity>
  <Lines>56</Lines>
  <Paragraphs>15</Paragraphs>
  <ScaleCrop>false</ScaleCrop>
  <Company>Microsoft</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Leying</dc:creator>
  <cp:lastModifiedBy>张婧</cp:lastModifiedBy>
  <cp:revision>3</cp:revision>
  <dcterms:created xsi:type="dcterms:W3CDTF">2021-06-25T07:31:00Z</dcterms:created>
  <dcterms:modified xsi:type="dcterms:W3CDTF">2021-06-25T07:31:00Z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