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asciiTheme="minorEastAsia" w:hAnsiTheme="minorEastAsia" w:eastAsiaTheme="minorEastAsia"/>
          <w:color w:val="000000"/>
          <w:kern w:val="0"/>
          <w:szCs w:val="21"/>
        </w:rPr>
      </w:pPr>
    </w:p>
    <w:p>
      <w:pPr>
        <w:autoSpaceDE w:val="0"/>
        <w:autoSpaceDN w:val="0"/>
        <w:adjustRightInd w:val="0"/>
        <w:spacing w:line="360" w:lineRule="auto"/>
        <w:jc w:val="left"/>
        <w:rPr>
          <w:rFonts w:asciiTheme="minorEastAsia" w:hAnsiTheme="minorEastAsia" w:eastAsiaTheme="minorEastAsia"/>
          <w:color w:val="000000"/>
          <w:kern w:val="0"/>
          <w:szCs w:val="21"/>
        </w:rPr>
      </w:pPr>
    </w:p>
    <w:p>
      <w:pPr>
        <w:autoSpaceDE w:val="0"/>
        <w:autoSpaceDN w:val="0"/>
        <w:adjustRightInd w:val="0"/>
        <w:spacing w:line="360" w:lineRule="auto"/>
        <w:jc w:val="left"/>
        <w:rPr>
          <w:rFonts w:asciiTheme="minorEastAsia" w:hAnsiTheme="minorEastAsia" w:eastAsiaTheme="minorEastAsia"/>
          <w:color w:val="000000"/>
          <w:kern w:val="0"/>
          <w:szCs w:val="21"/>
        </w:rPr>
      </w:pPr>
    </w:p>
    <w:p>
      <w:pPr>
        <w:autoSpaceDE w:val="0"/>
        <w:autoSpaceDN w:val="0"/>
        <w:adjustRightInd w:val="0"/>
        <w:spacing w:line="360" w:lineRule="auto"/>
        <w:jc w:val="left"/>
        <w:rPr>
          <w:rFonts w:asciiTheme="minorEastAsia" w:hAnsiTheme="minorEastAsia" w:eastAsiaTheme="minorEastAsia"/>
          <w:color w:val="000000"/>
          <w:kern w:val="0"/>
          <w:szCs w:val="21"/>
        </w:rPr>
      </w:pPr>
    </w:p>
    <w:p>
      <w:pPr>
        <w:spacing w:before="29" w:line="288" w:lineRule="auto"/>
        <w:jc w:val="center"/>
        <w:rPr>
          <w:b/>
          <w:sz w:val="36"/>
          <w:szCs w:val="36"/>
        </w:rPr>
      </w:pPr>
      <w:bookmarkStart w:id="0" w:name="_Toc361324840"/>
      <w:r>
        <w:rPr>
          <w:b/>
          <w:sz w:val="36"/>
          <w:szCs w:val="36"/>
        </w:rPr>
        <w:t>交银施罗德科技创新灵活配置混合型证券投资基金</w:t>
      </w:r>
      <w:bookmarkEnd w:id="0"/>
    </w:p>
    <w:p>
      <w:pPr>
        <w:spacing w:before="29" w:line="288" w:lineRule="auto"/>
        <w:jc w:val="center"/>
        <w:rPr>
          <w:b/>
          <w:sz w:val="36"/>
          <w:szCs w:val="36"/>
        </w:rPr>
      </w:pPr>
      <w:bookmarkStart w:id="1" w:name="_Toc361324841"/>
      <w:r>
        <w:rPr>
          <w:b/>
          <w:sz w:val="36"/>
          <w:szCs w:val="36"/>
        </w:rPr>
        <w:t>2020年年度报告</w:t>
      </w:r>
      <w:bookmarkEnd w:id="1"/>
    </w:p>
    <w:p>
      <w:pPr>
        <w:spacing w:before="29" w:line="288" w:lineRule="auto"/>
        <w:jc w:val="center"/>
        <w:rPr>
          <w:b/>
          <w:sz w:val="36"/>
          <w:szCs w:val="36"/>
        </w:rPr>
      </w:pPr>
      <w:r>
        <w:rPr>
          <w:b/>
          <w:sz w:val="36"/>
          <w:szCs w:val="36"/>
        </w:rPr>
        <w:t>2020年12月31日</w:t>
      </w: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rPr>
          <w:rFonts w:asciiTheme="minorEastAsia" w:hAnsiTheme="minorEastAsia" w:eastAsiaTheme="minorEastAsia"/>
          <w:b/>
          <w:color w:val="000000"/>
          <w:szCs w:val="21"/>
        </w:rPr>
      </w:pPr>
    </w:p>
    <w:p>
      <w:pPr>
        <w:spacing w:before="29" w:line="288" w:lineRule="auto"/>
        <w:ind w:firstLine="2168" w:firstLineChars="900"/>
        <w:rPr>
          <w:b/>
          <w:color w:val="000000"/>
          <w:sz w:val="24"/>
        </w:rPr>
      </w:pPr>
      <w:r>
        <w:rPr>
          <w:rFonts w:hint="eastAsia"/>
          <w:b/>
          <w:color w:val="000000"/>
          <w:sz w:val="24"/>
        </w:rPr>
        <w:t>基金管理人：</w:t>
      </w:r>
      <w:r>
        <w:rPr>
          <w:b/>
          <w:color w:val="000000"/>
          <w:sz w:val="24"/>
        </w:rPr>
        <w:t>交银施罗德基金管理有限公司</w:t>
      </w:r>
    </w:p>
    <w:p>
      <w:pPr>
        <w:spacing w:before="29" w:line="288" w:lineRule="auto"/>
        <w:ind w:firstLine="2168" w:firstLineChars="900"/>
        <w:rPr>
          <w:b/>
          <w:color w:val="000000"/>
          <w:sz w:val="24"/>
        </w:rPr>
      </w:pPr>
      <w:r>
        <w:rPr>
          <w:rFonts w:hint="eastAsia"/>
          <w:b/>
          <w:color w:val="000000"/>
          <w:sz w:val="24"/>
        </w:rPr>
        <w:t>基金托管人：</w:t>
      </w:r>
      <w:r>
        <w:rPr>
          <w:b/>
          <w:color w:val="000000"/>
          <w:sz w:val="24"/>
        </w:rPr>
        <w:t>中国工商银行股份有限公司</w:t>
      </w:r>
    </w:p>
    <w:p>
      <w:pPr>
        <w:spacing w:before="29" w:line="288" w:lineRule="auto"/>
        <w:ind w:firstLine="2168" w:firstLineChars="900"/>
        <w:rPr>
          <w:b/>
          <w:color w:val="000000"/>
          <w:sz w:val="24"/>
        </w:rPr>
        <w:sectPr>
          <w:headerReference r:id="rId5" w:type="first"/>
          <w:footerReference r:id="rId8" w:type="first"/>
          <w:headerReference r:id="rId3" w:type="default"/>
          <w:footerReference r:id="rId6" w:type="default"/>
          <w:headerReference r:id="rId4" w:type="even"/>
          <w:footerReference r:id="rId7" w:type="even"/>
          <w:pgSz w:w="11926" w:h="15840"/>
          <w:pgMar w:top="1418" w:right="1418" w:bottom="851" w:left="1418" w:header="851" w:footer="992" w:gutter="0"/>
          <w:cols w:space="720" w:num="1"/>
          <w:titlePg/>
          <w:docGrid w:linePitch="286" w:charSpace="0"/>
        </w:sectPr>
      </w:pPr>
      <w:r>
        <w:rPr>
          <w:rFonts w:hint="eastAsia"/>
          <w:b/>
          <w:color w:val="000000"/>
          <w:sz w:val="24"/>
        </w:rPr>
        <w:t>报告送出日期：</w:t>
      </w:r>
      <w:r>
        <w:rPr>
          <w:b/>
          <w:color w:val="000000"/>
          <w:sz w:val="24"/>
        </w:rPr>
        <w:t>二〇二一年三月三十日</w:t>
      </w:r>
    </w:p>
    <w:p>
      <w:pPr>
        <w:pStyle w:val="2"/>
        <w:keepNext/>
        <w:keepLines/>
        <w:widowControl w:val="0"/>
        <w:spacing w:before="312" w:beforeLines="100" w:after="312" w:afterLines="100" w:line="288" w:lineRule="auto"/>
        <w:jc w:val="center"/>
        <w:rPr>
          <w:b/>
          <w:bCs/>
          <w:szCs w:val="24"/>
          <w:lang w:val="en-US"/>
        </w:rPr>
      </w:pPr>
      <w:bookmarkStart w:id="2" w:name="_Toc67589740"/>
      <w:bookmarkStart w:id="3" w:name="_Toc361324842"/>
      <w:bookmarkStart w:id="4" w:name="_Toc225498243"/>
      <w:r>
        <w:rPr>
          <w:rFonts w:hint="eastAsia"/>
          <w:b/>
          <w:bCs/>
          <w:szCs w:val="24"/>
          <w:lang w:val="en-US"/>
        </w:rPr>
        <w:t>§</w:t>
      </w:r>
      <w:r>
        <w:rPr>
          <w:b/>
          <w:bCs/>
          <w:szCs w:val="24"/>
          <w:lang w:val="en-US"/>
        </w:rPr>
        <w:t xml:space="preserve">1  </w:t>
      </w:r>
      <w:r>
        <w:rPr>
          <w:rFonts w:hint="eastAsia"/>
          <w:b/>
          <w:bCs/>
          <w:szCs w:val="24"/>
          <w:lang w:val="en-US"/>
        </w:rPr>
        <w:t>重要提示及目录</w:t>
      </w:r>
      <w:bookmarkEnd w:id="2"/>
      <w:bookmarkEnd w:id="3"/>
      <w:bookmarkEnd w:id="4"/>
    </w:p>
    <w:p/>
    <w:p>
      <w:pPr>
        <w:pStyle w:val="3"/>
        <w:spacing w:before="29" w:after="0" w:line="288" w:lineRule="auto"/>
        <w:rPr>
          <w:rFonts w:ascii="Times New Roman" w:hAnsi="Times New Roman"/>
          <w:kern w:val="0"/>
          <w:szCs w:val="24"/>
        </w:rPr>
      </w:pPr>
      <w:bookmarkStart w:id="5" w:name="_Toc67589741"/>
      <w:bookmarkStart w:id="6" w:name="_Toc361324843"/>
      <w:r>
        <w:rPr>
          <w:rFonts w:ascii="Times New Roman" w:hAnsi="Times New Roman"/>
          <w:kern w:val="0"/>
          <w:szCs w:val="24"/>
        </w:rPr>
        <w:t xml:space="preserve">1.1 </w:t>
      </w:r>
      <w:r>
        <w:rPr>
          <w:rFonts w:hint="eastAsia" w:ascii="Times New Roman" w:hAnsi="Times New Roman"/>
          <w:kern w:val="0"/>
          <w:szCs w:val="24"/>
        </w:rPr>
        <w:t>重要提示</w:t>
      </w:r>
      <w:bookmarkEnd w:id="5"/>
      <w:bookmarkEnd w:id="6"/>
    </w:p>
    <w:p>
      <w:pPr>
        <w:spacing w:before="29" w:line="288" w:lineRule="auto"/>
        <w:ind w:firstLine="480" w:firstLineChars="200"/>
        <w:rPr>
          <w:color w:val="000000"/>
          <w:sz w:val="24"/>
        </w:rPr>
      </w:pPr>
      <w:r>
        <w:rPr>
          <w:color w:val="000000"/>
          <w:sz w:val="24"/>
        </w:rPr>
        <w:t xml:space="preserve">基金管理人的董事会、董事保证本报告所载资料不存在虚假记载、误导性陈述或重大遗漏，并对其内容的真实性、准确性和完整性承担个别及连带的法律责任。本年度报告已经三分之二以上独立董事签字同意，并由董事长签发。 </w:t>
      </w:r>
    </w:p>
    <w:p>
      <w:pPr>
        <w:spacing w:before="29" w:line="288" w:lineRule="auto"/>
        <w:ind w:firstLine="480" w:firstLineChars="200"/>
        <w:rPr>
          <w:color w:val="000000"/>
          <w:sz w:val="24"/>
        </w:rPr>
      </w:pPr>
      <w:r>
        <w:rPr>
          <w:color w:val="000000"/>
          <w:sz w:val="24"/>
        </w:rPr>
        <w:t xml:space="preserve">基金托管人中国工商银行股份有限公司根据本基金合同规定，于2021年3月29日复核了本报告中的财务指标、净值表现、利润分配情况、财务会计报告、投资组合报告等内容，保证复核内容不存在虚假记载、误导性陈述或者重大遗漏。 </w:t>
      </w:r>
    </w:p>
    <w:p>
      <w:pPr>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480" w:firstLineChars="200"/>
        <w:rPr>
          <w:color w:val="000000"/>
          <w:sz w:val="24"/>
        </w:rPr>
      </w:pPr>
      <w:r>
        <w:rPr>
          <w:color w:val="000000"/>
          <w:sz w:val="24"/>
        </w:rPr>
        <w:t>基金的过往业绩并不代表其未来表现。投资有风险，投资者在作出投资决策前应仔细阅读本基金的招募说明书及其更新。</w:t>
      </w:r>
    </w:p>
    <w:p>
      <w:pPr>
        <w:spacing w:before="29" w:line="288" w:lineRule="auto"/>
        <w:ind w:firstLine="480" w:firstLineChars="200"/>
        <w:rPr>
          <w:color w:val="000000"/>
          <w:sz w:val="24"/>
        </w:rPr>
      </w:pPr>
      <w:r>
        <w:rPr>
          <w:color w:val="000000"/>
          <w:sz w:val="24"/>
        </w:rPr>
        <w:t>本报告期自2020年1月1日起至12月31日止。</w:t>
      </w:r>
    </w:p>
    <w:p>
      <w:pPr>
        <w:pStyle w:val="3"/>
        <w:spacing w:before="29" w:after="0" w:line="288" w:lineRule="auto"/>
        <w:rPr>
          <w:rFonts w:ascii="Times New Roman" w:hAnsi="Times New Roman"/>
          <w:kern w:val="0"/>
          <w:szCs w:val="24"/>
        </w:rPr>
      </w:pPr>
      <w:r>
        <w:rPr>
          <w:rFonts w:asciiTheme="minorEastAsia" w:hAnsiTheme="minorEastAsia" w:eastAsiaTheme="minorEastAsia"/>
          <w:szCs w:val="21"/>
        </w:rPr>
        <w:br w:type="page"/>
      </w:r>
      <w:bookmarkStart w:id="7" w:name="_Toc245193808"/>
      <w:bookmarkStart w:id="8" w:name="_Toc67589742"/>
      <w:r>
        <w:rPr>
          <w:rFonts w:ascii="Times New Roman" w:hAnsi="Times New Roman"/>
          <w:kern w:val="0"/>
          <w:szCs w:val="24"/>
        </w:rPr>
        <w:t>1.2</w:t>
      </w:r>
      <w:r>
        <w:rPr>
          <w:rFonts w:hint="eastAsia" w:ascii="Times New Roman" w:hAnsi="Times New Roman"/>
          <w:kern w:val="0"/>
          <w:szCs w:val="24"/>
        </w:rPr>
        <w:t>目录</w:t>
      </w:r>
      <w:bookmarkEnd w:id="7"/>
      <w:bookmarkEnd w:id="8"/>
    </w:p>
    <w:p>
      <w:pPr>
        <w:spacing w:line="360" w:lineRule="auto"/>
        <w:ind w:firstLine="105" w:firstLineChars="50"/>
        <w:rPr>
          <w:rFonts w:ascii="宋体" w:hAnsi="宋体"/>
          <w:b/>
          <w:color w:val="000000"/>
          <w:szCs w:val="21"/>
        </w:rPr>
      </w:pPr>
    </w:p>
    <w:p>
      <w:pPr>
        <w:pStyle w:val="17"/>
        <w:rPr>
          <w:rFonts w:asciiTheme="minorHAnsi" w:hAnsiTheme="minorHAnsi" w:eastAsiaTheme="minorEastAsia" w:cstheme="minorBidi"/>
          <w:szCs w:val="22"/>
        </w:rPr>
      </w:pPr>
      <w:r>
        <w:rPr>
          <w:color w:val="000000"/>
          <w:kern w:val="0"/>
          <w:sz w:val="24"/>
        </w:rPr>
        <w:fldChar w:fldCharType="begin"/>
      </w:r>
      <w:r>
        <w:rPr>
          <w:color w:val="000000"/>
          <w:kern w:val="0"/>
          <w:sz w:val="24"/>
        </w:rPr>
        <w:instrText xml:space="preserve"> TOC \o "1-3" \h \z \u </w:instrText>
      </w:r>
      <w:r>
        <w:rPr>
          <w:color w:val="000000"/>
          <w:kern w:val="0"/>
          <w:sz w:val="24"/>
        </w:rPr>
        <w:fldChar w:fldCharType="separate"/>
      </w:r>
      <w:r>
        <w:fldChar w:fldCharType="begin"/>
      </w:r>
      <w:r>
        <w:instrText xml:space="preserve"> HYPERLINK \l "_Toc67589740" </w:instrText>
      </w:r>
      <w:r>
        <w:fldChar w:fldCharType="separate"/>
      </w:r>
      <w:r>
        <w:rPr>
          <w:rStyle w:val="31"/>
          <w:b/>
          <w:bCs/>
        </w:rPr>
        <w:t xml:space="preserve">§1  </w:t>
      </w:r>
      <w:r>
        <w:rPr>
          <w:rStyle w:val="31"/>
          <w:rFonts w:hint="eastAsia"/>
          <w:b/>
          <w:bCs/>
        </w:rPr>
        <w:t>重要提示及目录</w:t>
      </w:r>
      <w:r>
        <w:tab/>
      </w:r>
      <w:r>
        <w:fldChar w:fldCharType="begin"/>
      </w:r>
      <w:r>
        <w:instrText xml:space="preserve"> PAGEREF _Toc67589740 \h </w:instrText>
      </w:r>
      <w:r>
        <w:fldChar w:fldCharType="separate"/>
      </w:r>
      <w:r>
        <w:t>2</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"_Toc67589741" </w:instrText>
      </w:r>
      <w:r>
        <w:fldChar w:fldCharType="separate"/>
      </w:r>
      <w:r>
        <w:rPr>
          <w:rStyle w:val="31"/>
        </w:rPr>
        <w:t xml:space="preserve">1.1 </w:t>
      </w:r>
      <w:r>
        <w:rPr>
          <w:rStyle w:val="31"/>
          <w:rFonts w:hint="eastAsia"/>
        </w:rPr>
        <w:t>重要提示</w:t>
      </w:r>
      <w:r>
        <w:tab/>
      </w:r>
      <w:r>
        <w:fldChar w:fldCharType="begin"/>
      </w:r>
      <w:r>
        <w:instrText xml:space="preserve"> PAGEREF _Toc67589741 \h </w:instrText>
      </w:r>
      <w:r>
        <w:fldChar w:fldCharType="separate"/>
      </w:r>
      <w:r>
        <w:t>2</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"_Toc67589742" </w:instrText>
      </w:r>
      <w:r>
        <w:fldChar w:fldCharType="separate"/>
      </w:r>
      <w:r>
        <w:rPr>
          <w:rStyle w:val="31"/>
        </w:rPr>
        <w:t>1.2</w:t>
      </w:r>
      <w:r>
        <w:rPr>
          <w:rStyle w:val="31"/>
          <w:rFonts w:hint="eastAsia"/>
        </w:rPr>
        <w:t>目录</w:t>
      </w:r>
      <w:r>
        <w:tab/>
      </w:r>
      <w:r>
        <w:fldChar w:fldCharType="begin"/>
      </w:r>
      <w:r>
        <w:instrText xml:space="preserve"> PAGEREF _Toc67589742 \h </w:instrText>
      </w:r>
      <w:r>
        <w:fldChar w:fldCharType="separate"/>
      </w:r>
      <w:r>
        <w:t>3</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"_Toc67589743" </w:instrText>
      </w:r>
      <w:r>
        <w:fldChar w:fldCharType="separate"/>
      </w:r>
      <w:r>
        <w:rPr>
          <w:rStyle w:val="31"/>
          <w:b/>
          <w:bCs/>
        </w:rPr>
        <w:t xml:space="preserve">§2  </w:t>
      </w:r>
      <w:r>
        <w:rPr>
          <w:rStyle w:val="31"/>
          <w:rFonts w:hint="eastAsia"/>
          <w:b/>
          <w:bCs/>
        </w:rPr>
        <w:t>基金简介</w:t>
      </w:r>
      <w:r>
        <w:tab/>
      </w:r>
      <w:r>
        <w:fldChar w:fldCharType="begin"/>
      </w:r>
      <w:r>
        <w:instrText xml:space="preserve"> PAGEREF _Toc67589743 \h </w:instrText>
      </w:r>
      <w:r>
        <w:fldChar w:fldCharType="separate"/>
      </w:r>
      <w:r>
        <w:t>5</w:t>
      </w:r>
      <w:r>
        <w:fldChar w:fldCharType="end"/>
      </w:r>
      <w:r>
        <w:fldChar w:fldCharType="end"/>
      </w:r>
    </w:p>
    <w:p>
      <w:pPr>
        <w:pStyle w:val="21"/>
        <w:tabs>
          <w:tab w:val="left" w:pos="843"/>
        </w:tabs>
        <w:rPr>
          <w:rFonts w:asciiTheme="minorHAnsi" w:hAnsiTheme="minorHAnsi" w:eastAsiaTheme="minorEastAsia" w:cstheme="minorBidi"/>
          <w:kern w:val="2"/>
          <w:szCs w:val="22"/>
        </w:rPr>
      </w:pPr>
      <w:r>
        <w:fldChar w:fldCharType="begin"/>
      </w:r>
      <w:r>
        <w:instrText xml:space="preserve"> HYPERLINK \l "_Toc67589744" </w:instrText>
      </w:r>
      <w:r>
        <w:fldChar w:fldCharType="separate"/>
      </w:r>
      <w:r>
        <w:rPr>
          <w:rStyle w:val="31"/>
        </w:rPr>
        <w:t>2.1</w:t>
      </w:r>
      <w:r>
        <w:rPr>
          <w:rFonts w:asciiTheme="minorHAnsi" w:hAnsiTheme="minorHAnsi" w:eastAsiaTheme="minorEastAsia" w:cstheme="minorBidi"/>
          <w:kern w:val="2"/>
          <w:szCs w:val="22"/>
        </w:rPr>
        <w:tab/>
      </w:r>
      <w:r>
        <w:rPr>
          <w:rStyle w:val="31"/>
          <w:rFonts w:hint="eastAsia"/>
        </w:rPr>
        <w:t>基金基本情况</w:t>
      </w:r>
      <w:r>
        <w:tab/>
      </w:r>
      <w:r>
        <w:fldChar w:fldCharType="begin"/>
      </w:r>
      <w:r>
        <w:instrText xml:space="preserve"> PAGEREF _Toc67589744 \h </w:instrText>
      </w:r>
      <w:r>
        <w:fldChar w:fldCharType="separate"/>
      </w:r>
      <w:r>
        <w:t>5</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"_Toc67589745" </w:instrText>
      </w:r>
      <w:r>
        <w:fldChar w:fldCharType="separate"/>
      </w:r>
      <w:r>
        <w:rPr>
          <w:rStyle w:val="31"/>
        </w:rPr>
        <w:t xml:space="preserve">2.2 </w:t>
      </w:r>
      <w:r>
        <w:rPr>
          <w:rStyle w:val="31"/>
          <w:rFonts w:hint="eastAsia"/>
        </w:rPr>
        <w:t>基金产品说明</w:t>
      </w:r>
      <w:r>
        <w:tab/>
      </w:r>
      <w:r>
        <w:fldChar w:fldCharType="begin"/>
      </w:r>
      <w:r>
        <w:instrText xml:space="preserve"> PAGEREF _Toc67589745 \h </w:instrText>
      </w:r>
      <w:r>
        <w:fldChar w:fldCharType="separate"/>
      </w:r>
      <w:r>
        <w:t>5</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"_Toc67589746" </w:instrText>
      </w:r>
      <w:r>
        <w:fldChar w:fldCharType="separate"/>
      </w:r>
      <w:r>
        <w:rPr>
          <w:rStyle w:val="31"/>
        </w:rPr>
        <w:t xml:space="preserve">2.3 </w:t>
      </w:r>
      <w:r>
        <w:rPr>
          <w:rStyle w:val="31"/>
          <w:rFonts w:hint="eastAsia"/>
        </w:rPr>
        <w:t>基金管理人和基金托管人</w:t>
      </w:r>
      <w:r>
        <w:tab/>
      </w:r>
      <w:r>
        <w:fldChar w:fldCharType="begin"/>
      </w:r>
      <w:r>
        <w:instrText xml:space="preserve"> PAGEREF _Toc67589746 \h </w:instrText>
      </w:r>
      <w:r>
        <w:fldChar w:fldCharType="separate"/>
      </w:r>
      <w:r>
        <w:t>6</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"_Toc67589747" </w:instrText>
      </w:r>
      <w:r>
        <w:fldChar w:fldCharType="separate"/>
      </w:r>
      <w:r>
        <w:rPr>
          <w:rStyle w:val="31"/>
        </w:rPr>
        <w:t xml:space="preserve">2.4 </w:t>
      </w:r>
      <w:r>
        <w:rPr>
          <w:rStyle w:val="31"/>
          <w:rFonts w:hint="eastAsia"/>
        </w:rPr>
        <w:t>信息披露方式</w:t>
      </w:r>
      <w:r>
        <w:tab/>
      </w:r>
      <w:r>
        <w:fldChar w:fldCharType="begin"/>
      </w:r>
      <w:r>
        <w:instrText xml:space="preserve"> PAGEREF _Toc67589747 \h </w:instrText>
      </w:r>
      <w:r>
        <w:fldChar w:fldCharType="separate"/>
      </w:r>
      <w:r>
        <w:t>6</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"_Toc67589748" </w:instrText>
      </w:r>
      <w:r>
        <w:fldChar w:fldCharType="separate"/>
      </w:r>
      <w:r>
        <w:rPr>
          <w:rStyle w:val="31"/>
        </w:rPr>
        <w:t xml:space="preserve">2.5 </w:t>
      </w:r>
      <w:r>
        <w:rPr>
          <w:rStyle w:val="31"/>
          <w:rFonts w:hint="eastAsia"/>
        </w:rPr>
        <w:t>其他相关资料</w:t>
      </w:r>
      <w:r>
        <w:tab/>
      </w:r>
      <w:r>
        <w:fldChar w:fldCharType="begin"/>
      </w:r>
      <w:r>
        <w:instrText xml:space="preserve"> PAGEREF _Toc67589748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"_Toc67589749" </w:instrText>
      </w:r>
      <w:r>
        <w:fldChar w:fldCharType="separate"/>
      </w:r>
      <w:r>
        <w:rPr>
          <w:rStyle w:val="31"/>
          <w:b/>
          <w:bCs/>
        </w:rPr>
        <w:t xml:space="preserve">§3 </w:t>
      </w:r>
      <w:r>
        <w:rPr>
          <w:rStyle w:val="31"/>
          <w:rFonts w:hint="eastAsia"/>
          <w:b/>
          <w:bCs/>
        </w:rPr>
        <w:t>主要财务指标、基金净值表现及利润分配情况</w:t>
      </w:r>
      <w:r>
        <w:tab/>
      </w:r>
      <w:r>
        <w:fldChar w:fldCharType="begin"/>
      </w:r>
      <w:r>
        <w:instrText xml:space="preserve"> PAGEREF _Toc67589749 \h </w:instrText>
      </w:r>
      <w:r>
        <w:fldChar w:fldCharType="separate"/>
      </w:r>
      <w:r>
        <w:t>6</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"_Toc67589750" </w:instrText>
      </w:r>
      <w:r>
        <w:fldChar w:fldCharType="separate"/>
      </w:r>
      <w:r>
        <w:rPr>
          <w:rStyle w:val="31"/>
        </w:rPr>
        <w:t xml:space="preserve">3.1 </w:t>
      </w:r>
      <w:r>
        <w:rPr>
          <w:rStyle w:val="31"/>
          <w:rFonts w:hint="eastAsia"/>
        </w:rPr>
        <w:t>主要会计数据和财务指标</w:t>
      </w:r>
      <w:r>
        <w:tab/>
      </w:r>
      <w:r>
        <w:fldChar w:fldCharType="begin"/>
      </w:r>
      <w:r>
        <w:instrText xml:space="preserve"> PAGEREF _Toc67589750 \h </w:instrText>
      </w:r>
      <w:r>
        <w:fldChar w:fldCharType="separate"/>
      </w:r>
      <w:r>
        <w:t>7</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"_Toc67589751" </w:instrText>
      </w:r>
      <w:r>
        <w:fldChar w:fldCharType="separate"/>
      </w:r>
      <w:r>
        <w:rPr>
          <w:rStyle w:val="31"/>
        </w:rPr>
        <w:t xml:space="preserve">3.2 </w:t>
      </w:r>
      <w:r>
        <w:rPr>
          <w:rStyle w:val="31"/>
          <w:rFonts w:hint="eastAsia"/>
        </w:rPr>
        <w:t>基金净值表现</w:t>
      </w:r>
      <w:r>
        <w:tab/>
      </w:r>
      <w:r>
        <w:fldChar w:fldCharType="begin"/>
      </w:r>
      <w:r>
        <w:instrText xml:space="preserve"> PAGEREF _Toc67589751 \h </w:instrText>
      </w:r>
      <w:r>
        <w:fldChar w:fldCharType="separate"/>
      </w:r>
      <w:r>
        <w:t>7</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"_Toc67589752" </w:instrText>
      </w:r>
      <w:r>
        <w:fldChar w:fldCharType="separate"/>
      </w:r>
      <w:r>
        <w:rPr>
          <w:rStyle w:val="31"/>
        </w:rPr>
        <w:t>3.3</w:t>
      </w:r>
      <w:r>
        <w:rPr>
          <w:rStyle w:val="31"/>
          <w:rFonts w:hint="eastAsia"/>
        </w:rPr>
        <w:t>过去三年基金的利润分配情况</w:t>
      </w:r>
      <w:r>
        <w:tab/>
      </w:r>
      <w:r>
        <w:fldChar w:fldCharType="begin"/>
      </w:r>
      <w:r>
        <w:instrText xml:space="preserve"> PAGEREF _Toc67589752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"_Toc67589753" </w:instrText>
      </w:r>
      <w:r>
        <w:fldChar w:fldCharType="separate"/>
      </w:r>
      <w:r>
        <w:rPr>
          <w:rStyle w:val="31"/>
          <w:b/>
          <w:bCs/>
        </w:rPr>
        <w:t xml:space="preserve">§4  </w:t>
      </w:r>
      <w:r>
        <w:rPr>
          <w:rStyle w:val="31"/>
          <w:rFonts w:hint="eastAsia"/>
          <w:b/>
          <w:bCs/>
        </w:rPr>
        <w:t>管理人报告</w:t>
      </w:r>
      <w:r>
        <w:tab/>
      </w:r>
      <w:r>
        <w:fldChar w:fldCharType="begin"/>
      </w:r>
      <w:r>
        <w:instrText xml:space="preserve"> PAGEREF _Toc67589753 \h </w:instrText>
      </w:r>
      <w:r>
        <w:fldChar w:fldCharType="separate"/>
      </w:r>
      <w:r>
        <w:t>9</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"_Toc67589754" </w:instrText>
      </w:r>
      <w:r>
        <w:fldChar w:fldCharType="separate"/>
      </w:r>
      <w:r>
        <w:rPr>
          <w:rStyle w:val="31"/>
        </w:rPr>
        <w:t xml:space="preserve">4.1 </w:t>
      </w:r>
      <w:r>
        <w:rPr>
          <w:rStyle w:val="31"/>
          <w:rFonts w:hint="eastAsia"/>
        </w:rPr>
        <w:t>基金管理人及基金经理情况</w:t>
      </w:r>
      <w:r>
        <w:tab/>
      </w:r>
      <w:r>
        <w:fldChar w:fldCharType="begin"/>
      </w:r>
      <w:r>
        <w:instrText xml:space="preserve"> PAGEREF _Toc67589754 \h </w:instrText>
      </w:r>
      <w:r>
        <w:fldChar w:fldCharType="separate"/>
      </w:r>
      <w:r>
        <w:t>9</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"_Toc67589755" </w:instrText>
      </w:r>
      <w:r>
        <w:fldChar w:fldCharType="separate"/>
      </w:r>
      <w:r>
        <w:rPr>
          <w:rStyle w:val="31"/>
        </w:rPr>
        <w:t xml:space="preserve">4.2 </w:t>
      </w:r>
      <w:r>
        <w:rPr>
          <w:rStyle w:val="31"/>
          <w:rFonts w:hint="eastAsia"/>
        </w:rPr>
        <w:t>管理人对报告期内本基金运作遵规守信情况的说明</w:t>
      </w:r>
      <w:r>
        <w:tab/>
      </w:r>
      <w:r>
        <w:fldChar w:fldCharType="begin"/>
      </w:r>
      <w:r>
        <w:instrText xml:space="preserve"> PAGEREF _Toc67589755 \h </w:instrText>
      </w:r>
      <w:r>
        <w:fldChar w:fldCharType="separate"/>
      </w:r>
      <w:r>
        <w:t>10</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"_Toc67589756" </w:instrText>
      </w:r>
      <w:r>
        <w:fldChar w:fldCharType="separate"/>
      </w:r>
      <w:r>
        <w:rPr>
          <w:rStyle w:val="31"/>
        </w:rPr>
        <w:t xml:space="preserve">4.3 </w:t>
      </w:r>
      <w:r>
        <w:rPr>
          <w:rStyle w:val="31"/>
          <w:rFonts w:hint="eastAsia"/>
        </w:rPr>
        <w:t>管理人对报告期内公平交易情况的专项说明</w:t>
      </w:r>
      <w:r>
        <w:tab/>
      </w:r>
      <w:r>
        <w:fldChar w:fldCharType="begin"/>
      </w:r>
      <w:r>
        <w:instrText xml:space="preserve"> PAGEREF _Toc67589756 \h </w:instrText>
      </w:r>
      <w:r>
        <w:fldChar w:fldCharType="separate"/>
      </w:r>
      <w:r>
        <w:t>11</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"_Toc67589757" </w:instrText>
      </w:r>
      <w:r>
        <w:fldChar w:fldCharType="separate"/>
      </w:r>
      <w:r>
        <w:rPr>
          <w:rStyle w:val="31"/>
        </w:rPr>
        <w:t xml:space="preserve">4.4 </w:t>
      </w:r>
      <w:r>
        <w:rPr>
          <w:rStyle w:val="31"/>
          <w:rFonts w:hint="eastAsia"/>
        </w:rPr>
        <w:t>管理人对报告期内基金的投资策略和业绩表现的说明</w:t>
      </w:r>
      <w:r>
        <w:tab/>
      </w:r>
      <w:r>
        <w:fldChar w:fldCharType="begin"/>
      </w:r>
      <w:r>
        <w:instrText xml:space="preserve"> PAGEREF _Toc67589757 \h </w:instrText>
      </w:r>
      <w:r>
        <w:fldChar w:fldCharType="separate"/>
      </w:r>
      <w:r>
        <w:t>12</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"_Toc67589758" </w:instrText>
      </w:r>
      <w:r>
        <w:fldChar w:fldCharType="separate"/>
      </w:r>
      <w:r>
        <w:rPr>
          <w:rStyle w:val="31"/>
        </w:rPr>
        <w:t xml:space="preserve">4.5 </w:t>
      </w:r>
      <w:r>
        <w:rPr>
          <w:rStyle w:val="31"/>
          <w:rFonts w:hint="eastAsia"/>
        </w:rPr>
        <w:t>管理人对宏观经济、证券市场及行业走势的简要展望</w:t>
      </w:r>
      <w:r>
        <w:tab/>
      </w:r>
      <w:r>
        <w:fldChar w:fldCharType="begin"/>
      </w:r>
      <w:r>
        <w:instrText xml:space="preserve"> PAGEREF _Toc67589758 \h </w:instrText>
      </w:r>
      <w:r>
        <w:fldChar w:fldCharType="separate"/>
      </w:r>
      <w:r>
        <w:t>12</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"_Toc67589759" </w:instrText>
      </w:r>
      <w:r>
        <w:fldChar w:fldCharType="separate"/>
      </w:r>
      <w:r>
        <w:rPr>
          <w:rStyle w:val="31"/>
        </w:rPr>
        <w:t xml:space="preserve">4.6 </w:t>
      </w:r>
      <w:r>
        <w:rPr>
          <w:rStyle w:val="31"/>
          <w:rFonts w:hint="eastAsia"/>
        </w:rPr>
        <w:t>管理人内部有关本基金的监察稽核工作情况</w:t>
      </w:r>
      <w:r>
        <w:tab/>
      </w:r>
      <w:r>
        <w:fldChar w:fldCharType="begin"/>
      </w:r>
      <w:r>
        <w:instrText xml:space="preserve"> PAGEREF _Toc67589759 \h </w:instrText>
      </w:r>
      <w:r>
        <w:fldChar w:fldCharType="separate"/>
      </w:r>
      <w:r>
        <w:t>13</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"_Toc67589760" </w:instrText>
      </w:r>
      <w:r>
        <w:fldChar w:fldCharType="separate"/>
      </w:r>
      <w:r>
        <w:rPr>
          <w:rStyle w:val="31"/>
        </w:rPr>
        <w:t xml:space="preserve">4.7 </w:t>
      </w:r>
      <w:r>
        <w:rPr>
          <w:rStyle w:val="31"/>
          <w:rFonts w:hint="eastAsia"/>
        </w:rPr>
        <w:t>管理人对报告期内基金估值程序等事项的说明</w:t>
      </w:r>
      <w:r>
        <w:tab/>
      </w:r>
      <w:r>
        <w:fldChar w:fldCharType="begin"/>
      </w:r>
      <w:r>
        <w:instrText xml:space="preserve"> PAGEREF _Toc67589760 \h </w:instrText>
      </w:r>
      <w:r>
        <w:fldChar w:fldCharType="separate"/>
      </w:r>
      <w:r>
        <w:t>13</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"_Toc67589761" </w:instrText>
      </w:r>
      <w:r>
        <w:fldChar w:fldCharType="separate"/>
      </w:r>
      <w:r>
        <w:rPr>
          <w:rStyle w:val="31"/>
        </w:rPr>
        <w:t>4.8</w:t>
      </w:r>
      <w:r>
        <w:rPr>
          <w:rStyle w:val="31"/>
          <w:rFonts w:hint="eastAsia"/>
        </w:rPr>
        <w:t>管理人对报告期内基金利润分配情况的说明</w:t>
      </w:r>
      <w:r>
        <w:tab/>
      </w:r>
      <w:r>
        <w:fldChar w:fldCharType="begin"/>
      </w:r>
      <w:r>
        <w:instrText xml:space="preserve"> PAGEREF _Toc67589761 \h </w:instrText>
      </w:r>
      <w:r>
        <w:fldChar w:fldCharType="separate"/>
      </w:r>
      <w:r>
        <w:t>14</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"_Toc67589762" </w:instrText>
      </w:r>
      <w:r>
        <w:fldChar w:fldCharType="separate"/>
      </w:r>
      <w:r>
        <w:rPr>
          <w:rStyle w:val="31"/>
        </w:rPr>
        <w:t>4.9</w:t>
      </w:r>
      <w:r>
        <w:rPr>
          <w:rStyle w:val="31"/>
          <w:rFonts w:hint="eastAsia"/>
        </w:rPr>
        <w:t>报告期内管理人对本基金持有人数或基金资产净值预警情形的说明</w:t>
      </w:r>
      <w:r>
        <w:tab/>
      </w:r>
      <w:r>
        <w:fldChar w:fldCharType="begin"/>
      </w:r>
      <w:r>
        <w:instrText xml:space="preserve"> PAGEREF _Toc67589762 \h </w:instrText>
      </w:r>
      <w:r>
        <w:fldChar w:fldCharType="separate"/>
      </w:r>
      <w:r>
        <w:t>14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"_Toc67589763" </w:instrText>
      </w:r>
      <w:r>
        <w:fldChar w:fldCharType="separate"/>
      </w:r>
      <w:r>
        <w:rPr>
          <w:rStyle w:val="31"/>
          <w:b/>
          <w:bCs/>
        </w:rPr>
        <w:t xml:space="preserve">§5  </w:t>
      </w:r>
      <w:r>
        <w:rPr>
          <w:rStyle w:val="31"/>
          <w:rFonts w:hint="eastAsia"/>
          <w:b/>
          <w:bCs/>
        </w:rPr>
        <w:t>托管人报告</w:t>
      </w:r>
      <w:r>
        <w:tab/>
      </w:r>
      <w:r>
        <w:fldChar w:fldCharType="begin"/>
      </w:r>
      <w:r>
        <w:instrText xml:space="preserve"> PAGEREF _Toc67589763 \h </w:instrText>
      </w:r>
      <w:r>
        <w:fldChar w:fldCharType="separate"/>
      </w:r>
      <w:r>
        <w:t>14</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"_Toc67589764" </w:instrText>
      </w:r>
      <w:r>
        <w:fldChar w:fldCharType="separate"/>
      </w:r>
      <w:r>
        <w:rPr>
          <w:rStyle w:val="31"/>
        </w:rPr>
        <w:t xml:space="preserve">5.1 </w:t>
      </w:r>
      <w:r>
        <w:rPr>
          <w:rStyle w:val="31"/>
          <w:rFonts w:hint="eastAsia"/>
        </w:rPr>
        <w:t>报告期内本基金托管人遵规守信情况声明</w:t>
      </w:r>
      <w:r>
        <w:tab/>
      </w:r>
      <w:r>
        <w:fldChar w:fldCharType="begin"/>
      </w:r>
      <w:r>
        <w:instrText xml:space="preserve"> PAGEREF _Toc67589764 \h </w:instrText>
      </w:r>
      <w:r>
        <w:fldChar w:fldCharType="separate"/>
      </w:r>
      <w:r>
        <w:t>14</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"_Toc67589765" </w:instrText>
      </w:r>
      <w:r>
        <w:fldChar w:fldCharType="separate"/>
      </w:r>
      <w:r>
        <w:rPr>
          <w:rStyle w:val="31"/>
        </w:rPr>
        <w:t xml:space="preserve">5.2 </w:t>
      </w:r>
      <w:r>
        <w:rPr>
          <w:rStyle w:val="31"/>
          <w:rFonts w:hint="eastAsia"/>
        </w:rPr>
        <w:t>托管人对报告期内本基金投资运作遵规守信、净值计算、利润分配等情况的说明</w:t>
      </w:r>
      <w:r>
        <w:tab/>
      </w:r>
      <w:r>
        <w:fldChar w:fldCharType="begin"/>
      </w:r>
      <w:r>
        <w:instrText xml:space="preserve"> PAGEREF _Toc67589765 \h </w:instrText>
      </w:r>
      <w:r>
        <w:fldChar w:fldCharType="separate"/>
      </w:r>
      <w:r>
        <w:t>14</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"_Toc67589766" </w:instrText>
      </w:r>
      <w:r>
        <w:fldChar w:fldCharType="separate"/>
      </w:r>
      <w:r>
        <w:rPr>
          <w:rStyle w:val="31"/>
        </w:rPr>
        <w:t xml:space="preserve">5.3 </w:t>
      </w:r>
      <w:r>
        <w:rPr>
          <w:rStyle w:val="31"/>
          <w:rFonts w:hint="eastAsia"/>
        </w:rPr>
        <w:t>托管人对本年度报告中财务信息等内容的真实、准确和完整发表意见</w:t>
      </w:r>
      <w:r>
        <w:tab/>
      </w:r>
      <w:r>
        <w:fldChar w:fldCharType="begin"/>
      </w:r>
      <w:r>
        <w:instrText xml:space="preserve"> PAGEREF _Toc67589766 \h </w:instrText>
      </w:r>
      <w:r>
        <w:fldChar w:fldCharType="separate"/>
      </w:r>
      <w:r>
        <w:t>14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"_Toc67589767" </w:instrText>
      </w:r>
      <w:r>
        <w:fldChar w:fldCharType="separate"/>
      </w:r>
      <w:r>
        <w:rPr>
          <w:rStyle w:val="31"/>
          <w:b/>
          <w:bCs/>
        </w:rPr>
        <w:t xml:space="preserve">§6  </w:t>
      </w:r>
      <w:r>
        <w:rPr>
          <w:rStyle w:val="31"/>
          <w:rFonts w:hint="eastAsia"/>
          <w:b/>
          <w:bCs/>
        </w:rPr>
        <w:t>审计报告</w:t>
      </w:r>
      <w:r>
        <w:tab/>
      </w:r>
      <w:r>
        <w:fldChar w:fldCharType="begin"/>
      </w:r>
      <w:r>
        <w:instrText xml:space="preserve"> PAGEREF _Toc67589767 \h </w:instrText>
      </w:r>
      <w:r>
        <w:fldChar w:fldCharType="separate"/>
      </w:r>
      <w:r>
        <w:t>15</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"_Toc67589768" </w:instrText>
      </w:r>
      <w:r>
        <w:fldChar w:fldCharType="separate"/>
      </w:r>
      <w:r>
        <w:rPr>
          <w:rStyle w:val="31"/>
        </w:rPr>
        <w:t xml:space="preserve">6.1 </w:t>
      </w:r>
      <w:r>
        <w:rPr>
          <w:rStyle w:val="31"/>
          <w:rFonts w:hint="eastAsia"/>
        </w:rPr>
        <w:t>审计意见</w:t>
      </w:r>
      <w:r>
        <w:tab/>
      </w:r>
      <w:r>
        <w:fldChar w:fldCharType="begin"/>
      </w:r>
      <w:r>
        <w:instrText xml:space="preserve"> PAGEREF _Toc67589768 \h </w:instrText>
      </w:r>
      <w:r>
        <w:fldChar w:fldCharType="separate"/>
      </w:r>
      <w:r>
        <w:t>15</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"_Toc67589769" </w:instrText>
      </w:r>
      <w:r>
        <w:fldChar w:fldCharType="separate"/>
      </w:r>
      <w:r>
        <w:rPr>
          <w:rStyle w:val="31"/>
        </w:rPr>
        <w:t xml:space="preserve">6.2 </w:t>
      </w:r>
      <w:r>
        <w:rPr>
          <w:rStyle w:val="31"/>
          <w:rFonts w:hint="eastAsia"/>
        </w:rPr>
        <w:t>形成审计意见的基础</w:t>
      </w:r>
      <w:r>
        <w:tab/>
      </w:r>
      <w:r>
        <w:fldChar w:fldCharType="begin"/>
      </w:r>
      <w:r>
        <w:instrText xml:space="preserve"> PAGEREF _Toc67589769 \h </w:instrText>
      </w:r>
      <w:r>
        <w:fldChar w:fldCharType="separate"/>
      </w:r>
      <w:r>
        <w:t>15</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"_Toc67589770" </w:instrText>
      </w:r>
      <w:r>
        <w:fldChar w:fldCharType="separate"/>
      </w:r>
      <w:r>
        <w:rPr>
          <w:rStyle w:val="31"/>
        </w:rPr>
        <w:t xml:space="preserve">6.3 </w:t>
      </w:r>
      <w:r>
        <w:rPr>
          <w:rStyle w:val="31"/>
          <w:rFonts w:hint="eastAsia"/>
        </w:rPr>
        <w:t>管理层和治理层对财务报表的责任</w:t>
      </w:r>
      <w:r>
        <w:tab/>
      </w:r>
      <w:r>
        <w:fldChar w:fldCharType="begin"/>
      </w:r>
      <w:r>
        <w:instrText xml:space="preserve"> PAGEREF _Toc67589770 \h </w:instrText>
      </w:r>
      <w:r>
        <w:fldChar w:fldCharType="separate"/>
      </w:r>
      <w:r>
        <w:t>15</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"_Toc67589771" </w:instrText>
      </w:r>
      <w:r>
        <w:fldChar w:fldCharType="separate"/>
      </w:r>
      <w:r>
        <w:rPr>
          <w:rStyle w:val="31"/>
        </w:rPr>
        <w:t xml:space="preserve">6.4 </w:t>
      </w:r>
      <w:r>
        <w:rPr>
          <w:rStyle w:val="31"/>
          <w:rFonts w:hint="eastAsia"/>
        </w:rPr>
        <w:t>注册会计师对财务报表审计的责任</w:t>
      </w:r>
      <w:r>
        <w:tab/>
      </w:r>
      <w:r>
        <w:fldChar w:fldCharType="begin"/>
      </w:r>
      <w:r>
        <w:instrText xml:space="preserve"> PAGEREF _Toc67589771 \h </w:instrText>
      </w:r>
      <w:r>
        <w:fldChar w:fldCharType="separate"/>
      </w:r>
      <w:r>
        <w:t>15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"_Toc67589772" </w:instrText>
      </w:r>
      <w:r>
        <w:fldChar w:fldCharType="separate"/>
      </w:r>
      <w:r>
        <w:rPr>
          <w:rStyle w:val="31"/>
          <w:b/>
          <w:bCs/>
        </w:rPr>
        <w:t>§7</w:t>
      </w:r>
      <w:r>
        <w:rPr>
          <w:rStyle w:val="31"/>
          <w:rFonts w:hint="eastAsia"/>
          <w:b/>
          <w:bCs/>
        </w:rPr>
        <w:t>年度财务报表</w:t>
      </w:r>
      <w:r>
        <w:tab/>
      </w:r>
      <w:r>
        <w:fldChar w:fldCharType="begin"/>
      </w:r>
      <w:r>
        <w:instrText xml:space="preserve"> PAGEREF _Toc67589772 \h </w:instrText>
      </w:r>
      <w:r>
        <w:fldChar w:fldCharType="separate"/>
      </w:r>
      <w:r>
        <w:t>16</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"_Toc67589773" </w:instrText>
      </w:r>
      <w:r>
        <w:fldChar w:fldCharType="separate"/>
      </w:r>
      <w:r>
        <w:rPr>
          <w:rStyle w:val="31"/>
        </w:rPr>
        <w:t xml:space="preserve">7.1 </w:t>
      </w:r>
      <w:r>
        <w:rPr>
          <w:rStyle w:val="31"/>
          <w:rFonts w:hint="eastAsia"/>
        </w:rPr>
        <w:t>资产负债表</w:t>
      </w:r>
      <w:r>
        <w:tab/>
      </w:r>
      <w:r>
        <w:fldChar w:fldCharType="begin"/>
      </w:r>
      <w:r>
        <w:instrText xml:space="preserve"> PAGEREF _Toc67589773 \h </w:instrText>
      </w:r>
      <w:r>
        <w:fldChar w:fldCharType="separate"/>
      </w:r>
      <w:r>
        <w:t>16</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"_Toc67589774" </w:instrText>
      </w:r>
      <w:r>
        <w:fldChar w:fldCharType="separate"/>
      </w:r>
      <w:r>
        <w:rPr>
          <w:rStyle w:val="31"/>
        </w:rPr>
        <w:t xml:space="preserve">7.2 </w:t>
      </w:r>
      <w:r>
        <w:rPr>
          <w:rStyle w:val="31"/>
          <w:rFonts w:hint="eastAsia"/>
        </w:rPr>
        <w:t>利润表</w:t>
      </w:r>
      <w:r>
        <w:tab/>
      </w:r>
      <w:r>
        <w:fldChar w:fldCharType="begin"/>
      </w:r>
      <w:r>
        <w:instrText xml:space="preserve"> PAGEREF _Toc67589774 \h </w:instrText>
      </w:r>
      <w:r>
        <w:fldChar w:fldCharType="separate"/>
      </w:r>
      <w:r>
        <w:t>18</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"_Toc67589775" </w:instrText>
      </w:r>
      <w:r>
        <w:fldChar w:fldCharType="separate"/>
      </w:r>
      <w:r>
        <w:rPr>
          <w:rStyle w:val="31"/>
        </w:rPr>
        <w:t xml:space="preserve">7.3 </w:t>
      </w:r>
      <w:r>
        <w:rPr>
          <w:rStyle w:val="31"/>
          <w:rFonts w:hint="eastAsia"/>
        </w:rPr>
        <w:t>所有者权益（基金净值）变动表</w:t>
      </w:r>
      <w:r>
        <w:tab/>
      </w:r>
      <w:r>
        <w:fldChar w:fldCharType="begin"/>
      </w:r>
      <w:r>
        <w:instrText xml:space="preserve"> PAGEREF _Toc67589775 \h </w:instrText>
      </w:r>
      <w:r>
        <w:fldChar w:fldCharType="separate"/>
      </w:r>
      <w:r>
        <w:t>19</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"_Toc67589776" </w:instrText>
      </w:r>
      <w:r>
        <w:fldChar w:fldCharType="separate"/>
      </w:r>
      <w:r>
        <w:rPr>
          <w:rStyle w:val="31"/>
        </w:rPr>
        <w:t xml:space="preserve">7.4 </w:t>
      </w:r>
      <w:r>
        <w:rPr>
          <w:rStyle w:val="31"/>
          <w:rFonts w:hint="eastAsia"/>
        </w:rPr>
        <w:t>报表附注</w:t>
      </w:r>
      <w:r>
        <w:tab/>
      </w:r>
      <w:r>
        <w:fldChar w:fldCharType="begin"/>
      </w:r>
      <w:r>
        <w:instrText xml:space="preserve"> PAGEREF _Toc67589776 \h </w:instrText>
      </w:r>
      <w:r>
        <w:fldChar w:fldCharType="separate"/>
      </w:r>
      <w:r>
        <w:t>20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"_Toc67589777" </w:instrText>
      </w:r>
      <w:r>
        <w:fldChar w:fldCharType="separate"/>
      </w:r>
      <w:r>
        <w:rPr>
          <w:rStyle w:val="31"/>
          <w:b/>
        </w:rPr>
        <w:t>§8</w:t>
      </w:r>
      <w:r>
        <w:rPr>
          <w:rStyle w:val="31"/>
          <w:rFonts w:hint="eastAsia"/>
          <w:b/>
        </w:rPr>
        <w:t>投资组合报告</w:t>
      </w:r>
      <w:r>
        <w:tab/>
      </w:r>
      <w:r>
        <w:fldChar w:fldCharType="begin"/>
      </w:r>
      <w:r>
        <w:instrText xml:space="preserve"> PAGEREF _Toc67589777 \h </w:instrText>
      </w:r>
      <w:r>
        <w:fldChar w:fldCharType="separate"/>
      </w:r>
      <w:r>
        <w:t>45</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"_Toc67589778" </w:instrText>
      </w:r>
      <w:r>
        <w:fldChar w:fldCharType="separate"/>
      </w:r>
      <w:r>
        <w:rPr>
          <w:rStyle w:val="31"/>
        </w:rPr>
        <w:t xml:space="preserve">8.1 </w:t>
      </w:r>
      <w:r>
        <w:rPr>
          <w:rStyle w:val="31"/>
          <w:rFonts w:hint="eastAsia"/>
        </w:rPr>
        <w:t>期末基金资产组合情况</w:t>
      </w:r>
      <w:r>
        <w:tab/>
      </w:r>
      <w:r>
        <w:fldChar w:fldCharType="begin"/>
      </w:r>
      <w:r>
        <w:instrText xml:space="preserve"> PAGEREF _Toc67589778 \h </w:instrText>
      </w:r>
      <w:r>
        <w:fldChar w:fldCharType="separate"/>
      </w:r>
      <w:r>
        <w:t>45</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"_Toc67589779" </w:instrText>
      </w:r>
      <w:r>
        <w:fldChar w:fldCharType="separate"/>
      </w:r>
      <w:r>
        <w:rPr>
          <w:rStyle w:val="31"/>
        </w:rPr>
        <w:t>8.2</w:t>
      </w:r>
      <w:r>
        <w:rPr>
          <w:rStyle w:val="31"/>
          <w:rFonts w:hint="eastAsia"/>
        </w:rPr>
        <w:t>期末按行业分类的股票投资组合</w:t>
      </w:r>
      <w:r>
        <w:tab/>
      </w:r>
      <w:r>
        <w:fldChar w:fldCharType="begin"/>
      </w:r>
      <w:r>
        <w:instrText xml:space="preserve"> PAGEREF _Toc67589779 \h </w:instrText>
      </w:r>
      <w:r>
        <w:fldChar w:fldCharType="separate"/>
      </w:r>
      <w:r>
        <w:t>46</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"_Toc67589780" </w:instrText>
      </w:r>
      <w:r>
        <w:fldChar w:fldCharType="separate"/>
      </w:r>
      <w:r>
        <w:rPr>
          <w:rStyle w:val="31"/>
        </w:rPr>
        <w:t>8.3</w:t>
      </w:r>
      <w:r>
        <w:rPr>
          <w:rStyle w:val="31"/>
          <w:rFonts w:hint="eastAsia"/>
        </w:rPr>
        <w:t>期末按公允价值占基金资产净值比例大小排序的所有股票投资明细</w:t>
      </w:r>
      <w:r>
        <w:tab/>
      </w:r>
      <w:r>
        <w:fldChar w:fldCharType="begin"/>
      </w:r>
      <w:r>
        <w:instrText xml:space="preserve"> PAGEREF _Toc67589780 \h </w:instrText>
      </w:r>
      <w:r>
        <w:fldChar w:fldCharType="separate"/>
      </w:r>
      <w:r>
        <w:t>47</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"_Toc67589781" </w:instrText>
      </w:r>
      <w:r>
        <w:fldChar w:fldCharType="separate"/>
      </w:r>
      <w:r>
        <w:rPr>
          <w:rStyle w:val="31"/>
        </w:rPr>
        <w:t>8.4</w:t>
      </w:r>
      <w:r>
        <w:rPr>
          <w:rStyle w:val="31"/>
          <w:rFonts w:hint="eastAsia"/>
        </w:rPr>
        <w:t>报告期内股票投资组合的重大变动</w:t>
      </w:r>
      <w:r>
        <w:tab/>
      </w:r>
      <w:r>
        <w:fldChar w:fldCharType="begin"/>
      </w:r>
      <w:r>
        <w:instrText xml:space="preserve"> PAGEREF _Toc67589781 \h </w:instrText>
      </w:r>
      <w:r>
        <w:fldChar w:fldCharType="separate"/>
      </w:r>
      <w:r>
        <w:t>48</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"_Toc67589782" </w:instrText>
      </w:r>
      <w:r>
        <w:fldChar w:fldCharType="separate"/>
      </w:r>
      <w:r>
        <w:rPr>
          <w:rStyle w:val="31"/>
        </w:rPr>
        <w:t>8.5</w:t>
      </w:r>
      <w:r>
        <w:rPr>
          <w:rStyle w:val="31"/>
          <w:rFonts w:hint="eastAsia"/>
        </w:rPr>
        <w:t>期末按债券品种分类的债券投资组合</w:t>
      </w:r>
      <w:r>
        <w:tab/>
      </w:r>
      <w:r>
        <w:fldChar w:fldCharType="begin"/>
      </w:r>
      <w:r>
        <w:instrText xml:space="preserve"> PAGEREF _Toc67589782 \h </w:instrText>
      </w:r>
      <w:r>
        <w:fldChar w:fldCharType="separate"/>
      </w:r>
      <w:r>
        <w:t>54</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"_Toc67589783" </w:instrText>
      </w:r>
      <w:r>
        <w:fldChar w:fldCharType="separate"/>
      </w:r>
      <w:r>
        <w:rPr>
          <w:rStyle w:val="31"/>
        </w:rPr>
        <w:t>8.6</w:t>
      </w:r>
      <w:r>
        <w:rPr>
          <w:rStyle w:val="31"/>
          <w:rFonts w:hint="eastAsia"/>
        </w:rPr>
        <w:t>期末按公允价值占基金资产净值比例大小排序的前五名债券投资明细</w:t>
      </w:r>
      <w:r>
        <w:tab/>
      </w:r>
      <w:r>
        <w:fldChar w:fldCharType="begin"/>
      </w:r>
      <w:r>
        <w:instrText xml:space="preserve"> PAGEREF _Toc67589783 \h </w:instrText>
      </w:r>
      <w:r>
        <w:fldChar w:fldCharType="separate"/>
      </w:r>
      <w:r>
        <w:t>54</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"_Toc67589784" </w:instrText>
      </w:r>
      <w:r>
        <w:fldChar w:fldCharType="separate"/>
      </w:r>
      <w:r>
        <w:rPr>
          <w:rStyle w:val="31"/>
        </w:rPr>
        <w:t>8.7</w:t>
      </w:r>
      <w:r>
        <w:rPr>
          <w:rStyle w:val="31"/>
          <w:rFonts w:hint="eastAsia"/>
        </w:rPr>
        <w:t>期末按公允价值占基金资产净值比例大小排序的所有资产支持证券投资明细</w:t>
      </w:r>
      <w:r>
        <w:tab/>
      </w:r>
      <w:r>
        <w:fldChar w:fldCharType="begin"/>
      </w:r>
      <w:r>
        <w:instrText xml:space="preserve"> PAGEREF _Toc67589784 \h </w:instrText>
      </w:r>
      <w:r>
        <w:fldChar w:fldCharType="separate"/>
      </w:r>
      <w:r>
        <w:t>54</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"_Toc67589785" </w:instrText>
      </w:r>
      <w:r>
        <w:fldChar w:fldCharType="separate"/>
      </w:r>
      <w:r>
        <w:rPr>
          <w:rStyle w:val="31"/>
        </w:rPr>
        <w:t>8.8</w:t>
      </w:r>
      <w:r>
        <w:rPr>
          <w:rStyle w:val="31"/>
          <w:rFonts w:hint="eastAsia"/>
        </w:rPr>
        <w:t>报告期末按公允价值占基金资产净值比例大小排序的前五名贵金属投资明细</w:t>
      </w:r>
      <w:r>
        <w:tab/>
      </w:r>
      <w:r>
        <w:fldChar w:fldCharType="begin"/>
      </w:r>
      <w:r>
        <w:instrText xml:space="preserve"> PAGEREF _Toc67589785 \h </w:instrText>
      </w:r>
      <w:r>
        <w:fldChar w:fldCharType="separate"/>
      </w:r>
      <w:r>
        <w:t>54</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"_Toc67589786" </w:instrText>
      </w:r>
      <w:r>
        <w:fldChar w:fldCharType="separate"/>
      </w:r>
      <w:r>
        <w:rPr>
          <w:rStyle w:val="31"/>
        </w:rPr>
        <w:t>8.9</w:t>
      </w:r>
      <w:r>
        <w:rPr>
          <w:rStyle w:val="31"/>
          <w:rFonts w:hint="eastAsia"/>
        </w:rPr>
        <w:t>期末按公允价值占基金资产净值比例大小排序的前五名权证投资明细</w:t>
      </w:r>
      <w:r>
        <w:tab/>
      </w:r>
      <w:r>
        <w:fldChar w:fldCharType="begin"/>
      </w:r>
      <w:r>
        <w:instrText xml:space="preserve"> PAGEREF _Toc67589786 \h </w:instrText>
      </w:r>
      <w:r>
        <w:fldChar w:fldCharType="separate"/>
      </w:r>
      <w:r>
        <w:t>54</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"_Toc67589787" </w:instrText>
      </w:r>
      <w:r>
        <w:fldChar w:fldCharType="separate"/>
      </w:r>
      <w:r>
        <w:rPr>
          <w:rStyle w:val="31"/>
        </w:rPr>
        <w:t xml:space="preserve">8.10 </w:t>
      </w:r>
      <w:r>
        <w:rPr>
          <w:rStyle w:val="31"/>
          <w:rFonts w:hint="eastAsia"/>
        </w:rPr>
        <w:t>报告期末本基金投资的股指期货交易情况说明</w:t>
      </w:r>
      <w:r>
        <w:tab/>
      </w:r>
      <w:r>
        <w:fldChar w:fldCharType="begin"/>
      </w:r>
      <w:r>
        <w:instrText xml:space="preserve"> PAGEREF _Toc67589787 \h </w:instrText>
      </w:r>
      <w:r>
        <w:fldChar w:fldCharType="separate"/>
      </w:r>
      <w:r>
        <w:t>54</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"_Toc67589788" </w:instrText>
      </w:r>
      <w:r>
        <w:fldChar w:fldCharType="separate"/>
      </w:r>
      <w:r>
        <w:rPr>
          <w:rStyle w:val="31"/>
        </w:rPr>
        <w:t>8.11</w:t>
      </w:r>
      <w:r>
        <w:rPr>
          <w:rStyle w:val="31"/>
          <w:rFonts w:hint="eastAsia"/>
        </w:rPr>
        <w:t>报告期末本基金投资的国债期货交易情况说明</w:t>
      </w:r>
      <w:r>
        <w:tab/>
      </w:r>
      <w:r>
        <w:fldChar w:fldCharType="begin"/>
      </w:r>
      <w:r>
        <w:instrText xml:space="preserve"> PAGEREF _Toc67589788 \h </w:instrText>
      </w:r>
      <w:r>
        <w:fldChar w:fldCharType="separate"/>
      </w:r>
      <w:r>
        <w:t>54</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"_Toc67589789" </w:instrText>
      </w:r>
      <w:r>
        <w:fldChar w:fldCharType="separate"/>
      </w:r>
      <w:r>
        <w:rPr>
          <w:rStyle w:val="31"/>
        </w:rPr>
        <w:t xml:space="preserve">8.12 </w:t>
      </w:r>
      <w:r>
        <w:rPr>
          <w:rStyle w:val="31"/>
          <w:rFonts w:hint="eastAsia"/>
        </w:rPr>
        <w:t>投资组合报告附注</w:t>
      </w:r>
      <w:r>
        <w:tab/>
      </w:r>
      <w:r>
        <w:fldChar w:fldCharType="begin"/>
      </w:r>
      <w:r>
        <w:instrText xml:space="preserve"> PAGEREF _Toc67589789 \h </w:instrText>
      </w:r>
      <w:r>
        <w:fldChar w:fldCharType="separate"/>
      </w:r>
      <w:r>
        <w:t>54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"_Toc67589790" </w:instrText>
      </w:r>
      <w:r>
        <w:fldChar w:fldCharType="separate"/>
      </w:r>
      <w:r>
        <w:rPr>
          <w:rStyle w:val="31"/>
          <w:b/>
        </w:rPr>
        <w:t>§9</w:t>
      </w:r>
      <w:r>
        <w:rPr>
          <w:rStyle w:val="31"/>
          <w:rFonts w:hint="eastAsia"/>
          <w:b/>
        </w:rPr>
        <w:t>基金份额持有人信息</w:t>
      </w:r>
      <w:r>
        <w:tab/>
      </w:r>
      <w:r>
        <w:fldChar w:fldCharType="begin"/>
      </w:r>
      <w:r>
        <w:instrText xml:space="preserve"> PAGEREF _Toc67589790 \h </w:instrText>
      </w:r>
      <w:r>
        <w:fldChar w:fldCharType="separate"/>
      </w:r>
      <w:r>
        <w:t>55</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"_Toc67589791" </w:instrText>
      </w:r>
      <w:r>
        <w:fldChar w:fldCharType="separate"/>
      </w:r>
      <w:r>
        <w:rPr>
          <w:rStyle w:val="31"/>
        </w:rPr>
        <w:t xml:space="preserve">9.1 </w:t>
      </w:r>
      <w:r>
        <w:rPr>
          <w:rStyle w:val="31"/>
          <w:rFonts w:hint="eastAsia"/>
        </w:rPr>
        <w:t>期末基金份额持有人户数及持有人结构</w:t>
      </w:r>
      <w:r>
        <w:tab/>
      </w:r>
      <w:r>
        <w:fldChar w:fldCharType="begin"/>
      </w:r>
      <w:r>
        <w:instrText xml:space="preserve"> PAGEREF _Toc67589791 \h </w:instrText>
      </w:r>
      <w:r>
        <w:fldChar w:fldCharType="separate"/>
      </w:r>
      <w:r>
        <w:t>55</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"_Toc67589792" </w:instrText>
      </w:r>
      <w:r>
        <w:fldChar w:fldCharType="separate"/>
      </w:r>
      <w:r>
        <w:rPr>
          <w:rStyle w:val="31"/>
        </w:rPr>
        <w:t>9.2</w:t>
      </w:r>
      <w:r>
        <w:rPr>
          <w:rStyle w:val="31"/>
          <w:rFonts w:hint="eastAsia"/>
        </w:rPr>
        <w:t>期末基金管理人的从业人员持有本基金的情况</w:t>
      </w:r>
      <w:r>
        <w:tab/>
      </w:r>
      <w:r>
        <w:fldChar w:fldCharType="begin"/>
      </w:r>
      <w:r>
        <w:instrText xml:space="preserve"> PAGEREF _Toc67589792 \h </w:instrText>
      </w:r>
      <w:r>
        <w:fldChar w:fldCharType="separate"/>
      </w:r>
      <w:r>
        <w:t>56</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"_Toc67589793" </w:instrText>
      </w:r>
      <w:r>
        <w:fldChar w:fldCharType="separate"/>
      </w:r>
      <w:r>
        <w:rPr>
          <w:rStyle w:val="31"/>
        </w:rPr>
        <w:t>9.3</w:t>
      </w:r>
      <w:r>
        <w:rPr>
          <w:rStyle w:val="31"/>
          <w:rFonts w:hint="eastAsia"/>
        </w:rPr>
        <w:t>期末基金管理人的从业人员持有本开放式基金份额总量区间的情况</w:t>
      </w:r>
      <w:r>
        <w:tab/>
      </w:r>
      <w:r>
        <w:fldChar w:fldCharType="begin"/>
      </w:r>
      <w:r>
        <w:instrText xml:space="preserve"> PAGEREF _Toc67589793 \h </w:instrText>
      </w:r>
      <w:r>
        <w:fldChar w:fldCharType="separate"/>
      </w:r>
      <w:r>
        <w:t>56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"_Toc67589794" </w:instrText>
      </w:r>
      <w:r>
        <w:fldChar w:fldCharType="separate"/>
      </w:r>
      <w:r>
        <w:rPr>
          <w:rStyle w:val="31"/>
          <w:b/>
          <w:bCs/>
        </w:rPr>
        <w:t>§10</w:t>
      </w:r>
      <w:r>
        <w:rPr>
          <w:rStyle w:val="31"/>
          <w:rFonts w:hint="eastAsia"/>
          <w:b/>
          <w:bCs/>
        </w:rPr>
        <w:t>开放式基金份额变动</w:t>
      </w:r>
      <w:r>
        <w:tab/>
      </w:r>
      <w:r>
        <w:fldChar w:fldCharType="begin"/>
      </w:r>
      <w:r>
        <w:instrText xml:space="preserve"> PAGEREF _Toc67589794 \h </w:instrText>
      </w:r>
      <w:r>
        <w:fldChar w:fldCharType="separate"/>
      </w:r>
      <w:r>
        <w:t>56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"_Toc67589795" </w:instrText>
      </w:r>
      <w:r>
        <w:fldChar w:fldCharType="separate"/>
      </w:r>
      <w:r>
        <w:rPr>
          <w:rStyle w:val="31"/>
          <w:b/>
          <w:bCs/>
        </w:rPr>
        <w:t>§11</w:t>
      </w:r>
      <w:r>
        <w:rPr>
          <w:rStyle w:val="31"/>
          <w:rFonts w:hint="eastAsia"/>
          <w:b/>
          <w:bCs/>
        </w:rPr>
        <w:t>重大事件揭示</w:t>
      </w:r>
      <w:r>
        <w:tab/>
      </w:r>
      <w:r>
        <w:fldChar w:fldCharType="begin"/>
      </w:r>
      <w:r>
        <w:instrText xml:space="preserve"> PAGEREF _Toc67589795 \h </w:instrText>
      </w:r>
      <w:r>
        <w:fldChar w:fldCharType="separate"/>
      </w:r>
      <w:r>
        <w:t>56</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"_Toc67589796" </w:instrText>
      </w:r>
      <w:r>
        <w:fldChar w:fldCharType="separate"/>
      </w:r>
      <w:r>
        <w:rPr>
          <w:rStyle w:val="31"/>
        </w:rPr>
        <w:t>11.1</w:t>
      </w:r>
      <w:r>
        <w:rPr>
          <w:rStyle w:val="31"/>
          <w:rFonts w:hint="eastAsia"/>
        </w:rPr>
        <w:t>基金份额持有人大会决议</w:t>
      </w:r>
      <w:r>
        <w:tab/>
      </w:r>
      <w:r>
        <w:fldChar w:fldCharType="begin"/>
      </w:r>
      <w:r>
        <w:instrText xml:space="preserve"> PAGEREF _Toc67589796 \h </w:instrText>
      </w:r>
      <w:r>
        <w:fldChar w:fldCharType="separate"/>
      </w:r>
      <w:r>
        <w:t>56</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"_Toc67589797" </w:instrText>
      </w:r>
      <w:r>
        <w:fldChar w:fldCharType="separate"/>
      </w:r>
      <w:r>
        <w:rPr>
          <w:rStyle w:val="31"/>
        </w:rPr>
        <w:t xml:space="preserve">11.2 </w:t>
      </w:r>
      <w:r>
        <w:rPr>
          <w:rStyle w:val="31"/>
          <w:rFonts w:hint="eastAsia"/>
        </w:rPr>
        <w:t>基金管理人、基金托管人的专门基金托管部门的重大人事变动</w:t>
      </w:r>
      <w:r>
        <w:tab/>
      </w:r>
      <w:r>
        <w:fldChar w:fldCharType="begin"/>
      </w:r>
      <w:r>
        <w:instrText xml:space="preserve"> PAGEREF _Toc67589797 \h </w:instrText>
      </w:r>
      <w:r>
        <w:fldChar w:fldCharType="separate"/>
      </w:r>
      <w:r>
        <w:t>56</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"_Toc67589798" </w:instrText>
      </w:r>
      <w:r>
        <w:fldChar w:fldCharType="separate"/>
      </w:r>
      <w:r>
        <w:rPr>
          <w:rStyle w:val="31"/>
        </w:rPr>
        <w:t xml:space="preserve">11.3 </w:t>
      </w:r>
      <w:r>
        <w:rPr>
          <w:rStyle w:val="31"/>
          <w:rFonts w:hint="eastAsia"/>
        </w:rPr>
        <w:t>涉及基金管理人、基金财产、基金托管业务的诉讼</w:t>
      </w:r>
      <w:r>
        <w:tab/>
      </w:r>
      <w:r>
        <w:fldChar w:fldCharType="begin"/>
      </w:r>
      <w:r>
        <w:instrText xml:space="preserve"> PAGEREF _Toc67589798 \h </w:instrText>
      </w:r>
      <w:r>
        <w:fldChar w:fldCharType="separate"/>
      </w:r>
      <w:r>
        <w:t>57</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"_Toc67589799" </w:instrText>
      </w:r>
      <w:r>
        <w:fldChar w:fldCharType="separate"/>
      </w:r>
      <w:r>
        <w:rPr>
          <w:rStyle w:val="31"/>
        </w:rPr>
        <w:t xml:space="preserve">11.4 </w:t>
      </w:r>
      <w:r>
        <w:rPr>
          <w:rStyle w:val="31"/>
          <w:rFonts w:hint="eastAsia"/>
        </w:rPr>
        <w:t>基金投资策略的改变</w:t>
      </w:r>
      <w:r>
        <w:tab/>
      </w:r>
      <w:r>
        <w:fldChar w:fldCharType="begin"/>
      </w:r>
      <w:r>
        <w:instrText xml:space="preserve"> PAGEREF _Toc67589799 \h </w:instrText>
      </w:r>
      <w:r>
        <w:fldChar w:fldCharType="separate"/>
      </w:r>
      <w:r>
        <w:t>57</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"_Toc67589800" </w:instrText>
      </w:r>
      <w:r>
        <w:fldChar w:fldCharType="separate"/>
      </w:r>
      <w:r>
        <w:rPr>
          <w:rStyle w:val="31"/>
        </w:rPr>
        <w:t>11.5</w:t>
      </w:r>
      <w:r>
        <w:rPr>
          <w:rStyle w:val="31"/>
          <w:rFonts w:hint="eastAsia"/>
        </w:rPr>
        <w:t>为基金进行审计的会计师事务所情况</w:t>
      </w:r>
      <w:r>
        <w:tab/>
      </w:r>
      <w:r>
        <w:fldChar w:fldCharType="begin"/>
      </w:r>
      <w:r>
        <w:instrText xml:space="preserve"> PAGEREF _Toc67589800 \h </w:instrText>
      </w:r>
      <w:r>
        <w:fldChar w:fldCharType="separate"/>
      </w:r>
      <w:r>
        <w:t>57</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"_Toc67589801" </w:instrText>
      </w:r>
      <w:r>
        <w:fldChar w:fldCharType="separate"/>
      </w:r>
      <w:r>
        <w:rPr>
          <w:rStyle w:val="31"/>
        </w:rPr>
        <w:t xml:space="preserve">11.6 </w:t>
      </w:r>
      <w:r>
        <w:rPr>
          <w:rStyle w:val="31"/>
          <w:rFonts w:hint="eastAsia"/>
        </w:rPr>
        <w:t>管理人、托管人及其高级管理人员受稽查或处罚等情况</w:t>
      </w:r>
      <w:r>
        <w:tab/>
      </w:r>
      <w:r>
        <w:fldChar w:fldCharType="begin"/>
      </w:r>
      <w:r>
        <w:instrText xml:space="preserve"> PAGEREF _Toc67589801 \h </w:instrText>
      </w:r>
      <w:r>
        <w:fldChar w:fldCharType="separate"/>
      </w:r>
      <w:r>
        <w:t>57</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"_Toc67589802" </w:instrText>
      </w:r>
      <w:r>
        <w:fldChar w:fldCharType="separate"/>
      </w:r>
      <w:r>
        <w:rPr>
          <w:rStyle w:val="31"/>
        </w:rPr>
        <w:t xml:space="preserve">11.7 </w:t>
      </w:r>
      <w:r>
        <w:rPr>
          <w:rStyle w:val="31"/>
          <w:rFonts w:hint="eastAsia"/>
        </w:rPr>
        <w:t>基金租用证券公司交易单元的有关情况</w:t>
      </w:r>
      <w:r>
        <w:tab/>
      </w:r>
      <w:r>
        <w:fldChar w:fldCharType="begin"/>
      </w:r>
      <w:r>
        <w:instrText xml:space="preserve"> PAGEREF _Toc67589802 \h </w:instrText>
      </w:r>
      <w:r>
        <w:fldChar w:fldCharType="separate"/>
      </w:r>
      <w:r>
        <w:t>57</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"_Toc67589803" </w:instrText>
      </w:r>
      <w:r>
        <w:fldChar w:fldCharType="separate"/>
      </w:r>
      <w:r>
        <w:rPr>
          <w:rStyle w:val="31"/>
        </w:rPr>
        <w:t>11.8</w:t>
      </w:r>
      <w:r>
        <w:rPr>
          <w:rStyle w:val="31"/>
          <w:rFonts w:hint="eastAsia"/>
        </w:rPr>
        <w:t>其他重大事件</w:t>
      </w:r>
      <w:r>
        <w:tab/>
      </w:r>
      <w:r>
        <w:fldChar w:fldCharType="begin"/>
      </w:r>
      <w:r>
        <w:instrText xml:space="preserve"> PAGEREF _Toc67589803 \h </w:instrText>
      </w:r>
      <w:r>
        <w:fldChar w:fldCharType="separate"/>
      </w:r>
      <w:r>
        <w:t>58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"_Toc67589804" </w:instrText>
      </w:r>
      <w:r>
        <w:fldChar w:fldCharType="separate"/>
      </w:r>
      <w:r>
        <w:rPr>
          <w:rStyle w:val="31"/>
          <w:b/>
          <w:bCs/>
        </w:rPr>
        <w:t xml:space="preserve">§12  </w:t>
      </w:r>
      <w:r>
        <w:rPr>
          <w:rStyle w:val="31"/>
          <w:rFonts w:hint="eastAsia"/>
          <w:b/>
          <w:bCs/>
        </w:rPr>
        <w:t>影响投资者决策的其他重要信息</w:t>
      </w:r>
      <w:r>
        <w:tab/>
      </w:r>
      <w:r>
        <w:fldChar w:fldCharType="begin"/>
      </w:r>
      <w:r>
        <w:instrText xml:space="preserve"> PAGEREF _Toc67589804 \h </w:instrText>
      </w:r>
      <w:r>
        <w:fldChar w:fldCharType="separate"/>
      </w:r>
      <w:r>
        <w:t>60</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"_Toc67589805" </w:instrText>
      </w:r>
      <w:r>
        <w:fldChar w:fldCharType="separate"/>
      </w:r>
      <w:r>
        <w:rPr>
          <w:rStyle w:val="31"/>
        </w:rPr>
        <w:t xml:space="preserve">12.1 </w:t>
      </w:r>
      <w:r>
        <w:rPr>
          <w:rStyle w:val="31"/>
          <w:rFonts w:hint="eastAsia"/>
        </w:rPr>
        <w:t>报告期内单一投资者持有基金份额比例达到或超过</w:t>
      </w:r>
      <w:r>
        <w:rPr>
          <w:rStyle w:val="31"/>
        </w:rPr>
        <w:t>20%</w:t>
      </w:r>
      <w:r>
        <w:rPr>
          <w:rStyle w:val="31"/>
          <w:rFonts w:hint="eastAsia"/>
        </w:rPr>
        <w:t>的情况</w:t>
      </w:r>
      <w:r>
        <w:tab/>
      </w:r>
      <w:r>
        <w:fldChar w:fldCharType="begin"/>
      </w:r>
      <w:r>
        <w:instrText xml:space="preserve"> PAGEREF _Toc67589805 \h </w:instrText>
      </w:r>
      <w:r>
        <w:fldChar w:fldCharType="separate"/>
      </w:r>
      <w:r>
        <w:t>60</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"_Toc67589806" </w:instrText>
      </w:r>
      <w:r>
        <w:fldChar w:fldCharType="separate"/>
      </w:r>
      <w:r>
        <w:rPr>
          <w:rStyle w:val="31"/>
        </w:rPr>
        <w:t xml:space="preserve">12.2 </w:t>
      </w:r>
      <w:r>
        <w:rPr>
          <w:rStyle w:val="31"/>
          <w:rFonts w:hint="eastAsia"/>
        </w:rPr>
        <w:t>影响投资者决策的其他重要信息</w:t>
      </w:r>
      <w:r>
        <w:tab/>
      </w:r>
      <w:r>
        <w:fldChar w:fldCharType="begin"/>
      </w:r>
      <w:r>
        <w:instrText xml:space="preserve"> PAGEREF _Toc67589806 \h </w:instrText>
      </w:r>
      <w:r>
        <w:fldChar w:fldCharType="separate"/>
      </w:r>
      <w:r>
        <w:t>60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"_Toc67589807" </w:instrText>
      </w:r>
      <w:r>
        <w:fldChar w:fldCharType="separate"/>
      </w:r>
      <w:r>
        <w:rPr>
          <w:rStyle w:val="31"/>
          <w:b/>
          <w:bCs/>
        </w:rPr>
        <w:t>§13</w:t>
      </w:r>
      <w:r>
        <w:rPr>
          <w:rStyle w:val="31"/>
          <w:rFonts w:hint="eastAsia"/>
          <w:b/>
          <w:bCs/>
        </w:rPr>
        <w:t>备查文件目录</w:t>
      </w:r>
      <w:r>
        <w:tab/>
      </w:r>
      <w:r>
        <w:fldChar w:fldCharType="begin"/>
      </w:r>
      <w:r>
        <w:instrText xml:space="preserve"> PAGEREF _Toc67589807 \h </w:instrText>
      </w:r>
      <w:r>
        <w:fldChar w:fldCharType="separate"/>
      </w:r>
      <w:r>
        <w:t>61</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"_Toc67589808" </w:instrText>
      </w:r>
      <w:r>
        <w:fldChar w:fldCharType="separate"/>
      </w:r>
      <w:r>
        <w:rPr>
          <w:rStyle w:val="31"/>
        </w:rPr>
        <w:t xml:space="preserve">13.1 </w:t>
      </w:r>
      <w:r>
        <w:rPr>
          <w:rStyle w:val="31"/>
          <w:rFonts w:hint="eastAsia"/>
        </w:rPr>
        <w:t>备查文件目录</w:t>
      </w:r>
      <w:r>
        <w:tab/>
      </w:r>
      <w:r>
        <w:fldChar w:fldCharType="begin"/>
      </w:r>
      <w:r>
        <w:instrText xml:space="preserve"> PAGEREF _Toc67589808 \h </w:instrText>
      </w:r>
      <w:r>
        <w:fldChar w:fldCharType="separate"/>
      </w:r>
      <w:r>
        <w:t>61</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"_Toc67589809" </w:instrText>
      </w:r>
      <w:r>
        <w:fldChar w:fldCharType="separate"/>
      </w:r>
      <w:r>
        <w:rPr>
          <w:rStyle w:val="31"/>
        </w:rPr>
        <w:t>13.2</w:t>
      </w:r>
      <w:r>
        <w:rPr>
          <w:rStyle w:val="31"/>
          <w:rFonts w:hint="eastAsia"/>
        </w:rPr>
        <w:t>存放地点</w:t>
      </w:r>
      <w:r>
        <w:tab/>
      </w:r>
      <w:r>
        <w:fldChar w:fldCharType="begin"/>
      </w:r>
      <w:r>
        <w:instrText xml:space="preserve"> PAGEREF _Toc67589809 \h </w:instrText>
      </w:r>
      <w:r>
        <w:fldChar w:fldCharType="separate"/>
      </w:r>
      <w:r>
        <w:t>61</w:t>
      </w:r>
      <w:r>
        <w:fldChar w:fldCharType="end"/>
      </w:r>
      <w:r>
        <w:fldChar w:fldCharType="end"/>
      </w:r>
    </w:p>
    <w:p>
      <w:pPr>
        <w:pStyle w:val="21"/>
        <w:rPr>
          <w:rFonts w:asciiTheme="minorHAnsi" w:hAnsiTheme="minorHAnsi" w:eastAsiaTheme="minorEastAsia" w:cstheme="minorBidi"/>
          <w:kern w:val="2"/>
          <w:szCs w:val="22"/>
        </w:rPr>
      </w:pPr>
      <w:r>
        <w:fldChar w:fldCharType="begin"/>
      </w:r>
      <w:r>
        <w:instrText xml:space="preserve"> HYPERLINK \l "_Toc67589810" </w:instrText>
      </w:r>
      <w:r>
        <w:fldChar w:fldCharType="separate"/>
      </w:r>
      <w:r>
        <w:rPr>
          <w:rStyle w:val="31"/>
        </w:rPr>
        <w:t>13.3</w:t>
      </w:r>
      <w:r>
        <w:rPr>
          <w:rStyle w:val="31"/>
          <w:rFonts w:hint="eastAsia"/>
        </w:rPr>
        <w:t>查阅方式</w:t>
      </w:r>
      <w:r>
        <w:tab/>
      </w:r>
      <w:r>
        <w:fldChar w:fldCharType="begin"/>
      </w:r>
      <w:r>
        <w:instrText xml:space="preserve"> PAGEREF _Toc67589810 \h </w:instrText>
      </w:r>
      <w:r>
        <w:fldChar w:fldCharType="separate"/>
      </w:r>
      <w:r>
        <w:t>61</w:t>
      </w:r>
      <w:r>
        <w:fldChar w:fldCharType="end"/>
      </w:r>
      <w:r>
        <w:fldChar w:fldCharType="end"/>
      </w:r>
    </w:p>
    <w:p>
      <w:pPr>
        <w:spacing w:before="29" w:line="288" w:lineRule="auto"/>
        <w:ind w:firstLine="480" w:firstLineChars="200"/>
        <w:rPr>
          <w:rFonts w:asciiTheme="minorEastAsia" w:hAnsiTheme="minorEastAsia" w:eastAsiaTheme="minorEastAsia"/>
          <w:b/>
          <w:color w:val="000000"/>
          <w:kern w:val="0"/>
          <w:sz w:val="24"/>
        </w:rPr>
      </w:pPr>
      <w:r>
        <w:rPr>
          <w:color w:val="000000"/>
          <w:kern w:val="0"/>
          <w:sz w:val="24"/>
        </w:rPr>
        <w:fldChar w:fldCharType="end"/>
      </w:r>
    </w:p>
    <w:p>
      <w:pPr>
        <w:autoSpaceDE w:val="0"/>
        <w:autoSpaceDN w:val="0"/>
        <w:adjustRightInd w:val="0"/>
        <w:spacing w:before="29" w:line="288" w:lineRule="auto"/>
        <w:ind w:left="15"/>
        <w:jc w:val="center"/>
        <w:rPr>
          <w:rFonts w:asciiTheme="minorEastAsia" w:hAnsiTheme="minorEastAsia" w:eastAsiaTheme="minorEastAsia"/>
          <w:b/>
          <w:color w:val="000000"/>
          <w:kern w:val="0"/>
          <w:sz w:val="24"/>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pStyle w:val="2"/>
        <w:keepNext/>
        <w:keepLines/>
        <w:widowControl w:val="0"/>
        <w:spacing w:before="312" w:beforeLines="100" w:after="312" w:afterLines="100" w:line="288" w:lineRule="auto"/>
        <w:jc w:val="center"/>
        <w:rPr>
          <w:b/>
          <w:bCs/>
          <w:szCs w:val="24"/>
          <w:lang w:val="en-US"/>
        </w:rPr>
      </w:pPr>
      <w:r>
        <w:rPr>
          <w:rFonts w:asciiTheme="minorEastAsia" w:hAnsiTheme="minorEastAsia" w:eastAsiaTheme="minorEastAsia"/>
          <w:color w:val="000000"/>
          <w:sz w:val="21"/>
          <w:szCs w:val="21"/>
        </w:rPr>
        <w:br w:type="page"/>
      </w:r>
      <w:bookmarkStart w:id="9" w:name="_Toc225498244"/>
      <w:bookmarkStart w:id="10" w:name="_Toc67589743"/>
      <w:bookmarkStart w:id="11" w:name="_Toc361324844"/>
      <w:r>
        <w:rPr>
          <w:rFonts w:hint="eastAsia"/>
          <w:b/>
          <w:bCs/>
          <w:szCs w:val="24"/>
          <w:lang w:val="en-US"/>
        </w:rPr>
        <w:t>§</w:t>
      </w:r>
      <w:r>
        <w:rPr>
          <w:b/>
          <w:bCs/>
          <w:szCs w:val="24"/>
          <w:lang w:val="en-US"/>
        </w:rPr>
        <w:t xml:space="preserve">2  </w:t>
      </w:r>
      <w:r>
        <w:rPr>
          <w:rFonts w:hint="eastAsia"/>
          <w:b/>
          <w:bCs/>
          <w:szCs w:val="24"/>
          <w:lang w:val="en-US"/>
        </w:rPr>
        <w:t>基金简介</w:t>
      </w:r>
      <w:bookmarkEnd w:id="9"/>
      <w:bookmarkEnd w:id="10"/>
      <w:bookmarkEnd w:id="11"/>
    </w:p>
    <w:p/>
    <w:p>
      <w:pPr>
        <w:pStyle w:val="3"/>
        <w:spacing w:before="29" w:after="0" w:line="288" w:lineRule="auto"/>
        <w:rPr>
          <w:rFonts w:ascii="Times New Roman" w:hAnsi="Times New Roman"/>
          <w:kern w:val="0"/>
          <w:szCs w:val="24"/>
        </w:rPr>
      </w:pPr>
      <w:bookmarkStart w:id="12" w:name="_Toc361324845"/>
      <w:bookmarkStart w:id="13" w:name="_Toc67589744"/>
      <w:r>
        <w:rPr>
          <w:rFonts w:ascii="Times New Roman" w:hAnsi="Times New Roman"/>
          <w:kern w:val="0"/>
          <w:szCs w:val="24"/>
        </w:rPr>
        <w:t>2.1</w:t>
      </w:r>
      <w:r>
        <w:rPr>
          <w:rFonts w:ascii="Times New Roman" w:hAnsi="Times New Roman"/>
          <w:kern w:val="0"/>
          <w:szCs w:val="24"/>
        </w:rPr>
        <w:tab/>
      </w:r>
      <w:r>
        <w:rPr>
          <w:rFonts w:hint="eastAsia" w:ascii="Times New Roman" w:hAnsi="Times New Roman"/>
          <w:kern w:val="0"/>
          <w:szCs w:val="24"/>
        </w:rPr>
        <w:t>基金基本情况</w:t>
      </w:r>
      <w:bookmarkEnd w:id="12"/>
      <w:bookmarkEnd w:id="13"/>
    </w:p>
    <w:tbl>
      <w:tblPr>
        <w:tblStyle w:val="25"/>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77"/>
        <w:gridCol w:w="6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基金名称</w:t>
            </w:r>
          </w:p>
        </w:tc>
        <w:tc>
          <w:tcPr>
            <w:tcW w:w="6021" w:type="dxa"/>
            <w:vAlign w:val="center"/>
          </w:tcPr>
          <w:p>
            <w:pPr>
              <w:spacing w:before="29" w:line="288" w:lineRule="auto"/>
              <w:jc w:val="center"/>
              <w:rPr>
                <w:sz w:val="24"/>
              </w:rPr>
            </w:pPr>
            <w:r>
              <w:rPr>
                <w:sz w:val="24"/>
              </w:rPr>
              <w:t>交银施罗德科技创新灵活配置混合型证券投资基金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基金简称</w:t>
            </w:r>
          </w:p>
        </w:tc>
        <w:tc>
          <w:tcPr>
            <w:tcW w:w="6021" w:type="dxa"/>
            <w:vAlign w:val="center"/>
          </w:tcPr>
          <w:p>
            <w:pPr>
              <w:spacing w:before="29" w:line="288" w:lineRule="auto"/>
              <w:jc w:val="center"/>
              <w:rPr>
                <w:sz w:val="24"/>
              </w:rPr>
            </w:pPr>
            <w:r>
              <w:rPr>
                <w:sz w:val="24"/>
              </w:rPr>
              <w:t>交银科技创新灵活配置混合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基金主代码</w:t>
            </w:r>
          </w:p>
        </w:tc>
        <w:tc>
          <w:tcPr>
            <w:tcW w:w="6021" w:type="dxa"/>
            <w:vAlign w:val="center"/>
          </w:tcPr>
          <w:p>
            <w:pPr>
              <w:spacing w:before="29" w:line="288" w:lineRule="auto"/>
              <w:jc w:val="center"/>
              <w:rPr>
                <w:sz w:val="24"/>
              </w:rPr>
            </w:pPr>
            <w:r>
              <w:rPr>
                <w:sz w:val="24"/>
              </w:rPr>
              <w:t>519767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交易代码</w:t>
            </w:r>
          </w:p>
        </w:tc>
        <w:tc>
          <w:tcPr>
            <w:tcW w:w="6021" w:type="dxa"/>
            <w:vAlign w:val="center"/>
          </w:tcPr>
          <w:p>
            <w:pPr>
              <w:spacing w:before="29" w:line="288" w:lineRule="auto"/>
              <w:jc w:val="center"/>
              <w:rPr>
                <w:sz w:val="24"/>
              </w:rPr>
            </w:pPr>
            <w:r>
              <w:rPr>
                <w:sz w:val="24"/>
              </w:rPr>
              <w:t>519767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基金运作方式</w:t>
            </w:r>
          </w:p>
        </w:tc>
        <w:tc>
          <w:tcPr>
            <w:tcW w:w="6021" w:type="dxa"/>
            <w:vAlign w:val="center"/>
          </w:tcPr>
          <w:p>
            <w:pPr>
              <w:spacing w:before="29" w:line="288" w:lineRule="auto"/>
              <w:jc w:val="center"/>
              <w:rPr>
                <w:sz w:val="24"/>
              </w:rPr>
            </w:pPr>
            <w:r>
              <w:rPr>
                <w:sz w:val="24"/>
              </w:rPr>
              <w:t>契约型开放式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基金合同生效日</w:t>
            </w:r>
          </w:p>
        </w:tc>
        <w:tc>
          <w:tcPr>
            <w:tcW w:w="6021" w:type="dxa"/>
            <w:vAlign w:val="center"/>
          </w:tcPr>
          <w:p>
            <w:pPr>
              <w:spacing w:before="29" w:line="288" w:lineRule="auto"/>
              <w:jc w:val="center"/>
              <w:rPr>
                <w:sz w:val="24"/>
              </w:rPr>
            </w:pPr>
            <w:r>
              <w:rPr>
                <w:sz w:val="24"/>
              </w:rPr>
              <w:t>2016年5月5日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基金管理人</w:t>
            </w:r>
          </w:p>
        </w:tc>
        <w:tc>
          <w:tcPr>
            <w:tcW w:w="6021" w:type="dxa"/>
            <w:vAlign w:val="center"/>
          </w:tcPr>
          <w:p>
            <w:pPr>
              <w:spacing w:before="29" w:line="288" w:lineRule="auto"/>
              <w:jc w:val="center"/>
              <w:rPr>
                <w:sz w:val="24"/>
              </w:rPr>
            </w:pPr>
            <w:r>
              <w:rPr>
                <w:sz w:val="24"/>
              </w:rPr>
              <w:t>交银施罗德基金管理有限公司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基金托管人</w:t>
            </w:r>
          </w:p>
        </w:tc>
        <w:tc>
          <w:tcPr>
            <w:tcW w:w="6021" w:type="dxa"/>
            <w:vAlign w:val="center"/>
          </w:tcPr>
          <w:p>
            <w:pPr>
              <w:spacing w:before="29" w:line="288" w:lineRule="auto"/>
              <w:jc w:val="center"/>
              <w:rPr>
                <w:sz w:val="24"/>
              </w:rPr>
            </w:pPr>
            <w:r>
              <w:rPr>
                <w:sz w:val="24"/>
              </w:rPr>
              <w:t>中国工商银行股份有限公司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报告期末基金份额总额</w:t>
            </w:r>
          </w:p>
        </w:tc>
        <w:tc>
          <w:tcPr>
            <w:tcW w:w="6021" w:type="dxa"/>
            <w:vAlign w:val="center"/>
          </w:tcPr>
          <w:p>
            <w:pPr>
              <w:spacing w:before="29" w:line="288" w:lineRule="auto"/>
              <w:jc w:val="center"/>
              <w:rPr>
                <w:sz w:val="24"/>
              </w:rPr>
            </w:pPr>
            <w:r>
              <w:rPr>
                <w:sz w:val="24"/>
              </w:rPr>
              <w:t>151,304,314.30</w:t>
            </w:r>
            <w:r>
              <w:rPr>
                <w:rFonts w:hint="eastAsia"/>
                <w:sz w:val="24"/>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基金合同存续期</w:t>
            </w:r>
          </w:p>
        </w:tc>
        <w:tc>
          <w:tcPr>
            <w:tcW w:w="6021" w:type="dxa"/>
            <w:vAlign w:val="center"/>
          </w:tcPr>
          <w:p>
            <w:pPr>
              <w:spacing w:before="29" w:line="288" w:lineRule="auto"/>
              <w:jc w:val="center"/>
              <w:rPr>
                <w:sz w:val="24"/>
              </w:rPr>
            </w:pPr>
            <w:r>
              <w:rPr>
                <w:sz w:val="24"/>
              </w:rPr>
              <w:t>不定期</w:t>
            </w:r>
          </w:p>
        </w:tc>
      </w:tr>
    </w:tbl>
    <w:p>
      <w:pPr>
        <w:tabs>
          <w:tab w:val="left" w:pos="426"/>
        </w:tabs>
        <w:spacing w:line="360" w:lineRule="auto"/>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4" w:name="_Toc361324846"/>
      <w:bookmarkStart w:id="15" w:name="_Toc67589745"/>
      <w:r>
        <w:rPr>
          <w:rFonts w:ascii="Times New Roman" w:hAnsi="Times New Roman"/>
          <w:kern w:val="0"/>
          <w:szCs w:val="24"/>
        </w:rPr>
        <w:t xml:space="preserve">2.2 </w:t>
      </w:r>
      <w:r>
        <w:rPr>
          <w:rFonts w:hint="eastAsia" w:ascii="Times New Roman" w:hAnsi="Times New Roman"/>
          <w:kern w:val="0"/>
          <w:szCs w:val="24"/>
        </w:rPr>
        <w:t>基金产品说明</w:t>
      </w:r>
      <w:bookmarkEnd w:id="14"/>
      <w:bookmarkEnd w:id="15"/>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2"/>
        <w:gridCol w:w="6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2" w:type="dxa"/>
            <w:vAlign w:val="center"/>
          </w:tcPr>
          <w:p>
            <w:pPr>
              <w:spacing w:before="29" w:line="288" w:lineRule="auto"/>
              <w:rPr>
                <w:sz w:val="24"/>
              </w:rPr>
            </w:pPr>
            <w:r>
              <w:rPr>
                <w:rFonts w:hint="eastAsia"/>
                <w:sz w:val="24"/>
              </w:rPr>
              <w:t>投资目标</w:t>
            </w:r>
          </w:p>
        </w:tc>
        <w:tc>
          <w:tcPr>
            <w:tcW w:w="6058" w:type="dxa"/>
          </w:tcPr>
          <w:p>
            <w:pPr>
              <w:spacing w:before="29" w:line="288" w:lineRule="auto"/>
              <w:rPr>
                <w:sz w:val="24"/>
              </w:rPr>
            </w:pPr>
            <w:r>
              <w:rPr>
                <w:sz w:val="24"/>
              </w:rPr>
              <w:t>本基金重点关注以科技为创新驱动力、在产业竞争中掌握核心竞争优势的优质上市公司，在控制风险并保持基金资产良好的流动性的前提下，力争实现基金资产的长期稳定增值。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2" w:type="dxa"/>
            <w:vAlign w:val="center"/>
          </w:tcPr>
          <w:p>
            <w:pPr>
              <w:spacing w:before="29" w:line="288" w:lineRule="auto"/>
              <w:rPr>
                <w:sz w:val="24"/>
              </w:rPr>
            </w:pPr>
            <w:r>
              <w:rPr>
                <w:rFonts w:hint="eastAsia"/>
                <w:sz w:val="24"/>
              </w:rPr>
              <w:t>投资策略</w:t>
            </w:r>
          </w:p>
        </w:tc>
        <w:tc>
          <w:tcPr>
            <w:tcW w:w="6058" w:type="dxa"/>
          </w:tcPr>
          <w:p>
            <w:pPr>
              <w:spacing w:before="29" w:line="288" w:lineRule="auto"/>
              <w:rPr>
                <w:sz w:val="24"/>
              </w:rPr>
            </w:pPr>
            <w:r>
              <w:rPr>
                <w:sz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 其中，本基金股票投资重点关注直接受益于科技创新红利、或在新科技、新技术推动下盈利水平长期显著提升的其他上市公司。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2" w:type="dxa"/>
            <w:vAlign w:val="center"/>
          </w:tcPr>
          <w:p>
            <w:pPr>
              <w:spacing w:before="29" w:line="288" w:lineRule="auto"/>
              <w:rPr>
                <w:sz w:val="24"/>
              </w:rPr>
            </w:pPr>
            <w:r>
              <w:rPr>
                <w:rFonts w:hint="eastAsia"/>
                <w:sz w:val="24"/>
              </w:rPr>
              <w:t>业绩比较基准</w:t>
            </w:r>
          </w:p>
        </w:tc>
        <w:tc>
          <w:tcPr>
            <w:tcW w:w="6058" w:type="dxa"/>
          </w:tcPr>
          <w:p>
            <w:pPr>
              <w:spacing w:before="29" w:line="288" w:lineRule="auto"/>
              <w:rPr>
                <w:sz w:val="24"/>
              </w:rPr>
            </w:pPr>
            <w:r>
              <w:rPr>
                <w:sz w:val="24"/>
              </w:rPr>
              <w:t>60%×沪深300指数+40%×中证综合债券指数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2" w:type="dxa"/>
            <w:vAlign w:val="center"/>
          </w:tcPr>
          <w:p>
            <w:pPr>
              <w:spacing w:before="29" w:line="288" w:lineRule="auto"/>
              <w:rPr>
                <w:sz w:val="24"/>
              </w:rPr>
            </w:pPr>
            <w:r>
              <w:rPr>
                <w:rFonts w:hint="eastAsia"/>
                <w:sz w:val="24"/>
              </w:rPr>
              <w:t>风险收益特征</w:t>
            </w:r>
          </w:p>
        </w:tc>
        <w:tc>
          <w:tcPr>
            <w:tcW w:w="6058" w:type="dxa"/>
          </w:tcPr>
          <w:p>
            <w:pPr>
              <w:spacing w:before="29" w:line="288" w:lineRule="auto"/>
              <w:rPr>
                <w:sz w:val="24"/>
              </w:rPr>
            </w:pPr>
            <w:r>
              <w:rPr>
                <w:sz w:val="24"/>
              </w:rPr>
              <w:t>本基金是一只混合型基金，其风险和预期收益高于债券型基金和货币市场基金，低于股票型基金。属于承担较高风险、预期收益较高的证券投资基金品种。</w:t>
            </w:r>
          </w:p>
        </w:tc>
      </w:tr>
    </w:tbl>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16" w:name="_Toc225498247"/>
      <w:bookmarkStart w:id="17" w:name="_Toc361324847"/>
      <w:bookmarkStart w:id="18" w:name="_Toc67589746"/>
      <w:r>
        <w:rPr>
          <w:rFonts w:ascii="Times New Roman" w:hAnsi="Times New Roman"/>
          <w:kern w:val="0"/>
          <w:szCs w:val="24"/>
        </w:rPr>
        <w:t xml:space="preserve">2.3 </w:t>
      </w:r>
      <w:r>
        <w:rPr>
          <w:rFonts w:hint="eastAsia" w:ascii="Times New Roman" w:hAnsi="Times New Roman"/>
          <w:kern w:val="0"/>
          <w:szCs w:val="24"/>
        </w:rPr>
        <w:t>基金管理人和基金托管人</w:t>
      </w:r>
      <w:bookmarkEnd w:id="16"/>
      <w:bookmarkEnd w:id="17"/>
      <w:bookmarkEnd w:id="18"/>
    </w:p>
    <w:tbl>
      <w:tblPr>
        <w:tblStyle w:val="25"/>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276"/>
        <w:gridCol w:w="3118"/>
        <w:gridCol w:w="33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118" w:type="dxa"/>
            <w:vAlign w:val="center"/>
          </w:tcPr>
          <w:p>
            <w:pPr>
              <w:spacing w:line="288" w:lineRule="auto"/>
              <w:jc w:val="center"/>
              <w:rPr>
                <w:color w:val="000000"/>
                <w:kern w:val="0"/>
                <w:sz w:val="24"/>
              </w:rPr>
            </w:pPr>
            <w:r>
              <w:rPr>
                <w:rFonts w:hint="eastAsia"/>
                <w:color w:val="000000"/>
                <w:kern w:val="0"/>
                <w:sz w:val="24"/>
              </w:rPr>
              <w:t>基金管理人</w:t>
            </w:r>
          </w:p>
        </w:tc>
        <w:tc>
          <w:tcPr>
            <w:tcW w:w="3328" w:type="dxa"/>
            <w:vAlign w:val="center"/>
          </w:tcPr>
          <w:p>
            <w:pPr>
              <w:spacing w:line="288" w:lineRule="auto"/>
              <w:jc w:val="center"/>
              <w:rPr>
                <w:color w:val="000000"/>
                <w:kern w:val="0"/>
                <w:sz w:val="24"/>
              </w:rPr>
            </w:pPr>
            <w:r>
              <w:rPr>
                <w:rFonts w:hint="eastAsia"/>
                <w:color w:val="000000"/>
                <w:kern w:val="0"/>
                <w:sz w:val="24"/>
              </w:rPr>
              <w:t>基金托管人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118" w:type="dxa"/>
            <w:vAlign w:val="center"/>
          </w:tcPr>
          <w:p>
            <w:pPr>
              <w:spacing w:before="29" w:line="288" w:lineRule="auto"/>
              <w:jc w:val="center"/>
              <w:rPr>
                <w:sz w:val="24"/>
              </w:rPr>
            </w:pPr>
            <w:r>
              <w:rPr>
                <w:sz w:val="24"/>
              </w:rPr>
              <w:t>交银施罗德基金管理有限公司</w:t>
            </w:r>
          </w:p>
        </w:tc>
        <w:tc>
          <w:tcPr>
            <w:tcW w:w="3328" w:type="dxa"/>
            <w:vAlign w:val="center"/>
          </w:tcPr>
          <w:p>
            <w:pPr>
              <w:spacing w:before="29" w:line="288" w:lineRule="auto"/>
              <w:jc w:val="center"/>
              <w:rPr>
                <w:sz w:val="24"/>
              </w:rPr>
            </w:pPr>
            <w:r>
              <w:rPr>
                <w:sz w:val="24"/>
              </w:rPr>
              <w:t>中国工商银行股份有限公司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restart"/>
            <w:vAlign w:val="center"/>
          </w:tcPr>
          <w:p>
            <w:pPr>
              <w:autoSpaceDE w:val="0"/>
              <w:autoSpaceDN w:val="0"/>
              <w:adjustRightInd w:val="0"/>
              <w:spacing w:before="29" w:line="288" w:lineRule="auto"/>
              <w:ind w:left="15"/>
              <w:rPr>
                <w:color w:val="000000"/>
                <w:kern w:val="0"/>
                <w:sz w:val="24"/>
              </w:rPr>
            </w:pPr>
            <w:r>
              <w:rPr>
                <w:rFonts w:hint="eastAsia"/>
                <w:color w:val="000000"/>
                <w:kern w:val="0"/>
                <w:sz w:val="24"/>
              </w:rPr>
              <w:t>信息披露负责人</w:t>
            </w:r>
          </w:p>
        </w:tc>
        <w:tc>
          <w:tcPr>
            <w:tcW w:w="1276" w:type="dxa"/>
            <w:vAlign w:val="center"/>
          </w:tcPr>
          <w:p>
            <w:pPr>
              <w:autoSpaceDE w:val="0"/>
              <w:autoSpaceDN w:val="0"/>
              <w:adjustRightInd w:val="0"/>
              <w:spacing w:before="29" w:line="288" w:lineRule="auto"/>
              <w:ind w:left="15"/>
              <w:jc w:val="center"/>
              <w:rPr>
                <w:color w:val="000000"/>
                <w:kern w:val="0"/>
                <w:sz w:val="24"/>
              </w:rPr>
            </w:pPr>
            <w:r>
              <w:rPr>
                <w:rFonts w:hint="eastAsia"/>
                <w:color w:val="000000"/>
                <w:kern w:val="0"/>
                <w:sz w:val="24"/>
              </w:rPr>
              <w:t>姓名</w:t>
            </w:r>
          </w:p>
        </w:tc>
        <w:tc>
          <w:tcPr>
            <w:tcW w:w="3118" w:type="dxa"/>
            <w:vAlign w:val="center"/>
          </w:tcPr>
          <w:p>
            <w:pPr>
              <w:spacing w:before="29" w:line="288" w:lineRule="auto"/>
              <w:jc w:val="center"/>
              <w:rPr>
                <w:sz w:val="24"/>
              </w:rPr>
            </w:pPr>
            <w:r>
              <w:rPr>
                <w:sz w:val="24"/>
              </w:rPr>
              <w:t>王晚婷</w:t>
            </w:r>
          </w:p>
        </w:tc>
        <w:tc>
          <w:tcPr>
            <w:tcW w:w="3328" w:type="dxa"/>
            <w:vAlign w:val="center"/>
          </w:tcPr>
          <w:p>
            <w:pPr>
              <w:spacing w:before="29" w:line="288" w:lineRule="auto"/>
              <w:jc w:val="center"/>
              <w:rPr>
                <w:sz w:val="24"/>
              </w:rPr>
            </w:pPr>
            <w:r>
              <w:rPr>
                <w:sz w:val="24"/>
              </w:rPr>
              <w:t>郭明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continue"/>
            <w:vAlign w:val="center"/>
          </w:tcPr>
          <w:p>
            <w:pPr>
              <w:autoSpaceDE w:val="0"/>
              <w:autoSpaceDN w:val="0"/>
              <w:adjustRightInd w:val="0"/>
              <w:spacing w:before="29" w:line="288" w:lineRule="auto"/>
              <w:ind w:left="15"/>
              <w:rPr>
                <w:color w:val="000000"/>
                <w:kern w:val="0"/>
                <w:sz w:val="24"/>
              </w:rPr>
            </w:pPr>
          </w:p>
        </w:tc>
        <w:tc>
          <w:tcPr>
            <w:tcW w:w="1276" w:type="dxa"/>
            <w:vAlign w:val="center"/>
          </w:tcPr>
          <w:p>
            <w:pPr>
              <w:autoSpaceDE w:val="0"/>
              <w:autoSpaceDN w:val="0"/>
              <w:adjustRightInd w:val="0"/>
              <w:spacing w:before="29" w:line="288" w:lineRule="auto"/>
              <w:ind w:left="15"/>
              <w:jc w:val="center"/>
              <w:rPr>
                <w:color w:val="000000"/>
                <w:kern w:val="0"/>
                <w:sz w:val="24"/>
              </w:rPr>
            </w:pPr>
            <w:r>
              <w:rPr>
                <w:rFonts w:hint="eastAsia"/>
                <w:color w:val="000000"/>
                <w:kern w:val="0"/>
                <w:sz w:val="24"/>
              </w:rPr>
              <w:t>联系电话</w:t>
            </w:r>
          </w:p>
        </w:tc>
        <w:tc>
          <w:tcPr>
            <w:tcW w:w="3118" w:type="dxa"/>
            <w:vAlign w:val="center"/>
          </w:tcPr>
          <w:p>
            <w:pPr>
              <w:spacing w:before="29" w:line="288" w:lineRule="auto"/>
              <w:jc w:val="center"/>
              <w:rPr>
                <w:sz w:val="24"/>
              </w:rPr>
            </w:pPr>
            <w:r>
              <w:rPr>
                <w:sz w:val="24"/>
              </w:rPr>
              <w:t>（021）61055050</w:t>
            </w:r>
          </w:p>
        </w:tc>
        <w:tc>
          <w:tcPr>
            <w:tcW w:w="3328" w:type="dxa"/>
            <w:vAlign w:val="center"/>
          </w:tcPr>
          <w:p>
            <w:pPr>
              <w:spacing w:before="29" w:line="288" w:lineRule="auto"/>
              <w:jc w:val="center"/>
              <w:rPr>
                <w:sz w:val="24"/>
              </w:rPr>
            </w:pPr>
            <w:r>
              <w:rPr>
                <w:sz w:val="24"/>
              </w:rPr>
              <w:t>010-66105799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continue"/>
            <w:vAlign w:val="center"/>
          </w:tcPr>
          <w:p>
            <w:pPr>
              <w:autoSpaceDE w:val="0"/>
              <w:autoSpaceDN w:val="0"/>
              <w:adjustRightInd w:val="0"/>
              <w:spacing w:before="29" w:line="288" w:lineRule="auto"/>
              <w:ind w:left="15"/>
              <w:rPr>
                <w:color w:val="000000"/>
                <w:kern w:val="0"/>
                <w:sz w:val="24"/>
              </w:rPr>
            </w:pPr>
          </w:p>
        </w:tc>
        <w:tc>
          <w:tcPr>
            <w:tcW w:w="1276" w:type="dxa"/>
            <w:vAlign w:val="center"/>
          </w:tcPr>
          <w:p>
            <w:pPr>
              <w:autoSpaceDE w:val="0"/>
              <w:autoSpaceDN w:val="0"/>
              <w:adjustRightInd w:val="0"/>
              <w:spacing w:before="29" w:line="288" w:lineRule="auto"/>
              <w:ind w:left="15"/>
              <w:jc w:val="center"/>
              <w:rPr>
                <w:color w:val="000000"/>
                <w:kern w:val="0"/>
                <w:sz w:val="24"/>
              </w:rPr>
            </w:pPr>
            <w:r>
              <w:rPr>
                <w:rFonts w:hint="eastAsia"/>
                <w:color w:val="000000"/>
                <w:kern w:val="0"/>
                <w:sz w:val="24"/>
              </w:rPr>
              <w:t>电子邮箱</w:t>
            </w:r>
          </w:p>
        </w:tc>
        <w:tc>
          <w:tcPr>
            <w:tcW w:w="3118" w:type="dxa"/>
            <w:vAlign w:val="center"/>
          </w:tcPr>
          <w:p>
            <w:pPr>
              <w:spacing w:before="29" w:line="288" w:lineRule="auto"/>
              <w:jc w:val="center"/>
              <w:rPr>
                <w:sz w:val="24"/>
              </w:rPr>
            </w:pPr>
            <w:r>
              <w:rPr>
                <w:sz w:val="24"/>
              </w:rPr>
              <w:t>xxpl@jysld.com,disclosure@jysld.com</w:t>
            </w:r>
          </w:p>
        </w:tc>
        <w:tc>
          <w:tcPr>
            <w:tcW w:w="3328" w:type="dxa"/>
            <w:vAlign w:val="center"/>
          </w:tcPr>
          <w:p>
            <w:pPr>
              <w:spacing w:before="29" w:line="288" w:lineRule="auto"/>
              <w:jc w:val="center"/>
              <w:rPr>
                <w:sz w:val="24"/>
              </w:rPr>
            </w:pPr>
            <w:r>
              <w:rPr>
                <w:sz w:val="24"/>
              </w:rPr>
              <w:t>custody@icbc.com.cn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52" w:type="dxa"/>
            <w:gridSpan w:val="2"/>
            <w:vAlign w:val="center"/>
          </w:tcPr>
          <w:p>
            <w:pPr>
              <w:spacing w:before="29" w:line="288" w:lineRule="auto"/>
              <w:rPr>
                <w:sz w:val="24"/>
              </w:rPr>
            </w:pPr>
            <w:r>
              <w:rPr>
                <w:rFonts w:hint="eastAsia"/>
                <w:sz w:val="24"/>
              </w:rPr>
              <w:t>客户服务电话</w:t>
            </w:r>
          </w:p>
        </w:tc>
        <w:tc>
          <w:tcPr>
            <w:tcW w:w="3118" w:type="dxa"/>
            <w:vAlign w:val="center"/>
          </w:tcPr>
          <w:p>
            <w:pPr>
              <w:spacing w:before="29" w:line="288" w:lineRule="auto"/>
              <w:jc w:val="center"/>
              <w:rPr>
                <w:sz w:val="24"/>
              </w:rPr>
            </w:pPr>
            <w:r>
              <w:rPr>
                <w:sz w:val="24"/>
              </w:rPr>
              <w:t>400-700-5000，021-61055000</w:t>
            </w:r>
          </w:p>
        </w:tc>
        <w:tc>
          <w:tcPr>
            <w:tcW w:w="3328" w:type="dxa"/>
            <w:vAlign w:val="center"/>
          </w:tcPr>
          <w:p>
            <w:pPr>
              <w:spacing w:before="29" w:line="288" w:lineRule="auto"/>
              <w:jc w:val="center"/>
              <w:rPr>
                <w:sz w:val="24"/>
              </w:rPr>
            </w:pPr>
            <w:r>
              <w:rPr>
                <w:sz w:val="24"/>
              </w:rPr>
              <w:t>95588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spacing w:before="29" w:line="288" w:lineRule="auto"/>
              <w:rPr>
                <w:sz w:val="24"/>
              </w:rPr>
            </w:pPr>
            <w:r>
              <w:rPr>
                <w:rFonts w:hint="eastAsia"/>
                <w:sz w:val="24"/>
              </w:rPr>
              <w:t>传真</w:t>
            </w:r>
          </w:p>
        </w:tc>
        <w:tc>
          <w:tcPr>
            <w:tcW w:w="3118" w:type="dxa"/>
            <w:vAlign w:val="center"/>
          </w:tcPr>
          <w:p>
            <w:pPr>
              <w:spacing w:before="29" w:line="288" w:lineRule="auto"/>
              <w:jc w:val="center"/>
              <w:rPr>
                <w:sz w:val="24"/>
              </w:rPr>
            </w:pPr>
            <w:r>
              <w:rPr>
                <w:sz w:val="24"/>
              </w:rPr>
              <w:t>（021）61055054</w:t>
            </w:r>
          </w:p>
        </w:tc>
        <w:tc>
          <w:tcPr>
            <w:tcW w:w="3328" w:type="dxa"/>
            <w:vAlign w:val="center"/>
          </w:tcPr>
          <w:p>
            <w:pPr>
              <w:spacing w:before="29" w:line="288" w:lineRule="auto"/>
              <w:jc w:val="center"/>
              <w:rPr>
                <w:sz w:val="24"/>
              </w:rPr>
            </w:pPr>
            <w:r>
              <w:rPr>
                <w:sz w:val="24"/>
              </w:rPr>
              <w:t>010-66105798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spacing w:before="29" w:line="288" w:lineRule="auto"/>
              <w:rPr>
                <w:sz w:val="24"/>
              </w:rPr>
            </w:pPr>
            <w:r>
              <w:rPr>
                <w:rFonts w:hint="eastAsia"/>
                <w:sz w:val="24"/>
              </w:rPr>
              <w:t>注册地址</w:t>
            </w:r>
          </w:p>
        </w:tc>
        <w:tc>
          <w:tcPr>
            <w:tcW w:w="3118" w:type="dxa"/>
            <w:vAlign w:val="center"/>
          </w:tcPr>
          <w:p>
            <w:pPr>
              <w:spacing w:before="29" w:line="288" w:lineRule="auto"/>
              <w:jc w:val="center"/>
              <w:rPr>
                <w:sz w:val="24"/>
              </w:rPr>
            </w:pPr>
            <w:r>
              <w:rPr>
                <w:sz w:val="24"/>
              </w:rPr>
              <w:t>中国（上海）自由贸易试验区银城中路188号交通银行大楼二层（裙）</w:t>
            </w:r>
          </w:p>
        </w:tc>
        <w:tc>
          <w:tcPr>
            <w:tcW w:w="3328" w:type="dxa"/>
            <w:vAlign w:val="center"/>
          </w:tcPr>
          <w:p>
            <w:pPr>
              <w:spacing w:before="29" w:line="288" w:lineRule="auto"/>
              <w:jc w:val="center"/>
              <w:rPr>
                <w:sz w:val="24"/>
              </w:rPr>
            </w:pPr>
            <w:r>
              <w:rPr>
                <w:sz w:val="24"/>
              </w:rPr>
              <w:t>北京市西城区复兴门内大街55号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52" w:type="dxa"/>
            <w:gridSpan w:val="2"/>
            <w:vAlign w:val="center"/>
          </w:tcPr>
          <w:p>
            <w:pPr>
              <w:spacing w:before="29" w:line="288" w:lineRule="auto"/>
              <w:rPr>
                <w:sz w:val="24"/>
              </w:rPr>
            </w:pPr>
            <w:r>
              <w:rPr>
                <w:rFonts w:hint="eastAsia"/>
                <w:sz w:val="24"/>
              </w:rPr>
              <w:t>办公地址</w:t>
            </w:r>
          </w:p>
        </w:tc>
        <w:tc>
          <w:tcPr>
            <w:tcW w:w="3118" w:type="dxa"/>
            <w:vAlign w:val="center"/>
          </w:tcPr>
          <w:p>
            <w:pPr>
              <w:spacing w:before="29" w:line="288" w:lineRule="auto"/>
              <w:jc w:val="center"/>
              <w:rPr>
                <w:sz w:val="24"/>
              </w:rPr>
            </w:pPr>
            <w:r>
              <w:rPr>
                <w:sz w:val="24"/>
              </w:rPr>
              <w:t>上海市浦东新区世纪大道8号国金中心二期21-22楼</w:t>
            </w:r>
          </w:p>
        </w:tc>
        <w:tc>
          <w:tcPr>
            <w:tcW w:w="3328" w:type="dxa"/>
            <w:vAlign w:val="center"/>
          </w:tcPr>
          <w:p>
            <w:pPr>
              <w:spacing w:before="29" w:line="288" w:lineRule="auto"/>
              <w:jc w:val="center"/>
              <w:rPr>
                <w:sz w:val="24"/>
              </w:rPr>
            </w:pPr>
            <w:r>
              <w:rPr>
                <w:sz w:val="24"/>
              </w:rPr>
              <w:t>北京市西城区复兴门内大街55号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spacing w:before="29" w:line="288" w:lineRule="auto"/>
              <w:rPr>
                <w:sz w:val="24"/>
              </w:rPr>
            </w:pPr>
            <w:r>
              <w:rPr>
                <w:rFonts w:hint="eastAsia"/>
                <w:sz w:val="24"/>
              </w:rPr>
              <w:t>邮政编码</w:t>
            </w:r>
          </w:p>
        </w:tc>
        <w:tc>
          <w:tcPr>
            <w:tcW w:w="3118" w:type="dxa"/>
            <w:vAlign w:val="center"/>
          </w:tcPr>
          <w:p>
            <w:pPr>
              <w:spacing w:before="29" w:line="288" w:lineRule="auto"/>
              <w:jc w:val="center"/>
              <w:rPr>
                <w:sz w:val="24"/>
              </w:rPr>
            </w:pPr>
            <w:r>
              <w:rPr>
                <w:sz w:val="24"/>
              </w:rPr>
              <w:t>200120</w:t>
            </w:r>
          </w:p>
        </w:tc>
        <w:tc>
          <w:tcPr>
            <w:tcW w:w="3328" w:type="dxa"/>
            <w:vAlign w:val="center"/>
          </w:tcPr>
          <w:p>
            <w:pPr>
              <w:spacing w:before="29" w:line="288" w:lineRule="auto"/>
              <w:jc w:val="center"/>
              <w:rPr>
                <w:sz w:val="24"/>
              </w:rPr>
            </w:pPr>
            <w:r>
              <w:rPr>
                <w:sz w:val="24"/>
              </w:rPr>
              <w:t>100140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spacing w:before="29" w:line="288" w:lineRule="auto"/>
              <w:rPr>
                <w:sz w:val="24"/>
              </w:rPr>
            </w:pPr>
            <w:r>
              <w:rPr>
                <w:rFonts w:hint="eastAsia"/>
                <w:sz w:val="24"/>
              </w:rPr>
              <w:t>法定代表人</w:t>
            </w:r>
          </w:p>
        </w:tc>
        <w:tc>
          <w:tcPr>
            <w:tcW w:w="3118" w:type="dxa"/>
            <w:vAlign w:val="center"/>
          </w:tcPr>
          <w:p>
            <w:pPr>
              <w:spacing w:before="29" w:line="288" w:lineRule="auto"/>
              <w:jc w:val="center"/>
              <w:rPr>
                <w:sz w:val="24"/>
              </w:rPr>
            </w:pPr>
            <w:r>
              <w:rPr>
                <w:sz w:val="24"/>
              </w:rPr>
              <w:t>阮红</w:t>
            </w:r>
          </w:p>
        </w:tc>
        <w:tc>
          <w:tcPr>
            <w:tcW w:w="3328" w:type="dxa"/>
            <w:vAlign w:val="center"/>
          </w:tcPr>
          <w:p>
            <w:pPr>
              <w:spacing w:before="29" w:line="288" w:lineRule="auto"/>
              <w:jc w:val="center"/>
              <w:rPr>
                <w:sz w:val="24"/>
              </w:rPr>
            </w:pPr>
            <w:r>
              <w:rPr>
                <w:sz w:val="24"/>
              </w:rPr>
              <w:t>陈四清</w:t>
            </w:r>
          </w:p>
        </w:tc>
      </w:tr>
    </w:tbl>
    <w:p>
      <w:pPr>
        <w:tabs>
          <w:tab w:val="left" w:pos="1740"/>
        </w:tabs>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9" w:name="_Toc361324848"/>
      <w:bookmarkStart w:id="20" w:name="_Toc225498248"/>
      <w:bookmarkStart w:id="21" w:name="_Toc67589747"/>
      <w:r>
        <w:rPr>
          <w:rFonts w:ascii="Times New Roman" w:hAnsi="Times New Roman"/>
          <w:kern w:val="0"/>
          <w:szCs w:val="24"/>
        </w:rPr>
        <w:t xml:space="preserve">2.4 </w:t>
      </w:r>
      <w:r>
        <w:rPr>
          <w:rFonts w:hint="eastAsia" w:ascii="Times New Roman" w:hAnsi="Times New Roman"/>
          <w:kern w:val="0"/>
          <w:szCs w:val="24"/>
        </w:rPr>
        <w:t>信息披露方式</w:t>
      </w:r>
      <w:bookmarkEnd w:id="19"/>
      <w:bookmarkEnd w:id="20"/>
      <w:bookmarkEnd w:id="21"/>
    </w:p>
    <w:tbl>
      <w:tblPr>
        <w:tblStyle w:val="25"/>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0"/>
        <w:gridCol w:w="4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0" w:type="dxa"/>
            <w:vAlign w:val="center"/>
          </w:tcPr>
          <w:p>
            <w:pPr>
              <w:spacing w:before="29" w:line="288" w:lineRule="auto"/>
              <w:rPr>
                <w:sz w:val="24"/>
              </w:rPr>
            </w:pPr>
            <w:r>
              <w:rPr>
                <w:rFonts w:hint="eastAsia"/>
                <w:sz w:val="24"/>
              </w:rPr>
              <w:t>本基金选定的信息披露报纸名称</w:t>
            </w:r>
          </w:p>
        </w:tc>
        <w:tc>
          <w:tcPr>
            <w:tcW w:w="4178" w:type="dxa"/>
            <w:vAlign w:val="center"/>
          </w:tcPr>
          <w:p>
            <w:pPr>
              <w:spacing w:before="29" w:line="288" w:lineRule="auto"/>
              <w:jc w:val="center"/>
              <w:rPr>
                <w:sz w:val="24"/>
              </w:rPr>
            </w:pPr>
            <w:r>
              <w:rPr>
                <w:sz w:val="24"/>
              </w:rPr>
              <w:t>《上海证券报》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0" w:type="dxa"/>
            <w:vAlign w:val="center"/>
          </w:tcPr>
          <w:p>
            <w:pPr>
              <w:spacing w:before="29" w:line="288" w:lineRule="auto"/>
              <w:rPr>
                <w:sz w:val="24"/>
              </w:rPr>
            </w:pPr>
            <w:r>
              <w:rPr>
                <w:rFonts w:hint="eastAsia"/>
                <w:sz w:val="24"/>
              </w:rPr>
              <w:t>登载基金年度报告正文的管理人互联网网址</w:t>
            </w:r>
          </w:p>
        </w:tc>
        <w:tc>
          <w:tcPr>
            <w:tcW w:w="4178" w:type="dxa"/>
            <w:vAlign w:val="center"/>
          </w:tcPr>
          <w:p>
            <w:pPr>
              <w:spacing w:before="29" w:line="288" w:lineRule="auto"/>
              <w:jc w:val="center"/>
              <w:rPr>
                <w:sz w:val="24"/>
              </w:rPr>
            </w:pPr>
            <w:r>
              <w:rPr>
                <w:sz w:val="24"/>
              </w:rPr>
              <w:t>www.fund001.com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0" w:type="dxa"/>
            <w:vAlign w:val="center"/>
          </w:tcPr>
          <w:p>
            <w:pPr>
              <w:spacing w:before="29" w:line="288" w:lineRule="auto"/>
              <w:rPr>
                <w:sz w:val="24"/>
              </w:rPr>
            </w:pPr>
            <w:r>
              <w:rPr>
                <w:rFonts w:hint="eastAsia"/>
                <w:sz w:val="24"/>
              </w:rPr>
              <w:t>基金年度报告备置地点</w:t>
            </w:r>
          </w:p>
        </w:tc>
        <w:tc>
          <w:tcPr>
            <w:tcW w:w="4178" w:type="dxa"/>
            <w:vAlign w:val="center"/>
          </w:tcPr>
          <w:p>
            <w:pPr>
              <w:spacing w:before="29" w:line="288" w:lineRule="auto"/>
              <w:jc w:val="center"/>
              <w:rPr>
                <w:sz w:val="24"/>
              </w:rPr>
            </w:pPr>
            <w:r>
              <w:rPr>
                <w:sz w:val="24"/>
              </w:rPr>
              <w:t>基金管理人的办公场所</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2" w:name="_Toc225498249"/>
      <w:bookmarkStart w:id="23" w:name="_Toc67589748"/>
      <w:bookmarkStart w:id="24" w:name="_Toc361324849"/>
      <w:r>
        <w:rPr>
          <w:rFonts w:ascii="Times New Roman" w:hAnsi="Times New Roman"/>
          <w:kern w:val="0"/>
          <w:szCs w:val="24"/>
        </w:rPr>
        <w:t xml:space="preserve">2.5 </w:t>
      </w:r>
      <w:r>
        <w:rPr>
          <w:rFonts w:hint="eastAsia" w:ascii="Times New Roman" w:hAnsi="Times New Roman"/>
          <w:kern w:val="0"/>
          <w:szCs w:val="24"/>
        </w:rPr>
        <w:t>其他相关资料</w:t>
      </w:r>
      <w:bookmarkEnd w:id="22"/>
      <w:bookmarkEnd w:id="23"/>
      <w:bookmarkEnd w:id="24"/>
    </w:p>
    <w:tbl>
      <w:tblPr>
        <w:tblStyle w:val="25"/>
        <w:tblW w:w="8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2976"/>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tabs>
                <w:tab w:val="left" w:pos="1740"/>
              </w:tabs>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w:t>
            </w:r>
          </w:p>
        </w:tc>
        <w:tc>
          <w:tcPr>
            <w:tcW w:w="2976" w:type="dxa"/>
            <w:vAlign w:val="center"/>
          </w:tcPr>
          <w:p>
            <w:pPr>
              <w:tabs>
                <w:tab w:val="left" w:pos="1740"/>
              </w:tabs>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名称</w:t>
            </w:r>
          </w:p>
        </w:tc>
        <w:tc>
          <w:tcPr>
            <w:tcW w:w="2761" w:type="dxa"/>
            <w:vAlign w:val="center"/>
          </w:tcPr>
          <w:p>
            <w:pPr>
              <w:tabs>
                <w:tab w:val="left" w:pos="1740"/>
              </w:tabs>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before="29" w:line="288" w:lineRule="auto"/>
              <w:rPr>
                <w:sz w:val="24"/>
              </w:rPr>
            </w:pPr>
            <w:r>
              <w:rPr>
                <w:rFonts w:hint="eastAsia"/>
                <w:sz w:val="24"/>
              </w:rPr>
              <w:t>会计师事务所</w:t>
            </w:r>
          </w:p>
        </w:tc>
        <w:tc>
          <w:tcPr>
            <w:tcW w:w="2976" w:type="dxa"/>
            <w:vAlign w:val="center"/>
          </w:tcPr>
          <w:p>
            <w:pPr>
              <w:spacing w:before="29" w:line="288" w:lineRule="auto"/>
              <w:jc w:val="center"/>
              <w:rPr>
                <w:sz w:val="24"/>
              </w:rPr>
            </w:pPr>
            <w:r>
              <w:rPr>
                <w:sz w:val="24"/>
              </w:rPr>
              <w:t>普华永道中天会计师事务所（特殊普通合伙）</w:t>
            </w:r>
          </w:p>
        </w:tc>
        <w:tc>
          <w:tcPr>
            <w:tcW w:w="2761" w:type="dxa"/>
            <w:vAlign w:val="center"/>
          </w:tcPr>
          <w:p>
            <w:pPr>
              <w:spacing w:before="29" w:line="288" w:lineRule="auto"/>
              <w:jc w:val="center"/>
              <w:rPr>
                <w:sz w:val="24"/>
              </w:rPr>
            </w:pPr>
            <w:r>
              <w:rPr>
                <w:sz w:val="24"/>
              </w:rPr>
              <w:t>上海市湖滨路202号普华永道中心11楼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1" w:type="dxa"/>
            <w:vAlign w:val="center"/>
          </w:tcPr>
          <w:p>
            <w:pPr>
              <w:spacing w:before="29" w:line="288" w:lineRule="auto"/>
              <w:rPr>
                <w:sz w:val="24"/>
              </w:rPr>
            </w:pPr>
            <w:r>
              <w:rPr>
                <w:rFonts w:hint="eastAsia"/>
                <w:sz w:val="24"/>
              </w:rPr>
              <w:t>注册登记机构</w:t>
            </w:r>
          </w:p>
        </w:tc>
        <w:tc>
          <w:tcPr>
            <w:tcW w:w="2976" w:type="dxa"/>
            <w:vAlign w:val="center"/>
          </w:tcPr>
          <w:p>
            <w:pPr>
              <w:spacing w:before="29" w:line="288" w:lineRule="auto"/>
              <w:jc w:val="center"/>
              <w:rPr>
                <w:sz w:val="24"/>
              </w:rPr>
            </w:pPr>
            <w:r>
              <w:rPr>
                <w:sz w:val="24"/>
              </w:rPr>
              <w:t>中国证券登记结算有限责任公司</w:t>
            </w:r>
          </w:p>
        </w:tc>
        <w:tc>
          <w:tcPr>
            <w:tcW w:w="2761" w:type="dxa"/>
            <w:vAlign w:val="center"/>
          </w:tcPr>
          <w:p>
            <w:pPr>
              <w:spacing w:before="29" w:line="288" w:lineRule="auto"/>
              <w:jc w:val="center"/>
              <w:rPr>
                <w:sz w:val="24"/>
              </w:rPr>
            </w:pPr>
            <w:r>
              <w:rPr>
                <w:sz w:val="24"/>
              </w:rPr>
              <w:t>北京市西城区太平桥大街17号</w:t>
            </w:r>
          </w:p>
        </w:tc>
      </w:tr>
    </w:tbl>
    <w:p>
      <w:pPr>
        <w:spacing w:before="29" w:line="288" w:lineRule="auto"/>
        <w:jc w:val="left"/>
        <w:rPr>
          <w:kern w:val="0"/>
          <w:sz w:val="24"/>
        </w:rPr>
      </w:pPr>
    </w:p>
    <w:p>
      <w:pPr>
        <w:pStyle w:val="2"/>
        <w:keepNext/>
        <w:keepLines/>
        <w:widowControl w:val="0"/>
        <w:spacing w:before="312" w:beforeLines="100" w:after="312" w:afterLines="100" w:line="288" w:lineRule="auto"/>
        <w:jc w:val="center"/>
        <w:rPr>
          <w:b/>
          <w:bCs/>
          <w:szCs w:val="24"/>
          <w:lang w:val="en-US"/>
        </w:rPr>
      </w:pPr>
      <w:bookmarkStart w:id="25" w:name="_Toc225498250"/>
      <w:bookmarkStart w:id="26" w:name="_Toc361324850"/>
      <w:bookmarkStart w:id="27" w:name="_Toc67589749"/>
      <w:r>
        <w:rPr>
          <w:rFonts w:hint="eastAsia"/>
          <w:b/>
          <w:bCs/>
          <w:szCs w:val="24"/>
          <w:lang w:val="en-US"/>
        </w:rPr>
        <w:t>§</w:t>
      </w:r>
      <w:r>
        <w:rPr>
          <w:b/>
          <w:bCs/>
          <w:szCs w:val="24"/>
          <w:lang w:val="en-US"/>
        </w:rPr>
        <w:t xml:space="preserve">3 </w:t>
      </w:r>
      <w:r>
        <w:rPr>
          <w:rFonts w:hint="eastAsia"/>
          <w:b/>
          <w:bCs/>
          <w:szCs w:val="24"/>
          <w:lang w:val="en-US"/>
        </w:rPr>
        <w:t>主要财务指标、基金净值表现</w:t>
      </w:r>
      <w:bookmarkEnd w:id="25"/>
      <w:r>
        <w:rPr>
          <w:rFonts w:hint="eastAsia"/>
          <w:b/>
          <w:bCs/>
          <w:szCs w:val="24"/>
          <w:lang w:val="en-US"/>
        </w:rPr>
        <w:t>及利润分配情况</w:t>
      </w:r>
      <w:bookmarkEnd w:id="26"/>
      <w:bookmarkEnd w:id="27"/>
    </w:p>
    <w:p/>
    <w:p>
      <w:pPr>
        <w:pStyle w:val="3"/>
        <w:spacing w:before="29" w:after="0" w:line="288" w:lineRule="auto"/>
        <w:rPr>
          <w:rFonts w:ascii="Times New Roman" w:hAnsi="Times New Roman"/>
          <w:kern w:val="0"/>
          <w:szCs w:val="24"/>
        </w:rPr>
      </w:pPr>
      <w:bookmarkStart w:id="28" w:name="_Toc67589750"/>
      <w:bookmarkStart w:id="29" w:name="_Toc286996129"/>
      <w:bookmarkStart w:id="30" w:name="_Toc361324851"/>
      <w:r>
        <w:rPr>
          <w:rFonts w:ascii="Times New Roman" w:hAnsi="Times New Roman"/>
          <w:kern w:val="0"/>
          <w:szCs w:val="24"/>
        </w:rPr>
        <w:t xml:space="preserve">3.1 </w:t>
      </w:r>
      <w:r>
        <w:rPr>
          <w:rFonts w:hint="eastAsia" w:ascii="Times New Roman" w:hAnsi="Times New Roman"/>
          <w:kern w:val="0"/>
          <w:szCs w:val="24"/>
        </w:rPr>
        <w:t>主要会计数据和财务指标</w:t>
      </w:r>
      <w:bookmarkEnd w:id="28"/>
      <w:bookmarkEnd w:id="29"/>
      <w:bookmarkEnd w:id="30"/>
    </w:p>
    <w:p>
      <w:pPr>
        <w:autoSpaceDE w:val="0"/>
        <w:autoSpaceDN w:val="0"/>
        <w:adjustRightInd w:val="0"/>
        <w:spacing w:before="29" w:line="288" w:lineRule="auto"/>
        <w:ind w:left="15"/>
        <w:jc w:val="right"/>
        <w:rPr>
          <w:color w:val="000000"/>
          <w:kern w:val="0"/>
          <w:sz w:val="24"/>
        </w:rPr>
      </w:pPr>
      <w:r>
        <w:rPr>
          <w:rFonts w:hint="eastAsia"/>
          <w:color w:val="000000"/>
          <w:kern w:val="0"/>
          <w:sz w:val="24"/>
        </w:rPr>
        <w:t>金额单位：人民币元</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268"/>
        <w:gridCol w:w="2409"/>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03" w:type="pct"/>
            <w:vAlign w:val="center"/>
          </w:tcPr>
          <w:p>
            <w:pPr>
              <w:spacing w:before="29" w:line="288" w:lineRule="auto"/>
              <w:rPr>
                <w:b/>
                <w:szCs w:val="21"/>
              </w:rPr>
            </w:pPr>
            <w:r>
              <w:rPr>
                <w:b/>
                <w:szCs w:val="21"/>
              </w:rPr>
              <w:t xml:space="preserve">3.1.1 </w:t>
            </w:r>
            <w:r>
              <w:rPr>
                <w:rFonts w:hint="eastAsia"/>
                <w:b/>
                <w:szCs w:val="21"/>
              </w:rPr>
              <w:t>期间数据和指标</w:t>
            </w:r>
          </w:p>
        </w:tc>
        <w:tc>
          <w:tcPr>
            <w:tcW w:w="1221" w:type="pct"/>
            <w:vAlign w:val="center"/>
          </w:tcPr>
          <w:p>
            <w:pPr>
              <w:spacing w:before="29" w:line="288" w:lineRule="auto"/>
              <w:jc w:val="center"/>
              <w:rPr>
                <w:b/>
                <w:szCs w:val="21"/>
              </w:rPr>
            </w:pPr>
            <w:r>
              <w:rPr>
                <w:b/>
                <w:szCs w:val="21"/>
              </w:rPr>
              <w:t>2020年</w:t>
            </w:r>
          </w:p>
        </w:tc>
        <w:tc>
          <w:tcPr>
            <w:tcW w:w="1297" w:type="pct"/>
            <w:vAlign w:val="center"/>
          </w:tcPr>
          <w:p>
            <w:pPr>
              <w:spacing w:before="29" w:line="288" w:lineRule="auto"/>
              <w:jc w:val="center"/>
              <w:rPr>
                <w:b/>
                <w:szCs w:val="21"/>
              </w:rPr>
            </w:pPr>
            <w:r>
              <w:rPr>
                <w:b/>
                <w:szCs w:val="21"/>
              </w:rPr>
              <w:t>2019年</w:t>
            </w:r>
          </w:p>
        </w:tc>
        <w:tc>
          <w:tcPr>
            <w:tcW w:w="1278" w:type="pct"/>
            <w:vAlign w:val="center"/>
          </w:tcPr>
          <w:p>
            <w:pPr>
              <w:spacing w:before="29" w:line="288" w:lineRule="auto"/>
              <w:jc w:val="center"/>
              <w:rPr>
                <w:b/>
                <w:szCs w:val="21"/>
              </w:rPr>
            </w:pPr>
            <w:r>
              <w:rPr>
                <w:b/>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本期已实现收益</w:t>
            </w:r>
          </w:p>
        </w:tc>
        <w:tc>
          <w:tcPr>
            <w:tcW w:w="1221" w:type="pct"/>
            <w:vAlign w:val="center"/>
          </w:tcPr>
          <w:p>
            <w:pPr>
              <w:spacing w:before="29" w:line="288" w:lineRule="auto"/>
              <w:jc w:val="right"/>
              <w:rPr>
                <w:szCs w:val="21"/>
              </w:rPr>
            </w:pPr>
            <w:r>
              <w:rPr>
                <w:szCs w:val="21"/>
              </w:rPr>
              <w:t>105,547,764.44</w:t>
            </w:r>
          </w:p>
        </w:tc>
        <w:tc>
          <w:tcPr>
            <w:tcW w:w="1297" w:type="pct"/>
            <w:vAlign w:val="center"/>
          </w:tcPr>
          <w:p>
            <w:pPr>
              <w:spacing w:before="29" w:line="288" w:lineRule="auto"/>
              <w:jc w:val="right"/>
              <w:rPr>
                <w:szCs w:val="21"/>
              </w:rPr>
            </w:pPr>
            <w:r>
              <w:rPr>
                <w:szCs w:val="21"/>
              </w:rPr>
              <w:t>63,001,297.00</w:t>
            </w:r>
          </w:p>
        </w:tc>
        <w:tc>
          <w:tcPr>
            <w:tcW w:w="1278" w:type="pct"/>
            <w:vAlign w:val="center"/>
          </w:tcPr>
          <w:p>
            <w:pPr>
              <w:spacing w:before="29" w:line="288" w:lineRule="auto"/>
              <w:jc w:val="right"/>
              <w:rPr>
                <w:szCs w:val="21"/>
              </w:rPr>
            </w:pPr>
            <w:r>
              <w:rPr>
                <w:szCs w:val="21"/>
              </w:rPr>
              <w:t>-27,317,447.52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本期利润</w:t>
            </w:r>
          </w:p>
        </w:tc>
        <w:tc>
          <w:tcPr>
            <w:tcW w:w="1221" w:type="pct"/>
            <w:vAlign w:val="center"/>
          </w:tcPr>
          <w:p>
            <w:pPr>
              <w:spacing w:before="29" w:line="288" w:lineRule="auto"/>
              <w:jc w:val="right"/>
              <w:rPr>
                <w:szCs w:val="21"/>
              </w:rPr>
            </w:pPr>
            <w:r>
              <w:rPr>
                <w:szCs w:val="21"/>
              </w:rPr>
              <w:t>126,686,732.22</w:t>
            </w:r>
          </w:p>
        </w:tc>
        <w:tc>
          <w:tcPr>
            <w:tcW w:w="1297" w:type="pct"/>
            <w:vAlign w:val="center"/>
          </w:tcPr>
          <w:p>
            <w:pPr>
              <w:spacing w:before="29" w:line="288" w:lineRule="auto"/>
              <w:jc w:val="right"/>
              <w:rPr>
                <w:szCs w:val="21"/>
              </w:rPr>
            </w:pPr>
            <w:r>
              <w:rPr>
                <w:szCs w:val="21"/>
              </w:rPr>
              <w:t>93,369,438.18</w:t>
            </w:r>
          </w:p>
        </w:tc>
        <w:tc>
          <w:tcPr>
            <w:tcW w:w="1278" w:type="pct"/>
            <w:vAlign w:val="center"/>
          </w:tcPr>
          <w:p>
            <w:pPr>
              <w:spacing w:before="29" w:line="288" w:lineRule="auto"/>
              <w:jc w:val="right"/>
              <w:rPr>
                <w:szCs w:val="21"/>
              </w:rPr>
            </w:pPr>
            <w:r>
              <w:rPr>
                <w:szCs w:val="21"/>
              </w:rPr>
              <w:t>-36,392,606.35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加权平均基金份额本期利润</w:t>
            </w:r>
          </w:p>
        </w:tc>
        <w:tc>
          <w:tcPr>
            <w:tcW w:w="1221" w:type="pct"/>
            <w:vAlign w:val="center"/>
          </w:tcPr>
          <w:p>
            <w:pPr>
              <w:spacing w:before="29" w:line="288" w:lineRule="auto"/>
              <w:jc w:val="right"/>
              <w:rPr>
                <w:szCs w:val="21"/>
              </w:rPr>
            </w:pPr>
            <w:r>
              <w:rPr>
                <w:szCs w:val="21"/>
              </w:rPr>
              <w:t>0.7903</w:t>
            </w:r>
          </w:p>
        </w:tc>
        <w:tc>
          <w:tcPr>
            <w:tcW w:w="1297" w:type="pct"/>
            <w:vAlign w:val="center"/>
          </w:tcPr>
          <w:p>
            <w:pPr>
              <w:spacing w:before="29" w:line="288" w:lineRule="auto"/>
              <w:jc w:val="right"/>
              <w:rPr>
                <w:szCs w:val="21"/>
              </w:rPr>
            </w:pPr>
            <w:r>
              <w:rPr>
                <w:szCs w:val="21"/>
              </w:rPr>
              <w:t>0.3667</w:t>
            </w:r>
          </w:p>
        </w:tc>
        <w:tc>
          <w:tcPr>
            <w:tcW w:w="1278" w:type="pct"/>
            <w:vAlign w:val="center"/>
          </w:tcPr>
          <w:p>
            <w:pPr>
              <w:spacing w:before="29" w:line="288" w:lineRule="auto"/>
              <w:jc w:val="right"/>
              <w:rPr>
                <w:szCs w:val="21"/>
              </w:rPr>
            </w:pPr>
            <w:r>
              <w:rPr>
                <w:szCs w:val="21"/>
              </w:rPr>
              <w:t>-0.2161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本期加权平均净值利润率</w:t>
            </w:r>
          </w:p>
        </w:tc>
        <w:tc>
          <w:tcPr>
            <w:tcW w:w="1221" w:type="pct"/>
            <w:vAlign w:val="center"/>
          </w:tcPr>
          <w:p>
            <w:pPr>
              <w:spacing w:before="29" w:line="288" w:lineRule="auto"/>
              <w:jc w:val="right"/>
              <w:rPr>
                <w:szCs w:val="21"/>
              </w:rPr>
            </w:pPr>
            <w:r>
              <w:rPr>
                <w:szCs w:val="21"/>
              </w:rPr>
              <w:t>47.20%</w:t>
            </w:r>
          </w:p>
        </w:tc>
        <w:tc>
          <w:tcPr>
            <w:tcW w:w="1297" w:type="pct"/>
            <w:vAlign w:val="center"/>
          </w:tcPr>
          <w:p>
            <w:pPr>
              <w:spacing w:before="29" w:line="288" w:lineRule="auto"/>
              <w:jc w:val="right"/>
              <w:rPr>
                <w:szCs w:val="21"/>
              </w:rPr>
            </w:pPr>
            <w:r>
              <w:rPr>
                <w:szCs w:val="21"/>
              </w:rPr>
              <w:t>30.97%</w:t>
            </w:r>
          </w:p>
        </w:tc>
        <w:tc>
          <w:tcPr>
            <w:tcW w:w="1278" w:type="pct"/>
            <w:vAlign w:val="center"/>
          </w:tcPr>
          <w:p>
            <w:pPr>
              <w:spacing w:before="29" w:line="288" w:lineRule="auto"/>
              <w:jc w:val="right"/>
              <w:rPr>
                <w:szCs w:val="21"/>
              </w:rPr>
            </w:pPr>
            <w:r>
              <w:rPr>
                <w:szCs w:val="21"/>
              </w:rPr>
              <w:t>-21.88%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本期基金份额净值增长率</w:t>
            </w:r>
          </w:p>
        </w:tc>
        <w:tc>
          <w:tcPr>
            <w:tcW w:w="1221" w:type="pct"/>
            <w:vAlign w:val="center"/>
          </w:tcPr>
          <w:p>
            <w:pPr>
              <w:spacing w:before="29" w:line="288" w:lineRule="auto"/>
              <w:jc w:val="right"/>
              <w:rPr>
                <w:szCs w:val="21"/>
              </w:rPr>
            </w:pPr>
            <w:r>
              <w:rPr>
                <w:szCs w:val="21"/>
              </w:rPr>
              <w:t>62.14%</w:t>
            </w:r>
          </w:p>
        </w:tc>
        <w:tc>
          <w:tcPr>
            <w:tcW w:w="1297" w:type="pct"/>
            <w:vAlign w:val="center"/>
          </w:tcPr>
          <w:p>
            <w:pPr>
              <w:spacing w:before="29" w:line="288" w:lineRule="auto"/>
              <w:jc w:val="right"/>
              <w:rPr>
                <w:szCs w:val="21"/>
              </w:rPr>
            </w:pPr>
            <w:r>
              <w:rPr>
                <w:szCs w:val="21"/>
              </w:rPr>
              <w:t>50.90%</w:t>
            </w:r>
          </w:p>
        </w:tc>
        <w:tc>
          <w:tcPr>
            <w:tcW w:w="1278" w:type="pct"/>
            <w:vAlign w:val="center"/>
          </w:tcPr>
          <w:p>
            <w:pPr>
              <w:spacing w:before="29" w:line="288" w:lineRule="auto"/>
              <w:jc w:val="right"/>
              <w:rPr>
                <w:szCs w:val="21"/>
              </w:rPr>
            </w:pPr>
            <w:r>
              <w:rPr>
                <w:szCs w:val="21"/>
              </w:rPr>
              <w:t>-4.84%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rFonts w:asciiTheme="minorEastAsia" w:hAnsiTheme="minorEastAsia" w:eastAsiaTheme="minorEastAsia"/>
                <w:b/>
                <w:szCs w:val="21"/>
              </w:rPr>
            </w:pPr>
            <w:r>
              <w:rPr>
                <w:b/>
                <w:szCs w:val="21"/>
              </w:rPr>
              <w:t xml:space="preserve">3.1.2 </w:t>
            </w:r>
            <w:r>
              <w:rPr>
                <w:rFonts w:hint="eastAsia"/>
                <w:b/>
                <w:szCs w:val="21"/>
              </w:rPr>
              <w:t>期末数据和指标</w:t>
            </w:r>
          </w:p>
        </w:tc>
        <w:tc>
          <w:tcPr>
            <w:tcW w:w="1221" w:type="pct"/>
            <w:vAlign w:val="center"/>
          </w:tcPr>
          <w:p>
            <w:pPr>
              <w:spacing w:before="29" w:line="288" w:lineRule="auto"/>
              <w:jc w:val="center"/>
              <w:rPr>
                <w:b/>
                <w:szCs w:val="21"/>
              </w:rPr>
            </w:pPr>
            <w:r>
              <w:rPr>
                <w:b/>
                <w:szCs w:val="21"/>
              </w:rPr>
              <w:t>2020</w:t>
            </w:r>
            <w:r>
              <w:rPr>
                <w:rFonts w:hint="eastAsia"/>
                <w:b/>
                <w:szCs w:val="21"/>
              </w:rPr>
              <w:t>年末</w:t>
            </w:r>
          </w:p>
        </w:tc>
        <w:tc>
          <w:tcPr>
            <w:tcW w:w="1297" w:type="pct"/>
            <w:vAlign w:val="center"/>
          </w:tcPr>
          <w:p>
            <w:pPr>
              <w:spacing w:before="29" w:line="288" w:lineRule="auto"/>
              <w:jc w:val="center"/>
              <w:rPr>
                <w:b/>
                <w:szCs w:val="21"/>
              </w:rPr>
            </w:pPr>
            <w:r>
              <w:rPr>
                <w:b/>
                <w:szCs w:val="21"/>
              </w:rPr>
              <w:t>2019</w:t>
            </w:r>
            <w:r>
              <w:rPr>
                <w:rFonts w:hint="eastAsia"/>
                <w:b/>
                <w:szCs w:val="21"/>
              </w:rPr>
              <w:t>年末</w:t>
            </w:r>
          </w:p>
        </w:tc>
        <w:tc>
          <w:tcPr>
            <w:tcW w:w="1278" w:type="pct"/>
            <w:vAlign w:val="center"/>
          </w:tcPr>
          <w:p>
            <w:pPr>
              <w:spacing w:before="29" w:line="288" w:lineRule="auto"/>
              <w:jc w:val="center"/>
              <w:rPr>
                <w:b/>
                <w:szCs w:val="21"/>
              </w:rPr>
            </w:pPr>
            <w:r>
              <w:rPr>
                <w:b/>
                <w:szCs w:val="21"/>
              </w:rPr>
              <w:t>2018</w:t>
            </w:r>
            <w:r>
              <w:rPr>
                <w:rFonts w:hint="eastAsia"/>
                <w:b/>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期末可供分配利润</w:t>
            </w:r>
          </w:p>
        </w:tc>
        <w:tc>
          <w:tcPr>
            <w:tcW w:w="1221" w:type="pct"/>
            <w:vAlign w:val="center"/>
          </w:tcPr>
          <w:p>
            <w:pPr>
              <w:spacing w:before="29" w:line="288" w:lineRule="auto"/>
              <w:jc w:val="right"/>
              <w:rPr>
                <w:szCs w:val="21"/>
              </w:rPr>
            </w:pPr>
            <w:r>
              <w:rPr>
                <w:szCs w:val="21"/>
              </w:rPr>
              <w:t>129,961,679.00</w:t>
            </w:r>
          </w:p>
        </w:tc>
        <w:tc>
          <w:tcPr>
            <w:tcW w:w="1297" w:type="pct"/>
            <w:vAlign w:val="center"/>
          </w:tcPr>
          <w:p>
            <w:pPr>
              <w:spacing w:before="29" w:line="288" w:lineRule="auto"/>
              <w:jc w:val="right"/>
              <w:rPr>
                <w:szCs w:val="21"/>
              </w:rPr>
            </w:pPr>
            <w:r>
              <w:rPr>
                <w:szCs w:val="21"/>
              </w:rPr>
              <w:t>33,521,262.37</w:t>
            </w:r>
          </w:p>
        </w:tc>
        <w:tc>
          <w:tcPr>
            <w:tcW w:w="1278" w:type="pct"/>
            <w:vAlign w:val="center"/>
          </w:tcPr>
          <w:p>
            <w:pPr>
              <w:spacing w:before="29" w:line="288" w:lineRule="auto"/>
              <w:jc w:val="right"/>
              <w:rPr>
                <w:szCs w:val="21"/>
              </w:rPr>
            </w:pPr>
            <w:r>
              <w:rPr>
                <w:szCs w:val="21"/>
              </w:rPr>
              <w:t>-24,869,051.77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期末可供分配基金份额利润</w:t>
            </w:r>
          </w:p>
        </w:tc>
        <w:tc>
          <w:tcPr>
            <w:tcW w:w="1221" w:type="pct"/>
            <w:vAlign w:val="center"/>
          </w:tcPr>
          <w:p>
            <w:pPr>
              <w:spacing w:before="29" w:line="288" w:lineRule="auto"/>
              <w:jc w:val="right"/>
              <w:rPr>
                <w:szCs w:val="21"/>
              </w:rPr>
            </w:pPr>
            <w:r>
              <w:rPr>
                <w:szCs w:val="21"/>
              </w:rPr>
              <w:t>0.859</w:t>
            </w:r>
          </w:p>
        </w:tc>
        <w:tc>
          <w:tcPr>
            <w:tcW w:w="1297" w:type="pct"/>
            <w:vAlign w:val="center"/>
          </w:tcPr>
          <w:p>
            <w:pPr>
              <w:spacing w:before="29" w:line="288" w:lineRule="auto"/>
              <w:jc w:val="right"/>
              <w:rPr>
                <w:szCs w:val="21"/>
              </w:rPr>
            </w:pPr>
            <w:r>
              <w:rPr>
                <w:szCs w:val="21"/>
              </w:rPr>
              <w:t>0.185</w:t>
            </w:r>
          </w:p>
        </w:tc>
        <w:tc>
          <w:tcPr>
            <w:tcW w:w="1278" w:type="pct"/>
            <w:vAlign w:val="center"/>
          </w:tcPr>
          <w:p>
            <w:pPr>
              <w:spacing w:before="29" w:line="288" w:lineRule="auto"/>
              <w:jc w:val="right"/>
              <w:rPr>
                <w:szCs w:val="21"/>
              </w:rPr>
            </w:pPr>
            <w:r>
              <w:rPr>
                <w:szCs w:val="21"/>
              </w:rPr>
              <w:t>-0.116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期末基金资产净值</w:t>
            </w:r>
          </w:p>
        </w:tc>
        <w:tc>
          <w:tcPr>
            <w:tcW w:w="1221" w:type="pct"/>
            <w:vAlign w:val="center"/>
          </w:tcPr>
          <w:p>
            <w:pPr>
              <w:spacing w:before="29" w:line="288" w:lineRule="auto"/>
              <w:jc w:val="right"/>
              <w:rPr>
                <w:szCs w:val="21"/>
              </w:rPr>
            </w:pPr>
            <w:r>
              <w:rPr>
                <w:szCs w:val="21"/>
              </w:rPr>
              <w:t>327,207,162.72</w:t>
            </w:r>
          </w:p>
        </w:tc>
        <w:tc>
          <w:tcPr>
            <w:tcW w:w="1297" w:type="pct"/>
            <w:vAlign w:val="center"/>
          </w:tcPr>
          <w:p>
            <w:pPr>
              <w:spacing w:before="29" w:line="288" w:lineRule="auto"/>
              <w:jc w:val="right"/>
              <w:rPr>
                <w:szCs w:val="21"/>
              </w:rPr>
            </w:pPr>
            <w:r>
              <w:rPr>
                <w:szCs w:val="21"/>
              </w:rPr>
              <w:t>242,200,894.41</w:t>
            </w:r>
          </w:p>
        </w:tc>
        <w:tc>
          <w:tcPr>
            <w:tcW w:w="1278" w:type="pct"/>
            <w:vAlign w:val="center"/>
          </w:tcPr>
          <w:p>
            <w:pPr>
              <w:spacing w:before="29" w:line="288" w:lineRule="auto"/>
              <w:jc w:val="right"/>
              <w:rPr>
                <w:szCs w:val="21"/>
              </w:rPr>
            </w:pPr>
            <w:r>
              <w:rPr>
                <w:szCs w:val="21"/>
              </w:rPr>
              <w:t>188,764,547.93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期末基金份额净值</w:t>
            </w:r>
          </w:p>
        </w:tc>
        <w:tc>
          <w:tcPr>
            <w:tcW w:w="1221" w:type="pct"/>
            <w:vAlign w:val="center"/>
          </w:tcPr>
          <w:p>
            <w:pPr>
              <w:spacing w:before="29" w:line="288" w:lineRule="auto"/>
              <w:jc w:val="right"/>
              <w:rPr>
                <w:szCs w:val="21"/>
              </w:rPr>
            </w:pPr>
            <w:r>
              <w:rPr>
                <w:szCs w:val="21"/>
              </w:rPr>
              <w:t>2.163</w:t>
            </w:r>
          </w:p>
        </w:tc>
        <w:tc>
          <w:tcPr>
            <w:tcW w:w="1297" w:type="pct"/>
            <w:vAlign w:val="center"/>
          </w:tcPr>
          <w:p>
            <w:pPr>
              <w:spacing w:before="29" w:line="288" w:lineRule="auto"/>
              <w:jc w:val="right"/>
              <w:rPr>
                <w:szCs w:val="21"/>
              </w:rPr>
            </w:pPr>
            <w:r>
              <w:rPr>
                <w:szCs w:val="21"/>
              </w:rPr>
              <w:t>1.334</w:t>
            </w:r>
          </w:p>
        </w:tc>
        <w:tc>
          <w:tcPr>
            <w:tcW w:w="1278" w:type="pct"/>
            <w:vAlign w:val="center"/>
          </w:tcPr>
          <w:p>
            <w:pPr>
              <w:spacing w:before="29" w:line="288" w:lineRule="auto"/>
              <w:jc w:val="right"/>
              <w:rPr>
                <w:szCs w:val="21"/>
              </w:rPr>
            </w:pPr>
            <w:r>
              <w:rPr>
                <w:szCs w:val="21"/>
              </w:rPr>
              <w:t>0.884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rFonts w:asciiTheme="minorEastAsia" w:hAnsiTheme="minorEastAsia" w:eastAsiaTheme="minorEastAsia"/>
                <w:b/>
                <w:szCs w:val="21"/>
              </w:rPr>
            </w:pPr>
            <w:r>
              <w:rPr>
                <w:b/>
                <w:szCs w:val="21"/>
              </w:rPr>
              <w:t xml:space="preserve">3.1.3 </w:t>
            </w:r>
            <w:r>
              <w:rPr>
                <w:rFonts w:hint="eastAsia"/>
                <w:b/>
                <w:szCs w:val="21"/>
              </w:rPr>
              <w:t>累计期末指标</w:t>
            </w:r>
          </w:p>
        </w:tc>
        <w:tc>
          <w:tcPr>
            <w:tcW w:w="1221" w:type="pct"/>
            <w:vAlign w:val="center"/>
          </w:tcPr>
          <w:p>
            <w:pPr>
              <w:spacing w:before="29" w:line="288" w:lineRule="auto"/>
              <w:jc w:val="center"/>
              <w:rPr>
                <w:b/>
                <w:szCs w:val="21"/>
              </w:rPr>
            </w:pPr>
            <w:r>
              <w:rPr>
                <w:b/>
                <w:szCs w:val="21"/>
              </w:rPr>
              <w:t>2020</w:t>
            </w:r>
            <w:r>
              <w:rPr>
                <w:rFonts w:hint="eastAsia"/>
                <w:b/>
                <w:szCs w:val="21"/>
              </w:rPr>
              <w:t>年末</w:t>
            </w:r>
          </w:p>
        </w:tc>
        <w:tc>
          <w:tcPr>
            <w:tcW w:w="1297" w:type="pct"/>
            <w:vAlign w:val="center"/>
          </w:tcPr>
          <w:p>
            <w:pPr>
              <w:spacing w:before="29" w:line="288" w:lineRule="auto"/>
              <w:jc w:val="center"/>
              <w:rPr>
                <w:b/>
                <w:szCs w:val="21"/>
              </w:rPr>
            </w:pPr>
            <w:r>
              <w:rPr>
                <w:b/>
                <w:szCs w:val="21"/>
              </w:rPr>
              <w:t>2019</w:t>
            </w:r>
            <w:r>
              <w:rPr>
                <w:rFonts w:hint="eastAsia"/>
                <w:b/>
                <w:szCs w:val="21"/>
              </w:rPr>
              <w:t>年末</w:t>
            </w:r>
          </w:p>
        </w:tc>
        <w:tc>
          <w:tcPr>
            <w:tcW w:w="1278" w:type="pct"/>
            <w:vAlign w:val="center"/>
          </w:tcPr>
          <w:p>
            <w:pPr>
              <w:spacing w:before="29" w:line="288" w:lineRule="auto"/>
              <w:jc w:val="center"/>
              <w:rPr>
                <w:b/>
                <w:szCs w:val="21"/>
              </w:rPr>
            </w:pPr>
            <w:r>
              <w:rPr>
                <w:b/>
                <w:szCs w:val="21"/>
              </w:rPr>
              <w:t>2018</w:t>
            </w:r>
            <w:r>
              <w:rPr>
                <w:rFonts w:hint="eastAsia"/>
                <w:b/>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rFonts w:asciiTheme="minorEastAsia" w:hAnsiTheme="minorEastAsia" w:eastAsiaTheme="minorEastAsia"/>
                <w:szCs w:val="21"/>
              </w:rPr>
            </w:pPr>
            <w:r>
              <w:rPr>
                <w:rFonts w:hint="eastAsia"/>
                <w:szCs w:val="21"/>
              </w:rPr>
              <w:t>基金份额累计净值增长率</w:t>
            </w:r>
          </w:p>
        </w:tc>
        <w:tc>
          <w:tcPr>
            <w:tcW w:w="1221" w:type="pct"/>
            <w:vAlign w:val="center"/>
          </w:tcPr>
          <w:p>
            <w:pPr>
              <w:spacing w:before="29" w:line="288" w:lineRule="auto"/>
              <w:jc w:val="right"/>
              <w:rPr>
                <w:szCs w:val="21"/>
              </w:rPr>
            </w:pPr>
            <w:r>
              <w:rPr>
                <w:szCs w:val="21"/>
              </w:rPr>
              <w:t>118.39%</w:t>
            </w:r>
          </w:p>
        </w:tc>
        <w:tc>
          <w:tcPr>
            <w:tcW w:w="1297" w:type="pct"/>
            <w:vAlign w:val="center"/>
          </w:tcPr>
          <w:p>
            <w:pPr>
              <w:spacing w:before="29" w:line="288" w:lineRule="auto"/>
              <w:jc w:val="right"/>
              <w:rPr>
                <w:szCs w:val="21"/>
              </w:rPr>
            </w:pPr>
            <w:r>
              <w:rPr>
                <w:szCs w:val="21"/>
              </w:rPr>
              <w:t>34.69%</w:t>
            </w:r>
          </w:p>
        </w:tc>
        <w:tc>
          <w:tcPr>
            <w:tcW w:w="1278" w:type="pct"/>
            <w:vAlign w:val="center"/>
          </w:tcPr>
          <w:p>
            <w:pPr>
              <w:spacing w:before="29" w:line="288" w:lineRule="auto"/>
              <w:jc w:val="right"/>
              <w:rPr>
                <w:szCs w:val="21"/>
              </w:rPr>
            </w:pPr>
            <w:r>
              <w:rPr>
                <w:szCs w:val="21"/>
              </w:rPr>
              <w:t>-10.74%</w:t>
            </w:r>
          </w:p>
        </w:tc>
      </w:tr>
    </w:tbl>
    <w:p>
      <w:pPr>
        <w:tabs>
          <w:tab w:val="left" w:pos="426"/>
        </w:tabs>
        <w:spacing w:before="29" w:line="288" w:lineRule="auto"/>
        <w:jc w:val="left"/>
        <w:rPr>
          <w:kern w:val="0"/>
          <w:sz w:val="24"/>
        </w:rPr>
      </w:pPr>
      <w:r>
        <w:rPr>
          <w:kern w:val="0"/>
          <w:sz w:val="24"/>
        </w:rPr>
        <w:t xml:space="preserve">注：1、上述基金业绩指标不包括持有人认购或交易基金的各项费用，计入费用后的实际收益水平要低于所列数字； </w:t>
      </w:r>
    </w:p>
    <w:p>
      <w:pPr>
        <w:tabs>
          <w:tab w:val="left" w:pos="426"/>
        </w:tabs>
        <w:spacing w:before="29" w:line="288" w:lineRule="auto"/>
        <w:jc w:val="left"/>
        <w:rPr>
          <w:kern w:val="0"/>
          <w:sz w:val="24"/>
        </w:rPr>
      </w:pPr>
      <w:r>
        <w:rPr>
          <w:kern w:val="0"/>
          <w:sz w:val="24"/>
        </w:rPr>
        <w:t>2、本期已实现收益指基金本期利息收入、投资收益、其他收入（不含公允价值变动收益）扣除相关费用后的余额，本期利润为本期已实现收益加上本期公允价值变动收益；</w:t>
      </w:r>
    </w:p>
    <w:p>
      <w:pPr>
        <w:tabs>
          <w:tab w:val="left" w:pos="426"/>
        </w:tabs>
        <w:spacing w:before="29" w:line="288" w:lineRule="auto"/>
        <w:jc w:val="left"/>
        <w:rPr>
          <w:kern w:val="0"/>
          <w:sz w:val="24"/>
        </w:rPr>
      </w:pPr>
      <w:r>
        <w:rPr>
          <w:kern w:val="0"/>
          <w:sz w:val="24"/>
        </w:rPr>
        <w:t xml:space="preserve">  </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31" w:name="_Toc225498252"/>
      <w:bookmarkStart w:id="32" w:name="_Toc361324852"/>
      <w:bookmarkStart w:id="33" w:name="_Toc67589751"/>
      <w:r>
        <w:rPr>
          <w:rFonts w:ascii="Times New Roman" w:hAnsi="Times New Roman"/>
          <w:kern w:val="0"/>
          <w:szCs w:val="24"/>
        </w:rPr>
        <w:t xml:space="preserve">3.2 </w:t>
      </w:r>
      <w:r>
        <w:rPr>
          <w:rFonts w:hint="eastAsia" w:ascii="Times New Roman" w:hAnsi="Times New Roman"/>
          <w:kern w:val="0"/>
          <w:szCs w:val="24"/>
        </w:rPr>
        <w:t>基金净值表现</w:t>
      </w:r>
      <w:bookmarkEnd w:id="31"/>
      <w:bookmarkEnd w:id="32"/>
      <w:bookmarkEnd w:id="33"/>
    </w:p>
    <w:p>
      <w:pPr>
        <w:spacing w:line="360" w:lineRule="auto"/>
        <w:rPr>
          <w:rFonts w:eastAsiaTheme="minorEastAsia"/>
          <w:b/>
          <w:color w:val="000000" w:themeColor="text1"/>
          <w:sz w:val="24"/>
        </w:rPr>
      </w:pPr>
      <w:r>
        <w:rPr>
          <w:rFonts w:eastAsiaTheme="minorEastAsia"/>
          <w:b/>
          <w:color w:val="000000" w:themeColor="text1"/>
          <w:sz w:val="24"/>
        </w:rPr>
        <w:t xml:space="preserve">3.2.1 </w:t>
      </w:r>
      <w:r>
        <w:rPr>
          <w:rFonts w:hint="eastAsia" w:eastAsiaTheme="minorEastAsia"/>
          <w:b/>
          <w:color w:val="000000" w:themeColor="text1"/>
          <w:sz w:val="24"/>
        </w:rPr>
        <w:t>基金份额净值增长率及其与同期业绩比较基准收益率的比较</w:t>
      </w:r>
    </w:p>
    <w:tbl>
      <w:tblPr>
        <w:tblStyle w:val="25"/>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6"/>
        <w:gridCol w:w="1286"/>
        <w:gridCol w:w="1286"/>
        <w:gridCol w:w="1285"/>
        <w:gridCol w:w="1285"/>
        <w:gridCol w:w="1285"/>
        <w:gridCol w:w="1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9" w:type="dxa"/>
            <w:vAlign w:val="center"/>
          </w:tcPr>
          <w:p>
            <w:pPr>
              <w:spacing w:before="29" w:line="288" w:lineRule="auto"/>
              <w:jc w:val="center"/>
              <w:rPr>
                <w:color w:val="000000"/>
                <w:sz w:val="24"/>
              </w:rPr>
            </w:pPr>
            <w:r>
              <w:rPr>
                <w:rFonts w:hint="eastAsia"/>
                <w:color w:val="000000"/>
                <w:sz w:val="24"/>
              </w:rPr>
              <w:t>阶段</w:t>
            </w:r>
          </w:p>
        </w:tc>
        <w:tc>
          <w:tcPr>
            <w:tcW w:w="3459" w:type="dxa"/>
            <w:vAlign w:val="center"/>
          </w:tcPr>
          <w:p>
            <w:pPr>
              <w:spacing w:before="29" w:line="288" w:lineRule="auto"/>
              <w:jc w:val="center"/>
              <w:rPr>
                <w:color w:val="000000"/>
                <w:sz w:val="24"/>
              </w:rPr>
            </w:pPr>
            <w:r>
              <w:rPr>
                <w:rFonts w:hint="eastAsia"/>
                <w:color w:val="000000"/>
                <w:sz w:val="24"/>
              </w:rPr>
              <w:t>份额净值增长率①</w:t>
            </w:r>
          </w:p>
        </w:tc>
        <w:tc>
          <w:tcPr>
            <w:tcW w:w="3459" w:type="dxa"/>
            <w:vAlign w:val="center"/>
          </w:tcPr>
          <w:p>
            <w:pPr>
              <w:spacing w:before="29" w:line="288" w:lineRule="auto"/>
              <w:jc w:val="center"/>
              <w:rPr>
                <w:color w:val="000000"/>
                <w:sz w:val="24"/>
              </w:rPr>
            </w:pPr>
            <w:r>
              <w:rPr>
                <w:rFonts w:hint="eastAsia"/>
                <w:color w:val="000000"/>
                <w:sz w:val="24"/>
              </w:rPr>
              <w:t>份额净值增长率标准差②</w:t>
            </w:r>
          </w:p>
        </w:tc>
        <w:tc>
          <w:tcPr>
            <w:tcW w:w="3459" w:type="dxa"/>
            <w:vAlign w:val="center"/>
          </w:tcPr>
          <w:p>
            <w:pPr>
              <w:spacing w:before="29" w:line="288" w:lineRule="auto"/>
              <w:jc w:val="center"/>
              <w:rPr>
                <w:color w:val="000000"/>
                <w:sz w:val="24"/>
              </w:rPr>
            </w:pPr>
            <w:r>
              <w:rPr>
                <w:rFonts w:hint="eastAsia"/>
                <w:color w:val="000000"/>
                <w:sz w:val="24"/>
              </w:rPr>
              <w:t>业绩比较基准收益率③</w:t>
            </w:r>
          </w:p>
        </w:tc>
        <w:tc>
          <w:tcPr>
            <w:tcW w:w="3459" w:type="dxa"/>
            <w:vAlign w:val="center"/>
          </w:tcPr>
          <w:p>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pPr>
              <w:spacing w:before="29" w:line="288" w:lineRule="auto"/>
              <w:jc w:val="center"/>
              <w:rPr>
                <w:color w:val="000000"/>
                <w:sz w:val="24"/>
              </w:rPr>
            </w:pPr>
            <w:r>
              <w:rPr>
                <w:rFonts w:hint="eastAsia"/>
                <w:color w:val="000000"/>
                <w:sz w:val="24"/>
              </w:rPr>
              <w:t>①－③</w:t>
            </w:r>
          </w:p>
        </w:tc>
        <w:tc>
          <w:tcPr>
            <w:tcW w:w="3459" w:type="dxa"/>
            <w:vAlign w:val="center"/>
          </w:tcPr>
          <w:p>
            <w:pPr>
              <w:spacing w:before="29" w:line="288" w:lineRule="auto"/>
              <w:jc w:val="center"/>
              <w:rPr>
                <w:color w:val="000000"/>
                <w:sz w:val="24"/>
              </w:rPr>
            </w:pPr>
            <w:r>
              <w:rPr>
                <w:rFonts w:hint="eastAsia"/>
                <w:color w:val="000000"/>
                <w:sz w:val="24"/>
              </w:rPr>
              <w:t>②－④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过去三个月</w:t>
            </w:r>
          </w:p>
        </w:tc>
        <w:tc>
          <w:tcPr>
            <w:tcW w:w="1286" w:type="dxa"/>
            <w:vAlign w:val="center"/>
          </w:tcPr>
          <w:p>
            <w:pPr>
              <w:jc w:val="center"/>
            </w:pPr>
            <w:r>
              <w:rPr>
                <w:color w:val="000000"/>
                <w:sz w:val="24"/>
              </w:rPr>
              <w:t>14.69%</w:t>
            </w:r>
          </w:p>
        </w:tc>
        <w:tc>
          <w:tcPr>
            <w:tcW w:w="1286" w:type="dxa"/>
            <w:vAlign w:val="center"/>
          </w:tcPr>
          <w:p>
            <w:pPr>
              <w:jc w:val="center"/>
            </w:pPr>
            <w:r>
              <w:rPr>
                <w:color w:val="000000"/>
                <w:sz w:val="24"/>
              </w:rPr>
              <w:t>1.25%</w:t>
            </w:r>
          </w:p>
        </w:tc>
        <w:tc>
          <w:tcPr>
            <w:tcW w:w="1285" w:type="dxa"/>
            <w:vAlign w:val="center"/>
          </w:tcPr>
          <w:p>
            <w:pPr>
              <w:jc w:val="center"/>
            </w:pPr>
            <w:r>
              <w:rPr>
                <w:color w:val="000000"/>
                <w:sz w:val="24"/>
              </w:rPr>
              <w:t>8.55%</w:t>
            </w:r>
          </w:p>
        </w:tc>
        <w:tc>
          <w:tcPr>
            <w:tcW w:w="1285" w:type="dxa"/>
            <w:vAlign w:val="center"/>
          </w:tcPr>
          <w:p>
            <w:pPr>
              <w:jc w:val="center"/>
            </w:pPr>
            <w:r>
              <w:rPr>
                <w:color w:val="000000"/>
                <w:sz w:val="24"/>
              </w:rPr>
              <w:t>0.59%</w:t>
            </w:r>
          </w:p>
        </w:tc>
        <w:tc>
          <w:tcPr>
            <w:tcW w:w="1285" w:type="dxa"/>
            <w:vAlign w:val="center"/>
          </w:tcPr>
          <w:p>
            <w:pPr>
              <w:jc w:val="center"/>
            </w:pPr>
            <w:r>
              <w:rPr>
                <w:color w:val="000000"/>
                <w:sz w:val="24"/>
              </w:rPr>
              <w:t>6.14%</w:t>
            </w:r>
          </w:p>
        </w:tc>
        <w:tc>
          <w:tcPr>
            <w:tcW w:w="1285" w:type="dxa"/>
            <w:vAlign w:val="center"/>
          </w:tcPr>
          <w:p>
            <w:pPr>
              <w:jc w:val="center"/>
            </w:pPr>
            <w:r>
              <w:rPr>
                <w:color w:val="000000"/>
                <w:sz w:val="24"/>
              </w:rPr>
              <w:t>0.66%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过去六个月</w:t>
            </w:r>
          </w:p>
        </w:tc>
        <w:tc>
          <w:tcPr>
            <w:tcW w:w="1286" w:type="dxa"/>
            <w:vAlign w:val="center"/>
          </w:tcPr>
          <w:p>
            <w:pPr>
              <w:jc w:val="center"/>
            </w:pPr>
            <w:r>
              <w:rPr>
                <w:color w:val="000000"/>
                <w:sz w:val="24"/>
              </w:rPr>
              <w:t>30.62%</w:t>
            </w:r>
          </w:p>
        </w:tc>
        <w:tc>
          <w:tcPr>
            <w:tcW w:w="1286" w:type="dxa"/>
            <w:vAlign w:val="center"/>
          </w:tcPr>
          <w:p>
            <w:pPr>
              <w:jc w:val="center"/>
            </w:pPr>
            <w:r>
              <w:rPr>
                <w:color w:val="000000"/>
                <w:sz w:val="24"/>
              </w:rPr>
              <w:t>1.58%</w:t>
            </w:r>
          </w:p>
        </w:tc>
        <w:tc>
          <w:tcPr>
            <w:tcW w:w="1285" w:type="dxa"/>
            <w:vAlign w:val="center"/>
          </w:tcPr>
          <w:p>
            <w:pPr>
              <w:jc w:val="center"/>
            </w:pPr>
            <w:r>
              <w:rPr>
                <w:color w:val="000000"/>
                <w:sz w:val="24"/>
              </w:rPr>
              <w:t>15.02%</w:t>
            </w:r>
          </w:p>
        </w:tc>
        <w:tc>
          <w:tcPr>
            <w:tcW w:w="1285" w:type="dxa"/>
            <w:vAlign w:val="center"/>
          </w:tcPr>
          <w:p>
            <w:pPr>
              <w:jc w:val="center"/>
            </w:pPr>
            <w:r>
              <w:rPr>
                <w:color w:val="000000"/>
                <w:sz w:val="24"/>
              </w:rPr>
              <w:t>0.80%</w:t>
            </w:r>
          </w:p>
        </w:tc>
        <w:tc>
          <w:tcPr>
            <w:tcW w:w="1285" w:type="dxa"/>
            <w:vAlign w:val="center"/>
          </w:tcPr>
          <w:p>
            <w:pPr>
              <w:jc w:val="center"/>
            </w:pPr>
            <w:r>
              <w:rPr>
                <w:color w:val="000000"/>
                <w:sz w:val="24"/>
              </w:rPr>
              <w:t>15.60%</w:t>
            </w:r>
          </w:p>
        </w:tc>
        <w:tc>
          <w:tcPr>
            <w:tcW w:w="1285" w:type="dxa"/>
            <w:vAlign w:val="center"/>
          </w:tcPr>
          <w:p>
            <w:pPr>
              <w:jc w:val="center"/>
            </w:pPr>
            <w:r>
              <w:rPr>
                <w:color w:val="000000"/>
                <w:sz w:val="24"/>
              </w:rPr>
              <w:t>0.78%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过去一年</w:t>
            </w:r>
          </w:p>
        </w:tc>
        <w:tc>
          <w:tcPr>
            <w:tcW w:w="1286" w:type="dxa"/>
            <w:vAlign w:val="center"/>
          </w:tcPr>
          <w:p>
            <w:pPr>
              <w:jc w:val="center"/>
            </w:pPr>
            <w:r>
              <w:rPr>
                <w:color w:val="000000"/>
                <w:sz w:val="24"/>
              </w:rPr>
              <w:t>62.14%</w:t>
            </w:r>
          </w:p>
        </w:tc>
        <w:tc>
          <w:tcPr>
            <w:tcW w:w="1286" w:type="dxa"/>
            <w:vAlign w:val="center"/>
          </w:tcPr>
          <w:p>
            <w:pPr>
              <w:jc w:val="center"/>
            </w:pPr>
            <w:r>
              <w:rPr>
                <w:color w:val="000000"/>
                <w:sz w:val="24"/>
              </w:rPr>
              <w:t>1.75%</w:t>
            </w:r>
          </w:p>
        </w:tc>
        <w:tc>
          <w:tcPr>
            <w:tcW w:w="1285" w:type="dxa"/>
            <w:vAlign w:val="center"/>
          </w:tcPr>
          <w:p>
            <w:pPr>
              <w:jc w:val="center"/>
            </w:pPr>
            <w:r>
              <w:rPr>
                <w:color w:val="000000"/>
                <w:sz w:val="24"/>
              </w:rPr>
              <w:t>17.63%</w:t>
            </w:r>
          </w:p>
        </w:tc>
        <w:tc>
          <w:tcPr>
            <w:tcW w:w="1285" w:type="dxa"/>
            <w:vAlign w:val="center"/>
          </w:tcPr>
          <w:p>
            <w:pPr>
              <w:jc w:val="center"/>
            </w:pPr>
            <w:r>
              <w:rPr>
                <w:color w:val="000000"/>
                <w:sz w:val="24"/>
              </w:rPr>
              <w:t>0.85%</w:t>
            </w:r>
          </w:p>
        </w:tc>
        <w:tc>
          <w:tcPr>
            <w:tcW w:w="1285" w:type="dxa"/>
            <w:vAlign w:val="center"/>
          </w:tcPr>
          <w:p>
            <w:pPr>
              <w:jc w:val="center"/>
            </w:pPr>
            <w:r>
              <w:rPr>
                <w:color w:val="000000"/>
                <w:sz w:val="24"/>
              </w:rPr>
              <w:t>44.51%</w:t>
            </w:r>
          </w:p>
        </w:tc>
        <w:tc>
          <w:tcPr>
            <w:tcW w:w="1285" w:type="dxa"/>
            <w:vAlign w:val="center"/>
          </w:tcPr>
          <w:p>
            <w:pPr>
              <w:jc w:val="center"/>
            </w:pPr>
            <w:r>
              <w:rPr>
                <w:color w:val="000000"/>
                <w:sz w:val="24"/>
              </w:rPr>
              <w:t>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过去三年</w:t>
            </w:r>
          </w:p>
        </w:tc>
        <w:tc>
          <w:tcPr>
            <w:tcW w:w="1286" w:type="dxa"/>
            <w:vAlign w:val="center"/>
          </w:tcPr>
          <w:p>
            <w:pPr>
              <w:jc w:val="center"/>
            </w:pPr>
            <w:r>
              <w:rPr>
                <w:color w:val="000000"/>
                <w:sz w:val="24"/>
              </w:rPr>
              <w:t>132.83%</w:t>
            </w:r>
          </w:p>
        </w:tc>
        <w:tc>
          <w:tcPr>
            <w:tcW w:w="1286" w:type="dxa"/>
            <w:vAlign w:val="center"/>
          </w:tcPr>
          <w:p>
            <w:pPr>
              <w:jc w:val="center"/>
            </w:pPr>
            <w:r>
              <w:rPr>
                <w:color w:val="000000"/>
                <w:sz w:val="24"/>
              </w:rPr>
              <w:t>1.79%</w:t>
            </w:r>
          </w:p>
        </w:tc>
        <w:tc>
          <w:tcPr>
            <w:tcW w:w="1285" w:type="dxa"/>
            <w:vAlign w:val="center"/>
          </w:tcPr>
          <w:p>
            <w:pPr>
              <w:jc w:val="center"/>
            </w:pPr>
            <w:r>
              <w:rPr>
                <w:color w:val="000000"/>
                <w:sz w:val="24"/>
              </w:rPr>
              <w:t>26.08%</w:t>
            </w:r>
          </w:p>
        </w:tc>
        <w:tc>
          <w:tcPr>
            <w:tcW w:w="1285" w:type="dxa"/>
            <w:vAlign w:val="center"/>
          </w:tcPr>
          <w:p>
            <w:pPr>
              <w:jc w:val="center"/>
            </w:pPr>
            <w:r>
              <w:rPr>
                <w:color w:val="000000"/>
                <w:sz w:val="24"/>
              </w:rPr>
              <w:t>0.80%</w:t>
            </w:r>
          </w:p>
        </w:tc>
        <w:tc>
          <w:tcPr>
            <w:tcW w:w="1285" w:type="dxa"/>
            <w:vAlign w:val="center"/>
          </w:tcPr>
          <w:p>
            <w:pPr>
              <w:jc w:val="center"/>
            </w:pPr>
            <w:r>
              <w:rPr>
                <w:color w:val="000000"/>
                <w:sz w:val="24"/>
              </w:rPr>
              <w:t>106.75%</w:t>
            </w:r>
          </w:p>
        </w:tc>
        <w:tc>
          <w:tcPr>
            <w:tcW w:w="1285" w:type="dxa"/>
            <w:vAlign w:val="center"/>
          </w:tcPr>
          <w:p>
            <w:pPr>
              <w:jc w:val="center"/>
            </w:pPr>
            <w:r>
              <w:rPr>
                <w:color w:val="000000"/>
                <w:sz w:val="24"/>
              </w:rPr>
              <w:t>0.99%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自基金合同生效至今</w:t>
            </w:r>
          </w:p>
        </w:tc>
        <w:tc>
          <w:tcPr>
            <w:tcW w:w="1286" w:type="dxa"/>
            <w:vAlign w:val="center"/>
          </w:tcPr>
          <w:p>
            <w:pPr>
              <w:jc w:val="center"/>
            </w:pPr>
            <w:r>
              <w:rPr>
                <w:color w:val="000000"/>
                <w:sz w:val="24"/>
              </w:rPr>
              <w:t>118.39%</w:t>
            </w:r>
          </w:p>
        </w:tc>
        <w:tc>
          <w:tcPr>
            <w:tcW w:w="1286" w:type="dxa"/>
            <w:vAlign w:val="center"/>
          </w:tcPr>
          <w:p>
            <w:pPr>
              <w:jc w:val="center"/>
            </w:pPr>
            <w:r>
              <w:rPr>
                <w:color w:val="000000"/>
                <w:sz w:val="24"/>
              </w:rPr>
              <w:t>1.62%</w:t>
            </w:r>
          </w:p>
        </w:tc>
        <w:tc>
          <w:tcPr>
            <w:tcW w:w="1285" w:type="dxa"/>
            <w:vAlign w:val="center"/>
          </w:tcPr>
          <w:p>
            <w:pPr>
              <w:jc w:val="center"/>
            </w:pPr>
            <w:r>
              <w:rPr>
                <w:color w:val="000000"/>
                <w:sz w:val="24"/>
              </w:rPr>
              <w:t>45.91%</w:t>
            </w:r>
          </w:p>
        </w:tc>
        <w:tc>
          <w:tcPr>
            <w:tcW w:w="1285" w:type="dxa"/>
            <w:vAlign w:val="center"/>
          </w:tcPr>
          <w:p>
            <w:pPr>
              <w:jc w:val="center"/>
            </w:pPr>
            <w:r>
              <w:rPr>
                <w:color w:val="000000"/>
                <w:sz w:val="24"/>
              </w:rPr>
              <w:t>0.69%</w:t>
            </w:r>
          </w:p>
        </w:tc>
        <w:tc>
          <w:tcPr>
            <w:tcW w:w="1285" w:type="dxa"/>
            <w:vAlign w:val="center"/>
          </w:tcPr>
          <w:p>
            <w:pPr>
              <w:jc w:val="center"/>
            </w:pPr>
            <w:r>
              <w:rPr>
                <w:color w:val="000000"/>
                <w:sz w:val="24"/>
              </w:rPr>
              <w:t>72.48%</w:t>
            </w:r>
          </w:p>
        </w:tc>
        <w:tc>
          <w:tcPr>
            <w:tcW w:w="1285" w:type="dxa"/>
            <w:vAlign w:val="center"/>
          </w:tcPr>
          <w:p>
            <w:pPr>
              <w:jc w:val="center"/>
            </w:pPr>
            <w:r>
              <w:rPr>
                <w:color w:val="000000"/>
                <w:sz w:val="24"/>
              </w:rPr>
              <w:t>0.93%</w:t>
            </w:r>
          </w:p>
        </w:tc>
      </w:tr>
    </w:tbl>
    <w:p>
      <w:pPr>
        <w:tabs>
          <w:tab w:val="left" w:pos="426"/>
        </w:tabs>
        <w:spacing w:before="29" w:line="288" w:lineRule="auto"/>
        <w:jc w:val="left"/>
        <w:rPr>
          <w:rFonts w:asciiTheme="minorEastAsia" w:hAnsiTheme="minorEastAsia" w:eastAsiaTheme="minorEastAsia"/>
          <w:szCs w:val="21"/>
        </w:rPr>
      </w:pPr>
      <w:r>
        <w:rPr>
          <w:kern w:val="0"/>
          <w:sz w:val="24"/>
        </w:rPr>
        <w:t>注：本基金业绩比较基准为60%×沪深300指数+40%×中证综合债券指数，每日进行再平衡过程。</w:t>
      </w:r>
      <w:r>
        <w:rPr>
          <w:rFonts w:hint="eastAsia"/>
          <w:kern w:val="0"/>
          <w:sz w:val="24"/>
        </w:rPr>
        <w:br w:type="textWrapping"/>
      </w:r>
    </w:p>
    <w:p>
      <w:pPr>
        <w:spacing w:before="29" w:line="288" w:lineRule="auto"/>
        <w:rPr>
          <w:b/>
          <w:bCs/>
          <w:color w:val="000000"/>
          <w:kern w:val="0"/>
          <w:sz w:val="24"/>
        </w:rPr>
      </w:pPr>
      <w:r>
        <w:rPr>
          <w:rFonts w:hint="eastAsia"/>
          <w:b/>
          <w:bCs/>
          <w:color w:val="000000"/>
          <w:kern w:val="0"/>
          <w:sz w:val="24"/>
        </w:rPr>
        <w:t xml:space="preserve">3.2.2 </w:t>
      </w:r>
      <w:r>
        <w:rPr>
          <w:b/>
          <w:bCs/>
          <w:color w:val="000000"/>
          <w:kern w:val="0"/>
          <w:sz w:val="24"/>
        </w:rPr>
        <w:t>自基金合同生效以来基金份额累计净值增长率变动及其与同期业绩比较基准收益率变动的比较</w:t>
      </w:r>
    </w:p>
    <w:p>
      <w:pPr>
        <w:spacing w:line="360" w:lineRule="auto"/>
        <w:jc w:val="center"/>
        <w:rPr>
          <w:rFonts w:asciiTheme="minorEastAsia" w:hAnsiTheme="minorEastAsia" w:eastAsiaTheme="minorEastAsia"/>
          <w:color w:val="000000"/>
          <w:szCs w:val="21"/>
        </w:rPr>
      </w:pPr>
      <w:r>
        <w:rPr>
          <w:rFonts w:asciiTheme="minorEastAsia" w:hAnsiTheme="minorEastAsia" w:eastAsiaTheme="minorEastAsia"/>
          <w:color w:val="000000"/>
          <w:szCs w:val="21"/>
        </w:rPr>
        <w:drawing>
          <wp:inline distT="0" distB="0" distL="0" distR="0">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pPr>
        <w:tabs>
          <w:tab w:val="left" w:pos="426"/>
        </w:tabs>
        <w:spacing w:before="29" w:line="288" w:lineRule="auto"/>
        <w:jc w:val="left"/>
        <w:rPr>
          <w:kern w:val="0"/>
          <w:sz w:val="24"/>
        </w:rPr>
      </w:pPr>
      <w:r>
        <w:rPr>
          <w:kern w:val="0"/>
          <w:sz w:val="24"/>
        </w:rPr>
        <w:t>注：本基金建仓期为自基金合同生效日起的6个月。截至建仓期结束，本基金各项资产配置比例符合基金合同及招募说明书有关投资比例的约定。</w:t>
      </w:r>
      <w:r>
        <w:rPr>
          <w:rFonts w:hint="eastAsia"/>
          <w:kern w:val="0"/>
          <w:sz w:val="24"/>
        </w:rPr>
        <w:br w:type="textWrapping"/>
      </w:r>
    </w:p>
    <w:p>
      <w:pPr>
        <w:spacing w:before="29" w:line="288" w:lineRule="auto"/>
        <w:rPr>
          <w:b/>
          <w:bCs/>
          <w:color w:val="000000"/>
          <w:kern w:val="0"/>
          <w:sz w:val="24"/>
        </w:rPr>
      </w:pPr>
      <w:r>
        <w:rPr>
          <w:b/>
          <w:bCs/>
          <w:color w:val="000000"/>
          <w:kern w:val="0"/>
          <w:sz w:val="24"/>
        </w:rPr>
        <w:t xml:space="preserve">3.2.3 </w:t>
      </w:r>
      <w:r>
        <w:rPr>
          <w:rFonts w:hint="eastAsia"/>
          <w:b/>
          <w:bCs/>
          <w:color w:val="000000"/>
          <w:kern w:val="0"/>
          <w:sz w:val="24"/>
        </w:rPr>
        <w:t>自基金合同生效以来基金每年净值增长率及其与同期业绩比较基准收益率的比较</w:t>
      </w:r>
    </w:p>
    <w:p>
      <w:pPr>
        <w:spacing w:line="360" w:lineRule="auto"/>
        <w:jc w:val="center"/>
        <w:rPr>
          <w:rFonts w:ascii="宋体" w:hAnsi="宋体"/>
          <w:b/>
          <w:bCs/>
          <w:color w:val="000000"/>
          <w:szCs w:val="21"/>
          <w:vertAlign w:val="superscript"/>
        </w:rPr>
      </w:pPr>
      <w:r>
        <w:rPr>
          <w:rFonts w:ascii="宋体" w:hAnsi="宋体"/>
          <w:b/>
          <w:bCs/>
          <w:color w:val="000000"/>
          <w:szCs w:val="21"/>
          <w:vertAlign w:val="superscript"/>
        </w:rPr>
        <w:drawing>
          <wp:inline distT="0" distB="0" distL="0" distR="0">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pPr>
        <w:tabs>
          <w:tab w:val="left" w:pos="426"/>
        </w:tabs>
        <w:spacing w:before="29" w:line="288" w:lineRule="auto"/>
        <w:jc w:val="left"/>
        <w:rPr>
          <w:kern w:val="0"/>
          <w:sz w:val="24"/>
        </w:rPr>
      </w:pPr>
      <w:r>
        <w:rPr>
          <w:kern w:val="0"/>
          <w:sz w:val="24"/>
        </w:rPr>
        <w:t>注：图示日期为2016年5月5日至2020年12月31日。基金合同生效当年的净值增长率按照当年实际存续期计算。</w:t>
      </w:r>
    </w:p>
    <w:p>
      <w:pPr>
        <w:spacing w:line="360" w:lineRule="auto"/>
        <w:ind w:firstLine="420"/>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34" w:name="_Toc249760033"/>
      <w:bookmarkStart w:id="35" w:name="_Toc361324853"/>
      <w:bookmarkStart w:id="36" w:name="_Toc67589752"/>
      <w:r>
        <w:rPr>
          <w:rFonts w:ascii="Times New Roman" w:hAnsi="Times New Roman"/>
          <w:kern w:val="0"/>
          <w:szCs w:val="24"/>
        </w:rPr>
        <w:t>3.3</w:t>
      </w:r>
      <w:r>
        <w:rPr>
          <w:rFonts w:hint="eastAsia" w:ascii="Times New Roman" w:hAnsi="Times New Roman"/>
          <w:kern w:val="0"/>
          <w:szCs w:val="24"/>
        </w:rPr>
        <w:t>过去三年基金的利润分配情况</w:t>
      </w:r>
      <w:bookmarkEnd w:id="34"/>
      <w:bookmarkEnd w:id="35"/>
      <w:bookmarkEnd w:id="36"/>
    </w:p>
    <w:p>
      <w:pPr>
        <w:pStyle w:val="4"/>
        <w:spacing w:line="360" w:lineRule="auto"/>
        <w:ind w:firstLine="480"/>
        <w:jc w:val="right"/>
        <w:rPr>
          <w:color w:val="000000"/>
          <w:kern w:val="0"/>
          <w:sz w:val="24"/>
        </w:rPr>
      </w:pPr>
      <w:r>
        <w:rPr>
          <w:rFonts w:hint="eastAsia"/>
          <w:color w:val="000000"/>
          <w:kern w:val="0"/>
          <w:sz w:val="24"/>
        </w:rPr>
        <w:t>单位：人民币元</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378"/>
        <w:gridCol w:w="1839"/>
        <w:gridCol w:w="1950"/>
        <w:gridCol w:w="1894"/>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autoSpaceDE w:val="0"/>
              <w:autoSpaceDN w:val="0"/>
              <w:adjustRightInd w:val="0"/>
              <w:spacing w:before="29" w:line="288" w:lineRule="auto"/>
              <w:ind w:left="15"/>
              <w:jc w:val="center"/>
              <w:rPr>
                <w:color w:val="000000"/>
                <w:sz w:val="24"/>
              </w:rPr>
            </w:pPr>
            <w:r>
              <w:rPr>
                <w:rFonts w:hint="eastAsia"/>
                <w:color w:val="000000"/>
                <w:sz w:val="24"/>
              </w:rPr>
              <w:t>年度</w:t>
            </w:r>
          </w:p>
        </w:tc>
        <w:tc>
          <w:tcPr>
            <w:tcW w:w="1378" w:type="dxa"/>
            <w:vAlign w:val="center"/>
          </w:tcPr>
          <w:p>
            <w:pPr>
              <w:autoSpaceDE w:val="0"/>
              <w:autoSpaceDN w:val="0"/>
              <w:adjustRightInd w:val="0"/>
              <w:spacing w:before="29" w:line="288" w:lineRule="auto"/>
              <w:ind w:left="15"/>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pPr>
              <w:autoSpaceDE w:val="0"/>
              <w:autoSpaceDN w:val="0"/>
              <w:adjustRightInd w:val="0"/>
              <w:spacing w:before="29" w:line="288" w:lineRule="auto"/>
              <w:ind w:left="15"/>
              <w:jc w:val="center"/>
              <w:rPr>
                <w:color w:val="000000"/>
                <w:sz w:val="24"/>
              </w:rPr>
            </w:pPr>
            <w:r>
              <w:rPr>
                <w:rFonts w:hint="eastAsia"/>
                <w:color w:val="000000"/>
                <w:sz w:val="24"/>
              </w:rPr>
              <w:t>现金形式发放总额</w:t>
            </w:r>
          </w:p>
        </w:tc>
        <w:tc>
          <w:tcPr>
            <w:tcW w:w="1950" w:type="dxa"/>
            <w:vAlign w:val="center"/>
          </w:tcPr>
          <w:p>
            <w:pPr>
              <w:autoSpaceDE w:val="0"/>
              <w:autoSpaceDN w:val="0"/>
              <w:adjustRightInd w:val="0"/>
              <w:spacing w:before="29" w:line="288" w:lineRule="auto"/>
              <w:ind w:left="15"/>
              <w:jc w:val="center"/>
              <w:rPr>
                <w:color w:val="000000"/>
                <w:sz w:val="24"/>
              </w:rPr>
            </w:pPr>
            <w:r>
              <w:rPr>
                <w:rFonts w:hint="eastAsia"/>
                <w:color w:val="000000"/>
                <w:sz w:val="24"/>
              </w:rPr>
              <w:t>再投资形式发放总额</w:t>
            </w:r>
          </w:p>
        </w:tc>
        <w:tc>
          <w:tcPr>
            <w:tcW w:w="1894" w:type="dxa"/>
            <w:vAlign w:val="center"/>
          </w:tcPr>
          <w:p>
            <w:pPr>
              <w:adjustRightInd w:val="0"/>
              <w:spacing w:before="29" w:line="288" w:lineRule="auto"/>
              <w:ind w:left="15"/>
              <w:jc w:val="center"/>
              <w:rPr>
                <w:color w:val="000000"/>
                <w:sz w:val="24"/>
              </w:rPr>
            </w:pPr>
            <w:r>
              <w:rPr>
                <w:rFonts w:hint="eastAsia"/>
                <w:color w:val="000000"/>
                <w:sz w:val="24"/>
              </w:rPr>
              <w:t>年度利润分配合计</w:t>
            </w:r>
          </w:p>
        </w:tc>
        <w:tc>
          <w:tcPr>
            <w:tcW w:w="1068" w:type="dxa"/>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jc w:val="center"/>
            </w:pPr>
            <w:r>
              <w:rPr>
                <w:color w:val="000000"/>
                <w:sz w:val="24"/>
              </w:rPr>
              <w:t>2020年</w:t>
            </w:r>
          </w:p>
        </w:tc>
        <w:tc>
          <w:tcPr>
            <w:tcW w:w="1378" w:type="dxa"/>
            <w:vAlign w:val="center"/>
          </w:tcPr>
          <w:p>
            <w:pPr>
              <w:jc w:val="right"/>
            </w:pPr>
            <w:r>
              <w:rPr>
                <w:color w:val="000000"/>
                <w:sz w:val="24"/>
              </w:rPr>
              <w:t>-</w:t>
            </w:r>
          </w:p>
        </w:tc>
        <w:tc>
          <w:tcPr>
            <w:tcW w:w="1839" w:type="dxa"/>
            <w:vAlign w:val="center"/>
          </w:tcPr>
          <w:p>
            <w:pPr>
              <w:jc w:val="right"/>
            </w:pPr>
            <w:r>
              <w:rPr>
                <w:color w:val="000000"/>
                <w:sz w:val="24"/>
              </w:rPr>
              <w:t>-</w:t>
            </w:r>
          </w:p>
        </w:tc>
        <w:tc>
          <w:tcPr>
            <w:tcW w:w="1950" w:type="dxa"/>
            <w:vAlign w:val="center"/>
          </w:tcPr>
          <w:p>
            <w:pPr>
              <w:jc w:val="right"/>
            </w:pPr>
            <w:r>
              <w:rPr>
                <w:color w:val="000000"/>
                <w:sz w:val="24"/>
              </w:rPr>
              <w:t>-</w:t>
            </w:r>
          </w:p>
        </w:tc>
        <w:tc>
          <w:tcPr>
            <w:tcW w:w="1894" w:type="dxa"/>
            <w:vAlign w:val="center"/>
          </w:tcPr>
          <w:p>
            <w:pPr>
              <w:jc w:val="right"/>
            </w:pPr>
            <w:r>
              <w:rPr>
                <w:color w:val="000000"/>
                <w:sz w:val="24"/>
              </w:rPr>
              <w:t>-</w:t>
            </w:r>
          </w:p>
        </w:tc>
        <w:tc>
          <w:tcPr>
            <w:tcW w:w="1068" w:type="dxa"/>
            <w:vAlign w:val="center"/>
          </w:tcPr>
          <w:p>
            <w:pPr>
              <w:jc w:val="left"/>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jc w:val="center"/>
            </w:pPr>
            <w:r>
              <w:rPr>
                <w:color w:val="000000"/>
                <w:sz w:val="24"/>
              </w:rPr>
              <w:t>2019年</w:t>
            </w:r>
          </w:p>
        </w:tc>
        <w:tc>
          <w:tcPr>
            <w:tcW w:w="1378" w:type="dxa"/>
            <w:vAlign w:val="center"/>
          </w:tcPr>
          <w:p>
            <w:pPr>
              <w:jc w:val="right"/>
            </w:pPr>
            <w:r>
              <w:rPr>
                <w:color w:val="000000"/>
                <w:sz w:val="24"/>
              </w:rPr>
              <w:t>-</w:t>
            </w:r>
          </w:p>
        </w:tc>
        <w:tc>
          <w:tcPr>
            <w:tcW w:w="1839" w:type="dxa"/>
            <w:vAlign w:val="center"/>
          </w:tcPr>
          <w:p>
            <w:pPr>
              <w:jc w:val="right"/>
            </w:pPr>
            <w:r>
              <w:rPr>
                <w:color w:val="000000"/>
                <w:sz w:val="24"/>
              </w:rPr>
              <w:t>-</w:t>
            </w:r>
          </w:p>
        </w:tc>
        <w:tc>
          <w:tcPr>
            <w:tcW w:w="1950" w:type="dxa"/>
            <w:vAlign w:val="center"/>
          </w:tcPr>
          <w:p>
            <w:pPr>
              <w:jc w:val="right"/>
            </w:pPr>
            <w:r>
              <w:rPr>
                <w:color w:val="000000"/>
                <w:sz w:val="24"/>
              </w:rPr>
              <w:t>-</w:t>
            </w:r>
          </w:p>
        </w:tc>
        <w:tc>
          <w:tcPr>
            <w:tcW w:w="1894" w:type="dxa"/>
            <w:vAlign w:val="center"/>
          </w:tcPr>
          <w:p>
            <w:pPr>
              <w:jc w:val="right"/>
            </w:pPr>
            <w:r>
              <w:rPr>
                <w:color w:val="000000"/>
                <w:sz w:val="24"/>
              </w:rPr>
              <w:t>-</w:t>
            </w:r>
          </w:p>
        </w:tc>
        <w:tc>
          <w:tcPr>
            <w:tcW w:w="1068" w:type="dxa"/>
            <w:vAlign w:val="center"/>
          </w:tcPr>
          <w:p>
            <w:pPr>
              <w:jc w:val="left"/>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jc w:val="center"/>
            </w:pPr>
            <w:r>
              <w:rPr>
                <w:color w:val="000000"/>
                <w:sz w:val="24"/>
              </w:rPr>
              <w:t>2018年</w:t>
            </w:r>
          </w:p>
        </w:tc>
        <w:tc>
          <w:tcPr>
            <w:tcW w:w="1378" w:type="dxa"/>
            <w:vAlign w:val="center"/>
          </w:tcPr>
          <w:p>
            <w:pPr>
              <w:jc w:val="right"/>
            </w:pPr>
            <w:r>
              <w:rPr>
                <w:color w:val="000000"/>
                <w:sz w:val="24"/>
              </w:rPr>
              <w:t>-</w:t>
            </w:r>
          </w:p>
        </w:tc>
        <w:tc>
          <w:tcPr>
            <w:tcW w:w="1839" w:type="dxa"/>
            <w:vAlign w:val="center"/>
          </w:tcPr>
          <w:p>
            <w:pPr>
              <w:jc w:val="right"/>
            </w:pPr>
            <w:r>
              <w:rPr>
                <w:color w:val="000000"/>
                <w:sz w:val="24"/>
              </w:rPr>
              <w:t>-</w:t>
            </w:r>
          </w:p>
        </w:tc>
        <w:tc>
          <w:tcPr>
            <w:tcW w:w="1950" w:type="dxa"/>
            <w:vAlign w:val="center"/>
          </w:tcPr>
          <w:p>
            <w:pPr>
              <w:jc w:val="right"/>
            </w:pPr>
            <w:r>
              <w:rPr>
                <w:color w:val="000000"/>
                <w:sz w:val="24"/>
              </w:rPr>
              <w:t>-</w:t>
            </w:r>
          </w:p>
        </w:tc>
        <w:tc>
          <w:tcPr>
            <w:tcW w:w="1894" w:type="dxa"/>
            <w:vAlign w:val="center"/>
          </w:tcPr>
          <w:p>
            <w:pPr>
              <w:jc w:val="right"/>
            </w:pPr>
            <w:r>
              <w:rPr>
                <w:color w:val="000000"/>
                <w:sz w:val="24"/>
              </w:rPr>
              <w:t>-</w:t>
            </w:r>
          </w:p>
        </w:tc>
        <w:tc>
          <w:tcPr>
            <w:tcW w:w="1068" w:type="dxa"/>
            <w:vAlign w:val="center"/>
          </w:tcPr>
          <w:p>
            <w:pPr>
              <w:jc w:val="left"/>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spacing w:before="29" w:line="288" w:lineRule="auto"/>
              <w:jc w:val="center"/>
              <w:rPr>
                <w:rFonts w:asciiTheme="minorEastAsia" w:hAnsiTheme="minorEastAsia" w:eastAsiaTheme="minorEastAsia"/>
                <w:color w:val="000000"/>
                <w:szCs w:val="21"/>
              </w:rPr>
            </w:pPr>
            <w:r>
              <w:rPr>
                <w:rFonts w:hint="eastAsia"/>
                <w:sz w:val="24"/>
              </w:rPr>
              <w:t>合计</w:t>
            </w:r>
          </w:p>
        </w:tc>
        <w:tc>
          <w:tcPr>
            <w:tcW w:w="1378" w:type="dxa"/>
            <w:vAlign w:val="center"/>
          </w:tcPr>
          <w:p>
            <w:pPr>
              <w:spacing w:before="29" w:line="288" w:lineRule="auto"/>
              <w:jc w:val="right"/>
              <w:rPr>
                <w:sz w:val="24"/>
              </w:rPr>
            </w:pPr>
            <w:r>
              <w:rPr>
                <w:sz w:val="24"/>
              </w:rPr>
              <w:t>-</w:t>
            </w:r>
          </w:p>
        </w:tc>
        <w:tc>
          <w:tcPr>
            <w:tcW w:w="1839" w:type="dxa"/>
            <w:vAlign w:val="center"/>
          </w:tcPr>
          <w:p>
            <w:pPr>
              <w:spacing w:before="29" w:line="288" w:lineRule="auto"/>
              <w:jc w:val="right"/>
              <w:rPr>
                <w:sz w:val="24"/>
              </w:rPr>
            </w:pPr>
            <w:r>
              <w:rPr>
                <w:sz w:val="24"/>
              </w:rPr>
              <w:t>-</w:t>
            </w:r>
          </w:p>
        </w:tc>
        <w:tc>
          <w:tcPr>
            <w:tcW w:w="1950" w:type="dxa"/>
            <w:vAlign w:val="center"/>
          </w:tcPr>
          <w:p>
            <w:pPr>
              <w:spacing w:before="29" w:line="288" w:lineRule="auto"/>
              <w:jc w:val="right"/>
              <w:rPr>
                <w:sz w:val="24"/>
              </w:rPr>
            </w:pPr>
            <w:r>
              <w:rPr>
                <w:sz w:val="24"/>
              </w:rPr>
              <w:t>-</w:t>
            </w:r>
          </w:p>
        </w:tc>
        <w:tc>
          <w:tcPr>
            <w:tcW w:w="1894" w:type="dxa"/>
            <w:vAlign w:val="center"/>
          </w:tcPr>
          <w:p>
            <w:pPr>
              <w:spacing w:before="29" w:line="288" w:lineRule="auto"/>
              <w:jc w:val="right"/>
              <w:rPr>
                <w:sz w:val="24"/>
              </w:rPr>
            </w:pPr>
            <w:r>
              <w:rPr>
                <w:sz w:val="24"/>
              </w:rPr>
              <w:t>-</w:t>
            </w:r>
          </w:p>
        </w:tc>
        <w:tc>
          <w:tcPr>
            <w:tcW w:w="1068" w:type="dxa"/>
            <w:vAlign w:val="center"/>
          </w:tcPr>
          <w:p>
            <w:pPr>
              <w:spacing w:before="29" w:line="288" w:lineRule="auto"/>
              <w:rPr>
                <w:sz w:val="24"/>
              </w:rPr>
            </w:pPr>
            <w:r>
              <w:rPr>
                <w:sz w:val="24"/>
              </w:rPr>
              <w:t>-</w:t>
            </w:r>
          </w:p>
        </w:tc>
      </w:tr>
    </w:tbl>
    <w:p>
      <w:pPr>
        <w:spacing w:line="360" w:lineRule="auto"/>
        <w:jc w:val="left"/>
        <w:rPr>
          <w:rFonts w:asciiTheme="minorEastAsia" w:hAnsiTheme="minorEastAsia" w:eastAsiaTheme="minorEastAsia"/>
          <w:color w:val="000000"/>
          <w:szCs w:val="21"/>
        </w:rPr>
      </w:pPr>
    </w:p>
    <w:p>
      <w:pPr>
        <w:pStyle w:val="2"/>
        <w:keepNext/>
        <w:keepLines/>
        <w:widowControl w:val="0"/>
        <w:spacing w:before="312" w:beforeLines="100" w:after="312" w:afterLines="100" w:line="288" w:lineRule="auto"/>
        <w:jc w:val="center"/>
        <w:rPr>
          <w:b/>
          <w:bCs/>
          <w:szCs w:val="24"/>
          <w:lang w:val="en-US"/>
        </w:rPr>
      </w:pPr>
      <w:bookmarkStart w:id="37" w:name="_Toc225498254"/>
      <w:bookmarkStart w:id="38" w:name="_Toc361324854"/>
      <w:bookmarkStart w:id="39" w:name="_Toc67589753"/>
      <w:r>
        <w:rPr>
          <w:rFonts w:hint="eastAsia"/>
          <w:b/>
          <w:bCs/>
          <w:szCs w:val="24"/>
          <w:lang w:val="en-US"/>
        </w:rPr>
        <w:t>§</w:t>
      </w:r>
      <w:r>
        <w:rPr>
          <w:b/>
          <w:bCs/>
          <w:szCs w:val="24"/>
          <w:lang w:val="en-US"/>
        </w:rPr>
        <w:t xml:space="preserve">4  </w:t>
      </w:r>
      <w:r>
        <w:rPr>
          <w:rFonts w:hint="eastAsia"/>
          <w:b/>
          <w:bCs/>
          <w:szCs w:val="24"/>
          <w:lang w:val="en-US"/>
        </w:rPr>
        <w:t>管理人报告</w:t>
      </w:r>
      <w:bookmarkEnd w:id="37"/>
      <w:bookmarkEnd w:id="38"/>
      <w:bookmarkEnd w:id="39"/>
    </w:p>
    <w:p>
      <w:pPr>
        <w:spacing w:line="360" w:lineRule="auto"/>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40" w:name="_Toc361324855"/>
      <w:bookmarkStart w:id="41" w:name="_Toc67589754"/>
      <w:r>
        <w:rPr>
          <w:rFonts w:ascii="Times New Roman" w:hAnsi="Times New Roman"/>
          <w:kern w:val="0"/>
          <w:szCs w:val="24"/>
        </w:rPr>
        <w:t xml:space="preserve">4.1 </w:t>
      </w:r>
      <w:r>
        <w:rPr>
          <w:rFonts w:hint="eastAsia" w:ascii="Times New Roman" w:hAnsi="Times New Roman"/>
          <w:kern w:val="0"/>
          <w:szCs w:val="24"/>
        </w:rPr>
        <w:t>基金管理人及基金经理情况</w:t>
      </w:r>
      <w:bookmarkEnd w:id="40"/>
      <w:bookmarkEnd w:id="41"/>
    </w:p>
    <w:p>
      <w:pPr>
        <w:spacing w:line="360" w:lineRule="auto"/>
        <w:rPr>
          <w:rFonts w:eastAsiaTheme="minorEastAsia"/>
          <w:b/>
          <w:color w:val="000000" w:themeColor="text1"/>
          <w:sz w:val="24"/>
        </w:rPr>
      </w:pPr>
      <w:r>
        <w:rPr>
          <w:rFonts w:eastAsiaTheme="minorEastAsia"/>
          <w:b/>
          <w:color w:val="000000" w:themeColor="text1"/>
          <w:sz w:val="24"/>
        </w:rPr>
        <w:t>4.1.1</w:t>
      </w:r>
      <w:r>
        <w:rPr>
          <w:rFonts w:hint="eastAsia" w:eastAsiaTheme="minorEastAsia"/>
          <w:b/>
          <w:color w:val="000000" w:themeColor="text1"/>
          <w:sz w:val="24"/>
        </w:rPr>
        <w:t>基金管理人及其管理基金的经验</w:t>
      </w:r>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pPr>
        <w:spacing w:before="29" w:line="288" w:lineRule="auto"/>
        <w:ind w:firstLine="480" w:firstLineChars="200"/>
        <w:rPr>
          <w:color w:val="000000"/>
          <w:sz w:val="24"/>
        </w:rPr>
      </w:pPr>
      <w:r>
        <w:rPr>
          <w:color w:val="000000"/>
          <w:sz w:val="24"/>
        </w:rPr>
        <w:t>截至报告期末，公司管理了包括货币型、债券型、混合型和股票型在内的94只基金，其中股票型涵盖普通指数型、交易型开放式（ETF）、QDII等不同类型基金。</w:t>
      </w:r>
    </w:p>
    <w:p>
      <w:pPr>
        <w:spacing w:line="360" w:lineRule="auto"/>
        <w:ind w:firstLine="420" w:firstLineChars="200"/>
        <w:rPr>
          <w:rFonts w:asciiTheme="minorEastAsia" w:hAnsiTheme="minorEastAsia" w:eastAsiaTheme="minorEastAsia"/>
          <w:color w:val="000000"/>
          <w:kern w:val="0"/>
          <w:szCs w:val="21"/>
        </w:rPr>
      </w:pPr>
    </w:p>
    <w:p>
      <w:pPr>
        <w:spacing w:line="360" w:lineRule="auto"/>
        <w:rPr>
          <w:rFonts w:eastAsiaTheme="minorEastAsia"/>
          <w:b/>
          <w:color w:val="000000" w:themeColor="text1"/>
          <w:sz w:val="24"/>
        </w:rPr>
      </w:pPr>
      <w:r>
        <w:rPr>
          <w:rFonts w:eastAsiaTheme="minorEastAsia"/>
          <w:b/>
          <w:color w:val="000000" w:themeColor="text1"/>
          <w:sz w:val="24"/>
        </w:rPr>
        <w:t>4.1.2</w:t>
      </w:r>
      <w:r>
        <w:rPr>
          <w:rFonts w:hint="eastAsia" w:eastAsiaTheme="minorEastAsia"/>
          <w:b/>
          <w:color w:val="000000" w:themeColor="text1"/>
          <w:sz w:val="24"/>
        </w:rPr>
        <w:t>基金经理（或基金经理小组）及基金经理助理的简介</w:t>
      </w:r>
    </w:p>
    <w:tbl>
      <w:tblPr>
        <w:tblStyle w:val="25"/>
        <w:tblW w:w="8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416"/>
        <w:gridCol w:w="1238"/>
        <w:gridCol w:w="1276"/>
        <w:gridCol w:w="996"/>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Merge w:val="restart"/>
            <w:vAlign w:val="center"/>
          </w:tcPr>
          <w:p>
            <w:pPr>
              <w:spacing w:before="29" w:line="288" w:lineRule="auto"/>
              <w:jc w:val="center"/>
              <w:rPr>
                <w:color w:val="000000"/>
                <w:sz w:val="24"/>
              </w:rPr>
            </w:pPr>
            <w:r>
              <w:rPr>
                <w:rFonts w:hint="eastAsia"/>
                <w:color w:val="000000"/>
                <w:sz w:val="24"/>
              </w:rPr>
              <w:t>姓名</w:t>
            </w:r>
          </w:p>
        </w:tc>
        <w:tc>
          <w:tcPr>
            <w:tcW w:w="1416" w:type="dxa"/>
            <w:vMerge w:val="restart"/>
            <w:vAlign w:val="center"/>
          </w:tcPr>
          <w:p>
            <w:pPr>
              <w:spacing w:before="29" w:line="288" w:lineRule="auto"/>
              <w:jc w:val="center"/>
              <w:rPr>
                <w:color w:val="000000"/>
                <w:sz w:val="24"/>
              </w:rPr>
            </w:pPr>
            <w:r>
              <w:rPr>
                <w:rFonts w:hint="eastAsia"/>
                <w:color w:val="000000"/>
                <w:sz w:val="24"/>
              </w:rPr>
              <w:t>职务</w:t>
            </w:r>
          </w:p>
        </w:tc>
        <w:tc>
          <w:tcPr>
            <w:tcW w:w="2514" w:type="dxa"/>
            <w:gridSpan w:val="2"/>
          </w:tcPr>
          <w:p>
            <w:pPr>
              <w:spacing w:before="29" w:line="288" w:lineRule="auto"/>
              <w:jc w:val="center"/>
              <w:rPr>
                <w:color w:val="000000"/>
                <w:sz w:val="24"/>
              </w:rPr>
            </w:pPr>
            <w:r>
              <w:rPr>
                <w:rFonts w:hint="eastAsia"/>
                <w:color w:val="000000"/>
                <w:sz w:val="24"/>
              </w:rPr>
              <w:t>任本基金的基金经理（助理）期限</w:t>
            </w:r>
          </w:p>
        </w:tc>
        <w:tc>
          <w:tcPr>
            <w:tcW w:w="996" w:type="dxa"/>
            <w:vMerge w:val="restart"/>
            <w:vAlign w:val="center"/>
          </w:tcPr>
          <w:p>
            <w:pPr>
              <w:spacing w:before="29" w:line="288" w:lineRule="auto"/>
              <w:jc w:val="center"/>
              <w:rPr>
                <w:color w:val="000000"/>
                <w:sz w:val="24"/>
              </w:rPr>
            </w:pPr>
            <w:r>
              <w:rPr>
                <w:rFonts w:hint="eastAsia"/>
                <w:color w:val="000000"/>
                <w:sz w:val="24"/>
              </w:rPr>
              <w:t>证券从业年限</w:t>
            </w:r>
          </w:p>
        </w:tc>
        <w:tc>
          <w:tcPr>
            <w:tcW w:w="3040" w:type="dxa"/>
            <w:vMerge w:val="restart"/>
            <w:vAlign w:val="center"/>
          </w:tcPr>
          <w:p>
            <w:pPr>
              <w:spacing w:before="29" w:line="288" w:lineRule="auto"/>
              <w:jc w:val="center"/>
              <w:rPr>
                <w:color w:val="000000"/>
                <w:sz w:val="24"/>
              </w:rPr>
            </w:pPr>
            <w:r>
              <w:rPr>
                <w:rFonts w:hint="eastAsia"/>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Merge w:val="continue"/>
            <w:vAlign w:val="center"/>
          </w:tcPr>
          <w:p>
            <w:pPr>
              <w:widowControl/>
              <w:spacing w:line="360" w:lineRule="auto"/>
              <w:jc w:val="left"/>
              <w:rPr>
                <w:rFonts w:asciiTheme="minorEastAsia" w:hAnsiTheme="minorEastAsia" w:eastAsiaTheme="minorEastAsia"/>
                <w:color w:val="000000"/>
                <w:szCs w:val="21"/>
              </w:rPr>
            </w:pPr>
          </w:p>
        </w:tc>
        <w:tc>
          <w:tcPr>
            <w:tcW w:w="1416" w:type="dxa"/>
            <w:vMerge w:val="continue"/>
            <w:vAlign w:val="center"/>
          </w:tcPr>
          <w:p>
            <w:pPr>
              <w:widowControl/>
              <w:spacing w:line="360" w:lineRule="auto"/>
              <w:jc w:val="left"/>
              <w:rPr>
                <w:rFonts w:asciiTheme="minorEastAsia" w:hAnsiTheme="minorEastAsia" w:eastAsiaTheme="minorEastAsia"/>
                <w:color w:val="000000"/>
                <w:szCs w:val="21"/>
              </w:rPr>
            </w:pPr>
          </w:p>
        </w:tc>
        <w:tc>
          <w:tcPr>
            <w:tcW w:w="1238" w:type="dxa"/>
            <w:vAlign w:val="center"/>
          </w:tcPr>
          <w:p>
            <w:pPr>
              <w:spacing w:before="29" w:line="288" w:lineRule="auto"/>
              <w:jc w:val="center"/>
              <w:rPr>
                <w:color w:val="000000"/>
                <w:sz w:val="24"/>
              </w:rPr>
            </w:pPr>
            <w:r>
              <w:rPr>
                <w:rFonts w:hint="eastAsia"/>
                <w:color w:val="000000"/>
                <w:sz w:val="24"/>
              </w:rPr>
              <w:t>任职日期</w:t>
            </w:r>
          </w:p>
        </w:tc>
        <w:tc>
          <w:tcPr>
            <w:tcW w:w="1276" w:type="dxa"/>
            <w:vAlign w:val="center"/>
          </w:tcPr>
          <w:p>
            <w:pPr>
              <w:spacing w:before="29" w:line="288" w:lineRule="auto"/>
              <w:jc w:val="center"/>
              <w:rPr>
                <w:color w:val="000000"/>
                <w:sz w:val="24"/>
              </w:rPr>
            </w:pPr>
            <w:r>
              <w:rPr>
                <w:rFonts w:hint="eastAsia"/>
                <w:color w:val="000000"/>
                <w:sz w:val="24"/>
              </w:rPr>
              <w:t>离任日期</w:t>
            </w:r>
          </w:p>
        </w:tc>
        <w:tc>
          <w:tcPr>
            <w:tcW w:w="996" w:type="dxa"/>
            <w:vMerge w:val="continue"/>
            <w:vAlign w:val="center"/>
          </w:tcPr>
          <w:p>
            <w:pPr>
              <w:widowControl/>
              <w:spacing w:line="360" w:lineRule="auto"/>
              <w:jc w:val="left"/>
              <w:rPr>
                <w:rFonts w:asciiTheme="minorEastAsia" w:hAnsiTheme="minorEastAsia" w:eastAsiaTheme="minorEastAsia"/>
                <w:color w:val="000000"/>
                <w:szCs w:val="21"/>
              </w:rPr>
            </w:pPr>
          </w:p>
        </w:tc>
        <w:tc>
          <w:tcPr>
            <w:tcW w:w="3040" w:type="dxa"/>
            <w:vMerge w:val="continue"/>
            <w:vAlign w:val="center"/>
          </w:tcPr>
          <w:p>
            <w:pPr>
              <w:widowControl/>
              <w:spacing w:line="360" w:lineRule="auto"/>
              <w:jc w:val="lef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jc w:val="center"/>
            </w:pPr>
            <w:r>
              <w:rPr>
                <w:color w:val="000000"/>
                <w:sz w:val="24"/>
              </w:rPr>
              <w:t>芮晨</w:t>
            </w:r>
          </w:p>
        </w:tc>
        <w:tc>
          <w:tcPr>
            <w:tcW w:w="1416" w:type="dxa"/>
            <w:vAlign w:val="center"/>
          </w:tcPr>
          <w:p>
            <w:pPr>
              <w:jc w:val="center"/>
            </w:pPr>
            <w:r>
              <w:rPr>
                <w:color w:val="000000"/>
                <w:sz w:val="24"/>
              </w:rPr>
              <w:t>交银科技创新灵活配置混合的基金经理</w:t>
            </w:r>
          </w:p>
        </w:tc>
        <w:tc>
          <w:tcPr>
            <w:tcW w:w="1238" w:type="dxa"/>
            <w:vAlign w:val="center"/>
          </w:tcPr>
          <w:p>
            <w:pPr>
              <w:jc w:val="center"/>
            </w:pPr>
            <w:r>
              <w:rPr>
                <w:color w:val="000000"/>
                <w:sz w:val="24"/>
              </w:rPr>
              <w:t>2016-05-05</w:t>
            </w:r>
          </w:p>
        </w:tc>
        <w:tc>
          <w:tcPr>
            <w:tcW w:w="1276" w:type="dxa"/>
            <w:vAlign w:val="center"/>
          </w:tcPr>
          <w:p>
            <w:pPr>
              <w:jc w:val="center"/>
            </w:pPr>
            <w:r>
              <w:rPr>
                <w:color w:val="000000"/>
                <w:sz w:val="24"/>
              </w:rPr>
              <w:t>-</w:t>
            </w:r>
          </w:p>
        </w:tc>
        <w:tc>
          <w:tcPr>
            <w:tcW w:w="996" w:type="dxa"/>
            <w:vAlign w:val="center"/>
          </w:tcPr>
          <w:p>
            <w:pPr>
              <w:jc w:val="center"/>
            </w:pPr>
            <w:r>
              <w:rPr>
                <w:color w:val="000000"/>
                <w:sz w:val="24"/>
              </w:rPr>
              <w:t>13年</w:t>
            </w:r>
          </w:p>
        </w:tc>
        <w:tc>
          <w:tcPr>
            <w:tcW w:w="3040" w:type="dxa"/>
            <w:vAlign w:val="center"/>
          </w:tcPr>
          <w:p>
            <w:r>
              <w:rPr>
                <w:color w:val="000000"/>
                <w:sz w:val="24"/>
              </w:rPr>
              <w:t>芮晨先生，内蒙古科技大学工学士。历任深圳尚诚资产管理有限公司研究员、研究副总监，国联安基金管理有限公司行业研究员、投资经理，浙商证券资产管理有限公司投资主办。2015年加入交银施罗德基金管理有限公司。2016年8月16日至2019年5月29日担任交银施罗德数据产业灵活配置混合型证券投资基金的基金经理。2015年5月18日至2020年7月14日担任交银施罗德先锋混合型证券投资基金的基金经理。</w:t>
            </w:r>
          </w:p>
        </w:tc>
      </w:tr>
    </w:tbl>
    <w:p>
      <w:pPr>
        <w:tabs>
          <w:tab w:val="left" w:pos="426"/>
        </w:tabs>
        <w:spacing w:before="29" w:line="288" w:lineRule="auto"/>
        <w:jc w:val="left"/>
        <w:rPr>
          <w:rFonts w:asciiTheme="minorEastAsia" w:hAnsiTheme="minorEastAsia" w:eastAsiaTheme="minorEastAsia"/>
          <w:color w:val="000000"/>
          <w:szCs w:val="21"/>
        </w:rPr>
      </w:pPr>
      <w:r>
        <w:rPr>
          <w:kern w:val="0"/>
          <w:sz w:val="24"/>
        </w:rPr>
        <w:t>注：1、本表所列基金经理（助理）任职日期和离职日期均以基金合同生效日或公司作出决定并公告（如适用）之日为准。</w:t>
      </w:r>
    </w:p>
    <w:p>
      <w:pPr>
        <w:tabs>
          <w:tab w:val="left" w:pos="426"/>
        </w:tabs>
        <w:spacing w:before="29" w:line="288" w:lineRule="auto"/>
        <w:jc w:val="left"/>
        <w:rPr>
          <w:rFonts w:asciiTheme="minorEastAsia" w:hAnsiTheme="minorEastAsia" w:eastAsiaTheme="minorEastAsia"/>
          <w:color w:val="000000"/>
          <w:szCs w:val="21"/>
        </w:rPr>
      </w:pPr>
      <w:r>
        <w:rPr>
          <w:kern w:val="0"/>
          <w:sz w:val="24"/>
        </w:rPr>
        <w:t>2、本表所列基金经理（助理）证券从业年限中的“证券从业”的含义遵从中国证券业协会《证券业从业人员资格管理办法》的相关规定。</w:t>
      </w:r>
    </w:p>
    <w:p>
      <w:pPr>
        <w:tabs>
          <w:tab w:val="left" w:pos="426"/>
        </w:tabs>
        <w:spacing w:before="29" w:line="288" w:lineRule="auto"/>
        <w:jc w:val="left"/>
        <w:rPr>
          <w:rFonts w:asciiTheme="minorEastAsia" w:hAnsiTheme="minorEastAsia" w:eastAsiaTheme="minorEastAsia"/>
          <w:color w:val="000000"/>
          <w:szCs w:val="21"/>
        </w:rPr>
      </w:pPr>
      <w:r>
        <w:rPr>
          <w:kern w:val="0"/>
          <w:sz w:val="24"/>
        </w:rPr>
        <w:t>3、基金经理（或基金经理小组）期后变动（如有）敬请关注基金管理人发布的相关公告。</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42" w:name="_Toc225498256"/>
      <w:bookmarkStart w:id="43" w:name="_Toc361324856"/>
      <w:bookmarkStart w:id="44" w:name="_Toc67589755"/>
      <w:r>
        <w:rPr>
          <w:rFonts w:ascii="Times New Roman" w:hAnsi="Times New Roman"/>
          <w:kern w:val="0"/>
          <w:szCs w:val="24"/>
        </w:rPr>
        <w:t xml:space="preserve">4.2 </w:t>
      </w:r>
      <w:r>
        <w:rPr>
          <w:rFonts w:hint="eastAsia" w:ascii="Times New Roman" w:hAnsi="Times New Roman"/>
          <w:kern w:val="0"/>
          <w:szCs w:val="24"/>
        </w:rPr>
        <w:t>管理人对报告期内本基金运作遵规守信情况的说明</w:t>
      </w:r>
      <w:bookmarkEnd w:id="42"/>
      <w:bookmarkEnd w:id="43"/>
      <w:bookmarkEnd w:id="44"/>
    </w:p>
    <w:p>
      <w:pPr>
        <w:spacing w:before="29" w:line="288" w:lineRule="auto"/>
        <w:ind w:firstLine="480" w:firstLineChars="20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45" w:name="_Toc225498257"/>
      <w:bookmarkStart w:id="46" w:name="_Toc361324857"/>
      <w:bookmarkStart w:id="47" w:name="_Toc67589756"/>
      <w:r>
        <w:rPr>
          <w:rFonts w:ascii="Times New Roman" w:hAnsi="Times New Roman"/>
          <w:kern w:val="0"/>
          <w:szCs w:val="24"/>
        </w:rPr>
        <w:t xml:space="preserve">4.3 </w:t>
      </w:r>
      <w:r>
        <w:rPr>
          <w:rFonts w:hint="eastAsia" w:ascii="Times New Roman" w:hAnsi="Times New Roman"/>
          <w:kern w:val="0"/>
          <w:szCs w:val="24"/>
        </w:rPr>
        <w:t>管理人对报告期内公平交易情况的专项说明</w:t>
      </w:r>
      <w:bookmarkEnd w:id="45"/>
      <w:bookmarkEnd w:id="46"/>
      <w:bookmarkEnd w:id="47"/>
    </w:p>
    <w:p>
      <w:pPr>
        <w:spacing w:line="360" w:lineRule="auto"/>
        <w:rPr>
          <w:rFonts w:eastAsiaTheme="minorEastAsia"/>
          <w:b/>
          <w:color w:val="000000" w:themeColor="text1"/>
          <w:sz w:val="24"/>
        </w:rPr>
      </w:pPr>
      <w:r>
        <w:rPr>
          <w:rFonts w:eastAsiaTheme="minorEastAsia"/>
          <w:b/>
          <w:color w:val="000000" w:themeColor="text1"/>
          <w:sz w:val="24"/>
        </w:rPr>
        <w:t>4.3.1</w:t>
      </w:r>
      <w:r>
        <w:rPr>
          <w:rFonts w:hint="eastAsia" w:eastAsiaTheme="minorEastAsia"/>
          <w:b/>
          <w:color w:val="000000" w:themeColor="text1"/>
          <w:sz w:val="24"/>
        </w:rPr>
        <w:t>公平交易制度和控制方法</w:t>
      </w:r>
    </w:p>
    <w:p>
      <w:pPr>
        <w:spacing w:before="29" w:line="288" w:lineRule="auto"/>
        <w:ind w:firstLine="480" w:firstLineChars="20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pPr>
        <w:spacing w:before="29" w:line="288" w:lineRule="auto"/>
        <w:ind w:firstLine="480" w:firstLineChars="200"/>
        <w:rPr>
          <w:color w:val="000000"/>
          <w:sz w:val="24"/>
        </w:rPr>
      </w:pPr>
      <w:r>
        <w:rPr>
          <w:color w:val="000000"/>
          <w:sz w:val="24"/>
        </w:rPr>
        <w:t>（1）公司建立资源共享的投资研究信息平台，所有研究成果对所有投资组合公平开放，确保各投资组合在获得研究支持和实施投资决策方面享有公平的机会。</w:t>
      </w:r>
    </w:p>
    <w:p>
      <w:pPr>
        <w:spacing w:before="29" w:line="288" w:lineRule="auto"/>
        <w:ind w:firstLine="480" w:firstLineChars="200"/>
        <w:rPr>
          <w:color w:val="000000"/>
          <w:sz w:val="24"/>
        </w:rPr>
      </w:pPr>
      <w:r>
        <w:rPr>
          <w:color w:val="000000"/>
          <w:sz w:val="24"/>
        </w:rPr>
        <w:t>（2）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3）公司建立了清晰的投资授权制度，明确各层级投资决策主体的职责和权限划分，组合投资经理充分发挥专业判断能力,不受他人干预,在授权范围内独立行使投资决策权，维护公平的投资管理环境，维护所管理投资组合的合法利益,保证各投资组合交易决策的客观性和独立性，防范不公平及异常交易的发生。</w:t>
      </w:r>
    </w:p>
    <w:p>
      <w:pPr>
        <w:spacing w:before="29" w:line="288" w:lineRule="auto"/>
        <w:ind w:firstLine="480" w:firstLineChars="200"/>
        <w:rPr>
          <w:color w:val="000000"/>
          <w:sz w:val="24"/>
        </w:rPr>
      </w:pPr>
      <w:r>
        <w:rPr>
          <w:color w:val="000000"/>
          <w:sz w:val="24"/>
        </w:rPr>
        <w:t>（4）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pPr>
        <w:spacing w:before="29" w:line="288" w:lineRule="auto"/>
        <w:ind w:firstLine="480" w:firstLineChars="200"/>
        <w:rPr>
          <w:color w:val="000000"/>
          <w:sz w:val="24"/>
        </w:rPr>
      </w:pPr>
      <w:r>
        <w:rPr>
          <w:color w:val="000000"/>
          <w:sz w:val="24"/>
        </w:rPr>
        <w:t>（5）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pPr>
        <w:spacing w:line="360" w:lineRule="auto"/>
        <w:jc w:val="left"/>
        <w:rPr>
          <w:rFonts w:asciiTheme="minorEastAsia" w:hAnsiTheme="minorEastAsia" w:eastAsiaTheme="minorEastAsia"/>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4.3.2</w:t>
      </w:r>
      <w:r>
        <w:rPr>
          <w:rFonts w:hint="eastAsia" w:eastAsiaTheme="minorEastAsia"/>
          <w:b/>
          <w:color w:val="000000" w:themeColor="text1"/>
          <w:sz w:val="24"/>
        </w:rPr>
        <w:t>公平交易制度的执行情况</w:t>
      </w:r>
    </w:p>
    <w:p>
      <w:pPr>
        <w:spacing w:before="29" w:line="288" w:lineRule="auto"/>
        <w:ind w:firstLine="480" w:firstLineChars="200"/>
        <w:rPr>
          <w:rFonts w:asciiTheme="minorEastAsia" w:hAnsiTheme="minorEastAsia" w:eastAsia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rFonts w:asciiTheme="minorEastAsia" w:hAnsiTheme="minorEastAsia" w:eastAsia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rFonts w:asciiTheme="minorEastAsia" w:hAnsiTheme="minorEastAsia" w:eastAsia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pPr>
        <w:spacing w:before="29" w:line="288" w:lineRule="auto"/>
        <w:ind w:firstLine="480" w:firstLineChars="200"/>
        <w:rPr>
          <w:rFonts w:asciiTheme="minorEastAsia" w:hAnsiTheme="minorEastAsia" w:eastAsiaTheme="minorEastAsia"/>
          <w:color w:val="000000"/>
          <w:szCs w:val="21"/>
        </w:rPr>
      </w:pPr>
      <w:r>
        <w:rPr>
          <w:color w:val="000000"/>
          <w:sz w:val="24"/>
        </w:rPr>
        <w:t>报告期内本公司严格执行公平交易制度，公平对待旗下各投资组合，未发现任何违反公平交易的行为。</w:t>
      </w:r>
    </w:p>
    <w:p>
      <w:pPr>
        <w:spacing w:line="360" w:lineRule="auto"/>
        <w:jc w:val="left"/>
        <w:rPr>
          <w:rFonts w:asciiTheme="minorEastAsia" w:hAnsiTheme="minorEastAsia" w:eastAsiaTheme="minorEastAsia"/>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4.3.3</w:t>
      </w:r>
      <w:r>
        <w:rPr>
          <w:rFonts w:hint="eastAsia" w:eastAsiaTheme="minorEastAsia"/>
          <w:b/>
          <w:color w:val="000000" w:themeColor="text1"/>
          <w:sz w:val="24"/>
        </w:rPr>
        <w:t>异常交易行为的专项说明</w:t>
      </w:r>
    </w:p>
    <w:p>
      <w:pPr>
        <w:spacing w:before="29" w:line="288" w:lineRule="auto"/>
        <w:ind w:firstLine="480" w:firstLineChars="20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48" w:name="_Toc225498258"/>
      <w:bookmarkStart w:id="49" w:name="_Toc361324858"/>
      <w:bookmarkStart w:id="50" w:name="_Toc67589757"/>
      <w:r>
        <w:rPr>
          <w:rFonts w:ascii="Times New Roman" w:hAnsi="Times New Roman"/>
          <w:kern w:val="0"/>
          <w:szCs w:val="24"/>
        </w:rPr>
        <w:t xml:space="preserve">4.4 </w:t>
      </w:r>
      <w:r>
        <w:rPr>
          <w:rFonts w:hint="eastAsia" w:ascii="Times New Roman" w:hAnsi="Times New Roman"/>
          <w:kern w:val="0"/>
          <w:szCs w:val="24"/>
        </w:rPr>
        <w:t>管理人对报告期内基金的投资策略和业绩表现的说明</w:t>
      </w:r>
      <w:bookmarkEnd w:id="48"/>
      <w:bookmarkEnd w:id="49"/>
      <w:bookmarkEnd w:id="50"/>
    </w:p>
    <w:p>
      <w:pPr>
        <w:spacing w:line="360" w:lineRule="auto"/>
        <w:rPr>
          <w:rFonts w:eastAsiaTheme="minorEastAsia"/>
          <w:b/>
          <w:color w:val="000000" w:themeColor="text1"/>
          <w:sz w:val="24"/>
        </w:rPr>
      </w:pPr>
      <w:r>
        <w:rPr>
          <w:rFonts w:eastAsiaTheme="minorEastAsia"/>
          <w:b/>
          <w:color w:val="000000" w:themeColor="text1"/>
          <w:sz w:val="24"/>
        </w:rPr>
        <w:t>4.4.1</w:t>
      </w:r>
      <w:r>
        <w:rPr>
          <w:rFonts w:hint="eastAsia" w:eastAsiaTheme="minorEastAsia"/>
          <w:b/>
          <w:color w:val="000000" w:themeColor="text1"/>
          <w:sz w:val="24"/>
        </w:rPr>
        <w:t>报告期内基金投资策略和运作分析</w:t>
      </w:r>
    </w:p>
    <w:p>
      <w:pPr>
        <w:spacing w:before="29" w:line="288" w:lineRule="auto"/>
        <w:ind w:firstLine="480" w:firstLineChars="200"/>
        <w:rPr>
          <w:color w:val="000000"/>
          <w:sz w:val="24"/>
        </w:rPr>
      </w:pPr>
      <w:r>
        <w:rPr>
          <w:color w:val="000000"/>
          <w:sz w:val="24"/>
        </w:rPr>
        <w:t>2020年受新冠疫情影响，CPI和PPI都大幅走低。为对冲疫情带来的影响，货币政策宽松，降低企业融资成本。A股市场于一季度大幅回调，由于后期疫情控制得力，A股于第二、第三、第四季度持续上涨。但结构分化巨大，龙头企业贡献了大部分涨幅，市场中位数涨幅仅1%。行业层面，新能源涨幅居首，食品饮料和医药为首的大消费涨幅其次。</w:t>
      </w:r>
    </w:p>
    <w:p>
      <w:pPr>
        <w:spacing w:before="29" w:line="288" w:lineRule="auto"/>
        <w:ind w:firstLine="480" w:firstLineChars="200"/>
        <w:rPr>
          <w:color w:val="000000"/>
          <w:sz w:val="24"/>
        </w:rPr>
      </w:pPr>
      <w:r>
        <w:rPr>
          <w:color w:val="000000"/>
          <w:sz w:val="24"/>
        </w:rPr>
        <w:t xml:space="preserve">本基金全年保持略高仓位，坚持在各个行业中寻找中期营收有能力上台阶的公司。行业层面，重点配置计算机、军工以及低估值化工，全年看本基金跑赢业绩比较基准。 </w:t>
      </w:r>
    </w:p>
    <w:p>
      <w:pPr>
        <w:spacing w:line="360" w:lineRule="auto"/>
        <w:ind w:firstLine="420" w:firstLineChars="200"/>
        <w:rPr>
          <w:rFonts w:asciiTheme="minorEastAsia" w:hAnsiTheme="minorEastAsia" w:eastAsiaTheme="minorEastAsia"/>
          <w:kern w:val="0"/>
          <w:szCs w:val="21"/>
        </w:rPr>
      </w:pPr>
    </w:p>
    <w:p>
      <w:pPr>
        <w:spacing w:line="360" w:lineRule="auto"/>
        <w:rPr>
          <w:rFonts w:eastAsiaTheme="minorEastAsia"/>
          <w:b/>
          <w:color w:val="000000" w:themeColor="text1"/>
          <w:sz w:val="24"/>
        </w:rPr>
      </w:pPr>
      <w:r>
        <w:rPr>
          <w:rFonts w:eastAsiaTheme="minorEastAsia"/>
          <w:b/>
          <w:color w:val="000000" w:themeColor="text1"/>
          <w:sz w:val="24"/>
        </w:rPr>
        <w:t>4.4.2</w:t>
      </w:r>
      <w:r>
        <w:rPr>
          <w:rFonts w:hint="eastAsia" w:eastAsiaTheme="minorEastAsia"/>
          <w:b/>
          <w:color w:val="000000" w:themeColor="text1"/>
          <w:sz w:val="24"/>
        </w:rPr>
        <w:t>报告期内基金的业绩表现</w:t>
      </w:r>
    </w:p>
    <w:p>
      <w:pPr>
        <w:spacing w:before="29" w:line="288" w:lineRule="auto"/>
        <w:ind w:firstLine="480" w:firstLineChars="200"/>
        <w:rPr>
          <w:color w:val="000000"/>
          <w:sz w:val="24"/>
        </w:rPr>
      </w:pPr>
      <w:r>
        <w:rPr>
          <w:color w:val="000000"/>
          <w:sz w:val="24"/>
        </w:rPr>
        <w:t>本基金（各类）份额净值及业绩表现请见“3.1主要会计数据和财务指标” 及“3.2.1基金份额净值增长率及其与同期业绩比较基准收益率的比较”部分披露。</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51" w:name="_Toc225498259"/>
      <w:bookmarkStart w:id="52" w:name="_Toc361324859"/>
      <w:bookmarkStart w:id="53" w:name="_Toc67589758"/>
      <w:r>
        <w:rPr>
          <w:rFonts w:ascii="Times New Roman" w:hAnsi="Times New Roman"/>
          <w:kern w:val="0"/>
          <w:szCs w:val="24"/>
        </w:rPr>
        <w:t xml:space="preserve">4.5 </w:t>
      </w:r>
      <w:r>
        <w:rPr>
          <w:rFonts w:hint="eastAsia" w:ascii="Times New Roman" w:hAnsi="Times New Roman"/>
          <w:kern w:val="0"/>
          <w:szCs w:val="24"/>
        </w:rPr>
        <w:t>管理人对宏观经济、证券市场及行业走势的简要展望</w:t>
      </w:r>
      <w:bookmarkEnd w:id="51"/>
      <w:bookmarkEnd w:id="52"/>
      <w:bookmarkEnd w:id="53"/>
    </w:p>
    <w:p>
      <w:pPr>
        <w:spacing w:before="29" w:line="288" w:lineRule="auto"/>
        <w:ind w:firstLine="480" w:firstLineChars="200"/>
        <w:rPr>
          <w:color w:val="000000"/>
          <w:sz w:val="24"/>
        </w:rPr>
      </w:pPr>
      <w:r>
        <w:rPr>
          <w:color w:val="000000"/>
          <w:sz w:val="24"/>
        </w:rPr>
        <w:t>展望2021年，我们对A股持谨慎态度。考虑到目前的经济趋势和政策取向，我们认为权益在年内可能会有一次大的调整。由于持续的上涨，从估值上看部分龙头公司的三到五年的预期收益率已经下降到和固定收益相差不大的水平。考虑到随着时间推移，疫情大概率的逐步平复，全球经济的逐步恢复，利率水平也随之上升，高估值的股票预计会面临调整的压力。本基金将继续关注预期收益率合适的科技、顺周期低估值龙头。按照成长为主、兼顾回撤的配置思路，坚守能力圈，做中长期布局，努力为持有人带来稳健持续的收益。</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54" w:name="_Toc247959456"/>
      <w:bookmarkStart w:id="55" w:name="_Toc245801806"/>
      <w:bookmarkStart w:id="56" w:name="_Toc361324860"/>
      <w:bookmarkStart w:id="57" w:name="_Toc67589759"/>
      <w:r>
        <w:rPr>
          <w:rFonts w:ascii="Times New Roman" w:hAnsi="Times New Roman"/>
          <w:kern w:val="0"/>
          <w:szCs w:val="24"/>
        </w:rPr>
        <w:t xml:space="preserve">4.6 </w:t>
      </w:r>
      <w:r>
        <w:rPr>
          <w:rFonts w:hint="eastAsia" w:ascii="Times New Roman" w:hAnsi="Times New Roman"/>
          <w:kern w:val="0"/>
          <w:szCs w:val="24"/>
        </w:rPr>
        <w:t>管理人内部有关本基金的监察稽核工作情况</w:t>
      </w:r>
      <w:bookmarkEnd w:id="54"/>
      <w:bookmarkEnd w:id="55"/>
      <w:bookmarkEnd w:id="56"/>
      <w:bookmarkEnd w:id="57"/>
    </w:p>
    <w:p>
      <w:pPr>
        <w:spacing w:before="29" w:line="288" w:lineRule="auto"/>
        <w:ind w:firstLine="480" w:firstLineChars="200"/>
        <w:rPr>
          <w:color w:val="000000"/>
          <w:sz w:val="24"/>
        </w:rPr>
      </w:pPr>
      <w:r>
        <w:rPr>
          <w:color w:val="000000"/>
          <w:sz w:val="24"/>
        </w:rPr>
        <w:t>2020年度，根据《证券投资基金法》等法律法规及有关要求，本基金管理人诚实守信、勤勉尽责，依法履行基金管理人职责，落实风险控制，强化合规管理职能，确保基金管理业务运作的安全、规范，保护基金投资人的合法权益。</w:t>
      </w:r>
    </w:p>
    <w:p>
      <w:pPr>
        <w:spacing w:before="29" w:line="288" w:lineRule="auto"/>
        <w:ind w:firstLine="480" w:firstLineChars="200"/>
        <w:rPr>
          <w:color w:val="000000"/>
          <w:sz w:val="24"/>
        </w:rPr>
      </w:pPr>
      <w:r>
        <w:rPr>
          <w:color w:val="000000"/>
          <w:sz w:val="24"/>
        </w:rPr>
        <w:t>本报告期内，本基金管理人为了确保公司业务的规范运作，主要做了以下工作：</w:t>
      </w:r>
    </w:p>
    <w:p>
      <w:pPr>
        <w:spacing w:before="29" w:line="288" w:lineRule="auto"/>
        <w:ind w:firstLine="480" w:firstLineChars="200"/>
        <w:rPr>
          <w:color w:val="000000"/>
          <w:sz w:val="24"/>
        </w:rPr>
      </w:pPr>
      <w:r>
        <w:rPr>
          <w:color w:val="000000"/>
          <w:sz w:val="24"/>
        </w:rPr>
        <w:t>（一）继续深化全面风险管理，提高风险控制有效性。</w:t>
      </w:r>
    </w:p>
    <w:p>
      <w:pPr>
        <w:spacing w:before="29" w:line="288" w:lineRule="auto"/>
        <w:ind w:firstLine="480" w:firstLineChars="20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pPr>
        <w:spacing w:before="29" w:line="288" w:lineRule="auto"/>
        <w:ind w:firstLine="480" w:firstLineChars="200"/>
        <w:rPr>
          <w:color w:val="000000"/>
          <w:sz w:val="24"/>
        </w:rPr>
      </w:pPr>
      <w:r>
        <w:rPr>
          <w:color w:val="000000"/>
          <w:sz w:val="24"/>
        </w:rPr>
        <w:t>（二）全面开展内部监督检查，强化公司内部控制。</w:t>
      </w:r>
    </w:p>
    <w:p>
      <w:pPr>
        <w:spacing w:before="29" w:line="288" w:lineRule="auto"/>
        <w:ind w:firstLine="480" w:firstLineChars="20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pPr>
        <w:spacing w:before="29" w:line="288" w:lineRule="auto"/>
        <w:ind w:firstLine="480" w:firstLineChars="200"/>
        <w:rPr>
          <w:color w:val="000000"/>
          <w:sz w:val="24"/>
        </w:rPr>
      </w:pPr>
      <w:r>
        <w:rPr>
          <w:color w:val="000000"/>
          <w:sz w:val="24"/>
        </w:rPr>
        <w:t>（三）着力打造完备的合规管理体系，促进合规文化建设取得新成果。</w:t>
      </w:r>
    </w:p>
    <w:p>
      <w:pPr>
        <w:spacing w:before="29" w:line="288" w:lineRule="auto"/>
        <w:ind w:firstLine="480" w:firstLineChars="20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pPr>
        <w:spacing w:before="29" w:line="288" w:lineRule="auto"/>
        <w:ind w:firstLine="480" w:firstLineChars="200"/>
        <w:rPr>
          <w:color w:val="000000"/>
          <w:sz w:val="24"/>
        </w:rPr>
      </w:pPr>
      <w:r>
        <w:rPr>
          <w:color w:val="000000"/>
          <w:sz w:val="24"/>
        </w:rPr>
        <w:t>（四）强化培训教育及重点领域合规提示，持续提高全员风险合规意识。</w:t>
      </w:r>
    </w:p>
    <w:p>
      <w:pPr>
        <w:spacing w:before="29" w:line="288" w:lineRule="auto"/>
        <w:ind w:firstLine="480" w:firstLineChars="200"/>
        <w:rPr>
          <w:color w:val="000000"/>
          <w:sz w:val="24"/>
        </w:rPr>
      </w:pPr>
      <w:r>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pPr>
        <w:autoSpaceDE w:val="0"/>
        <w:autoSpaceDN w:val="0"/>
        <w:adjustRightInd w:val="0"/>
        <w:spacing w:line="360" w:lineRule="auto"/>
        <w:ind w:firstLine="482"/>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58" w:name="_Toc247959457"/>
      <w:bookmarkStart w:id="59" w:name="_Toc225570083"/>
      <w:bookmarkStart w:id="60" w:name="_Toc361324861"/>
      <w:bookmarkStart w:id="61" w:name="_Toc67589760"/>
      <w:r>
        <w:rPr>
          <w:rFonts w:ascii="Times New Roman" w:hAnsi="Times New Roman"/>
          <w:kern w:val="0"/>
          <w:szCs w:val="24"/>
        </w:rPr>
        <w:t xml:space="preserve">4.7 </w:t>
      </w:r>
      <w:r>
        <w:rPr>
          <w:rFonts w:hint="eastAsia" w:ascii="Times New Roman" w:hAnsi="Times New Roman"/>
          <w:kern w:val="0"/>
          <w:szCs w:val="24"/>
        </w:rPr>
        <w:t>管理人对报告期内基金估值程序等事项的说明</w:t>
      </w:r>
      <w:bookmarkEnd w:id="58"/>
      <w:bookmarkEnd w:id="59"/>
      <w:bookmarkEnd w:id="60"/>
      <w:bookmarkEnd w:id="61"/>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pPr>
        <w:spacing w:before="29" w:line="288" w:lineRule="auto"/>
        <w:ind w:firstLine="480" w:firstLineChars="20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pPr>
        <w:autoSpaceDE w:val="0"/>
        <w:autoSpaceDN w:val="0"/>
        <w:adjustRightInd w:val="0"/>
        <w:spacing w:line="360" w:lineRule="auto"/>
        <w:ind w:firstLine="482"/>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62" w:name="_Toc247959458"/>
      <w:bookmarkStart w:id="63" w:name="_Toc225570084"/>
      <w:bookmarkStart w:id="64" w:name="_Toc361324862"/>
      <w:bookmarkStart w:id="65" w:name="_Toc374374942"/>
      <w:bookmarkStart w:id="66" w:name="_Toc67589761"/>
      <w:r>
        <w:rPr>
          <w:rFonts w:ascii="Times New Roman" w:hAnsi="Times New Roman"/>
          <w:kern w:val="0"/>
          <w:szCs w:val="24"/>
        </w:rPr>
        <w:t>4.</w:t>
      </w:r>
      <w:r>
        <w:rPr>
          <w:rFonts w:hint="eastAsia" w:ascii="Times New Roman" w:hAnsi="Times New Roman"/>
          <w:kern w:val="0"/>
          <w:szCs w:val="24"/>
        </w:rPr>
        <w:t>8</w:t>
      </w:r>
      <w:r>
        <w:rPr>
          <w:rFonts w:ascii="Times New Roman" w:hAnsi="Times New Roman"/>
          <w:kern w:val="0"/>
          <w:szCs w:val="24"/>
        </w:rPr>
        <w:t>管理人对报告期内基金利润分配情况的说明</w:t>
      </w:r>
      <w:bookmarkEnd w:id="62"/>
      <w:bookmarkEnd w:id="63"/>
      <w:bookmarkEnd w:id="64"/>
      <w:bookmarkEnd w:id="65"/>
      <w:bookmarkEnd w:id="66"/>
    </w:p>
    <w:p>
      <w:pPr>
        <w:spacing w:before="29" w:line="288" w:lineRule="auto"/>
        <w:ind w:firstLine="480" w:firstLineChars="200"/>
        <w:rPr>
          <w:kern w:val="0"/>
          <w:sz w:val="24"/>
        </w:rPr>
      </w:pPr>
      <w:r>
        <w:rPr>
          <w:kern w:val="0"/>
          <w:sz w:val="24"/>
        </w:rPr>
        <w:t>本基金本报告期内未进行利润分配。</w:t>
      </w:r>
    </w:p>
    <w:p>
      <w:pPr>
        <w:spacing w:line="360" w:lineRule="auto"/>
        <w:ind w:firstLine="420" w:firstLineChars="200"/>
        <w:rPr>
          <w:rFonts w:eastAsiaTheme="minorEastAsia"/>
          <w:color w:val="000000"/>
          <w:szCs w:val="21"/>
        </w:rPr>
      </w:pPr>
    </w:p>
    <w:p>
      <w:pPr>
        <w:pStyle w:val="3"/>
        <w:spacing w:before="29" w:after="0" w:line="288" w:lineRule="auto"/>
        <w:rPr>
          <w:rFonts w:ascii="Times New Roman" w:hAnsi="Times New Roman"/>
          <w:kern w:val="0"/>
          <w:szCs w:val="24"/>
        </w:rPr>
      </w:pPr>
      <w:bookmarkStart w:id="67" w:name="_Toc67589762"/>
      <w:r>
        <w:rPr>
          <w:rFonts w:ascii="Times New Roman" w:hAnsi="Times New Roman"/>
          <w:kern w:val="0"/>
          <w:szCs w:val="24"/>
        </w:rPr>
        <w:t>4.9</w:t>
      </w:r>
      <w:r>
        <w:rPr>
          <w:rFonts w:hint="eastAsia" w:ascii="Times New Roman" w:hAnsi="Times New Roman"/>
          <w:kern w:val="0"/>
          <w:szCs w:val="24"/>
        </w:rPr>
        <w:t>报告期内管理人对本基金持有人数或基金资产净值预警情形的说明</w:t>
      </w:r>
      <w:bookmarkEnd w:id="67"/>
    </w:p>
    <w:p>
      <w:pPr>
        <w:spacing w:before="29" w:line="288" w:lineRule="auto"/>
        <w:ind w:firstLine="480" w:firstLineChars="200"/>
        <w:rPr>
          <w:kern w:val="0"/>
          <w:sz w:val="24"/>
        </w:rPr>
      </w:pPr>
      <w:r>
        <w:rPr>
          <w:kern w:val="0"/>
          <w:sz w:val="24"/>
        </w:rPr>
        <w:t xml:space="preserve">本基金本报告期内无需预警说明。 </w:t>
      </w:r>
    </w:p>
    <w:p>
      <w:pPr>
        <w:spacing w:line="360" w:lineRule="auto"/>
        <w:ind w:firstLine="420" w:firstLineChars="200"/>
        <w:rPr>
          <w:rFonts w:asciiTheme="minorEastAsia" w:hAnsiTheme="minorEastAsia" w:eastAsiaTheme="minorEastAsia"/>
          <w:color w:val="000000"/>
          <w:szCs w:val="21"/>
        </w:rPr>
      </w:pPr>
    </w:p>
    <w:p>
      <w:pPr>
        <w:pStyle w:val="2"/>
        <w:keepNext/>
        <w:keepLines/>
        <w:widowControl w:val="0"/>
        <w:spacing w:before="312" w:beforeLines="100" w:after="312" w:afterLines="100" w:line="288" w:lineRule="auto"/>
        <w:jc w:val="center"/>
        <w:rPr>
          <w:b/>
          <w:bCs/>
          <w:szCs w:val="24"/>
          <w:lang w:val="en-US"/>
        </w:rPr>
      </w:pPr>
      <w:bookmarkStart w:id="68" w:name="_Toc225498263"/>
      <w:bookmarkStart w:id="69" w:name="_Toc361324864"/>
      <w:bookmarkStart w:id="70" w:name="_Toc67589763"/>
      <w:r>
        <w:rPr>
          <w:rFonts w:hint="eastAsia"/>
          <w:b/>
          <w:bCs/>
          <w:szCs w:val="24"/>
          <w:lang w:val="en-US"/>
        </w:rPr>
        <w:t>§</w:t>
      </w:r>
      <w:r>
        <w:rPr>
          <w:b/>
          <w:bCs/>
          <w:szCs w:val="24"/>
          <w:lang w:val="en-US"/>
        </w:rPr>
        <w:t xml:space="preserve">5  </w:t>
      </w:r>
      <w:r>
        <w:rPr>
          <w:rFonts w:hint="eastAsia"/>
          <w:b/>
          <w:bCs/>
          <w:szCs w:val="24"/>
          <w:lang w:val="en-US"/>
        </w:rPr>
        <w:t>托管人报告</w:t>
      </w:r>
      <w:bookmarkEnd w:id="68"/>
      <w:bookmarkEnd w:id="69"/>
      <w:bookmarkEnd w:id="70"/>
    </w:p>
    <w:p/>
    <w:p>
      <w:pPr>
        <w:pStyle w:val="3"/>
        <w:spacing w:before="29" w:after="0" w:line="288" w:lineRule="auto"/>
        <w:rPr>
          <w:rFonts w:ascii="Times New Roman" w:hAnsi="Times New Roman"/>
          <w:kern w:val="0"/>
          <w:szCs w:val="24"/>
        </w:rPr>
      </w:pPr>
      <w:bookmarkStart w:id="71" w:name="_Toc225498264"/>
      <w:bookmarkStart w:id="72" w:name="_Toc361324865"/>
      <w:bookmarkStart w:id="73" w:name="_Toc67589764"/>
      <w:r>
        <w:rPr>
          <w:rFonts w:ascii="Times New Roman" w:hAnsi="Times New Roman"/>
          <w:kern w:val="0"/>
          <w:szCs w:val="24"/>
        </w:rPr>
        <w:t xml:space="preserve">5.1 </w:t>
      </w:r>
      <w:r>
        <w:rPr>
          <w:rFonts w:hint="eastAsia" w:ascii="Times New Roman" w:hAnsi="Times New Roman"/>
          <w:kern w:val="0"/>
          <w:szCs w:val="24"/>
        </w:rPr>
        <w:t>报告期内本基金托管人遵规守信情况声明</w:t>
      </w:r>
      <w:bookmarkEnd w:id="71"/>
      <w:bookmarkEnd w:id="72"/>
      <w:bookmarkEnd w:id="73"/>
    </w:p>
    <w:p>
      <w:pPr>
        <w:spacing w:before="29" w:line="288" w:lineRule="auto"/>
        <w:ind w:firstLine="480" w:firstLineChars="200"/>
        <w:rPr>
          <w:color w:val="000000"/>
          <w:sz w:val="24"/>
        </w:rPr>
      </w:pPr>
      <w:r>
        <w:rPr>
          <w:color w:val="000000"/>
          <w:sz w:val="24"/>
        </w:rPr>
        <w:t>本报告期内，本基金托管人在对交银施罗德科技创新灵活配置混合型证券投资基金的托管过程中，严格遵守《</w:t>
      </w:r>
      <w:r>
        <w:rPr>
          <w:rFonts w:hint="eastAsia"/>
          <w:color w:val="000000"/>
          <w:sz w:val="24"/>
        </w:rPr>
        <w:t>中华人民共和国证券投资基金法</w:t>
      </w:r>
      <w:r>
        <w:rPr>
          <w:color w:val="000000"/>
          <w:sz w:val="24"/>
        </w:rPr>
        <w:t>》及其他法律法规和基金合同的有关规定，不存在任何损害基金份额持有人利益的行为，完全尽职尽责地履行了基金托管人应尽的义务。</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74" w:name="_Toc225498265"/>
      <w:bookmarkStart w:id="75" w:name="_Toc361324866"/>
      <w:bookmarkStart w:id="76" w:name="_Toc67589765"/>
      <w:r>
        <w:rPr>
          <w:rFonts w:ascii="Times New Roman" w:hAnsi="Times New Roman"/>
          <w:kern w:val="0"/>
          <w:szCs w:val="24"/>
        </w:rPr>
        <w:t xml:space="preserve">5.2 </w:t>
      </w:r>
      <w:r>
        <w:rPr>
          <w:rFonts w:hint="eastAsia" w:ascii="Times New Roman" w:hAnsi="Times New Roman"/>
          <w:kern w:val="0"/>
          <w:szCs w:val="24"/>
        </w:rPr>
        <w:t>托管人对报告期内本基金投资运作遵规守信、净值计算、利润分配等情况的</w:t>
      </w:r>
      <w:bookmarkEnd w:id="74"/>
      <w:r>
        <w:rPr>
          <w:rFonts w:hint="eastAsia" w:ascii="Times New Roman" w:hAnsi="Times New Roman"/>
          <w:kern w:val="0"/>
          <w:szCs w:val="24"/>
        </w:rPr>
        <w:t>说明</w:t>
      </w:r>
      <w:bookmarkEnd w:id="75"/>
      <w:bookmarkEnd w:id="76"/>
    </w:p>
    <w:p>
      <w:pPr>
        <w:spacing w:before="29" w:line="288" w:lineRule="auto"/>
        <w:ind w:firstLine="480" w:firstLineChars="200"/>
        <w:rPr>
          <w:color w:val="000000"/>
          <w:sz w:val="24"/>
        </w:rPr>
      </w:pPr>
      <w:r>
        <w:rPr>
          <w:color w:val="000000"/>
          <w:sz w:val="24"/>
        </w:rPr>
        <w:t>本报告期内，交银施罗德科技创新灵活配置混合型证券投资基金的管理人——交银施罗德基金管理有限公司在交银施罗德科技创新灵活配置混合型证券投资基金的投资运作、基金资产净值计算、基金份额申购赎回价格计算、基金费用开支等问题上，不存在任何损害基金份额持有人利益的行为，在各重要方面的运作严格按照基金合同的规定进行。</w:t>
      </w:r>
    </w:p>
    <w:p>
      <w:pPr>
        <w:spacing w:before="29" w:line="288" w:lineRule="auto"/>
        <w:ind w:firstLine="480" w:firstLineChars="200"/>
        <w:rPr>
          <w:color w:val="000000"/>
          <w:sz w:val="24"/>
        </w:rPr>
      </w:pPr>
    </w:p>
    <w:p>
      <w:pPr>
        <w:pStyle w:val="3"/>
        <w:spacing w:before="29" w:after="0" w:line="288" w:lineRule="auto"/>
        <w:rPr>
          <w:rFonts w:ascii="Times New Roman" w:hAnsi="Times New Roman"/>
          <w:kern w:val="0"/>
          <w:szCs w:val="24"/>
        </w:rPr>
      </w:pPr>
      <w:bookmarkStart w:id="77" w:name="_Toc225498266"/>
      <w:bookmarkStart w:id="78" w:name="_Toc361324867"/>
      <w:bookmarkStart w:id="79" w:name="_Toc67589766"/>
      <w:r>
        <w:rPr>
          <w:rFonts w:ascii="Times New Roman" w:hAnsi="Times New Roman"/>
          <w:kern w:val="0"/>
          <w:szCs w:val="24"/>
        </w:rPr>
        <w:t xml:space="preserve">5.3 </w:t>
      </w:r>
      <w:r>
        <w:rPr>
          <w:rFonts w:hint="eastAsia" w:ascii="Times New Roman" w:hAnsi="Times New Roman"/>
          <w:kern w:val="0"/>
          <w:szCs w:val="24"/>
        </w:rPr>
        <w:t>托管人对本年度报告中财务信息等内容的真实、准确和完整发表意见</w:t>
      </w:r>
      <w:bookmarkEnd w:id="77"/>
      <w:bookmarkEnd w:id="78"/>
      <w:bookmarkEnd w:id="79"/>
    </w:p>
    <w:p>
      <w:pPr>
        <w:spacing w:before="29" w:line="288" w:lineRule="auto"/>
        <w:ind w:firstLine="480" w:firstLineChars="200"/>
        <w:rPr>
          <w:color w:val="000000"/>
          <w:sz w:val="24"/>
        </w:rPr>
      </w:pPr>
      <w:r>
        <w:rPr>
          <w:color w:val="000000"/>
          <w:sz w:val="24"/>
        </w:rPr>
        <w:t>本托管人依法对交银施罗德基金管理有限公司编制和披露的交银施罗德科技创新灵活配置混合型证券投资基金2020年年度报告中财务指标、净值表现、利润分配情况、财务会计报告、投资组合报告等内容进行了核查，以上内容真实、准确和完整。</w:t>
      </w:r>
    </w:p>
    <w:p>
      <w:pPr>
        <w:spacing w:before="29" w:line="288" w:lineRule="auto"/>
        <w:ind w:firstLine="480" w:firstLineChars="200"/>
        <w:rPr>
          <w:color w:val="000000"/>
          <w:sz w:val="24"/>
        </w:rPr>
      </w:pPr>
    </w:p>
    <w:p>
      <w:pPr>
        <w:pStyle w:val="2"/>
        <w:keepNext/>
        <w:keepLines/>
        <w:widowControl w:val="0"/>
        <w:adjustRightInd w:val="0"/>
        <w:snapToGrid w:val="0"/>
        <w:spacing w:before="312" w:beforeLines="100" w:after="312" w:afterLines="100"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67589767"/>
      <w:bookmarkStart w:id="88" w:name="_Toc361324872"/>
      <w:r>
        <w:rPr>
          <w:rFonts w:eastAsiaTheme="minorEastAsia"/>
          <w:b/>
          <w:bCs/>
          <w:szCs w:val="24"/>
          <w:lang w:val="en-US"/>
        </w:rPr>
        <w:t>§6  审计报告</w:t>
      </w:r>
      <w:bookmarkEnd w:id="80"/>
      <w:bookmarkEnd w:id="81"/>
      <w:bookmarkEnd w:id="82"/>
      <w:bookmarkEnd w:id="83"/>
      <w:bookmarkEnd w:id="84"/>
      <w:bookmarkEnd w:id="85"/>
      <w:bookmarkEnd w:id="86"/>
      <w:bookmarkEnd w:id="87"/>
    </w:p>
    <w:p>
      <w:pPr>
        <w:widowControl/>
        <w:spacing w:line="288" w:lineRule="auto"/>
        <w:jc w:val="right"/>
        <w:rPr>
          <w:rFonts w:eastAsiaTheme="minorEastAsia"/>
          <w:sz w:val="24"/>
        </w:rPr>
      </w:pPr>
      <w:r>
        <w:rPr>
          <w:rFonts w:eastAsiaTheme="minorEastAsia"/>
          <w:kern w:val="0"/>
          <w:sz w:val="24"/>
        </w:rPr>
        <w:t>普华永道中天审字(2021)第24555号</w:t>
      </w:r>
    </w:p>
    <w:p>
      <w:pPr>
        <w:widowControl/>
        <w:spacing w:line="288" w:lineRule="auto"/>
        <w:jc w:val="left"/>
        <w:rPr>
          <w:rFonts w:eastAsiaTheme="minorEastAsia"/>
          <w:kern w:val="0"/>
          <w:sz w:val="24"/>
        </w:rPr>
      </w:pPr>
      <w:r>
        <w:rPr>
          <w:rFonts w:eastAsiaTheme="minorEastAsia"/>
          <w:kern w:val="0"/>
          <w:sz w:val="24"/>
        </w:rPr>
        <w:t>交银施罗德科技创新灵活配置混合型证券投资基金全体基金份额持有人</w:t>
      </w:r>
      <w:r>
        <w:rPr>
          <w:rFonts w:hint="eastAsia" w:eastAsiaTheme="minorEastAsia"/>
          <w:sz w:val="24"/>
        </w:rPr>
        <w:t>：</w:t>
      </w:r>
    </w:p>
    <w:p>
      <w:pPr>
        <w:pStyle w:val="3"/>
        <w:spacing w:before="156" w:beforeLines="50" w:after="0" w:line="288" w:lineRule="auto"/>
        <w:rPr>
          <w:rFonts w:ascii="Times New Roman" w:hAnsi="Times New Roman" w:eastAsiaTheme="minorEastAsia"/>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67589768"/>
      <w:bookmarkStart w:id="96" w:name="_Toc374459273"/>
      <w:bookmarkStart w:id="97" w:name="_Toc362424011"/>
      <w:bookmarkStart w:id="98" w:name="_Toc352331233"/>
      <w:bookmarkStart w:id="99" w:name="_Toc352256055"/>
      <w:bookmarkStart w:id="100" w:name="_Toc352255987"/>
      <w:bookmarkStart w:id="101" w:name="_Toc286996147"/>
      <w:r>
        <w:rPr>
          <w:rFonts w:ascii="Times New Roman" w:hAnsi="Times New Roman" w:eastAsiaTheme="minorEastAsia"/>
          <w:kern w:val="0"/>
          <w:szCs w:val="24"/>
        </w:rPr>
        <w:t xml:space="preserve">6.1 </w:t>
      </w:r>
      <w:r>
        <w:rPr>
          <w:rFonts w:hint="eastAsia" w:ascii="Times New Roman" w:hAnsi="Times New Roman" w:eastAsiaTheme="minorEastAsia"/>
          <w:kern w:val="0"/>
          <w:szCs w:val="24"/>
        </w:rPr>
        <w:t>审计意见</w:t>
      </w:r>
      <w:bookmarkEnd w:id="89"/>
      <w:bookmarkEnd w:id="90"/>
      <w:bookmarkEnd w:id="91"/>
      <w:bookmarkEnd w:id="92"/>
      <w:bookmarkEnd w:id="93"/>
      <w:bookmarkEnd w:id="94"/>
      <w:bookmarkEnd w:id="95"/>
    </w:p>
    <w:p>
      <w:pPr>
        <w:widowControl/>
        <w:spacing w:line="288" w:lineRule="auto"/>
        <w:ind w:firstLine="420"/>
        <w:rPr>
          <w:rFonts w:eastAsiaTheme="minorEastAsia"/>
          <w:kern w:val="0"/>
          <w:sz w:val="24"/>
        </w:rPr>
      </w:pPr>
      <w:r>
        <w:rPr>
          <w:rFonts w:eastAsiaTheme="minorEastAsia"/>
          <w:kern w:val="0"/>
          <w:sz w:val="24"/>
        </w:rPr>
        <w:t>(一)我们审计的内容</w:t>
      </w:r>
    </w:p>
    <w:p>
      <w:pPr>
        <w:widowControl/>
        <w:spacing w:line="288" w:lineRule="auto"/>
        <w:ind w:firstLine="420"/>
        <w:rPr>
          <w:rFonts w:eastAsiaTheme="minorEastAsia"/>
          <w:kern w:val="0"/>
          <w:sz w:val="24"/>
        </w:rPr>
      </w:pPr>
      <w:r>
        <w:rPr>
          <w:rFonts w:eastAsiaTheme="minorEastAsia"/>
          <w:kern w:val="0"/>
          <w:sz w:val="24"/>
        </w:rPr>
        <w:t>我们审计了交银施罗德科技创新灵活配置混合型证券投资基金(以下简称“交银科技创新混合基金”)的财务报表，包括2020年12月31日的资产负债表，2020年度的利润表和所有者权益(基金净值)变动表以及财务报表附注。</w:t>
      </w:r>
    </w:p>
    <w:p>
      <w:pPr>
        <w:widowControl/>
        <w:spacing w:line="288" w:lineRule="auto"/>
        <w:ind w:firstLine="420"/>
        <w:rPr>
          <w:rFonts w:eastAsiaTheme="minorEastAsia"/>
          <w:kern w:val="0"/>
          <w:sz w:val="24"/>
        </w:rPr>
      </w:pPr>
      <w:r>
        <w:rPr>
          <w:rFonts w:eastAsiaTheme="minorEastAsia"/>
          <w:kern w:val="0"/>
          <w:sz w:val="24"/>
        </w:rPr>
        <w:t>(二)我们的意见</w:t>
      </w:r>
    </w:p>
    <w:p>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以下简称“中国证监会”)、中国证券投资基金业协会(以下简称“中国基金业协会”)发布的有关规定及允许的基金行业实务操作编制，公允反映了交银科技创新混合基金2020年12月31日的财务状况以及2020年度的经营成果和基金净值变动情况。</w:t>
      </w:r>
    </w:p>
    <w:p>
      <w:pPr>
        <w:widowControl/>
        <w:spacing w:line="288" w:lineRule="auto"/>
        <w:ind w:firstLine="420"/>
        <w:rPr>
          <w:rFonts w:eastAsiaTheme="minorEastAsia"/>
          <w:kern w:val="0"/>
          <w:sz w:val="24"/>
        </w:rPr>
      </w:pPr>
    </w:p>
    <w:p>
      <w:pPr>
        <w:pStyle w:val="3"/>
        <w:spacing w:before="156" w:beforeLines="50" w:after="0" w:line="288" w:lineRule="auto"/>
        <w:rPr>
          <w:rFonts w:ascii="Times New Roman" w:hAnsi="Times New Roman" w:eastAsiaTheme="minorEastAsia"/>
          <w:kern w:val="0"/>
          <w:szCs w:val="24"/>
        </w:rPr>
      </w:pPr>
      <w:bookmarkStart w:id="102" w:name="_Toc67589769"/>
      <w:r>
        <w:rPr>
          <w:rFonts w:ascii="Times New Roman" w:hAnsi="Times New Roman" w:eastAsiaTheme="minorEastAsia"/>
          <w:kern w:val="0"/>
          <w:szCs w:val="24"/>
        </w:rPr>
        <w:t xml:space="preserve">6.2 </w:t>
      </w:r>
      <w:r>
        <w:rPr>
          <w:rFonts w:hint="eastAsia" w:ascii="Times New Roman" w:hAnsi="Times New Roman" w:eastAsiaTheme="minorEastAsia"/>
          <w:kern w:val="0"/>
          <w:szCs w:val="24"/>
        </w:rPr>
        <w:t>形成审计意见的基础</w:t>
      </w:r>
      <w:bookmarkEnd w:id="102"/>
    </w:p>
    <w:p>
      <w:pPr>
        <w:spacing w:line="288" w:lineRule="auto"/>
        <w:ind w:firstLine="480" w:firstLineChars="200"/>
        <w:rPr>
          <w:rFonts w:eastAsiaTheme="minorEastAsia"/>
          <w:sz w:val="24"/>
        </w:rPr>
      </w:pPr>
      <w:r>
        <w:rPr>
          <w:rFonts w:eastAsiaTheme="minor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pPr>
        <w:spacing w:line="288" w:lineRule="auto"/>
        <w:ind w:firstLine="480" w:firstLineChars="200"/>
        <w:rPr>
          <w:rFonts w:eastAsiaTheme="minorEastAsia"/>
          <w:sz w:val="24"/>
        </w:rPr>
      </w:pPr>
      <w:r>
        <w:rPr>
          <w:rFonts w:eastAsiaTheme="minorEastAsia"/>
          <w:sz w:val="24"/>
        </w:rPr>
        <w:t>按照中国注册会计师职业道德守则，我们独立于交银科技创新混合基金，并履行了职业道德方面的其他责任。</w:t>
      </w:r>
    </w:p>
    <w:p>
      <w:pPr>
        <w:spacing w:line="288" w:lineRule="auto"/>
        <w:ind w:firstLine="480" w:firstLineChars="200"/>
        <w:rPr>
          <w:rFonts w:eastAsiaTheme="minorEastAsia"/>
          <w:sz w:val="24"/>
        </w:rPr>
      </w:pPr>
    </w:p>
    <w:p>
      <w:pPr>
        <w:pStyle w:val="3"/>
        <w:spacing w:before="156" w:beforeLines="50" w:after="0" w:line="288" w:lineRule="auto"/>
        <w:rPr>
          <w:rFonts w:ascii="Times New Roman" w:hAnsi="Times New Roman" w:eastAsiaTheme="minorEastAsia"/>
          <w:kern w:val="0"/>
          <w:szCs w:val="24"/>
        </w:rPr>
      </w:pPr>
      <w:bookmarkStart w:id="103" w:name="_Toc67589770"/>
      <w:r>
        <w:rPr>
          <w:rFonts w:ascii="Times New Roman" w:hAnsi="Times New Roman" w:eastAsiaTheme="minorEastAsia"/>
          <w:kern w:val="0"/>
          <w:szCs w:val="24"/>
        </w:rPr>
        <w:t xml:space="preserve">6.3 </w:t>
      </w:r>
      <w:bookmarkEnd w:id="96"/>
      <w:bookmarkEnd w:id="97"/>
      <w:bookmarkEnd w:id="98"/>
      <w:bookmarkEnd w:id="99"/>
      <w:bookmarkEnd w:id="100"/>
      <w:bookmarkEnd w:id="101"/>
      <w:r>
        <w:rPr>
          <w:rFonts w:hint="eastAsia" w:ascii="Times New Roman" w:hAnsi="Times New Roman" w:eastAsiaTheme="minorEastAsia"/>
          <w:kern w:val="0"/>
          <w:szCs w:val="24"/>
        </w:rPr>
        <w:t>管理层和治理层对财务报表的责任</w:t>
      </w:r>
      <w:bookmarkEnd w:id="103"/>
    </w:p>
    <w:p>
      <w:pPr>
        <w:spacing w:line="288" w:lineRule="auto"/>
        <w:ind w:firstLine="480" w:firstLineChars="200"/>
        <w:rPr>
          <w:rFonts w:eastAsiaTheme="minorEastAsia"/>
          <w:sz w:val="24"/>
        </w:rPr>
      </w:pPr>
      <w:r>
        <w:rPr>
          <w:rFonts w:eastAsiaTheme="minorEastAsia"/>
          <w:sz w:val="24"/>
        </w:rPr>
        <w:t>交银科技创新混合基金的基金管理人交银施罗德基金管理有限公司(以下简称“基金管理人”)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pPr>
        <w:spacing w:line="288" w:lineRule="auto"/>
        <w:ind w:firstLine="480" w:firstLineChars="200"/>
        <w:rPr>
          <w:rFonts w:eastAsiaTheme="minorEastAsia"/>
          <w:sz w:val="24"/>
        </w:rPr>
      </w:pPr>
      <w:r>
        <w:rPr>
          <w:rFonts w:eastAsiaTheme="minorEastAsia"/>
          <w:sz w:val="24"/>
        </w:rPr>
        <w:t>在编制财务报表时，基金管理人管理层负责评估交银科技创新混合基金的持续经营能力，披露与持续经营相关的事项(如适用)，并运用持续经营假设，除非基金管理人管理层计划清算交银科技创新混合基金、终止运营或别无其他现实的选择。</w:t>
      </w:r>
    </w:p>
    <w:p>
      <w:pPr>
        <w:spacing w:line="288" w:lineRule="auto"/>
        <w:ind w:firstLine="480" w:firstLineChars="200"/>
        <w:rPr>
          <w:rFonts w:eastAsiaTheme="minorEastAsia"/>
          <w:sz w:val="24"/>
        </w:rPr>
      </w:pPr>
      <w:r>
        <w:rPr>
          <w:rFonts w:eastAsiaTheme="minorEastAsia"/>
          <w:sz w:val="24"/>
        </w:rPr>
        <w:t>基金管理人治理层负责监督交银科技创新混合基金的财务报告过程。</w:t>
      </w:r>
    </w:p>
    <w:p>
      <w:pPr>
        <w:spacing w:line="288" w:lineRule="auto"/>
        <w:ind w:firstLine="480" w:firstLineChars="200"/>
        <w:rPr>
          <w:rFonts w:eastAsiaTheme="minorEastAsia"/>
          <w:sz w:val="24"/>
        </w:rPr>
      </w:pPr>
    </w:p>
    <w:p>
      <w:pPr>
        <w:pStyle w:val="3"/>
        <w:spacing w:before="156" w:beforeLines="50" w:after="0" w:line="288" w:lineRule="auto"/>
        <w:rPr>
          <w:rFonts w:ascii="Times New Roman" w:hAnsi="Times New Roman" w:eastAsiaTheme="minorEastAsia"/>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67589771"/>
      <w:r>
        <w:rPr>
          <w:rFonts w:ascii="Times New Roman" w:hAnsi="Times New Roman" w:eastAsiaTheme="minorEastAsia"/>
          <w:kern w:val="0"/>
          <w:szCs w:val="24"/>
        </w:rPr>
        <w:t xml:space="preserve">6.4 </w:t>
      </w:r>
      <w:bookmarkEnd w:id="104"/>
      <w:bookmarkEnd w:id="105"/>
      <w:bookmarkEnd w:id="106"/>
      <w:bookmarkEnd w:id="107"/>
      <w:bookmarkEnd w:id="108"/>
      <w:bookmarkEnd w:id="109"/>
      <w:r>
        <w:rPr>
          <w:rFonts w:hint="eastAsia" w:ascii="Times New Roman" w:hAnsi="Times New Roman" w:eastAsiaTheme="minorEastAsia"/>
          <w:kern w:val="0"/>
          <w:szCs w:val="24"/>
        </w:rPr>
        <w:t>注册会计师对财务报表审计的责任</w:t>
      </w:r>
      <w:bookmarkEnd w:id="110"/>
    </w:p>
    <w:p>
      <w:pPr>
        <w:spacing w:line="288" w:lineRule="auto"/>
        <w:ind w:firstLine="480" w:firstLineChars="20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pPr>
        <w:spacing w:line="288" w:lineRule="auto"/>
        <w:ind w:firstLine="480" w:firstLineChars="200"/>
        <w:rPr>
          <w:rFonts w:eastAsiaTheme="minorEastAsia"/>
          <w:sz w:val="24"/>
        </w:rPr>
      </w:pPr>
      <w:r>
        <w:rPr>
          <w:rFonts w:eastAsiaTheme="minorEastAsia"/>
          <w:sz w:val="24"/>
        </w:rPr>
        <w:t>在按照审计准则执行审计工作的过程中，我们运用职业判断，并保持职业怀疑。同时，我们也执行以下工作：</w:t>
      </w:r>
    </w:p>
    <w:p>
      <w:pPr>
        <w:spacing w:line="288" w:lineRule="auto"/>
        <w:ind w:firstLine="480" w:firstLineChars="200"/>
        <w:rPr>
          <w:rFonts w:eastAsiaTheme="minorEastAsia"/>
          <w:sz w:val="24"/>
        </w:rPr>
      </w:pPr>
      <w:r>
        <w:rPr>
          <w:rFonts w:eastAsiaTheme="minorEastAsia"/>
          <w:sz w:val="24"/>
        </w:rPr>
        <w:t>(一) 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pPr>
        <w:spacing w:line="288" w:lineRule="auto"/>
        <w:ind w:firstLine="480" w:firstLineChars="200"/>
        <w:rPr>
          <w:rFonts w:eastAsiaTheme="minorEastAsia"/>
          <w:sz w:val="24"/>
        </w:rPr>
      </w:pPr>
      <w:r>
        <w:rPr>
          <w:rFonts w:eastAsiaTheme="minorEastAsia"/>
          <w:sz w:val="24"/>
        </w:rPr>
        <w:t>(二) 了解与审计相关的内部控制，以设计恰当的审计程序，但目的并非对内部控制的有效性发表意见。</w:t>
      </w:r>
    </w:p>
    <w:p>
      <w:pPr>
        <w:spacing w:line="288" w:lineRule="auto"/>
        <w:ind w:firstLine="480" w:firstLineChars="200"/>
        <w:rPr>
          <w:rFonts w:eastAsiaTheme="minorEastAsia"/>
          <w:sz w:val="24"/>
        </w:rPr>
      </w:pPr>
      <w:r>
        <w:rPr>
          <w:rFonts w:eastAsiaTheme="minorEastAsia"/>
          <w:sz w:val="24"/>
        </w:rPr>
        <w:t>(三) 评价基金管理人管理层选用会计政策的恰当性和作出会计估计及相关披露的合理性。</w:t>
      </w:r>
    </w:p>
    <w:p>
      <w:pPr>
        <w:spacing w:line="288" w:lineRule="auto"/>
        <w:ind w:firstLine="480" w:firstLineChars="200"/>
        <w:rPr>
          <w:rFonts w:eastAsiaTheme="minorEastAsia"/>
          <w:sz w:val="24"/>
        </w:rPr>
      </w:pPr>
      <w:r>
        <w:rPr>
          <w:rFonts w:eastAsiaTheme="minorEastAsia"/>
          <w:sz w:val="24"/>
        </w:rPr>
        <w:t>(四) 对基金管理人管理层使用持续经营假设的恰当性得出结论。同时，根据获取的审计证据，就可能导致对交银科技创新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科技创新混合基金不能持续经营。</w:t>
      </w:r>
    </w:p>
    <w:p>
      <w:pPr>
        <w:spacing w:line="288" w:lineRule="auto"/>
        <w:ind w:firstLine="480" w:firstLineChars="200"/>
        <w:rPr>
          <w:rFonts w:eastAsiaTheme="minorEastAsia"/>
          <w:sz w:val="24"/>
        </w:rPr>
      </w:pPr>
      <w:r>
        <w:rPr>
          <w:rFonts w:eastAsiaTheme="minorEastAsia"/>
          <w:sz w:val="24"/>
        </w:rPr>
        <w:t>(五) 评价财务报表的总体列报(包括披露)、结构和内容，并评价财务报表是否公允反映相关交易和事项。</w:t>
      </w:r>
    </w:p>
    <w:p>
      <w:pPr>
        <w:spacing w:line="288" w:lineRule="auto"/>
        <w:ind w:firstLine="480" w:firstLineChars="20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29"/>
        <w:gridCol w:w="2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629" w:type="dxa"/>
          </w:tcPr>
          <w:p>
            <w:pPr>
              <w:spacing w:line="360" w:lineRule="auto"/>
              <w:jc w:val="left"/>
              <w:rPr>
                <w:sz w:val="24"/>
              </w:rPr>
            </w:pPr>
            <w:r>
              <w:rPr>
                <w:sz w:val="24"/>
              </w:rPr>
              <w:t>普华永道中天会计师事务所（特殊普通合伙）</w:t>
            </w:r>
          </w:p>
        </w:tc>
        <w:tc>
          <w:tcPr>
            <w:tcW w:w="2657" w:type="dxa"/>
          </w:tcPr>
          <w:p>
            <w:pPr>
              <w:spacing w:line="360" w:lineRule="auto"/>
              <w:jc w:val="right"/>
              <w:rPr>
                <w:sz w:val="24"/>
              </w:rPr>
            </w:pPr>
            <w:r>
              <w:rPr>
                <w:rFonts w:hint="eastAsia"/>
                <w:sz w:val="24"/>
              </w:rPr>
              <w:t>中国注册会计师</w:t>
            </w:r>
          </w:p>
        </w:tc>
      </w:tr>
    </w:tbl>
    <w:p>
      <w:pPr>
        <w:spacing w:line="288" w:lineRule="auto"/>
        <w:jc w:val="right"/>
        <w:rPr>
          <w:rFonts w:eastAsiaTheme="minorEastAsia"/>
          <w:kern w:val="0"/>
          <w:sz w:val="24"/>
        </w:rPr>
      </w:pPr>
      <w:r>
        <w:rPr>
          <w:rFonts w:eastAsiaTheme="minorEastAsia"/>
          <w:kern w:val="0"/>
          <w:sz w:val="24"/>
        </w:rPr>
        <w:t xml:space="preserve">  童咏静  金诗涛</w:t>
      </w:r>
    </w:p>
    <w:p>
      <w:pPr>
        <w:widowControl/>
        <w:spacing w:line="288" w:lineRule="auto"/>
        <w:jc w:val="right"/>
        <w:rPr>
          <w:rFonts w:eastAsiaTheme="minorEastAsia"/>
          <w:sz w:val="24"/>
        </w:rPr>
      </w:pPr>
      <w:r>
        <w:rPr>
          <w:rFonts w:eastAsiaTheme="minorEastAsia"/>
          <w:kern w:val="0"/>
          <w:sz w:val="24"/>
        </w:rPr>
        <w:t>上海市湖滨路202号普华永道中心11楼</w:t>
      </w:r>
    </w:p>
    <w:p>
      <w:pPr>
        <w:widowControl/>
        <w:spacing w:line="288" w:lineRule="auto"/>
        <w:jc w:val="right"/>
        <w:rPr>
          <w:rFonts w:eastAsiaTheme="minorEastAsia"/>
          <w:sz w:val="24"/>
        </w:rPr>
      </w:pPr>
      <w:r>
        <w:rPr>
          <w:rFonts w:eastAsiaTheme="minorEastAsia"/>
          <w:kern w:val="0"/>
          <w:sz w:val="24"/>
        </w:rPr>
        <w:t>2021年3月26日</w:t>
      </w:r>
    </w:p>
    <w:p>
      <w:pPr>
        <w:widowControl/>
        <w:spacing w:line="288" w:lineRule="auto"/>
        <w:jc w:val="right"/>
        <w:rPr>
          <w:rFonts w:eastAsiaTheme="minorEastAsia"/>
          <w:sz w:val="24"/>
        </w:rPr>
      </w:pPr>
    </w:p>
    <w:p>
      <w:pPr>
        <w:pStyle w:val="2"/>
        <w:keepNext/>
        <w:keepLines/>
        <w:widowControl w:val="0"/>
        <w:spacing w:before="312" w:beforeLines="100" w:after="312" w:afterLines="100" w:line="288" w:lineRule="auto"/>
        <w:jc w:val="center"/>
        <w:rPr>
          <w:b/>
          <w:bCs/>
          <w:szCs w:val="24"/>
          <w:lang w:val="en-US"/>
        </w:rPr>
      </w:pPr>
      <w:bookmarkStart w:id="111" w:name="_Toc67589772"/>
      <w:r>
        <w:rPr>
          <w:rFonts w:hint="eastAsia"/>
          <w:b/>
          <w:bCs/>
          <w:szCs w:val="24"/>
          <w:lang w:val="en-US"/>
        </w:rPr>
        <w:t>§</w:t>
      </w:r>
      <w:r>
        <w:rPr>
          <w:b/>
          <w:bCs/>
          <w:szCs w:val="24"/>
          <w:lang w:val="en-US"/>
        </w:rPr>
        <w:t>7</w:t>
      </w:r>
      <w:r>
        <w:rPr>
          <w:rFonts w:hint="eastAsia"/>
          <w:b/>
          <w:bCs/>
          <w:szCs w:val="24"/>
          <w:lang w:val="en-US"/>
        </w:rPr>
        <w:t>年度财务报表</w:t>
      </w:r>
      <w:bookmarkEnd w:id="88"/>
      <w:bookmarkEnd w:id="111"/>
    </w:p>
    <w:p/>
    <w:p>
      <w:pPr>
        <w:pStyle w:val="3"/>
        <w:spacing w:before="29" w:after="0" w:line="288" w:lineRule="auto"/>
        <w:rPr>
          <w:rFonts w:ascii="Times New Roman" w:hAnsi="Times New Roman"/>
          <w:kern w:val="0"/>
          <w:szCs w:val="24"/>
        </w:rPr>
      </w:pPr>
      <w:bookmarkStart w:id="112" w:name="_Toc225498268"/>
      <w:bookmarkStart w:id="113" w:name="_Toc361324873"/>
      <w:bookmarkStart w:id="114" w:name="_Toc67589773"/>
      <w:r>
        <w:rPr>
          <w:rFonts w:ascii="Times New Roman" w:hAnsi="Times New Roman"/>
          <w:kern w:val="0"/>
          <w:szCs w:val="24"/>
        </w:rPr>
        <w:t xml:space="preserve">7.1 </w:t>
      </w:r>
      <w:r>
        <w:rPr>
          <w:rFonts w:hint="eastAsia" w:ascii="Times New Roman" w:hAnsi="Times New Roman"/>
          <w:kern w:val="0"/>
          <w:szCs w:val="24"/>
        </w:rPr>
        <w:t>资产负债表</w:t>
      </w:r>
      <w:bookmarkEnd w:id="112"/>
      <w:bookmarkEnd w:id="113"/>
      <w:bookmarkEnd w:id="114"/>
    </w:p>
    <w:p>
      <w:pPr>
        <w:spacing w:before="29" w:line="288" w:lineRule="auto"/>
        <w:rPr>
          <w:color w:val="000000"/>
          <w:sz w:val="24"/>
        </w:rPr>
      </w:pPr>
      <w:r>
        <w:rPr>
          <w:rFonts w:hint="eastAsia"/>
          <w:color w:val="000000"/>
          <w:sz w:val="24"/>
        </w:rPr>
        <w:t>会计主体：</w:t>
      </w:r>
      <w:r>
        <w:rPr>
          <w:color w:val="000000"/>
          <w:sz w:val="24"/>
        </w:rPr>
        <w:t>交银施罗德科技创新灵活配置混合型证券投资基金</w:t>
      </w:r>
    </w:p>
    <w:p>
      <w:pPr>
        <w:spacing w:before="29" w:line="288" w:lineRule="auto"/>
        <w:rPr>
          <w:color w:val="000000"/>
          <w:sz w:val="24"/>
        </w:rPr>
      </w:pPr>
      <w:r>
        <w:rPr>
          <w:rFonts w:hint="eastAsia"/>
          <w:color w:val="000000"/>
          <w:sz w:val="24"/>
        </w:rPr>
        <w:t>报告截止日：</w:t>
      </w:r>
      <w:r>
        <w:rPr>
          <w:color w:val="000000"/>
          <w:sz w:val="24"/>
        </w:rPr>
        <w:t>2020年12月31日</w:t>
      </w:r>
    </w:p>
    <w:p>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Style w:val="25"/>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80"/>
        <w:gridCol w:w="1080"/>
        <w:gridCol w:w="2520"/>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pStyle w:val="22"/>
              <w:spacing w:before="29" w:beforeAutospacing="0" w:line="288" w:lineRule="auto"/>
              <w:jc w:val="center"/>
              <w:rPr>
                <w:rFonts w:ascii="Times New Roman" w:hAnsi="Times New Roman"/>
                <w:b/>
                <w:color w:val="000000"/>
              </w:rPr>
            </w:pPr>
            <w:r>
              <w:rPr>
                <w:rFonts w:hint="eastAsia" w:ascii="Times New Roman" w:hAnsi="Times New Roman"/>
                <w:b/>
                <w:color w:val="000000"/>
              </w:rPr>
              <w:t>资产</w:t>
            </w:r>
          </w:p>
        </w:tc>
        <w:tc>
          <w:tcPr>
            <w:tcW w:w="1080" w:type="dxa"/>
            <w:vAlign w:val="center"/>
          </w:tcPr>
          <w:p>
            <w:pPr>
              <w:pStyle w:val="22"/>
              <w:spacing w:before="29" w:beforeAutospacing="0" w:line="288" w:lineRule="auto"/>
              <w:jc w:val="center"/>
              <w:rPr>
                <w:rFonts w:ascii="Times New Roman" w:hAnsi="Times New Roman"/>
                <w:b/>
                <w:color w:val="000000"/>
              </w:rPr>
            </w:pPr>
            <w:r>
              <w:rPr>
                <w:rFonts w:hint="eastAsia" w:ascii="Times New Roman" w:hAnsi="Times New Roman"/>
                <w:b/>
                <w:color w:val="000000"/>
              </w:rPr>
              <w:t>附注号</w:t>
            </w:r>
          </w:p>
        </w:tc>
        <w:tc>
          <w:tcPr>
            <w:tcW w:w="2520" w:type="dxa"/>
            <w:vAlign w:val="center"/>
          </w:tcPr>
          <w:p>
            <w:pPr>
              <w:pStyle w:val="22"/>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本期末</w:t>
            </w:r>
          </w:p>
          <w:p>
            <w:pPr>
              <w:pStyle w:val="22"/>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2020年12月31日</w:t>
            </w:r>
          </w:p>
        </w:tc>
        <w:tc>
          <w:tcPr>
            <w:tcW w:w="2520" w:type="dxa"/>
            <w:vAlign w:val="center"/>
          </w:tcPr>
          <w:p>
            <w:pPr>
              <w:pStyle w:val="22"/>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上年度末</w:t>
            </w:r>
          </w:p>
          <w:p>
            <w:pPr>
              <w:pStyle w:val="22"/>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资产：</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b/>
                <w:color w:val="000000"/>
                <w:sz w:val="24"/>
              </w:rPr>
            </w:pPr>
          </w:p>
        </w:tc>
        <w:tc>
          <w:tcPr>
            <w:tcW w:w="2520" w:type="dxa"/>
            <w:vAlign w:val="center"/>
          </w:tcPr>
          <w:p>
            <w:pPr>
              <w:spacing w:before="29" w:line="288" w:lineRule="auto"/>
              <w:jc w:val="right"/>
              <w:rPr>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银行存款</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w:t>
            </w:r>
          </w:p>
        </w:tc>
        <w:tc>
          <w:tcPr>
            <w:tcW w:w="2520" w:type="dxa"/>
            <w:vAlign w:val="center"/>
          </w:tcPr>
          <w:p>
            <w:pPr>
              <w:spacing w:before="29" w:line="288" w:lineRule="auto"/>
              <w:jc w:val="right"/>
              <w:rPr>
                <w:color w:val="000000"/>
                <w:sz w:val="24"/>
              </w:rPr>
            </w:pPr>
            <w:r>
              <w:rPr>
                <w:color w:val="000000"/>
                <w:sz w:val="24"/>
              </w:rPr>
              <w:t>39,473,969.38</w:t>
            </w:r>
          </w:p>
        </w:tc>
        <w:tc>
          <w:tcPr>
            <w:tcW w:w="2520" w:type="dxa"/>
            <w:vAlign w:val="center"/>
          </w:tcPr>
          <w:p>
            <w:pPr>
              <w:spacing w:before="29" w:line="288" w:lineRule="auto"/>
              <w:jc w:val="right"/>
              <w:rPr>
                <w:color w:val="000000"/>
                <w:sz w:val="24"/>
              </w:rPr>
            </w:pPr>
            <w:r>
              <w:rPr>
                <w:color w:val="000000"/>
                <w:sz w:val="24"/>
              </w:rPr>
              <w:t>8,561,035.29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结算备付金</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914,636.90</w:t>
            </w:r>
          </w:p>
        </w:tc>
        <w:tc>
          <w:tcPr>
            <w:tcW w:w="2520" w:type="dxa"/>
            <w:vAlign w:val="center"/>
          </w:tcPr>
          <w:p>
            <w:pPr>
              <w:spacing w:before="29" w:line="288" w:lineRule="auto"/>
              <w:jc w:val="right"/>
              <w:rPr>
                <w:color w:val="000000"/>
                <w:sz w:val="24"/>
              </w:rPr>
            </w:pPr>
            <w:r>
              <w:rPr>
                <w:color w:val="000000"/>
                <w:sz w:val="24"/>
              </w:rPr>
              <w:t>572,211.84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存出保证金</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150,790.72</w:t>
            </w:r>
          </w:p>
        </w:tc>
        <w:tc>
          <w:tcPr>
            <w:tcW w:w="2520" w:type="dxa"/>
            <w:vAlign w:val="center"/>
          </w:tcPr>
          <w:p>
            <w:pPr>
              <w:spacing w:before="29" w:line="288" w:lineRule="auto"/>
              <w:jc w:val="right"/>
              <w:rPr>
                <w:color w:val="000000"/>
                <w:sz w:val="24"/>
              </w:rPr>
            </w:pPr>
            <w:r>
              <w:rPr>
                <w:color w:val="000000"/>
                <w:sz w:val="24"/>
              </w:rPr>
              <w:t>121,873.00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交易性金融资产</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7.4.7.2</w:t>
            </w:r>
          </w:p>
        </w:tc>
        <w:tc>
          <w:tcPr>
            <w:tcW w:w="2520" w:type="dxa"/>
            <w:vAlign w:val="center"/>
          </w:tcPr>
          <w:p>
            <w:pPr>
              <w:spacing w:before="29" w:line="288" w:lineRule="auto"/>
              <w:jc w:val="right"/>
              <w:rPr>
                <w:color w:val="000000"/>
                <w:sz w:val="24"/>
              </w:rPr>
            </w:pPr>
            <w:r>
              <w:rPr>
                <w:color w:val="000000"/>
                <w:sz w:val="24"/>
              </w:rPr>
              <w:t>285,338,868.40</w:t>
            </w:r>
          </w:p>
        </w:tc>
        <w:tc>
          <w:tcPr>
            <w:tcW w:w="2520" w:type="dxa"/>
            <w:vAlign w:val="center"/>
          </w:tcPr>
          <w:p>
            <w:pPr>
              <w:spacing w:before="29" w:line="288" w:lineRule="auto"/>
              <w:jc w:val="right"/>
              <w:rPr>
                <w:color w:val="000000"/>
                <w:sz w:val="24"/>
              </w:rPr>
            </w:pPr>
            <w:r>
              <w:rPr>
                <w:color w:val="000000"/>
                <w:sz w:val="24"/>
              </w:rPr>
              <w:t>234,706,782.71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其中：股票投资</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285,338,868.40</w:t>
            </w:r>
          </w:p>
        </w:tc>
        <w:tc>
          <w:tcPr>
            <w:tcW w:w="2520" w:type="dxa"/>
            <w:vAlign w:val="center"/>
          </w:tcPr>
          <w:p>
            <w:pPr>
              <w:spacing w:before="29" w:line="288" w:lineRule="auto"/>
              <w:jc w:val="right"/>
              <w:rPr>
                <w:color w:val="000000"/>
                <w:sz w:val="24"/>
              </w:rPr>
            </w:pPr>
            <w:r>
              <w:rPr>
                <w:color w:val="000000"/>
                <w:sz w:val="24"/>
              </w:rPr>
              <w:t>224,693,782.71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基金投资</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债券投资</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10,013,000.00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资产支持证券投资</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贵金属投资</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rFonts w:hint="eastAsia"/>
                <w:color w:val="000000"/>
                <w:sz w:val="24"/>
              </w:rPr>
              <w:t>-</w:t>
            </w:r>
          </w:p>
        </w:tc>
        <w:tc>
          <w:tcPr>
            <w:tcW w:w="2520" w:type="dxa"/>
            <w:vAlign w:val="center"/>
          </w:tcPr>
          <w:p>
            <w:pPr>
              <w:spacing w:before="29" w:line="288" w:lineRule="auto"/>
              <w:jc w:val="right"/>
              <w:rPr>
                <w:color w:val="000000"/>
                <w:sz w:val="24"/>
              </w:rPr>
            </w:pPr>
            <w:r>
              <w:rPr>
                <w:rFonts w:hint="eastAsia"/>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衍生金融资产</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买入返售金融资产</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7.4.7.4</w:t>
            </w: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应收证券清算款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3,452,307.95</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应收利息</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7.4.7.5</w:t>
            </w:r>
          </w:p>
        </w:tc>
        <w:tc>
          <w:tcPr>
            <w:tcW w:w="2520" w:type="dxa"/>
            <w:vAlign w:val="center"/>
          </w:tcPr>
          <w:p>
            <w:pPr>
              <w:spacing w:before="29" w:line="288" w:lineRule="auto"/>
              <w:jc w:val="right"/>
              <w:rPr>
                <w:color w:val="000000"/>
                <w:sz w:val="24"/>
              </w:rPr>
            </w:pPr>
            <w:r>
              <w:rPr>
                <w:color w:val="000000"/>
                <w:sz w:val="24"/>
              </w:rPr>
              <w:t>3,600.78</w:t>
            </w:r>
          </w:p>
        </w:tc>
        <w:tc>
          <w:tcPr>
            <w:tcW w:w="2520" w:type="dxa"/>
            <w:vAlign w:val="center"/>
          </w:tcPr>
          <w:p>
            <w:pPr>
              <w:spacing w:before="29" w:line="288" w:lineRule="auto"/>
              <w:jc w:val="right"/>
              <w:rPr>
                <w:color w:val="000000"/>
                <w:sz w:val="24"/>
              </w:rPr>
            </w:pPr>
            <w:r>
              <w:rPr>
                <w:color w:val="000000"/>
                <w:sz w:val="24"/>
              </w:rPr>
              <w:t>133,665.07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应收股利</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应收申购款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404,396.09</w:t>
            </w:r>
          </w:p>
        </w:tc>
        <w:tc>
          <w:tcPr>
            <w:tcW w:w="2520" w:type="dxa"/>
            <w:vAlign w:val="center"/>
          </w:tcPr>
          <w:p>
            <w:pPr>
              <w:spacing w:before="29" w:line="288" w:lineRule="auto"/>
              <w:jc w:val="right"/>
              <w:rPr>
                <w:color w:val="000000"/>
                <w:sz w:val="24"/>
              </w:rPr>
            </w:pPr>
            <w:r>
              <w:rPr>
                <w:color w:val="000000"/>
                <w:sz w:val="24"/>
              </w:rPr>
              <w:t>1,395,975.74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递延所得税资产</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其他资产</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7.4.7.6</w:t>
            </w: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rFonts w:asciiTheme="minorEastAsia" w:hAnsiTheme="minorEastAsia" w:eastAsiaTheme="minorEastAsia"/>
                <w:b/>
                <w:color w:val="000000"/>
                <w:szCs w:val="21"/>
              </w:rPr>
            </w:pPr>
            <w:r>
              <w:rPr>
                <w:rFonts w:hint="eastAsia"/>
                <w:b/>
                <w:color w:val="000000"/>
                <w:sz w:val="24"/>
              </w:rPr>
              <w:t>资产总计</w:t>
            </w:r>
          </w:p>
        </w:tc>
        <w:tc>
          <w:tcPr>
            <w:tcW w:w="1080" w:type="dxa"/>
            <w:vAlign w:val="center"/>
          </w:tcPr>
          <w:p>
            <w:pPr>
              <w:widowControl/>
              <w:autoSpaceDE w:val="0"/>
              <w:autoSpaceDN w:val="0"/>
              <w:ind w:right="-15"/>
              <w:jc w:val="center"/>
              <w:textAlignment w:val="bottom"/>
              <w:rPr>
                <w:b/>
                <w:color w:val="000000"/>
                <w:sz w:val="24"/>
              </w:rPr>
            </w:pPr>
          </w:p>
        </w:tc>
        <w:tc>
          <w:tcPr>
            <w:tcW w:w="2520" w:type="dxa"/>
            <w:vAlign w:val="center"/>
          </w:tcPr>
          <w:p>
            <w:pPr>
              <w:spacing w:before="29" w:line="288" w:lineRule="auto"/>
              <w:jc w:val="right"/>
              <w:rPr>
                <w:b/>
                <w:color w:val="000000"/>
                <w:sz w:val="24"/>
              </w:rPr>
            </w:pPr>
            <w:r>
              <w:rPr>
                <w:b/>
                <w:color w:val="000000"/>
                <w:sz w:val="24"/>
              </w:rPr>
              <w:t>329,738,570.22</w:t>
            </w:r>
          </w:p>
        </w:tc>
        <w:tc>
          <w:tcPr>
            <w:tcW w:w="2520" w:type="dxa"/>
            <w:vAlign w:val="center"/>
          </w:tcPr>
          <w:p>
            <w:pPr>
              <w:spacing w:line="360" w:lineRule="auto"/>
              <w:jc w:val="right"/>
              <w:rPr>
                <w:b/>
                <w:color w:val="000000"/>
                <w:sz w:val="24"/>
              </w:rPr>
            </w:pPr>
            <w:r>
              <w:rPr>
                <w:b/>
                <w:color w:val="000000"/>
                <w:sz w:val="24"/>
              </w:rPr>
              <w:t>245,491,543.65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pStyle w:val="22"/>
              <w:spacing w:before="29" w:beforeAutospacing="0" w:line="288" w:lineRule="auto"/>
              <w:jc w:val="center"/>
              <w:rPr>
                <w:rFonts w:ascii="Times New Roman" w:hAnsi="Times New Roman"/>
                <w:b/>
                <w:color w:val="000000"/>
              </w:rPr>
            </w:pPr>
            <w:r>
              <w:rPr>
                <w:rFonts w:hint="eastAsia" w:ascii="Times New Roman" w:hAnsi="Times New Roman"/>
                <w:b/>
                <w:color w:val="000000"/>
              </w:rPr>
              <w:t>负债和所有者权益</w:t>
            </w:r>
          </w:p>
        </w:tc>
        <w:tc>
          <w:tcPr>
            <w:tcW w:w="1080" w:type="dxa"/>
            <w:vAlign w:val="center"/>
          </w:tcPr>
          <w:p>
            <w:pPr>
              <w:pStyle w:val="22"/>
              <w:spacing w:before="29" w:beforeAutospacing="0" w:line="288" w:lineRule="auto"/>
              <w:jc w:val="center"/>
              <w:rPr>
                <w:rFonts w:ascii="Times New Roman" w:hAnsi="Times New Roman"/>
                <w:b/>
                <w:color w:val="000000"/>
              </w:rPr>
            </w:pPr>
            <w:r>
              <w:rPr>
                <w:rFonts w:hint="eastAsia" w:ascii="Times New Roman" w:hAnsi="Times New Roman"/>
                <w:b/>
                <w:color w:val="000000"/>
              </w:rPr>
              <w:t>附注号</w:t>
            </w:r>
          </w:p>
        </w:tc>
        <w:tc>
          <w:tcPr>
            <w:tcW w:w="2520" w:type="dxa"/>
            <w:vAlign w:val="center"/>
          </w:tcPr>
          <w:p>
            <w:pPr>
              <w:pStyle w:val="22"/>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本期末</w:t>
            </w:r>
          </w:p>
          <w:p>
            <w:pPr>
              <w:pStyle w:val="22"/>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2020年12月31日</w:t>
            </w:r>
          </w:p>
        </w:tc>
        <w:tc>
          <w:tcPr>
            <w:tcW w:w="2520" w:type="dxa"/>
            <w:vAlign w:val="center"/>
          </w:tcPr>
          <w:p>
            <w:pPr>
              <w:pStyle w:val="22"/>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上年度末</w:t>
            </w:r>
          </w:p>
          <w:p>
            <w:pPr>
              <w:pStyle w:val="22"/>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负债：</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b/>
                <w:color w:val="000000"/>
                <w:sz w:val="24"/>
              </w:rPr>
            </w:pPr>
          </w:p>
        </w:tc>
        <w:tc>
          <w:tcPr>
            <w:tcW w:w="2520" w:type="dxa"/>
            <w:vAlign w:val="center"/>
          </w:tcPr>
          <w:p>
            <w:pPr>
              <w:spacing w:before="29" w:line="288" w:lineRule="auto"/>
              <w:jc w:val="right"/>
              <w:rPr>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短期借款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交易性金融负债</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衍生金融负债</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卖出回购金融资产款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应付证券清算款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应付赎回款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1,163,250.87</w:t>
            </w:r>
          </w:p>
        </w:tc>
        <w:tc>
          <w:tcPr>
            <w:tcW w:w="2520" w:type="dxa"/>
            <w:vAlign w:val="center"/>
          </w:tcPr>
          <w:p>
            <w:pPr>
              <w:spacing w:before="29" w:line="288" w:lineRule="auto"/>
              <w:jc w:val="right"/>
              <w:rPr>
                <w:color w:val="000000"/>
                <w:sz w:val="24"/>
              </w:rPr>
            </w:pPr>
            <w:r>
              <w:rPr>
                <w:color w:val="000000"/>
                <w:sz w:val="24"/>
              </w:rPr>
              <w:t>2,293,558.83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应付管理人报酬</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390,359.05</w:t>
            </w:r>
          </w:p>
        </w:tc>
        <w:tc>
          <w:tcPr>
            <w:tcW w:w="2520" w:type="dxa"/>
            <w:vAlign w:val="center"/>
          </w:tcPr>
          <w:p>
            <w:pPr>
              <w:spacing w:before="29" w:line="288" w:lineRule="auto"/>
              <w:jc w:val="right"/>
              <w:rPr>
                <w:color w:val="000000"/>
                <w:sz w:val="24"/>
              </w:rPr>
            </w:pPr>
            <w:r>
              <w:rPr>
                <w:color w:val="000000"/>
                <w:sz w:val="24"/>
              </w:rPr>
              <w:t>322,350.57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应付托管费</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65,059.85</w:t>
            </w:r>
          </w:p>
        </w:tc>
        <w:tc>
          <w:tcPr>
            <w:tcW w:w="2520" w:type="dxa"/>
            <w:vAlign w:val="center"/>
          </w:tcPr>
          <w:p>
            <w:pPr>
              <w:spacing w:before="29" w:line="288" w:lineRule="auto"/>
              <w:jc w:val="right"/>
              <w:rPr>
                <w:color w:val="000000"/>
                <w:sz w:val="24"/>
              </w:rPr>
            </w:pPr>
            <w:r>
              <w:rPr>
                <w:color w:val="000000"/>
                <w:sz w:val="24"/>
              </w:rPr>
              <w:t>53,725.07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应付销售服务费</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应付交易费用</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7.4.7.7</w:t>
            </w:r>
          </w:p>
        </w:tc>
        <w:tc>
          <w:tcPr>
            <w:tcW w:w="2520" w:type="dxa"/>
            <w:vAlign w:val="center"/>
          </w:tcPr>
          <w:p>
            <w:pPr>
              <w:spacing w:before="29" w:line="288" w:lineRule="auto"/>
              <w:jc w:val="right"/>
              <w:rPr>
                <w:color w:val="000000"/>
                <w:sz w:val="24"/>
              </w:rPr>
            </w:pPr>
            <w:r>
              <w:rPr>
                <w:color w:val="000000"/>
                <w:sz w:val="24"/>
              </w:rPr>
              <w:t>736,853.13</w:t>
            </w:r>
          </w:p>
        </w:tc>
        <w:tc>
          <w:tcPr>
            <w:tcW w:w="2520" w:type="dxa"/>
            <w:vAlign w:val="center"/>
          </w:tcPr>
          <w:p>
            <w:pPr>
              <w:spacing w:before="29" w:line="288" w:lineRule="auto"/>
              <w:jc w:val="right"/>
              <w:rPr>
                <w:color w:val="000000"/>
                <w:sz w:val="24"/>
              </w:rPr>
            </w:pPr>
            <w:r>
              <w:rPr>
                <w:color w:val="000000"/>
                <w:sz w:val="24"/>
              </w:rPr>
              <w:t>431,906.95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应交税费</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应付利息</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应付利润</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递延所得税负债</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其他负债</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7.4.7.8</w:t>
            </w:r>
          </w:p>
        </w:tc>
        <w:tc>
          <w:tcPr>
            <w:tcW w:w="2520" w:type="dxa"/>
            <w:vAlign w:val="center"/>
          </w:tcPr>
          <w:p>
            <w:pPr>
              <w:spacing w:before="29" w:line="288" w:lineRule="auto"/>
              <w:jc w:val="right"/>
              <w:rPr>
                <w:color w:val="000000"/>
                <w:sz w:val="24"/>
              </w:rPr>
            </w:pPr>
            <w:r>
              <w:rPr>
                <w:color w:val="000000"/>
                <w:sz w:val="24"/>
              </w:rPr>
              <w:t>175,884.60</w:t>
            </w:r>
          </w:p>
        </w:tc>
        <w:tc>
          <w:tcPr>
            <w:tcW w:w="2520" w:type="dxa"/>
            <w:vAlign w:val="center"/>
          </w:tcPr>
          <w:p>
            <w:pPr>
              <w:spacing w:before="29" w:line="288" w:lineRule="auto"/>
              <w:jc w:val="right"/>
              <w:rPr>
                <w:color w:val="000000"/>
                <w:sz w:val="24"/>
              </w:rPr>
            </w:pPr>
            <w:r>
              <w:rPr>
                <w:color w:val="000000"/>
                <w:sz w:val="24"/>
              </w:rPr>
              <w:t>189,107.82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负债合计</w:t>
            </w:r>
          </w:p>
        </w:tc>
        <w:tc>
          <w:tcPr>
            <w:tcW w:w="1080" w:type="dxa"/>
            <w:vAlign w:val="center"/>
          </w:tcPr>
          <w:p>
            <w:pPr>
              <w:widowControl/>
              <w:autoSpaceDE w:val="0"/>
              <w:autoSpaceDN w:val="0"/>
              <w:ind w:right="-15"/>
              <w:jc w:val="center"/>
              <w:textAlignment w:val="bottom"/>
              <w:rPr>
                <w:b/>
                <w:color w:val="000000"/>
                <w:sz w:val="24"/>
              </w:rPr>
            </w:pPr>
          </w:p>
        </w:tc>
        <w:tc>
          <w:tcPr>
            <w:tcW w:w="2520" w:type="dxa"/>
            <w:vAlign w:val="center"/>
          </w:tcPr>
          <w:p>
            <w:pPr>
              <w:spacing w:before="29" w:line="288" w:lineRule="auto"/>
              <w:jc w:val="right"/>
              <w:rPr>
                <w:b/>
                <w:color w:val="000000"/>
                <w:sz w:val="24"/>
              </w:rPr>
            </w:pPr>
            <w:r>
              <w:rPr>
                <w:b/>
                <w:color w:val="000000"/>
                <w:sz w:val="24"/>
              </w:rPr>
              <w:t>2,531,407.50</w:t>
            </w:r>
          </w:p>
        </w:tc>
        <w:tc>
          <w:tcPr>
            <w:tcW w:w="2520" w:type="dxa"/>
            <w:vAlign w:val="center"/>
          </w:tcPr>
          <w:p>
            <w:pPr>
              <w:spacing w:before="29" w:line="288" w:lineRule="auto"/>
              <w:jc w:val="right"/>
              <w:rPr>
                <w:b/>
                <w:color w:val="000000"/>
                <w:sz w:val="24"/>
              </w:rPr>
            </w:pPr>
            <w:r>
              <w:rPr>
                <w:b/>
                <w:color w:val="000000"/>
                <w:sz w:val="24"/>
              </w:rPr>
              <w:t>3,290,649.24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所有者权益：</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b/>
                <w:color w:val="000000"/>
                <w:sz w:val="24"/>
              </w:rPr>
            </w:pPr>
          </w:p>
        </w:tc>
        <w:tc>
          <w:tcPr>
            <w:tcW w:w="2520" w:type="dxa"/>
            <w:vAlign w:val="center"/>
          </w:tcPr>
          <w:p>
            <w:pPr>
              <w:spacing w:before="29" w:line="288" w:lineRule="auto"/>
              <w:jc w:val="right"/>
              <w:rPr>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实收基金</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7.4.7.9</w:t>
            </w:r>
          </w:p>
        </w:tc>
        <w:tc>
          <w:tcPr>
            <w:tcW w:w="2520" w:type="dxa"/>
            <w:vAlign w:val="center"/>
          </w:tcPr>
          <w:p>
            <w:pPr>
              <w:spacing w:before="29" w:line="288" w:lineRule="auto"/>
              <w:jc w:val="right"/>
              <w:rPr>
                <w:color w:val="000000"/>
                <w:sz w:val="24"/>
              </w:rPr>
            </w:pPr>
            <w:r>
              <w:rPr>
                <w:color w:val="000000"/>
                <w:sz w:val="24"/>
              </w:rPr>
              <w:t>151,304,314.30</w:t>
            </w:r>
          </w:p>
        </w:tc>
        <w:tc>
          <w:tcPr>
            <w:tcW w:w="2520" w:type="dxa"/>
            <w:vAlign w:val="center"/>
          </w:tcPr>
          <w:p>
            <w:pPr>
              <w:spacing w:before="29" w:line="288" w:lineRule="auto"/>
              <w:jc w:val="right"/>
              <w:rPr>
                <w:color w:val="000000"/>
                <w:sz w:val="24"/>
              </w:rPr>
            </w:pPr>
            <w:r>
              <w:rPr>
                <w:color w:val="000000"/>
                <w:sz w:val="24"/>
              </w:rPr>
              <w:t>181,564,565.22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未分配利润</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7.4.7.10</w:t>
            </w:r>
          </w:p>
        </w:tc>
        <w:tc>
          <w:tcPr>
            <w:tcW w:w="2520" w:type="dxa"/>
            <w:vAlign w:val="center"/>
          </w:tcPr>
          <w:p>
            <w:pPr>
              <w:spacing w:before="29" w:line="288" w:lineRule="auto"/>
              <w:jc w:val="right"/>
              <w:rPr>
                <w:color w:val="000000"/>
                <w:sz w:val="24"/>
              </w:rPr>
            </w:pPr>
            <w:r>
              <w:rPr>
                <w:color w:val="000000"/>
                <w:sz w:val="24"/>
              </w:rPr>
              <w:t>175,902,848.42</w:t>
            </w:r>
          </w:p>
        </w:tc>
        <w:tc>
          <w:tcPr>
            <w:tcW w:w="2520" w:type="dxa"/>
            <w:vAlign w:val="center"/>
          </w:tcPr>
          <w:p>
            <w:pPr>
              <w:spacing w:before="29" w:line="288" w:lineRule="auto"/>
              <w:jc w:val="right"/>
              <w:rPr>
                <w:color w:val="000000"/>
                <w:sz w:val="24"/>
              </w:rPr>
            </w:pPr>
            <w:r>
              <w:rPr>
                <w:color w:val="000000"/>
                <w:sz w:val="24"/>
              </w:rPr>
              <w:t>60,636,329.19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所有者权益合计</w:t>
            </w:r>
          </w:p>
        </w:tc>
        <w:tc>
          <w:tcPr>
            <w:tcW w:w="1080" w:type="dxa"/>
            <w:vAlign w:val="center"/>
          </w:tcPr>
          <w:p>
            <w:pPr>
              <w:widowControl/>
              <w:autoSpaceDE w:val="0"/>
              <w:autoSpaceDN w:val="0"/>
              <w:ind w:right="-15"/>
              <w:jc w:val="center"/>
              <w:textAlignment w:val="bottom"/>
              <w:rPr>
                <w:b/>
                <w:color w:val="000000"/>
                <w:sz w:val="24"/>
              </w:rPr>
            </w:pPr>
          </w:p>
        </w:tc>
        <w:tc>
          <w:tcPr>
            <w:tcW w:w="2520" w:type="dxa"/>
            <w:vAlign w:val="center"/>
          </w:tcPr>
          <w:p>
            <w:pPr>
              <w:spacing w:before="29" w:line="288" w:lineRule="auto"/>
              <w:jc w:val="right"/>
              <w:rPr>
                <w:b/>
                <w:color w:val="000000"/>
                <w:sz w:val="24"/>
              </w:rPr>
            </w:pPr>
            <w:r>
              <w:rPr>
                <w:b/>
                <w:color w:val="000000"/>
                <w:sz w:val="24"/>
              </w:rPr>
              <w:t>327,207,162.72</w:t>
            </w:r>
          </w:p>
        </w:tc>
        <w:tc>
          <w:tcPr>
            <w:tcW w:w="2520" w:type="dxa"/>
            <w:vAlign w:val="center"/>
          </w:tcPr>
          <w:p>
            <w:pPr>
              <w:spacing w:before="29" w:line="288" w:lineRule="auto"/>
              <w:jc w:val="right"/>
              <w:rPr>
                <w:b/>
                <w:color w:val="000000"/>
                <w:sz w:val="24"/>
              </w:rPr>
            </w:pPr>
            <w:r>
              <w:rPr>
                <w:b/>
                <w:color w:val="000000"/>
                <w:sz w:val="24"/>
              </w:rPr>
              <w:t>242,200,894.41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负债和所有者权益总计</w:t>
            </w:r>
          </w:p>
        </w:tc>
        <w:tc>
          <w:tcPr>
            <w:tcW w:w="1080" w:type="dxa"/>
            <w:vAlign w:val="center"/>
          </w:tcPr>
          <w:p>
            <w:pPr>
              <w:widowControl/>
              <w:autoSpaceDE w:val="0"/>
              <w:autoSpaceDN w:val="0"/>
              <w:ind w:right="-15"/>
              <w:jc w:val="center"/>
              <w:textAlignment w:val="bottom"/>
              <w:rPr>
                <w:b/>
                <w:color w:val="000000"/>
                <w:sz w:val="24"/>
              </w:rPr>
            </w:pPr>
          </w:p>
        </w:tc>
        <w:tc>
          <w:tcPr>
            <w:tcW w:w="2520" w:type="dxa"/>
            <w:vAlign w:val="center"/>
          </w:tcPr>
          <w:p>
            <w:pPr>
              <w:spacing w:before="29" w:line="288" w:lineRule="auto"/>
              <w:jc w:val="right"/>
              <w:rPr>
                <w:b/>
                <w:color w:val="000000"/>
                <w:sz w:val="24"/>
              </w:rPr>
            </w:pPr>
            <w:r>
              <w:rPr>
                <w:b/>
                <w:color w:val="000000"/>
                <w:sz w:val="24"/>
              </w:rPr>
              <w:t>329,738,570.22</w:t>
            </w:r>
          </w:p>
        </w:tc>
        <w:tc>
          <w:tcPr>
            <w:tcW w:w="2520" w:type="dxa"/>
            <w:vAlign w:val="center"/>
          </w:tcPr>
          <w:p>
            <w:pPr>
              <w:spacing w:before="29" w:line="288" w:lineRule="auto"/>
              <w:jc w:val="right"/>
              <w:rPr>
                <w:b/>
                <w:color w:val="000000"/>
                <w:sz w:val="24"/>
              </w:rPr>
            </w:pPr>
            <w:r>
              <w:rPr>
                <w:b/>
                <w:color w:val="000000"/>
                <w:sz w:val="24"/>
              </w:rPr>
              <w:t>245,491,543.65</w:t>
            </w:r>
          </w:p>
        </w:tc>
      </w:tr>
    </w:tbl>
    <w:p>
      <w:pPr>
        <w:tabs>
          <w:tab w:val="left" w:pos="426"/>
        </w:tabs>
        <w:spacing w:before="29" w:line="288" w:lineRule="auto"/>
        <w:jc w:val="left"/>
        <w:rPr>
          <w:kern w:val="0"/>
          <w:sz w:val="24"/>
        </w:rPr>
      </w:pPr>
      <w:r>
        <w:rPr>
          <w:kern w:val="0"/>
          <w:sz w:val="24"/>
        </w:rPr>
        <w:t>注：报告截止日2020年12月31日，基金份额净值2.163元，基金份额总额151,304,314.30份。</w:t>
      </w:r>
    </w:p>
    <w:p>
      <w:pPr>
        <w:spacing w:line="360" w:lineRule="auto"/>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115" w:name="_Toc225498269"/>
      <w:bookmarkStart w:id="116" w:name="_Toc361324874"/>
      <w:bookmarkStart w:id="117" w:name="_Toc67589774"/>
      <w:r>
        <w:rPr>
          <w:rFonts w:ascii="Times New Roman" w:hAnsi="Times New Roman"/>
          <w:kern w:val="0"/>
          <w:szCs w:val="24"/>
        </w:rPr>
        <w:t xml:space="preserve">7.2 </w:t>
      </w:r>
      <w:r>
        <w:rPr>
          <w:rFonts w:hint="eastAsia" w:ascii="Times New Roman" w:hAnsi="Times New Roman"/>
          <w:kern w:val="0"/>
          <w:szCs w:val="24"/>
        </w:rPr>
        <w:t>利润表</w:t>
      </w:r>
      <w:bookmarkEnd w:id="115"/>
      <w:bookmarkEnd w:id="116"/>
      <w:bookmarkEnd w:id="117"/>
    </w:p>
    <w:p>
      <w:pPr>
        <w:spacing w:before="29" w:line="288" w:lineRule="auto"/>
        <w:rPr>
          <w:color w:val="000000"/>
          <w:sz w:val="24"/>
        </w:rPr>
      </w:pPr>
      <w:r>
        <w:rPr>
          <w:rFonts w:hint="eastAsia"/>
          <w:color w:val="000000"/>
          <w:sz w:val="24"/>
        </w:rPr>
        <w:t>会计主体：</w:t>
      </w:r>
      <w:r>
        <w:rPr>
          <w:color w:val="000000"/>
          <w:sz w:val="24"/>
        </w:rPr>
        <w:t>交银施罗德科技创新灵活配置混合型证券投资基金</w:t>
      </w:r>
    </w:p>
    <w:p>
      <w:pPr>
        <w:spacing w:before="29" w:line="288" w:lineRule="auto"/>
        <w:rPr>
          <w:color w:val="000000"/>
          <w:sz w:val="24"/>
        </w:rPr>
      </w:pPr>
      <w:r>
        <w:rPr>
          <w:rFonts w:hint="eastAsia"/>
          <w:color w:val="000000"/>
          <w:sz w:val="24"/>
        </w:rPr>
        <w:t>本报告期：</w:t>
      </w:r>
      <w:r>
        <w:rPr>
          <w:color w:val="000000"/>
          <w:sz w:val="24"/>
        </w:rPr>
        <w:t>2020年1月1日</w:t>
      </w:r>
      <w:r>
        <w:rPr>
          <w:rFonts w:hint="eastAsia"/>
          <w:color w:val="000000"/>
          <w:sz w:val="24"/>
        </w:rPr>
        <w:t>至</w:t>
      </w:r>
      <w:r>
        <w:rPr>
          <w:color w:val="000000"/>
          <w:sz w:val="24"/>
        </w:rPr>
        <w:t>2020年12月31日</w:t>
      </w:r>
    </w:p>
    <w:p>
      <w:pPr>
        <w:autoSpaceDE w:val="0"/>
        <w:autoSpaceDN w:val="0"/>
        <w:adjustRightInd w:val="0"/>
        <w:spacing w:before="29" w:line="360" w:lineRule="auto"/>
        <w:ind w:left="15"/>
        <w:jc w:val="righ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单位：人民币元</w:t>
      </w:r>
    </w:p>
    <w:tbl>
      <w:tblPr>
        <w:tblStyle w:val="25"/>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20"/>
        <w:gridCol w:w="1080"/>
        <w:gridCol w:w="2250"/>
        <w:gridCol w:w="2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jc w:val="center"/>
              <w:rPr>
                <w:b/>
                <w:color w:val="000000"/>
              </w:rPr>
            </w:pPr>
            <w:r>
              <w:rPr>
                <w:rFonts w:hint="eastAsia"/>
                <w:b/>
                <w:color w:val="000000"/>
              </w:rPr>
              <w:t>项目</w:t>
            </w:r>
          </w:p>
        </w:tc>
        <w:tc>
          <w:tcPr>
            <w:tcW w:w="1080" w:type="dxa"/>
            <w:vAlign w:val="center"/>
          </w:tcPr>
          <w:p>
            <w:pPr>
              <w:spacing w:before="29" w:line="288" w:lineRule="auto"/>
              <w:jc w:val="center"/>
              <w:rPr>
                <w:b/>
                <w:color w:val="000000"/>
              </w:rPr>
            </w:pPr>
            <w:r>
              <w:rPr>
                <w:rFonts w:hint="eastAsia"/>
                <w:b/>
                <w:color w:val="000000"/>
              </w:rPr>
              <w:t>附注号</w:t>
            </w:r>
          </w:p>
        </w:tc>
        <w:tc>
          <w:tcPr>
            <w:tcW w:w="2250" w:type="dxa"/>
            <w:vAlign w:val="center"/>
          </w:tcPr>
          <w:p>
            <w:pPr>
              <w:spacing w:before="29" w:line="288" w:lineRule="auto"/>
              <w:jc w:val="center"/>
              <w:rPr>
                <w:b/>
                <w:color w:val="000000"/>
              </w:rPr>
            </w:pPr>
            <w:r>
              <w:rPr>
                <w:rFonts w:hint="eastAsia"/>
                <w:b/>
                <w:color w:val="000000"/>
              </w:rPr>
              <w:t>本期</w:t>
            </w:r>
          </w:p>
          <w:p>
            <w:pPr>
              <w:spacing w:before="29" w:line="288" w:lineRule="auto"/>
              <w:jc w:val="center"/>
              <w:rPr>
                <w:b/>
                <w:color w:val="000000"/>
              </w:rPr>
            </w:pPr>
            <w:r>
              <w:rPr>
                <w:b/>
                <w:color w:val="000000"/>
              </w:rPr>
              <w:t>2020年1月1日</w:t>
            </w:r>
            <w:r>
              <w:rPr>
                <w:rFonts w:hint="eastAsia"/>
                <w:b/>
                <w:color w:val="000000"/>
              </w:rPr>
              <w:t>至</w:t>
            </w:r>
            <w:r>
              <w:rPr>
                <w:b/>
                <w:color w:val="000000"/>
              </w:rPr>
              <w:t>2020年12月31日</w:t>
            </w:r>
          </w:p>
        </w:tc>
        <w:tc>
          <w:tcPr>
            <w:tcW w:w="2250" w:type="dxa"/>
            <w:vAlign w:val="center"/>
          </w:tcPr>
          <w:p>
            <w:pPr>
              <w:spacing w:before="29" w:line="288" w:lineRule="auto"/>
              <w:jc w:val="center"/>
              <w:rPr>
                <w:b/>
                <w:color w:val="000000"/>
              </w:rPr>
            </w:pPr>
            <w:r>
              <w:rPr>
                <w:rFonts w:hint="eastAsia"/>
                <w:b/>
                <w:color w:val="000000"/>
              </w:rPr>
              <w:t>上年度可比期间</w:t>
            </w:r>
          </w:p>
          <w:p>
            <w:pPr>
              <w:spacing w:before="29" w:line="288" w:lineRule="auto"/>
              <w:jc w:val="center"/>
              <w:rPr>
                <w:b/>
                <w:color w:val="000000"/>
              </w:rPr>
            </w:pPr>
            <w:r>
              <w:rPr>
                <w:b/>
                <w:color w:val="000000"/>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rFonts w:asciiTheme="minorEastAsia" w:hAnsiTheme="minorEastAsia" w:eastAsiaTheme="minorEastAsia"/>
                <w:b/>
                <w:color w:val="000000"/>
                <w:szCs w:val="21"/>
              </w:rPr>
            </w:pPr>
            <w:r>
              <w:rPr>
                <w:rFonts w:hint="eastAsia"/>
                <w:b/>
                <w:color w:val="000000"/>
                <w:sz w:val="24"/>
              </w:rPr>
              <w:t>一、收入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b/>
                <w:color w:val="000000"/>
                <w:sz w:val="24"/>
              </w:rPr>
            </w:pPr>
            <w:r>
              <w:rPr>
                <w:b/>
                <w:color w:val="000000"/>
                <w:sz w:val="24"/>
              </w:rPr>
              <w:t>136,670,700.68</w:t>
            </w:r>
          </w:p>
        </w:tc>
        <w:tc>
          <w:tcPr>
            <w:tcW w:w="2250" w:type="dxa"/>
            <w:vAlign w:val="center"/>
          </w:tcPr>
          <w:p>
            <w:pPr>
              <w:spacing w:before="29" w:line="288" w:lineRule="auto"/>
              <w:jc w:val="right"/>
              <w:rPr>
                <w:b/>
                <w:color w:val="000000"/>
                <w:sz w:val="24"/>
              </w:rPr>
            </w:pPr>
            <w:r>
              <w:rPr>
                <w:b/>
                <w:color w:val="000000"/>
                <w:sz w:val="24"/>
              </w:rPr>
              <w:t>101,670,950.47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color w:val="000000"/>
                <w:sz w:val="24"/>
              </w:rPr>
              <w:t>1.</w:t>
            </w:r>
            <w:r>
              <w:rPr>
                <w:rFonts w:hint="eastAsia"/>
                <w:color w:val="000000"/>
                <w:sz w:val="24"/>
              </w:rPr>
              <w:t>利息收入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164,008.33</w:t>
            </w:r>
          </w:p>
        </w:tc>
        <w:tc>
          <w:tcPr>
            <w:tcW w:w="2250" w:type="dxa"/>
            <w:vAlign w:val="center"/>
          </w:tcPr>
          <w:p>
            <w:pPr>
              <w:spacing w:before="29" w:line="288" w:lineRule="auto"/>
              <w:jc w:val="right"/>
              <w:rPr>
                <w:color w:val="000000"/>
                <w:sz w:val="24"/>
              </w:rPr>
            </w:pPr>
            <w:r>
              <w:rPr>
                <w:color w:val="000000"/>
                <w:sz w:val="24"/>
              </w:rPr>
              <w:t>336,647.80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其中：存款利息收入</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7.4.7.11</w:t>
            </w:r>
          </w:p>
        </w:tc>
        <w:tc>
          <w:tcPr>
            <w:tcW w:w="2250" w:type="dxa"/>
            <w:vAlign w:val="center"/>
          </w:tcPr>
          <w:p>
            <w:pPr>
              <w:spacing w:before="29" w:line="288" w:lineRule="auto"/>
              <w:jc w:val="right"/>
              <w:rPr>
                <w:color w:val="000000"/>
                <w:sz w:val="24"/>
              </w:rPr>
            </w:pPr>
            <w:r>
              <w:rPr>
                <w:color w:val="000000"/>
                <w:sz w:val="24"/>
              </w:rPr>
              <w:t>136,576.64</w:t>
            </w:r>
          </w:p>
        </w:tc>
        <w:tc>
          <w:tcPr>
            <w:tcW w:w="2250" w:type="dxa"/>
            <w:vAlign w:val="center"/>
          </w:tcPr>
          <w:p>
            <w:pPr>
              <w:spacing w:before="29" w:line="288" w:lineRule="auto"/>
              <w:jc w:val="right"/>
              <w:rPr>
                <w:color w:val="000000"/>
                <w:sz w:val="24"/>
              </w:rPr>
            </w:pPr>
            <w:r>
              <w:rPr>
                <w:color w:val="000000"/>
                <w:sz w:val="24"/>
              </w:rPr>
              <w:t>144,491.20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债券利息收入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27,431.69</w:t>
            </w:r>
          </w:p>
        </w:tc>
        <w:tc>
          <w:tcPr>
            <w:tcW w:w="2250" w:type="dxa"/>
            <w:vAlign w:val="center"/>
          </w:tcPr>
          <w:p>
            <w:pPr>
              <w:spacing w:before="29" w:line="288" w:lineRule="auto"/>
              <w:jc w:val="right"/>
              <w:rPr>
                <w:color w:val="000000"/>
                <w:sz w:val="24"/>
              </w:rPr>
            </w:pPr>
            <w:r>
              <w:rPr>
                <w:color w:val="000000"/>
                <w:sz w:val="24"/>
              </w:rPr>
              <w:t>192,156.60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资产支持证券利息收入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买入返售金融资产收入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其他利息收入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color w:val="000000"/>
                <w:sz w:val="24"/>
              </w:rPr>
              <w:t>2.</w:t>
            </w:r>
            <w:r>
              <w:rPr>
                <w:rFonts w:hint="eastAsia"/>
                <w:color w:val="000000"/>
                <w:sz w:val="24"/>
              </w:rPr>
              <w:t>投资收益（损失以</w:t>
            </w:r>
            <w:r>
              <w:rPr>
                <w:color w:val="000000"/>
              </w:rPr>
              <w:t>“-”</w:t>
            </w:r>
            <w:r>
              <w:rPr>
                <w:rFonts w:hint="eastAsia"/>
                <w:color w:val="000000"/>
                <w:sz w:val="24"/>
              </w:rPr>
              <w:t>填列）</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114,609,240.56</w:t>
            </w:r>
          </w:p>
        </w:tc>
        <w:tc>
          <w:tcPr>
            <w:tcW w:w="2250" w:type="dxa"/>
            <w:vAlign w:val="center"/>
          </w:tcPr>
          <w:p>
            <w:pPr>
              <w:spacing w:before="29" w:line="288" w:lineRule="auto"/>
              <w:jc w:val="right"/>
              <w:rPr>
                <w:color w:val="000000"/>
                <w:sz w:val="24"/>
              </w:rPr>
            </w:pPr>
            <w:r>
              <w:rPr>
                <w:color w:val="000000"/>
                <w:sz w:val="24"/>
              </w:rPr>
              <w:t>68,017,924.52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其中：股票投资收益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7.4.7.12</w:t>
            </w:r>
          </w:p>
        </w:tc>
        <w:tc>
          <w:tcPr>
            <w:tcW w:w="2250" w:type="dxa"/>
            <w:vAlign w:val="center"/>
          </w:tcPr>
          <w:p>
            <w:pPr>
              <w:spacing w:before="29" w:line="288" w:lineRule="auto"/>
              <w:jc w:val="right"/>
              <w:rPr>
                <w:color w:val="000000"/>
                <w:sz w:val="24"/>
              </w:rPr>
            </w:pPr>
            <w:r>
              <w:rPr>
                <w:color w:val="000000"/>
                <w:sz w:val="24"/>
              </w:rPr>
              <w:t>112,071,181.90</w:t>
            </w:r>
          </w:p>
        </w:tc>
        <w:tc>
          <w:tcPr>
            <w:tcW w:w="2250" w:type="dxa"/>
            <w:vAlign w:val="center"/>
          </w:tcPr>
          <w:p>
            <w:pPr>
              <w:spacing w:before="29" w:line="288" w:lineRule="auto"/>
              <w:jc w:val="right"/>
              <w:rPr>
                <w:color w:val="000000"/>
                <w:sz w:val="24"/>
              </w:rPr>
            </w:pPr>
            <w:r>
              <w:rPr>
                <w:color w:val="000000"/>
                <w:sz w:val="24"/>
              </w:rPr>
              <w:t>65,837,362.44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基金投资收益</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债券投资收益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7.4.7.13</w:t>
            </w:r>
          </w:p>
        </w:tc>
        <w:tc>
          <w:tcPr>
            <w:tcW w:w="2250" w:type="dxa"/>
            <w:vAlign w:val="center"/>
          </w:tcPr>
          <w:p>
            <w:pPr>
              <w:spacing w:before="29" w:line="288" w:lineRule="auto"/>
              <w:jc w:val="right"/>
              <w:rPr>
                <w:color w:val="000000"/>
                <w:sz w:val="24"/>
              </w:rPr>
            </w:pPr>
            <w:r>
              <w:rPr>
                <w:color w:val="000000"/>
                <w:sz w:val="24"/>
              </w:rPr>
              <w:t>22,100.00</w:t>
            </w:r>
          </w:p>
        </w:tc>
        <w:tc>
          <w:tcPr>
            <w:tcW w:w="2250" w:type="dxa"/>
            <w:vAlign w:val="center"/>
          </w:tcPr>
          <w:p>
            <w:pPr>
              <w:spacing w:before="29" w:line="288" w:lineRule="auto"/>
              <w:jc w:val="right"/>
              <w:rPr>
                <w:color w:val="000000"/>
                <w:sz w:val="24"/>
              </w:rPr>
            </w:pPr>
            <w:r>
              <w:rPr>
                <w:color w:val="000000"/>
                <w:sz w:val="24"/>
              </w:rPr>
              <w:t>700.00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资产支持证券投资收益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7.4.7.14</w:t>
            </w: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贵金属投资收益</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rFonts w:hint="eastAsia"/>
                <w:color w:val="000000"/>
                <w:sz w:val="24"/>
              </w:rPr>
              <w:t>-</w:t>
            </w:r>
          </w:p>
        </w:tc>
        <w:tc>
          <w:tcPr>
            <w:tcW w:w="2250" w:type="dxa"/>
            <w:vAlign w:val="center"/>
          </w:tcPr>
          <w:p>
            <w:pPr>
              <w:spacing w:before="29" w:line="288" w:lineRule="auto"/>
              <w:jc w:val="right"/>
              <w:rPr>
                <w:color w:val="000000"/>
                <w:sz w:val="24"/>
              </w:rPr>
            </w:pPr>
            <w:r>
              <w:rPr>
                <w:rFonts w:hint="eastAsia"/>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衍生工具收益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7.4.7.15</w:t>
            </w: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股利收益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7.4.7.16</w:t>
            </w:r>
          </w:p>
        </w:tc>
        <w:tc>
          <w:tcPr>
            <w:tcW w:w="2250" w:type="dxa"/>
            <w:vAlign w:val="center"/>
          </w:tcPr>
          <w:p>
            <w:pPr>
              <w:spacing w:before="29" w:line="288" w:lineRule="auto"/>
              <w:jc w:val="right"/>
              <w:rPr>
                <w:color w:val="000000"/>
                <w:sz w:val="24"/>
              </w:rPr>
            </w:pPr>
            <w:r>
              <w:rPr>
                <w:color w:val="000000"/>
                <w:sz w:val="24"/>
              </w:rPr>
              <w:t>2,515,958.66</w:t>
            </w:r>
          </w:p>
        </w:tc>
        <w:tc>
          <w:tcPr>
            <w:tcW w:w="2250" w:type="dxa"/>
            <w:vAlign w:val="center"/>
          </w:tcPr>
          <w:p>
            <w:pPr>
              <w:spacing w:before="29" w:line="288" w:lineRule="auto"/>
              <w:jc w:val="right"/>
              <w:rPr>
                <w:color w:val="000000"/>
                <w:sz w:val="24"/>
              </w:rPr>
            </w:pPr>
            <w:r>
              <w:rPr>
                <w:color w:val="000000"/>
                <w:sz w:val="24"/>
              </w:rPr>
              <w:t>2,179,862.08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color w:val="000000"/>
                <w:sz w:val="24"/>
              </w:rPr>
              <w:t>3.</w:t>
            </w:r>
            <w:r>
              <w:rPr>
                <w:rFonts w:hint="eastAsia"/>
                <w:color w:val="000000"/>
                <w:sz w:val="24"/>
              </w:rPr>
              <w:t>公允价值变动收益（损失以</w:t>
            </w:r>
            <w:r>
              <w:rPr>
                <w:color w:val="000000"/>
                <w:sz w:val="24"/>
              </w:rPr>
              <w:t>“-”</w:t>
            </w:r>
            <w:r>
              <w:rPr>
                <w:rFonts w:hint="eastAsia"/>
                <w:color w:val="000000"/>
                <w:sz w:val="24"/>
              </w:rPr>
              <w:t>号填列）</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7.4.7.17</w:t>
            </w:r>
          </w:p>
        </w:tc>
        <w:tc>
          <w:tcPr>
            <w:tcW w:w="2250" w:type="dxa"/>
            <w:vAlign w:val="center"/>
          </w:tcPr>
          <w:p>
            <w:pPr>
              <w:spacing w:before="29" w:line="288" w:lineRule="auto"/>
              <w:jc w:val="right"/>
              <w:rPr>
                <w:color w:val="000000"/>
                <w:sz w:val="24"/>
              </w:rPr>
            </w:pPr>
            <w:r>
              <w:rPr>
                <w:color w:val="000000"/>
                <w:sz w:val="24"/>
              </w:rPr>
              <w:t>21,138,967.78</w:t>
            </w:r>
          </w:p>
        </w:tc>
        <w:tc>
          <w:tcPr>
            <w:tcW w:w="2250" w:type="dxa"/>
            <w:vAlign w:val="center"/>
          </w:tcPr>
          <w:p>
            <w:pPr>
              <w:spacing w:before="29" w:line="288" w:lineRule="auto"/>
              <w:jc w:val="right"/>
              <w:rPr>
                <w:color w:val="000000"/>
                <w:sz w:val="24"/>
              </w:rPr>
            </w:pPr>
            <w:r>
              <w:rPr>
                <w:color w:val="000000"/>
                <w:sz w:val="24"/>
              </w:rPr>
              <w:t>30,368,141.18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color w:val="000000"/>
                <w:sz w:val="24"/>
              </w:rPr>
              <w:t>4.</w:t>
            </w:r>
            <w:r>
              <w:rPr>
                <w:rFonts w:hint="eastAsia"/>
                <w:color w:val="000000"/>
                <w:sz w:val="24"/>
              </w:rPr>
              <w:t>汇兑收益（损失以</w:t>
            </w:r>
            <w:r>
              <w:rPr>
                <w:color w:val="000000"/>
                <w:sz w:val="24"/>
              </w:rPr>
              <w:t>“-”</w:t>
            </w:r>
            <w:r>
              <w:rPr>
                <w:rFonts w:hint="eastAsia"/>
                <w:color w:val="000000"/>
                <w:sz w:val="24"/>
              </w:rPr>
              <w:t>号填列）</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color w:val="000000"/>
                <w:sz w:val="24"/>
              </w:rPr>
              <w:t>5.</w:t>
            </w:r>
            <w:r>
              <w:rPr>
                <w:rFonts w:hint="eastAsia"/>
                <w:color w:val="000000"/>
                <w:sz w:val="24"/>
              </w:rPr>
              <w:t>其他收入（损失以</w:t>
            </w:r>
            <w:r>
              <w:rPr>
                <w:color w:val="000000"/>
                <w:sz w:val="24"/>
              </w:rPr>
              <w:t>“-”</w:t>
            </w:r>
            <w:r>
              <w:rPr>
                <w:rFonts w:hint="eastAsia"/>
                <w:color w:val="000000"/>
                <w:sz w:val="24"/>
              </w:rPr>
              <w:t>号填列）</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7.4.7.18</w:t>
            </w:r>
          </w:p>
        </w:tc>
        <w:tc>
          <w:tcPr>
            <w:tcW w:w="2250" w:type="dxa"/>
            <w:vAlign w:val="center"/>
          </w:tcPr>
          <w:p>
            <w:pPr>
              <w:spacing w:before="29" w:line="288" w:lineRule="auto"/>
              <w:jc w:val="right"/>
              <w:rPr>
                <w:color w:val="000000"/>
                <w:sz w:val="24"/>
              </w:rPr>
            </w:pPr>
            <w:r>
              <w:rPr>
                <w:color w:val="000000"/>
                <w:sz w:val="24"/>
              </w:rPr>
              <w:t>758,484.01</w:t>
            </w:r>
          </w:p>
        </w:tc>
        <w:tc>
          <w:tcPr>
            <w:tcW w:w="2250" w:type="dxa"/>
            <w:vAlign w:val="center"/>
          </w:tcPr>
          <w:p>
            <w:pPr>
              <w:spacing w:before="29" w:line="288" w:lineRule="auto"/>
              <w:jc w:val="right"/>
              <w:rPr>
                <w:color w:val="000000"/>
                <w:sz w:val="24"/>
              </w:rPr>
            </w:pPr>
            <w:r>
              <w:rPr>
                <w:color w:val="000000"/>
                <w:sz w:val="24"/>
              </w:rPr>
              <w:t>2,948,236.97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rFonts w:asciiTheme="minorEastAsia" w:hAnsiTheme="minorEastAsia" w:eastAsiaTheme="minorEastAsia"/>
                <w:b/>
                <w:color w:val="000000"/>
                <w:szCs w:val="21"/>
              </w:rPr>
            </w:pPr>
            <w:r>
              <w:rPr>
                <w:rFonts w:hint="eastAsia"/>
                <w:b/>
                <w:color w:val="000000"/>
                <w:sz w:val="24"/>
              </w:rPr>
              <w:t>减：二、费用</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b/>
                <w:color w:val="000000"/>
                <w:sz w:val="24"/>
              </w:rPr>
            </w:pPr>
            <w:r>
              <w:rPr>
                <w:b/>
                <w:color w:val="000000"/>
                <w:sz w:val="24"/>
              </w:rPr>
              <w:t>9,983,968.46</w:t>
            </w:r>
          </w:p>
        </w:tc>
        <w:tc>
          <w:tcPr>
            <w:tcW w:w="2250" w:type="dxa"/>
            <w:vAlign w:val="center"/>
          </w:tcPr>
          <w:p>
            <w:pPr>
              <w:spacing w:before="29" w:line="288" w:lineRule="auto"/>
              <w:jc w:val="right"/>
              <w:rPr>
                <w:b/>
                <w:color w:val="000000"/>
                <w:sz w:val="24"/>
              </w:rPr>
            </w:pPr>
            <w:r>
              <w:rPr>
                <w:b/>
                <w:color w:val="000000"/>
                <w:sz w:val="24"/>
              </w:rPr>
              <w:t>8,301,512.29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color w:val="000000"/>
                <w:sz w:val="24"/>
              </w:rPr>
              <w:t>1</w:t>
            </w:r>
            <w:r>
              <w:rPr>
                <w:rFonts w:hint="eastAsia"/>
                <w:color w:val="000000"/>
                <w:sz w:val="24"/>
              </w:rPr>
              <w:t>．管理人报酬</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4,012,250.92</w:t>
            </w:r>
          </w:p>
        </w:tc>
        <w:tc>
          <w:tcPr>
            <w:tcW w:w="2250" w:type="dxa"/>
            <w:vAlign w:val="center"/>
          </w:tcPr>
          <w:p>
            <w:pPr>
              <w:spacing w:before="29" w:line="288" w:lineRule="auto"/>
              <w:jc w:val="right"/>
              <w:rPr>
                <w:color w:val="000000"/>
                <w:sz w:val="24"/>
              </w:rPr>
            </w:pPr>
            <w:r>
              <w:rPr>
                <w:color w:val="000000"/>
                <w:sz w:val="24"/>
              </w:rPr>
              <w:t>4,480,772.49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color w:val="000000"/>
                <w:sz w:val="24"/>
              </w:rPr>
              <w:t>2</w:t>
            </w:r>
            <w:r>
              <w:rPr>
                <w:rFonts w:hint="eastAsia"/>
                <w:color w:val="000000"/>
                <w:sz w:val="24"/>
              </w:rPr>
              <w:t>．托管费</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668,708.39</w:t>
            </w:r>
          </w:p>
        </w:tc>
        <w:tc>
          <w:tcPr>
            <w:tcW w:w="2250" w:type="dxa"/>
            <w:vAlign w:val="center"/>
          </w:tcPr>
          <w:p>
            <w:pPr>
              <w:spacing w:before="29" w:line="288" w:lineRule="auto"/>
              <w:jc w:val="right"/>
              <w:rPr>
                <w:color w:val="000000"/>
                <w:sz w:val="24"/>
              </w:rPr>
            </w:pPr>
            <w:r>
              <w:rPr>
                <w:color w:val="000000"/>
                <w:sz w:val="24"/>
              </w:rPr>
              <w:t>746,795.41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color w:val="000000"/>
                <w:sz w:val="24"/>
              </w:rPr>
              <w:t>3</w:t>
            </w:r>
            <w:r>
              <w:rPr>
                <w:rFonts w:hint="eastAsia"/>
                <w:color w:val="000000"/>
                <w:sz w:val="24"/>
              </w:rPr>
              <w:t>．销售服务费</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color w:val="000000"/>
                <w:sz w:val="24"/>
              </w:rPr>
              <w:t>4</w:t>
            </w:r>
            <w:r>
              <w:rPr>
                <w:rFonts w:hint="eastAsia"/>
                <w:color w:val="000000"/>
                <w:sz w:val="24"/>
              </w:rPr>
              <w:t>．交易费用</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7.4.7.19</w:t>
            </w:r>
          </w:p>
        </w:tc>
        <w:tc>
          <w:tcPr>
            <w:tcW w:w="2250" w:type="dxa"/>
            <w:vAlign w:val="center"/>
          </w:tcPr>
          <w:p>
            <w:pPr>
              <w:spacing w:before="29" w:line="288" w:lineRule="auto"/>
              <w:jc w:val="right"/>
              <w:rPr>
                <w:color w:val="000000"/>
                <w:sz w:val="24"/>
              </w:rPr>
            </w:pPr>
            <w:r>
              <w:rPr>
                <w:color w:val="000000"/>
                <w:sz w:val="24"/>
              </w:rPr>
              <w:t>5,114,078.00</w:t>
            </w:r>
          </w:p>
        </w:tc>
        <w:tc>
          <w:tcPr>
            <w:tcW w:w="2250" w:type="dxa"/>
            <w:vAlign w:val="center"/>
          </w:tcPr>
          <w:p>
            <w:pPr>
              <w:spacing w:before="29" w:line="288" w:lineRule="auto"/>
              <w:jc w:val="right"/>
              <w:rPr>
                <w:color w:val="000000"/>
                <w:sz w:val="24"/>
              </w:rPr>
            </w:pPr>
            <w:r>
              <w:rPr>
                <w:color w:val="000000"/>
                <w:sz w:val="24"/>
              </w:rPr>
              <w:t>2,874,712.39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color w:val="000000"/>
                <w:sz w:val="24"/>
              </w:rPr>
              <w:t>5</w:t>
            </w:r>
            <w:r>
              <w:rPr>
                <w:rFonts w:hint="eastAsia"/>
                <w:color w:val="000000"/>
                <w:sz w:val="24"/>
              </w:rPr>
              <w:t>．利息支出</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其中：卖出回购金融资产支出</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rPr>
                <w:rFonts w:eastAsiaTheme="minorEastAsia"/>
                <w:color w:val="000000"/>
                <w:sz w:val="24"/>
              </w:rPr>
            </w:pPr>
            <w:r>
              <w:rPr>
                <w:rFonts w:hint="eastAsia" w:eastAsiaTheme="minorEastAsia"/>
                <w:color w:val="000000"/>
                <w:sz w:val="24"/>
              </w:rPr>
              <w:t>6</w:t>
            </w:r>
            <w:r>
              <w:rPr>
                <w:rFonts w:eastAsiaTheme="minorEastAsia"/>
                <w:color w:val="000000"/>
                <w:sz w:val="24"/>
              </w:rPr>
              <w:t>．</w:t>
            </w:r>
            <w:r>
              <w:rPr>
                <w:rFonts w:hint="eastAsia" w:eastAsiaTheme="minorEastAsia"/>
                <w:color w:val="000000"/>
                <w:sz w:val="24"/>
              </w:rPr>
              <w:t>税金及附加</w:t>
            </w:r>
          </w:p>
        </w:tc>
        <w:tc>
          <w:tcPr>
            <w:tcW w:w="1080" w:type="dxa"/>
            <w:vAlign w:val="center"/>
          </w:tcPr>
          <w:p>
            <w:pPr>
              <w:pStyle w:val="22"/>
              <w:jc w:val="center"/>
              <w:rPr>
                <w:rFonts w:ascii="Times New Roman" w:hAnsi="Times New Roman" w:eastAsiaTheme="minorEastAsia"/>
                <w:color w:val="000000"/>
              </w:rPr>
            </w:pPr>
          </w:p>
        </w:tc>
        <w:tc>
          <w:tcPr>
            <w:tcW w:w="2250" w:type="dxa"/>
            <w:vAlign w:val="bottom"/>
          </w:tcPr>
          <w:p>
            <w:pPr>
              <w:jc w:val="right"/>
              <w:rPr>
                <w:rFonts w:eastAsiaTheme="minorEastAsia"/>
                <w:color w:val="000000"/>
                <w:sz w:val="24"/>
              </w:rPr>
            </w:pPr>
            <w:r>
              <w:rPr>
                <w:rFonts w:eastAsiaTheme="minorEastAsia"/>
                <w:color w:val="000000"/>
                <w:sz w:val="24"/>
              </w:rPr>
              <w:t>-</w:t>
            </w:r>
          </w:p>
        </w:tc>
        <w:tc>
          <w:tcPr>
            <w:tcW w:w="2250" w:type="dxa"/>
            <w:vAlign w:val="bottom"/>
          </w:tcPr>
          <w:p>
            <w:pPr>
              <w:jc w:val="right"/>
              <w:rPr>
                <w:rFonts w:eastAsiaTheme="minorEastAsia"/>
                <w:color w:val="000000"/>
                <w:sz w:val="24"/>
              </w:rPr>
            </w:pPr>
            <w:r>
              <w:rPr>
                <w:rFonts w:eastAsiaTheme="minorEastAsia"/>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7．其他费用</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7.4.7.20</w:t>
            </w:r>
          </w:p>
        </w:tc>
        <w:tc>
          <w:tcPr>
            <w:tcW w:w="2250" w:type="dxa"/>
            <w:vAlign w:val="center"/>
          </w:tcPr>
          <w:p>
            <w:pPr>
              <w:spacing w:before="29" w:line="288" w:lineRule="auto"/>
              <w:jc w:val="right"/>
              <w:rPr>
                <w:color w:val="000000"/>
                <w:sz w:val="24"/>
              </w:rPr>
            </w:pPr>
            <w:r>
              <w:rPr>
                <w:color w:val="000000"/>
                <w:sz w:val="24"/>
              </w:rPr>
              <w:t>188,931.15</w:t>
            </w:r>
          </w:p>
        </w:tc>
        <w:tc>
          <w:tcPr>
            <w:tcW w:w="2250" w:type="dxa"/>
            <w:vAlign w:val="center"/>
          </w:tcPr>
          <w:p>
            <w:pPr>
              <w:spacing w:before="29" w:line="288" w:lineRule="auto"/>
              <w:jc w:val="right"/>
              <w:rPr>
                <w:color w:val="000000"/>
                <w:sz w:val="24"/>
              </w:rPr>
            </w:pPr>
            <w:r>
              <w:rPr>
                <w:color w:val="000000"/>
                <w:sz w:val="24"/>
              </w:rPr>
              <w:t>199,232.00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rFonts w:asciiTheme="minorEastAsia" w:hAnsiTheme="minorEastAsia" w:eastAsiaTheme="minorEastAsia"/>
                <w:b/>
                <w:color w:val="000000"/>
                <w:szCs w:val="21"/>
              </w:rPr>
            </w:pPr>
            <w:r>
              <w:rPr>
                <w:rFonts w:hint="eastAsia"/>
                <w:b/>
                <w:color w:val="000000"/>
                <w:sz w:val="24"/>
              </w:rPr>
              <w:t>三、利润总额（亏损总额以</w:t>
            </w:r>
            <w:r>
              <w:rPr>
                <w:b/>
                <w:color w:val="000000"/>
                <w:sz w:val="24"/>
              </w:rPr>
              <w:t>“-”</w:t>
            </w:r>
            <w:r>
              <w:rPr>
                <w:rFonts w:hint="eastAsia"/>
                <w:b/>
                <w:color w:val="000000"/>
                <w:sz w:val="24"/>
              </w:rPr>
              <w:t>号填列）</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b/>
                <w:color w:val="000000"/>
                <w:sz w:val="24"/>
              </w:rPr>
            </w:pPr>
            <w:r>
              <w:rPr>
                <w:b/>
                <w:color w:val="000000"/>
                <w:sz w:val="24"/>
              </w:rPr>
              <w:t>126,686,732.22</w:t>
            </w:r>
          </w:p>
        </w:tc>
        <w:tc>
          <w:tcPr>
            <w:tcW w:w="2250" w:type="dxa"/>
            <w:vAlign w:val="center"/>
          </w:tcPr>
          <w:p>
            <w:pPr>
              <w:spacing w:before="29" w:line="288" w:lineRule="auto"/>
              <w:jc w:val="right"/>
              <w:rPr>
                <w:b/>
                <w:color w:val="000000"/>
                <w:sz w:val="24"/>
              </w:rPr>
            </w:pPr>
            <w:r>
              <w:rPr>
                <w:b/>
                <w:color w:val="000000"/>
                <w:sz w:val="24"/>
              </w:rPr>
              <w:t>93,369,438.18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line="360" w:lineRule="auto"/>
              <w:rPr>
                <w:rFonts w:asciiTheme="minorEastAsia" w:hAnsiTheme="minorEastAsia" w:eastAsiaTheme="minorEastAsia"/>
                <w:b/>
                <w:color w:val="000000"/>
                <w:szCs w:val="21"/>
              </w:rPr>
            </w:pPr>
            <w:r>
              <w:rPr>
                <w:rFonts w:hint="eastAsia"/>
                <w:color w:val="000000"/>
                <w:sz w:val="24"/>
              </w:rPr>
              <w:t>减：所得税费用</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rFonts w:asciiTheme="minorEastAsia" w:hAnsiTheme="minorEastAsia" w:eastAsiaTheme="minorEastAsia"/>
                <w:b/>
                <w:color w:val="000000"/>
                <w:szCs w:val="21"/>
              </w:rPr>
            </w:pPr>
            <w:r>
              <w:rPr>
                <w:rFonts w:hint="eastAsia"/>
                <w:b/>
                <w:color w:val="000000"/>
                <w:sz w:val="24"/>
              </w:rPr>
              <w:t>四、净利润（净亏损以</w:t>
            </w:r>
            <w:r>
              <w:rPr>
                <w:b/>
                <w:color w:val="000000"/>
                <w:sz w:val="24"/>
              </w:rPr>
              <w:t>“-”</w:t>
            </w:r>
            <w:r>
              <w:rPr>
                <w:rFonts w:hint="eastAsia"/>
                <w:b/>
                <w:color w:val="000000"/>
                <w:sz w:val="24"/>
              </w:rPr>
              <w:t>号填列）</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b/>
                <w:color w:val="000000"/>
                <w:sz w:val="24"/>
              </w:rPr>
            </w:pPr>
            <w:r>
              <w:rPr>
                <w:b/>
                <w:color w:val="000000"/>
                <w:sz w:val="24"/>
              </w:rPr>
              <w:t>126,686,732.22</w:t>
            </w:r>
          </w:p>
        </w:tc>
        <w:tc>
          <w:tcPr>
            <w:tcW w:w="2250" w:type="dxa"/>
            <w:vAlign w:val="center"/>
          </w:tcPr>
          <w:p>
            <w:pPr>
              <w:spacing w:before="29" w:line="288" w:lineRule="auto"/>
              <w:jc w:val="right"/>
              <w:rPr>
                <w:b/>
                <w:color w:val="000000"/>
                <w:sz w:val="24"/>
              </w:rPr>
            </w:pPr>
            <w:r>
              <w:rPr>
                <w:b/>
                <w:color w:val="000000"/>
                <w:sz w:val="24"/>
              </w:rPr>
              <w:t>93,369,438.18</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18" w:name="_Toc225498270"/>
      <w:bookmarkStart w:id="119" w:name="_Toc361324875"/>
      <w:bookmarkStart w:id="120" w:name="_Toc67589775"/>
      <w:r>
        <w:rPr>
          <w:rFonts w:ascii="Times New Roman" w:hAnsi="Times New Roman"/>
          <w:kern w:val="0"/>
          <w:szCs w:val="24"/>
        </w:rPr>
        <w:t xml:space="preserve">7.3 </w:t>
      </w:r>
      <w:r>
        <w:rPr>
          <w:rFonts w:hint="eastAsia" w:ascii="Times New Roman" w:hAnsi="Times New Roman"/>
          <w:kern w:val="0"/>
          <w:szCs w:val="24"/>
        </w:rPr>
        <w:t>所有者权益（基金净值）变动表</w:t>
      </w:r>
      <w:bookmarkEnd w:id="118"/>
      <w:bookmarkEnd w:id="119"/>
      <w:bookmarkEnd w:id="120"/>
    </w:p>
    <w:p>
      <w:pPr>
        <w:spacing w:before="29" w:line="288" w:lineRule="auto"/>
        <w:rPr>
          <w:color w:val="000000"/>
          <w:sz w:val="24"/>
        </w:rPr>
      </w:pPr>
      <w:r>
        <w:rPr>
          <w:rFonts w:hint="eastAsia"/>
          <w:color w:val="000000"/>
          <w:sz w:val="24"/>
        </w:rPr>
        <w:t>会计主体：</w:t>
      </w:r>
      <w:r>
        <w:rPr>
          <w:color w:val="000000"/>
          <w:sz w:val="24"/>
        </w:rPr>
        <w:t>交银施罗德科技创新灵活配置混合型证券投资基金</w:t>
      </w:r>
    </w:p>
    <w:p>
      <w:pPr>
        <w:spacing w:before="29" w:line="288" w:lineRule="auto"/>
        <w:rPr>
          <w:color w:val="000000"/>
          <w:sz w:val="24"/>
        </w:rPr>
      </w:pPr>
      <w:r>
        <w:rPr>
          <w:rFonts w:hint="eastAsia"/>
          <w:color w:val="000000"/>
          <w:sz w:val="24"/>
        </w:rPr>
        <w:t>本报告期：</w:t>
      </w:r>
      <w:r>
        <w:rPr>
          <w:color w:val="000000"/>
          <w:sz w:val="24"/>
        </w:rPr>
        <w:t>2020年1月1日</w:t>
      </w:r>
      <w:r>
        <w:rPr>
          <w:rFonts w:hint="eastAsia"/>
          <w:color w:val="000000"/>
          <w:sz w:val="24"/>
        </w:rPr>
        <w:t>至</w:t>
      </w:r>
      <w:r>
        <w:rPr>
          <w:color w:val="000000"/>
          <w:sz w:val="24"/>
        </w:rPr>
        <w:t>2020年12月31日</w:t>
      </w:r>
    </w:p>
    <w:p>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Style w:val="25"/>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2196"/>
        <w:gridCol w:w="2197"/>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Merge w:val="restart"/>
            <w:vAlign w:val="center"/>
          </w:tcPr>
          <w:p>
            <w:pPr>
              <w:spacing w:before="29" w:line="288" w:lineRule="auto"/>
              <w:jc w:val="center"/>
              <w:rPr>
                <w:b/>
                <w:color w:val="000000"/>
                <w:sz w:val="24"/>
              </w:rPr>
            </w:pPr>
            <w:r>
              <w:rPr>
                <w:rFonts w:hint="eastAsia"/>
                <w:b/>
                <w:color w:val="000000"/>
                <w:sz w:val="24"/>
              </w:rPr>
              <w:t>项目</w:t>
            </w:r>
          </w:p>
        </w:tc>
        <w:tc>
          <w:tcPr>
            <w:tcW w:w="6590" w:type="dxa"/>
            <w:gridSpan w:val="3"/>
            <w:vAlign w:val="center"/>
          </w:tcPr>
          <w:p>
            <w:pPr>
              <w:spacing w:before="29" w:line="288" w:lineRule="auto"/>
              <w:jc w:val="center"/>
              <w:rPr>
                <w:b/>
                <w:color w:val="000000"/>
                <w:sz w:val="24"/>
              </w:rPr>
            </w:pPr>
            <w:r>
              <w:rPr>
                <w:rFonts w:hint="eastAsia"/>
                <w:b/>
                <w:color w:val="000000"/>
                <w:sz w:val="24"/>
              </w:rPr>
              <w:t>本期</w:t>
            </w:r>
          </w:p>
          <w:p>
            <w:pPr>
              <w:pStyle w:val="22"/>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2020年1月1日</w:t>
            </w:r>
            <w:r>
              <w:rPr>
                <w:rFonts w:hint="eastAsia" w:ascii="Times New Roman" w:hAnsi="Times New Roman"/>
                <w:b/>
                <w:color w:val="000000"/>
                <w:kern w:val="2"/>
              </w:rPr>
              <w:t>至</w:t>
            </w:r>
            <w:r>
              <w:rPr>
                <w:rFonts w:ascii="Times New Roman" w:hAnsi="Times New Roman"/>
                <w:b/>
                <w:color w:val="000000"/>
                <w:kern w:val="2"/>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Merge w:val="continue"/>
            <w:vAlign w:val="center"/>
          </w:tcPr>
          <w:p>
            <w:pPr>
              <w:spacing w:before="29" w:line="288" w:lineRule="auto"/>
              <w:jc w:val="center"/>
              <w:rPr>
                <w:b/>
                <w:color w:val="000000"/>
                <w:sz w:val="24"/>
              </w:rPr>
            </w:pPr>
          </w:p>
        </w:tc>
        <w:tc>
          <w:tcPr>
            <w:tcW w:w="2196" w:type="dxa"/>
            <w:vAlign w:val="center"/>
          </w:tcPr>
          <w:p>
            <w:pPr>
              <w:spacing w:before="29" w:line="288" w:lineRule="auto"/>
              <w:jc w:val="center"/>
              <w:rPr>
                <w:b/>
                <w:color w:val="000000"/>
                <w:sz w:val="24"/>
              </w:rPr>
            </w:pPr>
            <w:r>
              <w:rPr>
                <w:rFonts w:hint="eastAsia"/>
                <w:b/>
                <w:color w:val="000000"/>
                <w:sz w:val="24"/>
              </w:rPr>
              <w:t>实收基金</w:t>
            </w:r>
          </w:p>
        </w:tc>
        <w:tc>
          <w:tcPr>
            <w:tcW w:w="2197" w:type="dxa"/>
            <w:vAlign w:val="center"/>
          </w:tcPr>
          <w:p>
            <w:pPr>
              <w:spacing w:before="29" w:line="288" w:lineRule="auto"/>
              <w:jc w:val="center"/>
              <w:rPr>
                <w:b/>
                <w:color w:val="000000"/>
                <w:sz w:val="24"/>
              </w:rPr>
            </w:pPr>
            <w:r>
              <w:rPr>
                <w:rFonts w:hint="eastAsia"/>
                <w:b/>
                <w:color w:val="000000"/>
                <w:sz w:val="24"/>
              </w:rPr>
              <w:t>未分配利润</w:t>
            </w:r>
          </w:p>
        </w:tc>
        <w:tc>
          <w:tcPr>
            <w:tcW w:w="2197" w:type="dxa"/>
            <w:vAlign w:val="center"/>
          </w:tcPr>
          <w:p>
            <w:pPr>
              <w:spacing w:before="29" w:line="288" w:lineRule="auto"/>
              <w:jc w:val="center"/>
              <w:rPr>
                <w:b/>
                <w:color w:val="000000"/>
                <w:sz w:val="24"/>
              </w:rPr>
            </w:pPr>
            <w:r>
              <w:rPr>
                <w:rFonts w:hint="eastAsia"/>
                <w:b/>
                <w:color w:val="000000"/>
                <w:sz w:val="24"/>
              </w:rPr>
              <w:t>所有者权益合计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pPr>
              <w:spacing w:before="29" w:line="288" w:lineRule="auto"/>
              <w:rPr>
                <w:color w:val="000000"/>
                <w:sz w:val="24"/>
              </w:rPr>
            </w:pPr>
            <w:r>
              <w:rPr>
                <w:rFonts w:hint="eastAsia"/>
                <w:color w:val="000000"/>
                <w:sz w:val="24"/>
              </w:rPr>
              <w:t>一、期初所有者权益（基金净值）</w:t>
            </w:r>
          </w:p>
        </w:tc>
        <w:tc>
          <w:tcPr>
            <w:tcW w:w="2196" w:type="dxa"/>
            <w:vAlign w:val="center"/>
          </w:tcPr>
          <w:p>
            <w:pPr>
              <w:spacing w:before="29" w:line="288" w:lineRule="auto"/>
              <w:jc w:val="right"/>
              <w:rPr>
                <w:color w:val="000000"/>
                <w:sz w:val="24"/>
              </w:rPr>
            </w:pPr>
            <w:r>
              <w:rPr>
                <w:color w:val="000000"/>
                <w:sz w:val="24"/>
              </w:rPr>
              <w:t>181,564,565.22</w:t>
            </w:r>
          </w:p>
        </w:tc>
        <w:tc>
          <w:tcPr>
            <w:tcW w:w="2197" w:type="dxa"/>
            <w:vAlign w:val="center"/>
          </w:tcPr>
          <w:p>
            <w:pPr>
              <w:spacing w:before="29" w:line="288" w:lineRule="auto"/>
              <w:jc w:val="right"/>
              <w:rPr>
                <w:color w:val="000000"/>
                <w:sz w:val="24"/>
              </w:rPr>
            </w:pPr>
            <w:r>
              <w:rPr>
                <w:color w:val="000000"/>
                <w:sz w:val="24"/>
              </w:rPr>
              <w:t>60,636,329.19</w:t>
            </w:r>
          </w:p>
        </w:tc>
        <w:tc>
          <w:tcPr>
            <w:tcW w:w="2197" w:type="dxa"/>
            <w:vAlign w:val="center"/>
          </w:tcPr>
          <w:p>
            <w:pPr>
              <w:spacing w:before="29" w:line="288" w:lineRule="auto"/>
              <w:jc w:val="right"/>
              <w:rPr>
                <w:color w:val="000000"/>
                <w:sz w:val="24"/>
              </w:rPr>
            </w:pPr>
            <w:r>
              <w:rPr>
                <w:color w:val="000000"/>
                <w:sz w:val="24"/>
              </w:rPr>
              <w:t>242,200,894.41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126,686,732.22</w:t>
            </w:r>
          </w:p>
        </w:tc>
        <w:tc>
          <w:tcPr>
            <w:tcW w:w="2197" w:type="dxa"/>
            <w:vAlign w:val="center"/>
          </w:tcPr>
          <w:p>
            <w:pPr>
              <w:spacing w:before="29" w:line="288" w:lineRule="auto"/>
              <w:jc w:val="right"/>
              <w:rPr>
                <w:color w:val="000000"/>
                <w:sz w:val="24"/>
              </w:rPr>
            </w:pPr>
            <w:r>
              <w:rPr>
                <w:color w:val="000000"/>
                <w:sz w:val="24"/>
              </w:rPr>
              <w:t>126,686,732.22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pPr>
              <w:spacing w:before="29" w:line="288" w:lineRule="auto"/>
              <w:jc w:val="right"/>
              <w:rPr>
                <w:color w:val="000000"/>
                <w:sz w:val="24"/>
              </w:rPr>
            </w:pPr>
            <w:r>
              <w:rPr>
                <w:color w:val="000000"/>
                <w:sz w:val="24"/>
              </w:rPr>
              <w:t>-30,260,250.92</w:t>
            </w:r>
          </w:p>
        </w:tc>
        <w:tc>
          <w:tcPr>
            <w:tcW w:w="2197" w:type="dxa"/>
            <w:vAlign w:val="center"/>
          </w:tcPr>
          <w:p>
            <w:pPr>
              <w:spacing w:before="29" w:line="288" w:lineRule="auto"/>
              <w:jc w:val="right"/>
              <w:rPr>
                <w:color w:val="000000"/>
                <w:sz w:val="24"/>
              </w:rPr>
            </w:pPr>
            <w:r>
              <w:rPr>
                <w:color w:val="000000"/>
                <w:sz w:val="24"/>
              </w:rPr>
              <w:t>-11,420,212.99</w:t>
            </w:r>
          </w:p>
        </w:tc>
        <w:tc>
          <w:tcPr>
            <w:tcW w:w="2197" w:type="dxa"/>
            <w:vAlign w:val="center"/>
          </w:tcPr>
          <w:p>
            <w:pPr>
              <w:spacing w:before="29" w:line="288" w:lineRule="auto"/>
              <w:jc w:val="right"/>
              <w:rPr>
                <w:color w:val="000000"/>
                <w:sz w:val="24"/>
              </w:rPr>
            </w:pPr>
            <w:r>
              <w:rPr>
                <w:color w:val="000000"/>
                <w:sz w:val="24"/>
              </w:rPr>
              <w:t>-41,680,463.91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pPr>
              <w:spacing w:before="29" w:line="288" w:lineRule="auto"/>
              <w:jc w:val="right"/>
              <w:rPr>
                <w:color w:val="000000"/>
                <w:sz w:val="24"/>
              </w:rPr>
            </w:pPr>
            <w:r>
              <w:rPr>
                <w:color w:val="000000"/>
                <w:sz w:val="24"/>
              </w:rPr>
              <w:t>144,509,822.99</w:t>
            </w:r>
          </w:p>
        </w:tc>
        <w:tc>
          <w:tcPr>
            <w:tcW w:w="2197" w:type="dxa"/>
            <w:vAlign w:val="center"/>
          </w:tcPr>
          <w:p>
            <w:pPr>
              <w:spacing w:before="29" w:line="288" w:lineRule="auto"/>
              <w:jc w:val="right"/>
              <w:rPr>
                <w:color w:val="000000"/>
                <w:sz w:val="24"/>
              </w:rPr>
            </w:pPr>
            <w:r>
              <w:rPr>
                <w:color w:val="000000"/>
                <w:sz w:val="24"/>
              </w:rPr>
              <w:t>95,378,305.48</w:t>
            </w:r>
          </w:p>
        </w:tc>
        <w:tc>
          <w:tcPr>
            <w:tcW w:w="2197" w:type="dxa"/>
            <w:vAlign w:val="center"/>
          </w:tcPr>
          <w:p>
            <w:pPr>
              <w:spacing w:before="29" w:line="288" w:lineRule="auto"/>
              <w:jc w:val="right"/>
              <w:rPr>
                <w:color w:val="000000"/>
                <w:sz w:val="24"/>
              </w:rPr>
            </w:pPr>
            <w:r>
              <w:rPr>
                <w:color w:val="000000"/>
                <w:sz w:val="24"/>
              </w:rPr>
              <w:t>239,888,128.47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pPr>
              <w:spacing w:before="29" w:line="288" w:lineRule="auto"/>
              <w:jc w:val="right"/>
              <w:rPr>
                <w:color w:val="000000"/>
                <w:sz w:val="24"/>
              </w:rPr>
            </w:pPr>
            <w:r>
              <w:rPr>
                <w:color w:val="000000"/>
                <w:sz w:val="24"/>
              </w:rPr>
              <w:t>-174,770,073.91</w:t>
            </w:r>
          </w:p>
        </w:tc>
        <w:tc>
          <w:tcPr>
            <w:tcW w:w="2197" w:type="dxa"/>
            <w:vAlign w:val="center"/>
          </w:tcPr>
          <w:p>
            <w:pPr>
              <w:spacing w:before="29" w:line="288" w:lineRule="auto"/>
              <w:jc w:val="right"/>
              <w:rPr>
                <w:color w:val="000000"/>
                <w:sz w:val="24"/>
              </w:rPr>
            </w:pPr>
            <w:r>
              <w:rPr>
                <w:color w:val="000000"/>
                <w:sz w:val="24"/>
              </w:rPr>
              <w:t>-106,798,518.47</w:t>
            </w:r>
          </w:p>
        </w:tc>
        <w:tc>
          <w:tcPr>
            <w:tcW w:w="2197" w:type="dxa"/>
            <w:vAlign w:val="center"/>
          </w:tcPr>
          <w:p>
            <w:pPr>
              <w:spacing w:before="29" w:line="288" w:lineRule="auto"/>
              <w:jc w:val="right"/>
              <w:rPr>
                <w:color w:val="000000"/>
                <w:sz w:val="24"/>
              </w:rPr>
            </w:pPr>
            <w:r>
              <w:rPr>
                <w:color w:val="000000"/>
                <w:sz w:val="24"/>
              </w:rPr>
              <w:t>-281,568,592.38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pPr>
              <w:spacing w:before="29" w:line="288" w:lineRule="auto"/>
              <w:rPr>
                <w:color w:val="000000"/>
                <w:sz w:val="24"/>
              </w:rPr>
            </w:pPr>
            <w:r>
              <w:rPr>
                <w:rFonts w:hint="eastAsia"/>
                <w:color w:val="000000"/>
                <w:sz w:val="24"/>
              </w:rPr>
              <w:t>五、期末所有者权益（基金净值）</w:t>
            </w:r>
          </w:p>
        </w:tc>
        <w:tc>
          <w:tcPr>
            <w:tcW w:w="2196" w:type="dxa"/>
            <w:vAlign w:val="center"/>
          </w:tcPr>
          <w:p>
            <w:pPr>
              <w:spacing w:before="29" w:line="288" w:lineRule="auto"/>
              <w:jc w:val="right"/>
              <w:rPr>
                <w:color w:val="000000"/>
                <w:sz w:val="24"/>
              </w:rPr>
            </w:pPr>
            <w:r>
              <w:rPr>
                <w:color w:val="000000"/>
                <w:sz w:val="24"/>
              </w:rPr>
              <w:t>151,304,314.30</w:t>
            </w:r>
          </w:p>
        </w:tc>
        <w:tc>
          <w:tcPr>
            <w:tcW w:w="2197" w:type="dxa"/>
            <w:vAlign w:val="center"/>
          </w:tcPr>
          <w:p>
            <w:pPr>
              <w:spacing w:before="29" w:line="288" w:lineRule="auto"/>
              <w:jc w:val="right"/>
              <w:rPr>
                <w:color w:val="000000"/>
                <w:sz w:val="24"/>
              </w:rPr>
            </w:pPr>
            <w:r>
              <w:rPr>
                <w:color w:val="000000"/>
                <w:sz w:val="24"/>
              </w:rPr>
              <w:t>175,902,848.42</w:t>
            </w:r>
          </w:p>
        </w:tc>
        <w:tc>
          <w:tcPr>
            <w:tcW w:w="2197" w:type="dxa"/>
            <w:vAlign w:val="center"/>
          </w:tcPr>
          <w:p>
            <w:pPr>
              <w:spacing w:before="29" w:line="288" w:lineRule="auto"/>
              <w:jc w:val="right"/>
              <w:rPr>
                <w:color w:val="000000"/>
                <w:sz w:val="24"/>
              </w:rPr>
            </w:pPr>
            <w:r>
              <w:rPr>
                <w:color w:val="000000"/>
                <w:sz w:val="24"/>
              </w:rPr>
              <w:t>327,207,162.72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Merge w:val="restart"/>
            <w:vAlign w:val="center"/>
          </w:tcPr>
          <w:p>
            <w:pPr>
              <w:spacing w:before="29" w:line="288" w:lineRule="auto"/>
              <w:jc w:val="center"/>
              <w:rPr>
                <w:b/>
                <w:color w:val="000000"/>
                <w:sz w:val="24"/>
              </w:rPr>
            </w:pPr>
            <w:r>
              <w:rPr>
                <w:rFonts w:hint="eastAsia"/>
                <w:b/>
                <w:color w:val="000000"/>
                <w:sz w:val="24"/>
              </w:rPr>
              <w:t>项目</w:t>
            </w:r>
          </w:p>
        </w:tc>
        <w:tc>
          <w:tcPr>
            <w:tcW w:w="6590" w:type="dxa"/>
            <w:gridSpan w:val="3"/>
            <w:vAlign w:val="center"/>
          </w:tcPr>
          <w:p>
            <w:pPr>
              <w:spacing w:before="29" w:line="288" w:lineRule="auto"/>
              <w:jc w:val="center"/>
              <w:rPr>
                <w:b/>
                <w:color w:val="000000"/>
                <w:sz w:val="24"/>
              </w:rPr>
            </w:pPr>
            <w:r>
              <w:rPr>
                <w:rFonts w:hint="eastAsia"/>
                <w:b/>
                <w:color w:val="000000"/>
                <w:sz w:val="24"/>
              </w:rPr>
              <w:t>上年度可比期间</w:t>
            </w:r>
          </w:p>
          <w:p>
            <w:pPr>
              <w:pStyle w:val="22"/>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Merge w:val="continue"/>
            <w:vAlign w:val="center"/>
          </w:tcPr>
          <w:p>
            <w:pPr>
              <w:spacing w:before="29" w:line="288" w:lineRule="auto"/>
              <w:jc w:val="center"/>
              <w:rPr>
                <w:b/>
                <w:color w:val="000000"/>
                <w:sz w:val="24"/>
              </w:rPr>
            </w:pPr>
          </w:p>
        </w:tc>
        <w:tc>
          <w:tcPr>
            <w:tcW w:w="2196" w:type="dxa"/>
            <w:vAlign w:val="center"/>
          </w:tcPr>
          <w:p>
            <w:pPr>
              <w:spacing w:before="29" w:line="288" w:lineRule="auto"/>
              <w:jc w:val="center"/>
              <w:rPr>
                <w:b/>
                <w:color w:val="000000"/>
                <w:sz w:val="24"/>
              </w:rPr>
            </w:pPr>
            <w:r>
              <w:rPr>
                <w:rFonts w:hint="eastAsia"/>
                <w:b/>
                <w:color w:val="000000"/>
                <w:sz w:val="24"/>
              </w:rPr>
              <w:t>实收基金</w:t>
            </w:r>
          </w:p>
        </w:tc>
        <w:tc>
          <w:tcPr>
            <w:tcW w:w="2197" w:type="dxa"/>
          </w:tcPr>
          <w:p>
            <w:pPr>
              <w:spacing w:before="29" w:line="288" w:lineRule="auto"/>
              <w:jc w:val="center"/>
              <w:rPr>
                <w:b/>
                <w:color w:val="000000"/>
                <w:sz w:val="24"/>
              </w:rPr>
            </w:pPr>
            <w:r>
              <w:rPr>
                <w:rFonts w:hint="eastAsia"/>
                <w:b/>
                <w:color w:val="000000"/>
                <w:sz w:val="24"/>
              </w:rPr>
              <w:t>未分配利润</w:t>
            </w:r>
          </w:p>
        </w:tc>
        <w:tc>
          <w:tcPr>
            <w:tcW w:w="2197" w:type="dxa"/>
            <w:vAlign w:val="center"/>
          </w:tcPr>
          <w:p>
            <w:pPr>
              <w:spacing w:before="29" w:line="288" w:lineRule="auto"/>
              <w:jc w:val="center"/>
              <w:rPr>
                <w:b/>
                <w:color w:val="000000"/>
                <w:sz w:val="24"/>
              </w:rPr>
            </w:pPr>
            <w:r>
              <w:rPr>
                <w:rFonts w:hint="eastAsia"/>
                <w:b/>
                <w:color w:val="000000"/>
                <w:sz w:val="24"/>
              </w:rPr>
              <w:t>所有者权益合计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pPr>
              <w:spacing w:before="29" w:line="288" w:lineRule="auto"/>
              <w:rPr>
                <w:color w:val="000000"/>
                <w:sz w:val="24"/>
              </w:rPr>
            </w:pPr>
            <w:r>
              <w:rPr>
                <w:rFonts w:hint="eastAsia"/>
                <w:color w:val="000000"/>
                <w:sz w:val="24"/>
              </w:rPr>
              <w:t>一、期初所有者权益（基金净值）</w:t>
            </w:r>
          </w:p>
        </w:tc>
        <w:tc>
          <w:tcPr>
            <w:tcW w:w="2196" w:type="dxa"/>
            <w:vAlign w:val="center"/>
          </w:tcPr>
          <w:p>
            <w:pPr>
              <w:spacing w:before="29" w:line="288" w:lineRule="auto"/>
              <w:jc w:val="right"/>
              <w:rPr>
                <w:color w:val="000000"/>
                <w:sz w:val="24"/>
              </w:rPr>
            </w:pPr>
            <w:r>
              <w:rPr>
                <w:color w:val="000000"/>
                <w:sz w:val="24"/>
              </w:rPr>
              <w:t>213,633,599.70</w:t>
            </w:r>
          </w:p>
        </w:tc>
        <w:tc>
          <w:tcPr>
            <w:tcW w:w="2197" w:type="dxa"/>
            <w:vAlign w:val="center"/>
          </w:tcPr>
          <w:p>
            <w:pPr>
              <w:spacing w:before="29" w:line="288" w:lineRule="auto"/>
              <w:jc w:val="right"/>
              <w:rPr>
                <w:color w:val="000000"/>
                <w:sz w:val="24"/>
              </w:rPr>
            </w:pPr>
            <w:r>
              <w:rPr>
                <w:color w:val="000000"/>
                <w:sz w:val="24"/>
              </w:rPr>
              <w:t>-24,869,051.77</w:t>
            </w:r>
          </w:p>
        </w:tc>
        <w:tc>
          <w:tcPr>
            <w:tcW w:w="2197" w:type="dxa"/>
            <w:vAlign w:val="center"/>
          </w:tcPr>
          <w:p>
            <w:pPr>
              <w:spacing w:before="29" w:line="288" w:lineRule="auto"/>
              <w:jc w:val="right"/>
              <w:rPr>
                <w:color w:val="000000"/>
                <w:sz w:val="24"/>
              </w:rPr>
            </w:pPr>
            <w:r>
              <w:rPr>
                <w:color w:val="000000"/>
                <w:sz w:val="24"/>
              </w:rPr>
              <w:t>188,764,547.93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93,369,438.18</w:t>
            </w:r>
          </w:p>
        </w:tc>
        <w:tc>
          <w:tcPr>
            <w:tcW w:w="2197" w:type="dxa"/>
            <w:vAlign w:val="center"/>
          </w:tcPr>
          <w:p>
            <w:pPr>
              <w:spacing w:before="29" w:line="288" w:lineRule="auto"/>
              <w:jc w:val="right"/>
              <w:rPr>
                <w:color w:val="000000"/>
                <w:sz w:val="24"/>
              </w:rPr>
            </w:pPr>
            <w:r>
              <w:rPr>
                <w:color w:val="000000"/>
                <w:sz w:val="24"/>
              </w:rPr>
              <w:t>93,369,438.18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pPr>
              <w:spacing w:before="29" w:line="288" w:lineRule="auto"/>
              <w:jc w:val="right"/>
              <w:rPr>
                <w:color w:val="000000"/>
                <w:sz w:val="24"/>
              </w:rPr>
            </w:pPr>
            <w:r>
              <w:rPr>
                <w:color w:val="000000"/>
                <w:sz w:val="24"/>
              </w:rPr>
              <w:t>-32,069,034.48</w:t>
            </w:r>
          </w:p>
        </w:tc>
        <w:tc>
          <w:tcPr>
            <w:tcW w:w="2197" w:type="dxa"/>
            <w:vAlign w:val="center"/>
          </w:tcPr>
          <w:p>
            <w:pPr>
              <w:spacing w:before="29" w:line="288" w:lineRule="auto"/>
              <w:jc w:val="right"/>
              <w:rPr>
                <w:color w:val="000000"/>
                <w:sz w:val="24"/>
              </w:rPr>
            </w:pPr>
            <w:r>
              <w:rPr>
                <w:color w:val="000000"/>
                <w:sz w:val="24"/>
              </w:rPr>
              <w:t>-7,864,057.22</w:t>
            </w:r>
          </w:p>
        </w:tc>
        <w:tc>
          <w:tcPr>
            <w:tcW w:w="2197" w:type="dxa"/>
            <w:vAlign w:val="center"/>
          </w:tcPr>
          <w:p>
            <w:pPr>
              <w:spacing w:before="29" w:line="288" w:lineRule="auto"/>
              <w:jc w:val="right"/>
              <w:rPr>
                <w:color w:val="000000"/>
                <w:sz w:val="24"/>
              </w:rPr>
            </w:pPr>
            <w:r>
              <w:rPr>
                <w:color w:val="000000"/>
                <w:sz w:val="24"/>
              </w:rPr>
              <w:t>-39,933,091.70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pPr>
              <w:spacing w:before="29" w:line="288" w:lineRule="auto"/>
              <w:jc w:val="right"/>
              <w:rPr>
                <w:color w:val="000000"/>
                <w:sz w:val="24"/>
              </w:rPr>
            </w:pPr>
            <w:r>
              <w:rPr>
                <w:color w:val="000000"/>
                <w:sz w:val="24"/>
              </w:rPr>
              <w:t>571,258,198.39</w:t>
            </w:r>
          </w:p>
        </w:tc>
        <w:tc>
          <w:tcPr>
            <w:tcW w:w="2197" w:type="dxa"/>
            <w:vAlign w:val="center"/>
          </w:tcPr>
          <w:p>
            <w:pPr>
              <w:spacing w:line="360" w:lineRule="auto"/>
              <w:jc w:val="right"/>
              <w:rPr>
                <w:color w:val="000000"/>
                <w:sz w:val="24"/>
              </w:rPr>
            </w:pPr>
            <w:r>
              <w:rPr>
                <w:color w:val="000000"/>
                <w:sz w:val="24"/>
              </w:rPr>
              <w:t>112,036,034.81</w:t>
            </w:r>
          </w:p>
        </w:tc>
        <w:tc>
          <w:tcPr>
            <w:tcW w:w="2197" w:type="dxa"/>
            <w:vAlign w:val="center"/>
          </w:tcPr>
          <w:p>
            <w:pPr>
              <w:spacing w:line="360" w:lineRule="auto"/>
              <w:jc w:val="right"/>
              <w:rPr>
                <w:color w:val="000000"/>
                <w:sz w:val="24"/>
              </w:rPr>
            </w:pPr>
            <w:r>
              <w:rPr>
                <w:color w:val="000000"/>
                <w:sz w:val="24"/>
              </w:rPr>
              <w:t>683,294,233.20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pPr>
              <w:spacing w:before="29" w:line="288" w:lineRule="auto"/>
              <w:jc w:val="right"/>
              <w:rPr>
                <w:color w:val="000000"/>
                <w:sz w:val="24"/>
              </w:rPr>
            </w:pPr>
            <w:r>
              <w:rPr>
                <w:color w:val="000000"/>
                <w:sz w:val="24"/>
              </w:rPr>
              <w:t>-603,327,232.87</w:t>
            </w:r>
          </w:p>
        </w:tc>
        <w:tc>
          <w:tcPr>
            <w:tcW w:w="2197" w:type="dxa"/>
            <w:vAlign w:val="center"/>
          </w:tcPr>
          <w:p>
            <w:pPr>
              <w:spacing w:before="29" w:line="288" w:lineRule="auto"/>
              <w:jc w:val="right"/>
              <w:rPr>
                <w:color w:val="000000"/>
                <w:sz w:val="24"/>
              </w:rPr>
            </w:pPr>
            <w:r>
              <w:rPr>
                <w:color w:val="000000"/>
                <w:sz w:val="24"/>
              </w:rPr>
              <w:t>-119,900,092.03</w:t>
            </w:r>
          </w:p>
        </w:tc>
        <w:tc>
          <w:tcPr>
            <w:tcW w:w="2197" w:type="dxa"/>
            <w:vAlign w:val="center"/>
          </w:tcPr>
          <w:p>
            <w:pPr>
              <w:spacing w:before="29" w:line="288" w:lineRule="auto"/>
              <w:jc w:val="right"/>
              <w:rPr>
                <w:color w:val="000000"/>
                <w:sz w:val="24"/>
              </w:rPr>
            </w:pPr>
            <w:r>
              <w:rPr>
                <w:color w:val="000000"/>
                <w:sz w:val="24"/>
              </w:rPr>
              <w:t>-723,227,324.90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pPr>
              <w:spacing w:before="29" w:line="288" w:lineRule="auto"/>
              <w:rPr>
                <w:color w:val="000000"/>
                <w:sz w:val="24"/>
              </w:rPr>
            </w:pPr>
            <w:r>
              <w:rPr>
                <w:rFonts w:hint="eastAsia"/>
                <w:color w:val="000000"/>
                <w:sz w:val="24"/>
              </w:rPr>
              <w:t>五、期末所有者权益（基金净值）</w:t>
            </w:r>
          </w:p>
        </w:tc>
        <w:tc>
          <w:tcPr>
            <w:tcW w:w="2196" w:type="dxa"/>
            <w:vAlign w:val="center"/>
          </w:tcPr>
          <w:p>
            <w:pPr>
              <w:spacing w:before="29" w:line="288" w:lineRule="auto"/>
              <w:jc w:val="right"/>
              <w:rPr>
                <w:color w:val="000000"/>
                <w:sz w:val="24"/>
              </w:rPr>
            </w:pPr>
            <w:r>
              <w:rPr>
                <w:color w:val="000000"/>
                <w:sz w:val="24"/>
              </w:rPr>
              <w:t>181,564,565.22</w:t>
            </w:r>
          </w:p>
        </w:tc>
        <w:tc>
          <w:tcPr>
            <w:tcW w:w="2197" w:type="dxa"/>
            <w:vAlign w:val="center"/>
          </w:tcPr>
          <w:p>
            <w:pPr>
              <w:spacing w:before="29" w:line="288" w:lineRule="auto"/>
              <w:jc w:val="right"/>
              <w:rPr>
                <w:color w:val="000000"/>
                <w:sz w:val="24"/>
              </w:rPr>
            </w:pPr>
            <w:r>
              <w:rPr>
                <w:color w:val="000000"/>
                <w:sz w:val="24"/>
              </w:rPr>
              <w:t>60,636,329.19</w:t>
            </w:r>
          </w:p>
        </w:tc>
        <w:tc>
          <w:tcPr>
            <w:tcW w:w="2197" w:type="dxa"/>
            <w:vAlign w:val="center"/>
          </w:tcPr>
          <w:p>
            <w:pPr>
              <w:spacing w:before="29" w:line="288" w:lineRule="auto"/>
              <w:jc w:val="right"/>
              <w:rPr>
                <w:color w:val="000000"/>
                <w:sz w:val="24"/>
              </w:rPr>
            </w:pPr>
            <w:r>
              <w:rPr>
                <w:color w:val="000000"/>
                <w:sz w:val="24"/>
              </w:rPr>
              <w:t>242,200,894.41</w:t>
            </w:r>
          </w:p>
        </w:tc>
      </w:tr>
    </w:tbl>
    <w:p>
      <w:pPr>
        <w:spacing w:before="29" w:line="288" w:lineRule="auto"/>
        <w:rPr>
          <w:sz w:val="24"/>
        </w:rPr>
      </w:pPr>
      <w:r>
        <w:rPr>
          <w:rFonts w:hint="eastAsia"/>
          <w:sz w:val="24"/>
        </w:rPr>
        <w:t>报表附注为财务报表的组成部分。</w:t>
      </w:r>
    </w:p>
    <w:p>
      <w:pPr>
        <w:spacing w:before="29" w:line="288" w:lineRule="auto"/>
        <w:rPr>
          <w:sz w:val="24"/>
        </w:rPr>
      </w:pPr>
      <w:r>
        <w:rPr>
          <w:rFonts w:hint="eastAsia"/>
          <w:sz w:val="24"/>
        </w:rPr>
        <w:t>本报告页码（序号）从7.1至7.4，财务报表由下列负责人签署：</w:t>
      </w:r>
    </w:p>
    <w:p>
      <w:pPr>
        <w:spacing w:before="29" w:line="288" w:lineRule="auto"/>
        <w:rPr>
          <w:sz w:val="24"/>
        </w:rPr>
      </w:pPr>
      <w:r>
        <w:rPr>
          <w:rFonts w:hint="eastAsia"/>
          <w:sz w:val="24"/>
        </w:rPr>
        <w:t>基金管理人负责人：谢卫，主管会计工作负责人：夏华龙，会计机构负责人：单江</w:t>
      </w:r>
    </w:p>
    <w:p>
      <w:pPr>
        <w:spacing w:line="360" w:lineRule="auto"/>
        <w:ind w:firstLine="420" w:firstLineChars="200"/>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21" w:name="_Toc225498271"/>
      <w:bookmarkStart w:id="122" w:name="_Toc361324876"/>
      <w:bookmarkStart w:id="123" w:name="_Toc67589776"/>
      <w:r>
        <w:rPr>
          <w:rFonts w:ascii="Times New Roman" w:hAnsi="Times New Roman"/>
          <w:kern w:val="0"/>
          <w:szCs w:val="24"/>
        </w:rPr>
        <w:t xml:space="preserve">7.4 </w:t>
      </w:r>
      <w:r>
        <w:rPr>
          <w:rFonts w:hint="eastAsia" w:ascii="Times New Roman" w:hAnsi="Times New Roman"/>
          <w:kern w:val="0"/>
          <w:szCs w:val="24"/>
        </w:rPr>
        <w:t>报表附注</w:t>
      </w:r>
      <w:bookmarkEnd w:id="121"/>
      <w:bookmarkEnd w:id="122"/>
      <w:bookmarkEnd w:id="123"/>
    </w:p>
    <w:p>
      <w:pPr>
        <w:spacing w:line="360" w:lineRule="auto"/>
        <w:rPr>
          <w:rFonts w:eastAsiaTheme="minorEastAsia"/>
          <w:b/>
          <w:color w:val="000000" w:themeColor="text1"/>
          <w:sz w:val="24"/>
        </w:rPr>
      </w:pPr>
      <w:r>
        <w:rPr>
          <w:rFonts w:eastAsiaTheme="minorEastAsia"/>
          <w:b/>
          <w:color w:val="000000" w:themeColor="text1"/>
          <w:sz w:val="24"/>
        </w:rPr>
        <w:t>7.4.1</w:t>
      </w:r>
      <w:r>
        <w:rPr>
          <w:rFonts w:hint="eastAsia" w:eastAsiaTheme="minorEastAsia"/>
          <w:b/>
          <w:color w:val="000000" w:themeColor="text1"/>
          <w:sz w:val="24"/>
        </w:rPr>
        <w:t>基金基本情况</w:t>
      </w:r>
    </w:p>
    <w:p>
      <w:pPr>
        <w:spacing w:before="29" w:line="288" w:lineRule="auto"/>
        <w:ind w:firstLine="480" w:firstLineChars="200"/>
        <w:rPr>
          <w:color w:val="000000"/>
          <w:sz w:val="24"/>
        </w:rPr>
      </w:pPr>
      <w:r>
        <w:rPr>
          <w:color w:val="000000"/>
          <w:sz w:val="24"/>
        </w:rPr>
        <w:t>交银施罗德科技创新灵活配置混合型证券投资基金(以下简称“本基金”)经中国证券监督管理委员会(以下简称“中国证监会”)证监许可[2016]199号《关于准予交银施罗德科技创新灵活配置混合型证券投资基金注册的批复》核准，由交银施罗德基金管理有限公司依照《中华人民共和国证券投资基金法》和《交银施罗德科技创新灵活配置混合型证券投资基金基金合同》负责公开募集。本基金为契约型开放式，存续期限不定，首次设立募集不包括认购资金利息共募集人民币580,543,835.77元，业经普华永道中天会计师事务所(特殊普通合伙)普华永道中天验字(2016)第531号验资报告予以验证。经向中国证监会备案，《交银施罗德科技创新灵活配置混合型证券投资基金基金合同》于2016年5月5日正式生效，基金合同生效日的基金份额总额为580,877,371.05份基金份额，其中认购资金利息折合333,535.28份基金份额。本基金的基金管理人为交银施罗德基金管理有限公司，基金托管人为中国工商银行股份有限公司。</w:t>
      </w:r>
    </w:p>
    <w:p>
      <w:pPr>
        <w:spacing w:before="29" w:line="288" w:lineRule="auto"/>
        <w:ind w:firstLine="480" w:firstLineChars="200"/>
        <w:rPr>
          <w:color w:val="000000"/>
          <w:sz w:val="24"/>
        </w:rPr>
      </w:pPr>
      <w:r>
        <w:rPr>
          <w:color w:val="000000"/>
          <w:sz w:val="24"/>
        </w:rPr>
        <w:t>根据《中华人民共和国证券投资基金法》和《交银施罗德科技创新灵活配置混合型证券投资基金基金合同》的有关规定，本基金的投资范围为具有良好流动性的金融工具，包括国内依法发行上市的股票(含中小板、创业板及其他经中国证监会核准上市的股票、存托凭证)、债券、中期票据、货币市场工具、权证、资产支持证券、股指期货以及法律法规或中国证监会允许基金投资的其他金融工具(但须符合中国证监会相关规定)。本基金的投资组合比例为：股票资产(含存托凭证)占基金资产的0%-95%；本基金投资受益于科技创新相关上市公司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和应收申购款等。。本基金的业绩比较基准为：60%×沪深300指数+40%×中证综合债券指数。</w:t>
      </w:r>
    </w:p>
    <w:p>
      <w:pPr>
        <w:spacing w:before="29" w:line="288" w:lineRule="auto"/>
        <w:ind w:firstLine="480" w:firstLineChars="200"/>
        <w:rPr>
          <w:color w:val="000000"/>
          <w:sz w:val="24"/>
        </w:rPr>
      </w:pPr>
      <w:r>
        <w:rPr>
          <w:color w:val="000000"/>
          <w:sz w:val="24"/>
        </w:rPr>
        <w:t>本财务报表由本基金的基金管理人交银施罗德基金管理有限公司于2021年3月26日批准报出。</w:t>
      </w:r>
    </w:p>
    <w:p>
      <w:pPr>
        <w:tabs>
          <w:tab w:val="left" w:pos="2265"/>
        </w:tabs>
        <w:spacing w:line="360" w:lineRule="auto"/>
        <w:ind w:firstLine="420" w:firstLineChars="200"/>
        <w:rPr>
          <w:rFonts w:asciiTheme="minorEastAsia" w:hAnsiTheme="minorEastAsia" w:eastAsiaTheme="minorEastAsia"/>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7.4.2</w:t>
      </w:r>
      <w:r>
        <w:rPr>
          <w:rFonts w:hint="eastAsia" w:eastAsiaTheme="minorEastAsia"/>
          <w:b/>
          <w:color w:val="000000" w:themeColor="text1"/>
          <w:sz w:val="24"/>
        </w:rPr>
        <w:t>会计报表的编制基础</w:t>
      </w:r>
    </w:p>
    <w:p>
      <w:pPr>
        <w:spacing w:before="29" w:line="288" w:lineRule="auto"/>
        <w:ind w:firstLine="480" w:firstLineChars="20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中期报告&gt;》、中国证券投资基金业协会(以下简称“中国基金业协会”)颁布的《证券投资基金会计核算业务指引》、《交银施罗德科技创新灵活配置混合型证券投资基金基金合同》和在财务报表附注7.4.4所列示的中国证监会、中国基金业协会发布的有关规定及允许的基金行业实务操作编制。</w:t>
      </w:r>
    </w:p>
    <w:p>
      <w:pPr>
        <w:spacing w:before="29" w:line="288" w:lineRule="auto"/>
        <w:ind w:firstLine="480" w:firstLineChars="200"/>
        <w:rPr>
          <w:color w:val="000000"/>
          <w:sz w:val="24"/>
        </w:rPr>
      </w:pPr>
      <w:r>
        <w:rPr>
          <w:color w:val="000000"/>
          <w:sz w:val="24"/>
        </w:rPr>
        <w:t>本财务报表以持续经营为基础编制。</w:t>
      </w:r>
    </w:p>
    <w:p>
      <w:pPr>
        <w:spacing w:line="360" w:lineRule="auto"/>
        <w:ind w:firstLine="422" w:firstLineChars="200"/>
        <w:rPr>
          <w:rFonts w:asciiTheme="minorEastAsia" w:hAnsiTheme="minorEastAsia" w:eastAsiaTheme="minorEastAsia"/>
          <w:b/>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7.4.3</w:t>
      </w:r>
      <w:r>
        <w:rPr>
          <w:rFonts w:hint="eastAsia" w:eastAsiaTheme="minorEastAsia"/>
          <w:b/>
          <w:color w:val="000000" w:themeColor="text1"/>
          <w:sz w:val="24"/>
        </w:rPr>
        <w:t>遵循企业会计准则及其他有关规定的声明</w:t>
      </w:r>
    </w:p>
    <w:p>
      <w:pPr>
        <w:spacing w:before="29" w:line="288" w:lineRule="auto"/>
        <w:ind w:firstLine="480" w:firstLineChars="200"/>
        <w:rPr>
          <w:color w:val="000000"/>
          <w:sz w:val="24"/>
        </w:rPr>
      </w:pPr>
      <w:r>
        <w:rPr>
          <w:color w:val="000000"/>
          <w:sz w:val="24"/>
        </w:rPr>
        <w:t>本基金2020年度财务报表符合企业会计准则的要求，真实、完整地反映了本基金2020年12月31日的财务状况以及2020年度的经营成果和基金净值变动情况等有关信息。</w:t>
      </w:r>
    </w:p>
    <w:p>
      <w:pPr>
        <w:spacing w:line="360" w:lineRule="auto"/>
        <w:ind w:firstLine="422" w:firstLineChars="200"/>
        <w:rPr>
          <w:rFonts w:asciiTheme="minorEastAsia" w:hAnsiTheme="minorEastAsia" w:eastAsiaTheme="minorEastAsia"/>
          <w:b/>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7.4.4</w:t>
      </w:r>
      <w:r>
        <w:rPr>
          <w:rFonts w:hint="eastAsia" w:eastAsiaTheme="minorEastAsia"/>
          <w:b/>
          <w:color w:val="000000" w:themeColor="text1"/>
          <w:sz w:val="24"/>
        </w:rPr>
        <w:t>重要会计政策和会计估计</w:t>
      </w:r>
    </w:p>
    <w:p>
      <w:pPr>
        <w:spacing w:line="360" w:lineRule="auto"/>
        <w:rPr>
          <w:rFonts w:eastAsiaTheme="minorEastAsia"/>
          <w:b/>
          <w:color w:val="000000" w:themeColor="text1"/>
          <w:sz w:val="24"/>
        </w:rPr>
      </w:pPr>
      <w:r>
        <w:rPr>
          <w:rFonts w:eastAsiaTheme="minorEastAsia"/>
          <w:b/>
          <w:color w:val="000000" w:themeColor="text1"/>
          <w:sz w:val="24"/>
        </w:rPr>
        <w:t>7.4.4.1</w:t>
      </w:r>
      <w:r>
        <w:rPr>
          <w:rFonts w:hint="eastAsia" w:eastAsiaTheme="minorEastAsia"/>
          <w:b/>
          <w:color w:val="000000" w:themeColor="text1"/>
          <w:sz w:val="24"/>
        </w:rPr>
        <w:t>会计年度</w:t>
      </w:r>
    </w:p>
    <w:p>
      <w:pPr>
        <w:spacing w:before="29" w:line="288" w:lineRule="auto"/>
        <w:ind w:firstLine="480" w:firstLineChars="200"/>
        <w:rPr>
          <w:color w:val="000000"/>
          <w:sz w:val="24"/>
        </w:rPr>
      </w:pPr>
      <w:r>
        <w:rPr>
          <w:color w:val="000000"/>
          <w:sz w:val="24"/>
        </w:rPr>
        <w:t>本基金会计年度为公历1月1日起至12月31日止。</w:t>
      </w:r>
    </w:p>
    <w:p>
      <w:pPr>
        <w:spacing w:line="360" w:lineRule="auto"/>
        <w:ind w:firstLine="422" w:firstLineChars="200"/>
        <w:rPr>
          <w:rFonts w:asciiTheme="minorEastAsia" w:hAnsiTheme="minorEastAsia" w:eastAsiaTheme="minorEastAsia"/>
          <w:b/>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 xml:space="preserve">7.4.4.2 </w:t>
      </w:r>
      <w:r>
        <w:rPr>
          <w:rFonts w:hint="eastAsia" w:eastAsiaTheme="minorEastAsia"/>
          <w:b/>
          <w:color w:val="000000" w:themeColor="text1"/>
          <w:sz w:val="24"/>
        </w:rPr>
        <w:t>记账本位币</w:t>
      </w:r>
    </w:p>
    <w:p>
      <w:pPr>
        <w:spacing w:before="29" w:line="288" w:lineRule="auto"/>
        <w:ind w:firstLine="480" w:firstLineChars="200"/>
        <w:rPr>
          <w:color w:val="000000"/>
          <w:sz w:val="24"/>
        </w:rPr>
      </w:pPr>
      <w:r>
        <w:rPr>
          <w:color w:val="000000"/>
          <w:sz w:val="24"/>
        </w:rPr>
        <w:t>本基金的记账本位币为人民币。</w:t>
      </w:r>
    </w:p>
    <w:p>
      <w:pPr>
        <w:spacing w:line="360" w:lineRule="auto"/>
        <w:ind w:firstLine="420" w:firstLineChars="200"/>
        <w:rPr>
          <w:rFonts w:asciiTheme="minorEastAsia" w:hAnsiTheme="minorEastAsia" w:eastAsiaTheme="minorEastAsia"/>
          <w:bCs/>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 xml:space="preserve">7.4.4.3 </w:t>
      </w:r>
      <w:r>
        <w:rPr>
          <w:rFonts w:hint="eastAsia" w:eastAsiaTheme="minorEastAsia"/>
          <w:b/>
          <w:color w:val="000000" w:themeColor="text1"/>
          <w:sz w:val="24"/>
        </w:rPr>
        <w:t>金融资产和金融负债的分类</w:t>
      </w:r>
    </w:p>
    <w:p>
      <w:pPr>
        <w:spacing w:before="29" w:line="288" w:lineRule="auto"/>
        <w:ind w:firstLine="480" w:firstLineChars="200"/>
        <w:rPr>
          <w:color w:val="000000"/>
          <w:sz w:val="24"/>
        </w:rPr>
      </w:pPr>
      <w:r>
        <w:rPr>
          <w:color w:val="000000"/>
          <w:sz w:val="24"/>
        </w:rPr>
        <w:t>(1) 金融资产的分类</w:t>
      </w:r>
    </w:p>
    <w:p>
      <w:pPr>
        <w:spacing w:before="29" w:line="288" w:lineRule="auto"/>
        <w:ind w:firstLine="480" w:firstLineChars="20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pPr>
        <w:spacing w:before="29" w:line="288" w:lineRule="auto"/>
        <w:ind w:firstLine="480" w:firstLineChars="20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pPr>
        <w:spacing w:before="29" w:line="288" w:lineRule="auto"/>
        <w:ind w:firstLine="480" w:firstLineChars="20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pPr>
        <w:spacing w:before="29" w:line="288" w:lineRule="auto"/>
        <w:ind w:firstLine="480" w:firstLineChars="200"/>
        <w:rPr>
          <w:color w:val="000000"/>
          <w:sz w:val="24"/>
        </w:rPr>
      </w:pPr>
      <w:r>
        <w:rPr>
          <w:color w:val="000000"/>
          <w:sz w:val="24"/>
        </w:rPr>
        <w:t>(2) 金融负债的分类</w:t>
      </w:r>
    </w:p>
    <w:p>
      <w:pPr>
        <w:spacing w:before="29" w:line="288" w:lineRule="auto"/>
        <w:ind w:firstLine="480" w:firstLineChars="200"/>
        <w:rPr>
          <w:color w:val="000000"/>
          <w:sz w:val="24"/>
        </w:rPr>
      </w:pPr>
      <w:r>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pPr>
        <w:spacing w:line="360" w:lineRule="auto"/>
        <w:ind w:firstLine="420" w:firstLineChars="200"/>
        <w:rPr>
          <w:rFonts w:asciiTheme="minorEastAsia" w:hAnsiTheme="minorEastAsia" w:eastAsiaTheme="minorEastAsia"/>
          <w:bCs/>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 xml:space="preserve">7.4.4.4 </w:t>
      </w:r>
      <w:r>
        <w:rPr>
          <w:rFonts w:hint="eastAsia" w:eastAsiaTheme="minorEastAsia"/>
          <w:b/>
          <w:color w:val="000000" w:themeColor="text1"/>
          <w:sz w:val="24"/>
        </w:rPr>
        <w:t>金融资产和金融负债的初始确认、后续计量和终止确认</w:t>
      </w:r>
    </w:p>
    <w:p>
      <w:pPr>
        <w:spacing w:before="29" w:line="288" w:lineRule="auto"/>
        <w:ind w:firstLine="480" w:firstLineChars="200"/>
        <w:rPr>
          <w:rFonts w:asciiTheme="minorEastAsia" w:hAnsiTheme="minorEastAsia" w:eastAsia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pPr>
        <w:spacing w:before="29" w:line="288" w:lineRule="auto"/>
        <w:ind w:firstLine="480" w:firstLineChars="200"/>
        <w:rPr>
          <w:rFonts w:asciiTheme="minorEastAsia" w:hAnsiTheme="minorEastAsia" w:eastAsia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pPr>
        <w:spacing w:before="29" w:line="288" w:lineRule="auto"/>
        <w:ind w:firstLine="480" w:firstLineChars="200"/>
        <w:rPr>
          <w:rFonts w:asciiTheme="minorEastAsia" w:hAnsiTheme="minorEastAsia" w:eastAsiaTheme="minorEastAsia"/>
          <w:color w:val="000000"/>
          <w:szCs w:val="21"/>
        </w:rPr>
      </w:pPr>
      <w:r>
        <w:rPr>
          <w:color w:val="000000"/>
          <w:sz w:val="24"/>
        </w:rPr>
        <w:t>金融资产满足下列条件之一的，予以终止确认：(1) 收取该金融资产现金流量的合同权利终止；(2) 该金融资产已转移，且本基金将金融资产所有权上几乎所有的风险和报酬转移给转入方；或者(3) 该金融资产已转移，虽然本基金既没有转移也没有保留金融资产所有权上几乎所有的风险和报酬，但是放弃了对该金融资产控制。</w:t>
      </w:r>
    </w:p>
    <w:p>
      <w:pPr>
        <w:spacing w:before="29" w:line="288" w:lineRule="auto"/>
        <w:ind w:firstLine="480" w:firstLineChars="200"/>
        <w:rPr>
          <w:rFonts w:asciiTheme="minorEastAsia" w:hAnsiTheme="minorEastAsia" w:eastAsiaTheme="minorEastAsia"/>
          <w:color w:val="000000"/>
          <w:szCs w:val="21"/>
        </w:rPr>
      </w:pPr>
      <w:r>
        <w:rPr>
          <w:color w:val="000000"/>
          <w:sz w:val="24"/>
        </w:rPr>
        <w:t>金融资产终止确认时，其账面价值与收到的对价的差额，计入当期损益。</w:t>
      </w:r>
    </w:p>
    <w:p>
      <w:pPr>
        <w:spacing w:before="29" w:line="288" w:lineRule="auto"/>
        <w:ind w:firstLine="480" w:firstLineChars="200"/>
        <w:rPr>
          <w:rFonts w:asciiTheme="minorEastAsia" w:hAnsiTheme="minorEastAsia" w:eastAsiaTheme="minorEastAsia"/>
          <w:color w:val="000000"/>
          <w:szCs w:val="21"/>
        </w:rPr>
      </w:pPr>
      <w:r>
        <w:rPr>
          <w:color w:val="000000"/>
          <w:sz w:val="24"/>
        </w:rPr>
        <w:t>当金融负债的现时义务全部或部分已经解除时，终止确认该金融负债或义务已解除的部分。终止确认部分的账面价值与支付的对价之间的差额，计入当期损益。</w:t>
      </w:r>
    </w:p>
    <w:p>
      <w:pPr>
        <w:spacing w:line="360" w:lineRule="auto"/>
        <w:ind w:firstLine="420" w:firstLineChars="200"/>
        <w:rPr>
          <w:rFonts w:asciiTheme="minorEastAsia" w:hAnsiTheme="minorEastAsia" w:eastAsiaTheme="minorEastAsia"/>
          <w:bCs/>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 xml:space="preserve">7.4.4.5 </w:t>
      </w:r>
      <w:r>
        <w:rPr>
          <w:rFonts w:hint="eastAsia" w:eastAsiaTheme="minorEastAsia"/>
          <w:b/>
          <w:color w:val="000000" w:themeColor="text1"/>
          <w:sz w:val="24"/>
        </w:rPr>
        <w:t>金融资产和金融负债的估值原则</w:t>
      </w:r>
    </w:p>
    <w:p>
      <w:pPr>
        <w:spacing w:before="29" w:line="288" w:lineRule="auto"/>
        <w:ind w:firstLine="480" w:firstLineChars="200"/>
        <w:rPr>
          <w:color w:val="000000"/>
          <w:sz w:val="24"/>
        </w:rPr>
      </w:pPr>
      <w:r>
        <w:rPr>
          <w:color w:val="000000"/>
          <w:sz w:val="24"/>
        </w:rPr>
        <w:t>本基金持有的股票投资、债券投资、资产支持证券投资和衍生工具按如下原则确定公允价值并进行估值：</w:t>
      </w:r>
    </w:p>
    <w:p>
      <w:pPr>
        <w:spacing w:before="29" w:line="288" w:lineRule="auto"/>
        <w:ind w:firstLine="480" w:firstLineChars="200"/>
        <w:rPr>
          <w:color w:val="000000"/>
          <w:sz w:val="24"/>
        </w:rPr>
      </w:pPr>
      <w:r>
        <w:rPr>
          <w:color w:val="000000"/>
          <w:sz w:val="24"/>
        </w:rPr>
        <w:t>(1) 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pPr>
        <w:spacing w:before="29" w:line="288" w:lineRule="auto"/>
        <w:ind w:firstLine="480" w:firstLineChars="200"/>
        <w:rPr>
          <w:color w:val="000000"/>
          <w:sz w:val="24"/>
        </w:rPr>
      </w:pPr>
      <w:r>
        <w:rPr>
          <w:color w:val="000000"/>
          <w:sz w:val="24"/>
        </w:rPr>
        <w:t>(2) 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pPr>
        <w:spacing w:before="29" w:line="288" w:lineRule="auto"/>
        <w:ind w:firstLine="480" w:firstLineChars="200"/>
        <w:rPr>
          <w:color w:val="000000"/>
          <w:sz w:val="24"/>
        </w:rPr>
      </w:pPr>
      <w:r>
        <w:rPr>
          <w:color w:val="000000"/>
          <w:sz w:val="24"/>
        </w:rPr>
        <w:t>(3) 如经济环境发生重大变化或证券发行人发生影响金融工具价格的重大事件，应对估值进行调整并确定公允价值。</w:t>
      </w:r>
    </w:p>
    <w:p>
      <w:pPr>
        <w:autoSpaceDE w:val="0"/>
        <w:autoSpaceDN w:val="0"/>
        <w:adjustRightInd w:val="0"/>
        <w:spacing w:line="360" w:lineRule="auto"/>
        <w:jc w:val="left"/>
        <w:rPr>
          <w:rFonts w:asciiTheme="minorEastAsia" w:hAnsiTheme="minorEastAsia" w:eastAsiaTheme="minorEastAsia"/>
          <w:b/>
          <w:color w:val="000000"/>
          <w:kern w:val="0"/>
          <w:szCs w:val="21"/>
        </w:rPr>
      </w:pPr>
    </w:p>
    <w:p>
      <w:pPr>
        <w:spacing w:line="360" w:lineRule="auto"/>
        <w:rPr>
          <w:rFonts w:eastAsiaTheme="minorEastAsia"/>
          <w:b/>
          <w:color w:val="000000" w:themeColor="text1"/>
          <w:sz w:val="24"/>
        </w:rPr>
      </w:pPr>
      <w:r>
        <w:rPr>
          <w:rFonts w:eastAsiaTheme="minorEastAsia"/>
          <w:b/>
          <w:color w:val="000000" w:themeColor="text1"/>
          <w:sz w:val="24"/>
        </w:rPr>
        <w:t xml:space="preserve">7.4.4.6 </w:t>
      </w:r>
      <w:r>
        <w:rPr>
          <w:rFonts w:hint="eastAsia" w:eastAsiaTheme="minorEastAsia"/>
          <w:b/>
          <w:color w:val="000000" w:themeColor="text1"/>
          <w:sz w:val="24"/>
        </w:rPr>
        <w:t>金融资产和金融负债的抵销</w:t>
      </w:r>
    </w:p>
    <w:p>
      <w:pPr>
        <w:spacing w:before="29" w:line="288" w:lineRule="auto"/>
        <w:ind w:firstLine="480" w:firstLineChars="200"/>
        <w:rPr>
          <w:color w:val="000000"/>
          <w:sz w:val="24"/>
        </w:rPr>
      </w:pPr>
      <w:r>
        <w:rPr>
          <w:color w:val="000000"/>
          <w:sz w:val="24"/>
        </w:rPr>
        <w:t>本基金持有的资产和承担的负债基本为金融资产和金融负债。当本基金1) 具有抵销已确认金额的法定权利且该种法定权利现在是可执行的；且2) 交易双方准备按净额结算时，金融资产与金融负债按抵销后的净额在资产负债表中列示。</w:t>
      </w:r>
    </w:p>
    <w:p>
      <w:pPr>
        <w:spacing w:line="360" w:lineRule="auto"/>
        <w:ind w:firstLine="420" w:firstLineChars="200"/>
        <w:rPr>
          <w:rFonts w:asciiTheme="minorEastAsia" w:hAnsiTheme="minorEastAsia" w:eastAsiaTheme="minorEastAsia"/>
          <w:bCs/>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 xml:space="preserve">7.4.4.7 </w:t>
      </w:r>
      <w:r>
        <w:rPr>
          <w:rFonts w:hint="eastAsia" w:eastAsiaTheme="minorEastAsia"/>
          <w:b/>
          <w:color w:val="000000" w:themeColor="text1"/>
          <w:sz w:val="24"/>
        </w:rPr>
        <w:t>实收基金</w:t>
      </w:r>
    </w:p>
    <w:p>
      <w:pPr>
        <w:spacing w:before="29" w:line="288" w:lineRule="auto"/>
        <w:ind w:firstLine="480" w:firstLineChars="200"/>
        <w:rPr>
          <w:color w:val="000000"/>
          <w:sz w:val="24"/>
        </w:rPr>
      </w:pPr>
      <w:r>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pPr>
        <w:spacing w:line="360" w:lineRule="auto"/>
        <w:ind w:firstLine="420" w:firstLineChars="200"/>
        <w:rPr>
          <w:rFonts w:asciiTheme="minorEastAsia" w:hAnsiTheme="minorEastAsia" w:eastAsiaTheme="minorEastAsia"/>
          <w:bCs/>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 xml:space="preserve">7.4.4.8 </w:t>
      </w:r>
      <w:r>
        <w:rPr>
          <w:rFonts w:hint="eastAsia" w:eastAsiaTheme="minorEastAsia"/>
          <w:b/>
          <w:color w:val="000000" w:themeColor="text1"/>
          <w:sz w:val="24"/>
        </w:rPr>
        <w:t>损益平准金</w:t>
      </w:r>
    </w:p>
    <w:p>
      <w:pPr>
        <w:spacing w:before="29" w:line="288" w:lineRule="auto"/>
        <w:ind w:firstLine="480" w:firstLineChars="200"/>
        <w:rPr>
          <w:color w:val="000000"/>
          <w:sz w:val="24"/>
        </w:rPr>
      </w:pPr>
      <w:r>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累计亏损)。</w:t>
      </w:r>
    </w:p>
    <w:p>
      <w:pPr>
        <w:spacing w:line="360" w:lineRule="auto"/>
        <w:ind w:firstLine="420" w:firstLineChars="200"/>
        <w:rPr>
          <w:rFonts w:asciiTheme="minorEastAsia" w:hAnsiTheme="minorEastAsia" w:eastAsiaTheme="minorEastAsia"/>
          <w:bCs/>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 xml:space="preserve">7.4.4.9 </w:t>
      </w:r>
      <w:r>
        <w:rPr>
          <w:rFonts w:hint="eastAsia" w:eastAsiaTheme="minorEastAsia"/>
          <w:b/>
          <w:color w:val="000000" w:themeColor="text1"/>
          <w:sz w:val="24"/>
        </w:rPr>
        <w:t>收入</w:t>
      </w:r>
      <w:r>
        <w:rPr>
          <w:rFonts w:eastAsiaTheme="minorEastAsia"/>
          <w:b/>
          <w:color w:val="000000" w:themeColor="text1"/>
          <w:sz w:val="24"/>
        </w:rPr>
        <w:t>/(</w:t>
      </w:r>
      <w:r>
        <w:rPr>
          <w:rFonts w:hint="eastAsia" w:eastAsiaTheme="minorEastAsia"/>
          <w:b/>
          <w:color w:val="000000" w:themeColor="text1"/>
          <w:sz w:val="24"/>
        </w:rPr>
        <w:t>损失</w:t>
      </w:r>
      <w:r>
        <w:rPr>
          <w:rFonts w:eastAsiaTheme="minorEastAsia"/>
          <w:b/>
          <w:color w:val="000000" w:themeColor="text1"/>
          <w:sz w:val="24"/>
        </w:rPr>
        <w:t>)</w:t>
      </w:r>
      <w:r>
        <w:rPr>
          <w:rFonts w:hint="eastAsia" w:eastAsiaTheme="minorEastAsia"/>
          <w:b/>
          <w:color w:val="000000" w:themeColor="text1"/>
          <w:sz w:val="24"/>
        </w:rPr>
        <w:t>的确认和计量</w:t>
      </w:r>
    </w:p>
    <w:p>
      <w:pPr>
        <w:spacing w:before="29" w:line="288" w:lineRule="auto"/>
        <w:ind w:firstLine="480" w:firstLineChars="20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pPr>
        <w:spacing w:before="29" w:line="288" w:lineRule="auto"/>
        <w:ind w:firstLine="480" w:firstLineChars="20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pPr>
        <w:spacing w:before="29" w:line="288" w:lineRule="auto"/>
        <w:ind w:firstLine="480" w:firstLineChars="200"/>
        <w:rPr>
          <w:color w:val="000000"/>
          <w:sz w:val="24"/>
        </w:rPr>
      </w:pPr>
      <w:r>
        <w:rPr>
          <w:color w:val="000000"/>
          <w:sz w:val="24"/>
        </w:rPr>
        <w:t>应收款项在持有期间确认的利息收入按实际利率法计算，实际利率法与直线法差异较小的则按直线法计算。</w:t>
      </w:r>
    </w:p>
    <w:p>
      <w:pPr>
        <w:spacing w:line="360" w:lineRule="auto"/>
        <w:ind w:firstLine="420" w:firstLineChars="200"/>
        <w:rPr>
          <w:rFonts w:asciiTheme="minorEastAsia" w:hAnsiTheme="minorEastAsia" w:eastAsiaTheme="minorEastAsia"/>
          <w:bCs/>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 xml:space="preserve">7.4.4.10 </w:t>
      </w:r>
      <w:r>
        <w:rPr>
          <w:rFonts w:hint="eastAsia" w:eastAsiaTheme="minorEastAsia"/>
          <w:b/>
          <w:color w:val="000000" w:themeColor="text1"/>
          <w:sz w:val="24"/>
        </w:rPr>
        <w:t>费用的确认和计量</w:t>
      </w:r>
    </w:p>
    <w:p>
      <w:pPr>
        <w:spacing w:before="29" w:line="288" w:lineRule="auto"/>
        <w:ind w:firstLine="480" w:firstLineChars="200"/>
        <w:rPr>
          <w:color w:val="000000"/>
          <w:sz w:val="24"/>
        </w:rPr>
      </w:pPr>
      <w:r>
        <w:rPr>
          <w:color w:val="000000"/>
          <w:sz w:val="24"/>
        </w:rPr>
        <w:t>本基金的管理人报酬和托管费在费用涵盖期间按基金合同约定的费率和计算方法逐日确认。</w:t>
      </w:r>
    </w:p>
    <w:p>
      <w:pPr>
        <w:spacing w:before="29" w:line="288" w:lineRule="auto"/>
        <w:ind w:firstLine="480" w:firstLineChars="200"/>
        <w:rPr>
          <w:color w:val="000000"/>
          <w:sz w:val="24"/>
        </w:rPr>
      </w:pPr>
      <w:r>
        <w:rPr>
          <w:color w:val="000000"/>
          <w:sz w:val="24"/>
        </w:rPr>
        <w:t>其他金融负债在持有期间确认的利息支出按实际利率法计算，实际利率法与直线法差异较小的则按直线法计算。</w:t>
      </w:r>
    </w:p>
    <w:p>
      <w:pPr>
        <w:spacing w:line="360" w:lineRule="auto"/>
        <w:ind w:firstLine="420" w:firstLineChars="200"/>
        <w:rPr>
          <w:rFonts w:asciiTheme="minorEastAsia" w:hAnsiTheme="minorEastAsia" w:eastAsiaTheme="minorEastAsia"/>
          <w:bCs/>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 xml:space="preserve">7.4.4.11 </w:t>
      </w:r>
      <w:r>
        <w:rPr>
          <w:rFonts w:hint="eastAsia" w:eastAsiaTheme="minorEastAsia"/>
          <w:b/>
          <w:color w:val="000000" w:themeColor="text1"/>
          <w:sz w:val="24"/>
        </w:rPr>
        <w:t>基金的收益分配政策</w:t>
      </w:r>
    </w:p>
    <w:p>
      <w:pPr>
        <w:spacing w:before="29" w:line="288" w:lineRule="auto"/>
        <w:ind w:firstLine="480" w:firstLineChars="20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pPr>
        <w:spacing w:before="29" w:line="288" w:lineRule="auto"/>
        <w:ind w:firstLine="480" w:firstLineChars="200"/>
        <w:rPr>
          <w:color w:val="000000"/>
          <w:sz w:val="24"/>
        </w:rPr>
      </w:pPr>
      <w:r>
        <w:rPr>
          <w:color w:val="000000"/>
          <w:sz w:val="24"/>
        </w:rPr>
        <w:t>经宣告的拟分配基金收益于分红除权日从所有者权益转出。</w:t>
      </w:r>
    </w:p>
    <w:p>
      <w:pPr>
        <w:spacing w:line="360" w:lineRule="auto"/>
        <w:ind w:firstLine="420" w:firstLineChars="200"/>
        <w:rPr>
          <w:rFonts w:asciiTheme="minorEastAsia" w:hAnsiTheme="minorEastAsia" w:eastAsiaTheme="minorEastAsia"/>
          <w:bCs/>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 xml:space="preserve">7.4.4.12 </w:t>
      </w:r>
      <w:r>
        <w:rPr>
          <w:rFonts w:hint="eastAsia" w:eastAsiaTheme="minorEastAsia"/>
          <w:b/>
          <w:color w:val="000000" w:themeColor="text1"/>
          <w:sz w:val="24"/>
        </w:rPr>
        <w:t>分部报告</w:t>
      </w:r>
    </w:p>
    <w:p>
      <w:pPr>
        <w:spacing w:before="29" w:line="288" w:lineRule="auto"/>
        <w:ind w:firstLine="480" w:firstLineChars="20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本基金以内部组织结构、管理要求、内部报告制度为依据确定经营分部，以经营分部为基础确定报告分部并披露分部信息。经营分部是指本基金内同时满足下列条件的组成部分：(1) 该组成部分能够在日常活动中产生收入、发生费用；(2) 本基金的基金管理人能够定期评价该组成部分的经营成果，以决定向其配置资源、评价其业绩；(3) 本基金能够取得该组成部分的财务状况、经营成果和现金流量等有关会计信息。如果两个或多个经营分部具有相似的经济特征，并且满足一定条件的，则合并为一个经营分部。</w:t>
      </w:r>
    </w:p>
    <w:p>
      <w:pPr>
        <w:spacing w:before="29" w:line="288" w:lineRule="auto"/>
        <w:ind w:firstLine="480" w:firstLineChars="200"/>
        <w:rPr>
          <w:color w:val="000000"/>
          <w:sz w:val="24"/>
        </w:rPr>
      </w:pPr>
      <w:r>
        <w:rPr>
          <w:color w:val="000000"/>
          <w:sz w:val="24"/>
        </w:rPr>
        <w:t>本基金目前以一个单一的经营分部运作，不需要披露分部信息。</w:t>
      </w:r>
    </w:p>
    <w:p>
      <w:pPr>
        <w:spacing w:line="360" w:lineRule="auto"/>
        <w:ind w:firstLine="420" w:firstLineChars="200"/>
        <w:rPr>
          <w:rFonts w:asciiTheme="minorEastAsia" w:hAnsiTheme="minorEastAsia" w:eastAsiaTheme="minorEastAsia"/>
          <w:bCs/>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 xml:space="preserve">7.4.4.13 </w:t>
      </w:r>
      <w:r>
        <w:rPr>
          <w:rFonts w:hint="eastAsia" w:eastAsiaTheme="minorEastAsia"/>
          <w:b/>
          <w:color w:val="000000" w:themeColor="text1"/>
          <w:sz w:val="24"/>
        </w:rPr>
        <w:t>其他重要的会计政策和会计估计</w:t>
      </w:r>
    </w:p>
    <w:p>
      <w:pPr>
        <w:spacing w:before="29" w:line="288" w:lineRule="auto"/>
        <w:ind w:firstLine="480" w:firstLineChars="20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pPr>
        <w:spacing w:before="29" w:line="288" w:lineRule="auto"/>
        <w:ind w:firstLine="480" w:firstLineChars="200"/>
        <w:rPr>
          <w:color w:val="000000"/>
          <w:sz w:val="24"/>
        </w:rPr>
      </w:pPr>
      <w:r>
        <w:rPr>
          <w:color w:val="000000"/>
          <w:sz w:val="24"/>
        </w:rPr>
        <w:t>(1) 对于证券交易所上市的股票和债券，若出现重大事项停牌或交易不活跃(包括涨跌停时的交易不活跃)等情况，本基金根据中国证监会公告[2017]13号《中国证监会关于证券投资基金估值业务的指导意见》，根据具体情况采用《关于发布中基协(AMAC)基金行业股票估值指数的通知》提供的指数收益法、市盈率法、现金流量折现法等估值技术进行估值。</w:t>
      </w:r>
    </w:p>
    <w:p>
      <w:pPr>
        <w:spacing w:before="29" w:line="288" w:lineRule="auto"/>
        <w:ind w:firstLine="480" w:firstLineChars="200"/>
        <w:rPr>
          <w:color w:val="000000"/>
          <w:sz w:val="24"/>
        </w:rPr>
      </w:pPr>
      <w:r>
        <w:rPr>
          <w:color w:val="000000"/>
          <w:sz w:val="24"/>
        </w:rPr>
        <w:t>(2) 对于在锁定期内的非公开发行股票、首次公开发行股票时公司股东公开发售股份、通过大宗交易取得的带限售期的股票等流通受限股票，根据中国基金业协会中基协发[2017]6号《关于发布&lt;证券投资基金投资流通受限股票估值指引(试行)&gt;的通知》之附件《证券投资基金投资流通受限股票估值指引(试行)》(以下简称“指引”)，按估值日在证券交易所上市交易的同一股票的公允价值扣除中证指数有限公司根据指引所独立提供的该流通受限股票剩余限售期对应的流动性折扣后的价值进行估值。</w:t>
      </w:r>
    </w:p>
    <w:p>
      <w:pPr>
        <w:spacing w:before="29" w:line="288" w:lineRule="auto"/>
        <w:ind w:firstLine="480" w:firstLineChars="200"/>
        <w:rPr>
          <w:color w:val="000000"/>
          <w:sz w:val="24"/>
        </w:rPr>
      </w:pPr>
      <w:r>
        <w:rPr>
          <w:color w:val="000000"/>
          <w:sz w:val="24"/>
        </w:rPr>
        <w:t>(3) 对于在证券交易所上市或挂牌转让的固定收益品种(可转换债券、可交换债券和私募债券除外)及在银行间同业市场交易的固定收益品种，根据中国证监会公告[2017]13号《中国证监会关于证券投资基金估值业务的指导意见》及《中国证券投资基金业协会估值核算工作小组关于2015年1季度固定收益品种的估值处理标准》采用估值技术确定公允价值。本基金持有的证券交易所上市或挂牌转让的固定收益品种(可转换债券、可交换债券和私募债券除外)，按照中证指数有限公司所独立提供的估值结果确定公允价值。本基金持有的银行间同业市场固定收益品种按照中债金融估值中心有限公司所独立提供的估值结果确定公允价值。</w:t>
      </w:r>
    </w:p>
    <w:p>
      <w:pPr>
        <w:spacing w:line="360" w:lineRule="auto"/>
        <w:ind w:firstLine="420" w:firstLineChars="200"/>
        <w:rPr>
          <w:rFonts w:asciiTheme="minorEastAsia" w:hAnsiTheme="minorEastAsia" w:eastAsiaTheme="minorEastAsia"/>
          <w:bCs/>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7.4.5</w:t>
      </w:r>
      <w:r>
        <w:rPr>
          <w:rFonts w:hint="eastAsia" w:eastAsiaTheme="minorEastAsia"/>
          <w:b/>
          <w:color w:val="000000" w:themeColor="text1"/>
          <w:sz w:val="24"/>
        </w:rPr>
        <w:t>会计政策和会计估计变更以及差错更正的说明</w:t>
      </w:r>
    </w:p>
    <w:p>
      <w:pPr>
        <w:spacing w:line="360" w:lineRule="auto"/>
        <w:rPr>
          <w:rFonts w:eastAsiaTheme="minorEastAsia"/>
          <w:b/>
          <w:color w:val="000000" w:themeColor="text1"/>
          <w:sz w:val="24"/>
        </w:rPr>
      </w:pPr>
      <w:r>
        <w:rPr>
          <w:rFonts w:eastAsiaTheme="minorEastAsia"/>
          <w:b/>
          <w:color w:val="000000" w:themeColor="text1"/>
          <w:sz w:val="24"/>
        </w:rPr>
        <w:t xml:space="preserve">7.4.5.1 </w:t>
      </w:r>
      <w:r>
        <w:rPr>
          <w:rFonts w:hint="eastAsia" w:eastAsiaTheme="minorEastAsia"/>
          <w:b/>
          <w:color w:val="000000" w:themeColor="text1"/>
          <w:sz w:val="24"/>
        </w:rPr>
        <w:t>会计政策变更的说明</w:t>
      </w:r>
    </w:p>
    <w:p>
      <w:pPr>
        <w:spacing w:before="29" w:line="288" w:lineRule="auto"/>
        <w:ind w:firstLine="480" w:firstLineChars="200"/>
        <w:rPr>
          <w:color w:val="000000"/>
          <w:sz w:val="24"/>
        </w:rPr>
      </w:pPr>
      <w:r>
        <w:rPr>
          <w:color w:val="000000"/>
          <w:sz w:val="24"/>
        </w:rPr>
        <w:t>本基金本报告期未发生会计政策变更。</w:t>
      </w:r>
    </w:p>
    <w:p>
      <w:pPr>
        <w:spacing w:line="360" w:lineRule="auto"/>
        <w:ind w:firstLine="420" w:firstLineChars="200"/>
        <w:rPr>
          <w:rFonts w:asciiTheme="minorEastAsia" w:hAnsiTheme="minorEastAsia" w:eastAsiaTheme="minorEastAsia"/>
          <w:bCs/>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 xml:space="preserve">7.4.5.2 </w:t>
      </w:r>
      <w:r>
        <w:rPr>
          <w:rFonts w:hint="eastAsia" w:eastAsiaTheme="minorEastAsia"/>
          <w:b/>
          <w:color w:val="000000" w:themeColor="text1"/>
          <w:sz w:val="24"/>
        </w:rPr>
        <w:t>会计估计变更的说明</w:t>
      </w:r>
    </w:p>
    <w:p>
      <w:pPr>
        <w:spacing w:before="29" w:line="288" w:lineRule="auto"/>
        <w:ind w:firstLine="480" w:firstLineChars="200"/>
        <w:rPr>
          <w:color w:val="000000"/>
          <w:sz w:val="24"/>
        </w:rPr>
      </w:pPr>
      <w:r>
        <w:rPr>
          <w:color w:val="000000"/>
          <w:sz w:val="24"/>
        </w:rPr>
        <w:t>本基金本报告期未发生会计估计变更。</w:t>
      </w:r>
    </w:p>
    <w:p>
      <w:pPr>
        <w:spacing w:line="360" w:lineRule="auto"/>
        <w:ind w:firstLine="420" w:firstLineChars="200"/>
        <w:rPr>
          <w:rFonts w:asciiTheme="minorEastAsia" w:hAnsiTheme="minorEastAsia" w:eastAsiaTheme="minorEastAsia"/>
          <w:bCs/>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 xml:space="preserve">7.4.5.3 </w:t>
      </w:r>
      <w:r>
        <w:rPr>
          <w:rFonts w:hint="eastAsia" w:eastAsiaTheme="minorEastAsia"/>
          <w:b/>
          <w:color w:val="000000" w:themeColor="text1"/>
          <w:sz w:val="24"/>
        </w:rPr>
        <w:t>差错更正的说明</w:t>
      </w:r>
    </w:p>
    <w:p>
      <w:pPr>
        <w:spacing w:before="29" w:line="288" w:lineRule="auto"/>
        <w:ind w:firstLine="480" w:firstLineChars="200"/>
        <w:rPr>
          <w:color w:val="000000"/>
          <w:sz w:val="24"/>
        </w:rPr>
      </w:pPr>
      <w:r>
        <w:rPr>
          <w:color w:val="000000"/>
          <w:sz w:val="24"/>
        </w:rPr>
        <w:t>本基金在本报告期间无须说明的会计差错更正。</w:t>
      </w:r>
    </w:p>
    <w:p>
      <w:pPr>
        <w:spacing w:line="360" w:lineRule="auto"/>
        <w:ind w:firstLine="420" w:firstLineChars="200"/>
        <w:rPr>
          <w:rFonts w:asciiTheme="minorEastAsia" w:hAnsiTheme="minorEastAsia" w:eastAsiaTheme="minorEastAsia"/>
          <w:bCs/>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7.4.6</w:t>
      </w:r>
      <w:r>
        <w:rPr>
          <w:rFonts w:hint="eastAsia" w:eastAsiaTheme="minorEastAsia"/>
          <w:b/>
          <w:color w:val="000000" w:themeColor="text1"/>
          <w:sz w:val="24"/>
        </w:rPr>
        <w:t>税项</w:t>
      </w:r>
    </w:p>
    <w:p>
      <w:pPr>
        <w:spacing w:before="29" w:line="288" w:lineRule="auto"/>
        <w:ind w:firstLine="480" w:firstLineChars="200"/>
        <w:rPr>
          <w:color w:val="000000"/>
          <w:sz w:val="24"/>
        </w:rPr>
      </w:pPr>
      <w:r>
        <w:rPr>
          <w:color w:val="000000"/>
          <w:sz w:val="24"/>
        </w:rPr>
        <w:t>根据财政部、国家税务总局财税[2002]128号《关于开放式证券投资基金有关税收问题的通知》、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(1) 资管产品运营过程中发生的增值税应税行为，以资管产品管理人为增值税纳税人。资管产品管理人运营资管产品过程中发生的增值税应税行为，暂适用简易计税方法，按照3%的征收率缴纳增值税。</w:t>
      </w:r>
    </w:p>
    <w:p>
      <w:pPr>
        <w:spacing w:before="29" w:line="288" w:lineRule="auto"/>
        <w:ind w:firstLine="480" w:firstLineChars="20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pPr>
        <w:spacing w:before="29" w:line="288" w:lineRule="auto"/>
        <w:ind w:firstLine="480" w:firstLineChars="200"/>
        <w:rPr>
          <w:color w:val="000000"/>
          <w:sz w:val="24"/>
        </w:rPr>
      </w:pPr>
      <w:r>
        <w:rPr>
          <w:color w:val="000000"/>
          <w:sz w:val="24"/>
        </w:rPr>
        <w:t>(2) 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(3) 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(4) 基金卖出股票按0.1%的税率缴纳股票交易印花税，买入股票不征收股票交易印花税。</w:t>
      </w:r>
    </w:p>
    <w:p>
      <w:pPr>
        <w:spacing w:before="29" w:line="288" w:lineRule="auto"/>
        <w:ind w:firstLine="480" w:firstLineChars="200"/>
        <w:rPr>
          <w:color w:val="000000"/>
          <w:sz w:val="24"/>
        </w:rPr>
      </w:pPr>
      <w:r>
        <w:rPr>
          <w:color w:val="000000"/>
          <w:sz w:val="24"/>
        </w:rPr>
        <w:t>(5) 本基金的城市维护建设税、教育费附加和地方教育附加等税费按照实际缴纳增值税额的适用比例计算缴纳。</w:t>
      </w:r>
    </w:p>
    <w:p>
      <w:pPr>
        <w:spacing w:line="360" w:lineRule="auto"/>
        <w:ind w:firstLine="420" w:firstLineChars="200"/>
        <w:rPr>
          <w:rFonts w:asciiTheme="minorEastAsia" w:hAnsiTheme="minorEastAsia" w:eastAsiaTheme="minorEastAsia"/>
          <w:bCs/>
          <w:color w:val="000000"/>
          <w:szCs w:val="21"/>
        </w:rPr>
      </w:pPr>
    </w:p>
    <w:p>
      <w:pPr>
        <w:spacing w:before="29" w:line="288" w:lineRule="auto"/>
        <w:rPr>
          <w:rFonts w:eastAsiaTheme="minorEastAsia"/>
          <w:b/>
          <w:sz w:val="24"/>
        </w:rPr>
      </w:pPr>
      <w:r>
        <w:rPr>
          <w:rFonts w:eastAsiaTheme="minorEastAsia"/>
          <w:b/>
          <w:sz w:val="24"/>
        </w:rPr>
        <w:t>7.4.7</w:t>
      </w:r>
      <w:r>
        <w:rPr>
          <w:rFonts w:hint="eastAsia" w:eastAsiaTheme="minorEastAsia"/>
          <w:b/>
          <w:sz w:val="24"/>
        </w:rPr>
        <w:t>重要财务报表项目的说明</w:t>
      </w:r>
    </w:p>
    <w:p>
      <w:pPr>
        <w:spacing w:before="29" w:line="288" w:lineRule="auto"/>
        <w:rPr>
          <w:rFonts w:eastAsiaTheme="minorEastAsia"/>
          <w:b/>
          <w:sz w:val="24"/>
        </w:rPr>
      </w:pPr>
      <w:r>
        <w:rPr>
          <w:rFonts w:eastAsiaTheme="minorEastAsia"/>
          <w:b/>
          <w:sz w:val="24"/>
        </w:rPr>
        <w:t>7.4.7.1</w:t>
      </w:r>
      <w:r>
        <w:rPr>
          <w:rFonts w:hint="eastAsia" w:eastAsiaTheme="minorEastAsia"/>
          <w:b/>
          <w:sz w:val="24"/>
        </w:rPr>
        <w:t>银行存款</w:t>
      </w:r>
    </w:p>
    <w:p>
      <w:pPr>
        <w:autoSpaceDE w:val="0"/>
        <w:autoSpaceDN w:val="0"/>
        <w:adjustRightInd w:val="0"/>
        <w:spacing w:line="360" w:lineRule="auto"/>
        <w:ind w:left="15"/>
        <w:jc w:val="right"/>
        <w:rPr>
          <w:rFonts w:eastAsiaTheme="minorEastAsia"/>
          <w:b/>
          <w:color w:val="000000"/>
          <w:kern w:val="0"/>
          <w:sz w:val="24"/>
        </w:rPr>
      </w:pPr>
      <w:r>
        <w:rPr>
          <w:rFonts w:eastAsiaTheme="minorEastAsia"/>
          <w:bCs/>
          <w:color w:val="000000"/>
          <w:sz w:val="24"/>
        </w:rPr>
        <w:t>单位：人民币元</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4"/>
        <w:gridCol w:w="3157"/>
        <w:gridCol w:w="3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2634" w:type="dxa"/>
            <w:tcMar>
              <w:top w:w="15" w:type="dxa"/>
              <w:left w:w="15" w:type="dxa"/>
              <w:bottom w:w="0" w:type="dxa"/>
              <w:right w:w="15" w:type="dxa"/>
            </w:tcMar>
            <w:vAlign w:val="center"/>
          </w:tcPr>
          <w:p>
            <w:pPr>
              <w:spacing w:line="360" w:lineRule="auto"/>
              <w:jc w:val="center"/>
              <w:rPr>
                <w:rFonts w:eastAsiaTheme="minorEastAsia"/>
                <w:sz w:val="24"/>
              </w:rPr>
            </w:pPr>
            <w:r>
              <w:rPr>
                <w:rFonts w:eastAsiaTheme="minorEastAsia"/>
                <w:kern w:val="0"/>
                <w:sz w:val="24"/>
              </w:rPr>
              <w:t>项目</w:t>
            </w:r>
          </w:p>
        </w:tc>
        <w:tc>
          <w:tcPr>
            <w:tcW w:w="3157" w:type="dxa"/>
            <w:tcMar>
              <w:top w:w="15" w:type="dxa"/>
              <w:left w:w="15" w:type="dxa"/>
              <w:bottom w:w="0" w:type="dxa"/>
              <w:right w:w="15" w:type="dxa"/>
            </w:tcMar>
          </w:tcPr>
          <w:p>
            <w:pPr>
              <w:spacing w:line="360" w:lineRule="auto"/>
              <w:jc w:val="center"/>
              <w:rPr>
                <w:rFonts w:eastAsiaTheme="minorEastAsia"/>
                <w:kern w:val="0"/>
                <w:sz w:val="24"/>
              </w:rPr>
            </w:pPr>
            <w:r>
              <w:rPr>
                <w:rFonts w:eastAsiaTheme="minorEastAsia"/>
                <w:kern w:val="0"/>
                <w:sz w:val="24"/>
              </w:rPr>
              <w:t>本期末</w:t>
            </w:r>
          </w:p>
          <w:p>
            <w:pPr>
              <w:spacing w:line="360" w:lineRule="auto"/>
              <w:jc w:val="center"/>
              <w:rPr>
                <w:rFonts w:eastAsiaTheme="minorEastAsia"/>
                <w:sz w:val="24"/>
              </w:rPr>
            </w:pPr>
            <w:r>
              <w:rPr>
                <w:rFonts w:eastAsiaTheme="minorEastAsia"/>
                <w:sz w:val="24"/>
              </w:rPr>
              <w:t>2020年12月31日</w:t>
            </w:r>
          </w:p>
        </w:tc>
        <w:tc>
          <w:tcPr>
            <w:tcW w:w="3158" w:type="dxa"/>
            <w:tcMar>
              <w:top w:w="15" w:type="dxa"/>
              <w:left w:w="15" w:type="dxa"/>
              <w:bottom w:w="0" w:type="dxa"/>
              <w:right w:w="15" w:type="dxa"/>
            </w:tcMar>
          </w:tcPr>
          <w:p>
            <w:pPr>
              <w:spacing w:line="360" w:lineRule="auto"/>
              <w:jc w:val="center"/>
              <w:rPr>
                <w:rFonts w:eastAsiaTheme="minorEastAsia"/>
                <w:kern w:val="0"/>
                <w:sz w:val="24"/>
              </w:rPr>
            </w:pPr>
            <w:r>
              <w:rPr>
                <w:rFonts w:eastAsiaTheme="minorEastAsia"/>
                <w:kern w:val="0"/>
                <w:sz w:val="24"/>
              </w:rPr>
              <w:t>上年度末</w:t>
            </w:r>
          </w:p>
          <w:p>
            <w:pPr>
              <w:spacing w:line="360" w:lineRule="auto"/>
              <w:jc w:val="center"/>
              <w:rPr>
                <w:rFonts w:eastAsiaTheme="minorEastAsia"/>
                <w:kern w:val="0"/>
                <w:sz w:val="24"/>
              </w:rPr>
            </w:pPr>
            <w:r>
              <w:rPr>
                <w:rFonts w:eastAsiaTheme="minorEastAsia"/>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vAlign w:val="center"/>
          </w:tcPr>
          <w:p>
            <w:pPr>
              <w:spacing w:line="360" w:lineRule="auto"/>
              <w:rPr>
                <w:rFonts w:eastAsiaTheme="minorEastAsia"/>
                <w:kern w:val="0"/>
                <w:sz w:val="24"/>
              </w:rPr>
            </w:pPr>
            <w:r>
              <w:rPr>
                <w:rFonts w:eastAsiaTheme="minorEastAsia"/>
                <w:kern w:val="0"/>
                <w:sz w:val="24"/>
              </w:rPr>
              <w:t>活期存款</w:t>
            </w:r>
          </w:p>
        </w:tc>
        <w:tc>
          <w:tcPr>
            <w:tcW w:w="3157"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39,473,969.38</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8,561,035.29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vAlign w:val="center"/>
          </w:tcPr>
          <w:p>
            <w:pPr>
              <w:spacing w:line="360" w:lineRule="auto"/>
              <w:rPr>
                <w:rFonts w:eastAsiaTheme="minorEastAsia"/>
                <w:kern w:val="0"/>
                <w:sz w:val="24"/>
              </w:rPr>
            </w:pPr>
            <w:r>
              <w:rPr>
                <w:rFonts w:eastAsiaTheme="minorEastAsia"/>
                <w:kern w:val="0"/>
                <w:sz w:val="24"/>
              </w:rPr>
              <w:t>定期存款</w:t>
            </w:r>
          </w:p>
        </w:tc>
        <w:tc>
          <w:tcPr>
            <w:tcW w:w="3157"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tcPr>
          <w:p>
            <w:pPr>
              <w:rPr>
                <w:rFonts w:ascii="宋体" w:hAnsi="宋体"/>
                <w:color w:val="000000" w:themeColor="text1"/>
                <w:kern w:val="0"/>
                <w:sz w:val="24"/>
              </w:rPr>
            </w:pPr>
            <w:r>
              <w:rPr>
                <w:rFonts w:hint="eastAsia" w:ascii="宋体" w:hAnsi="宋体"/>
                <w:color w:val="000000" w:themeColor="text1"/>
                <w:kern w:val="0"/>
                <w:sz w:val="24"/>
              </w:rPr>
              <w:t>其中：存款期限1个月以内</w:t>
            </w:r>
          </w:p>
        </w:tc>
        <w:tc>
          <w:tcPr>
            <w:tcW w:w="3157" w:type="dxa"/>
            <w:tcMar>
              <w:top w:w="15" w:type="dxa"/>
              <w:left w:w="15" w:type="dxa"/>
              <w:bottom w:w="0" w:type="dxa"/>
              <w:right w:w="15" w:type="dxa"/>
            </w:tcMar>
            <w:vAlign w:val="bottom"/>
          </w:tcPr>
          <w:p>
            <w:pPr>
              <w:spacing w:line="360" w:lineRule="auto"/>
              <w:jc w:val="right"/>
              <w:rPr>
                <w:rFonts w:eastAsiaTheme="minorEastAsia"/>
                <w:color w:val="000000" w:themeColor="text1"/>
                <w:kern w:val="0"/>
                <w:sz w:val="24"/>
              </w:rPr>
            </w:pPr>
            <w:r>
              <w:rPr>
                <w:rFonts w:eastAsiaTheme="minorEastAsia"/>
                <w:kern w:val="0"/>
                <w:sz w:val="24"/>
              </w:rPr>
              <w:t>-</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color w:val="000000" w:themeColor="text1"/>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tcPr>
          <w:p>
            <w:pPr>
              <w:ind w:firstLine="720" w:firstLineChars="300"/>
              <w:rPr>
                <w:rFonts w:ascii="宋体" w:hAnsi="宋体"/>
                <w:color w:val="000000" w:themeColor="text1"/>
                <w:kern w:val="0"/>
                <w:sz w:val="24"/>
              </w:rPr>
            </w:pPr>
            <w:r>
              <w:rPr>
                <w:rFonts w:hint="eastAsia" w:ascii="宋体" w:hAnsi="宋体"/>
                <w:color w:val="000000" w:themeColor="text1"/>
                <w:kern w:val="0"/>
                <w:sz w:val="24"/>
              </w:rPr>
              <w:t>存款期限1-3个月</w:t>
            </w:r>
          </w:p>
        </w:tc>
        <w:tc>
          <w:tcPr>
            <w:tcW w:w="3157" w:type="dxa"/>
            <w:tcMar>
              <w:top w:w="15" w:type="dxa"/>
              <w:left w:w="15" w:type="dxa"/>
              <w:bottom w:w="0" w:type="dxa"/>
              <w:right w:w="15" w:type="dxa"/>
            </w:tcMar>
            <w:vAlign w:val="bottom"/>
          </w:tcPr>
          <w:p>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pPr>
              <w:spacing w:line="360" w:lineRule="auto"/>
              <w:jc w:val="right"/>
              <w:rPr>
                <w:rFonts w:eastAsiaTheme="minorEastAsia"/>
                <w:kern w:val="0"/>
                <w:sz w:val="24"/>
              </w:rPr>
            </w:pPr>
            <w:r>
              <w:rPr>
                <w:rFonts w:eastAsiaTheme="minor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tcPr>
          <w:p>
            <w:pPr>
              <w:ind w:firstLine="720" w:firstLineChars="300"/>
              <w:rPr>
                <w:rFonts w:ascii="宋体" w:hAnsi="宋体"/>
                <w:color w:val="000000" w:themeColor="text1"/>
                <w:kern w:val="0"/>
                <w:sz w:val="24"/>
              </w:rPr>
            </w:pPr>
            <w:r>
              <w:rPr>
                <w:rFonts w:hint="eastAsia" w:ascii="宋体" w:hAnsi="宋体"/>
                <w:color w:val="000000" w:themeColor="text1"/>
                <w:kern w:val="0"/>
                <w:sz w:val="24"/>
              </w:rPr>
              <w:t>存款期限3个月以上</w:t>
            </w:r>
          </w:p>
        </w:tc>
        <w:tc>
          <w:tcPr>
            <w:tcW w:w="3157" w:type="dxa"/>
            <w:tcMar>
              <w:top w:w="15" w:type="dxa"/>
              <w:left w:w="15" w:type="dxa"/>
              <w:bottom w:w="0" w:type="dxa"/>
              <w:right w:w="15" w:type="dxa"/>
            </w:tcMar>
            <w:vAlign w:val="bottom"/>
          </w:tcPr>
          <w:p>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vAlign w:val="center"/>
          </w:tcPr>
          <w:p>
            <w:pPr>
              <w:spacing w:line="360" w:lineRule="auto"/>
              <w:rPr>
                <w:rFonts w:eastAsiaTheme="minorEastAsia"/>
                <w:color w:val="000000"/>
                <w:kern w:val="0"/>
                <w:sz w:val="24"/>
              </w:rPr>
            </w:pPr>
            <w:r>
              <w:rPr>
                <w:rFonts w:eastAsiaTheme="minorEastAsia"/>
                <w:kern w:val="0"/>
                <w:sz w:val="24"/>
              </w:rPr>
              <w:t>其他存款</w:t>
            </w:r>
          </w:p>
        </w:tc>
        <w:tc>
          <w:tcPr>
            <w:tcW w:w="3157"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vAlign w:val="center"/>
          </w:tcPr>
          <w:p>
            <w:pPr>
              <w:spacing w:line="360" w:lineRule="auto"/>
              <w:rPr>
                <w:rFonts w:eastAsiaTheme="minorEastAsia"/>
                <w:color w:val="000000"/>
                <w:kern w:val="0"/>
                <w:sz w:val="24"/>
              </w:rPr>
            </w:pPr>
            <w:r>
              <w:rPr>
                <w:rFonts w:eastAsiaTheme="minorEastAsia"/>
                <w:kern w:val="0"/>
                <w:sz w:val="24"/>
              </w:rPr>
              <w:t>合计</w:t>
            </w:r>
          </w:p>
        </w:tc>
        <w:tc>
          <w:tcPr>
            <w:tcW w:w="3157"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39,473,969.38</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8,561,035.29</w:t>
            </w:r>
          </w:p>
        </w:tc>
      </w:tr>
    </w:tbl>
    <w:p>
      <w:pPr>
        <w:spacing w:line="360" w:lineRule="auto"/>
        <w:rPr>
          <w:rFonts w:asciiTheme="minorEastAsia" w:hAnsiTheme="minorEastAsia" w:eastAsiaTheme="minorEastAsia"/>
          <w:bCs/>
          <w:color w:val="000000"/>
          <w:szCs w:val="21"/>
        </w:rPr>
      </w:pPr>
      <w:r>
        <w:rPr>
          <w:rFonts w:asciiTheme="minorEastAsia" w:hAnsiTheme="minorEastAsia" w:eastAsiaTheme="minorEastAsia"/>
          <w:bCs/>
          <w:color w:val="000000"/>
          <w:szCs w:val="21"/>
        </w:rPr>
        <w:tab/>
      </w:r>
    </w:p>
    <w:p>
      <w:pPr>
        <w:spacing w:line="360" w:lineRule="auto"/>
        <w:rPr>
          <w:rFonts w:eastAsiaTheme="minorEastAsia"/>
          <w:b/>
          <w:color w:val="000000" w:themeColor="text1"/>
          <w:sz w:val="24"/>
        </w:rPr>
      </w:pPr>
      <w:r>
        <w:rPr>
          <w:rFonts w:eastAsiaTheme="minorEastAsia"/>
          <w:b/>
          <w:color w:val="000000" w:themeColor="text1"/>
          <w:sz w:val="24"/>
        </w:rPr>
        <w:t>7.4.7.2</w:t>
      </w:r>
      <w:r>
        <w:rPr>
          <w:rFonts w:hint="eastAsia" w:eastAsiaTheme="minorEastAsia"/>
          <w:b/>
          <w:color w:val="000000" w:themeColor="text1"/>
          <w:sz w:val="24"/>
        </w:rPr>
        <w:t>交易性金融资产</w:t>
      </w:r>
    </w:p>
    <w:p>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1440"/>
        <w:gridCol w:w="2339"/>
        <w:gridCol w:w="2339"/>
        <w:gridCol w:w="2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2268" w:type="dxa"/>
            <w:gridSpan w:val="2"/>
            <w:vMerge w:val="restart"/>
            <w:vAlign w:val="center"/>
          </w:tcPr>
          <w:p>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pPr>
              <w:spacing w:before="29" w:line="288" w:lineRule="auto"/>
              <w:jc w:val="center"/>
              <w:rPr>
                <w:color w:val="000000"/>
                <w:kern w:val="0"/>
                <w:sz w:val="24"/>
              </w:rPr>
            </w:pPr>
            <w:r>
              <w:rPr>
                <w:rFonts w:hint="eastAsia"/>
                <w:color w:val="000000"/>
                <w:kern w:val="0"/>
                <w:sz w:val="24"/>
              </w:rPr>
              <w:t>本期末</w:t>
            </w:r>
          </w:p>
          <w:p>
            <w:pPr>
              <w:spacing w:before="29" w:line="288" w:lineRule="auto"/>
              <w:jc w:val="center"/>
              <w:rPr>
                <w:color w:val="000000"/>
                <w:kern w:val="0"/>
                <w:sz w:val="24"/>
              </w:rPr>
            </w:pPr>
            <w:r>
              <w:rPr>
                <w:color w:val="000000"/>
                <w:kern w:val="0"/>
                <w:sz w:val="24"/>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Merge w:val="continue"/>
            <w:vAlign w:val="center"/>
          </w:tcPr>
          <w:p>
            <w:pPr>
              <w:spacing w:before="29" w:line="288" w:lineRule="auto"/>
              <w:jc w:val="center"/>
              <w:rPr>
                <w:color w:val="000000"/>
                <w:kern w:val="0"/>
                <w:sz w:val="24"/>
              </w:rPr>
            </w:pPr>
          </w:p>
        </w:tc>
        <w:tc>
          <w:tcPr>
            <w:tcW w:w="2339" w:type="dxa"/>
            <w:vAlign w:val="center"/>
          </w:tcPr>
          <w:p>
            <w:pPr>
              <w:spacing w:before="29" w:line="288" w:lineRule="auto"/>
              <w:jc w:val="center"/>
              <w:rPr>
                <w:color w:val="000000"/>
                <w:kern w:val="0"/>
                <w:sz w:val="24"/>
              </w:rPr>
            </w:pPr>
            <w:r>
              <w:rPr>
                <w:rFonts w:hint="eastAsia"/>
                <w:color w:val="000000"/>
                <w:kern w:val="0"/>
                <w:sz w:val="24"/>
              </w:rPr>
              <w:t>成本</w:t>
            </w:r>
          </w:p>
        </w:tc>
        <w:tc>
          <w:tcPr>
            <w:tcW w:w="2339" w:type="dxa"/>
            <w:vAlign w:val="center"/>
          </w:tcPr>
          <w:p>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pPr>
              <w:spacing w:before="29" w:line="288" w:lineRule="auto"/>
              <w:jc w:val="center"/>
              <w:rPr>
                <w:color w:val="000000"/>
                <w:kern w:val="0"/>
                <w:sz w:val="24"/>
              </w:rPr>
            </w:pPr>
            <w:r>
              <w:rPr>
                <w:rFonts w:hint="eastAsia"/>
                <w:color w:val="000000"/>
                <w:kern w:val="0"/>
                <w:sz w:val="24"/>
              </w:rPr>
              <w:t>公允价值变动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股票</w:t>
            </w:r>
          </w:p>
        </w:tc>
        <w:tc>
          <w:tcPr>
            <w:tcW w:w="2339" w:type="dxa"/>
            <w:vAlign w:val="center"/>
          </w:tcPr>
          <w:p>
            <w:pPr>
              <w:spacing w:before="29" w:line="288" w:lineRule="auto"/>
              <w:jc w:val="right"/>
              <w:rPr>
                <w:kern w:val="0"/>
                <w:sz w:val="24"/>
              </w:rPr>
            </w:pPr>
            <w:r>
              <w:rPr>
                <w:kern w:val="0"/>
                <w:sz w:val="24"/>
              </w:rPr>
              <w:t>249,446,377.33</w:t>
            </w:r>
          </w:p>
        </w:tc>
        <w:tc>
          <w:tcPr>
            <w:tcW w:w="2339" w:type="dxa"/>
            <w:vAlign w:val="center"/>
          </w:tcPr>
          <w:p>
            <w:pPr>
              <w:spacing w:before="29" w:line="288" w:lineRule="auto"/>
              <w:jc w:val="right"/>
              <w:rPr>
                <w:kern w:val="0"/>
                <w:sz w:val="24"/>
              </w:rPr>
            </w:pPr>
            <w:r>
              <w:rPr>
                <w:kern w:val="0"/>
                <w:sz w:val="24"/>
              </w:rPr>
              <w:t>285,338,868.40</w:t>
            </w:r>
          </w:p>
        </w:tc>
        <w:tc>
          <w:tcPr>
            <w:tcW w:w="2340" w:type="dxa"/>
            <w:vAlign w:val="center"/>
          </w:tcPr>
          <w:p>
            <w:pPr>
              <w:spacing w:before="29" w:line="288" w:lineRule="auto"/>
              <w:jc w:val="right"/>
              <w:rPr>
                <w:kern w:val="0"/>
                <w:sz w:val="24"/>
              </w:rPr>
            </w:pPr>
            <w:r>
              <w:rPr>
                <w:kern w:val="0"/>
                <w:sz w:val="24"/>
              </w:rPr>
              <w:t>35,892,491.07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贵金属投资-金交所黄金合约</w:t>
            </w:r>
          </w:p>
        </w:tc>
        <w:tc>
          <w:tcPr>
            <w:tcW w:w="2339" w:type="dxa"/>
            <w:vAlign w:val="center"/>
          </w:tcPr>
          <w:p>
            <w:pPr>
              <w:spacing w:before="29" w:line="288" w:lineRule="auto"/>
              <w:jc w:val="right"/>
              <w:rPr>
                <w:kern w:val="0"/>
                <w:sz w:val="24"/>
              </w:rPr>
            </w:pPr>
            <w:r>
              <w:rPr>
                <w:rFonts w:hint="eastAsia"/>
                <w:kern w:val="0"/>
                <w:sz w:val="24"/>
              </w:rPr>
              <w:t>-</w:t>
            </w:r>
          </w:p>
        </w:tc>
        <w:tc>
          <w:tcPr>
            <w:tcW w:w="2339" w:type="dxa"/>
            <w:vAlign w:val="center"/>
          </w:tcPr>
          <w:p>
            <w:pPr>
              <w:spacing w:before="29" w:line="288" w:lineRule="auto"/>
              <w:jc w:val="right"/>
              <w:rPr>
                <w:kern w:val="0"/>
                <w:sz w:val="24"/>
              </w:rPr>
            </w:pPr>
            <w:r>
              <w:rPr>
                <w:rFonts w:hint="eastAsia"/>
                <w:kern w:val="0"/>
                <w:sz w:val="24"/>
              </w:rPr>
              <w:t>-</w:t>
            </w:r>
          </w:p>
        </w:tc>
        <w:tc>
          <w:tcPr>
            <w:tcW w:w="2340" w:type="dxa"/>
            <w:vAlign w:val="center"/>
          </w:tcPr>
          <w:p>
            <w:pPr>
              <w:spacing w:before="29" w:line="288" w:lineRule="auto"/>
              <w:jc w:val="right"/>
              <w:rPr>
                <w:kern w:val="0"/>
                <w:sz w:val="24"/>
              </w:rPr>
            </w:pPr>
            <w:r>
              <w:rPr>
                <w:rFonts w:hint="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28" w:type="dxa"/>
            <w:vMerge w:val="restart"/>
            <w:vAlign w:val="center"/>
          </w:tcPr>
          <w:p>
            <w:pPr>
              <w:widowControl/>
              <w:spacing w:before="29" w:line="288" w:lineRule="auto"/>
              <w:rPr>
                <w:color w:val="000000"/>
                <w:kern w:val="0"/>
                <w:sz w:val="24"/>
              </w:rPr>
            </w:pPr>
            <w:r>
              <w:rPr>
                <w:rFonts w:hint="eastAsia"/>
                <w:color w:val="000000"/>
                <w:kern w:val="0"/>
                <w:sz w:val="24"/>
              </w:rPr>
              <w:t>债券</w:t>
            </w:r>
          </w:p>
        </w:tc>
        <w:tc>
          <w:tcPr>
            <w:tcW w:w="1440" w:type="dxa"/>
            <w:vAlign w:val="center"/>
          </w:tcPr>
          <w:p>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828" w:type="dxa"/>
            <w:vMerge w:val="continue"/>
            <w:vAlign w:val="center"/>
          </w:tcPr>
          <w:p>
            <w:pPr>
              <w:widowControl/>
              <w:spacing w:line="360" w:lineRule="auto"/>
              <w:jc w:val="left"/>
              <w:rPr>
                <w:rFonts w:asciiTheme="minorEastAsia" w:hAnsiTheme="minorEastAsia" w:eastAsiaTheme="minorEastAsia"/>
                <w:color w:val="000000"/>
                <w:kern w:val="0"/>
                <w:szCs w:val="21"/>
              </w:rPr>
            </w:pPr>
          </w:p>
        </w:tc>
        <w:tc>
          <w:tcPr>
            <w:tcW w:w="1440" w:type="dxa"/>
            <w:vAlign w:val="center"/>
          </w:tcPr>
          <w:p>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828" w:type="dxa"/>
            <w:vMerge w:val="continue"/>
            <w:vAlign w:val="center"/>
          </w:tcPr>
          <w:p>
            <w:pPr>
              <w:widowControl/>
              <w:spacing w:before="29" w:line="288" w:lineRule="auto"/>
              <w:rPr>
                <w:color w:val="000000"/>
                <w:kern w:val="0"/>
                <w:sz w:val="24"/>
              </w:rPr>
            </w:pPr>
          </w:p>
        </w:tc>
        <w:tc>
          <w:tcPr>
            <w:tcW w:w="1440" w:type="dxa"/>
            <w:vAlign w:val="center"/>
          </w:tcPr>
          <w:p>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基金</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其他</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合计</w:t>
            </w:r>
          </w:p>
        </w:tc>
        <w:tc>
          <w:tcPr>
            <w:tcW w:w="2339" w:type="dxa"/>
            <w:vAlign w:val="center"/>
          </w:tcPr>
          <w:p>
            <w:pPr>
              <w:spacing w:before="29" w:line="288" w:lineRule="auto"/>
              <w:jc w:val="right"/>
              <w:rPr>
                <w:kern w:val="0"/>
                <w:sz w:val="24"/>
              </w:rPr>
            </w:pPr>
            <w:r>
              <w:rPr>
                <w:kern w:val="0"/>
                <w:sz w:val="24"/>
              </w:rPr>
              <w:t>249,446,377.33</w:t>
            </w:r>
          </w:p>
        </w:tc>
        <w:tc>
          <w:tcPr>
            <w:tcW w:w="2339" w:type="dxa"/>
            <w:vAlign w:val="center"/>
          </w:tcPr>
          <w:p>
            <w:pPr>
              <w:spacing w:before="29" w:line="288" w:lineRule="auto"/>
              <w:jc w:val="right"/>
              <w:rPr>
                <w:kern w:val="0"/>
                <w:sz w:val="24"/>
              </w:rPr>
            </w:pPr>
            <w:r>
              <w:rPr>
                <w:kern w:val="0"/>
                <w:sz w:val="24"/>
              </w:rPr>
              <w:t>285,338,868.40</w:t>
            </w:r>
          </w:p>
        </w:tc>
        <w:tc>
          <w:tcPr>
            <w:tcW w:w="2340" w:type="dxa"/>
            <w:vAlign w:val="center"/>
          </w:tcPr>
          <w:p>
            <w:pPr>
              <w:spacing w:before="29" w:line="288" w:lineRule="auto"/>
              <w:jc w:val="right"/>
              <w:rPr>
                <w:kern w:val="0"/>
                <w:sz w:val="24"/>
              </w:rPr>
            </w:pPr>
            <w:r>
              <w:rPr>
                <w:kern w:val="0"/>
                <w:sz w:val="24"/>
              </w:rPr>
              <w:t>35,892,491.07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2268" w:type="dxa"/>
            <w:gridSpan w:val="2"/>
            <w:vMerge w:val="restart"/>
            <w:vAlign w:val="center"/>
          </w:tcPr>
          <w:p>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pPr>
              <w:spacing w:before="29" w:line="288" w:lineRule="auto"/>
              <w:jc w:val="center"/>
              <w:rPr>
                <w:color w:val="000000"/>
                <w:kern w:val="0"/>
                <w:sz w:val="24"/>
              </w:rPr>
            </w:pPr>
            <w:r>
              <w:rPr>
                <w:rFonts w:hint="eastAsia"/>
                <w:color w:val="000000"/>
                <w:kern w:val="0"/>
                <w:sz w:val="24"/>
              </w:rPr>
              <w:t>上年度末</w:t>
            </w:r>
          </w:p>
          <w:p>
            <w:pPr>
              <w:spacing w:before="29" w:line="288" w:lineRule="auto"/>
              <w:jc w:val="center"/>
              <w:rPr>
                <w:color w:val="000000"/>
                <w:kern w:val="0"/>
                <w:sz w:val="24"/>
              </w:rPr>
            </w:pPr>
            <w:r>
              <w:rPr>
                <w:color w:val="000000"/>
                <w:kern w:val="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Merge w:val="continue"/>
            <w:vAlign w:val="center"/>
          </w:tcPr>
          <w:p>
            <w:pPr>
              <w:spacing w:before="29" w:line="288" w:lineRule="auto"/>
              <w:jc w:val="center"/>
              <w:rPr>
                <w:color w:val="000000"/>
                <w:kern w:val="0"/>
                <w:sz w:val="24"/>
              </w:rPr>
            </w:pPr>
          </w:p>
        </w:tc>
        <w:tc>
          <w:tcPr>
            <w:tcW w:w="2339" w:type="dxa"/>
            <w:vAlign w:val="center"/>
          </w:tcPr>
          <w:p>
            <w:pPr>
              <w:spacing w:before="29" w:line="288" w:lineRule="auto"/>
              <w:jc w:val="center"/>
              <w:rPr>
                <w:color w:val="000000"/>
                <w:kern w:val="0"/>
                <w:sz w:val="24"/>
              </w:rPr>
            </w:pPr>
            <w:r>
              <w:rPr>
                <w:rFonts w:hint="eastAsia"/>
                <w:color w:val="000000"/>
                <w:kern w:val="0"/>
                <w:sz w:val="24"/>
              </w:rPr>
              <w:t>成本</w:t>
            </w:r>
          </w:p>
        </w:tc>
        <w:tc>
          <w:tcPr>
            <w:tcW w:w="2339" w:type="dxa"/>
            <w:vAlign w:val="center"/>
          </w:tcPr>
          <w:p>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pPr>
              <w:spacing w:before="29" w:line="288" w:lineRule="auto"/>
              <w:jc w:val="center"/>
              <w:rPr>
                <w:color w:val="000000"/>
                <w:kern w:val="0"/>
                <w:sz w:val="24"/>
              </w:rPr>
            </w:pPr>
            <w:r>
              <w:rPr>
                <w:rFonts w:hint="eastAsia"/>
                <w:color w:val="000000"/>
                <w:kern w:val="0"/>
                <w:sz w:val="24"/>
              </w:rPr>
              <w:t>公允价值变动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股票</w:t>
            </w:r>
          </w:p>
        </w:tc>
        <w:tc>
          <w:tcPr>
            <w:tcW w:w="2339" w:type="dxa"/>
            <w:vAlign w:val="center"/>
          </w:tcPr>
          <w:p>
            <w:pPr>
              <w:spacing w:before="29" w:line="288" w:lineRule="auto"/>
              <w:jc w:val="right"/>
              <w:rPr>
                <w:kern w:val="0"/>
                <w:sz w:val="24"/>
              </w:rPr>
            </w:pPr>
            <w:r>
              <w:rPr>
                <w:kern w:val="0"/>
                <w:sz w:val="24"/>
              </w:rPr>
              <w:t>209,942,919.42</w:t>
            </w:r>
          </w:p>
        </w:tc>
        <w:tc>
          <w:tcPr>
            <w:tcW w:w="2339" w:type="dxa"/>
            <w:vAlign w:val="center"/>
          </w:tcPr>
          <w:p>
            <w:pPr>
              <w:spacing w:before="29" w:line="288" w:lineRule="auto"/>
              <w:jc w:val="right"/>
              <w:rPr>
                <w:kern w:val="0"/>
                <w:sz w:val="24"/>
              </w:rPr>
            </w:pPr>
            <w:r>
              <w:rPr>
                <w:kern w:val="0"/>
                <w:sz w:val="24"/>
              </w:rPr>
              <w:t>224,693,782.71</w:t>
            </w:r>
          </w:p>
        </w:tc>
        <w:tc>
          <w:tcPr>
            <w:tcW w:w="2340" w:type="dxa"/>
            <w:vAlign w:val="center"/>
          </w:tcPr>
          <w:p>
            <w:pPr>
              <w:spacing w:before="29" w:line="288" w:lineRule="auto"/>
              <w:jc w:val="right"/>
              <w:rPr>
                <w:kern w:val="0"/>
                <w:sz w:val="24"/>
              </w:rPr>
            </w:pPr>
            <w:r>
              <w:rPr>
                <w:kern w:val="0"/>
                <w:sz w:val="24"/>
              </w:rPr>
              <w:t>14,750,863.29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贵金属投资-金交所黄金合约</w:t>
            </w:r>
          </w:p>
        </w:tc>
        <w:tc>
          <w:tcPr>
            <w:tcW w:w="2339" w:type="dxa"/>
            <w:vAlign w:val="center"/>
          </w:tcPr>
          <w:p>
            <w:pPr>
              <w:spacing w:before="29" w:line="288" w:lineRule="auto"/>
              <w:jc w:val="right"/>
              <w:rPr>
                <w:kern w:val="0"/>
                <w:sz w:val="24"/>
              </w:rPr>
            </w:pPr>
            <w:r>
              <w:rPr>
                <w:rFonts w:hint="eastAsia"/>
                <w:kern w:val="0"/>
                <w:sz w:val="24"/>
              </w:rPr>
              <w:t>-</w:t>
            </w:r>
          </w:p>
        </w:tc>
        <w:tc>
          <w:tcPr>
            <w:tcW w:w="2339" w:type="dxa"/>
            <w:vAlign w:val="center"/>
          </w:tcPr>
          <w:p>
            <w:pPr>
              <w:spacing w:before="29" w:line="288" w:lineRule="auto"/>
              <w:jc w:val="right"/>
              <w:rPr>
                <w:kern w:val="0"/>
                <w:sz w:val="24"/>
              </w:rPr>
            </w:pPr>
            <w:r>
              <w:rPr>
                <w:rFonts w:hint="eastAsia"/>
                <w:kern w:val="0"/>
                <w:sz w:val="24"/>
              </w:rPr>
              <w:t>-</w:t>
            </w:r>
          </w:p>
        </w:tc>
        <w:tc>
          <w:tcPr>
            <w:tcW w:w="2340" w:type="dxa"/>
            <w:vAlign w:val="center"/>
          </w:tcPr>
          <w:p>
            <w:pPr>
              <w:spacing w:before="29" w:line="288" w:lineRule="auto"/>
              <w:jc w:val="right"/>
              <w:rPr>
                <w:kern w:val="0"/>
                <w:sz w:val="24"/>
              </w:rPr>
            </w:pPr>
            <w:r>
              <w:rPr>
                <w:rFonts w:hint="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28" w:type="dxa"/>
            <w:vMerge w:val="restart"/>
            <w:vAlign w:val="center"/>
          </w:tcPr>
          <w:p>
            <w:pPr>
              <w:widowControl/>
              <w:spacing w:before="29" w:line="288" w:lineRule="auto"/>
              <w:rPr>
                <w:color w:val="000000"/>
                <w:kern w:val="0"/>
                <w:sz w:val="24"/>
              </w:rPr>
            </w:pPr>
            <w:r>
              <w:rPr>
                <w:rFonts w:hint="eastAsia"/>
                <w:color w:val="000000"/>
                <w:kern w:val="0"/>
                <w:sz w:val="24"/>
              </w:rPr>
              <w:t>债券</w:t>
            </w:r>
          </w:p>
        </w:tc>
        <w:tc>
          <w:tcPr>
            <w:tcW w:w="1440" w:type="dxa"/>
            <w:vAlign w:val="center"/>
          </w:tcPr>
          <w:p>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828" w:type="dxa"/>
            <w:vMerge w:val="continue"/>
            <w:vAlign w:val="center"/>
          </w:tcPr>
          <w:p>
            <w:pPr>
              <w:widowControl/>
              <w:spacing w:before="29" w:line="288" w:lineRule="auto"/>
              <w:rPr>
                <w:color w:val="000000"/>
                <w:kern w:val="0"/>
                <w:sz w:val="24"/>
              </w:rPr>
            </w:pPr>
          </w:p>
        </w:tc>
        <w:tc>
          <w:tcPr>
            <w:tcW w:w="1440" w:type="dxa"/>
            <w:vAlign w:val="center"/>
          </w:tcPr>
          <w:p>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pPr>
              <w:spacing w:before="29" w:line="288" w:lineRule="auto"/>
              <w:jc w:val="right"/>
              <w:rPr>
                <w:kern w:val="0"/>
                <w:sz w:val="24"/>
              </w:rPr>
            </w:pPr>
            <w:r>
              <w:rPr>
                <w:kern w:val="0"/>
                <w:sz w:val="24"/>
              </w:rPr>
              <w:t>10,010,340.00</w:t>
            </w:r>
          </w:p>
        </w:tc>
        <w:tc>
          <w:tcPr>
            <w:tcW w:w="2339" w:type="dxa"/>
            <w:vAlign w:val="center"/>
          </w:tcPr>
          <w:p>
            <w:pPr>
              <w:spacing w:before="29" w:line="288" w:lineRule="auto"/>
              <w:jc w:val="right"/>
              <w:rPr>
                <w:kern w:val="0"/>
                <w:sz w:val="24"/>
              </w:rPr>
            </w:pPr>
            <w:r>
              <w:rPr>
                <w:kern w:val="0"/>
                <w:sz w:val="24"/>
              </w:rPr>
              <w:t>10,013,000.00</w:t>
            </w:r>
          </w:p>
        </w:tc>
        <w:tc>
          <w:tcPr>
            <w:tcW w:w="2340" w:type="dxa"/>
            <w:vAlign w:val="center"/>
          </w:tcPr>
          <w:p>
            <w:pPr>
              <w:spacing w:before="29" w:line="288" w:lineRule="auto"/>
              <w:jc w:val="right"/>
              <w:rPr>
                <w:kern w:val="0"/>
                <w:sz w:val="24"/>
              </w:rPr>
            </w:pPr>
            <w:r>
              <w:rPr>
                <w:kern w:val="0"/>
                <w:sz w:val="24"/>
              </w:rPr>
              <w:t>2,660.00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828" w:type="dxa"/>
            <w:vMerge w:val="continue"/>
            <w:vAlign w:val="center"/>
          </w:tcPr>
          <w:p>
            <w:pPr>
              <w:widowControl/>
              <w:spacing w:before="29" w:line="288" w:lineRule="auto"/>
              <w:rPr>
                <w:color w:val="000000"/>
                <w:kern w:val="0"/>
                <w:sz w:val="24"/>
              </w:rPr>
            </w:pPr>
          </w:p>
        </w:tc>
        <w:tc>
          <w:tcPr>
            <w:tcW w:w="1440" w:type="dxa"/>
            <w:vAlign w:val="center"/>
          </w:tcPr>
          <w:p>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pPr>
              <w:spacing w:before="29" w:line="288" w:lineRule="auto"/>
              <w:jc w:val="right"/>
              <w:rPr>
                <w:kern w:val="0"/>
                <w:sz w:val="24"/>
              </w:rPr>
            </w:pPr>
            <w:r>
              <w:rPr>
                <w:kern w:val="0"/>
                <w:sz w:val="24"/>
              </w:rPr>
              <w:t>10,010,340.00</w:t>
            </w:r>
          </w:p>
        </w:tc>
        <w:tc>
          <w:tcPr>
            <w:tcW w:w="2339" w:type="dxa"/>
            <w:vAlign w:val="center"/>
          </w:tcPr>
          <w:p>
            <w:pPr>
              <w:spacing w:before="29" w:line="288" w:lineRule="auto"/>
              <w:jc w:val="right"/>
              <w:rPr>
                <w:kern w:val="0"/>
                <w:sz w:val="24"/>
              </w:rPr>
            </w:pPr>
            <w:r>
              <w:rPr>
                <w:kern w:val="0"/>
                <w:sz w:val="24"/>
              </w:rPr>
              <w:t>10,013,000.00</w:t>
            </w:r>
          </w:p>
        </w:tc>
        <w:tc>
          <w:tcPr>
            <w:tcW w:w="2340" w:type="dxa"/>
            <w:vAlign w:val="center"/>
          </w:tcPr>
          <w:p>
            <w:pPr>
              <w:spacing w:before="29" w:line="288" w:lineRule="auto"/>
              <w:jc w:val="right"/>
              <w:rPr>
                <w:kern w:val="0"/>
                <w:sz w:val="24"/>
              </w:rPr>
            </w:pPr>
            <w:r>
              <w:rPr>
                <w:kern w:val="0"/>
                <w:sz w:val="24"/>
              </w:rPr>
              <w:t>2,660.00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基金</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其他</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合计</w:t>
            </w:r>
          </w:p>
        </w:tc>
        <w:tc>
          <w:tcPr>
            <w:tcW w:w="2339" w:type="dxa"/>
            <w:vAlign w:val="center"/>
          </w:tcPr>
          <w:p>
            <w:pPr>
              <w:spacing w:before="29" w:line="288" w:lineRule="auto"/>
              <w:jc w:val="right"/>
              <w:rPr>
                <w:kern w:val="0"/>
                <w:sz w:val="24"/>
              </w:rPr>
            </w:pPr>
            <w:r>
              <w:rPr>
                <w:kern w:val="0"/>
                <w:sz w:val="24"/>
              </w:rPr>
              <w:t>219,953,259.42</w:t>
            </w:r>
          </w:p>
        </w:tc>
        <w:tc>
          <w:tcPr>
            <w:tcW w:w="2339" w:type="dxa"/>
            <w:vAlign w:val="center"/>
          </w:tcPr>
          <w:p>
            <w:pPr>
              <w:spacing w:before="29" w:line="288" w:lineRule="auto"/>
              <w:jc w:val="right"/>
              <w:rPr>
                <w:kern w:val="0"/>
                <w:sz w:val="24"/>
              </w:rPr>
            </w:pPr>
            <w:r>
              <w:rPr>
                <w:kern w:val="0"/>
                <w:sz w:val="24"/>
              </w:rPr>
              <w:t>234,706,782.71</w:t>
            </w:r>
          </w:p>
        </w:tc>
        <w:tc>
          <w:tcPr>
            <w:tcW w:w="2340" w:type="dxa"/>
            <w:vAlign w:val="center"/>
          </w:tcPr>
          <w:p>
            <w:pPr>
              <w:spacing w:before="29" w:line="288" w:lineRule="auto"/>
              <w:jc w:val="right"/>
              <w:rPr>
                <w:kern w:val="0"/>
                <w:sz w:val="24"/>
              </w:rPr>
            </w:pPr>
            <w:r>
              <w:rPr>
                <w:kern w:val="0"/>
                <w:sz w:val="24"/>
              </w:rPr>
              <w:t>14,753,523.29</w:t>
            </w:r>
          </w:p>
        </w:tc>
      </w:tr>
    </w:tbl>
    <w:p>
      <w:pPr>
        <w:adjustRightInd w:val="0"/>
        <w:snapToGrid w:val="0"/>
        <w:spacing w:line="360" w:lineRule="auto"/>
        <w:jc w:val="left"/>
        <w:rPr>
          <w:rFonts w:asciiTheme="minorEastAsia" w:hAnsiTheme="minorEastAsia" w:eastAsiaTheme="minorEastAsia"/>
          <w:bCs/>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7.4.7.3</w:t>
      </w:r>
      <w:r>
        <w:rPr>
          <w:rFonts w:hint="eastAsia" w:eastAsiaTheme="minorEastAsia"/>
          <w:b/>
          <w:color w:val="000000" w:themeColor="text1"/>
          <w:sz w:val="24"/>
        </w:rPr>
        <w:t>衍生金融资产</w:t>
      </w:r>
      <w:r>
        <w:rPr>
          <w:rFonts w:eastAsiaTheme="minorEastAsia"/>
          <w:b/>
          <w:color w:val="000000" w:themeColor="text1"/>
          <w:sz w:val="24"/>
        </w:rPr>
        <w:t>/</w:t>
      </w:r>
      <w:r>
        <w:rPr>
          <w:rFonts w:hint="eastAsia" w:eastAsiaTheme="minorEastAsia"/>
          <w:b/>
          <w:color w:val="000000" w:themeColor="text1"/>
          <w:sz w:val="24"/>
        </w:rPr>
        <w:t>负债</w:t>
      </w:r>
    </w:p>
    <w:p>
      <w:pPr>
        <w:tabs>
          <w:tab w:val="left" w:pos="426"/>
        </w:tabs>
        <w:spacing w:before="29" w:line="288" w:lineRule="auto"/>
        <w:jc w:val="left"/>
        <w:rPr>
          <w:kern w:val="0"/>
          <w:sz w:val="24"/>
        </w:rPr>
      </w:pPr>
      <w:r>
        <w:rPr>
          <w:kern w:val="0"/>
          <w:sz w:val="24"/>
        </w:rPr>
        <w:t>本基金本报告期末及上年度末未持有衍生金融工具。</w:t>
      </w:r>
    </w:p>
    <w:p>
      <w:pPr>
        <w:adjustRightInd w:val="0"/>
        <w:snapToGrid w:val="0"/>
        <w:spacing w:line="360" w:lineRule="auto"/>
        <w:jc w:val="left"/>
        <w:rPr>
          <w:rFonts w:asciiTheme="minorEastAsia" w:hAnsiTheme="minorEastAsia" w:eastAsiaTheme="minorEastAsia"/>
          <w:bCs/>
          <w:color w:val="000000"/>
          <w:szCs w:val="21"/>
        </w:rPr>
      </w:pPr>
    </w:p>
    <w:p>
      <w:pPr>
        <w:spacing w:before="29" w:line="288" w:lineRule="auto"/>
        <w:rPr>
          <w:rFonts w:eastAsiaTheme="minorEastAsia"/>
          <w:b/>
          <w:sz w:val="24"/>
        </w:rPr>
      </w:pPr>
      <w:r>
        <w:rPr>
          <w:rFonts w:eastAsiaTheme="minorEastAsia"/>
          <w:b/>
          <w:sz w:val="24"/>
        </w:rPr>
        <w:t>7.4.7.4</w:t>
      </w:r>
      <w:r>
        <w:rPr>
          <w:rFonts w:hint="eastAsia" w:eastAsiaTheme="minorEastAsia"/>
          <w:b/>
          <w:sz w:val="24"/>
        </w:rPr>
        <w:t>买入返售金融资产</w:t>
      </w:r>
    </w:p>
    <w:p>
      <w:pPr>
        <w:tabs>
          <w:tab w:val="left" w:pos="426"/>
        </w:tabs>
        <w:spacing w:line="360" w:lineRule="auto"/>
        <w:ind w:firstLine="480" w:firstLineChars="200"/>
        <w:jc w:val="left"/>
        <w:rPr>
          <w:rFonts w:eastAsiaTheme="minorEastAsia"/>
          <w:kern w:val="0"/>
          <w:sz w:val="24"/>
        </w:rPr>
      </w:pPr>
      <w:r>
        <w:rPr>
          <w:rFonts w:eastAsiaTheme="minorEastAsia"/>
          <w:kern w:val="0"/>
          <w:sz w:val="24"/>
        </w:rPr>
        <w:t>本基金本报告期末及上年度末未持有买入返售金融资产。</w:t>
      </w:r>
    </w:p>
    <w:p>
      <w:pPr>
        <w:adjustRightInd w:val="0"/>
        <w:snapToGrid w:val="0"/>
        <w:spacing w:line="360" w:lineRule="auto"/>
        <w:jc w:val="left"/>
        <w:rPr>
          <w:rFonts w:asciiTheme="minorEastAsia" w:hAnsiTheme="minorEastAsia" w:eastAsiaTheme="minorEastAsia"/>
          <w:bCs/>
          <w:color w:val="000000"/>
          <w:szCs w:val="21"/>
        </w:rPr>
      </w:pPr>
    </w:p>
    <w:p>
      <w:pPr>
        <w:spacing w:before="29" w:line="288" w:lineRule="auto"/>
        <w:rPr>
          <w:rFonts w:eastAsiaTheme="minorEastAsia"/>
          <w:b/>
          <w:sz w:val="24"/>
        </w:rPr>
      </w:pPr>
      <w:r>
        <w:rPr>
          <w:rFonts w:eastAsiaTheme="minorEastAsia"/>
          <w:b/>
          <w:sz w:val="24"/>
        </w:rPr>
        <w:t>7.4.7.5</w:t>
      </w:r>
      <w:r>
        <w:rPr>
          <w:rFonts w:hint="eastAsia" w:eastAsiaTheme="minorEastAsia"/>
          <w:b/>
          <w:sz w:val="24"/>
        </w:rPr>
        <w:t>应收利息</w:t>
      </w:r>
    </w:p>
    <w:p>
      <w:pPr>
        <w:spacing w:line="360" w:lineRule="auto"/>
        <w:jc w:val="right"/>
        <w:rPr>
          <w:rFonts w:eastAsiaTheme="minorEastAsia"/>
          <w:color w:val="000000"/>
          <w:sz w:val="24"/>
        </w:rPr>
      </w:pPr>
      <w:r>
        <w:rPr>
          <w:rFonts w:eastAsiaTheme="minorEastAsia"/>
          <w:color w:val="000000"/>
          <w:sz w:val="24"/>
        </w:rPr>
        <w:t>单位：人民币元</w:t>
      </w:r>
    </w:p>
    <w:tbl>
      <w:tblPr>
        <w:tblStyle w:val="25"/>
        <w:tblW w:w="9015"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1"/>
        <w:gridCol w:w="3258"/>
        <w:gridCol w:w="3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51" w:type="dxa"/>
            <w:vAlign w:val="center"/>
          </w:tcPr>
          <w:p>
            <w:pPr>
              <w:spacing w:line="360" w:lineRule="auto"/>
              <w:jc w:val="center"/>
              <w:rPr>
                <w:rFonts w:eastAsiaTheme="minorEastAsia"/>
                <w:sz w:val="24"/>
              </w:rPr>
            </w:pPr>
            <w:r>
              <w:rPr>
                <w:rFonts w:eastAsiaTheme="minorEastAsia"/>
                <w:sz w:val="24"/>
              </w:rPr>
              <w:t>项目</w:t>
            </w:r>
          </w:p>
        </w:tc>
        <w:tc>
          <w:tcPr>
            <w:tcW w:w="3258" w:type="dxa"/>
            <w:vAlign w:val="bottom"/>
          </w:tcPr>
          <w:p>
            <w:pPr>
              <w:spacing w:line="360" w:lineRule="auto"/>
              <w:jc w:val="center"/>
              <w:rPr>
                <w:rFonts w:eastAsiaTheme="minorEastAsia"/>
                <w:kern w:val="0"/>
                <w:sz w:val="24"/>
              </w:rPr>
            </w:pPr>
            <w:r>
              <w:rPr>
                <w:rFonts w:eastAsiaTheme="minorEastAsia"/>
                <w:kern w:val="0"/>
                <w:sz w:val="24"/>
              </w:rPr>
              <w:t>本期末</w:t>
            </w:r>
          </w:p>
          <w:p>
            <w:pPr>
              <w:spacing w:line="360" w:lineRule="auto"/>
              <w:jc w:val="center"/>
              <w:rPr>
                <w:rFonts w:eastAsiaTheme="minorEastAsia"/>
                <w:sz w:val="24"/>
              </w:rPr>
            </w:pPr>
            <w:r>
              <w:rPr>
                <w:rFonts w:eastAsiaTheme="minorEastAsia"/>
                <w:sz w:val="24"/>
              </w:rPr>
              <w:t>2020年12月31日</w:t>
            </w:r>
          </w:p>
        </w:tc>
        <w:tc>
          <w:tcPr>
            <w:tcW w:w="3406" w:type="dxa"/>
          </w:tcPr>
          <w:p>
            <w:pPr>
              <w:spacing w:line="360" w:lineRule="auto"/>
              <w:jc w:val="center"/>
              <w:rPr>
                <w:rFonts w:eastAsiaTheme="minorEastAsia"/>
                <w:kern w:val="0"/>
                <w:sz w:val="24"/>
              </w:rPr>
            </w:pPr>
            <w:r>
              <w:rPr>
                <w:rFonts w:eastAsiaTheme="minorEastAsia"/>
                <w:kern w:val="0"/>
                <w:sz w:val="24"/>
              </w:rPr>
              <w:t>上年度末</w:t>
            </w:r>
          </w:p>
          <w:p>
            <w:pPr>
              <w:spacing w:line="360" w:lineRule="auto"/>
              <w:jc w:val="center"/>
              <w:rPr>
                <w:rFonts w:eastAsiaTheme="minorEastAsia"/>
                <w:sz w:val="24"/>
              </w:rPr>
            </w:pPr>
            <w:r>
              <w:rPr>
                <w:rFonts w:eastAsiaTheme="minorEastAsia"/>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2351" w:type="dxa"/>
            <w:vAlign w:val="center"/>
          </w:tcPr>
          <w:p>
            <w:pPr>
              <w:spacing w:line="360" w:lineRule="auto"/>
              <w:rPr>
                <w:rFonts w:eastAsiaTheme="minorEastAsia"/>
                <w:sz w:val="24"/>
              </w:rPr>
            </w:pPr>
            <w:r>
              <w:rPr>
                <w:rFonts w:eastAsiaTheme="minorEastAsia"/>
                <w:sz w:val="24"/>
              </w:rPr>
              <w:t>应收活期存款利息</w:t>
            </w:r>
          </w:p>
        </w:tc>
        <w:tc>
          <w:tcPr>
            <w:tcW w:w="3258" w:type="dxa"/>
            <w:vAlign w:val="center"/>
          </w:tcPr>
          <w:p>
            <w:pPr>
              <w:spacing w:line="360" w:lineRule="auto"/>
              <w:jc w:val="right"/>
              <w:rPr>
                <w:rFonts w:eastAsiaTheme="minorEastAsia"/>
                <w:sz w:val="24"/>
              </w:rPr>
            </w:pPr>
            <w:r>
              <w:rPr>
                <w:rFonts w:eastAsiaTheme="minorEastAsia"/>
                <w:sz w:val="24"/>
              </w:rPr>
              <w:t>3,072.44</w:t>
            </w:r>
          </w:p>
        </w:tc>
        <w:tc>
          <w:tcPr>
            <w:tcW w:w="3406" w:type="dxa"/>
            <w:noWrap/>
            <w:vAlign w:val="center"/>
          </w:tcPr>
          <w:p>
            <w:pPr>
              <w:spacing w:line="360" w:lineRule="auto"/>
              <w:jc w:val="right"/>
              <w:rPr>
                <w:rFonts w:eastAsiaTheme="minorEastAsia"/>
                <w:sz w:val="24"/>
              </w:rPr>
            </w:pPr>
            <w:r>
              <w:rPr>
                <w:rFonts w:eastAsiaTheme="minorEastAsia"/>
                <w:sz w:val="24"/>
              </w:rPr>
              <w:t>2,334.41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2351" w:type="dxa"/>
            <w:vAlign w:val="center"/>
          </w:tcPr>
          <w:p>
            <w:pPr>
              <w:spacing w:line="360" w:lineRule="auto"/>
              <w:rPr>
                <w:rFonts w:eastAsiaTheme="minorEastAsia"/>
                <w:sz w:val="24"/>
              </w:rPr>
            </w:pPr>
            <w:r>
              <w:rPr>
                <w:rFonts w:eastAsiaTheme="minorEastAsia"/>
                <w:sz w:val="24"/>
              </w:rPr>
              <w:t>应收定期存款利息</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2351" w:type="dxa"/>
            <w:vAlign w:val="center"/>
          </w:tcPr>
          <w:p>
            <w:pPr>
              <w:spacing w:line="360" w:lineRule="auto"/>
              <w:rPr>
                <w:rFonts w:eastAsiaTheme="minorEastAsia"/>
                <w:sz w:val="24"/>
              </w:rPr>
            </w:pPr>
            <w:r>
              <w:rPr>
                <w:rFonts w:eastAsiaTheme="minorEastAsia"/>
                <w:sz w:val="24"/>
              </w:rPr>
              <w:t>应收其他存款利息</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2351" w:type="dxa"/>
            <w:vAlign w:val="center"/>
          </w:tcPr>
          <w:p>
            <w:pPr>
              <w:spacing w:line="360" w:lineRule="auto"/>
              <w:rPr>
                <w:rFonts w:eastAsiaTheme="minorEastAsia"/>
                <w:sz w:val="24"/>
              </w:rPr>
            </w:pPr>
            <w:r>
              <w:rPr>
                <w:rFonts w:eastAsiaTheme="minorEastAsia"/>
                <w:sz w:val="24"/>
              </w:rPr>
              <w:t>应收结算备付金利息</w:t>
            </w:r>
          </w:p>
        </w:tc>
        <w:tc>
          <w:tcPr>
            <w:tcW w:w="3258" w:type="dxa"/>
            <w:vAlign w:val="center"/>
          </w:tcPr>
          <w:p>
            <w:pPr>
              <w:spacing w:line="360" w:lineRule="auto"/>
              <w:jc w:val="right"/>
              <w:rPr>
                <w:rFonts w:eastAsiaTheme="minorEastAsia"/>
                <w:sz w:val="24"/>
              </w:rPr>
            </w:pPr>
            <w:r>
              <w:rPr>
                <w:rFonts w:eastAsiaTheme="minorEastAsia"/>
                <w:sz w:val="24"/>
              </w:rPr>
              <w:t>452.76</w:t>
            </w:r>
          </w:p>
        </w:tc>
        <w:tc>
          <w:tcPr>
            <w:tcW w:w="3406" w:type="dxa"/>
            <w:noWrap/>
            <w:vAlign w:val="center"/>
          </w:tcPr>
          <w:p>
            <w:pPr>
              <w:spacing w:line="360" w:lineRule="auto"/>
              <w:jc w:val="right"/>
              <w:rPr>
                <w:rFonts w:eastAsiaTheme="minorEastAsia"/>
                <w:sz w:val="24"/>
              </w:rPr>
            </w:pPr>
            <w:r>
              <w:rPr>
                <w:rFonts w:eastAsiaTheme="minorEastAsia"/>
                <w:sz w:val="24"/>
              </w:rPr>
              <w:t>283.25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351" w:type="dxa"/>
            <w:vAlign w:val="center"/>
          </w:tcPr>
          <w:p>
            <w:pPr>
              <w:spacing w:line="360" w:lineRule="auto"/>
              <w:rPr>
                <w:rFonts w:eastAsiaTheme="minorEastAsia"/>
                <w:sz w:val="24"/>
              </w:rPr>
            </w:pPr>
            <w:r>
              <w:rPr>
                <w:rFonts w:eastAsiaTheme="minorEastAsia"/>
                <w:sz w:val="24"/>
              </w:rPr>
              <w:t>应收债券利息</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130,986.34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2351" w:type="dxa"/>
            <w:vAlign w:val="bottom"/>
          </w:tcPr>
          <w:p>
            <w:pPr>
              <w:spacing w:line="360" w:lineRule="auto"/>
              <w:rPr>
                <w:rFonts w:eastAsiaTheme="minorEastAsia"/>
                <w:sz w:val="24"/>
              </w:rPr>
            </w:pPr>
            <w:r>
              <w:rPr>
                <w:rFonts w:hint="eastAsia" w:eastAsiaTheme="minorEastAsia"/>
                <w:sz w:val="24"/>
              </w:rPr>
              <w:t>应收资产支持证券利息</w:t>
            </w:r>
          </w:p>
        </w:tc>
        <w:tc>
          <w:tcPr>
            <w:tcW w:w="3258" w:type="dxa"/>
          </w:tcPr>
          <w:p>
            <w:pPr>
              <w:spacing w:line="360" w:lineRule="auto"/>
              <w:jc w:val="right"/>
              <w:rPr>
                <w:rFonts w:eastAsiaTheme="minorEastAsia"/>
                <w:sz w:val="24"/>
              </w:rPr>
            </w:pPr>
            <w:r>
              <w:rPr>
                <w:rFonts w:eastAsiaTheme="minorEastAsia"/>
                <w:sz w:val="24"/>
              </w:rPr>
              <w:t>-</w:t>
            </w:r>
          </w:p>
        </w:tc>
        <w:tc>
          <w:tcPr>
            <w:tcW w:w="3406" w:type="dxa"/>
            <w:noWrap/>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2351" w:type="dxa"/>
            <w:vAlign w:val="center"/>
          </w:tcPr>
          <w:p>
            <w:pPr>
              <w:spacing w:line="360" w:lineRule="auto"/>
              <w:rPr>
                <w:rFonts w:eastAsiaTheme="minorEastAsia"/>
                <w:sz w:val="24"/>
              </w:rPr>
            </w:pPr>
            <w:r>
              <w:rPr>
                <w:rFonts w:eastAsiaTheme="minorEastAsia"/>
                <w:sz w:val="24"/>
              </w:rPr>
              <w:t>应收买入返售证券利息</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351" w:type="dxa"/>
            <w:vAlign w:val="center"/>
          </w:tcPr>
          <w:p>
            <w:pPr>
              <w:spacing w:line="360" w:lineRule="auto"/>
              <w:rPr>
                <w:rFonts w:eastAsiaTheme="minorEastAsia"/>
                <w:sz w:val="24"/>
              </w:rPr>
            </w:pPr>
            <w:r>
              <w:rPr>
                <w:rFonts w:eastAsiaTheme="minorEastAsia"/>
                <w:sz w:val="24"/>
              </w:rPr>
              <w:t>应收申购款利息</w:t>
            </w:r>
          </w:p>
        </w:tc>
        <w:tc>
          <w:tcPr>
            <w:tcW w:w="3258" w:type="dxa"/>
            <w:vAlign w:val="center"/>
          </w:tcPr>
          <w:p>
            <w:pPr>
              <w:spacing w:line="360" w:lineRule="auto"/>
              <w:jc w:val="right"/>
              <w:rPr>
                <w:rFonts w:eastAsiaTheme="minorEastAsia"/>
                <w:sz w:val="24"/>
              </w:rPr>
            </w:pPr>
            <w:r>
              <w:rPr>
                <w:rFonts w:eastAsiaTheme="minorEastAsia"/>
                <w:sz w:val="24"/>
              </w:rPr>
              <w:t>0.89</w:t>
            </w:r>
          </w:p>
        </w:tc>
        <w:tc>
          <w:tcPr>
            <w:tcW w:w="3406" w:type="dxa"/>
            <w:noWrap/>
            <w:vAlign w:val="center"/>
          </w:tcPr>
          <w:p>
            <w:pPr>
              <w:spacing w:line="360" w:lineRule="auto"/>
              <w:jc w:val="right"/>
              <w:rPr>
                <w:rFonts w:eastAsiaTheme="minorEastAsia"/>
                <w:sz w:val="24"/>
              </w:rPr>
            </w:pPr>
            <w:r>
              <w:rPr>
                <w:rFonts w:eastAsiaTheme="minorEastAsia"/>
                <w:sz w:val="24"/>
              </w:rPr>
              <w:t>0.68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351" w:type="dxa"/>
            <w:vAlign w:val="center"/>
          </w:tcPr>
          <w:p>
            <w:pPr>
              <w:spacing w:line="360" w:lineRule="auto"/>
              <w:rPr>
                <w:rFonts w:eastAsiaTheme="minorEastAsia"/>
                <w:sz w:val="24"/>
              </w:rPr>
            </w:pPr>
            <w:r>
              <w:rPr>
                <w:rFonts w:eastAsiaTheme="minorEastAsia"/>
                <w:sz w:val="24"/>
              </w:rPr>
              <w:t>应收黄金合约拆借孳息</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351" w:type="dxa"/>
            <w:vAlign w:val="center"/>
          </w:tcPr>
          <w:p>
            <w:pPr>
              <w:spacing w:line="360" w:lineRule="auto"/>
              <w:rPr>
                <w:rFonts w:eastAsiaTheme="minorEastAsia"/>
                <w:sz w:val="24"/>
              </w:rPr>
            </w:pPr>
            <w:r>
              <w:rPr>
                <w:rFonts w:eastAsiaTheme="minorEastAsia"/>
                <w:sz w:val="24"/>
              </w:rPr>
              <w:t>其他</w:t>
            </w:r>
          </w:p>
        </w:tc>
        <w:tc>
          <w:tcPr>
            <w:tcW w:w="3258" w:type="dxa"/>
            <w:vAlign w:val="center"/>
          </w:tcPr>
          <w:p>
            <w:pPr>
              <w:spacing w:line="360" w:lineRule="auto"/>
              <w:jc w:val="right"/>
              <w:rPr>
                <w:rFonts w:eastAsiaTheme="minorEastAsia"/>
                <w:sz w:val="24"/>
              </w:rPr>
            </w:pPr>
            <w:r>
              <w:rPr>
                <w:rFonts w:eastAsiaTheme="minorEastAsia"/>
                <w:sz w:val="24"/>
              </w:rPr>
              <w:t>74.69</w:t>
            </w:r>
          </w:p>
        </w:tc>
        <w:tc>
          <w:tcPr>
            <w:tcW w:w="3406" w:type="dxa"/>
            <w:noWrap/>
            <w:vAlign w:val="center"/>
          </w:tcPr>
          <w:p>
            <w:pPr>
              <w:spacing w:line="360" w:lineRule="auto"/>
              <w:jc w:val="right"/>
              <w:rPr>
                <w:rFonts w:eastAsiaTheme="minorEastAsia"/>
                <w:sz w:val="24"/>
              </w:rPr>
            </w:pPr>
            <w:r>
              <w:rPr>
                <w:rFonts w:eastAsiaTheme="minorEastAsia"/>
                <w:sz w:val="24"/>
              </w:rPr>
              <w:t>60.39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51" w:type="dxa"/>
            <w:vAlign w:val="center"/>
          </w:tcPr>
          <w:p>
            <w:pPr>
              <w:spacing w:line="360" w:lineRule="auto"/>
              <w:jc w:val="center"/>
              <w:rPr>
                <w:rFonts w:eastAsiaTheme="minorEastAsia"/>
                <w:sz w:val="24"/>
              </w:rPr>
            </w:pPr>
            <w:r>
              <w:rPr>
                <w:rFonts w:eastAsiaTheme="minorEastAsia"/>
                <w:sz w:val="24"/>
              </w:rPr>
              <w:t>合计</w:t>
            </w:r>
          </w:p>
        </w:tc>
        <w:tc>
          <w:tcPr>
            <w:tcW w:w="3258" w:type="dxa"/>
            <w:vAlign w:val="center"/>
          </w:tcPr>
          <w:p>
            <w:pPr>
              <w:spacing w:line="360" w:lineRule="auto"/>
              <w:jc w:val="right"/>
              <w:rPr>
                <w:rFonts w:eastAsiaTheme="minorEastAsia"/>
                <w:sz w:val="24"/>
              </w:rPr>
            </w:pPr>
            <w:r>
              <w:rPr>
                <w:rFonts w:eastAsiaTheme="minorEastAsia"/>
                <w:sz w:val="24"/>
              </w:rPr>
              <w:t>3,600.78</w:t>
            </w:r>
          </w:p>
        </w:tc>
        <w:tc>
          <w:tcPr>
            <w:tcW w:w="3406" w:type="dxa"/>
            <w:noWrap/>
            <w:vAlign w:val="center"/>
          </w:tcPr>
          <w:p>
            <w:pPr>
              <w:spacing w:line="360" w:lineRule="auto"/>
              <w:jc w:val="right"/>
              <w:rPr>
                <w:rFonts w:eastAsiaTheme="minorEastAsia"/>
                <w:sz w:val="24"/>
              </w:rPr>
            </w:pPr>
            <w:r>
              <w:rPr>
                <w:rFonts w:eastAsiaTheme="minorEastAsia"/>
                <w:sz w:val="24"/>
              </w:rPr>
              <w:t>133,665.07</w:t>
            </w:r>
          </w:p>
        </w:tc>
      </w:tr>
    </w:tbl>
    <w:p>
      <w:pPr>
        <w:spacing w:line="360" w:lineRule="auto"/>
        <w:rPr>
          <w:rFonts w:asciiTheme="minorEastAsia" w:hAnsiTheme="minorEastAsia" w:eastAsiaTheme="minorEastAsia"/>
          <w:color w:val="000000"/>
          <w:szCs w:val="21"/>
        </w:rPr>
      </w:pPr>
    </w:p>
    <w:p>
      <w:pPr>
        <w:spacing w:before="312" w:beforeLines="100" w:line="360" w:lineRule="auto"/>
        <w:rPr>
          <w:rFonts w:eastAsiaTheme="minorEastAsia"/>
          <w:b/>
          <w:color w:val="000000" w:themeColor="text1"/>
          <w:sz w:val="24"/>
        </w:rPr>
      </w:pPr>
      <w:r>
        <w:rPr>
          <w:rFonts w:eastAsiaTheme="minorEastAsia"/>
          <w:b/>
          <w:bCs/>
          <w:color w:val="000000" w:themeColor="text1"/>
          <w:kern w:val="0"/>
          <w:sz w:val="24"/>
        </w:rPr>
        <w:t xml:space="preserve">7.4.7.6 </w:t>
      </w:r>
      <w:r>
        <w:rPr>
          <w:rFonts w:eastAsiaTheme="minorEastAsia"/>
          <w:b/>
          <w:color w:val="000000" w:themeColor="text1"/>
          <w:sz w:val="24"/>
        </w:rPr>
        <w:t>其他资产</w:t>
      </w:r>
    </w:p>
    <w:p>
      <w:pPr>
        <w:tabs>
          <w:tab w:val="left" w:pos="426"/>
        </w:tabs>
        <w:spacing w:line="360" w:lineRule="auto"/>
        <w:ind w:firstLine="480" w:firstLineChars="200"/>
        <w:jc w:val="left"/>
        <w:rPr>
          <w:rFonts w:eastAsiaTheme="minorEastAsia"/>
          <w:color w:val="000000" w:themeColor="text1"/>
          <w:kern w:val="0"/>
          <w:sz w:val="24"/>
        </w:rPr>
      </w:pPr>
      <w:r>
        <w:rPr>
          <w:rFonts w:eastAsiaTheme="minorEastAsia"/>
          <w:color w:val="000000" w:themeColor="text1"/>
          <w:kern w:val="0"/>
          <w:sz w:val="24"/>
        </w:rPr>
        <w:t>本基金本报告期末</w:t>
      </w:r>
      <w:r>
        <w:rPr>
          <w:rFonts w:hint="eastAsia" w:eastAsiaTheme="minorEastAsia"/>
          <w:color w:val="000000" w:themeColor="text1"/>
          <w:kern w:val="0"/>
          <w:sz w:val="24"/>
        </w:rPr>
        <w:t>及上年度末</w:t>
      </w:r>
      <w:r>
        <w:rPr>
          <w:rFonts w:eastAsiaTheme="minorEastAsia"/>
          <w:color w:val="000000" w:themeColor="text1"/>
          <w:kern w:val="0"/>
          <w:sz w:val="24"/>
        </w:rPr>
        <w:t>未持有其他资产。</w:t>
      </w:r>
    </w:p>
    <w:p>
      <w:pPr>
        <w:spacing w:line="360" w:lineRule="auto"/>
        <w:rPr>
          <w:rFonts w:eastAsiaTheme="minorEastAsia"/>
          <w:b/>
          <w:color w:val="000000" w:themeColor="text1"/>
          <w:sz w:val="24"/>
        </w:rPr>
      </w:pPr>
      <w:r>
        <w:rPr>
          <w:rFonts w:eastAsiaTheme="minorEastAsia"/>
          <w:b/>
          <w:color w:val="000000" w:themeColor="text1"/>
          <w:sz w:val="24"/>
        </w:rPr>
        <w:t>7.4.7.7</w:t>
      </w:r>
      <w:r>
        <w:rPr>
          <w:rFonts w:hint="eastAsia" w:eastAsiaTheme="minorEastAsia"/>
          <w:b/>
          <w:color w:val="000000" w:themeColor="text1"/>
          <w:sz w:val="24"/>
        </w:rPr>
        <w:t>应付交易费用</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25"/>
        <w:tblW w:w="0" w:type="auto"/>
        <w:tblInd w:w="-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5"/>
        <w:gridCol w:w="315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65" w:type="dxa"/>
            <w:vAlign w:val="center"/>
          </w:tcPr>
          <w:p>
            <w:pPr>
              <w:spacing w:before="29" w:line="288" w:lineRule="auto"/>
              <w:jc w:val="center"/>
              <w:rPr>
                <w:color w:val="000000"/>
                <w:kern w:val="0"/>
                <w:sz w:val="24"/>
              </w:rPr>
            </w:pPr>
            <w:r>
              <w:rPr>
                <w:rFonts w:hint="eastAsia"/>
                <w:color w:val="000000"/>
                <w:kern w:val="0"/>
                <w:sz w:val="24"/>
              </w:rPr>
              <w:t>项目</w:t>
            </w:r>
          </w:p>
        </w:tc>
        <w:tc>
          <w:tcPr>
            <w:tcW w:w="3150" w:type="dxa"/>
            <w:vAlign w:val="center"/>
          </w:tcPr>
          <w:p>
            <w:pPr>
              <w:spacing w:before="29" w:line="288" w:lineRule="auto"/>
              <w:jc w:val="center"/>
              <w:rPr>
                <w:color w:val="000000"/>
                <w:kern w:val="0"/>
                <w:sz w:val="24"/>
              </w:rPr>
            </w:pPr>
            <w:r>
              <w:rPr>
                <w:rFonts w:hint="eastAsia"/>
                <w:color w:val="000000"/>
                <w:kern w:val="0"/>
                <w:sz w:val="24"/>
              </w:rPr>
              <w:t>本期末</w:t>
            </w:r>
          </w:p>
          <w:p>
            <w:pPr>
              <w:spacing w:before="29" w:line="288" w:lineRule="auto"/>
              <w:jc w:val="center"/>
              <w:rPr>
                <w:color w:val="000000"/>
                <w:kern w:val="0"/>
                <w:sz w:val="24"/>
              </w:rPr>
            </w:pPr>
            <w:r>
              <w:rPr>
                <w:color w:val="000000"/>
                <w:kern w:val="0"/>
                <w:sz w:val="24"/>
              </w:rPr>
              <w:t>2020年12月31日</w:t>
            </w:r>
          </w:p>
        </w:tc>
        <w:tc>
          <w:tcPr>
            <w:tcW w:w="3150" w:type="dxa"/>
            <w:vAlign w:val="center"/>
          </w:tcPr>
          <w:p>
            <w:pPr>
              <w:spacing w:before="29" w:line="288" w:lineRule="auto"/>
              <w:jc w:val="center"/>
              <w:rPr>
                <w:color w:val="000000"/>
                <w:kern w:val="0"/>
                <w:sz w:val="24"/>
              </w:rPr>
            </w:pPr>
            <w:r>
              <w:rPr>
                <w:rFonts w:hint="eastAsia"/>
                <w:color w:val="000000"/>
                <w:kern w:val="0"/>
                <w:sz w:val="24"/>
              </w:rPr>
              <w:t>上年度末</w:t>
            </w:r>
          </w:p>
          <w:p>
            <w:pPr>
              <w:spacing w:before="29" w:line="288" w:lineRule="auto"/>
              <w:jc w:val="center"/>
              <w:rPr>
                <w:color w:val="000000"/>
                <w:kern w:val="0"/>
                <w:sz w:val="24"/>
              </w:rPr>
            </w:pPr>
            <w:r>
              <w:rPr>
                <w:color w:val="000000"/>
                <w:kern w:val="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trPr>
        <w:tc>
          <w:tcPr>
            <w:tcW w:w="2765" w:type="dxa"/>
            <w:vAlign w:val="center"/>
          </w:tcPr>
          <w:p>
            <w:pPr>
              <w:widowControl/>
              <w:spacing w:before="29" w:line="288" w:lineRule="auto"/>
              <w:rPr>
                <w:color w:val="000000"/>
                <w:kern w:val="0"/>
                <w:sz w:val="24"/>
              </w:rPr>
            </w:pPr>
            <w:r>
              <w:rPr>
                <w:rFonts w:hint="eastAsia"/>
                <w:color w:val="000000"/>
                <w:kern w:val="0"/>
                <w:sz w:val="24"/>
              </w:rPr>
              <w:t>交易所市场应付交易费用</w:t>
            </w:r>
          </w:p>
        </w:tc>
        <w:tc>
          <w:tcPr>
            <w:tcW w:w="3150" w:type="dxa"/>
            <w:vAlign w:val="center"/>
          </w:tcPr>
          <w:p>
            <w:pPr>
              <w:spacing w:before="29" w:line="288" w:lineRule="auto"/>
              <w:jc w:val="right"/>
              <w:rPr>
                <w:kern w:val="0"/>
                <w:sz w:val="24"/>
              </w:rPr>
            </w:pPr>
            <w:r>
              <w:rPr>
                <w:kern w:val="0"/>
                <w:sz w:val="24"/>
              </w:rPr>
              <w:t>736,853.13</w:t>
            </w:r>
          </w:p>
        </w:tc>
        <w:tc>
          <w:tcPr>
            <w:tcW w:w="3150" w:type="dxa"/>
            <w:vAlign w:val="center"/>
          </w:tcPr>
          <w:p>
            <w:pPr>
              <w:spacing w:before="29" w:line="288" w:lineRule="auto"/>
              <w:jc w:val="right"/>
              <w:rPr>
                <w:kern w:val="0"/>
                <w:sz w:val="24"/>
              </w:rPr>
            </w:pPr>
            <w:r>
              <w:rPr>
                <w:kern w:val="0"/>
                <w:sz w:val="24"/>
              </w:rPr>
              <w:t>431,906.95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2765" w:type="dxa"/>
            <w:vAlign w:val="center"/>
          </w:tcPr>
          <w:p>
            <w:pPr>
              <w:widowControl/>
              <w:spacing w:before="29" w:line="288" w:lineRule="auto"/>
              <w:rPr>
                <w:color w:val="000000"/>
                <w:kern w:val="0"/>
                <w:sz w:val="24"/>
              </w:rPr>
            </w:pPr>
            <w:r>
              <w:rPr>
                <w:rFonts w:hint="eastAsia"/>
                <w:color w:val="000000"/>
                <w:kern w:val="0"/>
                <w:sz w:val="24"/>
              </w:rPr>
              <w:t>银行间市场应付交易费用</w:t>
            </w:r>
          </w:p>
        </w:tc>
        <w:tc>
          <w:tcPr>
            <w:tcW w:w="3150" w:type="dxa"/>
            <w:vAlign w:val="center"/>
          </w:tcPr>
          <w:p>
            <w:pPr>
              <w:spacing w:before="29" w:line="288" w:lineRule="auto"/>
              <w:jc w:val="right"/>
              <w:rPr>
                <w:kern w:val="0"/>
                <w:sz w:val="24"/>
              </w:rPr>
            </w:pPr>
            <w:r>
              <w:rPr>
                <w:kern w:val="0"/>
                <w:sz w:val="24"/>
              </w:rPr>
              <w:t>-</w:t>
            </w:r>
          </w:p>
        </w:tc>
        <w:tc>
          <w:tcPr>
            <w:tcW w:w="315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65" w:type="dxa"/>
            <w:vAlign w:val="center"/>
          </w:tcPr>
          <w:p>
            <w:pPr>
              <w:widowControl/>
              <w:spacing w:before="29" w:line="288" w:lineRule="auto"/>
              <w:rPr>
                <w:rFonts w:ascii="宋体" w:hAnsi="宋体"/>
                <w:szCs w:val="21"/>
              </w:rPr>
            </w:pPr>
            <w:r>
              <w:rPr>
                <w:rFonts w:hint="eastAsia"/>
                <w:color w:val="000000"/>
                <w:kern w:val="0"/>
                <w:sz w:val="24"/>
              </w:rPr>
              <w:t>合计</w:t>
            </w:r>
          </w:p>
        </w:tc>
        <w:tc>
          <w:tcPr>
            <w:tcW w:w="3150" w:type="dxa"/>
            <w:vAlign w:val="center"/>
          </w:tcPr>
          <w:p>
            <w:pPr>
              <w:spacing w:before="29" w:line="288" w:lineRule="auto"/>
              <w:jc w:val="right"/>
              <w:rPr>
                <w:kern w:val="0"/>
                <w:sz w:val="24"/>
              </w:rPr>
            </w:pPr>
            <w:r>
              <w:rPr>
                <w:kern w:val="0"/>
                <w:sz w:val="24"/>
              </w:rPr>
              <w:t>736,853.13</w:t>
            </w:r>
          </w:p>
        </w:tc>
        <w:tc>
          <w:tcPr>
            <w:tcW w:w="3150" w:type="dxa"/>
            <w:vAlign w:val="center"/>
          </w:tcPr>
          <w:p>
            <w:pPr>
              <w:spacing w:before="29" w:line="288" w:lineRule="auto"/>
              <w:jc w:val="right"/>
              <w:rPr>
                <w:kern w:val="0"/>
                <w:sz w:val="24"/>
              </w:rPr>
            </w:pPr>
            <w:r>
              <w:rPr>
                <w:kern w:val="0"/>
                <w:sz w:val="24"/>
              </w:rPr>
              <w:t>431,906.95</w:t>
            </w:r>
          </w:p>
        </w:tc>
      </w:tr>
    </w:tbl>
    <w:p>
      <w:pPr>
        <w:spacing w:line="360" w:lineRule="auto"/>
        <w:rPr>
          <w:rFonts w:asciiTheme="minorEastAsia" w:hAnsiTheme="minorEastAsia" w:eastAsiaTheme="minorEastAsia"/>
          <w:b/>
          <w:bCs/>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7.4.7.8</w:t>
      </w:r>
      <w:r>
        <w:rPr>
          <w:rFonts w:hint="eastAsia" w:eastAsiaTheme="minorEastAsia"/>
          <w:b/>
          <w:color w:val="000000" w:themeColor="text1"/>
          <w:sz w:val="24"/>
        </w:rPr>
        <w:t>其他负债</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25"/>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5"/>
        <w:gridCol w:w="315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715" w:type="dxa"/>
            <w:vAlign w:val="center"/>
          </w:tcPr>
          <w:p>
            <w:pPr>
              <w:spacing w:before="29" w:line="288" w:lineRule="auto"/>
              <w:jc w:val="center"/>
              <w:rPr>
                <w:color w:val="000000"/>
                <w:kern w:val="0"/>
                <w:sz w:val="24"/>
              </w:rPr>
            </w:pPr>
            <w:r>
              <w:rPr>
                <w:rFonts w:hint="eastAsia"/>
                <w:color w:val="000000"/>
                <w:kern w:val="0"/>
                <w:sz w:val="24"/>
              </w:rPr>
              <w:t>项目</w:t>
            </w:r>
          </w:p>
        </w:tc>
        <w:tc>
          <w:tcPr>
            <w:tcW w:w="3150" w:type="dxa"/>
            <w:vAlign w:val="center"/>
          </w:tcPr>
          <w:p>
            <w:pPr>
              <w:spacing w:before="29" w:line="288" w:lineRule="auto"/>
              <w:jc w:val="center"/>
              <w:rPr>
                <w:color w:val="000000"/>
                <w:kern w:val="0"/>
                <w:sz w:val="24"/>
              </w:rPr>
            </w:pPr>
            <w:r>
              <w:rPr>
                <w:rFonts w:hint="eastAsia"/>
                <w:color w:val="000000"/>
                <w:kern w:val="0"/>
                <w:sz w:val="24"/>
              </w:rPr>
              <w:t>本期末</w:t>
            </w:r>
          </w:p>
          <w:p>
            <w:pPr>
              <w:spacing w:before="29" w:line="288" w:lineRule="auto"/>
              <w:jc w:val="center"/>
              <w:rPr>
                <w:color w:val="000000"/>
                <w:kern w:val="0"/>
                <w:sz w:val="24"/>
              </w:rPr>
            </w:pPr>
            <w:r>
              <w:rPr>
                <w:color w:val="000000"/>
                <w:kern w:val="0"/>
                <w:sz w:val="24"/>
              </w:rPr>
              <w:t>2020年12月31日</w:t>
            </w:r>
          </w:p>
        </w:tc>
        <w:tc>
          <w:tcPr>
            <w:tcW w:w="3150" w:type="dxa"/>
            <w:vAlign w:val="center"/>
          </w:tcPr>
          <w:p>
            <w:pPr>
              <w:spacing w:before="29" w:line="288" w:lineRule="auto"/>
              <w:jc w:val="center"/>
              <w:rPr>
                <w:color w:val="000000"/>
                <w:kern w:val="0"/>
                <w:sz w:val="24"/>
              </w:rPr>
            </w:pPr>
            <w:r>
              <w:rPr>
                <w:rFonts w:hint="eastAsia"/>
                <w:color w:val="000000"/>
                <w:kern w:val="0"/>
                <w:sz w:val="24"/>
              </w:rPr>
              <w:t>上年度末</w:t>
            </w:r>
          </w:p>
          <w:p>
            <w:pPr>
              <w:spacing w:before="29" w:line="288" w:lineRule="auto"/>
              <w:jc w:val="center"/>
              <w:rPr>
                <w:color w:val="000000"/>
                <w:kern w:val="0"/>
                <w:sz w:val="24"/>
              </w:rPr>
            </w:pPr>
            <w:r>
              <w:rPr>
                <w:color w:val="000000"/>
                <w:kern w:val="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15" w:type="dxa"/>
            <w:vAlign w:val="center"/>
          </w:tcPr>
          <w:p>
            <w:pPr>
              <w:widowControl/>
              <w:spacing w:before="29" w:line="288" w:lineRule="auto"/>
              <w:rPr>
                <w:color w:val="000000"/>
                <w:kern w:val="0"/>
                <w:sz w:val="24"/>
              </w:rPr>
            </w:pPr>
            <w:r>
              <w:rPr>
                <w:rFonts w:hint="eastAsia"/>
                <w:color w:val="000000"/>
                <w:kern w:val="0"/>
                <w:sz w:val="24"/>
              </w:rPr>
              <w:t>应付券商交易单元保证金</w:t>
            </w:r>
          </w:p>
        </w:tc>
        <w:tc>
          <w:tcPr>
            <w:tcW w:w="3150" w:type="dxa"/>
            <w:vAlign w:val="center"/>
          </w:tcPr>
          <w:p>
            <w:pPr>
              <w:spacing w:before="29" w:line="288" w:lineRule="auto"/>
              <w:jc w:val="right"/>
              <w:rPr>
                <w:kern w:val="0"/>
                <w:sz w:val="24"/>
              </w:rPr>
            </w:pPr>
            <w:r>
              <w:rPr>
                <w:kern w:val="0"/>
                <w:sz w:val="24"/>
              </w:rPr>
              <w:t>-</w:t>
            </w:r>
          </w:p>
        </w:tc>
        <w:tc>
          <w:tcPr>
            <w:tcW w:w="315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15" w:type="dxa"/>
            <w:vAlign w:val="center"/>
          </w:tcPr>
          <w:p>
            <w:pPr>
              <w:widowControl/>
              <w:spacing w:before="29" w:line="288" w:lineRule="auto"/>
              <w:rPr>
                <w:color w:val="000000"/>
                <w:kern w:val="0"/>
                <w:sz w:val="24"/>
              </w:rPr>
            </w:pPr>
            <w:r>
              <w:rPr>
                <w:rFonts w:hint="eastAsia"/>
                <w:color w:val="000000"/>
                <w:kern w:val="0"/>
                <w:sz w:val="24"/>
              </w:rPr>
              <w:t>应付赎回费</w:t>
            </w:r>
          </w:p>
        </w:tc>
        <w:tc>
          <w:tcPr>
            <w:tcW w:w="3150" w:type="dxa"/>
            <w:vAlign w:val="center"/>
          </w:tcPr>
          <w:p>
            <w:pPr>
              <w:spacing w:before="29" w:line="288" w:lineRule="auto"/>
              <w:jc w:val="right"/>
              <w:rPr>
                <w:kern w:val="0"/>
                <w:sz w:val="24"/>
              </w:rPr>
            </w:pPr>
            <w:r>
              <w:rPr>
                <w:kern w:val="0"/>
                <w:sz w:val="24"/>
              </w:rPr>
              <w:t>1,384.60</w:t>
            </w:r>
          </w:p>
        </w:tc>
        <w:tc>
          <w:tcPr>
            <w:tcW w:w="3150" w:type="dxa"/>
            <w:vAlign w:val="center"/>
          </w:tcPr>
          <w:p>
            <w:pPr>
              <w:spacing w:before="29" w:line="288" w:lineRule="auto"/>
              <w:jc w:val="right"/>
              <w:rPr>
                <w:kern w:val="0"/>
                <w:sz w:val="24"/>
              </w:rPr>
            </w:pPr>
            <w:r>
              <w:rPr>
                <w:kern w:val="0"/>
                <w:sz w:val="24"/>
              </w:rPr>
              <w:t>4,465.94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15" w:type="dxa"/>
            <w:vAlign w:val="center"/>
          </w:tcPr>
          <w:p>
            <w:pPr>
              <w:jc w:val="left"/>
            </w:pPr>
            <w:r>
              <w:rPr>
                <w:kern w:val="0"/>
                <w:sz w:val="24"/>
              </w:rPr>
              <w:t>预提信息披露费</w:t>
            </w:r>
          </w:p>
        </w:tc>
        <w:tc>
          <w:tcPr>
            <w:tcW w:w="3150" w:type="dxa"/>
            <w:vAlign w:val="center"/>
          </w:tcPr>
          <w:p>
            <w:pPr>
              <w:jc w:val="right"/>
            </w:pPr>
            <w:r>
              <w:rPr>
                <w:kern w:val="0"/>
                <w:sz w:val="24"/>
              </w:rPr>
              <w:t>120,000.00</w:t>
            </w:r>
          </w:p>
        </w:tc>
        <w:tc>
          <w:tcPr>
            <w:tcW w:w="3150" w:type="dxa"/>
            <w:vAlign w:val="center"/>
          </w:tcPr>
          <w:p>
            <w:pPr>
              <w:jc w:val="right"/>
            </w:pPr>
            <w:r>
              <w:rPr>
                <w:kern w:val="0"/>
                <w:sz w:val="24"/>
              </w:rPr>
              <w:t>120,000.00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15" w:type="dxa"/>
            <w:vAlign w:val="center"/>
          </w:tcPr>
          <w:p>
            <w:pPr>
              <w:jc w:val="left"/>
            </w:pPr>
            <w:r>
              <w:rPr>
                <w:kern w:val="0"/>
                <w:sz w:val="24"/>
              </w:rPr>
              <w:t>预提审计费</w:t>
            </w:r>
          </w:p>
        </w:tc>
        <w:tc>
          <w:tcPr>
            <w:tcW w:w="3150" w:type="dxa"/>
            <w:vAlign w:val="center"/>
          </w:tcPr>
          <w:p>
            <w:pPr>
              <w:jc w:val="right"/>
            </w:pPr>
            <w:r>
              <w:rPr>
                <w:kern w:val="0"/>
                <w:sz w:val="24"/>
              </w:rPr>
              <w:t>50,000.00</w:t>
            </w:r>
          </w:p>
        </w:tc>
        <w:tc>
          <w:tcPr>
            <w:tcW w:w="3150" w:type="dxa"/>
            <w:vAlign w:val="center"/>
          </w:tcPr>
          <w:p>
            <w:pPr>
              <w:jc w:val="right"/>
            </w:pPr>
            <w:r>
              <w:rPr>
                <w:kern w:val="0"/>
                <w:sz w:val="24"/>
              </w:rPr>
              <w:t>60,000.00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15" w:type="dxa"/>
            <w:vAlign w:val="center"/>
          </w:tcPr>
          <w:p>
            <w:pPr>
              <w:jc w:val="left"/>
            </w:pPr>
            <w:r>
              <w:rPr>
                <w:kern w:val="0"/>
                <w:sz w:val="24"/>
              </w:rPr>
              <w:t>预提账户维护费</w:t>
            </w:r>
          </w:p>
        </w:tc>
        <w:tc>
          <w:tcPr>
            <w:tcW w:w="3150" w:type="dxa"/>
            <w:vAlign w:val="center"/>
          </w:tcPr>
          <w:p>
            <w:pPr>
              <w:jc w:val="right"/>
            </w:pPr>
            <w:r>
              <w:rPr>
                <w:kern w:val="0"/>
                <w:sz w:val="24"/>
              </w:rPr>
              <w:t>4,500.00</w:t>
            </w:r>
          </w:p>
        </w:tc>
        <w:tc>
          <w:tcPr>
            <w:tcW w:w="3150" w:type="dxa"/>
            <w:vAlign w:val="center"/>
          </w:tcPr>
          <w:p>
            <w:pPr>
              <w:jc w:val="right"/>
            </w:pPr>
            <w:r>
              <w:rPr>
                <w:kern w:val="0"/>
                <w:sz w:val="24"/>
              </w:rPr>
              <w:t>4,500.00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15" w:type="dxa"/>
            <w:vAlign w:val="center"/>
          </w:tcPr>
          <w:p>
            <w:pPr>
              <w:jc w:val="left"/>
            </w:pPr>
            <w:r>
              <w:rPr>
                <w:kern w:val="0"/>
                <w:sz w:val="24"/>
              </w:rPr>
              <w:t>应付转出费</w:t>
            </w:r>
          </w:p>
        </w:tc>
        <w:tc>
          <w:tcPr>
            <w:tcW w:w="3150" w:type="dxa"/>
            <w:vAlign w:val="center"/>
          </w:tcPr>
          <w:p>
            <w:pPr>
              <w:jc w:val="right"/>
            </w:pPr>
            <w:r>
              <w:rPr>
                <w:kern w:val="0"/>
                <w:sz w:val="24"/>
              </w:rPr>
              <w:t>-</w:t>
            </w:r>
          </w:p>
        </w:tc>
        <w:tc>
          <w:tcPr>
            <w:tcW w:w="3150" w:type="dxa"/>
            <w:vAlign w:val="center"/>
          </w:tcPr>
          <w:p>
            <w:pPr>
              <w:jc w:val="right"/>
            </w:pPr>
            <w:r>
              <w:rPr>
                <w:kern w:val="0"/>
                <w:sz w:val="24"/>
              </w:rPr>
              <w:t>141.88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15" w:type="dxa"/>
            <w:vAlign w:val="center"/>
          </w:tcPr>
          <w:p>
            <w:pPr>
              <w:widowControl/>
              <w:spacing w:before="29" w:line="288" w:lineRule="auto"/>
              <w:rPr>
                <w:rFonts w:ascii="宋体" w:hAnsi="宋体"/>
                <w:szCs w:val="21"/>
              </w:rPr>
            </w:pPr>
            <w:r>
              <w:rPr>
                <w:rFonts w:hint="eastAsia"/>
                <w:color w:val="000000"/>
                <w:kern w:val="0"/>
                <w:sz w:val="24"/>
              </w:rPr>
              <w:t>合计</w:t>
            </w:r>
          </w:p>
        </w:tc>
        <w:tc>
          <w:tcPr>
            <w:tcW w:w="3150" w:type="dxa"/>
            <w:vAlign w:val="bottom"/>
          </w:tcPr>
          <w:p>
            <w:pPr>
              <w:spacing w:before="29" w:line="288" w:lineRule="auto"/>
              <w:jc w:val="right"/>
              <w:rPr>
                <w:kern w:val="0"/>
                <w:sz w:val="24"/>
              </w:rPr>
            </w:pPr>
            <w:r>
              <w:rPr>
                <w:kern w:val="0"/>
                <w:sz w:val="24"/>
              </w:rPr>
              <w:t>175,884.60</w:t>
            </w:r>
          </w:p>
        </w:tc>
        <w:tc>
          <w:tcPr>
            <w:tcW w:w="3150" w:type="dxa"/>
            <w:vAlign w:val="bottom"/>
          </w:tcPr>
          <w:p>
            <w:pPr>
              <w:spacing w:before="29" w:line="288" w:lineRule="auto"/>
              <w:jc w:val="right"/>
              <w:rPr>
                <w:kern w:val="0"/>
                <w:sz w:val="24"/>
              </w:rPr>
            </w:pPr>
            <w:r>
              <w:rPr>
                <w:kern w:val="0"/>
                <w:sz w:val="24"/>
              </w:rPr>
              <w:t>189,107.82</w:t>
            </w:r>
          </w:p>
        </w:tc>
      </w:tr>
    </w:tbl>
    <w:p>
      <w:pPr>
        <w:spacing w:line="360" w:lineRule="auto"/>
        <w:rPr>
          <w:rFonts w:asciiTheme="minorEastAsia" w:hAnsiTheme="minorEastAsia" w:eastAsiaTheme="minorEastAsia"/>
          <w:b/>
          <w:bCs/>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7.4.7.9</w:t>
      </w:r>
      <w:r>
        <w:rPr>
          <w:rFonts w:hint="eastAsia" w:eastAsiaTheme="minorEastAsia"/>
          <w:b/>
          <w:color w:val="000000" w:themeColor="text1"/>
          <w:sz w:val="24"/>
        </w:rPr>
        <w:t>实收基金</w:t>
      </w:r>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25"/>
        <w:tblW w:w="935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2873"/>
        <w:gridCol w:w="3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Merge w:val="restart"/>
            <w:vAlign w:val="center"/>
          </w:tcPr>
          <w:p>
            <w:pPr>
              <w:spacing w:before="29" w:line="288" w:lineRule="auto"/>
              <w:jc w:val="center"/>
              <w:rPr>
                <w:color w:val="000000"/>
                <w:kern w:val="0"/>
                <w:sz w:val="24"/>
              </w:rPr>
            </w:pPr>
            <w:r>
              <w:rPr>
                <w:rFonts w:hint="eastAsia"/>
                <w:color w:val="000000"/>
                <w:kern w:val="0"/>
                <w:sz w:val="24"/>
              </w:rPr>
              <w:t>项目</w:t>
            </w:r>
          </w:p>
        </w:tc>
        <w:tc>
          <w:tcPr>
            <w:tcW w:w="6237" w:type="dxa"/>
            <w:gridSpan w:val="2"/>
            <w:vAlign w:val="center"/>
          </w:tcPr>
          <w:p>
            <w:pPr>
              <w:spacing w:before="29" w:line="288" w:lineRule="auto"/>
              <w:jc w:val="center"/>
              <w:rPr>
                <w:color w:val="000000"/>
                <w:kern w:val="0"/>
                <w:sz w:val="24"/>
              </w:rPr>
            </w:pPr>
            <w:r>
              <w:rPr>
                <w:rFonts w:hint="eastAsia"/>
                <w:color w:val="000000"/>
                <w:kern w:val="0"/>
                <w:sz w:val="24"/>
              </w:rPr>
              <w:t>本期</w:t>
            </w:r>
          </w:p>
          <w:p>
            <w:pPr>
              <w:spacing w:before="29" w:line="288" w:lineRule="auto"/>
              <w:jc w:val="center"/>
              <w:rPr>
                <w:color w:val="000000"/>
                <w:kern w:val="0"/>
                <w:sz w:val="24"/>
              </w:rPr>
            </w:pPr>
            <w:r>
              <w:rPr>
                <w:color w:val="000000"/>
                <w:kern w:val="0"/>
                <w:sz w:val="24"/>
              </w:rPr>
              <w:t>2020年1月1日</w:t>
            </w:r>
            <w:r>
              <w:rPr>
                <w:rFonts w:hint="eastAsia"/>
                <w:color w:val="000000"/>
                <w:kern w:val="0"/>
                <w:sz w:val="24"/>
              </w:rPr>
              <w:t>至</w:t>
            </w:r>
            <w:r>
              <w:rPr>
                <w:color w:val="000000"/>
                <w:kern w:val="0"/>
                <w:sz w:val="24"/>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Merge w:val="continue"/>
            <w:vAlign w:val="center"/>
          </w:tcPr>
          <w:p>
            <w:pPr>
              <w:spacing w:before="29" w:line="288" w:lineRule="auto"/>
              <w:jc w:val="center"/>
              <w:rPr>
                <w:color w:val="000000"/>
                <w:kern w:val="0"/>
                <w:sz w:val="24"/>
              </w:rPr>
            </w:pPr>
          </w:p>
        </w:tc>
        <w:tc>
          <w:tcPr>
            <w:tcW w:w="2873" w:type="dxa"/>
            <w:vAlign w:val="center"/>
          </w:tcPr>
          <w:p>
            <w:pPr>
              <w:spacing w:before="29" w:line="288" w:lineRule="auto"/>
              <w:jc w:val="center"/>
              <w:rPr>
                <w:color w:val="000000"/>
                <w:kern w:val="0"/>
                <w:sz w:val="24"/>
              </w:rPr>
            </w:pPr>
            <w:r>
              <w:rPr>
                <w:rFonts w:hint="eastAsia"/>
                <w:color w:val="000000"/>
                <w:kern w:val="0"/>
                <w:sz w:val="24"/>
              </w:rPr>
              <w:t>基金份额（份）</w:t>
            </w:r>
          </w:p>
        </w:tc>
        <w:tc>
          <w:tcPr>
            <w:tcW w:w="3364" w:type="dxa"/>
            <w:vAlign w:val="center"/>
          </w:tcPr>
          <w:p>
            <w:pPr>
              <w:spacing w:before="29" w:line="288" w:lineRule="auto"/>
              <w:jc w:val="center"/>
              <w:rPr>
                <w:color w:val="000000"/>
                <w:kern w:val="0"/>
                <w:sz w:val="24"/>
              </w:rPr>
            </w:pPr>
            <w:r>
              <w:rPr>
                <w:rFonts w:hint="eastAsia"/>
                <w:color w:val="000000"/>
                <w:kern w:val="0"/>
                <w:sz w:val="24"/>
              </w:rPr>
              <w:t>账面金额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rPr>
                <w:rFonts w:asciiTheme="minorEastAsia" w:hAnsiTheme="minorEastAsia" w:eastAsiaTheme="minorEastAsia"/>
                <w:color w:val="000000"/>
                <w:szCs w:val="21"/>
              </w:rPr>
            </w:pPr>
            <w:r>
              <w:rPr>
                <w:color w:val="000000"/>
                <w:sz w:val="24"/>
              </w:rPr>
              <w:t>上年度末</w:t>
            </w:r>
          </w:p>
        </w:tc>
        <w:tc>
          <w:tcPr>
            <w:tcW w:w="2873" w:type="dxa"/>
            <w:vAlign w:val="center"/>
          </w:tcPr>
          <w:p>
            <w:pPr>
              <w:spacing w:before="29" w:line="288" w:lineRule="auto"/>
              <w:jc w:val="right"/>
              <w:rPr>
                <w:kern w:val="0"/>
                <w:sz w:val="24"/>
              </w:rPr>
            </w:pPr>
            <w:r>
              <w:rPr>
                <w:kern w:val="0"/>
                <w:sz w:val="24"/>
              </w:rPr>
              <w:t>181,564,565.22</w:t>
            </w:r>
          </w:p>
        </w:tc>
        <w:tc>
          <w:tcPr>
            <w:tcW w:w="3364" w:type="dxa"/>
            <w:vAlign w:val="center"/>
          </w:tcPr>
          <w:p>
            <w:pPr>
              <w:spacing w:before="29" w:line="288" w:lineRule="auto"/>
              <w:jc w:val="right"/>
              <w:rPr>
                <w:kern w:val="0"/>
                <w:sz w:val="24"/>
              </w:rPr>
            </w:pPr>
            <w:r>
              <w:rPr>
                <w:kern w:val="0"/>
                <w:sz w:val="24"/>
              </w:rPr>
              <w:t>181,564,565.22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widowControl/>
              <w:spacing w:before="29" w:line="288" w:lineRule="auto"/>
              <w:rPr>
                <w:color w:val="000000"/>
                <w:kern w:val="0"/>
                <w:sz w:val="24"/>
              </w:rPr>
            </w:pPr>
            <w:r>
              <w:rPr>
                <w:rFonts w:hint="eastAsia"/>
                <w:color w:val="000000"/>
                <w:kern w:val="0"/>
                <w:sz w:val="24"/>
              </w:rPr>
              <w:t>本期申购</w:t>
            </w:r>
          </w:p>
        </w:tc>
        <w:tc>
          <w:tcPr>
            <w:tcW w:w="2873" w:type="dxa"/>
            <w:vAlign w:val="center"/>
          </w:tcPr>
          <w:p>
            <w:pPr>
              <w:spacing w:before="29" w:line="288" w:lineRule="auto"/>
              <w:jc w:val="right"/>
              <w:rPr>
                <w:kern w:val="0"/>
                <w:sz w:val="24"/>
              </w:rPr>
            </w:pPr>
            <w:r>
              <w:rPr>
                <w:kern w:val="0"/>
                <w:sz w:val="24"/>
              </w:rPr>
              <w:t>144,509,822.99</w:t>
            </w:r>
          </w:p>
        </w:tc>
        <w:tc>
          <w:tcPr>
            <w:tcW w:w="3364" w:type="dxa"/>
            <w:vAlign w:val="center"/>
          </w:tcPr>
          <w:p>
            <w:pPr>
              <w:spacing w:before="29" w:line="288" w:lineRule="auto"/>
              <w:jc w:val="right"/>
              <w:rPr>
                <w:kern w:val="0"/>
                <w:sz w:val="24"/>
              </w:rPr>
            </w:pPr>
            <w:r>
              <w:rPr>
                <w:kern w:val="0"/>
                <w:sz w:val="24"/>
              </w:rPr>
              <w:t>144,509,822.99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widowControl/>
              <w:spacing w:before="29" w:line="288" w:lineRule="auto"/>
              <w:rPr>
                <w:color w:val="000000"/>
                <w:kern w:val="0"/>
                <w:sz w:val="24"/>
              </w:rPr>
            </w:pPr>
            <w:r>
              <w:rPr>
                <w:rFonts w:hint="eastAsia"/>
                <w:color w:val="000000"/>
                <w:kern w:val="0"/>
                <w:sz w:val="24"/>
              </w:rPr>
              <w:t>本期赎回（以</w:t>
            </w:r>
            <w:r>
              <w:rPr>
                <w:sz w:val="24"/>
              </w:rPr>
              <w:t>“-”</w:t>
            </w:r>
            <w:r>
              <w:rPr>
                <w:rFonts w:hint="eastAsia"/>
                <w:color w:val="000000"/>
                <w:kern w:val="0"/>
                <w:sz w:val="24"/>
              </w:rPr>
              <w:t>号填列）</w:t>
            </w:r>
          </w:p>
        </w:tc>
        <w:tc>
          <w:tcPr>
            <w:tcW w:w="2873" w:type="dxa"/>
            <w:vAlign w:val="center"/>
          </w:tcPr>
          <w:p>
            <w:pPr>
              <w:spacing w:before="29" w:line="288" w:lineRule="auto"/>
              <w:jc w:val="right"/>
              <w:rPr>
                <w:kern w:val="0"/>
                <w:sz w:val="24"/>
              </w:rPr>
            </w:pPr>
            <w:r>
              <w:rPr>
                <w:kern w:val="0"/>
                <w:sz w:val="24"/>
              </w:rPr>
              <w:t>-174,770,073.91</w:t>
            </w:r>
          </w:p>
        </w:tc>
        <w:tc>
          <w:tcPr>
            <w:tcW w:w="3364" w:type="dxa"/>
            <w:vAlign w:val="center"/>
          </w:tcPr>
          <w:p>
            <w:pPr>
              <w:spacing w:before="29" w:line="288" w:lineRule="auto"/>
              <w:jc w:val="right"/>
              <w:rPr>
                <w:kern w:val="0"/>
                <w:sz w:val="24"/>
              </w:rPr>
            </w:pPr>
            <w:r>
              <w:rPr>
                <w:kern w:val="0"/>
                <w:sz w:val="24"/>
              </w:rPr>
              <w:t>-174,770,073.91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widowControl/>
              <w:spacing w:before="29" w:line="288" w:lineRule="auto"/>
              <w:rPr>
                <w:rFonts w:asciiTheme="minorEastAsia" w:hAnsiTheme="minorEastAsia" w:eastAsiaTheme="minorEastAsia"/>
                <w:color w:val="000000"/>
                <w:szCs w:val="21"/>
              </w:rPr>
            </w:pPr>
            <w:r>
              <w:rPr>
                <w:rFonts w:hint="eastAsia"/>
                <w:color w:val="000000"/>
                <w:kern w:val="0"/>
                <w:sz w:val="24"/>
              </w:rPr>
              <w:t>本期末</w:t>
            </w:r>
          </w:p>
        </w:tc>
        <w:tc>
          <w:tcPr>
            <w:tcW w:w="2873" w:type="dxa"/>
            <w:vAlign w:val="center"/>
          </w:tcPr>
          <w:p>
            <w:pPr>
              <w:spacing w:before="29" w:line="288" w:lineRule="auto"/>
              <w:jc w:val="right"/>
              <w:rPr>
                <w:kern w:val="0"/>
                <w:sz w:val="24"/>
              </w:rPr>
            </w:pPr>
            <w:r>
              <w:rPr>
                <w:kern w:val="0"/>
                <w:sz w:val="24"/>
              </w:rPr>
              <w:t>151,304,314.30</w:t>
            </w:r>
          </w:p>
        </w:tc>
        <w:tc>
          <w:tcPr>
            <w:tcW w:w="3364" w:type="dxa"/>
            <w:vAlign w:val="center"/>
          </w:tcPr>
          <w:p>
            <w:pPr>
              <w:spacing w:before="29" w:line="288" w:lineRule="auto"/>
              <w:jc w:val="right"/>
              <w:rPr>
                <w:kern w:val="0"/>
                <w:sz w:val="24"/>
              </w:rPr>
            </w:pPr>
            <w:r>
              <w:rPr>
                <w:kern w:val="0"/>
                <w:sz w:val="24"/>
              </w:rPr>
              <w:t>151,304,314.30</w:t>
            </w:r>
          </w:p>
        </w:tc>
      </w:tr>
    </w:tbl>
    <w:p>
      <w:pPr>
        <w:tabs>
          <w:tab w:val="left" w:pos="426"/>
        </w:tabs>
        <w:spacing w:before="29" w:line="288" w:lineRule="auto"/>
        <w:jc w:val="left"/>
        <w:rPr>
          <w:kern w:val="0"/>
          <w:sz w:val="24"/>
        </w:rPr>
      </w:pPr>
      <w:r>
        <w:rPr>
          <w:kern w:val="0"/>
          <w:sz w:val="24"/>
        </w:rPr>
        <w:t>注：1、如果本报告期间发生红利再投、转换入业务，则总申购份额中包含该业务。</w:t>
      </w:r>
    </w:p>
    <w:p>
      <w:pPr>
        <w:tabs>
          <w:tab w:val="left" w:pos="426"/>
        </w:tabs>
        <w:spacing w:before="29" w:line="288" w:lineRule="auto"/>
        <w:jc w:val="left"/>
        <w:rPr>
          <w:kern w:val="0"/>
          <w:sz w:val="24"/>
        </w:rPr>
      </w:pPr>
      <w:r>
        <w:rPr>
          <w:kern w:val="0"/>
          <w:sz w:val="24"/>
        </w:rPr>
        <w:t>2、如果本报告期间发生转换出业务，则总赎回份额中包含该业务。</w:t>
      </w:r>
    </w:p>
    <w:p>
      <w:pPr>
        <w:spacing w:line="360" w:lineRule="auto"/>
        <w:rPr>
          <w:rFonts w:eastAsiaTheme="minorEastAsia"/>
          <w:b/>
          <w:color w:val="000000" w:themeColor="text1"/>
          <w:sz w:val="24"/>
        </w:rPr>
      </w:pPr>
      <w:r>
        <w:rPr>
          <w:rFonts w:eastAsiaTheme="minorEastAsia"/>
          <w:b/>
          <w:color w:val="000000" w:themeColor="text1"/>
          <w:sz w:val="24"/>
        </w:rPr>
        <w:t>7.4.7.10</w:t>
      </w:r>
      <w:r>
        <w:rPr>
          <w:rFonts w:hint="eastAsia" w:eastAsiaTheme="minorEastAsia"/>
          <w:b/>
          <w:color w:val="000000" w:themeColor="text1"/>
          <w:sz w:val="24"/>
        </w:rPr>
        <w:t>未分配利润</w:t>
      </w:r>
    </w:p>
    <w:p>
      <w:pPr>
        <w:adjustRightInd w:val="0"/>
        <w:snapToGrid w:val="0"/>
        <w:spacing w:line="360" w:lineRule="auto"/>
        <w:jc w:val="right"/>
        <w:rPr>
          <w:color w:val="000000"/>
          <w:sz w:val="24"/>
        </w:rPr>
      </w:pPr>
      <w:r>
        <w:rPr>
          <w:rFonts w:hint="eastAsia"/>
          <w:color w:val="000000"/>
          <w:sz w:val="24"/>
        </w:rPr>
        <w:t>单位：人民币元</w:t>
      </w:r>
    </w:p>
    <w:tbl>
      <w:tblPr>
        <w:tblStyle w:val="25"/>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8"/>
        <w:gridCol w:w="2122"/>
        <w:gridCol w:w="2126"/>
        <w:gridCol w:w="2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spacing w:before="29" w:line="288" w:lineRule="auto"/>
              <w:jc w:val="center"/>
              <w:rPr>
                <w:color w:val="000000"/>
                <w:kern w:val="0"/>
                <w:sz w:val="24"/>
              </w:rPr>
            </w:pPr>
            <w:r>
              <w:rPr>
                <w:rFonts w:hint="eastAsia"/>
                <w:color w:val="000000"/>
                <w:kern w:val="0"/>
                <w:sz w:val="24"/>
              </w:rPr>
              <w:t>项目</w:t>
            </w:r>
          </w:p>
        </w:tc>
        <w:tc>
          <w:tcPr>
            <w:tcW w:w="2122" w:type="dxa"/>
            <w:vAlign w:val="center"/>
          </w:tcPr>
          <w:p>
            <w:pPr>
              <w:spacing w:before="29" w:line="288" w:lineRule="auto"/>
              <w:jc w:val="center"/>
              <w:rPr>
                <w:color w:val="000000"/>
                <w:kern w:val="0"/>
                <w:sz w:val="24"/>
              </w:rPr>
            </w:pPr>
            <w:r>
              <w:rPr>
                <w:rFonts w:hint="eastAsia"/>
                <w:color w:val="000000"/>
                <w:kern w:val="0"/>
                <w:sz w:val="24"/>
              </w:rPr>
              <w:t>已实现部分</w:t>
            </w:r>
          </w:p>
        </w:tc>
        <w:tc>
          <w:tcPr>
            <w:tcW w:w="2126" w:type="dxa"/>
            <w:vAlign w:val="center"/>
          </w:tcPr>
          <w:p>
            <w:pPr>
              <w:spacing w:before="29" w:line="288" w:lineRule="auto"/>
              <w:jc w:val="center"/>
              <w:rPr>
                <w:color w:val="000000"/>
                <w:kern w:val="0"/>
                <w:sz w:val="24"/>
              </w:rPr>
            </w:pPr>
            <w:r>
              <w:rPr>
                <w:rFonts w:hint="eastAsia"/>
                <w:color w:val="000000"/>
                <w:kern w:val="0"/>
                <w:sz w:val="24"/>
              </w:rPr>
              <w:t>未实现部分</w:t>
            </w:r>
          </w:p>
        </w:tc>
        <w:tc>
          <w:tcPr>
            <w:tcW w:w="2052" w:type="dxa"/>
            <w:vAlign w:val="center"/>
          </w:tcPr>
          <w:p>
            <w:pPr>
              <w:spacing w:before="29" w:line="288" w:lineRule="auto"/>
              <w:jc w:val="center"/>
              <w:rPr>
                <w:color w:val="000000"/>
                <w:kern w:val="0"/>
                <w:sz w:val="24"/>
              </w:rPr>
            </w:pPr>
            <w:r>
              <w:rPr>
                <w:rFonts w:hint="eastAsia"/>
                <w:color w:val="000000"/>
                <w:kern w:val="0"/>
                <w:sz w:val="24"/>
              </w:rPr>
              <w:t>未分配利润合计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color w:val="000000"/>
                <w:kern w:val="0"/>
                <w:sz w:val="24"/>
              </w:rPr>
              <w:t>上年度末</w:t>
            </w:r>
          </w:p>
        </w:tc>
        <w:tc>
          <w:tcPr>
            <w:tcW w:w="2122" w:type="dxa"/>
            <w:vAlign w:val="center"/>
          </w:tcPr>
          <w:p>
            <w:pPr>
              <w:spacing w:before="29" w:line="288" w:lineRule="auto"/>
              <w:jc w:val="right"/>
              <w:rPr>
                <w:kern w:val="0"/>
                <w:sz w:val="24"/>
              </w:rPr>
            </w:pPr>
            <w:r>
              <w:rPr>
                <w:kern w:val="0"/>
                <w:sz w:val="24"/>
              </w:rPr>
              <w:t>33,521,262.37</w:t>
            </w:r>
          </w:p>
        </w:tc>
        <w:tc>
          <w:tcPr>
            <w:tcW w:w="2126" w:type="dxa"/>
            <w:vAlign w:val="center"/>
          </w:tcPr>
          <w:p>
            <w:pPr>
              <w:spacing w:before="29" w:line="288" w:lineRule="auto"/>
              <w:jc w:val="right"/>
              <w:rPr>
                <w:kern w:val="0"/>
                <w:sz w:val="24"/>
              </w:rPr>
            </w:pPr>
            <w:r>
              <w:rPr>
                <w:kern w:val="0"/>
                <w:sz w:val="24"/>
              </w:rPr>
              <w:t>27,115,066.82</w:t>
            </w:r>
          </w:p>
        </w:tc>
        <w:tc>
          <w:tcPr>
            <w:tcW w:w="2052" w:type="dxa"/>
            <w:vAlign w:val="center"/>
          </w:tcPr>
          <w:p>
            <w:pPr>
              <w:spacing w:before="29" w:line="288" w:lineRule="auto"/>
              <w:jc w:val="right"/>
              <w:rPr>
                <w:kern w:val="0"/>
                <w:sz w:val="24"/>
              </w:rPr>
            </w:pPr>
            <w:r>
              <w:rPr>
                <w:kern w:val="0"/>
                <w:sz w:val="24"/>
              </w:rPr>
              <w:t>60,636,329.19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rFonts w:hint="eastAsia"/>
                <w:color w:val="000000"/>
                <w:kern w:val="0"/>
                <w:sz w:val="24"/>
              </w:rPr>
              <w:t>本期利润</w:t>
            </w:r>
          </w:p>
        </w:tc>
        <w:tc>
          <w:tcPr>
            <w:tcW w:w="2122" w:type="dxa"/>
            <w:vAlign w:val="center"/>
          </w:tcPr>
          <w:p>
            <w:pPr>
              <w:spacing w:before="29" w:line="288" w:lineRule="auto"/>
              <w:jc w:val="right"/>
              <w:rPr>
                <w:kern w:val="0"/>
                <w:sz w:val="24"/>
              </w:rPr>
            </w:pPr>
            <w:r>
              <w:rPr>
                <w:kern w:val="0"/>
                <w:sz w:val="24"/>
              </w:rPr>
              <w:t>105,547,764.44</w:t>
            </w:r>
          </w:p>
        </w:tc>
        <w:tc>
          <w:tcPr>
            <w:tcW w:w="2126" w:type="dxa"/>
            <w:vAlign w:val="center"/>
          </w:tcPr>
          <w:p>
            <w:pPr>
              <w:spacing w:before="29" w:line="288" w:lineRule="auto"/>
              <w:jc w:val="right"/>
              <w:rPr>
                <w:kern w:val="0"/>
                <w:sz w:val="24"/>
              </w:rPr>
            </w:pPr>
            <w:r>
              <w:rPr>
                <w:kern w:val="0"/>
                <w:sz w:val="24"/>
              </w:rPr>
              <w:t>21,138,967.78</w:t>
            </w:r>
          </w:p>
        </w:tc>
        <w:tc>
          <w:tcPr>
            <w:tcW w:w="2052" w:type="dxa"/>
            <w:vAlign w:val="center"/>
          </w:tcPr>
          <w:p>
            <w:pPr>
              <w:spacing w:before="29" w:line="288" w:lineRule="auto"/>
              <w:jc w:val="right"/>
              <w:rPr>
                <w:kern w:val="0"/>
                <w:sz w:val="24"/>
              </w:rPr>
            </w:pPr>
            <w:r>
              <w:rPr>
                <w:kern w:val="0"/>
                <w:sz w:val="24"/>
              </w:rPr>
              <w:t>126,686,732.22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rFonts w:hint="eastAsia"/>
                <w:color w:val="000000"/>
                <w:kern w:val="0"/>
                <w:sz w:val="24"/>
              </w:rPr>
              <w:t>本期基金份额交易产生的变动数</w:t>
            </w:r>
          </w:p>
        </w:tc>
        <w:tc>
          <w:tcPr>
            <w:tcW w:w="2122" w:type="dxa"/>
            <w:vAlign w:val="center"/>
          </w:tcPr>
          <w:p>
            <w:pPr>
              <w:spacing w:before="29" w:line="288" w:lineRule="auto"/>
              <w:jc w:val="right"/>
              <w:rPr>
                <w:kern w:val="0"/>
                <w:sz w:val="24"/>
              </w:rPr>
            </w:pPr>
            <w:r>
              <w:rPr>
                <w:kern w:val="0"/>
                <w:sz w:val="24"/>
              </w:rPr>
              <w:t>-9,107,347.81</w:t>
            </w:r>
          </w:p>
        </w:tc>
        <w:tc>
          <w:tcPr>
            <w:tcW w:w="2126" w:type="dxa"/>
            <w:vAlign w:val="center"/>
          </w:tcPr>
          <w:p>
            <w:pPr>
              <w:spacing w:before="29" w:line="288" w:lineRule="auto"/>
              <w:jc w:val="right"/>
              <w:rPr>
                <w:kern w:val="0"/>
                <w:sz w:val="24"/>
              </w:rPr>
            </w:pPr>
            <w:r>
              <w:rPr>
                <w:kern w:val="0"/>
                <w:sz w:val="24"/>
              </w:rPr>
              <w:t>-2,312,865.18</w:t>
            </w:r>
          </w:p>
        </w:tc>
        <w:tc>
          <w:tcPr>
            <w:tcW w:w="2052" w:type="dxa"/>
            <w:vAlign w:val="center"/>
          </w:tcPr>
          <w:p>
            <w:pPr>
              <w:spacing w:before="29" w:line="288" w:lineRule="auto"/>
              <w:jc w:val="right"/>
              <w:rPr>
                <w:kern w:val="0"/>
                <w:sz w:val="24"/>
              </w:rPr>
            </w:pPr>
            <w:r>
              <w:rPr>
                <w:kern w:val="0"/>
                <w:sz w:val="24"/>
              </w:rPr>
              <w:t>-11,420,212.99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rFonts w:hint="eastAsia"/>
                <w:color w:val="000000"/>
                <w:kern w:val="0"/>
                <w:sz w:val="24"/>
              </w:rPr>
              <w:t>其中：基金申购款</w:t>
            </w:r>
          </w:p>
        </w:tc>
        <w:tc>
          <w:tcPr>
            <w:tcW w:w="2122" w:type="dxa"/>
            <w:vAlign w:val="center"/>
          </w:tcPr>
          <w:p>
            <w:pPr>
              <w:spacing w:before="29" w:line="288" w:lineRule="auto"/>
              <w:jc w:val="right"/>
              <w:rPr>
                <w:kern w:val="0"/>
                <w:sz w:val="24"/>
              </w:rPr>
            </w:pPr>
            <w:r>
              <w:rPr>
                <w:kern w:val="0"/>
                <w:sz w:val="24"/>
              </w:rPr>
              <w:t>65,517,845.05</w:t>
            </w:r>
          </w:p>
        </w:tc>
        <w:tc>
          <w:tcPr>
            <w:tcW w:w="2126" w:type="dxa"/>
            <w:vAlign w:val="center"/>
          </w:tcPr>
          <w:p>
            <w:pPr>
              <w:spacing w:before="29" w:line="288" w:lineRule="auto"/>
              <w:jc w:val="right"/>
              <w:rPr>
                <w:kern w:val="0"/>
                <w:sz w:val="24"/>
              </w:rPr>
            </w:pPr>
            <w:r>
              <w:rPr>
                <w:kern w:val="0"/>
                <w:sz w:val="24"/>
              </w:rPr>
              <w:t>29,860,460.43</w:t>
            </w:r>
          </w:p>
        </w:tc>
        <w:tc>
          <w:tcPr>
            <w:tcW w:w="2052" w:type="dxa"/>
            <w:vAlign w:val="center"/>
          </w:tcPr>
          <w:p>
            <w:pPr>
              <w:spacing w:before="29" w:line="288" w:lineRule="auto"/>
              <w:jc w:val="right"/>
              <w:rPr>
                <w:kern w:val="0"/>
                <w:sz w:val="24"/>
              </w:rPr>
            </w:pPr>
            <w:r>
              <w:rPr>
                <w:kern w:val="0"/>
                <w:sz w:val="24"/>
              </w:rPr>
              <w:t>95,378,305.48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ind w:firstLine="720" w:firstLineChars="300"/>
              <w:rPr>
                <w:color w:val="000000"/>
                <w:kern w:val="0"/>
                <w:sz w:val="24"/>
              </w:rPr>
            </w:pPr>
            <w:r>
              <w:rPr>
                <w:rFonts w:hint="eastAsia"/>
                <w:color w:val="000000"/>
                <w:kern w:val="0"/>
                <w:sz w:val="24"/>
              </w:rPr>
              <w:t>基金赎回款</w:t>
            </w:r>
          </w:p>
        </w:tc>
        <w:tc>
          <w:tcPr>
            <w:tcW w:w="2122" w:type="dxa"/>
            <w:vAlign w:val="center"/>
          </w:tcPr>
          <w:p>
            <w:pPr>
              <w:spacing w:before="29" w:line="288" w:lineRule="auto"/>
              <w:jc w:val="right"/>
              <w:rPr>
                <w:kern w:val="0"/>
                <w:sz w:val="24"/>
              </w:rPr>
            </w:pPr>
            <w:r>
              <w:rPr>
                <w:kern w:val="0"/>
                <w:sz w:val="24"/>
              </w:rPr>
              <w:t>-74,625,192.86</w:t>
            </w:r>
          </w:p>
        </w:tc>
        <w:tc>
          <w:tcPr>
            <w:tcW w:w="2126" w:type="dxa"/>
            <w:vAlign w:val="center"/>
          </w:tcPr>
          <w:p>
            <w:pPr>
              <w:spacing w:before="29" w:line="288" w:lineRule="auto"/>
              <w:jc w:val="right"/>
              <w:rPr>
                <w:kern w:val="0"/>
                <w:sz w:val="24"/>
              </w:rPr>
            </w:pPr>
            <w:r>
              <w:rPr>
                <w:kern w:val="0"/>
                <w:sz w:val="24"/>
              </w:rPr>
              <w:t>-32,173,325.61</w:t>
            </w:r>
          </w:p>
        </w:tc>
        <w:tc>
          <w:tcPr>
            <w:tcW w:w="2052" w:type="dxa"/>
            <w:vAlign w:val="center"/>
          </w:tcPr>
          <w:p>
            <w:pPr>
              <w:spacing w:before="29" w:line="288" w:lineRule="auto"/>
              <w:jc w:val="right"/>
              <w:rPr>
                <w:kern w:val="0"/>
                <w:sz w:val="24"/>
              </w:rPr>
            </w:pPr>
            <w:r>
              <w:rPr>
                <w:kern w:val="0"/>
                <w:sz w:val="24"/>
              </w:rPr>
              <w:t>-106,798,518.47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rFonts w:hint="eastAsia"/>
                <w:color w:val="000000"/>
                <w:kern w:val="0"/>
                <w:sz w:val="24"/>
              </w:rPr>
              <w:t>本期已分配利润</w:t>
            </w:r>
          </w:p>
        </w:tc>
        <w:tc>
          <w:tcPr>
            <w:tcW w:w="2122" w:type="dxa"/>
            <w:vAlign w:val="center"/>
          </w:tcPr>
          <w:p>
            <w:pPr>
              <w:spacing w:before="29" w:line="288" w:lineRule="auto"/>
              <w:jc w:val="right"/>
              <w:rPr>
                <w:kern w:val="0"/>
                <w:sz w:val="24"/>
              </w:rPr>
            </w:pPr>
            <w:r>
              <w:rPr>
                <w:kern w:val="0"/>
                <w:sz w:val="24"/>
              </w:rPr>
              <w:t>-</w:t>
            </w:r>
          </w:p>
        </w:tc>
        <w:tc>
          <w:tcPr>
            <w:tcW w:w="2126" w:type="dxa"/>
            <w:vAlign w:val="center"/>
          </w:tcPr>
          <w:p>
            <w:pPr>
              <w:spacing w:before="29" w:line="288" w:lineRule="auto"/>
              <w:jc w:val="right"/>
              <w:rPr>
                <w:kern w:val="0"/>
                <w:sz w:val="24"/>
              </w:rPr>
            </w:pPr>
            <w:r>
              <w:rPr>
                <w:kern w:val="0"/>
                <w:sz w:val="24"/>
              </w:rPr>
              <w:t>-</w:t>
            </w:r>
          </w:p>
        </w:tc>
        <w:tc>
          <w:tcPr>
            <w:tcW w:w="2052"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rFonts w:hint="eastAsia"/>
                <w:color w:val="000000"/>
                <w:kern w:val="0"/>
                <w:sz w:val="24"/>
              </w:rPr>
              <w:t>本期末</w:t>
            </w:r>
          </w:p>
        </w:tc>
        <w:tc>
          <w:tcPr>
            <w:tcW w:w="2122" w:type="dxa"/>
            <w:vAlign w:val="center"/>
          </w:tcPr>
          <w:p>
            <w:pPr>
              <w:spacing w:before="29" w:line="288" w:lineRule="auto"/>
              <w:jc w:val="right"/>
              <w:rPr>
                <w:kern w:val="0"/>
                <w:sz w:val="24"/>
              </w:rPr>
            </w:pPr>
            <w:r>
              <w:rPr>
                <w:kern w:val="0"/>
                <w:sz w:val="24"/>
              </w:rPr>
              <w:t>129,961,679.00</w:t>
            </w:r>
          </w:p>
        </w:tc>
        <w:tc>
          <w:tcPr>
            <w:tcW w:w="2126" w:type="dxa"/>
            <w:vAlign w:val="center"/>
          </w:tcPr>
          <w:p>
            <w:pPr>
              <w:spacing w:before="29" w:line="288" w:lineRule="auto"/>
              <w:jc w:val="right"/>
              <w:rPr>
                <w:kern w:val="0"/>
                <w:sz w:val="24"/>
              </w:rPr>
            </w:pPr>
            <w:r>
              <w:rPr>
                <w:kern w:val="0"/>
                <w:sz w:val="24"/>
              </w:rPr>
              <w:t>45,941,169.42</w:t>
            </w:r>
          </w:p>
        </w:tc>
        <w:tc>
          <w:tcPr>
            <w:tcW w:w="2052" w:type="dxa"/>
            <w:vAlign w:val="center"/>
          </w:tcPr>
          <w:p>
            <w:pPr>
              <w:spacing w:before="29" w:line="288" w:lineRule="auto"/>
              <w:jc w:val="right"/>
              <w:rPr>
                <w:kern w:val="0"/>
                <w:sz w:val="24"/>
              </w:rPr>
            </w:pPr>
            <w:r>
              <w:rPr>
                <w:kern w:val="0"/>
                <w:sz w:val="24"/>
              </w:rPr>
              <w:t>175,902,848.42</w:t>
            </w:r>
          </w:p>
        </w:tc>
      </w:tr>
    </w:tbl>
    <w:p>
      <w:pPr>
        <w:tabs>
          <w:tab w:val="left" w:pos="426"/>
        </w:tabs>
        <w:spacing w:before="29" w:line="288" w:lineRule="auto"/>
        <w:jc w:val="left"/>
        <w:rPr>
          <w:kern w:val="0"/>
          <w:sz w:val="24"/>
        </w:rPr>
      </w:pPr>
    </w:p>
    <w:p>
      <w:pPr>
        <w:spacing w:line="360" w:lineRule="auto"/>
        <w:rPr>
          <w:rFonts w:eastAsiaTheme="minorEastAsia"/>
          <w:b/>
          <w:color w:val="000000" w:themeColor="text1"/>
          <w:sz w:val="24"/>
        </w:rPr>
      </w:pPr>
      <w:r>
        <w:rPr>
          <w:rFonts w:eastAsiaTheme="minorEastAsia"/>
          <w:b/>
          <w:color w:val="000000" w:themeColor="text1"/>
          <w:sz w:val="24"/>
        </w:rPr>
        <w:t>7.4.7.11</w:t>
      </w:r>
      <w:r>
        <w:rPr>
          <w:rFonts w:hint="eastAsia" w:eastAsiaTheme="minorEastAsia"/>
          <w:b/>
          <w:color w:val="000000" w:themeColor="text1"/>
          <w:sz w:val="24"/>
        </w:rPr>
        <w:t>存款利息收入</w:t>
      </w:r>
    </w:p>
    <w:p>
      <w:pPr>
        <w:adjustRightInd w:val="0"/>
        <w:snapToGrid w:val="0"/>
        <w:spacing w:line="360" w:lineRule="auto"/>
        <w:jc w:val="right"/>
        <w:rPr>
          <w:color w:val="000000"/>
          <w:sz w:val="24"/>
        </w:rPr>
      </w:pPr>
      <w:r>
        <w:rPr>
          <w:rFonts w:hint="eastAsia"/>
          <w:color w:val="000000"/>
          <w:sz w:val="24"/>
        </w:rPr>
        <w:t>单位：人民币元</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12"/>
        <w:gridCol w:w="3208"/>
        <w:gridCol w:w="2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widowControl/>
              <w:autoSpaceDE w:val="0"/>
              <w:autoSpaceDN w:val="0"/>
              <w:spacing w:line="360" w:lineRule="auto"/>
              <w:ind w:right="-15"/>
              <w:jc w:val="center"/>
              <w:textAlignment w:val="bottom"/>
              <w:rPr>
                <w:color w:val="000000"/>
                <w:sz w:val="24"/>
              </w:rPr>
            </w:pPr>
            <w:r>
              <w:rPr>
                <w:rFonts w:hint="eastAsia"/>
                <w:color w:val="000000"/>
                <w:sz w:val="24"/>
              </w:rPr>
              <w:t>项目</w:t>
            </w:r>
          </w:p>
        </w:tc>
        <w:tc>
          <w:tcPr>
            <w:tcW w:w="3208" w:type="dxa"/>
            <w:vAlign w:val="center"/>
          </w:tcPr>
          <w:p>
            <w:pPr>
              <w:widowControl/>
              <w:autoSpaceDE w:val="0"/>
              <w:autoSpaceDN w:val="0"/>
              <w:spacing w:line="360" w:lineRule="auto"/>
              <w:ind w:right="-15"/>
              <w:jc w:val="center"/>
              <w:textAlignment w:val="bottom"/>
              <w:rPr>
                <w:color w:val="000000"/>
                <w:sz w:val="24"/>
              </w:rPr>
            </w:pPr>
            <w:r>
              <w:rPr>
                <w:rFonts w:hint="eastAsia"/>
                <w:color w:val="000000"/>
                <w:sz w:val="24"/>
              </w:rPr>
              <w:t>本期</w:t>
            </w:r>
          </w:p>
          <w:p>
            <w:pPr>
              <w:widowControl/>
              <w:autoSpaceDE w:val="0"/>
              <w:autoSpaceDN w:val="0"/>
              <w:spacing w:line="360" w:lineRule="auto"/>
              <w:ind w:right="-15"/>
              <w:jc w:val="center"/>
              <w:textAlignment w:val="bottom"/>
              <w:rPr>
                <w:color w:val="000000"/>
                <w:sz w:val="24"/>
              </w:rPr>
            </w:pPr>
            <w:r>
              <w:rPr>
                <w:color w:val="000000"/>
                <w:sz w:val="24"/>
              </w:rPr>
              <w:t>2020年1月1日</w:t>
            </w:r>
            <w:r>
              <w:rPr>
                <w:rFonts w:hint="eastAsia"/>
                <w:color w:val="000000"/>
                <w:sz w:val="24"/>
              </w:rPr>
              <w:t>至</w:t>
            </w:r>
            <w:r>
              <w:rPr>
                <w:color w:val="000000"/>
                <w:sz w:val="24"/>
              </w:rPr>
              <w:t>2020年12月31日</w:t>
            </w:r>
          </w:p>
        </w:tc>
        <w:tc>
          <w:tcPr>
            <w:tcW w:w="2880" w:type="dxa"/>
            <w:vAlign w:val="center"/>
          </w:tcPr>
          <w:p>
            <w:pPr>
              <w:widowControl/>
              <w:autoSpaceDE w:val="0"/>
              <w:autoSpaceDN w:val="0"/>
              <w:spacing w:line="360" w:lineRule="auto"/>
              <w:ind w:right="-15"/>
              <w:jc w:val="center"/>
              <w:textAlignment w:val="bottom"/>
              <w:rPr>
                <w:color w:val="000000"/>
                <w:sz w:val="24"/>
              </w:rPr>
            </w:pPr>
            <w:r>
              <w:rPr>
                <w:rFonts w:hint="eastAsia"/>
                <w:color w:val="000000"/>
                <w:sz w:val="24"/>
              </w:rPr>
              <w:t>上年度可比期间</w:t>
            </w:r>
          </w:p>
          <w:p>
            <w:pPr>
              <w:widowControl/>
              <w:autoSpaceDE w:val="0"/>
              <w:autoSpaceDN w:val="0"/>
              <w:spacing w:line="360" w:lineRule="auto"/>
              <w:ind w:right="-15"/>
              <w:jc w:val="center"/>
              <w:textAlignment w:val="bottom"/>
              <w:rPr>
                <w:color w:val="000000"/>
                <w:sz w:val="24"/>
              </w:rPr>
            </w:pPr>
            <w:r>
              <w:rPr>
                <w:color w:val="000000"/>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widowControl/>
              <w:spacing w:before="29" w:line="288" w:lineRule="auto"/>
              <w:rPr>
                <w:color w:val="000000"/>
                <w:kern w:val="0"/>
                <w:sz w:val="24"/>
              </w:rPr>
            </w:pPr>
            <w:r>
              <w:rPr>
                <w:rFonts w:hint="eastAsia"/>
                <w:color w:val="000000"/>
                <w:kern w:val="0"/>
                <w:sz w:val="24"/>
              </w:rPr>
              <w:t>活期存款利息收入</w:t>
            </w:r>
          </w:p>
        </w:tc>
        <w:tc>
          <w:tcPr>
            <w:tcW w:w="3208" w:type="dxa"/>
            <w:vAlign w:val="center"/>
          </w:tcPr>
          <w:p>
            <w:pPr>
              <w:spacing w:before="29" w:line="288" w:lineRule="auto"/>
              <w:jc w:val="right"/>
              <w:rPr>
                <w:kern w:val="0"/>
                <w:sz w:val="24"/>
              </w:rPr>
            </w:pPr>
            <w:r>
              <w:rPr>
                <w:kern w:val="0"/>
                <w:sz w:val="24"/>
              </w:rPr>
              <w:t>114,149.48</w:t>
            </w:r>
          </w:p>
        </w:tc>
        <w:tc>
          <w:tcPr>
            <w:tcW w:w="2880" w:type="dxa"/>
            <w:vAlign w:val="center"/>
          </w:tcPr>
          <w:p>
            <w:pPr>
              <w:spacing w:before="29" w:line="288" w:lineRule="auto"/>
              <w:jc w:val="right"/>
              <w:rPr>
                <w:kern w:val="0"/>
                <w:sz w:val="24"/>
              </w:rPr>
            </w:pPr>
            <w:r>
              <w:rPr>
                <w:kern w:val="0"/>
                <w:sz w:val="24"/>
              </w:rPr>
              <w:t>128,598.90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12" w:type="dxa"/>
            <w:vAlign w:val="center"/>
          </w:tcPr>
          <w:p>
            <w:pPr>
              <w:widowControl/>
              <w:spacing w:before="29" w:line="288" w:lineRule="auto"/>
              <w:rPr>
                <w:color w:val="000000"/>
                <w:kern w:val="0"/>
                <w:sz w:val="24"/>
              </w:rPr>
            </w:pPr>
            <w:r>
              <w:rPr>
                <w:rFonts w:hint="eastAsia"/>
                <w:color w:val="000000"/>
                <w:kern w:val="0"/>
                <w:sz w:val="24"/>
              </w:rPr>
              <w:t>定期存款利息收入</w:t>
            </w:r>
          </w:p>
        </w:tc>
        <w:tc>
          <w:tcPr>
            <w:tcW w:w="3208" w:type="dxa"/>
            <w:vAlign w:val="center"/>
          </w:tcPr>
          <w:p>
            <w:pPr>
              <w:spacing w:before="29" w:line="288" w:lineRule="auto"/>
              <w:jc w:val="right"/>
              <w:rPr>
                <w:kern w:val="0"/>
                <w:sz w:val="24"/>
              </w:rPr>
            </w:pPr>
            <w:r>
              <w:rPr>
                <w:kern w:val="0"/>
                <w:sz w:val="24"/>
              </w:rPr>
              <w:t>-</w:t>
            </w:r>
          </w:p>
        </w:tc>
        <w:tc>
          <w:tcPr>
            <w:tcW w:w="288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widowControl/>
              <w:spacing w:before="29" w:line="288" w:lineRule="auto"/>
              <w:rPr>
                <w:color w:val="000000"/>
                <w:kern w:val="0"/>
                <w:sz w:val="24"/>
              </w:rPr>
            </w:pPr>
            <w:r>
              <w:rPr>
                <w:rFonts w:hint="eastAsia"/>
                <w:color w:val="000000"/>
                <w:kern w:val="0"/>
                <w:sz w:val="24"/>
              </w:rPr>
              <w:t>其他存款利息收入</w:t>
            </w:r>
          </w:p>
        </w:tc>
        <w:tc>
          <w:tcPr>
            <w:tcW w:w="3208" w:type="dxa"/>
            <w:vAlign w:val="center"/>
          </w:tcPr>
          <w:p>
            <w:pPr>
              <w:spacing w:before="29" w:line="288" w:lineRule="auto"/>
              <w:jc w:val="right"/>
              <w:rPr>
                <w:kern w:val="0"/>
                <w:sz w:val="24"/>
              </w:rPr>
            </w:pPr>
            <w:r>
              <w:rPr>
                <w:kern w:val="0"/>
                <w:sz w:val="24"/>
              </w:rPr>
              <w:t>-</w:t>
            </w:r>
          </w:p>
        </w:tc>
        <w:tc>
          <w:tcPr>
            <w:tcW w:w="288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widowControl/>
              <w:spacing w:before="29" w:line="288" w:lineRule="auto"/>
              <w:rPr>
                <w:color w:val="000000"/>
                <w:kern w:val="0"/>
                <w:sz w:val="24"/>
              </w:rPr>
            </w:pPr>
            <w:r>
              <w:rPr>
                <w:rFonts w:hint="eastAsia"/>
                <w:color w:val="000000"/>
                <w:kern w:val="0"/>
                <w:sz w:val="24"/>
              </w:rPr>
              <w:t>结算备付金利息收入</w:t>
            </w:r>
          </w:p>
        </w:tc>
        <w:tc>
          <w:tcPr>
            <w:tcW w:w="3208" w:type="dxa"/>
            <w:vAlign w:val="center"/>
          </w:tcPr>
          <w:p>
            <w:pPr>
              <w:spacing w:before="29" w:line="288" w:lineRule="auto"/>
              <w:jc w:val="right"/>
              <w:rPr>
                <w:kern w:val="0"/>
                <w:sz w:val="24"/>
              </w:rPr>
            </w:pPr>
            <w:r>
              <w:rPr>
                <w:kern w:val="0"/>
                <w:sz w:val="24"/>
              </w:rPr>
              <w:t>19,029.02</w:t>
            </w:r>
          </w:p>
        </w:tc>
        <w:tc>
          <w:tcPr>
            <w:tcW w:w="2880" w:type="dxa"/>
            <w:vAlign w:val="center"/>
          </w:tcPr>
          <w:p>
            <w:pPr>
              <w:spacing w:before="29" w:line="288" w:lineRule="auto"/>
              <w:jc w:val="right"/>
              <w:rPr>
                <w:kern w:val="0"/>
                <w:sz w:val="24"/>
              </w:rPr>
            </w:pPr>
            <w:r>
              <w:rPr>
                <w:kern w:val="0"/>
                <w:sz w:val="24"/>
              </w:rPr>
              <w:t>11,124.58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12" w:type="dxa"/>
            <w:vAlign w:val="center"/>
          </w:tcPr>
          <w:p>
            <w:pPr>
              <w:widowControl/>
              <w:spacing w:before="29" w:line="288" w:lineRule="auto"/>
              <w:rPr>
                <w:color w:val="000000"/>
                <w:kern w:val="0"/>
                <w:sz w:val="24"/>
              </w:rPr>
            </w:pPr>
            <w:r>
              <w:rPr>
                <w:rFonts w:hint="eastAsia"/>
                <w:color w:val="000000"/>
                <w:kern w:val="0"/>
                <w:sz w:val="24"/>
              </w:rPr>
              <w:t>其他</w:t>
            </w:r>
          </w:p>
        </w:tc>
        <w:tc>
          <w:tcPr>
            <w:tcW w:w="3208" w:type="dxa"/>
            <w:vAlign w:val="center"/>
          </w:tcPr>
          <w:p>
            <w:pPr>
              <w:spacing w:before="29" w:line="288" w:lineRule="auto"/>
              <w:jc w:val="right"/>
              <w:rPr>
                <w:kern w:val="0"/>
                <w:sz w:val="24"/>
              </w:rPr>
            </w:pPr>
            <w:r>
              <w:rPr>
                <w:kern w:val="0"/>
                <w:sz w:val="24"/>
              </w:rPr>
              <w:t>3,398.14</w:t>
            </w:r>
          </w:p>
        </w:tc>
        <w:tc>
          <w:tcPr>
            <w:tcW w:w="2880" w:type="dxa"/>
            <w:vAlign w:val="center"/>
          </w:tcPr>
          <w:p>
            <w:pPr>
              <w:spacing w:before="29" w:line="288" w:lineRule="auto"/>
              <w:jc w:val="right"/>
              <w:rPr>
                <w:kern w:val="0"/>
                <w:sz w:val="24"/>
              </w:rPr>
            </w:pPr>
            <w:r>
              <w:rPr>
                <w:kern w:val="0"/>
                <w:sz w:val="24"/>
              </w:rPr>
              <w:t>4,767.72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widowControl/>
              <w:spacing w:before="29" w:line="288" w:lineRule="auto"/>
              <w:rPr>
                <w:color w:val="000000"/>
                <w:kern w:val="0"/>
                <w:sz w:val="24"/>
              </w:rPr>
            </w:pPr>
            <w:r>
              <w:rPr>
                <w:rFonts w:hint="eastAsia"/>
                <w:color w:val="000000"/>
                <w:kern w:val="0"/>
                <w:sz w:val="24"/>
              </w:rPr>
              <w:t>合计</w:t>
            </w:r>
          </w:p>
        </w:tc>
        <w:tc>
          <w:tcPr>
            <w:tcW w:w="3208" w:type="dxa"/>
            <w:vAlign w:val="center"/>
          </w:tcPr>
          <w:p>
            <w:pPr>
              <w:spacing w:before="29" w:line="288" w:lineRule="auto"/>
              <w:jc w:val="right"/>
              <w:rPr>
                <w:kern w:val="0"/>
                <w:sz w:val="24"/>
              </w:rPr>
            </w:pPr>
            <w:r>
              <w:rPr>
                <w:kern w:val="0"/>
                <w:sz w:val="24"/>
              </w:rPr>
              <w:t>136,576.64</w:t>
            </w:r>
          </w:p>
        </w:tc>
        <w:tc>
          <w:tcPr>
            <w:tcW w:w="2880" w:type="dxa"/>
            <w:vAlign w:val="center"/>
          </w:tcPr>
          <w:p>
            <w:pPr>
              <w:spacing w:before="29" w:line="288" w:lineRule="auto"/>
              <w:jc w:val="right"/>
              <w:rPr>
                <w:kern w:val="0"/>
                <w:sz w:val="24"/>
              </w:rPr>
            </w:pPr>
            <w:r>
              <w:rPr>
                <w:kern w:val="0"/>
                <w:sz w:val="24"/>
              </w:rPr>
              <w:t>144,491.20</w:t>
            </w:r>
          </w:p>
        </w:tc>
      </w:tr>
    </w:tbl>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ab/>
      </w:r>
    </w:p>
    <w:p>
      <w:pPr>
        <w:spacing w:line="360" w:lineRule="auto"/>
        <w:rPr>
          <w:rFonts w:eastAsiaTheme="minorEastAsia"/>
          <w:b/>
          <w:color w:val="000000" w:themeColor="text1"/>
          <w:sz w:val="24"/>
        </w:rPr>
      </w:pPr>
      <w:r>
        <w:rPr>
          <w:rFonts w:eastAsiaTheme="minorEastAsia"/>
          <w:b/>
          <w:color w:val="000000" w:themeColor="text1"/>
          <w:sz w:val="24"/>
        </w:rPr>
        <w:t xml:space="preserve">7.4.7.12 </w:t>
      </w:r>
      <w:r>
        <w:rPr>
          <w:rFonts w:hint="eastAsia" w:eastAsiaTheme="minorEastAsia"/>
          <w:b/>
          <w:color w:val="000000" w:themeColor="text1"/>
          <w:sz w:val="24"/>
        </w:rPr>
        <w:t>股票投资收益</w:t>
      </w:r>
    </w:p>
    <w:p>
      <w:pPr>
        <w:adjustRightInd w:val="0"/>
        <w:snapToGrid w:val="0"/>
        <w:spacing w:line="360" w:lineRule="auto"/>
        <w:jc w:val="right"/>
        <w:rPr>
          <w:color w:val="000000"/>
          <w:sz w:val="24"/>
        </w:rPr>
      </w:pPr>
      <w:r>
        <w:rPr>
          <w:rFonts w:hint="eastAsia"/>
          <w:color w:val="000000"/>
          <w:sz w:val="24"/>
        </w:rPr>
        <w:t>单位：人民币元</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55"/>
        <w:gridCol w:w="2726"/>
        <w:gridCol w:w="2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55" w:type="dxa"/>
            <w:tcMar>
              <w:top w:w="15" w:type="dxa"/>
              <w:left w:w="15" w:type="dxa"/>
              <w:bottom w:w="0" w:type="dxa"/>
              <w:right w:w="15" w:type="dxa"/>
            </w:tcMar>
            <w:vAlign w:val="center"/>
          </w:tcPr>
          <w:p>
            <w:pPr>
              <w:spacing w:before="29" w:line="288" w:lineRule="auto"/>
              <w:jc w:val="center"/>
              <w:rPr>
                <w:sz w:val="24"/>
              </w:rPr>
            </w:pPr>
            <w:r>
              <w:rPr>
                <w:rFonts w:hint="eastAsia"/>
                <w:sz w:val="24"/>
              </w:rPr>
              <w:t>项目</w:t>
            </w:r>
          </w:p>
        </w:tc>
        <w:tc>
          <w:tcPr>
            <w:tcW w:w="2726" w:type="dxa"/>
            <w:tcMar>
              <w:top w:w="15" w:type="dxa"/>
              <w:left w:w="15" w:type="dxa"/>
              <w:bottom w:w="0" w:type="dxa"/>
              <w:right w:w="15" w:type="dxa"/>
            </w:tcMar>
            <w:vAlign w:val="center"/>
          </w:tcPr>
          <w:p>
            <w:pPr>
              <w:spacing w:before="29" w:line="288" w:lineRule="auto"/>
              <w:jc w:val="center"/>
              <w:rPr>
                <w:sz w:val="24"/>
              </w:rPr>
            </w:pPr>
            <w:r>
              <w:rPr>
                <w:rFonts w:hint="eastAsia"/>
                <w:sz w:val="24"/>
              </w:rPr>
              <w:t>本期</w:t>
            </w:r>
          </w:p>
          <w:p>
            <w:pPr>
              <w:spacing w:before="29" w:line="288" w:lineRule="auto"/>
              <w:jc w:val="center"/>
              <w:rPr>
                <w:sz w:val="24"/>
              </w:rPr>
            </w:pPr>
            <w:r>
              <w:rPr>
                <w:sz w:val="24"/>
              </w:rPr>
              <w:t>2020年1月1日</w:t>
            </w:r>
            <w:r>
              <w:rPr>
                <w:rFonts w:hint="eastAsia"/>
                <w:sz w:val="24"/>
              </w:rPr>
              <w:t>至</w:t>
            </w:r>
            <w:r>
              <w:rPr>
                <w:sz w:val="24"/>
              </w:rPr>
              <w:t>2020年12月31日</w:t>
            </w:r>
          </w:p>
        </w:tc>
        <w:tc>
          <w:tcPr>
            <w:tcW w:w="2726" w:type="dxa"/>
            <w:vAlign w:val="center"/>
          </w:tcPr>
          <w:p>
            <w:pPr>
              <w:spacing w:before="29" w:line="288" w:lineRule="auto"/>
              <w:jc w:val="center"/>
              <w:rPr>
                <w:sz w:val="24"/>
              </w:rPr>
            </w:pPr>
            <w:r>
              <w:rPr>
                <w:rFonts w:hint="eastAsia"/>
                <w:sz w:val="24"/>
              </w:rPr>
              <w:t>上年度可比期间</w:t>
            </w:r>
          </w:p>
          <w:p>
            <w:pPr>
              <w:spacing w:before="29" w:line="288" w:lineRule="auto"/>
              <w:jc w:val="center"/>
              <w:rPr>
                <w:sz w:val="24"/>
              </w:rPr>
            </w:pPr>
            <w:r>
              <w:rPr>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55" w:type="dxa"/>
            <w:tcMar>
              <w:top w:w="15" w:type="dxa"/>
              <w:left w:w="15" w:type="dxa"/>
              <w:bottom w:w="0" w:type="dxa"/>
              <w:right w:w="15" w:type="dxa"/>
            </w:tcMar>
            <w:vAlign w:val="center"/>
          </w:tcPr>
          <w:p>
            <w:pPr>
              <w:widowControl/>
              <w:spacing w:before="29" w:line="288" w:lineRule="auto"/>
              <w:rPr>
                <w:color w:val="000000"/>
                <w:kern w:val="0"/>
                <w:sz w:val="24"/>
              </w:rPr>
            </w:pPr>
            <w:r>
              <w:rPr>
                <w:rFonts w:hint="eastAsia"/>
                <w:color w:val="000000"/>
                <w:kern w:val="0"/>
                <w:sz w:val="24"/>
              </w:rPr>
              <w:t>卖出股票成交总额</w:t>
            </w:r>
          </w:p>
        </w:tc>
        <w:tc>
          <w:tcPr>
            <w:tcW w:w="2726" w:type="dxa"/>
            <w:tcMar>
              <w:top w:w="15" w:type="dxa"/>
              <w:left w:w="15" w:type="dxa"/>
              <w:bottom w:w="0" w:type="dxa"/>
              <w:right w:w="15" w:type="dxa"/>
            </w:tcMar>
            <w:vAlign w:val="bottom"/>
          </w:tcPr>
          <w:p>
            <w:pPr>
              <w:spacing w:before="29" w:line="288" w:lineRule="auto"/>
              <w:jc w:val="right"/>
              <w:rPr>
                <w:kern w:val="0"/>
                <w:sz w:val="24"/>
              </w:rPr>
            </w:pPr>
            <w:r>
              <w:rPr>
                <w:kern w:val="0"/>
                <w:sz w:val="24"/>
              </w:rPr>
              <w:t>1,691,229,171.43</w:t>
            </w:r>
          </w:p>
        </w:tc>
        <w:tc>
          <w:tcPr>
            <w:tcW w:w="2726" w:type="dxa"/>
            <w:vAlign w:val="bottom"/>
          </w:tcPr>
          <w:p>
            <w:pPr>
              <w:spacing w:before="29" w:line="288" w:lineRule="auto"/>
              <w:jc w:val="right"/>
              <w:rPr>
                <w:kern w:val="0"/>
                <w:sz w:val="24"/>
              </w:rPr>
            </w:pPr>
            <w:r>
              <w:rPr>
                <w:kern w:val="0"/>
                <w:sz w:val="24"/>
              </w:rPr>
              <w:t>942,562,418.97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55" w:type="dxa"/>
            <w:tcMar>
              <w:top w:w="15" w:type="dxa"/>
              <w:left w:w="15" w:type="dxa"/>
              <w:bottom w:w="0" w:type="dxa"/>
              <w:right w:w="15" w:type="dxa"/>
            </w:tcMar>
            <w:vAlign w:val="center"/>
          </w:tcPr>
          <w:p>
            <w:pPr>
              <w:widowControl/>
              <w:spacing w:before="29" w:line="288" w:lineRule="auto"/>
              <w:rPr>
                <w:color w:val="000000"/>
                <w:kern w:val="0"/>
                <w:sz w:val="24"/>
              </w:rPr>
            </w:pPr>
            <w:r>
              <w:rPr>
                <w:rFonts w:hint="eastAsia"/>
                <w:color w:val="000000"/>
                <w:kern w:val="0"/>
                <w:sz w:val="24"/>
              </w:rPr>
              <w:t>减：卖出股票成本总额</w:t>
            </w:r>
          </w:p>
        </w:tc>
        <w:tc>
          <w:tcPr>
            <w:tcW w:w="2726" w:type="dxa"/>
            <w:tcMar>
              <w:top w:w="15" w:type="dxa"/>
              <w:left w:w="15" w:type="dxa"/>
              <w:bottom w:w="0" w:type="dxa"/>
              <w:right w:w="15" w:type="dxa"/>
            </w:tcMar>
            <w:vAlign w:val="bottom"/>
          </w:tcPr>
          <w:p>
            <w:pPr>
              <w:spacing w:before="29" w:line="288" w:lineRule="auto"/>
              <w:jc w:val="right"/>
              <w:rPr>
                <w:kern w:val="0"/>
                <w:sz w:val="24"/>
              </w:rPr>
            </w:pPr>
            <w:r>
              <w:rPr>
                <w:kern w:val="0"/>
                <w:sz w:val="24"/>
              </w:rPr>
              <w:t>1,579,157,989.53</w:t>
            </w:r>
          </w:p>
        </w:tc>
        <w:tc>
          <w:tcPr>
            <w:tcW w:w="2726" w:type="dxa"/>
            <w:vAlign w:val="bottom"/>
          </w:tcPr>
          <w:p>
            <w:pPr>
              <w:spacing w:before="29" w:line="288" w:lineRule="auto"/>
              <w:jc w:val="right"/>
              <w:rPr>
                <w:kern w:val="0"/>
                <w:sz w:val="24"/>
              </w:rPr>
            </w:pPr>
            <w:r>
              <w:rPr>
                <w:kern w:val="0"/>
                <w:sz w:val="24"/>
              </w:rPr>
              <w:t>876,725,056.53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55" w:type="dxa"/>
            <w:tcMar>
              <w:top w:w="15" w:type="dxa"/>
              <w:left w:w="15" w:type="dxa"/>
              <w:bottom w:w="0" w:type="dxa"/>
              <w:right w:w="15" w:type="dxa"/>
            </w:tcMar>
            <w:vAlign w:val="center"/>
          </w:tcPr>
          <w:p>
            <w:pPr>
              <w:widowControl/>
              <w:spacing w:before="29" w:line="288" w:lineRule="auto"/>
              <w:rPr>
                <w:color w:val="000000"/>
                <w:kern w:val="0"/>
                <w:sz w:val="24"/>
              </w:rPr>
            </w:pPr>
            <w:r>
              <w:rPr>
                <w:rFonts w:hint="eastAsia"/>
                <w:color w:val="000000"/>
                <w:kern w:val="0"/>
                <w:sz w:val="24"/>
              </w:rPr>
              <w:t>买卖股票差价收入</w:t>
            </w:r>
          </w:p>
        </w:tc>
        <w:tc>
          <w:tcPr>
            <w:tcW w:w="2726" w:type="dxa"/>
            <w:tcMar>
              <w:top w:w="15" w:type="dxa"/>
              <w:left w:w="15" w:type="dxa"/>
              <w:bottom w:w="0" w:type="dxa"/>
              <w:right w:w="15" w:type="dxa"/>
            </w:tcMar>
            <w:vAlign w:val="bottom"/>
          </w:tcPr>
          <w:p>
            <w:pPr>
              <w:spacing w:before="29" w:line="288" w:lineRule="auto"/>
              <w:jc w:val="right"/>
              <w:rPr>
                <w:kern w:val="0"/>
                <w:sz w:val="24"/>
              </w:rPr>
            </w:pPr>
            <w:r>
              <w:rPr>
                <w:kern w:val="0"/>
                <w:sz w:val="24"/>
              </w:rPr>
              <w:t>112,071,181.90</w:t>
            </w:r>
          </w:p>
        </w:tc>
        <w:tc>
          <w:tcPr>
            <w:tcW w:w="2726" w:type="dxa"/>
            <w:vAlign w:val="bottom"/>
          </w:tcPr>
          <w:p>
            <w:pPr>
              <w:spacing w:before="29" w:line="288" w:lineRule="auto"/>
              <w:jc w:val="right"/>
              <w:rPr>
                <w:kern w:val="0"/>
                <w:sz w:val="24"/>
              </w:rPr>
            </w:pPr>
            <w:r>
              <w:rPr>
                <w:kern w:val="0"/>
                <w:sz w:val="24"/>
              </w:rPr>
              <w:t>65,837,362.44</w:t>
            </w:r>
          </w:p>
        </w:tc>
      </w:tr>
    </w:tbl>
    <w:p>
      <w:pPr>
        <w:tabs>
          <w:tab w:val="left" w:pos="426"/>
        </w:tabs>
        <w:spacing w:before="29" w:line="288" w:lineRule="auto"/>
        <w:jc w:val="left"/>
        <w:rPr>
          <w:kern w:val="0"/>
          <w:sz w:val="24"/>
        </w:rPr>
      </w:pPr>
    </w:p>
    <w:p>
      <w:pPr>
        <w:spacing w:line="360" w:lineRule="auto"/>
        <w:rPr>
          <w:rFonts w:eastAsiaTheme="minorEastAsia"/>
          <w:b/>
          <w:color w:val="000000" w:themeColor="text1"/>
          <w:sz w:val="24"/>
        </w:rPr>
      </w:pPr>
      <w:r>
        <w:rPr>
          <w:rFonts w:eastAsiaTheme="minorEastAsia"/>
          <w:b/>
          <w:color w:val="000000" w:themeColor="text1"/>
          <w:sz w:val="24"/>
        </w:rPr>
        <w:t>7.4.7.13</w:t>
      </w:r>
      <w:r>
        <w:rPr>
          <w:rFonts w:hint="eastAsia" w:eastAsiaTheme="minorEastAsia"/>
          <w:b/>
          <w:color w:val="000000" w:themeColor="text1"/>
          <w:sz w:val="24"/>
        </w:rPr>
        <w:t>债券投资收益</w:t>
      </w:r>
    </w:p>
    <w:p>
      <w:pPr>
        <w:autoSpaceDE w:val="0"/>
        <w:autoSpaceDN w:val="0"/>
        <w:adjustRightInd w:val="0"/>
        <w:spacing w:before="29" w:line="288" w:lineRule="auto"/>
        <w:ind w:left="15"/>
        <w:jc w:val="right"/>
        <w:rPr>
          <w:kern w:val="0"/>
          <w:szCs w:val="21"/>
        </w:rPr>
      </w:pPr>
      <w:r>
        <w:rPr>
          <w:bCs/>
          <w:color w:val="000000"/>
          <w:sz w:val="24"/>
        </w:rPr>
        <w:t>单位：人民币元</w:t>
      </w:r>
    </w:p>
    <w:tbl>
      <w:tblPr>
        <w:tblStyle w:val="25"/>
        <w:tblW w:w="8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108" w:type="dxa"/>
        </w:tblCellMar>
      </w:tblPr>
      <w:tblGrid>
        <w:gridCol w:w="3968"/>
        <w:gridCol w:w="2515"/>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15" w:hRule="atLeast"/>
        </w:trPr>
        <w:tc>
          <w:tcPr>
            <w:tcW w:w="4129" w:type="dxa"/>
            <w:vAlign w:val="center"/>
          </w:tcPr>
          <w:p>
            <w:pPr>
              <w:widowControl/>
              <w:autoSpaceDE w:val="0"/>
              <w:autoSpaceDN w:val="0"/>
              <w:spacing w:before="29" w:line="288" w:lineRule="auto"/>
              <w:ind w:right="-15"/>
              <w:jc w:val="center"/>
              <w:textAlignment w:val="bottom"/>
              <w:rPr>
                <w:color w:val="000000"/>
                <w:sz w:val="24"/>
              </w:rPr>
            </w:pPr>
            <w:r>
              <w:rPr>
                <w:color w:val="000000"/>
                <w:sz w:val="24"/>
              </w:rPr>
              <w:t>项目</w:t>
            </w:r>
          </w:p>
        </w:tc>
        <w:tc>
          <w:tcPr>
            <w:tcW w:w="2616" w:type="dxa"/>
            <w:vAlign w:val="center"/>
          </w:tcPr>
          <w:p>
            <w:pPr>
              <w:widowControl/>
              <w:spacing w:before="29" w:line="288" w:lineRule="auto"/>
              <w:ind w:right="-15"/>
              <w:jc w:val="center"/>
              <w:rPr>
                <w:color w:val="000000"/>
                <w:sz w:val="24"/>
              </w:rPr>
            </w:pPr>
            <w:r>
              <w:rPr>
                <w:color w:val="000000"/>
                <w:sz w:val="24"/>
              </w:rPr>
              <w:t>本期</w:t>
            </w:r>
          </w:p>
          <w:p>
            <w:pPr>
              <w:widowControl/>
              <w:autoSpaceDE w:val="0"/>
              <w:autoSpaceDN w:val="0"/>
              <w:spacing w:before="29" w:line="288" w:lineRule="auto"/>
              <w:ind w:right="-15"/>
              <w:jc w:val="center"/>
              <w:textAlignment w:val="bottom"/>
              <w:rPr>
                <w:color w:val="000000"/>
                <w:sz w:val="24"/>
              </w:rPr>
            </w:pPr>
            <w:r>
              <w:rPr>
                <w:color w:val="000000"/>
                <w:sz w:val="24"/>
              </w:rPr>
              <w:t>2020年1月1日至2020年12月31日</w:t>
            </w:r>
          </w:p>
        </w:tc>
        <w:tc>
          <w:tcPr>
            <w:tcW w:w="2616" w:type="dxa"/>
            <w:vAlign w:val="center"/>
          </w:tcPr>
          <w:p>
            <w:pPr>
              <w:widowControl/>
              <w:spacing w:before="29" w:line="288" w:lineRule="auto"/>
              <w:ind w:right="-15"/>
              <w:jc w:val="center"/>
              <w:rPr>
                <w:color w:val="000000"/>
                <w:sz w:val="24"/>
              </w:rPr>
            </w:pPr>
            <w:r>
              <w:rPr>
                <w:color w:val="000000"/>
                <w:sz w:val="24"/>
              </w:rPr>
              <w:t>上年度可比期间</w:t>
            </w:r>
          </w:p>
          <w:p>
            <w:pPr>
              <w:widowControl/>
              <w:autoSpaceDE w:val="0"/>
              <w:autoSpaceDN w:val="0"/>
              <w:spacing w:before="29" w:line="288" w:lineRule="auto"/>
              <w:ind w:right="-15"/>
              <w:jc w:val="center"/>
              <w:textAlignment w:val="bottom"/>
              <w:rPr>
                <w:color w:val="000000"/>
                <w:sz w:val="24"/>
              </w:rPr>
            </w:pPr>
            <w:r>
              <w:rPr>
                <w:color w:val="000000"/>
                <w:sz w:val="24"/>
              </w:rPr>
              <w:t>2019年1月1日至2019年12月31日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15" w:hRule="atLeast"/>
        </w:trPr>
        <w:tc>
          <w:tcPr>
            <w:tcW w:w="412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29" w:line="288" w:lineRule="auto"/>
              <w:rPr>
                <w:color w:val="000000"/>
                <w:sz w:val="24"/>
              </w:rPr>
            </w:pPr>
            <w:r>
              <w:rPr>
                <w:color w:val="000000"/>
                <w:sz w:val="24"/>
              </w:rPr>
              <w:t>卖出债券（债转股及债券到期兑付）成交总额</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10,190,858.03</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20,000,000.00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15" w:hRule="atLeast"/>
        </w:trPr>
        <w:tc>
          <w:tcPr>
            <w:tcW w:w="412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29" w:line="288" w:lineRule="auto"/>
              <w:rPr>
                <w:color w:val="000000"/>
                <w:sz w:val="24"/>
              </w:rPr>
            </w:pPr>
            <w:r>
              <w:rPr>
                <w:color w:val="000000"/>
                <w:sz w:val="24"/>
              </w:rPr>
              <w:t>减：卖出债券（债转股及债券到期兑付）成本总额</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10,010,340.00</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19,892,300.00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15" w:hRule="atLeast"/>
        </w:trPr>
        <w:tc>
          <w:tcPr>
            <w:tcW w:w="412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29" w:line="288" w:lineRule="auto"/>
              <w:rPr>
                <w:color w:val="000000"/>
                <w:sz w:val="24"/>
              </w:rPr>
            </w:pPr>
            <w:r>
              <w:rPr>
                <w:color w:val="000000"/>
                <w:sz w:val="24"/>
              </w:rPr>
              <w:t>减：应收利息总额</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158,418.03</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107,000.00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15" w:hRule="atLeast"/>
        </w:trPr>
        <w:tc>
          <w:tcPr>
            <w:tcW w:w="412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29" w:line="288" w:lineRule="auto"/>
              <w:rPr>
                <w:sz w:val="24"/>
              </w:rPr>
            </w:pPr>
            <w:r>
              <w:rPr>
                <w:sz w:val="24"/>
              </w:rPr>
              <w:t>买卖债券差价收入</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22,100.00</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700.00</w:t>
            </w:r>
          </w:p>
        </w:tc>
      </w:tr>
    </w:tbl>
    <w:p>
      <w:pPr>
        <w:spacing w:line="360" w:lineRule="auto"/>
        <w:rPr>
          <w:rFonts w:eastAsiaTheme="minorEastAsia"/>
          <w:b/>
          <w:color w:val="000000" w:themeColor="text1"/>
          <w:sz w:val="24"/>
        </w:rPr>
      </w:pPr>
    </w:p>
    <w:p>
      <w:pPr>
        <w:spacing w:line="360" w:lineRule="auto"/>
        <w:rPr>
          <w:rFonts w:eastAsiaTheme="minorEastAsia"/>
          <w:b/>
          <w:color w:val="000000" w:themeColor="text1"/>
          <w:sz w:val="24"/>
        </w:rPr>
      </w:pPr>
      <w:r>
        <w:rPr>
          <w:rFonts w:eastAsiaTheme="minorEastAsia"/>
          <w:b/>
          <w:color w:val="000000" w:themeColor="text1"/>
          <w:sz w:val="24"/>
        </w:rPr>
        <w:t>7.4.7.</w:t>
      </w:r>
      <w:r>
        <w:rPr>
          <w:rFonts w:hint="eastAsia" w:eastAsiaTheme="minorEastAsia"/>
          <w:b/>
          <w:color w:val="000000" w:themeColor="text1"/>
          <w:sz w:val="24"/>
        </w:rPr>
        <w:t>14资产支持证券投资收益</w:t>
      </w:r>
    </w:p>
    <w:p>
      <w:pPr>
        <w:tabs>
          <w:tab w:val="left" w:pos="426"/>
        </w:tabs>
        <w:spacing w:before="29" w:line="288" w:lineRule="auto"/>
        <w:jc w:val="left"/>
        <w:rPr>
          <w:rFonts w:cs="宋体" w:asciiTheme="minorEastAsia" w:hAnsiTheme="minorEastAsia" w:eastAsiaTheme="minorEastAsia"/>
          <w:kern w:val="0"/>
          <w:szCs w:val="21"/>
        </w:rPr>
      </w:pPr>
      <w:r>
        <w:rPr>
          <w:kern w:val="0"/>
          <w:sz w:val="24"/>
        </w:rPr>
        <w:t>本基金本报告期内及上年度可比期间无资产支持证券投资收益。</w:t>
      </w:r>
    </w:p>
    <w:p>
      <w:pPr>
        <w:spacing w:line="360" w:lineRule="auto"/>
        <w:rPr>
          <w:rFonts w:asciiTheme="minorEastAsia" w:hAnsiTheme="minorEastAsia" w:eastAsiaTheme="minorEastAsia"/>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7.4.7.15</w:t>
      </w:r>
      <w:r>
        <w:rPr>
          <w:rFonts w:hint="eastAsia" w:eastAsiaTheme="minorEastAsia"/>
          <w:b/>
          <w:color w:val="000000" w:themeColor="text1"/>
          <w:sz w:val="24"/>
        </w:rPr>
        <w:t>衍生工具收益</w:t>
      </w:r>
    </w:p>
    <w:p>
      <w:pPr>
        <w:tabs>
          <w:tab w:val="left" w:pos="426"/>
        </w:tabs>
        <w:spacing w:line="360" w:lineRule="auto"/>
        <w:ind w:firstLine="480" w:firstLineChars="200"/>
        <w:jc w:val="left"/>
        <w:rPr>
          <w:rFonts w:eastAsiaTheme="minorEastAsia"/>
          <w:kern w:val="0"/>
          <w:sz w:val="24"/>
        </w:rPr>
      </w:pPr>
      <w:r>
        <w:rPr>
          <w:rFonts w:eastAsiaTheme="minorEastAsia"/>
          <w:kern w:val="0"/>
          <w:sz w:val="24"/>
        </w:rPr>
        <w:t>本基金本报告期内及上年度可比期间无衍生工具收益。</w:t>
      </w:r>
    </w:p>
    <w:p>
      <w:pPr>
        <w:spacing w:line="360" w:lineRule="auto"/>
        <w:rPr>
          <w:rFonts w:eastAsiaTheme="minorEastAsia"/>
          <w:b/>
          <w:color w:val="000000" w:themeColor="text1"/>
          <w:sz w:val="24"/>
        </w:rPr>
      </w:pPr>
      <w:r>
        <w:rPr>
          <w:rFonts w:eastAsiaTheme="minorEastAsia"/>
          <w:b/>
          <w:color w:val="000000" w:themeColor="text1"/>
          <w:sz w:val="24"/>
        </w:rPr>
        <w:t>7.4.7.16</w:t>
      </w:r>
      <w:r>
        <w:rPr>
          <w:rFonts w:hint="eastAsia" w:eastAsiaTheme="minorEastAsia"/>
          <w:b/>
          <w:color w:val="000000" w:themeColor="text1"/>
          <w:sz w:val="24"/>
        </w:rPr>
        <w:t>股利收益</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25"/>
        <w:tblW w:w="92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7"/>
        <w:gridCol w:w="3149"/>
        <w:gridCol w:w="3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88" w:type="dxa"/>
            <w:vAlign w:val="center"/>
          </w:tcPr>
          <w:p>
            <w:pPr>
              <w:spacing w:before="29" w:line="288" w:lineRule="auto"/>
              <w:jc w:val="center"/>
              <w:rPr>
                <w:color w:val="000000"/>
                <w:sz w:val="24"/>
              </w:rPr>
            </w:pPr>
            <w:r>
              <w:rPr>
                <w:rFonts w:hint="eastAsia"/>
                <w:color w:val="000000"/>
                <w:sz w:val="24"/>
              </w:rPr>
              <w:t>项目</w:t>
            </w:r>
          </w:p>
        </w:tc>
        <w:tc>
          <w:tcPr>
            <w:tcW w:w="3150" w:type="dxa"/>
          </w:tcPr>
          <w:p>
            <w:pPr>
              <w:spacing w:before="29" w:line="288" w:lineRule="auto"/>
              <w:jc w:val="center"/>
              <w:rPr>
                <w:color w:val="000000"/>
                <w:sz w:val="24"/>
              </w:rPr>
            </w:pPr>
            <w:r>
              <w:rPr>
                <w:rFonts w:hint="eastAsia"/>
                <w:color w:val="000000"/>
                <w:sz w:val="24"/>
              </w:rPr>
              <w:t>本期</w:t>
            </w:r>
          </w:p>
          <w:p>
            <w:pPr>
              <w:widowControl/>
              <w:autoSpaceDE w:val="0"/>
              <w:autoSpaceDN w:val="0"/>
              <w:spacing w:before="29" w:line="288" w:lineRule="auto"/>
              <w:ind w:right="-15"/>
              <w:jc w:val="center"/>
              <w:textAlignment w:val="bottom"/>
              <w:rPr>
                <w:color w:val="000000"/>
                <w:sz w:val="24"/>
              </w:rPr>
            </w:pPr>
            <w:r>
              <w:rPr>
                <w:color w:val="000000"/>
                <w:sz w:val="24"/>
              </w:rPr>
              <w:t>2020年1月1日</w:t>
            </w:r>
            <w:r>
              <w:rPr>
                <w:rFonts w:hint="eastAsia"/>
                <w:color w:val="000000"/>
                <w:sz w:val="24"/>
              </w:rPr>
              <w:t>至</w:t>
            </w:r>
            <w:r>
              <w:rPr>
                <w:color w:val="000000"/>
                <w:sz w:val="24"/>
              </w:rPr>
              <w:t>2020年12月31日</w:t>
            </w:r>
          </w:p>
        </w:tc>
        <w:tc>
          <w:tcPr>
            <w:tcW w:w="3150" w:type="dxa"/>
          </w:tcPr>
          <w:p>
            <w:pPr>
              <w:spacing w:before="29" w:line="288" w:lineRule="auto"/>
              <w:jc w:val="center"/>
              <w:rPr>
                <w:color w:val="000000"/>
                <w:sz w:val="24"/>
              </w:rPr>
            </w:pPr>
            <w:r>
              <w:rPr>
                <w:rFonts w:hint="eastAsia"/>
                <w:color w:val="000000"/>
                <w:sz w:val="24"/>
              </w:rPr>
              <w:t>上年度可比期间</w:t>
            </w:r>
          </w:p>
          <w:p>
            <w:pPr>
              <w:widowControl/>
              <w:autoSpaceDE w:val="0"/>
              <w:autoSpaceDN w:val="0"/>
              <w:spacing w:before="29" w:line="288" w:lineRule="auto"/>
              <w:ind w:right="-15"/>
              <w:jc w:val="center"/>
              <w:textAlignment w:val="bottom"/>
              <w:rPr>
                <w:color w:val="000000"/>
                <w:sz w:val="24"/>
              </w:rPr>
            </w:pPr>
            <w:r>
              <w:rPr>
                <w:color w:val="000000"/>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88" w:type="dxa"/>
            <w:vAlign w:val="center"/>
          </w:tcPr>
          <w:p>
            <w:pPr>
              <w:widowControl/>
              <w:spacing w:before="29" w:line="288" w:lineRule="auto"/>
              <w:rPr>
                <w:color w:val="000000"/>
                <w:kern w:val="0"/>
                <w:sz w:val="24"/>
              </w:rPr>
            </w:pPr>
            <w:r>
              <w:rPr>
                <w:rFonts w:hint="eastAsia"/>
                <w:color w:val="000000"/>
                <w:kern w:val="0"/>
                <w:sz w:val="24"/>
              </w:rPr>
              <w:t>股票投资产生的股利收益</w:t>
            </w:r>
          </w:p>
        </w:tc>
        <w:tc>
          <w:tcPr>
            <w:tcW w:w="3150" w:type="dxa"/>
            <w:vAlign w:val="center"/>
          </w:tcPr>
          <w:p>
            <w:pPr>
              <w:spacing w:before="29" w:line="288" w:lineRule="auto"/>
              <w:jc w:val="right"/>
              <w:rPr>
                <w:kern w:val="0"/>
                <w:sz w:val="24"/>
              </w:rPr>
            </w:pPr>
            <w:r>
              <w:rPr>
                <w:kern w:val="0"/>
                <w:sz w:val="24"/>
              </w:rPr>
              <w:t>2,515,958.66</w:t>
            </w:r>
          </w:p>
        </w:tc>
        <w:tc>
          <w:tcPr>
            <w:tcW w:w="3150" w:type="dxa"/>
            <w:vAlign w:val="center"/>
          </w:tcPr>
          <w:p>
            <w:pPr>
              <w:spacing w:before="29" w:line="288" w:lineRule="auto"/>
              <w:jc w:val="right"/>
              <w:rPr>
                <w:kern w:val="0"/>
                <w:sz w:val="24"/>
              </w:rPr>
            </w:pPr>
            <w:r>
              <w:rPr>
                <w:kern w:val="0"/>
                <w:sz w:val="24"/>
              </w:rPr>
              <w:t>2,179,862.08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88" w:type="dxa"/>
            <w:vAlign w:val="center"/>
          </w:tcPr>
          <w:p>
            <w:pPr>
              <w:widowControl/>
              <w:spacing w:before="29" w:line="288" w:lineRule="auto"/>
              <w:rPr>
                <w:color w:val="000000"/>
                <w:kern w:val="0"/>
                <w:sz w:val="24"/>
              </w:rPr>
            </w:pPr>
            <w:r>
              <w:rPr>
                <w:rFonts w:hint="eastAsia"/>
                <w:color w:val="000000"/>
                <w:kern w:val="0"/>
                <w:sz w:val="24"/>
              </w:rPr>
              <w:t>基金投资产生的股利收益</w:t>
            </w:r>
          </w:p>
        </w:tc>
        <w:tc>
          <w:tcPr>
            <w:tcW w:w="3150" w:type="dxa"/>
            <w:vAlign w:val="center"/>
          </w:tcPr>
          <w:p>
            <w:pPr>
              <w:spacing w:before="29" w:line="288" w:lineRule="auto"/>
              <w:jc w:val="right"/>
              <w:rPr>
                <w:kern w:val="0"/>
                <w:sz w:val="24"/>
              </w:rPr>
            </w:pPr>
            <w:r>
              <w:rPr>
                <w:kern w:val="0"/>
                <w:sz w:val="24"/>
              </w:rPr>
              <w:t>-</w:t>
            </w:r>
          </w:p>
        </w:tc>
        <w:tc>
          <w:tcPr>
            <w:tcW w:w="315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88" w:type="dxa"/>
            <w:vAlign w:val="center"/>
          </w:tcPr>
          <w:p>
            <w:pPr>
              <w:widowControl/>
              <w:spacing w:before="29" w:line="288" w:lineRule="auto"/>
              <w:rPr>
                <w:color w:val="000000"/>
                <w:kern w:val="0"/>
                <w:sz w:val="24"/>
              </w:rPr>
            </w:pPr>
            <w:r>
              <w:rPr>
                <w:rFonts w:hint="eastAsia"/>
                <w:color w:val="000000"/>
                <w:kern w:val="0"/>
                <w:sz w:val="24"/>
              </w:rPr>
              <w:t>合计</w:t>
            </w:r>
          </w:p>
        </w:tc>
        <w:tc>
          <w:tcPr>
            <w:tcW w:w="3150" w:type="dxa"/>
            <w:vAlign w:val="center"/>
          </w:tcPr>
          <w:p>
            <w:pPr>
              <w:spacing w:before="29" w:line="288" w:lineRule="auto"/>
              <w:jc w:val="right"/>
              <w:rPr>
                <w:kern w:val="0"/>
                <w:sz w:val="24"/>
              </w:rPr>
            </w:pPr>
            <w:r>
              <w:rPr>
                <w:kern w:val="0"/>
                <w:sz w:val="24"/>
              </w:rPr>
              <w:t>2,515,958.66</w:t>
            </w:r>
          </w:p>
        </w:tc>
        <w:tc>
          <w:tcPr>
            <w:tcW w:w="3150" w:type="dxa"/>
            <w:vAlign w:val="center"/>
          </w:tcPr>
          <w:p>
            <w:pPr>
              <w:spacing w:before="29" w:line="288" w:lineRule="auto"/>
              <w:jc w:val="right"/>
              <w:rPr>
                <w:kern w:val="0"/>
                <w:sz w:val="24"/>
              </w:rPr>
            </w:pPr>
            <w:r>
              <w:rPr>
                <w:kern w:val="0"/>
                <w:sz w:val="24"/>
              </w:rPr>
              <w:t>2,179,862.08</w:t>
            </w:r>
          </w:p>
        </w:tc>
      </w:tr>
    </w:tbl>
    <w:p>
      <w:pPr>
        <w:spacing w:line="360" w:lineRule="auto"/>
        <w:ind w:firstLine="210" w:firstLineChars="100"/>
        <w:rPr>
          <w:rFonts w:asciiTheme="minorEastAsia" w:hAnsiTheme="minorEastAsia" w:eastAsiaTheme="minorEastAsia"/>
          <w:szCs w:val="21"/>
        </w:rPr>
      </w:pPr>
    </w:p>
    <w:p>
      <w:pPr>
        <w:spacing w:line="360" w:lineRule="auto"/>
        <w:rPr>
          <w:rFonts w:eastAsiaTheme="minorEastAsia"/>
          <w:b/>
          <w:color w:val="000000"/>
          <w:sz w:val="24"/>
        </w:rPr>
      </w:pPr>
      <w:r>
        <w:rPr>
          <w:rFonts w:eastAsiaTheme="minorEastAsia"/>
          <w:b/>
          <w:color w:val="000000"/>
          <w:sz w:val="24"/>
        </w:rPr>
        <w:t>7.4.7.17公允价值变动收益</w:t>
      </w:r>
    </w:p>
    <w:p>
      <w:pPr>
        <w:tabs>
          <w:tab w:val="left" w:pos="8820"/>
        </w:tabs>
        <w:spacing w:line="360" w:lineRule="auto"/>
        <w:ind w:right="-109" w:rightChars="-52"/>
        <w:jc w:val="right"/>
        <w:rPr>
          <w:rFonts w:eastAsiaTheme="minorEastAsia"/>
          <w:color w:val="000000"/>
          <w:sz w:val="24"/>
        </w:rPr>
      </w:pPr>
      <w:r>
        <w:rPr>
          <w:rFonts w:eastAsiaTheme="minorEastAsia"/>
          <w:color w:val="000000"/>
          <w:sz w:val="24"/>
        </w:rPr>
        <w:t>单位：人民币元</w:t>
      </w:r>
    </w:p>
    <w:tbl>
      <w:tblPr>
        <w:tblStyle w:val="25"/>
        <w:tblW w:w="92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7"/>
        <w:gridCol w:w="3149"/>
        <w:gridCol w:w="3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spacing w:line="360" w:lineRule="auto"/>
              <w:jc w:val="center"/>
              <w:rPr>
                <w:rFonts w:eastAsiaTheme="minorEastAsia"/>
                <w:sz w:val="24"/>
              </w:rPr>
            </w:pPr>
            <w:r>
              <w:rPr>
                <w:rFonts w:eastAsiaTheme="minorEastAsia"/>
                <w:kern w:val="0"/>
                <w:sz w:val="24"/>
              </w:rPr>
              <w:t>项目名称</w:t>
            </w:r>
          </w:p>
        </w:tc>
        <w:tc>
          <w:tcPr>
            <w:tcW w:w="3149" w:type="dxa"/>
          </w:tcPr>
          <w:p>
            <w:pPr>
              <w:spacing w:line="360" w:lineRule="auto"/>
              <w:jc w:val="center"/>
              <w:rPr>
                <w:rFonts w:eastAsiaTheme="minorEastAsia"/>
                <w:sz w:val="24"/>
              </w:rPr>
            </w:pPr>
            <w:r>
              <w:rPr>
                <w:rFonts w:eastAsiaTheme="minorEastAsia"/>
                <w:sz w:val="24"/>
              </w:rPr>
              <w:t>本期</w:t>
            </w:r>
          </w:p>
          <w:p>
            <w:pPr>
              <w:widowControl/>
              <w:autoSpaceDE w:val="0"/>
              <w:autoSpaceDN w:val="0"/>
              <w:spacing w:line="360" w:lineRule="auto"/>
              <w:ind w:right="-15"/>
              <w:jc w:val="center"/>
              <w:textAlignment w:val="bottom"/>
              <w:rPr>
                <w:rFonts w:eastAsiaTheme="minorEastAsia"/>
                <w:sz w:val="24"/>
              </w:rPr>
            </w:pPr>
            <w:r>
              <w:rPr>
                <w:rFonts w:eastAsiaTheme="minorEastAsia"/>
                <w:sz w:val="24"/>
              </w:rPr>
              <w:t>2020年1月1日至2020年12月31日</w:t>
            </w:r>
          </w:p>
        </w:tc>
        <w:tc>
          <w:tcPr>
            <w:tcW w:w="3149" w:type="dxa"/>
          </w:tcPr>
          <w:p>
            <w:pPr>
              <w:spacing w:line="360" w:lineRule="auto"/>
              <w:jc w:val="center"/>
              <w:rPr>
                <w:rFonts w:eastAsiaTheme="minorEastAsia"/>
                <w:sz w:val="24"/>
              </w:rPr>
            </w:pPr>
            <w:r>
              <w:rPr>
                <w:rFonts w:eastAsiaTheme="minorEastAsia"/>
                <w:sz w:val="24"/>
              </w:rPr>
              <w:t>上年度可比期间</w:t>
            </w:r>
          </w:p>
          <w:p>
            <w:pPr>
              <w:widowControl/>
              <w:autoSpaceDE w:val="0"/>
              <w:autoSpaceDN w:val="0"/>
              <w:spacing w:line="360" w:lineRule="auto"/>
              <w:ind w:right="-15"/>
              <w:jc w:val="center"/>
              <w:textAlignment w:val="bottom"/>
              <w:rPr>
                <w:rFonts w:eastAsiaTheme="minorEastAsia"/>
                <w:kern w:val="0"/>
                <w:sz w:val="24"/>
              </w:rPr>
            </w:pPr>
            <w:r>
              <w:rPr>
                <w:rFonts w:eastAsiaTheme="minorEastAsia"/>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1.交易性金融资产</w:t>
            </w:r>
          </w:p>
        </w:tc>
        <w:tc>
          <w:tcPr>
            <w:tcW w:w="3149" w:type="dxa"/>
            <w:vAlign w:val="center"/>
          </w:tcPr>
          <w:p>
            <w:pPr>
              <w:spacing w:line="360" w:lineRule="auto"/>
              <w:jc w:val="right"/>
              <w:rPr>
                <w:rFonts w:eastAsiaTheme="minorEastAsia"/>
                <w:sz w:val="24"/>
              </w:rPr>
            </w:pPr>
            <w:r>
              <w:rPr>
                <w:rFonts w:eastAsiaTheme="minorEastAsia"/>
                <w:sz w:val="24"/>
              </w:rPr>
              <w:t>21,138,967.78</w:t>
            </w:r>
          </w:p>
        </w:tc>
        <w:tc>
          <w:tcPr>
            <w:tcW w:w="3149" w:type="dxa"/>
            <w:vAlign w:val="center"/>
          </w:tcPr>
          <w:p>
            <w:pPr>
              <w:spacing w:line="360" w:lineRule="auto"/>
              <w:jc w:val="right"/>
              <w:rPr>
                <w:rFonts w:eastAsiaTheme="minorEastAsia"/>
                <w:sz w:val="24"/>
              </w:rPr>
            </w:pPr>
            <w:r>
              <w:rPr>
                <w:rFonts w:eastAsiaTheme="minorEastAsia"/>
                <w:sz w:val="24"/>
              </w:rPr>
              <w:t>30,368,141.18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——股票投资</w:t>
            </w:r>
          </w:p>
        </w:tc>
        <w:tc>
          <w:tcPr>
            <w:tcW w:w="3149" w:type="dxa"/>
            <w:vAlign w:val="center"/>
          </w:tcPr>
          <w:p>
            <w:pPr>
              <w:spacing w:line="360" w:lineRule="auto"/>
              <w:jc w:val="right"/>
              <w:rPr>
                <w:rFonts w:eastAsiaTheme="minorEastAsia"/>
                <w:sz w:val="24"/>
              </w:rPr>
            </w:pPr>
            <w:r>
              <w:rPr>
                <w:rFonts w:eastAsiaTheme="minorEastAsia"/>
                <w:sz w:val="24"/>
              </w:rPr>
              <w:t>21,141,627.78</w:t>
            </w:r>
          </w:p>
        </w:tc>
        <w:tc>
          <w:tcPr>
            <w:tcW w:w="3149" w:type="dxa"/>
            <w:vAlign w:val="center"/>
          </w:tcPr>
          <w:p>
            <w:pPr>
              <w:spacing w:line="360" w:lineRule="auto"/>
              <w:jc w:val="right"/>
              <w:rPr>
                <w:rFonts w:eastAsiaTheme="minorEastAsia"/>
                <w:sz w:val="24"/>
              </w:rPr>
            </w:pPr>
            <w:r>
              <w:rPr>
                <w:rFonts w:eastAsiaTheme="minorEastAsia"/>
                <w:sz w:val="24"/>
              </w:rPr>
              <w:t>30,361,081.18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——债券投资</w:t>
            </w:r>
          </w:p>
        </w:tc>
        <w:tc>
          <w:tcPr>
            <w:tcW w:w="3149" w:type="dxa"/>
            <w:vAlign w:val="center"/>
          </w:tcPr>
          <w:p>
            <w:pPr>
              <w:spacing w:line="360" w:lineRule="auto"/>
              <w:jc w:val="right"/>
              <w:rPr>
                <w:rFonts w:eastAsiaTheme="minorEastAsia"/>
                <w:sz w:val="24"/>
              </w:rPr>
            </w:pPr>
            <w:r>
              <w:rPr>
                <w:rFonts w:eastAsiaTheme="minorEastAsia"/>
                <w:sz w:val="24"/>
              </w:rPr>
              <w:t>-2,660.00</w:t>
            </w:r>
          </w:p>
        </w:tc>
        <w:tc>
          <w:tcPr>
            <w:tcW w:w="3149" w:type="dxa"/>
            <w:vAlign w:val="center"/>
          </w:tcPr>
          <w:p>
            <w:pPr>
              <w:spacing w:line="360" w:lineRule="auto"/>
              <w:jc w:val="right"/>
              <w:rPr>
                <w:rFonts w:eastAsiaTheme="minorEastAsia"/>
                <w:sz w:val="24"/>
              </w:rPr>
            </w:pPr>
            <w:r>
              <w:rPr>
                <w:rFonts w:eastAsiaTheme="minorEastAsia"/>
                <w:sz w:val="24"/>
              </w:rPr>
              <w:t>7,060.00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——资产支持证券投资</w:t>
            </w:r>
          </w:p>
        </w:tc>
        <w:tc>
          <w:tcPr>
            <w:tcW w:w="3149" w:type="dxa"/>
            <w:vAlign w:val="center"/>
          </w:tcPr>
          <w:p>
            <w:pPr>
              <w:spacing w:line="360" w:lineRule="auto"/>
              <w:jc w:val="right"/>
              <w:rPr>
                <w:rFonts w:eastAsiaTheme="minorEastAsia"/>
                <w:sz w:val="24"/>
              </w:rPr>
            </w:pPr>
            <w:r>
              <w:rPr>
                <w:rFonts w:eastAsiaTheme="minorEastAsia"/>
                <w:sz w:val="24"/>
              </w:rPr>
              <w:t>-</w:t>
            </w:r>
          </w:p>
        </w:tc>
        <w:tc>
          <w:tcPr>
            <w:tcW w:w="3149" w:type="dxa"/>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jc w:val="left"/>
              <w:rPr>
                <w:kern w:val="0"/>
                <w:sz w:val="24"/>
              </w:rPr>
            </w:pPr>
            <w:r>
              <w:rPr>
                <w:kern w:val="0"/>
                <w:sz w:val="24"/>
              </w:rPr>
              <w:t>——基金投资</w:t>
            </w:r>
          </w:p>
        </w:tc>
        <w:tc>
          <w:tcPr>
            <w:tcW w:w="3149" w:type="dxa"/>
            <w:vAlign w:val="center"/>
          </w:tcPr>
          <w:p>
            <w:pPr>
              <w:spacing w:line="360" w:lineRule="auto"/>
              <w:jc w:val="right"/>
              <w:rPr>
                <w:sz w:val="24"/>
              </w:rPr>
            </w:pPr>
            <w:r>
              <w:rPr>
                <w:sz w:val="24"/>
              </w:rPr>
              <w:t>-</w:t>
            </w:r>
          </w:p>
        </w:tc>
        <w:tc>
          <w:tcPr>
            <w:tcW w:w="3149" w:type="dxa"/>
            <w:vAlign w:val="center"/>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jc w:val="left"/>
              <w:rPr>
                <w:kern w:val="0"/>
                <w:sz w:val="24"/>
              </w:rPr>
            </w:pPr>
            <w:r>
              <w:rPr>
                <w:kern w:val="0"/>
                <w:sz w:val="24"/>
              </w:rPr>
              <w:t>——贵金属投资</w:t>
            </w:r>
          </w:p>
        </w:tc>
        <w:tc>
          <w:tcPr>
            <w:tcW w:w="3149" w:type="dxa"/>
            <w:vAlign w:val="center"/>
          </w:tcPr>
          <w:p>
            <w:pPr>
              <w:spacing w:line="360" w:lineRule="auto"/>
              <w:jc w:val="right"/>
              <w:rPr>
                <w:sz w:val="24"/>
              </w:rPr>
            </w:pPr>
            <w:r>
              <w:rPr>
                <w:sz w:val="24"/>
              </w:rPr>
              <w:t>-</w:t>
            </w:r>
          </w:p>
        </w:tc>
        <w:tc>
          <w:tcPr>
            <w:tcW w:w="3149" w:type="dxa"/>
            <w:vAlign w:val="center"/>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jc w:val="left"/>
              <w:rPr>
                <w:rFonts w:eastAsiaTheme="minorEastAsia"/>
                <w:kern w:val="0"/>
                <w:sz w:val="24"/>
              </w:rPr>
            </w:pPr>
            <w:r>
              <w:rPr>
                <w:rFonts w:eastAsiaTheme="minorEastAsia"/>
                <w:kern w:val="0"/>
                <w:sz w:val="24"/>
              </w:rPr>
              <w:t>——</w:t>
            </w:r>
            <w:r>
              <w:rPr>
                <w:rFonts w:hint="eastAsia" w:eastAsiaTheme="minorEastAsia"/>
                <w:kern w:val="0"/>
                <w:sz w:val="24"/>
              </w:rPr>
              <w:t>其他</w:t>
            </w:r>
          </w:p>
        </w:tc>
        <w:tc>
          <w:tcPr>
            <w:tcW w:w="3149" w:type="dxa"/>
            <w:vAlign w:val="center"/>
          </w:tcPr>
          <w:p>
            <w:pPr>
              <w:spacing w:line="360" w:lineRule="auto"/>
              <w:jc w:val="right"/>
              <w:rPr>
                <w:sz w:val="24"/>
              </w:rPr>
            </w:pPr>
            <w:r>
              <w:rPr>
                <w:rFonts w:hint="eastAsia"/>
                <w:sz w:val="24"/>
              </w:rPr>
              <w:t>-</w:t>
            </w:r>
          </w:p>
        </w:tc>
        <w:tc>
          <w:tcPr>
            <w:tcW w:w="3149" w:type="dxa"/>
            <w:vAlign w:val="center"/>
          </w:tcPr>
          <w:p>
            <w:pPr>
              <w:spacing w:line="360" w:lineRule="auto"/>
              <w:jc w:val="right"/>
              <w:rPr>
                <w:sz w:val="24"/>
              </w:rPr>
            </w:pP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jc w:val="left"/>
              <w:rPr>
                <w:sz w:val="24"/>
              </w:rPr>
            </w:pPr>
            <w:r>
              <w:rPr>
                <w:kern w:val="0"/>
                <w:sz w:val="24"/>
              </w:rPr>
              <w:t>2.衍生工具</w:t>
            </w:r>
          </w:p>
        </w:tc>
        <w:tc>
          <w:tcPr>
            <w:tcW w:w="3149" w:type="dxa"/>
            <w:vAlign w:val="center"/>
          </w:tcPr>
          <w:p>
            <w:pPr>
              <w:spacing w:line="360" w:lineRule="auto"/>
              <w:jc w:val="right"/>
              <w:rPr>
                <w:sz w:val="24"/>
              </w:rPr>
            </w:pPr>
            <w:r>
              <w:rPr>
                <w:sz w:val="24"/>
              </w:rPr>
              <w:t>-</w:t>
            </w:r>
          </w:p>
        </w:tc>
        <w:tc>
          <w:tcPr>
            <w:tcW w:w="3149" w:type="dxa"/>
            <w:vAlign w:val="center"/>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jc w:val="left"/>
              <w:rPr>
                <w:sz w:val="24"/>
              </w:rPr>
            </w:pPr>
            <w:r>
              <w:rPr>
                <w:kern w:val="0"/>
                <w:sz w:val="24"/>
              </w:rPr>
              <w:t>——权证投资</w:t>
            </w:r>
          </w:p>
        </w:tc>
        <w:tc>
          <w:tcPr>
            <w:tcW w:w="3149" w:type="dxa"/>
            <w:vAlign w:val="center"/>
          </w:tcPr>
          <w:p>
            <w:pPr>
              <w:spacing w:line="360" w:lineRule="auto"/>
              <w:jc w:val="right"/>
              <w:rPr>
                <w:sz w:val="24"/>
              </w:rPr>
            </w:pPr>
            <w:r>
              <w:rPr>
                <w:sz w:val="24"/>
              </w:rPr>
              <w:t>-</w:t>
            </w:r>
          </w:p>
        </w:tc>
        <w:tc>
          <w:tcPr>
            <w:tcW w:w="3149" w:type="dxa"/>
            <w:vAlign w:val="center"/>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3.其他</w:t>
            </w:r>
          </w:p>
        </w:tc>
        <w:tc>
          <w:tcPr>
            <w:tcW w:w="3149" w:type="dxa"/>
            <w:vAlign w:val="bottom"/>
          </w:tcPr>
          <w:p>
            <w:pPr>
              <w:spacing w:line="360" w:lineRule="auto"/>
              <w:jc w:val="right"/>
              <w:rPr>
                <w:sz w:val="24"/>
              </w:rPr>
            </w:pPr>
            <w:r>
              <w:rPr>
                <w:sz w:val="24"/>
              </w:rPr>
              <w:t>-</w:t>
            </w:r>
          </w:p>
        </w:tc>
        <w:tc>
          <w:tcPr>
            <w:tcW w:w="3149" w:type="dxa"/>
            <w:vAlign w:val="bottom"/>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jc w:val="left"/>
              <w:rPr>
                <w:rFonts w:eastAsiaTheme="minorEastAsia"/>
                <w:kern w:val="0"/>
                <w:sz w:val="24"/>
              </w:rPr>
            </w:pPr>
            <w:r>
              <w:rPr>
                <w:rFonts w:hint="eastAsia" w:eastAsiaTheme="minorEastAsia"/>
                <w:kern w:val="0"/>
                <w:sz w:val="24"/>
              </w:rPr>
              <w:t>减：应税金融商品公允价值变动产生的预估增值税</w:t>
            </w:r>
          </w:p>
        </w:tc>
        <w:tc>
          <w:tcPr>
            <w:tcW w:w="3149" w:type="dxa"/>
            <w:vAlign w:val="bottom"/>
          </w:tcPr>
          <w:p>
            <w:pPr>
              <w:jc w:val="right"/>
              <w:rPr>
                <w:rFonts w:eastAsiaTheme="minorEastAsia"/>
                <w:sz w:val="24"/>
              </w:rPr>
            </w:pPr>
            <w:r>
              <w:rPr>
                <w:rFonts w:eastAsiaTheme="minorEastAsia"/>
                <w:sz w:val="24"/>
              </w:rPr>
              <w:t>-</w:t>
            </w:r>
          </w:p>
        </w:tc>
        <w:tc>
          <w:tcPr>
            <w:tcW w:w="3149" w:type="dxa"/>
            <w:vAlign w:val="bottom"/>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合计</w:t>
            </w:r>
          </w:p>
        </w:tc>
        <w:tc>
          <w:tcPr>
            <w:tcW w:w="3149" w:type="dxa"/>
            <w:vAlign w:val="bottom"/>
          </w:tcPr>
          <w:p>
            <w:pPr>
              <w:spacing w:line="360" w:lineRule="auto"/>
              <w:jc w:val="right"/>
              <w:rPr>
                <w:rFonts w:eastAsiaTheme="minorEastAsia"/>
                <w:sz w:val="24"/>
              </w:rPr>
            </w:pPr>
            <w:r>
              <w:rPr>
                <w:rFonts w:eastAsiaTheme="minorEastAsia"/>
                <w:sz w:val="24"/>
              </w:rPr>
              <w:t>21,138,967.78</w:t>
            </w:r>
          </w:p>
        </w:tc>
        <w:tc>
          <w:tcPr>
            <w:tcW w:w="3149" w:type="dxa"/>
            <w:vAlign w:val="bottom"/>
          </w:tcPr>
          <w:p>
            <w:pPr>
              <w:spacing w:line="360" w:lineRule="auto"/>
              <w:jc w:val="right"/>
              <w:rPr>
                <w:rFonts w:eastAsiaTheme="minorEastAsia"/>
                <w:sz w:val="24"/>
              </w:rPr>
            </w:pPr>
            <w:r>
              <w:rPr>
                <w:rFonts w:eastAsiaTheme="minorEastAsia"/>
                <w:sz w:val="24"/>
              </w:rPr>
              <w:t>30,368,141.18</w:t>
            </w:r>
          </w:p>
        </w:tc>
      </w:tr>
    </w:tbl>
    <w:p>
      <w:pPr>
        <w:spacing w:line="360" w:lineRule="auto"/>
        <w:ind w:firstLine="210" w:firstLineChars="100"/>
        <w:rPr>
          <w:rFonts w:asciiTheme="minorEastAsia" w:hAnsiTheme="minorEastAsia" w:eastAsiaTheme="minorEastAsia"/>
          <w:szCs w:val="21"/>
        </w:rPr>
      </w:pPr>
    </w:p>
    <w:p>
      <w:pPr>
        <w:spacing w:line="360" w:lineRule="auto"/>
        <w:rPr>
          <w:rFonts w:eastAsiaTheme="minorEastAsia"/>
          <w:b/>
          <w:color w:val="000000" w:themeColor="text1"/>
          <w:sz w:val="24"/>
        </w:rPr>
      </w:pPr>
      <w:r>
        <w:rPr>
          <w:rFonts w:eastAsiaTheme="minorEastAsia"/>
          <w:b/>
          <w:color w:val="000000" w:themeColor="text1"/>
          <w:sz w:val="24"/>
        </w:rPr>
        <w:t>7.4.7.18</w:t>
      </w:r>
      <w:r>
        <w:rPr>
          <w:rFonts w:hint="eastAsia" w:eastAsiaTheme="minorEastAsia"/>
          <w:b/>
          <w:color w:val="000000" w:themeColor="text1"/>
          <w:sz w:val="24"/>
        </w:rPr>
        <w:t>其他收入</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25"/>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3598"/>
        <w:gridCol w:w="3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1985" w:type="dxa"/>
            <w:vAlign w:val="center"/>
          </w:tcPr>
          <w:p>
            <w:pPr>
              <w:spacing w:before="29" w:line="288" w:lineRule="auto"/>
              <w:jc w:val="center"/>
              <w:rPr>
                <w:color w:val="000000"/>
                <w:sz w:val="24"/>
              </w:rPr>
            </w:pPr>
            <w:r>
              <w:rPr>
                <w:rFonts w:hint="eastAsia"/>
                <w:color w:val="000000"/>
                <w:sz w:val="24"/>
              </w:rPr>
              <w:t>项目</w:t>
            </w:r>
          </w:p>
        </w:tc>
        <w:tc>
          <w:tcPr>
            <w:tcW w:w="3600" w:type="dxa"/>
          </w:tcPr>
          <w:p>
            <w:pPr>
              <w:spacing w:before="29" w:line="288" w:lineRule="auto"/>
              <w:jc w:val="center"/>
              <w:rPr>
                <w:color w:val="000000"/>
                <w:sz w:val="24"/>
              </w:rPr>
            </w:pPr>
            <w:r>
              <w:rPr>
                <w:rFonts w:hint="eastAsia"/>
                <w:color w:val="000000"/>
                <w:sz w:val="24"/>
              </w:rPr>
              <w:t>本期</w:t>
            </w:r>
          </w:p>
          <w:p>
            <w:pPr>
              <w:widowControl/>
              <w:autoSpaceDE w:val="0"/>
              <w:autoSpaceDN w:val="0"/>
              <w:spacing w:before="29" w:line="288" w:lineRule="auto"/>
              <w:ind w:right="-15"/>
              <w:jc w:val="center"/>
              <w:textAlignment w:val="bottom"/>
              <w:rPr>
                <w:color w:val="000000"/>
                <w:sz w:val="24"/>
              </w:rPr>
            </w:pPr>
            <w:r>
              <w:rPr>
                <w:color w:val="000000"/>
                <w:sz w:val="24"/>
              </w:rPr>
              <w:t>2020年1月1日</w:t>
            </w:r>
            <w:r>
              <w:rPr>
                <w:rFonts w:hint="eastAsia"/>
                <w:color w:val="000000"/>
                <w:sz w:val="24"/>
              </w:rPr>
              <w:t>至</w:t>
            </w:r>
            <w:r>
              <w:rPr>
                <w:color w:val="000000"/>
                <w:sz w:val="24"/>
              </w:rPr>
              <w:t>2020年12月31日</w:t>
            </w:r>
          </w:p>
        </w:tc>
        <w:tc>
          <w:tcPr>
            <w:tcW w:w="3600" w:type="dxa"/>
          </w:tcPr>
          <w:p>
            <w:pPr>
              <w:spacing w:before="29" w:line="288" w:lineRule="auto"/>
              <w:jc w:val="center"/>
              <w:rPr>
                <w:color w:val="000000"/>
                <w:sz w:val="24"/>
              </w:rPr>
            </w:pPr>
            <w:r>
              <w:rPr>
                <w:rFonts w:hint="eastAsia"/>
                <w:color w:val="000000"/>
                <w:sz w:val="24"/>
              </w:rPr>
              <w:t>上年度可比期间</w:t>
            </w:r>
          </w:p>
          <w:p>
            <w:pPr>
              <w:widowControl/>
              <w:autoSpaceDE w:val="0"/>
              <w:autoSpaceDN w:val="0"/>
              <w:spacing w:before="29" w:line="288" w:lineRule="auto"/>
              <w:ind w:right="-15"/>
              <w:jc w:val="center"/>
              <w:textAlignment w:val="bottom"/>
              <w:rPr>
                <w:color w:val="000000"/>
                <w:sz w:val="24"/>
              </w:rPr>
            </w:pPr>
            <w:r>
              <w:rPr>
                <w:color w:val="000000"/>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1985" w:type="dxa"/>
            <w:vAlign w:val="center"/>
          </w:tcPr>
          <w:p>
            <w:pPr>
              <w:widowControl/>
              <w:spacing w:before="29" w:line="288" w:lineRule="auto"/>
              <w:rPr>
                <w:rFonts w:asciiTheme="minorEastAsia" w:hAnsiTheme="minorEastAsia" w:eastAsiaTheme="minorEastAsia"/>
                <w:szCs w:val="21"/>
              </w:rPr>
            </w:pPr>
            <w:r>
              <w:rPr>
                <w:rFonts w:hint="eastAsia"/>
                <w:color w:val="000000"/>
                <w:kern w:val="0"/>
                <w:sz w:val="24"/>
              </w:rPr>
              <w:t>基金赎回费收入</w:t>
            </w:r>
          </w:p>
        </w:tc>
        <w:tc>
          <w:tcPr>
            <w:tcW w:w="3600" w:type="dxa"/>
            <w:vAlign w:val="center"/>
          </w:tcPr>
          <w:p>
            <w:pPr>
              <w:spacing w:before="29" w:line="288" w:lineRule="auto"/>
              <w:jc w:val="right"/>
              <w:rPr>
                <w:kern w:val="0"/>
                <w:sz w:val="24"/>
              </w:rPr>
            </w:pPr>
            <w:r>
              <w:rPr>
                <w:kern w:val="0"/>
                <w:sz w:val="24"/>
              </w:rPr>
              <w:t>705,564.50</w:t>
            </w:r>
          </w:p>
        </w:tc>
        <w:tc>
          <w:tcPr>
            <w:tcW w:w="3600" w:type="dxa"/>
            <w:vAlign w:val="center"/>
          </w:tcPr>
          <w:p>
            <w:pPr>
              <w:spacing w:before="29" w:line="288" w:lineRule="auto"/>
              <w:jc w:val="right"/>
              <w:rPr>
                <w:kern w:val="0"/>
                <w:sz w:val="24"/>
              </w:rPr>
            </w:pPr>
            <w:r>
              <w:rPr>
                <w:kern w:val="0"/>
                <w:sz w:val="24"/>
              </w:rPr>
              <w:t>2,375,325.25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4" w:type="dxa"/>
            <w:vAlign w:val="center"/>
          </w:tcPr>
          <w:p>
            <w:pPr>
              <w:jc w:val="left"/>
            </w:pPr>
            <w:r>
              <w:rPr>
                <w:sz w:val="24"/>
              </w:rPr>
              <w:t>基金转换费收入</w:t>
            </w:r>
          </w:p>
        </w:tc>
        <w:tc>
          <w:tcPr>
            <w:tcW w:w="3598" w:type="dxa"/>
            <w:vAlign w:val="center"/>
          </w:tcPr>
          <w:p>
            <w:pPr>
              <w:jc w:val="right"/>
            </w:pPr>
            <w:r>
              <w:rPr>
                <w:sz w:val="24"/>
              </w:rPr>
              <w:t>52,919.51</w:t>
            </w:r>
          </w:p>
        </w:tc>
        <w:tc>
          <w:tcPr>
            <w:tcW w:w="3598" w:type="dxa"/>
            <w:vAlign w:val="center"/>
          </w:tcPr>
          <w:p>
            <w:pPr>
              <w:jc w:val="right"/>
            </w:pPr>
            <w:r>
              <w:rPr>
                <w:sz w:val="24"/>
              </w:rPr>
              <w:t>572,911.72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1985" w:type="dxa"/>
            <w:vAlign w:val="center"/>
          </w:tcPr>
          <w:p>
            <w:pPr>
              <w:widowControl/>
              <w:spacing w:before="29" w:line="288" w:lineRule="auto"/>
              <w:rPr>
                <w:rFonts w:asciiTheme="minorEastAsia" w:hAnsiTheme="minorEastAsia" w:eastAsiaTheme="minorEastAsia"/>
                <w:szCs w:val="21"/>
              </w:rPr>
            </w:pPr>
            <w:r>
              <w:rPr>
                <w:rFonts w:hint="eastAsia"/>
                <w:color w:val="000000"/>
                <w:kern w:val="0"/>
                <w:sz w:val="24"/>
              </w:rPr>
              <w:t>合计</w:t>
            </w:r>
          </w:p>
        </w:tc>
        <w:tc>
          <w:tcPr>
            <w:tcW w:w="3600" w:type="dxa"/>
            <w:vAlign w:val="center"/>
          </w:tcPr>
          <w:p>
            <w:pPr>
              <w:spacing w:before="29" w:line="288" w:lineRule="auto"/>
              <w:jc w:val="right"/>
              <w:rPr>
                <w:kern w:val="0"/>
                <w:sz w:val="24"/>
              </w:rPr>
            </w:pPr>
            <w:r>
              <w:rPr>
                <w:kern w:val="0"/>
                <w:sz w:val="24"/>
              </w:rPr>
              <w:t>758,484.01</w:t>
            </w:r>
          </w:p>
        </w:tc>
        <w:tc>
          <w:tcPr>
            <w:tcW w:w="3600" w:type="dxa"/>
            <w:vAlign w:val="center"/>
          </w:tcPr>
          <w:p>
            <w:pPr>
              <w:spacing w:before="29" w:line="288" w:lineRule="auto"/>
              <w:jc w:val="right"/>
              <w:rPr>
                <w:kern w:val="0"/>
                <w:sz w:val="24"/>
              </w:rPr>
            </w:pPr>
            <w:r>
              <w:rPr>
                <w:kern w:val="0"/>
                <w:sz w:val="24"/>
              </w:rPr>
              <w:t>2,948,236.97</w:t>
            </w:r>
          </w:p>
        </w:tc>
      </w:tr>
    </w:tbl>
    <w:p>
      <w:pPr>
        <w:tabs>
          <w:tab w:val="left" w:pos="426"/>
        </w:tabs>
        <w:spacing w:before="29" w:line="288" w:lineRule="auto"/>
        <w:jc w:val="left"/>
        <w:rPr>
          <w:kern w:val="0"/>
          <w:sz w:val="24"/>
        </w:rPr>
      </w:pPr>
      <w:r>
        <w:rPr>
          <w:kern w:val="0"/>
          <w:sz w:val="24"/>
        </w:rPr>
        <w:t>注：1.本基金的赎回费率按持有期间递减，不低于赎回费总额的25%归入基金资产。</w:t>
      </w:r>
    </w:p>
    <w:p>
      <w:pPr>
        <w:tabs>
          <w:tab w:val="left" w:pos="426"/>
        </w:tabs>
        <w:spacing w:before="29" w:line="288" w:lineRule="auto"/>
        <w:jc w:val="left"/>
        <w:rPr>
          <w:kern w:val="0"/>
          <w:sz w:val="24"/>
        </w:rPr>
      </w:pPr>
      <w:r>
        <w:rPr>
          <w:kern w:val="0"/>
          <w:sz w:val="24"/>
        </w:rPr>
        <w:t xml:space="preserve">2.本基金的转换费由申购补差费和转出基金的赎回费两部分构成，其中不低于转出基金赎回费的25%归入转出基金的基金资产。   </w:t>
      </w:r>
    </w:p>
    <w:p>
      <w:pPr>
        <w:spacing w:line="360" w:lineRule="auto"/>
        <w:ind w:firstLine="210" w:firstLineChars="100"/>
        <w:rPr>
          <w:rFonts w:asciiTheme="minorEastAsia" w:hAnsiTheme="minorEastAsia" w:eastAsiaTheme="minorEastAsia"/>
          <w:szCs w:val="21"/>
        </w:rPr>
      </w:pPr>
      <w:r>
        <w:rPr>
          <w:rFonts w:asciiTheme="minorEastAsia" w:hAnsiTheme="minorEastAsia" w:eastAsiaTheme="minorEastAsia"/>
          <w:szCs w:val="21"/>
        </w:rPr>
        <w:tab/>
      </w:r>
    </w:p>
    <w:p>
      <w:pPr>
        <w:spacing w:before="156" w:beforeLines="50" w:line="360" w:lineRule="auto"/>
        <w:rPr>
          <w:rFonts w:eastAsiaTheme="minorEastAsia"/>
          <w:b/>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交易费用</w:t>
      </w:r>
    </w:p>
    <w:p>
      <w:pPr>
        <w:tabs>
          <w:tab w:val="left" w:pos="7200"/>
          <w:tab w:val="left" w:pos="8280"/>
        </w:tabs>
        <w:spacing w:line="360" w:lineRule="auto"/>
        <w:ind w:right="-109" w:rightChars="-52"/>
        <w:jc w:val="right"/>
        <w:rPr>
          <w:rFonts w:eastAsiaTheme="minorEastAsia"/>
          <w:color w:val="000000" w:themeColor="text1"/>
          <w:szCs w:val="21"/>
        </w:rPr>
      </w:pPr>
      <w:r>
        <w:rPr>
          <w:rFonts w:eastAsiaTheme="minorEastAsia"/>
          <w:color w:val="000000" w:themeColor="text1"/>
          <w:szCs w:val="21"/>
        </w:rPr>
        <w:t>单位：人民币元</w:t>
      </w:r>
    </w:p>
    <w:tbl>
      <w:tblPr>
        <w:tblStyle w:val="25"/>
        <w:tblW w:w="919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8"/>
        <w:gridCol w:w="3114"/>
        <w:gridCol w:w="3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528" w:type="dxa"/>
            <w:vAlign w:val="center"/>
          </w:tcPr>
          <w:p>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14" w:type="dxa"/>
            <w:vAlign w:val="center"/>
          </w:tcPr>
          <w:p>
            <w:pPr>
              <w:spacing w:line="360" w:lineRule="auto"/>
              <w:jc w:val="center"/>
              <w:rPr>
                <w:rFonts w:eastAsiaTheme="minorEastAsia"/>
                <w:color w:val="000000" w:themeColor="text1"/>
                <w:szCs w:val="21"/>
              </w:rPr>
            </w:pPr>
            <w:r>
              <w:rPr>
                <w:rFonts w:eastAsiaTheme="minorEastAsia"/>
                <w:color w:val="000000" w:themeColor="text1"/>
                <w:szCs w:val="21"/>
              </w:rPr>
              <w:t>本期</w:t>
            </w:r>
          </w:p>
          <w:p>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2020年1月1日至2020年12月31日</w:t>
            </w:r>
          </w:p>
        </w:tc>
        <w:tc>
          <w:tcPr>
            <w:tcW w:w="3553" w:type="dxa"/>
            <w:vAlign w:val="center"/>
          </w:tcPr>
          <w:p>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pPr>
              <w:spacing w:line="360" w:lineRule="auto"/>
              <w:jc w:val="center"/>
              <w:rPr>
                <w:rFonts w:eastAsiaTheme="minorEastAsia"/>
                <w:color w:val="000000" w:themeColor="text1"/>
                <w:kern w:val="0"/>
                <w:szCs w:val="21"/>
              </w:rPr>
            </w:pPr>
            <w:r>
              <w:rPr>
                <w:rFonts w:eastAsiaTheme="minorEastAsia"/>
                <w:color w:val="000000" w:themeColor="text1"/>
                <w:szCs w:val="21"/>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528" w:type="dxa"/>
            <w:vAlign w:val="center"/>
          </w:tcPr>
          <w:p>
            <w:pPr>
              <w:spacing w:line="360" w:lineRule="auto"/>
              <w:rPr>
                <w:rFonts w:eastAsiaTheme="minorEastAsia"/>
                <w:color w:val="000000" w:themeColor="text1"/>
                <w:szCs w:val="21"/>
              </w:rPr>
            </w:pPr>
            <w:r>
              <w:rPr>
                <w:rFonts w:eastAsiaTheme="minorEastAsia"/>
                <w:color w:val="000000" w:themeColor="text1"/>
                <w:szCs w:val="21"/>
              </w:rPr>
              <w:t>交易所市场交易费用</w:t>
            </w:r>
          </w:p>
        </w:tc>
        <w:tc>
          <w:tcPr>
            <w:tcW w:w="3114" w:type="dxa"/>
            <w:vAlign w:val="center"/>
          </w:tcPr>
          <w:p>
            <w:pPr>
              <w:spacing w:line="360" w:lineRule="auto"/>
              <w:jc w:val="right"/>
              <w:rPr>
                <w:rFonts w:eastAsiaTheme="minorEastAsia"/>
                <w:color w:val="000000" w:themeColor="text1"/>
                <w:szCs w:val="21"/>
              </w:rPr>
            </w:pPr>
            <w:r>
              <w:rPr>
                <w:rFonts w:eastAsiaTheme="minorEastAsia"/>
                <w:color w:val="000000" w:themeColor="text1"/>
                <w:szCs w:val="21"/>
              </w:rPr>
              <w:t>5,113,903.00</w:t>
            </w:r>
          </w:p>
        </w:tc>
        <w:tc>
          <w:tcPr>
            <w:tcW w:w="3553" w:type="dxa"/>
            <w:vAlign w:val="center"/>
          </w:tcPr>
          <w:p>
            <w:pPr>
              <w:spacing w:line="360" w:lineRule="auto"/>
              <w:jc w:val="right"/>
              <w:rPr>
                <w:rFonts w:eastAsiaTheme="minorEastAsia"/>
                <w:color w:val="000000" w:themeColor="text1"/>
                <w:szCs w:val="21"/>
              </w:rPr>
            </w:pPr>
            <w:r>
              <w:rPr>
                <w:rFonts w:eastAsiaTheme="minorEastAsia"/>
                <w:color w:val="000000" w:themeColor="text1"/>
                <w:szCs w:val="21"/>
              </w:rPr>
              <w:t>2,874,537.39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528" w:type="dxa"/>
            <w:vAlign w:val="center"/>
          </w:tcPr>
          <w:p>
            <w:pPr>
              <w:spacing w:line="360" w:lineRule="auto"/>
              <w:rPr>
                <w:rFonts w:eastAsiaTheme="minorEastAsia"/>
                <w:color w:val="000000" w:themeColor="text1"/>
                <w:szCs w:val="21"/>
              </w:rPr>
            </w:pPr>
            <w:r>
              <w:rPr>
                <w:rFonts w:eastAsiaTheme="minorEastAsia"/>
                <w:color w:val="000000" w:themeColor="text1"/>
                <w:szCs w:val="21"/>
              </w:rPr>
              <w:t>银行间市场交易费用</w:t>
            </w:r>
          </w:p>
        </w:tc>
        <w:tc>
          <w:tcPr>
            <w:tcW w:w="3114" w:type="dxa"/>
            <w:vAlign w:val="center"/>
          </w:tcPr>
          <w:p>
            <w:pPr>
              <w:spacing w:line="360" w:lineRule="auto"/>
              <w:jc w:val="right"/>
              <w:rPr>
                <w:rFonts w:eastAsiaTheme="minorEastAsia"/>
                <w:color w:val="000000" w:themeColor="text1"/>
                <w:szCs w:val="21"/>
              </w:rPr>
            </w:pPr>
            <w:r>
              <w:rPr>
                <w:rFonts w:eastAsiaTheme="minorEastAsia"/>
                <w:color w:val="000000" w:themeColor="text1"/>
                <w:szCs w:val="21"/>
              </w:rPr>
              <w:t>175.00</w:t>
            </w:r>
          </w:p>
        </w:tc>
        <w:tc>
          <w:tcPr>
            <w:tcW w:w="3553" w:type="dxa"/>
            <w:vAlign w:val="center"/>
          </w:tcPr>
          <w:p>
            <w:pPr>
              <w:spacing w:line="360" w:lineRule="auto"/>
              <w:jc w:val="right"/>
              <w:rPr>
                <w:rFonts w:eastAsiaTheme="minorEastAsia"/>
                <w:color w:val="000000" w:themeColor="text1"/>
                <w:szCs w:val="21"/>
              </w:rPr>
            </w:pPr>
            <w:r>
              <w:rPr>
                <w:rFonts w:eastAsiaTheme="minorEastAsia"/>
                <w:color w:val="000000" w:themeColor="text1"/>
                <w:szCs w:val="21"/>
              </w:rPr>
              <w:t>175.00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528" w:type="dxa"/>
            <w:vAlign w:val="center"/>
          </w:tcPr>
          <w:p>
            <w:pPr>
              <w:spacing w:line="360" w:lineRule="auto"/>
              <w:rPr>
                <w:rFonts w:eastAsiaTheme="minorEastAsia"/>
                <w:color w:val="000000" w:themeColor="text1"/>
                <w:szCs w:val="21"/>
              </w:rPr>
            </w:pPr>
            <w:r>
              <w:rPr>
                <w:rFonts w:eastAsiaTheme="minorEastAsia"/>
                <w:color w:val="000000" w:themeColor="text1"/>
                <w:szCs w:val="21"/>
                <w:lang w:val="en-AU"/>
              </w:rPr>
              <w:t>合计</w:t>
            </w:r>
          </w:p>
        </w:tc>
        <w:tc>
          <w:tcPr>
            <w:tcW w:w="3114" w:type="dxa"/>
            <w:vAlign w:val="center"/>
          </w:tcPr>
          <w:p>
            <w:pPr>
              <w:spacing w:line="360" w:lineRule="auto"/>
              <w:jc w:val="right"/>
              <w:rPr>
                <w:rFonts w:eastAsiaTheme="minorEastAsia"/>
                <w:color w:val="000000" w:themeColor="text1"/>
                <w:szCs w:val="21"/>
              </w:rPr>
            </w:pPr>
            <w:r>
              <w:rPr>
                <w:rFonts w:eastAsiaTheme="minorEastAsia"/>
                <w:color w:val="000000" w:themeColor="text1"/>
                <w:szCs w:val="21"/>
              </w:rPr>
              <w:t>5,114,078.00</w:t>
            </w:r>
          </w:p>
        </w:tc>
        <w:tc>
          <w:tcPr>
            <w:tcW w:w="3553" w:type="dxa"/>
            <w:vAlign w:val="center"/>
          </w:tcPr>
          <w:p>
            <w:pPr>
              <w:spacing w:line="360" w:lineRule="auto"/>
              <w:jc w:val="right"/>
              <w:rPr>
                <w:rFonts w:eastAsiaTheme="minorEastAsia"/>
                <w:color w:val="000000" w:themeColor="text1"/>
                <w:szCs w:val="21"/>
              </w:rPr>
            </w:pPr>
            <w:r>
              <w:rPr>
                <w:rFonts w:eastAsiaTheme="minorEastAsia"/>
                <w:color w:val="000000" w:themeColor="text1"/>
                <w:szCs w:val="21"/>
              </w:rPr>
              <w:t>2,874,712.39</w:t>
            </w:r>
          </w:p>
        </w:tc>
      </w:tr>
    </w:tbl>
    <w:p>
      <w:pPr>
        <w:spacing w:line="360" w:lineRule="auto"/>
        <w:rPr>
          <w:rFonts w:eastAsiaTheme="minorEastAsia"/>
          <w:b/>
          <w:color w:val="000000" w:themeColor="text1"/>
          <w:sz w:val="24"/>
        </w:rPr>
      </w:pPr>
      <w:r>
        <w:rPr>
          <w:rFonts w:eastAsiaTheme="minorEastAsia"/>
          <w:b/>
          <w:color w:val="000000" w:themeColor="text1"/>
          <w:sz w:val="24"/>
        </w:rPr>
        <w:t>7.4.7.20</w:t>
      </w:r>
      <w:r>
        <w:rPr>
          <w:rFonts w:hint="eastAsia" w:eastAsiaTheme="minorEastAsia"/>
          <w:b/>
          <w:color w:val="000000" w:themeColor="text1"/>
          <w:sz w:val="24"/>
        </w:rPr>
        <w:t>其他费用</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55"/>
        <w:gridCol w:w="2893"/>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spacing w:before="29" w:line="288" w:lineRule="auto"/>
              <w:jc w:val="center"/>
              <w:rPr>
                <w:sz w:val="24"/>
              </w:rPr>
            </w:pPr>
            <w:r>
              <w:rPr>
                <w:rFonts w:hint="eastAsia"/>
                <w:sz w:val="24"/>
              </w:rPr>
              <w:t>项目</w:t>
            </w:r>
          </w:p>
        </w:tc>
        <w:tc>
          <w:tcPr>
            <w:tcW w:w="2893" w:type="dxa"/>
          </w:tcPr>
          <w:p>
            <w:pPr>
              <w:spacing w:before="29" w:line="288" w:lineRule="auto"/>
              <w:jc w:val="center"/>
              <w:rPr>
                <w:sz w:val="24"/>
              </w:rPr>
            </w:pPr>
            <w:r>
              <w:rPr>
                <w:rFonts w:hint="eastAsia"/>
                <w:sz w:val="24"/>
              </w:rPr>
              <w:t>本期</w:t>
            </w:r>
          </w:p>
          <w:p>
            <w:pPr>
              <w:widowControl/>
              <w:autoSpaceDE w:val="0"/>
              <w:autoSpaceDN w:val="0"/>
              <w:spacing w:before="29" w:line="288" w:lineRule="auto"/>
              <w:ind w:right="-15"/>
              <w:jc w:val="center"/>
              <w:textAlignment w:val="bottom"/>
              <w:rPr>
                <w:sz w:val="24"/>
              </w:rPr>
            </w:pPr>
            <w:r>
              <w:rPr>
                <w:sz w:val="24"/>
              </w:rPr>
              <w:t>2020年1月1日</w:t>
            </w:r>
            <w:r>
              <w:rPr>
                <w:rFonts w:hint="eastAsia"/>
                <w:sz w:val="24"/>
              </w:rPr>
              <w:t>至</w:t>
            </w:r>
            <w:r>
              <w:rPr>
                <w:sz w:val="24"/>
              </w:rPr>
              <w:t>2020年12月31日</w:t>
            </w:r>
          </w:p>
        </w:tc>
        <w:tc>
          <w:tcPr>
            <w:tcW w:w="3367" w:type="dxa"/>
          </w:tcPr>
          <w:p>
            <w:pPr>
              <w:spacing w:before="29" w:line="288" w:lineRule="auto"/>
              <w:jc w:val="center"/>
              <w:rPr>
                <w:sz w:val="24"/>
              </w:rPr>
            </w:pPr>
            <w:r>
              <w:rPr>
                <w:rFonts w:hint="eastAsia"/>
                <w:sz w:val="24"/>
              </w:rPr>
              <w:t>上年度可比期间</w:t>
            </w:r>
          </w:p>
          <w:p>
            <w:pPr>
              <w:widowControl/>
              <w:autoSpaceDE w:val="0"/>
              <w:autoSpaceDN w:val="0"/>
              <w:spacing w:before="29" w:line="288" w:lineRule="auto"/>
              <w:ind w:right="-15"/>
              <w:jc w:val="center"/>
              <w:textAlignment w:val="bottom"/>
              <w:rPr>
                <w:sz w:val="24"/>
              </w:rPr>
            </w:pPr>
            <w:r>
              <w:rPr>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widowControl/>
              <w:spacing w:before="29" w:line="288" w:lineRule="auto"/>
              <w:rPr>
                <w:color w:val="000000"/>
                <w:kern w:val="0"/>
                <w:sz w:val="24"/>
              </w:rPr>
            </w:pPr>
            <w:r>
              <w:rPr>
                <w:rFonts w:hint="eastAsia"/>
                <w:color w:val="000000"/>
                <w:kern w:val="0"/>
                <w:sz w:val="24"/>
              </w:rPr>
              <w:t>审计费用</w:t>
            </w:r>
          </w:p>
        </w:tc>
        <w:tc>
          <w:tcPr>
            <w:tcW w:w="2893" w:type="dxa"/>
            <w:vAlign w:val="bottom"/>
          </w:tcPr>
          <w:p>
            <w:pPr>
              <w:spacing w:before="29" w:line="288" w:lineRule="auto"/>
              <w:jc w:val="right"/>
              <w:rPr>
                <w:kern w:val="0"/>
                <w:sz w:val="24"/>
              </w:rPr>
            </w:pPr>
            <w:r>
              <w:rPr>
                <w:kern w:val="0"/>
                <w:sz w:val="24"/>
              </w:rPr>
              <w:t>50,000.00</w:t>
            </w:r>
          </w:p>
        </w:tc>
        <w:tc>
          <w:tcPr>
            <w:tcW w:w="3367" w:type="dxa"/>
            <w:vAlign w:val="bottom"/>
          </w:tcPr>
          <w:p>
            <w:pPr>
              <w:spacing w:before="29" w:line="288" w:lineRule="auto"/>
              <w:jc w:val="right"/>
              <w:rPr>
                <w:kern w:val="0"/>
                <w:sz w:val="24"/>
              </w:rPr>
            </w:pPr>
            <w:r>
              <w:rPr>
                <w:kern w:val="0"/>
                <w:sz w:val="24"/>
              </w:rPr>
              <w:t>60,000.00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widowControl/>
              <w:spacing w:before="29" w:line="288" w:lineRule="auto"/>
              <w:rPr>
                <w:color w:val="000000"/>
                <w:kern w:val="0"/>
                <w:sz w:val="24"/>
              </w:rPr>
            </w:pPr>
            <w:r>
              <w:rPr>
                <w:rFonts w:hint="eastAsia"/>
                <w:color w:val="000000"/>
                <w:kern w:val="0"/>
                <w:sz w:val="24"/>
              </w:rPr>
              <w:t>信息披露费</w:t>
            </w:r>
          </w:p>
        </w:tc>
        <w:tc>
          <w:tcPr>
            <w:tcW w:w="2893" w:type="dxa"/>
            <w:vAlign w:val="bottom"/>
          </w:tcPr>
          <w:p>
            <w:pPr>
              <w:spacing w:before="29" w:line="288" w:lineRule="auto"/>
              <w:jc w:val="right"/>
              <w:rPr>
                <w:kern w:val="0"/>
                <w:sz w:val="24"/>
              </w:rPr>
            </w:pPr>
            <w:r>
              <w:rPr>
                <w:kern w:val="0"/>
                <w:sz w:val="24"/>
              </w:rPr>
              <w:t>120,000.00</w:t>
            </w:r>
          </w:p>
        </w:tc>
        <w:tc>
          <w:tcPr>
            <w:tcW w:w="3367" w:type="dxa"/>
            <w:vAlign w:val="bottom"/>
          </w:tcPr>
          <w:p>
            <w:pPr>
              <w:spacing w:before="29" w:line="288" w:lineRule="auto"/>
              <w:jc w:val="right"/>
              <w:rPr>
                <w:kern w:val="0"/>
                <w:sz w:val="24"/>
              </w:rPr>
            </w:pPr>
            <w:r>
              <w:rPr>
                <w:kern w:val="0"/>
                <w:sz w:val="24"/>
              </w:rPr>
              <w:t>120,000.00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jc w:val="left"/>
            </w:pPr>
            <w:r>
              <w:rPr>
                <w:sz w:val="24"/>
              </w:rPr>
              <w:t>银行费用</w:t>
            </w:r>
          </w:p>
        </w:tc>
        <w:tc>
          <w:tcPr>
            <w:tcW w:w="2893" w:type="dxa"/>
            <w:vAlign w:val="center"/>
          </w:tcPr>
          <w:p>
            <w:pPr>
              <w:jc w:val="right"/>
            </w:pPr>
            <w:r>
              <w:rPr>
                <w:sz w:val="24"/>
              </w:rPr>
              <w:t>931.15</w:t>
            </w:r>
          </w:p>
        </w:tc>
        <w:tc>
          <w:tcPr>
            <w:tcW w:w="3367" w:type="dxa"/>
            <w:vAlign w:val="center"/>
          </w:tcPr>
          <w:p>
            <w:pPr>
              <w:jc w:val="right"/>
            </w:pPr>
            <w:r>
              <w:rPr>
                <w:sz w:val="24"/>
              </w:rPr>
              <w:t>1,232.00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jc w:val="left"/>
            </w:pPr>
            <w:r>
              <w:rPr>
                <w:sz w:val="24"/>
              </w:rPr>
              <w:t>债券账户费用</w:t>
            </w:r>
          </w:p>
        </w:tc>
        <w:tc>
          <w:tcPr>
            <w:tcW w:w="2893" w:type="dxa"/>
            <w:vAlign w:val="center"/>
          </w:tcPr>
          <w:p>
            <w:pPr>
              <w:jc w:val="right"/>
            </w:pPr>
            <w:r>
              <w:rPr>
                <w:sz w:val="24"/>
              </w:rPr>
              <w:t>18,000.00</w:t>
            </w:r>
          </w:p>
        </w:tc>
        <w:tc>
          <w:tcPr>
            <w:tcW w:w="3367" w:type="dxa"/>
            <w:vAlign w:val="center"/>
          </w:tcPr>
          <w:p>
            <w:pPr>
              <w:jc w:val="right"/>
            </w:pPr>
            <w:r>
              <w:rPr>
                <w:sz w:val="24"/>
              </w:rPr>
              <w:t>18,000.00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widowControl/>
              <w:spacing w:before="29" w:line="288" w:lineRule="auto"/>
              <w:rPr>
                <w:rFonts w:asciiTheme="minorEastAsia" w:hAnsiTheme="minorEastAsia" w:eastAsiaTheme="minorEastAsia"/>
                <w:szCs w:val="21"/>
              </w:rPr>
            </w:pPr>
            <w:r>
              <w:rPr>
                <w:rFonts w:hint="eastAsia"/>
                <w:color w:val="000000"/>
                <w:kern w:val="0"/>
                <w:sz w:val="24"/>
              </w:rPr>
              <w:t>合计</w:t>
            </w:r>
          </w:p>
        </w:tc>
        <w:tc>
          <w:tcPr>
            <w:tcW w:w="2893" w:type="dxa"/>
            <w:vAlign w:val="center"/>
          </w:tcPr>
          <w:p>
            <w:pPr>
              <w:spacing w:before="29" w:line="288" w:lineRule="auto"/>
              <w:jc w:val="right"/>
              <w:rPr>
                <w:kern w:val="0"/>
                <w:sz w:val="24"/>
              </w:rPr>
            </w:pPr>
            <w:r>
              <w:rPr>
                <w:kern w:val="0"/>
                <w:sz w:val="24"/>
              </w:rPr>
              <w:t>188,931.15</w:t>
            </w:r>
          </w:p>
        </w:tc>
        <w:tc>
          <w:tcPr>
            <w:tcW w:w="3367" w:type="dxa"/>
            <w:vAlign w:val="center"/>
          </w:tcPr>
          <w:p>
            <w:pPr>
              <w:spacing w:before="29" w:line="288" w:lineRule="auto"/>
              <w:jc w:val="right"/>
              <w:rPr>
                <w:kern w:val="0"/>
                <w:sz w:val="24"/>
              </w:rPr>
            </w:pPr>
            <w:r>
              <w:rPr>
                <w:kern w:val="0"/>
                <w:sz w:val="24"/>
              </w:rPr>
              <w:t>199,232.00</w:t>
            </w:r>
          </w:p>
        </w:tc>
      </w:tr>
    </w:tbl>
    <w:p>
      <w:pPr>
        <w:spacing w:line="360" w:lineRule="auto"/>
        <w:rPr>
          <w:rFonts w:asciiTheme="minorEastAsia" w:hAnsiTheme="minorEastAsia" w:eastAsiaTheme="minorEastAsia"/>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7.4.8</w:t>
      </w:r>
      <w:r>
        <w:rPr>
          <w:rFonts w:hint="eastAsia" w:eastAsiaTheme="minorEastAsia"/>
          <w:b/>
          <w:color w:val="000000" w:themeColor="text1"/>
          <w:sz w:val="24"/>
        </w:rPr>
        <w:t>或有事项、资产负债表日后事项的说明</w:t>
      </w:r>
    </w:p>
    <w:p>
      <w:pPr>
        <w:spacing w:line="360" w:lineRule="auto"/>
        <w:rPr>
          <w:rFonts w:eastAsiaTheme="minorEastAsia"/>
          <w:b/>
          <w:color w:val="000000" w:themeColor="text1"/>
          <w:sz w:val="24"/>
        </w:rPr>
      </w:pPr>
      <w:r>
        <w:rPr>
          <w:rFonts w:eastAsiaTheme="minorEastAsia"/>
          <w:b/>
          <w:color w:val="000000" w:themeColor="text1"/>
          <w:sz w:val="24"/>
        </w:rPr>
        <w:t xml:space="preserve">7.4.8.1 </w:t>
      </w:r>
      <w:r>
        <w:rPr>
          <w:rFonts w:hint="eastAsia" w:eastAsiaTheme="minorEastAsia"/>
          <w:b/>
          <w:color w:val="000000" w:themeColor="text1"/>
          <w:sz w:val="24"/>
        </w:rPr>
        <w:t>或有事项</w:t>
      </w:r>
    </w:p>
    <w:p>
      <w:pPr>
        <w:spacing w:before="29" w:line="288" w:lineRule="auto"/>
        <w:ind w:firstLine="480" w:firstLineChars="200"/>
        <w:rPr>
          <w:color w:val="000000"/>
          <w:sz w:val="24"/>
        </w:rPr>
      </w:pPr>
      <w:r>
        <w:rPr>
          <w:color w:val="000000"/>
          <w:sz w:val="24"/>
        </w:rPr>
        <w:t>无。</w:t>
      </w:r>
    </w:p>
    <w:p>
      <w:pPr>
        <w:autoSpaceDE w:val="0"/>
        <w:autoSpaceDN w:val="0"/>
        <w:adjustRightInd w:val="0"/>
        <w:spacing w:line="360" w:lineRule="auto"/>
        <w:jc w:val="left"/>
        <w:rPr>
          <w:rFonts w:asciiTheme="minorEastAsia" w:hAnsiTheme="minorEastAsia" w:eastAsiaTheme="minorEastAsia"/>
          <w:color w:val="000000"/>
          <w:kern w:val="0"/>
          <w:szCs w:val="21"/>
        </w:rPr>
      </w:pPr>
    </w:p>
    <w:p>
      <w:pPr>
        <w:spacing w:line="360" w:lineRule="auto"/>
        <w:rPr>
          <w:rFonts w:eastAsiaTheme="minorEastAsia"/>
          <w:b/>
          <w:color w:val="000000" w:themeColor="text1"/>
          <w:sz w:val="24"/>
        </w:rPr>
      </w:pPr>
      <w:r>
        <w:rPr>
          <w:rFonts w:eastAsiaTheme="minorEastAsia"/>
          <w:b/>
          <w:color w:val="000000" w:themeColor="text1"/>
          <w:sz w:val="24"/>
        </w:rPr>
        <w:t xml:space="preserve">7.4.8.2 </w:t>
      </w:r>
      <w:r>
        <w:rPr>
          <w:rFonts w:hint="eastAsia" w:eastAsiaTheme="minorEastAsia"/>
          <w:b/>
          <w:color w:val="000000" w:themeColor="text1"/>
          <w:sz w:val="24"/>
        </w:rPr>
        <w:t>资产负债表日后事项</w:t>
      </w:r>
    </w:p>
    <w:p>
      <w:pPr>
        <w:spacing w:before="29" w:line="288" w:lineRule="auto"/>
        <w:ind w:firstLine="480" w:firstLineChars="200"/>
        <w:rPr>
          <w:color w:val="000000"/>
          <w:sz w:val="24"/>
        </w:rPr>
      </w:pPr>
      <w:r>
        <w:rPr>
          <w:color w:val="000000"/>
          <w:sz w:val="24"/>
        </w:rPr>
        <w:t>无。</w:t>
      </w:r>
    </w:p>
    <w:p>
      <w:pPr>
        <w:autoSpaceDE w:val="0"/>
        <w:autoSpaceDN w:val="0"/>
        <w:adjustRightInd w:val="0"/>
        <w:spacing w:line="360" w:lineRule="auto"/>
        <w:jc w:val="left"/>
        <w:rPr>
          <w:rFonts w:asciiTheme="minorEastAsia" w:hAnsiTheme="minorEastAsia" w:eastAsiaTheme="minorEastAsia"/>
          <w:color w:val="000000"/>
          <w:kern w:val="0"/>
          <w:szCs w:val="21"/>
        </w:rPr>
      </w:pPr>
    </w:p>
    <w:p>
      <w:pPr>
        <w:spacing w:before="29" w:line="288" w:lineRule="auto"/>
        <w:rPr>
          <w:b/>
          <w:bCs/>
          <w:color w:val="000000"/>
          <w:kern w:val="0"/>
          <w:sz w:val="24"/>
        </w:rPr>
      </w:pPr>
      <w:r>
        <w:rPr>
          <w:b/>
          <w:bCs/>
          <w:color w:val="000000"/>
          <w:kern w:val="0"/>
          <w:sz w:val="24"/>
        </w:rPr>
        <w:t>7.4.9</w:t>
      </w:r>
      <w:r>
        <w:rPr>
          <w:rFonts w:hint="eastAsia"/>
          <w:b/>
          <w:bCs/>
          <w:color w:val="000000"/>
          <w:kern w:val="0"/>
          <w:sz w:val="24"/>
        </w:rPr>
        <w:t>关联方关系</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20"/>
        <w:gridCol w:w="3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tcPr>
          <w:p>
            <w:pPr>
              <w:spacing w:before="29" w:line="288" w:lineRule="auto"/>
              <w:jc w:val="center"/>
              <w:rPr>
                <w:color w:val="000000"/>
                <w:sz w:val="24"/>
              </w:rPr>
            </w:pPr>
            <w:r>
              <w:rPr>
                <w:rFonts w:hint="eastAsia"/>
                <w:color w:val="000000"/>
                <w:sz w:val="24"/>
              </w:rPr>
              <w:t>关联方名称</w:t>
            </w:r>
          </w:p>
        </w:tc>
        <w:tc>
          <w:tcPr>
            <w:tcW w:w="3780" w:type="dxa"/>
          </w:tcPr>
          <w:p>
            <w:pPr>
              <w:spacing w:before="29" w:line="288" w:lineRule="auto"/>
              <w:jc w:val="center"/>
              <w:rPr>
                <w:color w:val="000000"/>
                <w:sz w:val="24"/>
              </w:rPr>
            </w:pPr>
            <w:r>
              <w:rPr>
                <w:rFonts w:hint="eastAsia"/>
                <w:color w:val="000000"/>
                <w:sz w:val="24"/>
              </w:rPr>
              <w:t>与本基金的关系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交银施罗德基金管理有限公司(“交银施罗德基金公司”)</w:t>
            </w:r>
          </w:p>
        </w:tc>
        <w:tc>
          <w:tcPr>
            <w:tcW w:w="3780" w:type="dxa"/>
            <w:vAlign w:val="center"/>
          </w:tcPr>
          <w:p>
            <w:pPr>
              <w:jc w:val="center"/>
            </w:pPr>
            <w:r>
              <w:rPr>
                <w:color w:val="000000"/>
                <w:sz w:val="24"/>
              </w:rPr>
              <w:t>基金管理人、基金销售机构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中国工商银行股份有限公司(“中国工商银行”)</w:t>
            </w:r>
          </w:p>
        </w:tc>
        <w:tc>
          <w:tcPr>
            <w:tcW w:w="3780" w:type="dxa"/>
            <w:vAlign w:val="center"/>
          </w:tcPr>
          <w:p>
            <w:pPr>
              <w:jc w:val="center"/>
            </w:pPr>
            <w:r>
              <w:rPr>
                <w:color w:val="000000"/>
                <w:sz w:val="24"/>
              </w:rPr>
              <w:t>基金托管人、基金销售机构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20" w:type="dxa"/>
            <w:vAlign w:val="center"/>
          </w:tcPr>
          <w:p>
            <w:pPr>
              <w:jc w:val="left"/>
            </w:pPr>
            <w:r>
              <w:rPr>
                <w:color w:val="000000"/>
                <w:sz w:val="24"/>
              </w:rPr>
              <w:t>交通银行股份有限公司(“交通银行”)</w:t>
            </w:r>
          </w:p>
        </w:tc>
        <w:tc>
          <w:tcPr>
            <w:tcW w:w="3780" w:type="dxa"/>
            <w:vAlign w:val="center"/>
          </w:tcPr>
          <w:p>
            <w:pPr>
              <w:jc w:val="center"/>
            </w:pPr>
            <w:r>
              <w:rPr>
                <w:color w:val="000000"/>
                <w:sz w:val="24"/>
              </w:rPr>
              <w:t>基金管理人的股东、基金销售机构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施罗德投资管理有限公司</w:t>
            </w:r>
          </w:p>
        </w:tc>
        <w:tc>
          <w:tcPr>
            <w:tcW w:w="3780" w:type="dxa"/>
            <w:vAlign w:val="center"/>
          </w:tcPr>
          <w:p>
            <w:pPr>
              <w:jc w:val="center"/>
            </w:pPr>
            <w:r>
              <w:rPr>
                <w:color w:val="000000"/>
                <w:sz w:val="24"/>
              </w:rPr>
              <w:t>基金管理人的股东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中国国际海运集装箱(集团)股份有限公司</w:t>
            </w:r>
          </w:p>
        </w:tc>
        <w:tc>
          <w:tcPr>
            <w:tcW w:w="3780" w:type="dxa"/>
            <w:vAlign w:val="center"/>
          </w:tcPr>
          <w:p>
            <w:pPr>
              <w:jc w:val="center"/>
            </w:pPr>
            <w:r>
              <w:rPr>
                <w:color w:val="000000"/>
                <w:sz w:val="24"/>
              </w:rPr>
              <w:t>基金管理人的股东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交银施罗德资产管理有限公司</w:t>
            </w:r>
          </w:p>
        </w:tc>
        <w:tc>
          <w:tcPr>
            <w:tcW w:w="3780" w:type="dxa"/>
            <w:vAlign w:val="center"/>
          </w:tcPr>
          <w:p>
            <w:pPr>
              <w:jc w:val="center"/>
            </w:pPr>
            <w:r>
              <w:rPr>
                <w:color w:val="000000"/>
                <w:sz w:val="24"/>
              </w:rPr>
              <w:t>基金管理人的子公司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20" w:type="dxa"/>
            <w:vAlign w:val="center"/>
          </w:tcPr>
          <w:p>
            <w:pPr>
              <w:jc w:val="left"/>
            </w:pPr>
            <w:r>
              <w:rPr>
                <w:color w:val="000000"/>
                <w:sz w:val="24"/>
              </w:rPr>
              <w:t>上海直源投资管理有限公司</w:t>
            </w:r>
          </w:p>
        </w:tc>
        <w:tc>
          <w:tcPr>
            <w:tcW w:w="3780" w:type="dxa"/>
            <w:vAlign w:val="center"/>
          </w:tcPr>
          <w:p>
            <w:pPr>
              <w:jc w:val="center"/>
            </w:pPr>
            <w:r>
              <w:rPr>
                <w:color w:val="000000"/>
                <w:sz w:val="24"/>
              </w:rPr>
              <w:t>受基金管理人控制的公司</w:t>
            </w:r>
          </w:p>
        </w:tc>
      </w:tr>
    </w:tbl>
    <w:p>
      <w:pPr>
        <w:tabs>
          <w:tab w:val="left" w:pos="426"/>
        </w:tabs>
        <w:spacing w:before="29" w:line="288" w:lineRule="auto"/>
        <w:jc w:val="left"/>
        <w:rPr>
          <w:kern w:val="0"/>
          <w:sz w:val="24"/>
        </w:rPr>
      </w:pPr>
      <w:r>
        <w:rPr>
          <w:kern w:val="0"/>
          <w:sz w:val="24"/>
        </w:rPr>
        <w:t>注：下述关联交易均在正常业务范围内按一般商业条款订立。</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ab/>
      </w:r>
    </w:p>
    <w:p>
      <w:pPr>
        <w:spacing w:line="360" w:lineRule="auto"/>
        <w:rPr>
          <w:rFonts w:eastAsiaTheme="minorEastAsia"/>
          <w:b/>
          <w:color w:val="000000" w:themeColor="text1"/>
          <w:sz w:val="24"/>
        </w:rPr>
      </w:pPr>
      <w:r>
        <w:rPr>
          <w:rFonts w:eastAsiaTheme="minorEastAsia"/>
          <w:b/>
          <w:color w:val="000000" w:themeColor="text1"/>
          <w:sz w:val="24"/>
        </w:rPr>
        <w:t>7.4.10</w:t>
      </w:r>
      <w:r>
        <w:rPr>
          <w:rFonts w:hint="eastAsia" w:eastAsiaTheme="minorEastAsia"/>
          <w:b/>
          <w:color w:val="000000" w:themeColor="text1"/>
          <w:sz w:val="24"/>
        </w:rPr>
        <w:t>本报告期及上年度可比期间的关联方交易</w:t>
      </w:r>
    </w:p>
    <w:p>
      <w:pPr>
        <w:spacing w:line="360" w:lineRule="auto"/>
        <w:rPr>
          <w:rFonts w:eastAsiaTheme="minorEastAsia"/>
          <w:b/>
          <w:color w:val="000000" w:themeColor="text1"/>
          <w:sz w:val="24"/>
        </w:rPr>
      </w:pPr>
      <w:r>
        <w:rPr>
          <w:rFonts w:eastAsiaTheme="minorEastAsia"/>
          <w:b/>
          <w:color w:val="000000" w:themeColor="text1"/>
          <w:sz w:val="24"/>
        </w:rPr>
        <w:t>7.4.10.1</w:t>
      </w:r>
      <w:r>
        <w:rPr>
          <w:rFonts w:hint="eastAsia" w:eastAsiaTheme="minorEastAsia"/>
          <w:b/>
          <w:color w:val="000000" w:themeColor="text1"/>
          <w:sz w:val="24"/>
        </w:rPr>
        <w:t>通过关联方交易单元进行的交易</w:t>
      </w:r>
    </w:p>
    <w:p>
      <w:pPr>
        <w:spacing w:before="29" w:line="288" w:lineRule="auto"/>
        <w:ind w:firstLine="480" w:firstLineChars="200"/>
        <w:rPr>
          <w:color w:val="000000"/>
          <w:sz w:val="24"/>
        </w:rPr>
      </w:pPr>
      <w:r>
        <w:rPr>
          <w:color w:val="000000"/>
          <w:sz w:val="24"/>
        </w:rPr>
        <w:t>本基金本报告期内及上年度可比期间无通过关联方交易单元进行的交易。</w:t>
      </w:r>
    </w:p>
    <w:p>
      <w:pPr>
        <w:spacing w:line="360" w:lineRule="auto"/>
        <w:ind w:firstLine="420" w:firstLineChars="200"/>
        <w:rPr>
          <w:rFonts w:asciiTheme="minorEastAsia" w:hAnsiTheme="minorEastAsia" w:eastAsiaTheme="minorEastAsia"/>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7.4.10.2</w:t>
      </w:r>
      <w:r>
        <w:rPr>
          <w:rFonts w:hint="eastAsia" w:eastAsiaTheme="minorEastAsia"/>
          <w:b/>
          <w:color w:val="000000" w:themeColor="text1"/>
          <w:sz w:val="24"/>
        </w:rPr>
        <w:t>关联方报酬</w:t>
      </w:r>
    </w:p>
    <w:p>
      <w:pPr>
        <w:spacing w:line="360" w:lineRule="auto"/>
        <w:rPr>
          <w:rFonts w:eastAsiaTheme="minorEastAsia"/>
          <w:b/>
          <w:color w:val="000000" w:themeColor="text1"/>
          <w:sz w:val="24"/>
        </w:rPr>
      </w:pPr>
      <w:r>
        <w:rPr>
          <w:rFonts w:eastAsiaTheme="minorEastAsia"/>
          <w:b/>
          <w:color w:val="000000" w:themeColor="text1"/>
          <w:sz w:val="24"/>
        </w:rPr>
        <w:t>7.4.10.2.1</w:t>
      </w:r>
      <w:r>
        <w:rPr>
          <w:rFonts w:hint="eastAsia" w:eastAsiaTheme="minorEastAsia"/>
          <w:b/>
          <w:color w:val="000000" w:themeColor="text1"/>
          <w:sz w:val="24"/>
        </w:rPr>
        <w:t>基金管理费</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86"/>
        <w:gridCol w:w="2657"/>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6" w:type="dxa"/>
            <w:vAlign w:val="center"/>
          </w:tcPr>
          <w:p>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657" w:type="dxa"/>
          </w:tcPr>
          <w:p>
            <w:pPr>
              <w:autoSpaceDE w:val="0"/>
              <w:autoSpaceDN w:val="0"/>
              <w:spacing w:before="29" w:line="288" w:lineRule="auto"/>
              <w:jc w:val="center"/>
              <w:textAlignment w:val="bottom"/>
              <w:rPr>
                <w:bCs/>
                <w:color w:val="000000"/>
                <w:sz w:val="24"/>
              </w:rPr>
            </w:pPr>
            <w:r>
              <w:rPr>
                <w:rFonts w:hint="eastAsia"/>
                <w:bCs/>
                <w:color w:val="000000"/>
                <w:sz w:val="24"/>
              </w:rPr>
              <w:t>本期</w:t>
            </w:r>
          </w:p>
          <w:p>
            <w:pPr>
              <w:widowControl/>
              <w:autoSpaceDE w:val="0"/>
              <w:autoSpaceDN w:val="0"/>
              <w:spacing w:before="29" w:line="288" w:lineRule="auto"/>
              <w:ind w:right="-15"/>
              <w:jc w:val="center"/>
              <w:textAlignment w:val="bottom"/>
              <w:rPr>
                <w:bCs/>
                <w:color w:val="000000"/>
                <w:sz w:val="24"/>
              </w:rPr>
            </w:pPr>
            <w:r>
              <w:rPr>
                <w:bCs/>
                <w:color w:val="000000"/>
                <w:sz w:val="24"/>
              </w:rPr>
              <w:t>2020年1月1日</w:t>
            </w:r>
            <w:r>
              <w:rPr>
                <w:rFonts w:hint="eastAsia"/>
                <w:bCs/>
                <w:color w:val="000000"/>
                <w:sz w:val="24"/>
              </w:rPr>
              <w:t>至</w:t>
            </w:r>
            <w:r>
              <w:rPr>
                <w:bCs/>
                <w:color w:val="000000"/>
                <w:sz w:val="24"/>
              </w:rPr>
              <w:t>2020年12月31日</w:t>
            </w:r>
          </w:p>
        </w:tc>
        <w:tc>
          <w:tcPr>
            <w:tcW w:w="2657" w:type="dxa"/>
          </w:tcPr>
          <w:p>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pPr>
              <w:widowControl/>
              <w:autoSpaceDE w:val="0"/>
              <w:autoSpaceDN w:val="0"/>
              <w:spacing w:before="29" w:line="288" w:lineRule="auto"/>
              <w:ind w:right="-15"/>
              <w:jc w:val="center"/>
              <w:textAlignment w:val="bottom"/>
              <w:rPr>
                <w:bCs/>
                <w:color w:val="000000"/>
                <w:sz w:val="24"/>
              </w:rPr>
            </w:pPr>
            <w:r>
              <w:rPr>
                <w:bCs/>
                <w:color w:val="000000"/>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6" w:type="dxa"/>
            <w:vAlign w:val="center"/>
          </w:tcPr>
          <w:p>
            <w:pPr>
              <w:widowControl/>
              <w:spacing w:before="29" w:line="288" w:lineRule="auto"/>
              <w:rPr>
                <w:color w:val="000000"/>
                <w:kern w:val="0"/>
                <w:sz w:val="24"/>
              </w:rPr>
            </w:pPr>
            <w:r>
              <w:rPr>
                <w:rFonts w:hint="eastAsia"/>
                <w:color w:val="000000"/>
                <w:kern w:val="0"/>
                <w:sz w:val="24"/>
              </w:rPr>
              <w:t>当期发生的基金应支付的管理费</w:t>
            </w:r>
          </w:p>
        </w:tc>
        <w:tc>
          <w:tcPr>
            <w:tcW w:w="2657" w:type="dxa"/>
            <w:vAlign w:val="center"/>
          </w:tcPr>
          <w:p>
            <w:pPr>
              <w:spacing w:before="29" w:line="288" w:lineRule="auto"/>
              <w:jc w:val="right"/>
              <w:rPr>
                <w:kern w:val="0"/>
                <w:sz w:val="24"/>
              </w:rPr>
            </w:pPr>
            <w:r>
              <w:rPr>
                <w:kern w:val="0"/>
                <w:sz w:val="24"/>
              </w:rPr>
              <w:t>4,012,250.92</w:t>
            </w:r>
          </w:p>
        </w:tc>
        <w:tc>
          <w:tcPr>
            <w:tcW w:w="2657" w:type="dxa"/>
            <w:vAlign w:val="center"/>
          </w:tcPr>
          <w:p>
            <w:pPr>
              <w:spacing w:before="29" w:line="288" w:lineRule="auto"/>
              <w:jc w:val="right"/>
              <w:rPr>
                <w:kern w:val="0"/>
                <w:sz w:val="24"/>
              </w:rPr>
            </w:pPr>
            <w:r>
              <w:rPr>
                <w:kern w:val="0"/>
                <w:sz w:val="24"/>
              </w:rPr>
              <w:t>4,480,772.49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686" w:type="dxa"/>
            <w:vAlign w:val="center"/>
          </w:tcPr>
          <w:p>
            <w:pPr>
              <w:widowControl/>
              <w:spacing w:before="29" w:line="288" w:lineRule="auto"/>
              <w:rPr>
                <w:color w:val="000000"/>
                <w:kern w:val="0"/>
                <w:sz w:val="24"/>
              </w:rPr>
            </w:pPr>
            <w:r>
              <w:rPr>
                <w:rFonts w:hint="eastAsia"/>
                <w:color w:val="000000"/>
                <w:kern w:val="0"/>
                <w:sz w:val="24"/>
              </w:rPr>
              <w:t>其中：支付销售机构的客户维护费</w:t>
            </w:r>
          </w:p>
        </w:tc>
        <w:tc>
          <w:tcPr>
            <w:tcW w:w="2657" w:type="dxa"/>
            <w:vAlign w:val="center"/>
          </w:tcPr>
          <w:p>
            <w:pPr>
              <w:spacing w:before="29" w:line="288" w:lineRule="auto"/>
              <w:jc w:val="right"/>
              <w:rPr>
                <w:kern w:val="0"/>
                <w:sz w:val="24"/>
              </w:rPr>
            </w:pPr>
            <w:r>
              <w:rPr>
                <w:kern w:val="0"/>
                <w:sz w:val="24"/>
              </w:rPr>
              <w:t>971,159.85</w:t>
            </w:r>
          </w:p>
        </w:tc>
        <w:tc>
          <w:tcPr>
            <w:tcW w:w="2657" w:type="dxa"/>
            <w:vAlign w:val="center"/>
          </w:tcPr>
          <w:p>
            <w:pPr>
              <w:spacing w:before="29" w:line="288" w:lineRule="auto"/>
              <w:jc w:val="right"/>
              <w:rPr>
                <w:kern w:val="0"/>
                <w:sz w:val="24"/>
              </w:rPr>
            </w:pPr>
            <w:r>
              <w:rPr>
                <w:kern w:val="0"/>
                <w:sz w:val="24"/>
              </w:rPr>
              <w:t>1,511,683.17</w:t>
            </w:r>
          </w:p>
        </w:tc>
      </w:tr>
    </w:tbl>
    <w:p>
      <w:pPr>
        <w:tabs>
          <w:tab w:val="left" w:pos="426"/>
        </w:tabs>
        <w:spacing w:before="29" w:line="288" w:lineRule="auto"/>
        <w:jc w:val="left"/>
        <w:rPr>
          <w:kern w:val="0"/>
          <w:sz w:val="24"/>
        </w:rPr>
      </w:pPr>
      <w:r>
        <w:rPr>
          <w:kern w:val="0"/>
          <w:sz w:val="24"/>
        </w:rPr>
        <w:t>注：支付基金管理人的管理人报酬按前一日基金资产净值1.50%的年费率计提，逐日累计至每月月底，按月支付。其计算公式为：</w:t>
      </w:r>
    </w:p>
    <w:p>
      <w:pPr>
        <w:tabs>
          <w:tab w:val="left" w:pos="426"/>
        </w:tabs>
        <w:spacing w:before="29" w:line="288" w:lineRule="auto"/>
        <w:jc w:val="left"/>
        <w:rPr>
          <w:kern w:val="0"/>
          <w:sz w:val="24"/>
        </w:rPr>
      </w:pPr>
      <w:r>
        <w:rPr>
          <w:kern w:val="0"/>
          <w:sz w:val="24"/>
        </w:rPr>
        <w:t>日管理人报酬＝前一日基金资产净值×1.50%÷当年天数。</w:t>
      </w:r>
    </w:p>
    <w:p>
      <w:pPr>
        <w:spacing w:line="360" w:lineRule="auto"/>
        <w:rPr>
          <w:rFonts w:asciiTheme="minorEastAsia" w:hAnsiTheme="minorEastAsia" w:eastAsiaTheme="minorEastAsia"/>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7.4.10.2.2</w:t>
      </w:r>
      <w:r>
        <w:rPr>
          <w:rFonts w:hint="eastAsia" w:eastAsiaTheme="minorEastAsia"/>
          <w:b/>
          <w:color w:val="000000" w:themeColor="text1"/>
          <w:sz w:val="24"/>
        </w:rPr>
        <w:t>基金托管费</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86"/>
        <w:gridCol w:w="2657"/>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6" w:type="dxa"/>
            <w:vAlign w:val="center"/>
          </w:tcPr>
          <w:p>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657" w:type="dxa"/>
          </w:tcPr>
          <w:p>
            <w:pPr>
              <w:autoSpaceDE w:val="0"/>
              <w:autoSpaceDN w:val="0"/>
              <w:spacing w:before="29" w:line="288" w:lineRule="auto"/>
              <w:jc w:val="center"/>
              <w:textAlignment w:val="bottom"/>
              <w:rPr>
                <w:bCs/>
                <w:color w:val="000000"/>
                <w:sz w:val="24"/>
              </w:rPr>
            </w:pPr>
            <w:r>
              <w:rPr>
                <w:rFonts w:hint="eastAsia"/>
                <w:bCs/>
                <w:color w:val="000000"/>
                <w:sz w:val="24"/>
              </w:rPr>
              <w:t>本期</w:t>
            </w:r>
          </w:p>
          <w:p>
            <w:pPr>
              <w:widowControl/>
              <w:autoSpaceDE w:val="0"/>
              <w:autoSpaceDN w:val="0"/>
              <w:spacing w:before="29" w:line="288" w:lineRule="auto"/>
              <w:ind w:right="-15"/>
              <w:jc w:val="center"/>
              <w:textAlignment w:val="bottom"/>
              <w:rPr>
                <w:bCs/>
                <w:color w:val="000000"/>
                <w:sz w:val="24"/>
              </w:rPr>
            </w:pPr>
            <w:r>
              <w:rPr>
                <w:bCs/>
                <w:color w:val="000000"/>
                <w:sz w:val="24"/>
              </w:rPr>
              <w:t>2020年1月1日</w:t>
            </w:r>
            <w:r>
              <w:rPr>
                <w:rFonts w:hint="eastAsia"/>
                <w:bCs/>
                <w:color w:val="000000"/>
                <w:sz w:val="24"/>
              </w:rPr>
              <w:t>至</w:t>
            </w:r>
            <w:r>
              <w:rPr>
                <w:bCs/>
                <w:color w:val="000000"/>
                <w:sz w:val="24"/>
              </w:rPr>
              <w:t>2020年12月31日</w:t>
            </w:r>
          </w:p>
        </w:tc>
        <w:tc>
          <w:tcPr>
            <w:tcW w:w="2657" w:type="dxa"/>
          </w:tcPr>
          <w:p>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pPr>
              <w:widowControl/>
              <w:autoSpaceDE w:val="0"/>
              <w:autoSpaceDN w:val="0"/>
              <w:spacing w:before="29" w:line="288" w:lineRule="auto"/>
              <w:ind w:right="-15"/>
              <w:jc w:val="center"/>
              <w:textAlignment w:val="bottom"/>
              <w:rPr>
                <w:bCs/>
                <w:color w:val="000000"/>
                <w:sz w:val="24"/>
              </w:rPr>
            </w:pPr>
            <w:r>
              <w:rPr>
                <w:bCs/>
                <w:color w:val="000000"/>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6" w:type="dxa"/>
            <w:vAlign w:val="center"/>
          </w:tcPr>
          <w:p>
            <w:pPr>
              <w:widowControl/>
              <w:spacing w:before="29" w:line="288" w:lineRule="auto"/>
              <w:rPr>
                <w:rFonts w:asciiTheme="minorEastAsia" w:hAnsiTheme="minorEastAsia" w:eastAsiaTheme="minorEastAsia"/>
                <w:color w:val="000000"/>
                <w:szCs w:val="21"/>
              </w:rPr>
            </w:pPr>
            <w:r>
              <w:rPr>
                <w:rFonts w:hint="eastAsia"/>
                <w:color w:val="000000"/>
                <w:kern w:val="0"/>
                <w:sz w:val="24"/>
              </w:rPr>
              <w:t>当期发生的基金应支付的托管费</w:t>
            </w:r>
          </w:p>
        </w:tc>
        <w:tc>
          <w:tcPr>
            <w:tcW w:w="2657" w:type="dxa"/>
            <w:vAlign w:val="center"/>
          </w:tcPr>
          <w:p>
            <w:pPr>
              <w:spacing w:before="29" w:line="288" w:lineRule="auto"/>
              <w:jc w:val="right"/>
              <w:rPr>
                <w:kern w:val="0"/>
                <w:sz w:val="24"/>
              </w:rPr>
            </w:pPr>
            <w:r>
              <w:rPr>
                <w:kern w:val="0"/>
                <w:sz w:val="24"/>
              </w:rPr>
              <w:t>668,708.39</w:t>
            </w:r>
          </w:p>
        </w:tc>
        <w:tc>
          <w:tcPr>
            <w:tcW w:w="2657" w:type="dxa"/>
            <w:vAlign w:val="center"/>
          </w:tcPr>
          <w:p>
            <w:pPr>
              <w:spacing w:before="29" w:line="288" w:lineRule="auto"/>
              <w:jc w:val="right"/>
              <w:rPr>
                <w:kern w:val="0"/>
                <w:sz w:val="24"/>
              </w:rPr>
            </w:pPr>
            <w:r>
              <w:rPr>
                <w:kern w:val="0"/>
                <w:sz w:val="24"/>
              </w:rPr>
              <w:t>746,795.41</w:t>
            </w:r>
          </w:p>
        </w:tc>
      </w:tr>
    </w:tbl>
    <w:p>
      <w:pPr>
        <w:tabs>
          <w:tab w:val="left" w:pos="426"/>
        </w:tabs>
        <w:spacing w:before="29" w:line="288" w:lineRule="auto"/>
        <w:jc w:val="left"/>
        <w:rPr>
          <w:kern w:val="0"/>
          <w:sz w:val="24"/>
        </w:rPr>
      </w:pPr>
      <w:r>
        <w:rPr>
          <w:kern w:val="0"/>
          <w:sz w:val="24"/>
        </w:rPr>
        <w:t>注：支付基金托管人的托管费按前一日基金资产净值0.25%的年费率计提，逐日累计至每月月底，按月支付。其计算公式为：</w:t>
      </w:r>
    </w:p>
    <w:p>
      <w:pPr>
        <w:tabs>
          <w:tab w:val="left" w:pos="426"/>
        </w:tabs>
        <w:spacing w:before="29" w:line="288" w:lineRule="auto"/>
        <w:jc w:val="left"/>
        <w:rPr>
          <w:kern w:val="0"/>
          <w:sz w:val="24"/>
        </w:rPr>
      </w:pPr>
      <w:r>
        <w:rPr>
          <w:kern w:val="0"/>
          <w:sz w:val="24"/>
        </w:rPr>
        <w:t>日托管费＝前一日基金资产净值×0.25%÷当年天数。</w:t>
      </w:r>
    </w:p>
    <w:p>
      <w:pPr>
        <w:spacing w:line="360" w:lineRule="auto"/>
        <w:rPr>
          <w:rFonts w:asciiTheme="minorEastAsia" w:hAnsiTheme="minorEastAsia" w:eastAsiaTheme="minorEastAsia"/>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7.4.10.2.3</w:t>
      </w:r>
      <w:r>
        <w:rPr>
          <w:rFonts w:hint="eastAsia" w:eastAsiaTheme="minorEastAsia"/>
          <w:b/>
          <w:color w:val="000000" w:themeColor="text1"/>
          <w:sz w:val="24"/>
        </w:rPr>
        <w:t>销售服务费</w:t>
      </w:r>
    </w:p>
    <w:p>
      <w:pPr>
        <w:tabs>
          <w:tab w:val="left" w:pos="426"/>
        </w:tabs>
        <w:spacing w:before="29" w:line="288" w:lineRule="auto"/>
        <w:jc w:val="left"/>
        <w:rPr>
          <w:kern w:val="0"/>
          <w:sz w:val="24"/>
        </w:rPr>
      </w:pPr>
      <w:r>
        <w:rPr>
          <w:kern w:val="0"/>
          <w:sz w:val="24"/>
        </w:rPr>
        <w:t>无。</w:t>
      </w:r>
    </w:p>
    <w:p>
      <w:pPr>
        <w:spacing w:line="360" w:lineRule="auto"/>
        <w:rPr>
          <w:rFonts w:asciiTheme="minorEastAsia" w:hAnsiTheme="minorEastAsia" w:eastAsiaTheme="minorEastAsia"/>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7.4.10.3</w:t>
      </w:r>
      <w:r>
        <w:rPr>
          <w:rFonts w:hint="eastAsia" w:eastAsiaTheme="minorEastAsia"/>
          <w:b/>
          <w:color w:val="000000" w:themeColor="text1"/>
          <w:sz w:val="24"/>
        </w:rPr>
        <w:t>与关联方进行银行间同业市场的债券</w:t>
      </w:r>
      <w:r>
        <w:rPr>
          <w:rFonts w:eastAsiaTheme="minorEastAsia"/>
          <w:b/>
          <w:color w:val="000000" w:themeColor="text1"/>
          <w:sz w:val="24"/>
        </w:rPr>
        <w:t>(</w:t>
      </w:r>
      <w:r>
        <w:rPr>
          <w:rFonts w:hint="eastAsia" w:eastAsiaTheme="minorEastAsia"/>
          <w:b/>
          <w:color w:val="000000" w:themeColor="text1"/>
          <w:sz w:val="24"/>
        </w:rPr>
        <w:t>含回购</w:t>
      </w:r>
      <w:r>
        <w:rPr>
          <w:rFonts w:eastAsiaTheme="minorEastAsia"/>
          <w:b/>
          <w:color w:val="000000" w:themeColor="text1"/>
          <w:sz w:val="24"/>
        </w:rPr>
        <w:t>)</w:t>
      </w:r>
      <w:r>
        <w:rPr>
          <w:rFonts w:hint="eastAsia" w:eastAsiaTheme="minorEastAsia"/>
          <w:b/>
          <w:color w:val="000000" w:themeColor="text1"/>
          <w:sz w:val="24"/>
        </w:rPr>
        <w:t>交易</w:t>
      </w:r>
    </w:p>
    <w:p>
      <w:pPr>
        <w:tabs>
          <w:tab w:val="left" w:pos="426"/>
        </w:tabs>
        <w:spacing w:before="29" w:line="288" w:lineRule="auto"/>
        <w:jc w:val="left"/>
        <w:rPr>
          <w:kern w:val="0"/>
          <w:sz w:val="24"/>
        </w:rPr>
      </w:pPr>
      <w:r>
        <w:rPr>
          <w:kern w:val="0"/>
          <w:sz w:val="24"/>
        </w:rPr>
        <w:t>本基金本报告期内及上年度可比期间未与关联方进行银行间同业市场的债券(含回购)交易。</w:t>
      </w:r>
    </w:p>
    <w:p>
      <w:pPr>
        <w:spacing w:line="360" w:lineRule="auto"/>
        <w:rPr>
          <w:rFonts w:asciiTheme="minorEastAsia" w:hAnsiTheme="minorEastAsia" w:eastAsiaTheme="minorEastAsia"/>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7.4.10.4</w:t>
      </w:r>
      <w:r>
        <w:rPr>
          <w:rFonts w:hint="eastAsia" w:eastAsiaTheme="minorEastAsia"/>
          <w:b/>
          <w:color w:val="000000" w:themeColor="text1"/>
          <w:sz w:val="24"/>
        </w:rPr>
        <w:t>各关联方投资本基金的情况</w:t>
      </w:r>
    </w:p>
    <w:p>
      <w:pPr>
        <w:spacing w:line="360" w:lineRule="auto"/>
        <w:rPr>
          <w:rFonts w:eastAsiaTheme="minorEastAsia"/>
          <w:b/>
          <w:color w:val="000000" w:themeColor="text1"/>
          <w:sz w:val="24"/>
        </w:rPr>
      </w:pPr>
      <w:r>
        <w:rPr>
          <w:rFonts w:eastAsiaTheme="minorEastAsia"/>
          <w:b/>
          <w:color w:val="000000" w:themeColor="text1"/>
          <w:sz w:val="24"/>
        </w:rPr>
        <w:t>7.4.10.4.1</w:t>
      </w:r>
      <w:r>
        <w:rPr>
          <w:rFonts w:hint="eastAsia" w:eastAsiaTheme="minorEastAsia"/>
          <w:b/>
          <w:color w:val="000000" w:themeColor="text1"/>
          <w:sz w:val="24"/>
        </w:rPr>
        <w:t>报告期内基金管理人运用固有资金投资本基金的情况</w:t>
      </w:r>
    </w:p>
    <w:p>
      <w:pPr>
        <w:tabs>
          <w:tab w:val="left" w:pos="426"/>
        </w:tabs>
        <w:spacing w:before="29" w:line="288" w:lineRule="auto"/>
        <w:jc w:val="left"/>
        <w:rPr>
          <w:kern w:val="0"/>
          <w:sz w:val="24"/>
        </w:rPr>
      </w:pPr>
      <w:r>
        <w:rPr>
          <w:kern w:val="0"/>
          <w:sz w:val="24"/>
        </w:rPr>
        <w:t>本报告期内及上年度可比期间未发生基金管理人运用固有资金投资本基金的情况。</w:t>
      </w:r>
    </w:p>
    <w:p>
      <w:pPr>
        <w:adjustRightInd w:val="0"/>
        <w:snapToGrid w:val="0"/>
        <w:spacing w:line="360" w:lineRule="auto"/>
        <w:jc w:val="left"/>
        <w:rPr>
          <w:rFonts w:asciiTheme="minorEastAsia" w:hAnsiTheme="minorEastAsia" w:eastAsiaTheme="minorEastAsia"/>
          <w:bCs/>
          <w:color w:val="000000"/>
          <w:szCs w:val="21"/>
        </w:rPr>
      </w:pPr>
      <w:r>
        <w:rPr>
          <w:rFonts w:asciiTheme="minorEastAsia" w:hAnsiTheme="minorEastAsia" w:eastAsiaTheme="minorEastAsia"/>
          <w:bCs/>
          <w:color w:val="000000"/>
          <w:szCs w:val="21"/>
        </w:rPr>
        <w:tab/>
      </w:r>
    </w:p>
    <w:p>
      <w:pPr>
        <w:spacing w:line="360" w:lineRule="auto"/>
        <w:rPr>
          <w:rFonts w:eastAsiaTheme="minorEastAsia"/>
          <w:b/>
          <w:color w:val="000000" w:themeColor="text1"/>
          <w:sz w:val="24"/>
        </w:rPr>
      </w:pPr>
      <w:r>
        <w:rPr>
          <w:rFonts w:eastAsiaTheme="minorEastAsia"/>
          <w:b/>
          <w:color w:val="000000" w:themeColor="text1"/>
          <w:sz w:val="24"/>
        </w:rPr>
        <w:t>7.4.10.4.2</w:t>
      </w:r>
      <w:r>
        <w:rPr>
          <w:rFonts w:hint="eastAsia" w:eastAsiaTheme="minorEastAsia"/>
          <w:b/>
          <w:color w:val="000000" w:themeColor="text1"/>
          <w:sz w:val="24"/>
        </w:rPr>
        <w:t>报告期末除基金管理人之外的其他关联方投资本基金的情况</w:t>
      </w:r>
    </w:p>
    <w:p>
      <w:pPr>
        <w:tabs>
          <w:tab w:val="left" w:pos="426"/>
        </w:tabs>
        <w:spacing w:before="29" w:line="288" w:lineRule="auto"/>
        <w:jc w:val="left"/>
        <w:rPr>
          <w:rFonts w:asciiTheme="minorEastAsia" w:hAnsiTheme="minorEastAsia" w:eastAsiaTheme="minorEastAsia"/>
          <w:color w:val="000000"/>
          <w:kern w:val="0"/>
          <w:szCs w:val="21"/>
        </w:rPr>
      </w:pPr>
      <w:r>
        <w:rPr>
          <w:kern w:val="0"/>
          <w:sz w:val="24"/>
        </w:rPr>
        <w:t>本报告期末及上年度末除基金管理人之外的其他关联方未持有本基金。</w:t>
      </w:r>
      <w:r>
        <w:rPr>
          <w:rFonts w:hint="eastAsia"/>
          <w:kern w:val="0"/>
          <w:sz w:val="24"/>
        </w:rPr>
        <w:br w:type="textWrapping"/>
      </w:r>
    </w:p>
    <w:p>
      <w:pPr>
        <w:spacing w:line="360" w:lineRule="auto"/>
        <w:rPr>
          <w:rFonts w:eastAsiaTheme="minorEastAsia"/>
          <w:b/>
          <w:color w:val="000000" w:themeColor="text1"/>
          <w:sz w:val="24"/>
        </w:rPr>
      </w:pPr>
      <w:r>
        <w:rPr>
          <w:rFonts w:eastAsiaTheme="minorEastAsia"/>
          <w:b/>
          <w:color w:val="000000" w:themeColor="text1"/>
          <w:sz w:val="24"/>
        </w:rPr>
        <w:t>7.4.10.5</w:t>
      </w:r>
      <w:r>
        <w:rPr>
          <w:rFonts w:hint="eastAsia" w:eastAsiaTheme="minorEastAsia"/>
          <w:b/>
          <w:color w:val="000000" w:themeColor="text1"/>
          <w:sz w:val="24"/>
        </w:rPr>
        <w:t>由关联方保管的银行存款余额及当期产生的利息收入</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1683"/>
        <w:gridCol w:w="1683"/>
        <w:gridCol w:w="1683"/>
        <w:gridCol w:w="1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vMerge w:val="restart"/>
            <w:vAlign w:val="center"/>
          </w:tcPr>
          <w:p>
            <w:pPr>
              <w:spacing w:before="29" w:line="288" w:lineRule="auto"/>
              <w:jc w:val="center"/>
              <w:rPr>
                <w:color w:val="000000"/>
                <w:szCs w:val="21"/>
              </w:rPr>
            </w:pPr>
            <w:r>
              <w:rPr>
                <w:rFonts w:hint="eastAsia"/>
                <w:color w:val="000000"/>
                <w:szCs w:val="21"/>
              </w:rPr>
              <w:t>关联方名称</w:t>
            </w:r>
          </w:p>
        </w:tc>
        <w:tc>
          <w:tcPr>
            <w:tcW w:w="3366" w:type="dxa"/>
            <w:gridSpan w:val="2"/>
          </w:tcPr>
          <w:p>
            <w:pPr>
              <w:spacing w:before="29" w:line="288" w:lineRule="auto"/>
              <w:jc w:val="center"/>
              <w:rPr>
                <w:color w:val="000000"/>
                <w:szCs w:val="21"/>
              </w:rPr>
            </w:pPr>
            <w:r>
              <w:rPr>
                <w:rFonts w:hint="eastAsia"/>
                <w:color w:val="000000"/>
                <w:szCs w:val="21"/>
              </w:rPr>
              <w:t>本期</w:t>
            </w:r>
          </w:p>
          <w:p>
            <w:pPr>
              <w:widowControl/>
              <w:autoSpaceDE w:val="0"/>
              <w:autoSpaceDN w:val="0"/>
              <w:spacing w:before="29" w:line="288" w:lineRule="auto"/>
              <w:ind w:right="-15"/>
              <w:jc w:val="center"/>
              <w:textAlignment w:val="bottom"/>
              <w:rPr>
                <w:color w:val="000000"/>
                <w:szCs w:val="21"/>
              </w:rPr>
            </w:pPr>
            <w:r>
              <w:rPr>
                <w:color w:val="000000"/>
                <w:szCs w:val="21"/>
              </w:rPr>
              <w:t>2020年1月1日</w:t>
            </w:r>
            <w:r>
              <w:rPr>
                <w:rFonts w:hint="eastAsia"/>
                <w:color w:val="000000"/>
                <w:szCs w:val="21"/>
              </w:rPr>
              <w:t>至</w:t>
            </w:r>
            <w:r>
              <w:rPr>
                <w:color w:val="000000"/>
                <w:szCs w:val="21"/>
              </w:rPr>
              <w:t>2020年12月31日</w:t>
            </w:r>
          </w:p>
        </w:tc>
        <w:tc>
          <w:tcPr>
            <w:tcW w:w="3366" w:type="dxa"/>
            <w:gridSpan w:val="2"/>
          </w:tcPr>
          <w:p>
            <w:pPr>
              <w:spacing w:before="29" w:line="288" w:lineRule="auto"/>
              <w:jc w:val="center"/>
              <w:rPr>
                <w:color w:val="000000"/>
                <w:szCs w:val="21"/>
              </w:rPr>
            </w:pPr>
            <w:r>
              <w:rPr>
                <w:rFonts w:hint="eastAsia"/>
                <w:color w:val="000000"/>
                <w:szCs w:val="21"/>
              </w:rPr>
              <w:t>上年度可比期间</w:t>
            </w:r>
          </w:p>
          <w:p>
            <w:pPr>
              <w:widowControl/>
              <w:autoSpaceDE w:val="0"/>
              <w:autoSpaceDN w:val="0"/>
              <w:spacing w:before="29" w:line="288" w:lineRule="auto"/>
              <w:ind w:right="-15"/>
              <w:jc w:val="center"/>
              <w:textAlignment w:val="bottom"/>
              <w:rPr>
                <w:color w:val="000000"/>
                <w:szCs w:val="21"/>
              </w:rPr>
            </w:pPr>
            <w:r>
              <w:rPr>
                <w:color w:val="000000"/>
                <w:szCs w:val="21"/>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vMerge w:val="continue"/>
            <w:vAlign w:val="center"/>
          </w:tcPr>
          <w:p>
            <w:pPr>
              <w:spacing w:before="29" w:line="288" w:lineRule="auto"/>
              <w:jc w:val="center"/>
              <w:rPr>
                <w:color w:val="000000"/>
                <w:szCs w:val="21"/>
              </w:rPr>
            </w:pPr>
          </w:p>
        </w:tc>
        <w:tc>
          <w:tcPr>
            <w:tcW w:w="1683" w:type="dxa"/>
            <w:vAlign w:val="center"/>
          </w:tcPr>
          <w:p>
            <w:pPr>
              <w:spacing w:before="29" w:line="288" w:lineRule="auto"/>
              <w:jc w:val="center"/>
              <w:rPr>
                <w:color w:val="000000"/>
                <w:szCs w:val="21"/>
              </w:rPr>
            </w:pPr>
            <w:r>
              <w:rPr>
                <w:rFonts w:hint="eastAsia"/>
                <w:color w:val="000000"/>
                <w:szCs w:val="21"/>
              </w:rPr>
              <w:t>期末余额</w:t>
            </w:r>
          </w:p>
        </w:tc>
        <w:tc>
          <w:tcPr>
            <w:tcW w:w="1683" w:type="dxa"/>
            <w:vAlign w:val="center"/>
          </w:tcPr>
          <w:p>
            <w:pPr>
              <w:spacing w:before="29" w:line="288" w:lineRule="auto"/>
              <w:jc w:val="center"/>
              <w:rPr>
                <w:color w:val="000000"/>
                <w:szCs w:val="21"/>
              </w:rPr>
            </w:pPr>
            <w:r>
              <w:rPr>
                <w:rFonts w:hint="eastAsia"/>
                <w:color w:val="000000"/>
                <w:szCs w:val="21"/>
              </w:rPr>
              <w:t>当期利息收入</w:t>
            </w:r>
          </w:p>
        </w:tc>
        <w:tc>
          <w:tcPr>
            <w:tcW w:w="1683" w:type="dxa"/>
            <w:vAlign w:val="center"/>
          </w:tcPr>
          <w:p>
            <w:pPr>
              <w:spacing w:before="29" w:line="288" w:lineRule="auto"/>
              <w:jc w:val="center"/>
              <w:rPr>
                <w:color w:val="000000"/>
                <w:szCs w:val="21"/>
              </w:rPr>
            </w:pPr>
            <w:r>
              <w:rPr>
                <w:rFonts w:hint="eastAsia"/>
                <w:color w:val="000000"/>
                <w:szCs w:val="21"/>
              </w:rPr>
              <w:t>期末余额</w:t>
            </w:r>
          </w:p>
        </w:tc>
        <w:tc>
          <w:tcPr>
            <w:tcW w:w="1683" w:type="dxa"/>
            <w:vAlign w:val="center"/>
          </w:tcPr>
          <w:p>
            <w:pPr>
              <w:spacing w:before="29" w:line="288" w:lineRule="auto"/>
              <w:jc w:val="center"/>
              <w:rPr>
                <w:color w:val="000000"/>
                <w:szCs w:val="21"/>
              </w:rPr>
            </w:pPr>
            <w:r>
              <w:rPr>
                <w:rFonts w:hint="eastAsia"/>
                <w:color w:val="000000"/>
                <w:szCs w:val="21"/>
              </w:rPr>
              <w:t>当期利息收入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vAlign w:val="center"/>
          </w:tcPr>
          <w:p>
            <w:pPr>
              <w:jc w:val="left"/>
            </w:pPr>
            <w:r>
              <w:rPr>
                <w:szCs w:val="21"/>
              </w:rPr>
              <w:t>中国工商银行股份有限公司</w:t>
            </w:r>
          </w:p>
        </w:tc>
        <w:tc>
          <w:tcPr>
            <w:tcW w:w="1683" w:type="dxa"/>
            <w:vAlign w:val="center"/>
          </w:tcPr>
          <w:p>
            <w:pPr>
              <w:jc w:val="right"/>
            </w:pPr>
            <w:r>
              <w:rPr>
                <w:szCs w:val="21"/>
              </w:rPr>
              <w:t>39,473,969.38</w:t>
            </w:r>
          </w:p>
        </w:tc>
        <w:tc>
          <w:tcPr>
            <w:tcW w:w="1683" w:type="dxa"/>
            <w:vAlign w:val="center"/>
          </w:tcPr>
          <w:p>
            <w:pPr>
              <w:jc w:val="right"/>
            </w:pPr>
            <w:r>
              <w:rPr>
                <w:szCs w:val="21"/>
              </w:rPr>
              <w:t>114,149.48</w:t>
            </w:r>
          </w:p>
        </w:tc>
        <w:tc>
          <w:tcPr>
            <w:tcW w:w="1683" w:type="dxa"/>
            <w:vAlign w:val="center"/>
          </w:tcPr>
          <w:p>
            <w:pPr>
              <w:jc w:val="right"/>
            </w:pPr>
            <w:r>
              <w:rPr>
                <w:szCs w:val="21"/>
              </w:rPr>
              <w:t>8,561,035.29</w:t>
            </w:r>
          </w:p>
        </w:tc>
        <w:tc>
          <w:tcPr>
            <w:tcW w:w="1683" w:type="dxa"/>
            <w:vAlign w:val="center"/>
          </w:tcPr>
          <w:p>
            <w:pPr>
              <w:jc w:val="right"/>
            </w:pPr>
            <w:r>
              <w:rPr>
                <w:szCs w:val="21"/>
              </w:rPr>
              <w:t>128,598.90</w:t>
            </w:r>
          </w:p>
        </w:tc>
      </w:tr>
    </w:tbl>
    <w:p>
      <w:pPr>
        <w:tabs>
          <w:tab w:val="left" w:pos="426"/>
        </w:tabs>
        <w:spacing w:before="29" w:line="288" w:lineRule="auto"/>
        <w:jc w:val="left"/>
        <w:rPr>
          <w:kern w:val="0"/>
          <w:sz w:val="24"/>
        </w:rPr>
      </w:pPr>
      <w:r>
        <w:rPr>
          <w:kern w:val="0"/>
          <w:sz w:val="24"/>
        </w:rPr>
        <w:t>注：本基金的银行存款由基金托管人保管，按银行同业利率计息。</w:t>
      </w:r>
    </w:p>
    <w:p>
      <w:pPr>
        <w:spacing w:line="360" w:lineRule="auto"/>
        <w:rPr>
          <w:rFonts w:asciiTheme="minorEastAsia" w:hAnsiTheme="minorEastAsia" w:eastAsiaTheme="minorEastAsia"/>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7.4.10.6</w:t>
      </w:r>
      <w:r>
        <w:rPr>
          <w:rFonts w:hint="eastAsia" w:eastAsiaTheme="minorEastAsia"/>
          <w:b/>
          <w:color w:val="000000" w:themeColor="text1"/>
          <w:sz w:val="24"/>
        </w:rPr>
        <w:t>本基金在承销期内参与关联方承销证券的情况</w:t>
      </w:r>
    </w:p>
    <w:p>
      <w:pPr>
        <w:tabs>
          <w:tab w:val="left" w:pos="426"/>
        </w:tabs>
        <w:spacing w:before="29" w:line="288" w:lineRule="auto"/>
        <w:jc w:val="left"/>
        <w:rPr>
          <w:kern w:val="0"/>
          <w:sz w:val="24"/>
        </w:rPr>
      </w:pPr>
      <w:r>
        <w:rPr>
          <w:kern w:val="0"/>
          <w:sz w:val="24"/>
        </w:rPr>
        <w:t>本基金本报告期内及上年度可比期间未在承销期内参与关联方承销的证券。</w:t>
      </w:r>
    </w:p>
    <w:p>
      <w:pPr>
        <w:spacing w:line="360" w:lineRule="auto"/>
        <w:rPr>
          <w:rFonts w:asciiTheme="minorEastAsia" w:hAnsiTheme="minorEastAsia" w:eastAsiaTheme="minorEastAsia"/>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7.4.10.7 其他关联交易事项的说明</w:t>
      </w:r>
    </w:p>
    <w:p>
      <w:pPr>
        <w:widowControl/>
        <w:spacing w:line="360" w:lineRule="auto"/>
        <w:ind w:firstLine="480" w:firstLineChars="200"/>
        <w:rPr>
          <w:rFonts w:eastAsiaTheme="minorEastAsia"/>
          <w:color w:val="000000" w:themeColor="text1"/>
          <w:kern w:val="0"/>
          <w:sz w:val="24"/>
        </w:rPr>
      </w:pPr>
      <w:r>
        <w:rPr>
          <w:rFonts w:eastAsiaTheme="minorEastAsia"/>
          <w:color w:val="000000" w:themeColor="text1"/>
          <w:kern w:val="0"/>
          <w:sz w:val="24"/>
        </w:rPr>
        <w:t>本基金本报告期内及上年度可比期间无其他关联交易事项。</w:t>
      </w:r>
    </w:p>
    <w:p>
      <w:pPr>
        <w:spacing w:line="360" w:lineRule="auto"/>
        <w:rPr>
          <w:rFonts w:eastAsiaTheme="minorEastAsia"/>
          <w:b/>
          <w:color w:val="000000" w:themeColor="text1"/>
          <w:sz w:val="24"/>
        </w:rPr>
      </w:pPr>
      <w:r>
        <w:rPr>
          <w:rFonts w:eastAsiaTheme="minorEastAsia"/>
          <w:b/>
          <w:color w:val="000000" w:themeColor="text1"/>
          <w:sz w:val="24"/>
        </w:rPr>
        <w:t>7.4.11</w:t>
      </w:r>
      <w:r>
        <w:rPr>
          <w:rFonts w:hint="eastAsia" w:eastAsiaTheme="minorEastAsia"/>
          <w:b/>
          <w:color w:val="000000" w:themeColor="text1"/>
          <w:sz w:val="24"/>
        </w:rPr>
        <w:t>利润分配情况</w:t>
      </w:r>
    </w:p>
    <w:p>
      <w:pPr>
        <w:tabs>
          <w:tab w:val="left" w:pos="426"/>
        </w:tabs>
        <w:spacing w:before="29" w:line="288" w:lineRule="auto"/>
        <w:jc w:val="left"/>
        <w:rPr>
          <w:rFonts w:asciiTheme="minorEastAsia" w:hAnsiTheme="minorEastAsia" w:eastAsiaTheme="minorEastAsia"/>
          <w:color w:val="000000"/>
          <w:szCs w:val="21"/>
        </w:rPr>
      </w:pPr>
      <w:r>
        <w:rPr>
          <w:kern w:val="0"/>
          <w:sz w:val="24"/>
        </w:rPr>
        <w:t>本基金本报告期内未进行利润分配。</w:t>
      </w:r>
      <w:r>
        <w:rPr>
          <w:rFonts w:hint="eastAsia"/>
          <w:kern w:val="0"/>
          <w:sz w:val="24"/>
        </w:rPr>
        <w:br w:type="textWrapping"/>
      </w:r>
    </w:p>
    <w:p>
      <w:pPr>
        <w:spacing w:line="360" w:lineRule="auto"/>
        <w:rPr>
          <w:rFonts w:eastAsiaTheme="minorEastAsia"/>
          <w:b/>
          <w:color w:val="000000" w:themeColor="text1"/>
          <w:sz w:val="24"/>
        </w:rPr>
      </w:pPr>
      <w:r>
        <w:rPr>
          <w:rFonts w:eastAsiaTheme="minorEastAsia"/>
          <w:b/>
          <w:color w:val="000000" w:themeColor="text1"/>
          <w:sz w:val="24"/>
        </w:rPr>
        <w:t>7.4.12</w:t>
      </w:r>
      <w:r>
        <w:rPr>
          <w:rFonts w:hint="eastAsia" w:eastAsiaTheme="minorEastAsia"/>
          <w:b/>
          <w:color w:val="000000" w:themeColor="text1"/>
          <w:sz w:val="24"/>
        </w:rPr>
        <w:t>期末（</w:t>
      </w:r>
      <w:r>
        <w:rPr>
          <w:rFonts w:eastAsiaTheme="minorEastAsia"/>
          <w:b/>
          <w:color w:val="000000" w:themeColor="text1"/>
          <w:sz w:val="24"/>
        </w:rPr>
        <w:t>2020年12月31日</w:t>
      </w:r>
      <w:r>
        <w:rPr>
          <w:rFonts w:hint="eastAsia" w:eastAsiaTheme="minorEastAsia"/>
          <w:b/>
          <w:color w:val="000000" w:themeColor="text1"/>
          <w:sz w:val="24"/>
        </w:rPr>
        <w:t>）本基金持有的流通受限证券</w:t>
      </w:r>
    </w:p>
    <w:p>
      <w:pPr>
        <w:spacing w:line="360" w:lineRule="auto"/>
        <w:rPr>
          <w:rFonts w:eastAsiaTheme="minorEastAsia"/>
          <w:b/>
          <w:color w:val="000000" w:themeColor="text1"/>
          <w:sz w:val="24"/>
        </w:rPr>
      </w:pPr>
      <w:r>
        <w:rPr>
          <w:rFonts w:eastAsiaTheme="minorEastAsia"/>
          <w:b/>
          <w:color w:val="000000" w:themeColor="text1"/>
          <w:sz w:val="24"/>
        </w:rPr>
        <w:t>7.4.12.1</w:t>
      </w:r>
      <w:r>
        <w:rPr>
          <w:rFonts w:hint="eastAsia" w:eastAsiaTheme="minorEastAsia"/>
          <w:b/>
          <w:color w:val="000000" w:themeColor="text1"/>
          <w:sz w:val="24"/>
        </w:rPr>
        <w:t>因认购新发</w:t>
      </w:r>
      <w:r>
        <w:rPr>
          <w:rFonts w:eastAsiaTheme="minorEastAsia"/>
          <w:b/>
          <w:color w:val="000000" w:themeColor="text1"/>
          <w:sz w:val="24"/>
        </w:rPr>
        <w:t>/</w:t>
      </w:r>
      <w:r>
        <w:rPr>
          <w:rFonts w:hint="eastAsia" w:eastAsiaTheme="minorEastAsia"/>
          <w:b/>
          <w:color w:val="000000" w:themeColor="text1"/>
          <w:sz w:val="24"/>
        </w:rPr>
        <w:t>增发证券而于期末持有的流通受限证券</w:t>
      </w:r>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
        <w:gridCol w:w="835"/>
        <w:gridCol w:w="834"/>
        <w:gridCol w:w="835"/>
        <w:gridCol w:w="834"/>
        <w:gridCol w:w="835"/>
        <w:gridCol w:w="834"/>
        <w:gridCol w:w="835"/>
        <w:gridCol w:w="834"/>
        <w:gridCol w:w="835"/>
        <w:gridCol w:w="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9180" w:type="dxa"/>
            <w:gridSpan w:val="11"/>
            <w:vAlign w:val="bottom"/>
          </w:tcPr>
          <w:p>
            <w:pPr>
              <w:spacing w:line="360" w:lineRule="auto"/>
              <w:rPr>
                <w:rFonts w:asciiTheme="minorEastAsia" w:hAnsiTheme="minorEastAsia" w:eastAsiaTheme="minorEastAsia"/>
                <w:szCs w:val="21"/>
              </w:rPr>
            </w:pPr>
            <w:r>
              <w:rPr>
                <w:b/>
                <w:bCs/>
                <w:color w:val="000000"/>
                <w:kern w:val="0"/>
                <w:sz w:val="24"/>
              </w:rPr>
              <w:t xml:space="preserve">7.4.12.1.1 </w:t>
            </w:r>
            <w:r>
              <w:rPr>
                <w:rFonts w:hint="eastAsia"/>
                <w:color w:val="000000"/>
                <w:sz w:val="24"/>
              </w:rPr>
              <w:t>受限证券类别：股票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834" w:type="dxa"/>
            <w:vAlign w:val="center"/>
          </w:tcPr>
          <w:p>
            <w:pPr>
              <w:spacing w:before="29" w:line="288" w:lineRule="auto"/>
              <w:ind w:left="-97" w:leftChars="-46" w:right="-120" w:rightChars="-57"/>
              <w:jc w:val="center"/>
              <w:rPr>
                <w:sz w:val="24"/>
              </w:rPr>
            </w:pPr>
            <w:r>
              <w:rPr>
                <w:rFonts w:hint="eastAsia"/>
                <w:sz w:val="24"/>
              </w:rPr>
              <w:t>证券</w:t>
            </w:r>
          </w:p>
          <w:p>
            <w:pPr>
              <w:spacing w:before="29" w:line="288" w:lineRule="auto"/>
              <w:ind w:left="-97" w:leftChars="-46" w:right="-120" w:rightChars="-57"/>
              <w:jc w:val="center"/>
              <w:rPr>
                <w:sz w:val="24"/>
              </w:rPr>
            </w:pPr>
            <w:r>
              <w:rPr>
                <w:rFonts w:hint="eastAsia"/>
                <w:sz w:val="24"/>
              </w:rPr>
              <w:t>代码</w:t>
            </w:r>
          </w:p>
        </w:tc>
        <w:tc>
          <w:tcPr>
            <w:tcW w:w="835" w:type="dxa"/>
            <w:vAlign w:val="center"/>
          </w:tcPr>
          <w:p>
            <w:pPr>
              <w:spacing w:before="29" w:line="288" w:lineRule="auto"/>
              <w:ind w:left="-105" w:leftChars="-50" w:right="-113" w:rightChars="-54"/>
              <w:jc w:val="center"/>
              <w:rPr>
                <w:sz w:val="24"/>
              </w:rPr>
            </w:pPr>
            <w:r>
              <w:rPr>
                <w:rFonts w:hint="eastAsia"/>
                <w:sz w:val="24"/>
              </w:rPr>
              <w:t>证券</w:t>
            </w:r>
          </w:p>
          <w:p>
            <w:pPr>
              <w:spacing w:before="29" w:line="288" w:lineRule="auto"/>
              <w:ind w:left="-105" w:leftChars="-50" w:right="-113" w:rightChars="-54"/>
              <w:jc w:val="center"/>
              <w:rPr>
                <w:sz w:val="24"/>
              </w:rPr>
            </w:pPr>
            <w:r>
              <w:rPr>
                <w:rFonts w:hint="eastAsia"/>
                <w:sz w:val="24"/>
              </w:rPr>
              <w:t>名称</w:t>
            </w:r>
          </w:p>
        </w:tc>
        <w:tc>
          <w:tcPr>
            <w:tcW w:w="834" w:type="dxa"/>
            <w:vAlign w:val="center"/>
          </w:tcPr>
          <w:p>
            <w:pPr>
              <w:spacing w:before="29" w:line="288" w:lineRule="auto"/>
              <w:jc w:val="center"/>
              <w:rPr>
                <w:sz w:val="24"/>
              </w:rPr>
            </w:pPr>
            <w:r>
              <w:rPr>
                <w:rFonts w:hint="eastAsia"/>
                <w:sz w:val="24"/>
              </w:rPr>
              <w:t>成功</w:t>
            </w:r>
          </w:p>
          <w:p>
            <w:pPr>
              <w:spacing w:before="29" w:line="288" w:lineRule="auto"/>
              <w:ind w:left="-67" w:leftChars="-32" w:right="-139" w:rightChars="-66"/>
              <w:jc w:val="center"/>
              <w:rPr>
                <w:sz w:val="24"/>
              </w:rPr>
            </w:pPr>
            <w:r>
              <w:rPr>
                <w:rFonts w:hint="eastAsia"/>
                <w:sz w:val="24"/>
              </w:rPr>
              <w:t>认购日</w:t>
            </w:r>
          </w:p>
        </w:tc>
        <w:tc>
          <w:tcPr>
            <w:tcW w:w="835" w:type="dxa"/>
            <w:vAlign w:val="center"/>
          </w:tcPr>
          <w:p>
            <w:pPr>
              <w:spacing w:before="29" w:line="288" w:lineRule="auto"/>
              <w:jc w:val="center"/>
              <w:rPr>
                <w:sz w:val="24"/>
              </w:rPr>
            </w:pPr>
            <w:r>
              <w:rPr>
                <w:rFonts w:hint="eastAsia"/>
                <w:sz w:val="24"/>
              </w:rPr>
              <w:t>可流</w:t>
            </w:r>
          </w:p>
          <w:p>
            <w:pPr>
              <w:spacing w:before="29" w:line="288" w:lineRule="auto"/>
              <w:jc w:val="center"/>
              <w:rPr>
                <w:sz w:val="24"/>
              </w:rPr>
            </w:pPr>
            <w:r>
              <w:rPr>
                <w:rFonts w:hint="eastAsia"/>
                <w:sz w:val="24"/>
              </w:rPr>
              <w:t>通日</w:t>
            </w:r>
          </w:p>
        </w:tc>
        <w:tc>
          <w:tcPr>
            <w:tcW w:w="834" w:type="dxa"/>
            <w:vAlign w:val="center"/>
          </w:tcPr>
          <w:p>
            <w:pPr>
              <w:spacing w:before="29" w:line="288" w:lineRule="auto"/>
              <w:jc w:val="center"/>
              <w:rPr>
                <w:sz w:val="24"/>
              </w:rPr>
            </w:pPr>
            <w:r>
              <w:rPr>
                <w:rFonts w:hint="eastAsia"/>
                <w:sz w:val="24"/>
              </w:rPr>
              <w:t>流通受</w:t>
            </w:r>
          </w:p>
          <w:p>
            <w:pPr>
              <w:spacing w:before="29" w:line="288" w:lineRule="auto"/>
              <w:jc w:val="center"/>
              <w:rPr>
                <w:sz w:val="24"/>
              </w:rPr>
            </w:pPr>
            <w:r>
              <w:rPr>
                <w:rFonts w:hint="eastAsia"/>
                <w:sz w:val="24"/>
              </w:rPr>
              <w:t>限类型</w:t>
            </w:r>
          </w:p>
        </w:tc>
        <w:tc>
          <w:tcPr>
            <w:tcW w:w="835" w:type="dxa"/>
            <w:vAlign w:val="center"/>
          </w:tcPr>
          <w:p>
            <w:pPr>
              <w:spacing w:before="29" w:line="288" w:lineRule="auto"/>
              <w:jc w:val="center"/>
              <w:rPr>
                <w:sz w:val="24"/>
              </w:rPr>
            </w:pPr>
            <w:r>
              <w:rPr>
                <w:rFonts w:hint="eastAsia"/>
                <w:sz w:val="24"/>
              </w:rPr>
              <w:t>认购</w:t>
            </w:r>
          </w:p>
          <w:p>
            <w:pPr>
              <w:spacing w:before="29" w:line="288" w:lineRule="auto"/>
              <w:jc w:val="center"/>
              <w:rPr>
                <w:sz w:val="24"/>
              </w:rPr>
            </w:pPr>
            <w:r>
              <w:rPr>
                <w:rFonts w:hint="eastAsia"/>
                <w:sz w:val="24"/>
              </w:rPr>
              <w:t>价格</w:t>
            </w:r>
          </w:p>
        </w:tc>
        <w:tc>
          <w:tcPr>
            <w:tcW w:w="834" w:type="dxa"/>
            <w:vAlign w:val="center"/>
          </w:tcPr>
          <w:p>
            <w:pPr>
              <w:spacing w:before="29" w:line="288" w:lineRule="auto"/>
              <w:ind w:left="-69" w:leftChars="-33" w:right="-97" w:rightChars="-46"/>
              <w:jc w:val="center"/>
              <w:rPr>
                <w:sz w:val="24"/>
              </w:rPr>
            </w:pPr>
            <w:r>
              <w:rPr>
                <w:rFonts w:hint="eastAsia"/>
                <w:sz w:val="24"/>
              </w:rPr>
              <w:t>期末估</w:t>
            </w:r>
          </w:p>
          <w:p>
            <w:pPr>
              <w:spacing w:before="29" w:line="288" w:lineRule="auto"/>
              <w:ind w:left="-69" w:leftChars="-33" w:right="-97" w:rightChars="-46"/>
              <w:jc w:val="center"/>
              <w:rPr>
                <w:sz w:val="24"/>
              </w:rPr>
            </w:pPr>
            <w:r>
              <w:rPr>
                <w:rFonts w:hint="eastAsia"/>
                <w:sz w:val="24"/>
              </w:rPr>
              <w:t>值单价</w:t>
            </w:r>
          </w:p>
        </w:tc>
        <w:tc>
          <w:tcPr>
            <w:tcW w:w="835" w:type="dxa"/>
            <w:vAlign w:val="center"/>
          </w:tcPr>
          <w:p>
            <w:pPr>
              <w:spacing w:before="29" w:line="288" w:lineRule="auto"/>
              <w:ind w:left="-162" w:leftChars="-77" w:right="-105" w:rightChars="-50"/>
              <w:jc w:val="center"/>
              <w:rPr>
                <w:sz w:val="24"/>
              </w:rPr>
            </w:pPr>
            <w:r>
              <w:rPr>
                <w:rFonts w:hint="eastAsia"/>
                <w:sz w:val="24"/>
              </w:rPr>
              <w:t>数量</w:t>
            </w:r>
            <w:r>
              <w:rPr>
                <w:sz w:val="24"/>
              </w:rPr>
              <w:t>(</w:t>
            </w:r>
            <w:r>
              <w:rPr>
                <w:rFonts w:hint="eastAsia"/>
                <w:sz w:val="24"/>
              </w:rPr>
              <w:t>单位：股</w:t>
            </w:r>
            <w:r>
              <w:rPr>
                <w:sz w:val="24"/>
              </w:rPr>
              <w:t>)</w:t>
            </w:r>
          </w:p>
        </w:tc>
        <w:tc>
          <w:tcPr>
            <w:tcW w:w="834" w:type="dxa"/>
            <w:vAlign w:val="center"/>
          </w:tcPr>
          <w:p>
            <w:pPr>
              <w:spacing w:before="29" w:line="288" w:lineRule="auto"/>
              <w:jc w:val="center"/>
              <w:rPr>
                <w:sz w:val="24"/>
              </w:rPr>
            </w:pPr>
            <w:r>
              <w:rPr>
                <w:rFonts w:hint="eastAsia"/>
                <w:sz w:val="24"/>
              </w:rPr>
              <w:t>期末</w:t>
            </w:r>
          </w:p>
          <w:p>
            <w:pPr>
              <w:spacing w:before="29" w:line="288" w:lineRule="auto"/>
              <w:jc w:val="center"/>
              <w:rPr>
                <w:sz w:val="24"/>
              </w:rPr>
            </w:pPr>
            <w:r>
              <w:rPr>
                <w:rFonts w:hint="eastAsia"/>
                <w:sz w:val="24"/>
              </w:rPr>
              <w:t>成本总额</w:t>
            </w:r>
          </w:p>
        </w:tc>
        <w:tc>
          <w:tcPr>
            <w:tcW w:w="835" w:type="dxa"/>
            <w:vAlign w:val="center"/>
          </w:tcPr>
          <w:p>
            <w:pPr>
              <w:spacing w:before="29" w:line="288" w:lineRule="auto"/>
              <w:jc w:val="center"/>
              <w:rPr>
                <w:sz w:val="24"/>
              </w:rPr>
            </w:pPr>
            <w:r>
              <w:rPr>
                <w:rFonts w:hint="eastAsia"/>
                <w:sz w:val="24"/>
              </w:rPr>
              <w:t>期末</w:t>
            </w:r>
          </w:p>
          <w:p>
            <w:pPr>
              <w:spacing w:before="29" w:line="288" w:lineRule="auto"/>
              <w:jc w:val="center"/>
              <w:rPr>
                <w:sz w:val="24"/>
              </w:rPr>
            </w:pPr>
            <w:r>
              <w:rPr>
                <w:rFonts w:hint="eastAsia"/>
                <w:sz w:val="24"/>
              </w:rPr>
              <w:t>估值总额</w:t>
            </w:r>
          </w:p>
        </w:tc>
        <w:tc>
          <w:tcPr>
            <w:tcW w:w="835" w:type="dxa"/>
            <w:vAlign w:val="center"/>
          </w:tcPr>
          <w:p>
            <w:pPr>
              <w:spacing w:before="29" w:line="288" w:lineRule="auto"/>
              <w:ind w:left="-101" w:leftChars="-48" w:right="-113" w:rightChars="-54"/>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002352</w:t>
            </w:r>
          </w:p>
        </w:tc>
        <w:tc>
          <w:tcPr>
            <w:tcW w:w="835" w:type="dxa"/>
            <w:vAlign w:val="center"/>
          </w:tcPr>
          <w:p>
            <w:pPr>
              <w:jc w:val="center"/>
            </w:pPr>
            <w:r>
              <w:rPr>
                <w:sz w:val="24"/>
              </w:rPr>
              <w:t>顺丰控股</w:t>
            </w:r>
          </w:p>
        </w:tc>
        <w:tc>
          <w:tcPr>
            <w:tcW w:w="834" w:type="dxa"/>
            <w:vAlign w:val="center"/>
          </w:tcPr>
          <w:p>
            <w:pPr>
              <w:jc w:val="center"/>
            </w:pPr>
            <w:r>
              <w:rPr>
                <w:sz w:val="24"/>
              </w:rPr>
              <w:t>2020-07-17</w:t>
            </w:r>
          </w:p>
        </w:tc>
        <w:tc>
          <w:tcPr>
            <w:tcW w:w="835" w:type="dxa"/>
            <w:vAlign w:val="center"/>
          </w:tcPr>
          <w:p>
            <w:pPr>
              <w:jc w:val="center"/>
            </w:pPr>
            <w:r>
              <w:rPr>
                <w:sz w:val="24"/>
              </w:rPr>
              <w:t>2021-01-18</w:t>
            </w:r>
          </w:p>
        </w:tc>
        <w:tc>
          <w:tcPr>
            <w:tcW w:w="834" w:type="dxa"/>
            <w:vAlign w:val="center"/>
          </w:tcPr>
          <w:p>
            <w:pPr>
              <w:jc w:val="center"/>
            </w:pPr>
            <w:r>
              <w:rPr>
                <w:sz w:val="24"/>
              </w:rPr>
              <w:t>限售股</w:t>
            </w:r>
          </w:p>
        </w:tc>
        <w:tc>
          <w:tcPr>
            <w:tcW w:w="835" w:type="dxa"/>
            <w:vAlign w:val="center"/>
          </w:tcPr>
          <w:p>
            <w:pPr>
              <w:jc w:val="right"/>
            </w:pPr>
            <w:r>
              <w:rPr>
                <w:sz w:val="24"/>
              </w:rPr>
              <w:t>60.00</w:t>
            </w:r>
          </w:p>
        </w:tc>
        <w:tc>
          <w:tcPr>
            <w:tcW w:w="834" w:type="dxa"/>
            <w:vAlign w:val="center"/>
          </w:tcPr>
          <w:p>
            <w:pPr>
              <w:jc w:val="right"/>
            </w:pPr>
            <w:r>
              <w:rPr>
                <w:sz w:val="24"/>
              </w:rPr>
              <w:t>86.91</w:t>
            </w:r>
          </w:p>
        </w:tc>
        <w:tc>
          <w:tcPr>
            <w:tcW w:w="835" w:type="dxa"/>
            <w:vAlign w:val="center"/>
          </w:tcPr>
          <w:p>
            <w:pPr>
              <w:jc w:val="right"/>
            </w:pPr>
            <w:r>
              <w:rPr>
                <w:sz w:val="24"/>
              </w:rPr>
              <w:t>70,000</w:t>
            </w:r>
          </w:p>
        </w:tc>
        <w:tc>
          <w:tcPr>
            <w:tcW w:w="834" w:type="dxa"/>
            <w:vAlign w:val="center"/>
          </w:tcPr>
          <w:p>
            <w:pPr>
              <w:jc w:val="right"/>
            </w:pPr>
            <w:r>
              <w:rPr>
                <w:sz w:val="24"/>
              </w:rPr>
              <w:t>4,200,000.00</w:t>
            </w:r>
          </w:p>
        </w:tc>
        <w:tc>
          <w:tcPr>
            <w:tcW w:w="835" w:type="dxa"/>
            <w:vAlign w:val="center"/>
          </w:tcPr>
          <w:p>
            <w:pPr>
              <w:jc w:val="right"/>
            </w:pPr>
            <w:r>
              <w:rPr>
                <w:sz w:val="24"/>
              </w:rPr>
              <w:t>6,083,700.00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003030</w:t>
            </w:r>
          </w:p>
        </w:tc>
        <w:tc>
          <w:tcPr>
            <w:tcW w:w="835" w:type="dxa"/>
            <w:vAlign w:val="center"/>
          </w:tcPr>
          <w:p>
            <w:pPr>
              <w:jc w:val="center"/>
            </w:pPr>
            <w:r>
              <w:rPr>
                <w:sz w:val="24"/>
              </w:rPr>
              <w:t>祖名股份</w:t>
            </w:r>
          </w:p>
        </w:tc>
        <w:tc>
          <w:tcPr>
            <w:tcW w:w="834" w:type="dxa"/>
            <w:vAlign w:val="center"/>
          </w:tcPr>
          <w:p>
            <w:pPr>
              <w:jc w:val="center"/>
            </w:pPr>
            <w:r>
              <w:rPr>
                <w:sz w:val="24"/>
              </w:rPr>
              <w:t>2020-12-25</w:t>
            </w:r>
          </w:p>
        </w:tc>
        <w:tc>
          <w:tcPr>
            <w:tcW w:w="835" w:type="dxa"/>
            <w:vAlign w:val="center"/>
          </w:tcPr>
          <w:p>
            <w:pPr>
              <w:jc w:val="center"/>
            </w:pPr>
            <w:r>
              <w:rPr>
                <w:sz w:val="24"/>
              </w:rPr>
              <w:t>2021-01-06</w:t>
            </w:r>
          </w:p>
        </w:tc>
        <w:tc>
          <w:tcPr>
            <w:tcW w:w="834" w:type="dxa"/>
            <w:vAlign w:val="center"/>
          </w:tcPr>
          <w:p>
            <w:pPr>
              <w:jc w:val="center"/>
            </w:pPr>
            <w:r>
              <w:rPr>
                <w:sz w:val="24"/>
              </w:rPr>
              <w:t>新股未上市</w:t>
            </w:r>
          </w:p>
        </w:tc>
        <w:tc>
          <w:tcPr>
            <w:tcW w:w="835" w:type="dxa"/>
            <w:vAlign w:val="center"/>
          </w:tcPr>
          <w:p>
            <w:pPr>
              <w:jc w:val="right"/>
            </w:pPr>
            <w:r>
              <w:rPr>
                <w:sz w:val="24"/>
              </w:rPr>
              <w:t>15.18</w:t>
            </w:r>
          </w:p>
        </w:tc>
        <w:tc>
          <w:tcPr>
            <w:tcW w:w="834" w:type="dxa"/>
            <w:vAlign w:val="center"/>
          </w:tcPr>
          <w:p>
            <w:pPr>
              <w:jc w:val="right"/>
            </w:pPr>
            <w:r>
              <w:rPr>
                <w:sz w:val="24"/>
              </w:rPr>
              <w:t>15.18</w:t>
            </w:r>
          </w:p>
        </w:tc>
        <w:tc>
          <w:tcPr>
            <w:tcW w:w="835" w:type="dxa"/>
            <w:vAlign w:val="center"/>
          </w:tcPr>
          <w:p>
            <w:pPr>
              <w:jc w:val="right"/>
            </w:pPr>
            <w:r>
              <w:rPr>
                <w:sz w:val="24"/>
              </w:rPr>
              <w:t>480</w:t>
            </w:r>
          </w:p>
        </w:tc>
        <w:tc>
          <w:tcPr>
            <w:tcW w:w="834" w:type="dxa"/>
            <w:vAlign w:val="center"/>
          </w:tcPr>
          <w:p>
            <w:pPr>
              <w:jc w:val="right"/>
            </w:pPr>
            <w:r>
              <w:rPr>
                <w:sz w:val="24"/>
              </w:rPr>
              <w:t>7,286.40</w:t>
            </w:r>
          </w:p>
        </w:tc>
        <w:tc>
          <w:tcPr>
            <w:tcW w:w="835" w:type="dxa"/>
            <w:vAlign w:val="center"/>
          </w:tcPr>
          <w:p>
            <w:pPr>
              <w:jc w:val="right"/>
            </w:pPr>
            <w:r>
              <w:rPr>
                <w:sz w:val="24"/>
              </w:rPr>
              <w:t>7,286.40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003031</w:t>
            </w:r>
          </w:p>
        </w:tc>
        <w:tc>
          <w:tcPr>
            <w:tcW w:w="835" w:type="dxa"/>
            <w:vAlign w:val="center"/>
          </w:tcPr>
          <w:p>
            <w:pPr>
              <w:jc w:val="center"/>
            </w:pPr>
            <w:r>
              <w:rPr>
                <w:sz w:val="24"/>
              </w:rPr>
              <w:t>中瓷电子</w:t>
            </w:r>
          </w:p>
        </w:tc>
        <w:tc>
          <w:tcPr>
            <w:tcW w:w="834" w:type="dxa"/>
            <w:vAlign w:val="center"/>
          </w:tcPr>
          <w:p>
            <w:pPr>
              <w:jc w:val="center"/>
            </w:pPr>
            <w:r>
              <w:rPr>
                <w:sz w:val="24"/>
              </w:rPr>
              <w:t>2020-12-24</w:t>
            </w:r>
          </w:p>
        </w:tc>
        <w:tc>
          <w:tcPr>
            <w:tcW w:w="835" w:type="dxa"/>
            <w:vAlign w:val="center"/>
          </w:tcPr>
          <w:p>
            <w:pPr>
              <w:jc w:val="center"/>
            </w:pPr>
            <w:r>
              <w:rPr>
                <w:sz w:val="24"/>
              </w:rPr>
              <w:t>2021-01-04</w:t>
            </w:r>
          </w:p>
        </w:tc>
        <w:tc>
          <w:tcPr>
            <w:tcW w:w="834" w:type="dxa"/>
            <w:vAlign w:val="center"/>
          </w:tcPr>
          <w:p>
            <w:pPr>
              <w:jc w:val="center"/>
            </w:pPr>
            <w:r>
              <w:rPr>
                <w:sz w:val="24"/>
              </w:rPr>
              <w:t>新股未上市</w:t>
            </w:r>
          </w:p>
        </w:tc>
        <w:tc>
          <w:tcPr>
            <w:tcW w:w="835" w:type="dxa"/>
            <w:vAlign w:val="center"/>
          </w:tcPr>
          <w:p>
            <w:pPr>
              <w:jc w:val="right"/>
            </w:pPr>
            <w:r>
              <w:rPr>
                <w:sz w:val="24"/>
              </w:rPr>
              <w:t>15.27</w:t>
            </w:r>
          </w:p>
        </w:tc>
        <w:tc>
          <w:tcPr>
            <w:tcW w:w="834" w:type="dxa"/>
            <w:vAlign w:val="center"/>
          </w:tcPr>
          <w:p>
            <w:pPr>
              <w:jc w:val="right"/>
            </w:pPr>
            <w:r>
              <w:rPr>
                <w:sz w:val="24"/>
              </w:rPr>
              <w:t>15.27</w:t>
            </w:r>
          </w:p>
        </w:tc>
        <w:tc>
          <w:tcPr>
            <w:tcW w:w="835" w:type="dxa"/>
            <w:vAlign w:val="center"/>
          </w:tcPr>
          <w:p>
            <w:pPr>
              <w:jc w:val="right"/>
            </w:pPr>
            <w:r>
              <w:rPr>
                <w:sz w:val="24"/>
              </w:rPr>
              <w:t>387</w:t>
            </w:r>
          </w:p>
        </w:tc>
        <w:tc>
          <w:tcPr>
            <w:tcW w:w="834" w:type="dxa"/>
            <w:vAlign w:val="center"/>
          </w:tcPr>
          <w:p>
            <w:pPr>
              <w:jc w:val="right"/>
            </w:pPr>
            <w:r>
              <w:rPr>
                <w:sz w:val="24"/>
              </w:rPr>
              <w:t>5,909.49</w:t>
            </w:r>
          </w:p>
        </w:tc>
        <w:tc>
          <w:tcPr>
            <w:tcW w:w="835" w:type="dxa"/>
            <w:vAlign w:val="center"/>
          </w:tcPr>
          <w:p>
            <w:pPr>
              <w:jc w:val="right"/>
            </w:pPr>
            <w:r>
              <w:rPr>
                <w:sz w:val="24"/>
              </w:rPr>
              <w:t>5,909.49</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300860</w:t>
            </w:r>
          </w:p>
        </w:tc>
        <w:tc>
          <w:tcPr>
            <w:tcW w:w="835" w:type="dxa"/>
            <w:vAlign w:val="center"/>
          </w:tcPr>
          <w:p>
            <w:pPr>
              <w:jc w:val="center"/>
            </w:pPr>
            <w:r>
              <w:rPr>
                <w:sz w:val="24"/>
              </w:rPr>
              <w:t>锋尚文化</w:t>
            </w:r>
          </w:p>
        </w:tc>
        <w:tc>
          <w:tcPr>
            <w:tcW w:w="834" w:type="dxa"/>
            <w:vAlign w:val="center"/>
          </w:tcPr>
          <w:p>
            <w:pPr>
              <w:jc w:val="center"/>
            </w:pPr>
            <w:r>
              <w:rPr>
                <w:sz w:val="24"/>
              </w:rPr>
              <w:t>2020-08-06</w:t>
            </w:r>
          </w:p>
        </w:tc>
        <w:tc>
          <w:tcPr>
            <w:tcW w:w="835" w:type="dxa"/>
            <w:vAlign w:val="center"/>
          </w:tcPr>
          <w:p>
            <w:pPr>
              <w:jc w:val="center"/>
            </w:pPr>
            <w:r>
              <w:rPr>
                <w:sz w:val="24"/>
              </w:rPr>
              <w:t>2021-02-24</w:t>
            </w:r>
          </w:p>
        </w:tc>
        <w:tc>
          <w:tcPr>
            <w:tcW w:w="834" w:type="dxa"/>
            <w:vAlign w:val="center"/>
          </w:tcPr>
          <w:p>
            <w:pPr>
              <w:jc w:val="center"/>
            </w:pPr>
            <w:r>
              <w:rPr>
                <w:sz w:val="24"/>
              </w:rPr>
              <w:t>限售股</w:t>
            </w:r>
          </w:p>
        </w:tc>
        <w:tc>
          <w:tcPr>
            <w:tcW w:w="835" w:type="dxa"/>
            <w:vAlign w:val="center"/>
          </w:tcPr>
          <w:p>
            <w:pPr>
              <w:jc w:val="right"/>
            </w:pPr>
            <w:r>
              <w:rPr>
                <w:sz w:val="24"/>
              </w:rPr>
              <w:t>138.02</w:t>
            </w:r>
          </w:p>
        </w:tc>
        <w:tc>
          <w:tcPr>
            <w:tcW w:w="834" w:type="dxa"/>
            <w:vAlign w:val="center"/>
          </w:tcPr>
          <w:p>
            <w:pPr>
              <w:jc w:val="right"/>
            </w:pPr>
            <w:r>
              <w:rPr>
                <w:sz w:val="24"/>
              </w:rPr>
              <w:t>126.67</w:t>
            </w:r>
          </w:p>
        </w:tc>
        <w:tc>
          <w:tcPr>
            <w:tcW w:w="835" w:type="dxa"/>
            <w:vAlign w:val="center"/>
          </w:tcPr>
          <w:p>
            <w:pPr>
              <w:jc w:val="right"/>
            </w:pPr>
            <w:r>
              <w:rPr>
                <w:sz w:val="24"/>
              </w:rPr>
              <w:t>121</w:t>
            </w:r>
          </w:p>
        </w:tc>
        <w:tc>
          <w:tcPr>
            <w:tcW w:w="834" w:type="dxa"/>
            <w:vAlign w:val="center"/>
          </w:tcPr>
          <w:p>
            <w:pPr>
              <w:jc w:val="right"/>
            </w:pPr>
            <w:r>
              <w:rPr>
                <w:sz w:val="24"/>
              </w:rPr>
              <w:t>16,700.42</w:t>
            </w:r>
          </w:p>
        </w:tc>
        <w:tc>
          <w:tcPr>
            <w:tcW w:w="835" w:type="dxa"/>
            <w:vAlign w:val="center"/>
          </w:tcPr>
          <w:p>
            <w:pPr>
              <w:jc w:val="right"/>
            </w:pPr>
            <w:r>
              <w:rPr>
                <w:sz w:val="24"/>
              </w:rPr>
              <w:t>15,327.07</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300861</w:t>
            </w:r>
          </w:p>
        </w:tc>
        <w:tc>
          <w:tcPr>
            <w:tcW w:w="835" w:type="dxa"/>
            <w:vAlign w:val="center"/>
          </w:tcPr>
          <w:p>
            <w:pPr>
              <w:jc w:val="center"/>
            </w:pPr>
            <w:r>
              <w:rPr>
                <w:sz w:val="24"/>
              </w:rPr>
              <w:t>美畅股份</w:t>
            </w:r>
          </w:p>
        </w:tc>
        <w:tc>
          <w:tcPr>
            <w:tcW w:w="834" w:type="dxa"/>
            <w:vAlign w:val="center"/>
          </w:tcPr>
          <w:p>
            <w:pPr>
              <w:jc w:val="center"/>
            </w:pPr>
            <w:r>
              <w:rPr>
                <w:sz w:val="24"/>
              </w:rPr>
              <w:t>2020-08-06</w:t>
            </w:r>
          </w:p>
        </w:tc>
        <w:tc>
          <w:tcPr>
            <w:tcW w:w="835" w:type="dxa"/>
            <w:vAlign w:val="center"/>
          </w:tcPr>
          <w:p>
            <w:pPr>
              <w:jc w:val="center"/>
            </w:pPr>
            <w:r>
              <w:rPr>
                <w:sz w:val="24"/>
              </w:rPr>
              <w:t>2021-02-24</w:t>
            </w:r>
          </w:p>
        </w:tc>
        <w:tc>
          <w:tcPr>
            <w:tcW w:w="834" w:type="dxa"/>
            <w:vAlign w:val="center"/>
          </w:tcPr>
          <w:p>
            <w:pPr>
              <w:jc w:val="center"/>
            </w:pPr>
            <w:r>
              <w:rPr>
                <w:sz w:val="24"/>
              </w:rPr>
              <w:t>限售股</w:t>
            </w:r>
          </w:p>
        </w:tc>
        <w:tc>
          <w:tcPr>
            <w:tcW w:w="835" w:type="dxa"/>
            <w:vAlign w:val="center"/>
          </w:tcPr>
          <w:p>
            <w:pPr>
              <w:jc w:val="right"/>
            </w:pPr>
            <w:r>
              <w:rPr>
                <w:sz w:val="24"/>
              </w:rPr>
              <w:t>43.76</w:t>
            </w:r>
          </w:p>
        </w:tc>
        <w:tc>
          <w:tcPr>
            <w:tcW w:w="834" w:type="dxa"/>
            <w:vAlign w:val="center"/>
          </w:tcPr>
          <w:p>
            <w:pPr>
              <w:jc w:val="right"/>
            </w:pPr>
            <w:r>
              <w:rPr>
                <w:sz w:val="24"/>
              </w:rPr>
              <w:t>51.10</w:t>
            </w:r>
          </w:p>
        </w:tc>
        <w:tc>
          <w:tcPr>
            <w:tcW w:w="835" w:type="dxa"/>
            <w:vAlign w:val="center"/>
          </w:tcPr>
          <w:p>
            <w:pPr>
              <w:jc w:val="right"/>
            </w:pPr>
            <w:r>
              <w:rPr>
                <w:sz w:val="24"/>
              </w:rPr>
              <w:t>358</w:t>
            </w:r>
          </w:p>
        </w:tc>
        <w:tc>
          <w:tcPr>
            <w:tcW w:w="834" w:type="dxa"/>
            <w:vAlign w:val="center"/>
          </w:tcPr>
          <w:p>
            <w:pPr>
              <w:jc w:val="right"/>
            </w:pPr>
            <w:r>
              <w:rPr>
                <w:sz w:val="24"/>
              </w:rPr>
              <w:t>15,666.08</w:t>
            </w:r>
          </w:p>
        </w:tc>
        <w:tc>
          <w:tcPr>
            <w:tcW w:w="835" w:type="dxa"/>
            <w:vAlign w:val="center"/>
          </w:tcPr>
          <w:p>
            <w:pPr>
              <w:jc w:val="right"/>
            </w:pPr>
            <w:r>
              <w:rPr>
                <w:sz w:val="24"/>
              </w:rPr>
              <w:t>18,293.80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300864</w:t>
            </w:r>
          </w:p>
        </w:tc>
        <w:tc>
          <w:tcPr>
            <w:tcW w:w="835" w:type="dxa"/>
            <w:vAlign w:val="center"/>
          </w:tcPr>
          <w:p>
            <w:pPr>
              <w:jc w:val="center"/>
            </w:pPr>
            <w:r>
              <w:rPr>
                <w:sz w:val="24"/>
              </w:rPr>
              <w:t>南大环境</w:t>
            </w:r>
          </w:p>
        </w:tc>
        <w:tc>
          <w:tcPr>
            <w:tcW w:w="834" w:type="dxa"/>
            <w:vAlign w:val="center"/>
          </w:tcPr>
          <w:p>
            <w:pPr>
              <w:jc w:val="center"/>
            </w:pPr>
            <w:r>
              <w:rPr>
                <w:sz w:val="24"/>
              </w:rPr>
              <w:t>2020-08-13</w:t>
            </w:r>
          </w:p>
        </w:tc>
        <w:tc>
          <w:tcPr>
            <w:tcW w:w="835" w:type="dxa"/>
            <w:vAlign w:val="center"/>
          </w:tcPr>
          <w:p>
            <w:pPr>
              <w:jc w:val="center"/>
            </w:pPr>
            <w:r>
              <w:rPr>
                <w:sz w:val="24"/>
              </w:rPr>
              <w:t>2021-02-25</w:t>
            </w:r>
          </w:p>
        </w:tc>
        <w:tc>
          <w:tcPr>
            <w:tcW w:w="834" w:type="dxa"/>
            <w:vAlign w:val="center"/>
          </w:tcPr>
          <w:p>
            <w:pPr>
              <w:jc w:val="center"/>
            </w:pPr>
            <w:r>
              <w:rPr>
                <w:sz w:val="24"/>
              </w:rPr>
              <w:t>限售股</w:t>
            </w:r>
          </w:p>
        </w:tc>
        <w:tc>
          <w:tcPr>
            <w:tcW w:w="835" w:type="dxa"/>
            <w:vAlign w:val="center"/>
          </w:tcPr>
          <w:p>
            <w:pPr>
              <w:jc w:val="right"/>
            </w:pPr>
            <w:r>
              <w:rPr>
                <w:sz w:val="24"/>
              </w:rPr>
              <w:t>71.71</w:t>
            </w:r>
          </w:p>
        </w:tc>
        <w:tc>
          <w:tcPr>
            <w:tcW w:w="834" w:type="dxa"/>
            <w:vAlign w:val="center"/>
          </w:tcPr>
          <w:p>
            <w:pPr>
              <w:jc w:val="right"/>
            </w:pPr>
            <w:r>
              <w:rPr>
                <w:sz w:val="24"/>
              </w:rPr>
              <w:t>90.85</w:t>
            </w:r>
          </w:p>
        </w:tc>
        <w:tc>
          <w:tcPr>
            <w:tcW w:w="835" w:type="dxa"/>
            <w:vAlign w:val="center"/>
          </w:tcPr>
          <w:p>
            <w:pPr>
              <w:jc w:val="right"/>
            </w:pPr>
            <w:r>
              <w:rPr>
                <w:sz w:val="24"/>
              </w:rPr>
              <w:t>141</w:t>
            </w:r>
          </w:p>
        </w:tc>
        <w:tc>
          <w:tcPr>
            <w:tcW w:w="834" w:type="dxa"/>
            <w:vAlign w:val="center"/>
          </w:tcPr>
          <w:p>
            <w:pPr>
              <w:jc w:val="right"/>
            </w:pPr>
            <w:r>
              <w:rPr>
                <w:sz w:val="24"/>
              </w:rPr>
              <w:t>10,111.11</w:t>
            </w:r>
          </w:p>
        </w:tc>
        <w:tc>
          <w:tcPr>
            <w:tcW w:w="835" w:type="dxa"/>
            <w:vAlign w:val="center"/>
          </w:tcPr>
          <w:p>
            <w:pPr>
              <w:jc w:val="right"/>
            </w:pPr>
            <w:r>
              <w:rPr>
                <w:sz w:val="24"/>
              </w:rPr>
              <w:t>12,809.85</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300868</w:t>
            </w:r>
          </w:p>
        </w:tc>
        <w:tc>
          <w:tcPr>
            <w:tcW w:w="835" w:type="dxa"/>
            <w:vAlign w:val="center"/>
          </w:tcPr>
          <w:p>
            <w:pPr>
              <w:jc w:val="center"/>
            </w:pPr>
            <w:r>
              <w:rPr>
                <w:sz w:val="24"/>
              </w:rPr>
              <w:t>杰美特</w:t>
            </w:r>
          </w:p>
        </w:tc>
        <w:tc>
          <w:tcPr>
            <w:tcW w:w="834" w:type="dxa"/>
            <w:vAlign w:val="center"/>
          </w:tcPr>
          <w:p>
            <w:pPr>
              <w:jc w:val="center"/>
            </w:pPr>
            <w:r>
              <w:rPr>
                <w:sz w:val="24"/>
              </w:rPr>
              <w:t>2020-08-12</w:t>
            </w:r>
          </w:p>
        </w:tc>
        <w:tc>
          <w:tcPr>
            <w:tcW w:w="835" w:type="dxa"/>
            <w:vAlign w:val="center"/>
          </w:tcPr>
          <w:p>
            <w:pPr>
              <w:jc w:val="center"/>
            </w:pPr>
            <w:r>
              <w:rPr>
                <w:sz w:val="24"/>
              </w:rPr>
              <w:t>2021-02-24</w:t>
            </w:r>
          </w:p>
        </w:tc>
        <w:tc>
          <w:tcPr>
            <w:tcW w:w="834" w:type="dxa"/>
            <w:vAlign w:val="center"/>
          </w:tcPr>
          <w:p>
            <w:pPr>
              <w:jc w:val="center"/>
            </w:pPr>
            <w:r>
              <w:rPr>
                <w:sz w:val="24"/>
              </w:rPr>
              <w:t>限售股</w:t>
            </w:r>
          </w:p>
        </w:tc>
        <w:tc>
          <w:tcPr>
            <w:tcW w:w="835" w:type="dxa"/>
            <w:vAlign w:val="center"/>
          </w:tcPr>
          <w:p>
            <w:pPr>
              <w:jc w:val="right"/>
            </w:pPr>
            <w:r>
              <w:rPr>
                <w:sz w:val="24"/>
              </w:rPr>
              <w:t>41.26</w:t>
            </w:r>
          </w:p>
        </w:tc>
        <w:tc>
          <w:tcPr>
            <w:tcW w:w="834" w:type="dxa"/>
            <w:vAlign w:val="center"/>
          </w:tcPr>
          <w:p>
            <w:pPr>
              <w:jc w:val="right"/>
            </w:pPr>
            <w:r>
              <w:rPr>
                <w:sz w:val="24"/>
              </w:rPr>
              <w:t>43.28</w:t>
            </w:r>
          </w:p>
        </w:tc>
        <w:tc>
          <w:tcPr>
            <w:tcW w:w="835" w:type="dxa"/>
            <w:vAlign w:val="center"/>
          </w:tcPr>
          <w:p>
            <w:pPr>
              <w:jc w:val="right"/>
            </w:pPr>
            <w:r>
              <w:rPr>
                <w:sz w:val="24"/>
              </w:rPr>
              <w:t>307</w:t>
            </w:r>
          </w:p>
        </w:tc>
        <w:tc>
          <w:tcPr>
            <w:tcW w:w="834" w:type="dxa"/>
            <w:vAlign w:val="center"/>
          </w:tcPr>
          <w:p>
            <w:pPr>
              <w:jc w:val="right"/>
            </w:pPr>
            <w:r>
              <w:rPr>
                <w:sz w:val="24"/>
              </w:rPr>
              <w:t>12,666.82</w:t>
            </w:r>
          </w:p>
        </w:tc>
        <w:tc>
          <w:tcPr>
            <w:tcW w:w="835" w:type="dxa"/>
            <w:vAlign w:val="center"/>
          </w:tcPr>
          <w:p>
            <w:pPr>
              <w:jc w:val="right"/>
            </w:pPr>
            <w:r>
              <w:rPr>
                <w:sz w:val="24"/>
              </w:rPr>
              <w:t>13,286.96</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300869</w:t>
            </w:r>
          </w:p>
        </w:tc>
        <w:tc>
          <w:tcPr>
            <w:tcW w:w="835" w:type="dxa"/>
            <w:vAlign w:val="center"/>
          </w:tcPr>
          <w:p>
            <w:pPr>
              <w:jc w:val="center"/>
            </w:pPr>
            <w:r>
              <w:rPr>
                <w:sz w:val="24"/>
              </w:rPr>
              <w:t>康泰医学</w:t>
            </w:r>
          </w:p>
        </w:tc>
        <w:tc>
          <w:tcPr>
            <w:tcW w:w="834" w:type="dxa"/>
            <w:vAlign w:val="center"/>
          </w:tcPr>
          <w:p>
            <w:pPr>
              <w:jc w:val="center"/>
            </w:pPr>
            <w:r>
              <w:rPr>
                <w:sz w:val="24"/>
              </w:rPr>
              <w:t>2020-08-12</w:t>
            </w:r>
          </w:p>
        </w:tc>
        <w:tc>
          <w:tcPr>
            <w:tcW w:w="835" w:type="dxa"/>
            <w:vAlign w:val="center"/>
          </w:tcPr>
          <w:p>
            <w:pPr>
              <w:jc w:val="center"/>
            </w:pPr>
            <w:r>
              <w:rPr>
                <w:sz w:val="24"/>
              </w:rPr>
              <w:t>2021-02-24</w:t>
            </w:r>
          </w:p>
        </w:tc>
        <w:tc>
          <w:tcPr>
            <w:tcW w:w="834" w:type="dxa"/>
            <w:vAlign w:val="center"/>
          </w:tcPr>
          <w:p>
            <w:pPr>
              <w:jc w:val="center"/>
            </w:pPr>
            <w:r>
              <w:rPr>
                <w:sz w:val="24"/>
              </w:rPr>
              <w:t>限售股</w:t>
            </w:r>
          </w:p>
        </w:tc>
        <w:tc>
          <w:tcPr>
            <w:tcW w:w="835" w:type="dxa"/>
            <w:vAlign w:val="center"/>
          </w:tcPr>
          <w:p>
            <w:pPr>
              <w:jc w:val="right"/>
            </w:pPr>
            <w:r>
              <w:rPr>
                <w:sz w:val="24"/>
              </w:rPr>
              <w:t>10.16</w:t>
            </w:r>
          </w:p>
        </w:tc>
        <w:tc>
          <w:tcPr>
            <w:tcW w:w="834" w:type="dxa"/>
            <w:vAlign w:val="center"/>
          </w:tcPr>
          <w:p>
            <w:pPr>
              <w:jc w:val="right"/>
            </w:pPr>
            <w:r>
              <w:rPr>
                <w:sz w:val="24"/>
              </w:rPr>
              <w:t>110.88</w:t>
            </w:r>
          </w:p>
        </w:tc>
        <w:tc>
          <w:tcPr>
            <w:tcW w:w="835" w:type="dxa"/>
            <w:vAlign w:val="center"/>
          </w:tcPr>
          <w:p>
            <w:pPr>
              <w:jc w:val="right"/>
            </w:pPr>
            <w:r>
              <w:rPr>
                <w:sz w:val="24"/>
              </w:rPr>
              <w:t>862</w:t>
            </w:r>
          </w:p>
        </w:tc>
        <w:tc>
          <w:tcPr>
            <w:tcW w:w="834" w:type="dxa"/>
            <w:vAlign w:val="center"/>
          </w:tcPr>
          <w:p>
            <w:pPr>
              <w:jc w:val="right"/>
            </w:pPr>
            <w:r>
              <w:rPr>
                <w:sz w:val="24"/>
              </w:rPr>
              <w:t>8,757.92</w:t>
            </w:r>
          </w:p>
        </w:tc>
        <w:tc>
          <w:tcPr>
            <w:tcW w:w="835" w:type="dxa"/>
            <w:vAlign w:val="center"/>
          </w:tcPr>
          <w:p>
            <w:pPr>
              <w:jc w:val="right"/>
            </w:pPr>
            <w:r>
              <w:rPr>
                <w:sz w:val="24"/>
              </w:rPr>
              <w:t>95,578.56</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300870</w:t>
            </w:r>
          </w:p>
        </w:tc>
        <w:tc>
          <w:tcPr>
            <w:tcW w:w="835" w:type="dxa"/>
            <w:vAlign w:val="center"/>
          </w:tcPr>
          <w:p>
            <w:pPr>
              <w:jc w:val="center"/>
            </w:pPr>
            <w:r>
              <w:rPr>
                <w:sz w:val="24"/>
              </w:rPr>
              <w:t>欧陆通</w:t>
            </w:r>
          </w:p>
        </w:tc>
        <w:tc>
          <w:tcPr>
            <w:tcW w:w="834" w:type="dxa"/>
            <w:vAlign w:val="center"/>
          </w:tcPr>
          <w:p>
            <w:pPr>
              <w:jc w:val="center"/>
            </w:pPr>
            <w:r>
              <w:rPr>
                <w:sz w:val="24"/>
              </w:rPr>
              <w:t>2020-08-13</w:t>
            </w:r>
          </w:p>
        </w:tc>
        <w:tc>
          <w:tcPr>
            <w:tcW w:w="835" w:type="dxa"/>
            <w:vAlign w:val="center"/>
          </w:tcPr>
          <w:p>
            <w:pPr>
              <w:jc w:val="center"/>
            </w:pPr>
            <w:r>
              <w:rPr>
                <w:sz w:val="24"/>
              </w:rPr>
              <w:t>2021-02-24</w:t>
            </w:r>
          </w:p>
        </w:tc>
        <w:tc>
          <w:tcPr>
            <w:tcW w:w="834" w:type="dxa"/>
            <w:vAlign w:val="center"/>
          </w:tcPr>
          <w:p>
            <w:pPr>
              <w:jc w:val="center"/>
            </w:pPr>
            <w:r>
              <w:rPr>
                <w:sz w:val="24"/>
              </w:rPr>
              <w:t>限售股</w:t>
            </w:r>
          </w:p>
        </w:tc>
        <w:tc>
          <w:tcPr>
            <w:tcW w:w="835" w:type="dxa"/>
            <w:vAlign w:val="center"/>
          </w:tcPr>
          <w:p>
            <w:pPr>
              <w:jc w:val="right"/>
            </w:pPr>
            <w:r>
              <w:rPr>
                <w:sz w:val="24"/>
              </w:rPr>
              <w:t>36.81</w:t>
            </w:r>
          </w:p>
        </w:tc>
        <w:tc>
          <w:tcPr>
            <w:tcW w:w="834" w:type="dxa"/>
            <w:vAlign w:val="center"/>
          </w:tcPr>
          <w:p>
            <w:pPr>
              <w:jc w:val="right"/>
            </w:pPr>
            <w:r>
              <w:rPr>
                <w:sz w:val="24"/>
              </w:rPr>
              <w:t>65.67</w:t>
            </w:r>
          </w:p>
        </w:tc>
        <w:tc>
          <w:tcPr>
            <w:tcW w:w="835" w:type="dxa"/>
            <w:vAlign w:val="center"/>
          </w:tcPr>
          <w:p>
            <w:pPr>
              <w:jc w:val="right"/>
            </w:pPr>
            <w:r>
              <w:rPr>
                <w:sz w:val="24"/>
              </w:rPr>
              <w:t>478</w:t>
            </w:r>
          </w:p>
        </w:tc>
        <w:tc>
          <w:tcPr>
            <w:tcW w:w="834" w:type="dxa"/>
            <w:vAlign w:val="center"/>
          </w:tcPr>
          <w:p>
            <w:pPr>
              <w:jc w:val="right"/>
            </w:pPr>
            <w:r>
              <w:rPr>
                <w:sz w:val="24"/>
              </w:rPr>
              <w:t>17,595.18</w:t>
            </w:r>
          </w:p>
        </w:tc>
        <w:tc>
          <w:tcPr>
            <w:tcW w:w="835" w:type="dxa"/>
            <w:vAlign w:val="center"/>
          </w:tcPr>
          <w:p>
            <w:pPr>
              <w:jc w:val="right"/>
            </w:pPr>
            <w:r>
              <w:rPr>
                <w:sz w:val="24"/>
              </w:rPr>
              <w:t>31,390.26</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300872</w:t>
            </w:r>
          </w:p>
        </w:tc>
        <w:tc>
          <w:tcPr>
            <w:tcW w:w="835" w:type="dxa"/>
            <w:vAlign w:val="center"/>
          </w:tcPr>
          <w:p>
            <w:pPr>
              <w:jc w:val="center"/>
            </w:pPr>
            <w:r>
              <w:rPr>
                <w:sz w:val="24"/>
              </w:rPr>
              <w:t>天阳科技</w:t>
            </w:r>
          </w:p>
        </w:tc>
        <w:tc>
          <w:tcPr>
            <w:tcW w:w="834" w:type="dxa"/>
            <w:vAlign w:val="center"/>
          </w:tcPr>
          <w:p>
            <w:pPr>
              <w:jc w:val="center"/>
            </w:pPr>
            <w:r>
              <w:rPr>
                <w:sz w:val="24"/>
              </w:rPr>
              <w:t>2020-08-14</w:t>
            </w:r>
          </w:p>
        </w:tc>
        <w:tc>
          <w:tcPr>
            <w:tcW w:w="835" w:type="dxa"/>
            <w:vAlign w:val="center"/>
          </w:tcPr>
          <w:p>
            <w:pPr>
              <w:jc w:val="center"/>
            </w:pPr>
            <w:r>
              <w:rPr>
                <w:sz w:val="24"/>
              </w:rPr>
              <w:t>2021-02-25</w:t>
            </w:r>
          </w:p>
        </w:tc>
        <w:tc>
          <w:tcPr>
            <w:tcW w:w="834" w:type="dxa"/>
            <w:vAlign w:val="center"/>
          </w:tcPr>
          <w:p>
            <w:pPr>
              <w:jc w:val="center"/>
            </w:pPr>
            <w:r>
              <w:rPr>
                <w:sz w:val="24"/>
              </w:rPr>
              <w:t>限售股</w:t>
            </w:r>
          </w:p>
        </w:tc>
        <w:tc>
          <w:tcPr>
            <w:tcW w:w="835" w:type="dxa"/>
            <w:vAlign w:val="center"/>
          </w:tcPr>
          <w:p>
            <w:pPr>
              <w:jc w:val="right"/>
            </w:pPr>
            <w:r>
              <w:rPr>
                <w:sz w:val="24"/>
              </w:rPr>
              <w:t>21.34</w:t>
            </w:r>
          </w:p>
        </w:tc>
        <w:tc>
          <w:tcPr>
            <w:tcW w:w="834" w:type="dxa"/>
            <w:vAlign w:val="center"/>
          </w:tcPr>
          <w:p>
            <w:pPr>
              <w:jc w:val="right"/>
            </w:pPr>
            <w:r>
              <w:rPr>
                <w:sz w:val="24"/>
              </w:rPr>
              <w:t>37.84</w:t>
            </w:r>
          </w:p>
        </w:tc>
        <w:tc>
          <w:tcPr>
            <w:tcW w:w="835" w:type="dxa"/>
            <w:vAlign w:val="center"/>
          </w:tcPr>
          <w:p>
            <w:pPr>
              <w:jc w:val="right"/>
            </w:pPr>
            <w:r>
              <w:rPr>
                <w:sz w:val="24"/>
              </w:rPr>
              <w:t>556</w:t>
            </w:r>
          </w:p>
        </w:tc>
        <w:tc>
          <w:tcPr>
            <w:tcW w:w="834" w:type="dxa"/>
            <w:vAlign w:val="center"/>
          </w:tcPr>
          <w:p>
            <w:pPr>
              <w:jc w:val="right"/>
            </w:pPr>
            <w:r>
              <w:rPr>
                <w:sz w:val="24"/>
              </w:rPr>
              <w:t>11,865.04</w:t>
            </w:r>
          </w:p>
        </w:tc>
        <w:tc>
          <w:tcPr>
            <w:tcW w:w="835" w:type="dxa"/>
            <w:vAlign w:val="center"/>
          </w:tcPr>
          <w:p>
            <w:pPr>
              <w:jc w:val="right"/>
            </w:pPr>
            <w:r>
              <w:rPr>
                <w:sz w:val="24"/>
              </w:rPr>
              <w:t>21,039.04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300873</w:t>
            </w:r>
          </w:p>
        </w:tc>
        <w:tc>
          <w:tcPr>
            <w:tcW w:w="835" w:type="dxa"/>
            <w:vAlign w:val="center"/>
          </w:tcPr>
          <w:p>
            <w:pPr>
              <w:jc w:val="center"/>
            </w:pPr>
            <w:r>
              <w:rPr>
                <w:sz w:val="24"/>
              </w:rPr>
              <w:t>海晨股份</w:t>
            </w:r>
          </w:p>
        </w:tc>
        <w:tc>
          <w:tcPr>
            <w:tcW w:w="834" w:type="dxa"/>
            <w:vAlign w:val="center"/>
          </w:tcPr>
          <w:p>
            <w:pPr>
              <w:jc w:val="center"/>
            </w:pPr>
            <w:r>
              <w:rPr>
                <w:sz w:val="24"/>
              </w:rPr>
              <w:t>2020-08-14</w:t>
            </w:r>
          </w:p>
        </w:tc>
        <w:tc>
          <w:tcPr>
            <w:tcW w:w="835" w:type="dxa"/>
            <w:vAlign w:val="center"/>
          </w:tcPr>
          <w:p>
            <w:pPr>
              <w:jc w:val="center"/>
            </w:pPr>
            <w:r>
              <w:rPr>
                <w:sz w:val="24"/>
              </w:rPr>
              <w:t>2021-03-02</w:t>
            </w:r>
          </w:p>
        </w:tc>
        <w:tc>
          <w:tcPr>
            <w:tcW w:w="834" w:type="dxa"/>
            <w:vAlign w:val="center"/>
          </w:tcPr>
          <w:p>
            <w:pPr>
              <w:jc w:val="center"/>
            </w:pPr>
            <w:r>
              <w:rPr>
                <w:sz w:val="24"/>
              </w:rPr>
              <w:t>限售股</w:t>
            </w:r>
          </w:p>
        </w:tc>
        <w:tc>
          <w:tcPr>
            <w:tcW w:w="835" w:type="dxa"/>
            <w:vAlign w:val="center"/>
          </w:tcPr>
          <w:p>
            <w:pPr>
              <w:jc w:val="right"/>
            </w:pPr>
            <w:r>
              <w:rPr>
                <w:sz w:val="24"/>
              </w:rPr>
              <w:t>30.72</w:t>
            </w:r>
          </w:p>
        </w:tc>
        <w:tc>
          <w:tcPr>
            <w:tcW w:w="834" w:type="dxa"/>
            <w:vAlign w:val="center"/>
          </w:tcPr>
          <w:p>
            <w:pPr>
              <w:jc w:val="right"/>
            </w:pPr>
            <w:r>
              <w:rPr>
                <w:sz w:val="24"/>
              </w:rPr>
              <w:t>41.32</w:t>
            </w:r>
          </w:p>
        </w:tc>
        <w:tc>
          <w:tcPr>
            <w:tcW w:w="835" w:type="dxa"/>
            <w:vAlign w:val="center"/>
          </w:tcPr>
          <w:p>
            <w:pPr>
              <w:jc w:val="right"/>
            </w:pPr>
            <w:r>
              <w:rPr>
                <w:sz w:val="24"/>
              </w:rPr>
              <w:t>312</w:t>
            </w:r>
          </w:p>
        </w:tc>
        <w:tc>
          <w:tcPr>
            <w:tcW w:w="834" w:type="dxa"/>
            <w:vAlign w:val="center"/>
          </w:tcPr>
          <w:p>
            <w:pPr>
              <w:jc w:val="right"/>
            </w:pPr>
            <w:r>
              <w:rPr>
                <w:sz w:val="24"/>
              </w:rPr>
              <w:t>9,584.64</w:t>
            </w:r>
          </w:p>
        </w:tc>
        <w:tc>
          <w:tcPr>
            <w:tcW w:w="835" w:type="dxa"/>
            <w:vAlign w:val="center"/>
          </w:tcPr>
          <w:p>
            <w:pPr>
              <w:jc w:val="right"/>
            </w:pPr>
            <w:r>
              <w:rPr>
                <w:sz w:val="24"/>
              </w:rPr>
              <w:t>12,891.84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300876</w:t>
            </w:r>
          </w:p>
        </w:tc>
        <w:tc>
          <w:tcPr>
            <w:tcW w:w="835" w:type="dxa"/>
            <w:vAlign w:val="center"/>
          </w:tcPr>
          <w:p>
            <w:pPr>
              <w:jc w:val="center"/>
            </w:pPr>
            <w:r>
              <w:rPr>
                <w:sz w:val="24"/>
              </w:rPr>
              <w:t>蒙泰高新</w:t>
            </w:r>
          </w:p>
        </w:tc>
        <w:tc>
          <w:tcPr>
            <w:tcW w:w="834" w:type="dxa"/>
            <w:vAlign w:val="center"/>
          </w:tcPr>
          <w:p>
            <w:pPr>
              <w:jc w:val="center"/>
            </w:pPr>
            <w:r>
              <w:rPr>
                <w:sz w:val="24"/>
              </w:rPr>
              <w:t>2020-08-14</w:t>
            </w:r>
          </w:p>
        </w:tc>
        <w:tc>
          <w:tcPr>
            <w:tcW w:w="835" w:type="dxa"/>
            <w:vAlign w:val="center"/>
          </w:tcPr>
          <w:p>
            <w:pPr>
              <w:jc w:val="center"/>
            </w:pPr>
            <w:r>
              <w:rPr>
                <w:sz w:val="24"/>
              </w:rPr>
              <w:t>2021-02-25</w:t>
            </w:r>
          </w:p>
        </w:tc>
        <w:tc>
          <w:tcPr>
            <w:tcW w:w="834" w:type="dxa"/>
            <w:vAlign w:val="center"/>
          </w:tcPr>
          <w:p>
            <w:pPr>
              <w:jc w:val="center"/>
            </w:pPr>
            <w:r>
              <w:rPr>
                <w:sz w:val="24"/>
              </w:rPr>
              <w:t>限售股</w:t>
            </w:r>
          </w:p>
        </w:tc>
        <w:tc>
          <w:tcPr>
            <w:tcW w:w="835" w:type="dxa"/>
            <w:vAlign w:val="center"/>
          </w:tcPr>
          <w:p>
            <w:pPr>
              <w:jc w:val="right"/>
            </w:pPr>
            <w:r>
              <w:rPr>
                <w:sz w:val="24"/>
              </w:rPr>
              <w:t>20.09</w:t>
            </w:r>
          </w:p>
        </w:tc>
        <w:tc>
          <w:tcPr>
            <w:tcW w:w="834" w:type="dxa"/>
            <w:vAlign w:val="center"/>
          </w:tcPr>
          <w:p>
            <w:pPr>
              <w:jc w:val="right"/>
            </w:pPr>
            <w:r>
              <w:rPr>
                <w:sz w:val="24"/>
              </w:rPr>
              <w:t>36.62</w:t>
            </w:r>
          </w:p>
        </w:tc>
        <w:tc>
          <w:tcPr>
            <w:tcW w:w="835" w:type="dxa"/>
            <w:vAlign w:val="center"/>
          </w:tcPr>
          <w:p>
            <w:pPr>
              <w:jc w:val="right"/>
            </w:pPr>
            <w:r>
              <w:rPr>
                <w:sz w:val="24"/>
              </w:rPr>
              <w:t>350</w:t>
            </w:r>
          </w:p>
        </w:tc>
        <w:tc>
          <w:tcPr>
            <w:tcW w:w="834" w:type="dxa"/>
            <w:vAlign w:val="center"/>
          </w:tcPr>
          <w:p>
            <w:pPr>
              <w:jc w:val="right"/>
            </w:pPr>
            <w:r>
              <w:rPr>
                <w:sz w:val="24"/>
              </w:rPr>
              <w:t>7,031.50</w:t>
            </w:r>
          </w:p>
        </w:tc>
        <w:tc>
          <w:tcPr>
            <w:tcW w:w="835" w:type="dxa"/>
            <w:vAlign w:val="center"/>
          </w:tcPr>
          <w:p>
            <w:pPr>
              <w:jc w:val="right"/>
            </w:pPr>
            <w:r>
              <w:rPr>
                <w:sz w:val="24"/>
              </w:rPr>
              <w:t>12,817.00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300877</w:t>
            </w:r>
          </w:p>
        </w:tc>
        <w:tc>
          <w:tcPr>
            <w:tcW w:w="835" w:type="dxa"/>
            <w:vAlign w:val="center"/>
          </w:tcPr>
          <w:p>
            <w:pPr>
              <w:jc w:val="center"/>
            </w:pPr>
            <w:r>
              <w:rPr>
                <w:sz w:val="24"/>
              </w:rPr>
              <w:t>金春股份</w:t>
            </w:r>
          </w:p>
        </w:tc>
        <w:tc>
          <w:tcPr>
            <w:tcW w:w="834" w:type="dxa"/>
            <w:vAlign w:val="center"/>
          </w:tcPr>
          <w:p>
            <w:pPr>
              <w:jc w:val="center"/>
            </w:pPr>
            <w:r>
              <w:rPr>
                <w:sz w:val="24"/>
              </w:rPr>
              <w:t>2020-08-17</w:t>
            </w:r>
          </w:p>
        </w:tc>
        <w:tc>
          <w:tcPr>
            <w:tcW w:w="835" w:type="dxa"/>
            <w:vAlign w:val="center"/>
          </w:tcPr>
          <w:p>
            <w:pPr>
              <w:jc w:val="center"/>
            </w:pPr>
            <w:r>
              <w:rPr>
                <w:sz w:val="24"/>
              </w:rPr>
              <w:t>2021-03-03</w:t>
            </w:r>
          </w:p>
        </w:tc>
        <w:tc>
          <w:tcPr>
            <w:tcW w:w="834" w:type="dxa"/>
            <w:vAlign w:val="center"/>
          </w:tcPr>
          <w:p>
            <w:pPr>
              <w:jc w:val="center"/>
            </w:pPr>
            <w:r>
              <w:rPr>
                <w:sz w:val="24"/>
              </w:rPr>
              <w:t>限售股</w:t>
            </w:r>
          </w:p>
        </w:tc>
        <w:tc>
          <w:tcPr>
            <w:tcW w:w="835" w:type="dxa"/>
            <w:vAlign w:val="center"/>
          </w:tcPr>
          <w:p>
            <w:pPr>
              <w:jc w:val="right"/>
            </w:pPr>
            <w:r>
              <w:rPr>
                <w:sz w:val="24"/>
              </w:rPr>
              <w:t>30.54</w:t>
            </w:r>
          </w:p>
        </w:tc>
        <w:tc>
          <w:tcPr>
            <w:tcW w:w="834" w:type="dxa"/>
            <w:vAlign w:val="center"/>
          </w:tcPr>
          <w:p>
            <w:pPr>
              <w:jc w:val="right"/>
            </w:pPr>
            <w:r>
              <w:rPr>
                <w:sz w:val="24"/>
              </w:rPr>
              <w:t>50.85</w:t>
            </w:r>
          </w:p>
        </w:tc>
        <w:tc>
          <w:tcPr>
            <w:tcW w:w="835" w:type="dxa"/>
            <w:vAlign w:val="center"/>
          </w:tcPr>
          <w:p>
            <w:pPr>
              <w:jc w:val="right"/>
            </w:pPr>
            <w:r>
              <w:rPr>
                <w:sz w:val="24"/>
              </w:rPr>
              <w:t>404</w:t>
            </w:r>
          </w:p>
        </w:tc>
        <w:tc>
          <w:tcPr>
            <w:tcW w:w="834" w:type="dxa"/>
            <w:vAlign w:val="center"/>
          </w:tcPr>
          <w:p>
            <w:pPr>
              <w:jc w:val="right"/>
            </w:pPr>
            <w:r>
              <w:rPr>
                <w:sz w:val="24"/>
              </w:rPr>
              <w:t>12,338.16</w:t>
            </w:r>
          </w:p>
        </w:tc>
        <w:tc>
          <w:tcPr>
            <w:tcW w:w="835" w:type="dxa"/>
            <w:vAlign w:val="center"/>
          </w:tcPr>
          <w:p>
            <w:pPr>
              <w:jc w:val="right"/>
            </w:pPr>
            <w:r>
              <w:rPr>
                <w:sz w:val="24"/>
              </w:rPr>
              <w:t>20,543.40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300878</w:t>
            </w:r>
          </w:p>
        </w:tc>
        <w:tc>
          <w:tcPr>
            <w:tcW w:w="835" w:type="dxa"/>
            <w:vAlign w:val="center"/>
          </w:tcPr>
          <w:p>
            <w:pPr>
              <w:jc w:val="center"/>
            </w:pPr>
            <w:r>
              <w:rPr>
                <w:sz w:val="24"/>
              </w:rPr>
              <w:t>维康药业</w:t>
            </w:r>
          </w:p>
        </w:tc>
        <w:tc>
          <w:tcPr>
            <w:tcW w:w="834" w:type="dxa"/>
            <w:vAlign w:val="center"/>
          </w:tcPr>
          <w:p>
            <w:pPr>
              <w:jc w:val="center"/>
            </w:pPr>
            <w:r>
              <w:rPr>
                <w:sz w:val="24"/>
              </w:rPr>
              <w:t>2020-08-17</w:t>
            </w:r>
          </w:p>
        </w:tc>
        <w:tc>
          <w:tcPr>
            <w:tcW w:w="835" w:type="dxa"/>
            <w:vAlign w:val="center"/>
          </w:tcPr>
          <w:p>
            <w:pPr>
              <w:jc w:val="center"/>
            </w:pPr>
            <w:r>
              <w:rPr>
                <w:sz w:val="24"/>
              </w:rPr>
              <w:t>2021-03-03</w:t>
            </w:r>
          </w:p>
        </w:tc>
        <w:tc>
          <w:tcPr>
            <w:tcW w:w="834" w:type="dxa"/>
            <w:vAlign w:val="center"/>
          </w:tcPr>
          <w:p>
            <w:pPr>
              <w:jc w:val="center"/>
            </w:pPr>
            <w:r>
              <w:rPr>
                <w:sz w:val="24"/>
              </w:rPr>
              <w:t>限售股</w:t>
            </w:r>
          </w:p>
        </w:tc>
        <w:tc>
          <w:tcPr>
            <w:tcW w:w="835" w:type="dxa"/>
            <w:vAlign w:val="center"/>
          </w:tcPr>
          <w:p>
            <w:pPr>
              <w:jc w:val="right"/>
            </w:pPr>
            <w:r>
              <w:rPr>
                <w:sz w:val="24"/>
              </w:rPr>
              <w:t>41.34</w:t>
            </w:r>
          </w:p>
        </w:tc>
        <w:tc>
          <w:tcPr>
            <w:tcW w:w="834" w:type="dxa"/>
            <w:vAlign w:val="center"/>
          </w:tcPr>
          <w:p>
            <w:pPr>
              <w:jc w:val="right"/>
            </w:pPr>
            <w:r>
              <w:rPr>
                <w:sz w:val="24"/>
              </w:rPr>
              <w:t>48.72</w:t>
            </w:r>
          </w:p>
        </w:tc>
        <w:tc>
          <w:tcPr>
            <w:tcW w:w="835" w:type="dxa"/>
            <w:vAlign w:val="center"/>
          </w:tcPr>
          <w:p>
            <w:pPr>
              <w:jc w:val="right"/>
            </w:pPr>
            <w:r>
              <w:rPr>
                <w:sz w:val="24"/>
              </w:rPr>
              <w:t>298</w:t>
            </w:r>
          </w:p>
        </w:tc>
        <w:tc>
          <w:tcPr>
            <w:tcW w:w="834" w:type="dxa"/>
            <w:vAlign w:val="center"/>
          </w:tcPr>
          <w:p>
            <w:pPr>
              <w:jc w:val="right"/>
            </w:pPr>
            <w:r>
              <w:rPr>
                <w:sz w:val="24"/>
              </w:rPr>
              <w:t>12,319.32</w:t>
            </w:r>
          </w:p>
        </w:tc>
        <w:tc>
          <w:tcPr>
            <w:tcW w:w="835" w:type="dxa"/>
            <w:vAlign w:val="center"/>
          </w:tcPr>
          <w:p>
            <w:pPr>
              <w:jc w:val="right"/>
            </w:pPr>
            <w:r>
              <w:rPr>
                <w:sz w:val="24"/>
              </w:rPr>
              <w:t>14,518.56</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300879</w:t>
            </w:r>
          </w:p>
        </w:tc>
        <w:tc>
          <w:tcPr>
            <w:tcW w:w="835" w:type="dxa"/>
            <w:vAlign w:val="center"/>
          </w:tcPr>
          <w:p>
            <w:pPr>
              <w:jc w:val="center"/>
            </w:pPr>
            <w:r>
              <w:rPr>
                <w:sz w:val="24"/>
              </w:rPr>
              <w:t>大叶股份</w:t>
            </w:r>
          </w:p>
        </w:tc>
        <w:tc>
          <w:tcPr>
            <w:tcW w:w="834" w:type="dxa"/>
            <w:vAlign w:val="center"/>
          </w:tcPr>
          <w:p>
            <w:pPr>
              <w:jc w:val="center"/>
            </w:pPr>
            <w:r>
              <w:rPr>
                <w:sz w:val="24"/>
              </w:rPr>
              <w:t>2020-08-25</w:t>
            </w:r>
          </w:p>
        </w:tc>
        <w:tc>
          <w:tcPr>
            <w:tcW w:w="835" w:type="dxa"/>
            <w:vAlign w:val="center"/>
          </w:tcPr>
          <w:p>
            <w:pPr>
              <w:jc w:val="center"/>
            </w:pPr>
            <w:r>
              <w:rPr>
                <w:sz w:val="24"/>
              </w:rPr>
              <w:t>2021-03-01</w:t>
            </w:r>
          </w:p>
        </w:tc>
        <w:tc>
          <w:tcPr>
            <w:tcW w:w="834" w:type="dxa"/>
            <w:vAlign w:val="center"/>
          </w:tcPr>
          <w:p>
            <w:pPr>
              <w:jc w:val="center"/>
            </w:pPr>
            <w:r>
              <w:rPr>
                <w:sz w:val="24"/>
              </w:rPr>
              <w:t>限售股</w:t>
            </w:r>
          </w:p>
        </w:tc>
        <w:tc>
          <w:tcPr>
            <w:tcW w:w="835" w:type="dxa"/>
            <w:vAlign w:val="center"/>
          </w:tcPr>
          <w:p>
            <w:pPr>
              <w:jc w:val="right"/>
            </w:pPr>
            <w:r>
              <w:rPr>
                <w:sz w:val="24"/>
              </w:rPr>
              <w:t>10.58</w:t>
            </w:r>
          </w:p>
        </w:tc>
        <w:tc>
          <w:tcPr>
            <w:tcW w:w="834" w:type="dxa"/>
            <w:vAlign w:val="center"/>
          </w:tcPr>
          <w:p>
            <w:pPr>
              <w:jc w:val="right"/>
            </w:pPr>
            <w:r>
              <w:rPr>
                <w:sz w:val="24"/>
              </w:rPr>
              <w:t>27.12</w:t>
            </w:r>
          </w:p>
        </w:tc>
        <w:tc>
          <w:tcPr>
            <w:tcW w:w="835" w:type="dxa"/>
            <w:vAlign w:val="center"/>
          </w:tcPr>
          <w:p>
            <w:pPr>
              <w:jc w:val="right"/>
            </w:pPr>
            <w:r>
              <w:rPr>
                <w:sz w:val="24"/>
              </w:rPr>
              <w:t>466</w:t>
            </w:r>
          </w:p>
        </w:tc>
        <w:tc>
          <w:tcPr>
            <w:tcW w:w="834" w:type="dxa"/>
            <w:vAlign w:val="center"/>
          </w:tcPr>
          <w:p>
            <w:pPr>
              <w:jc w:val="right"/>
            </w:pPr>
            <w:r>
              <w:rPr>
                <w:sz w:val="24"/>
              </w:rPr>
              <w:t>4,930.28</w:t>
            </w:r>
          </w:p>
        </w:tc>
        <w:tc>
          <w:tcPr>
            <w:tcW w:w="835" w:type="dxa"/>
            <w:vAlign w:val="center"/>
          </w:tcPr>
          <w:p>
            <w:pPr>
              <w:jc w:val="right"/>
            </w:pPr>
            <w:r>
              <w:rPr>
                <w:sz w:val="24"/>
              </w:rPr>
              <w:t>12,637.92</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300881</w:t>
            </w:r>
          </w:p>
        </w:tc>
        <w:tc>
          <w:tcPr>
            <w:tcW w:w="835" w:type="dxa"/>
            <w:vAlign w:val="center"/>
          </w:tcPr>
          <w:p>
            <w:pPr>
              <w:jc w:val="center"/>
            </w:pPr>
            <w:r>
              <w:rPr>
                <w:sz w:val="24"/>
              </w:rPr>
              <w:t>盛德鑫泰</w:t>
            </w:r>
          </w:p>
        </w:tc>
        <w:tc>
          <w:tcPr>
            <w:tcW w:w="834" w:type="dxa"/>
            <w:vAlign w:val="center"/>
          </w:tcPr>
          <w:p>
            <w:pPr>
              <w:jc w:val="center"/>
            </w:pPr>
            <w:r>
              <w:rPr>
                <w:sz w:val="24"/>
              </w:rPr>
              <w:t>2020-08-25</w:t>
            </w:r>
          </w:p>
        </w:tc>
        <w:tc>
          <w:tcPr>
            <w:tcW w:w="835" w:type="dxa"/>
            <w:vAlign w:val="center"/>
          </w:tcPr>
          <w:p>
            <w:pPr>
              <w:jc w:val="center"/>
            </w:pPr>
            <w:r>
              <w:rPr>
                <w:sz w:val="24"/>
              </w:rPr>
              <w:t>2021-03-05</w:t>
            </w:r>
          </w:p>
        </w:tc>
        <w:tc>
          <w:tcPr>
            <w:tcW w:w="834" w:type="dxa"/>
            <w:vAlign w:val="center"/>
          </w:tcPr>
          <w:p>
            <w:pPr>
              <w:jc w:val="center"/>
            </w:pPr>
            <w:r>
              <w:rPr>
                <w:sz w:val="24"/>
              </w:rPr>
              <w:t>限售股</w:t>
            </w:r>
          </w:p>
        </w:tc>
        <w:tc>
          <w:tcPr>
            <w:tcW w:w="835" w:type="dxa"/>
            <w:vAlign w:val="center"/>
          </w:tcPr>
          <w:p>
            <w:pPr>
              <w:jc w:val="right"/>
            </w:pPr>
            <w:r>
              <w:rPr>
                <w:sz w:val="24"/>
              </w:rPr>
              <w:t>14.17</w:t>
            </w:r>
          </w:p>
        </w:tc>
        <w:tc>
          <w:tcPr>
            <w:tcW w:w="834" w:type="dxa"/>
            <w:vAlign w:val="center"/>
          </w:tcPr>
          <w:p>
            <w:pPr>
              <w:jc w:val="right"/>
            </w:pPr>
            <w:r>
              <w:rPr>
                <w:sz w:val="24"/>
              </w:rPr>
              <w:t>32.31</w:t>
            </w:r>
          </w:p>
        </w:tc>
        <w:tc>
          <w:tcPr>
            <w:tcW w:w="835" w:type="dxa"/>
            <w:vAlign w:val="center"/>
          </w:tcPr>
          <w:p>
            <w:pPr>
              <w:jc w:val="right"/>
            </w:pPr>
            <w:r>
              <w:rPr>
                <w:sz w:val="24"/>
              </w:rPr>
              <w:t>291</w:t>
            </w:r>
          </w:p>
        </w:tc>
        <w:tc>
          <w:tcPr>
            <w:tcW w:w="834" w:type="dxa"/>
            <w:vAlign w:val="center"/>
          </w:tcPr>
          <w:p>
            <w:pPr>
              <w:jc w:val="right"/>
            </w:pPr>
            <w:r>
              <w:rPr>
                <w:sz w:val="24"/>
              </w:rPr>
              <w:t>4,123.47</w:t>
            </w:r>
          </w:p>
        </w:tc>
        <w:tc>
          <w:tcPr>
            <w:tcW w:w="835" w:type="dxa"/>
            <w:vAlign w:val="center"/>
          </w:tcPr>
          <w:p>
            <w:pPr>
              <w:jc w:val="right"/>
            </w:pPr>
            <w:r>
              <w:rPr>
                <w:sz w:val="24"/>
              </w:rPr>
              <w:t>9,402.21</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300882</w:t>
            </w:r>
          </w:p>
        </w:tc>
        <w:tc>
          <w:tcPr>
            <w:tcW w:w="835" w:type="dxa"/>
            <w:vAlign w:val="center"/>
          </w:tcPr>
          <w:p>
            <w:pPr>
              <w:jc w:val="center"/>
            </w:pPr>
            <w:r>
              <w:rPr>
                <w:sz w:val="24"/>
              </w:rPr>
              <w:t>万胜智能</w:t>
            </w:r>
          </w:p>
        </w:tc>
        <w:tc>
          <w:tcPr>
            <w:tcW w:w="834" w:type="dxa"/>
            <w:vAlign w:val="center"/>
          </w:tcPr>
          <w:p>
            <w:pPr>
              <w:jc w:val="center"/>
            </w:pPr>
            <w:r>
              <w:rPr>
                <w:sz w:val="24"/>
              </w:rPr>
              <w:t>2020-08-27</w:t>
            </w:r>
          </w:p>
        </w:tc>
        <w:tc>
          <w:tcPr>
            <w:tcW w:w="835" w:type="dxa"/>
            <w:vAlign w:val="center"/>
          </w:tcPr>
          <w:p>
            <w:pPr>
              <w:jc w:val="center"/>
            </w:pPr>
            <w:r>
              <w:rPr>
                <w:sz w:val="24"/>
              </w:rPr>
              <w:t>2021-03-10</w:t>
            </w:r>
          </w:p>
        </w:tc>
        <w:tc>
          <w:tcPr>
            <w:tcW w:w="834" w:type="dxa"/>
            <w:vAlign w:val="center"/>
          </w:tcPr>
          <w:p>
            <w:pPr>
              <w:jc w:val="center"/>
            </w:pPr>
            <w:r>
              <w:rPr>
                <w:sz w:val="24"/>
              </w:rPr>
              <w:t>限售股</w:t>
            </w:r>
          </w:p>
        </w:tc>
        <w:tc>
          <w:tcPr>
            <w:tcW w:w="835" w:type="dxa"/>
            <w:vAlign w:val="center"/>
          </w:tcPr>
          <w:p>
            <w:pPr>
              <w:jc w:val="right"/>
            </w:pPr>
            <w:r>
              <w:rPr>
                <w:sz w:val="24"/>
              </w:rPr>
              <w:t>10.33</w:t>
            </w:r>
          </w:p>
        </w:tc>
        <w:tc>
          <w:tcPr>
            <w:tcW w:w="834" w:type="dxa"/>
            <w:vAlign w:val="center"/>
          </w:tcPr>
          <w:p>
            <w:pPr>
              <w:jc w:val="right"/>
            </w:pPr>
            <w:r>
              <w:rPr>
                <w:sz w:val="24"/>
              </w:rPr>
              <w:t>25.79</w:t>
            </w:r>
          </w:p>
        </w:tc>
        <w:tc>
          <w:tcPr>
            <w:tcW w:w="835" w:type="dxa"/>
            <w:vAlign w:val="center"/>
          </w:tcPr>
          <w:p>
            <w:pPr>
              <w:jc w:val="right"/>
            </w:pPr>
            <w:r>
              <w:rPr>
                <w:sz w:val="24"/>
              </w:rPr>
              <w:t>440</w:t>
            </w:r>
          </w:p>
        </w:tc>
        <w:tc>
          <w:tcPr>
            <w:tcW w:w="834" w:type="dxa"/>
            <w:vAlign w:val="center"/>
          </w:tcPr>
          <w:p>
            <w:pPr>
              <w:jc w:val="right"/>
            </w:pPr>
            <w:r>
              <w:rPr>
                <w:sz w:val="24"/>
              </w:rPr>
              <w:t>4,545.20</w:t>
            </w:r>
          </w:p>
        </w:tc>
        <w:tc>
          <w:tcPr>
            <w:tcW w:w="835" w:type="dxa"/>
            <w:vAlign w:val="center"/>
          </w:tcPr>
          <w:p>
            <w:pPr>
              <w:jc w:val="right"/>
            </w:pPr>
            <w:r>
              <w:rPr>
                <w:sz w:val="24"/>
              </w:rPr>
              <w:t>11,347.60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300884</w:t>
            </w:r>
          </w:p>
        </w:tc>
        <w:tc>
          <w:tcPr>
            <w:tcW w:w="835" w:type="dxa"/>
            <w:vAlign w:val="center"/>
          </w:tcPr>
          <w:p>
            <w:pPr>
              <w:jc w:val="center"/>
            </w:pPr>
            <w:r>
              <w:rPr>
                <w:sz w:val="24"/>
              </w:rPr>
              <w:t>狄耐克</w:t>
            </w:r>
          </w:p>
        </w:tc>
        <w:tc>
          <w:tcPr>
            <w:tcW w:w="834" w:type="dxa"/>
            <w:vAlign w:val="center"/>
          </w:tcPr>
          <w:p>
            <w:pPr>
              <w:jc w:val="center"/>
            </w:pPr>
            <w:r>
              <w:rPr>
                <w:sz w:val="24"/>
              </w:rPr>
              <w:t>2020-11-05</w:t>
            </w:r>
          </w:p>
        </w:tc>
        <w:tc>
          <w:tcPr>
            <w:tcW w:w="835" w:type="dxa"/>
            <w:vAlign w:val="center"/>
          </w:tcPr>
          <w:p>
            <w:pPr>
              <w:jc w:val="center"/>
            </w:pPr>
            <w:r>
              <w:rPr>
                <w:sz w:val="24"/>
              </w:rPr>
              <w:t>2021-05-12</w:t>
            </w:r>
          </w:p>
        </w:tc>
        <w:tc>
          <w:tcPr>
            <w:tcW w:w="834" w:type="dxa"/>
            <w:vAlign w:val="center"/>
          </w:tcPr>
          <w:p>
            <w:pPr>
              <w:jc w:val="center"/>
            </w:pPr>
            <w:r>
              <w:rPr>
                <w:sz w:val="24"/>
              </w:rPr>
              <w:t>限售股</w:t>
            </w:r>
          </w:p>
        </w:tc>
        <w:tc>
          <w:tcPr>
            <w:tcW w:w="835" w:type="dxa"/>
            <w:vAlign w:val="center"/>
          </w:tcPr>
          <w:p>
            <w:pPr>
              <w:jc w:val="right"/>
            </w:pPr>
            <w:r>
              <w:rPr>
                <w:sz w:val="24"/>
              </w:rPr>
              <w:t>24.87</w:t>
            </w:r>
          </w:p>
        </w:tc>
        <w:tc>
          <w:tcPr>
            <w:tcW w:w="834" w:type="dxa"/>
            <w:vAlign w:val="center"/>
          </w:tcPr>
          <w:p>
            <w:pPr>
              <w:jc w:val="right"/>
            </w:pPr>
            <w:r>
              <w:rPr>
                <w:sz w:val="24"/>
              </w:rPr>
              <w:t>33.51</w:t>
            </w:r>
          </w:p>
        </w:tc>
        <w:tc>
          <w:tcPr>
            <w:tcW w:w="835" w:type="dxa"/>
            <w:vAlign w:val="center"/>
          </w:tcPr>
          <w:p>
            <w:pPr>
              <w:jc w:val="right"/>
            </w:pPr>
            <w:r>
              <w:rPr>
                <w:sz w:val="24"/>
              </w:rPr>
              <w:t>354</w:t>
            </w:r>
          </w:p>
        </w:tc>
        <w:tc>
          <w:tcPr>
            <w:tcW w:w="834" w:type="dxa"/>
            <w:vAlign w:val="center"/>
          </w:tcPr>
          <w:p>
            <w:pPr>
              <w:jc w:val="right"/>
            </w:pPr>
            <w:r>
              <w:rPr>
                <w:sz w:val="24"/>
              </w:rPr>
              <w:t>8,803.98</w:t>
            </w:r>
          </w:p>
        </w:tc>
        <w:tc>
          <w:tcPr>
            <w:tcW w:w="835" w:type="dxa"/>
            <w:vAlign w:val="center"/>
          </w:tcPr>
          <w:p>
            <w:pPr>
              <w:jc w:val="right"/>
            </w:pPr>
            <w:r>
              <w:rPr>
                <w:sz w:val="24"/>
              </w:rPr>
              <w:t>11,862.54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300886</w:t>
            </w:r>
          </w:p>
        </w:tc>
        <w:tc>
          <w:tcPr>
            <w:tcW w:w="835" w:type="dxa"/>
            <w:vAlign w:val="center"/>
          </w:tcPr>
          <w:p>
            <w:pPr>
              <w:jc w:val="center"/>
            </w:pPr>
            <w:r>
              <w:rPr>
                <w:sz w:val="24"/>
              </w:rPr>
              <w:t>华业香料</w:t>
            </w:r>
          </w:p>
        </w:tc>
        <w:tc>
          <w:tcPr>
            <w:tcW w:w="834" w:type="dxa"/>
            <w:vAlign w:val="center"/>
          </w:tcPr>
          <w:p>
            <w:pPr>
              <w:jc w:val="center"/>
            </w:pPr>
            <w:r>
              <w:rPr>
                <w:sz w:val="24"/>
              </w:rPr>
              <w:t>2020-09-08</w:t>
            </w:r>
          </w:p>
        </w:tc>
        <w:tc>
          <w:tcPr>
            <w:tcW w:w="835" w:type="dxa"/>
            <w:vAlign w:val="center"/>
          </w:tcPr>
          <w:p>
            <w:pPr>
              <w:jc w:val="center"/>
            </w:pPr>
            <w:r>
              <w:rPr>
                <w:sz w:val="24"/>
              </w:rPr>
              <w:t>2021-03-16</w:t>
            </w:r>
          </w:p>
        </w:tc>
        <w:tc>
          <w:tcPr>
            <w:tcW w:w="834" w:type="dxa"/>
            <w:vAlign w:val="center"/>
          </w:tcPr>
          <w:p>
            <w:pPr>
              <w:jc w:val="center"/>
            </w:pPr>
            <w:r>
              <w:rPr>
                <w:sz w:val="24"/>
              </w:rPr>
              <w:t>限售股</w:t>
            </w:r>
          </w:p>
        </w:tc>
        <w:tc>
          <w:tcPr>
            <w:tcW w:w="835" w:type="dxa"/>
            <w:vAlign w:val="center"/>
          </w:tcPr>
          <w:p>
            <w:pPr>
              <w:jc w:val="right"/>
            </w:pPr>
            <w:r>
              <w:rPr>
                <w:sz w:val="24"/>
              </w:rPr>
              <w:t>18.59</w:t>
            </w:r>
          </w:p>
        </w:tc>
        <w:tc>
          <w:tcPr>
            <w:tcW w:w="834" w:type="dxa"/>
            <w:vAlign w:val="center"/>
          </w:tcPr>
          <w:p>
            <w:pPr>
              <w:jc w:val="right"/>
            </w:pPr>
            <w:r>
              <w:rPr>
                <w:sz w:val="24"/>
              </w:rPr>
              <w:t>45.67</w:t>
            </w:r>
          </w:p>
        </w:tc>
        <w:tc>
          <w:tcPr>
            <w:tcW w:w="835" w:type="dxa"/>
            <w:vAlign w:val="center"/>
          </w:tcPr>
          <w:p>
            <w:pPr>
              <w:jc w:val="right"/>
            </w:pPr>
            <w:r>
              <w:rPr>
                <w:sz w:val="24"/>
              </w:rPr>
              <w:t>147</w:t>
            </w:r>
          </w:p>
        </w:tc>
        <w:tc>
          <w:tcPr>
            <w:tcW w:w="834" w:type="dxa"/>
            <w:vAlign w:val="center"/>
          </w:tcPr>
          <w:p>
            <w:pPr>
              <w:jc w:val="right"/>
            </w:pPr>
            <w:r>
              <w:rPr>
                <w:sz w:val="24"/>
              </w:rPr>
              <w:t>2,732.73</w:t>
            </w:r>
          </w:p>
        </w:tc>
        <w:tc>
          <w:tcPr>
            <w:tcW w:w="835" w:type="dxa"/>
            <w:vAlign w:val="center"/>
          </w:tcPr>
          <w:p>
            <w:pPr>
              <w:jc w:val="right"/>
            </w:pPr>
            <w:r>
              <w:rPr>
                <w:sz w:val="24"/>
              </w:rPr>
              <w:t>6,713.49</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300887</w:t>
            </w:r>
          </w:p>
        </w:tc>
        <w:tc>
          <w:tcPr>
            <w:tcW w:w="835" w:type="dxa"/>
            <w:vAlign w:val="center"/>
          </w:tcPr>
          <w:p>
            <w:pPr>
              <w:jc w:val="center"/>
            </w:pPr>
            <w:r>
              <w:rPr>
                <w:sz w:val="24"/>
              </w:rPr>
              <w:t>谱尼测试</w:t>
            </w:r>
          </w:p>
        </w:tc>
        <w:tc>
          <w:tcPr>
            <w:tcW w:w="834" w:type="dxa"/>
            <w:vAlign w:val="center"/>
          </w:tcPr>
          <w:p>
            <w:pPr>
              <w:jc w:val="center"/>
            </w:pPr>
            <w:r>
              <w:rPr>
                <w:sz w:val="24"/>
              </w:rPr>
              <w:t>2020-09-09</w:t>
            </w:r>
          </w:p>
        </w:tc>
        <w:tc>
          <w:tcPr>
            <w:tcW w:w="835" w:type="dxa"/>
            <w:vAlign w:val="center"/>
          </w:tcPr>
          <w:p>
            <w:pPr>
              <w:jc w:val="center"/>
            </w:pPr>
            <w:r>
              <w:rPr>
                <w:sz w:val="24"/>
              </w:rPr>
              <w:t>2021-03-16</w:t>
            </w:r>
          </w:p>
        </w:tc>
        <w:tc>
          <w:tcPr>
            <w:tcW w:w="834" w:type="dxa"/>
            <w:vAlign w:val="center"/>
          </w:tcPr>
          <w:p>
            <w:pPr>
              <w:jc w:val="center"/>
            </w:pPr>
            <w:r>
              <w:rPr>
                <w:sz w:val="24"/>
              </w:rPr>
              <w:t>限售股</w:t>
            </w:r>
          </w:p>
        </w:tc>
        <w:tc>
          <w:tcPr>
            <w:tcW w:w="835" w:type="dxa"/>
            <w:vAlign w:val="center"/>
          </w:tcPr>
          <w:p>
            <w:pPr>
              <w:jc w:val="right"/>
            </w:pPr>
            <w:r>
              <w:rPr>
                <w:sz w:val="24"/>
              </w:rPr>
              <w:t>44.47</w:t>
            </w:r>
          </w:p>
        </w:tc>
        <w:tc>
          <w:tcPr>
            <w:tcW w:w="834" w:type="dxa"/>
            <w:vAlign w:val="center"/>
          </w:tcPr>
          <w:p>
            <w:pPr>
              <w:jc w:val="right"/>
            </w:pPr>
            <w:r>
              <w:rPr>
                <w:sz w:val="24"/>
              </w:rPr>
              <w:t>74.52</w:t>
            </w:r>
          </w:p>
        </w:tc>
        <w:tc>
          <w:tcPr>
            <w:tcW w:w="835" w:type="dxa"/>
            <w:vAlign w:val="center"/>
          </w:tcPr>
          <w:p>
            <w:pPr>
              <w:jc w:val="right"/>
            </w:pPr>
            <w:r>
              <w:rPr>
                <w:sz w:val="24"/>
              </w:rPr>
              <w:t>165</w:t>
            </w:r>
          </w:p>
        </w:tc>
        <w:tc>
          <w:tcPr>
            <w:tcW w:w="834" w:type="dxa"/>
            <w:vAlign w:val="center"/>
          </w:tcPr>
          <w:p>
            <w:pPr>
              <w:jc w:val="right"/>
            </w:pPr>
            <w:r>
              <w:rPr>
                <w:sz w:val="24"/>
              </w:rPr>
              <w:t>7,337.55</w:t>
            </w:r>
          </w:p>
        </w:tc>
        <w:tc>
          <w:tcPr>
            <w:tcW w:w="835" w:type="dxa"/>
            <w:vAlign w:val="center"/>
          </w:tcPr>
          <w:p>
            <w:pPr>
              <w:jc w:val="right"/>
            </w:pPr>
            <w:r>
              <w:rPr>
                <w:sz w:val="24"/>
              </w:rPr>
              <w:t>12,295.80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300889</w:t>
            </w:r>
          </w:p>
        </w:tc>
        <w:tc>
          <w:tcPr>
            <w:tcW w:w="835" w:type="dxa"/>
            <w:vAlign w:val="center"/>
          </w:tcPr>
          <w:p>
            <w:pPr>
              <w:jc w:val="center"/>
            </w:pPr>
            <w:r>
              <w:rPr>
                <w:sz w:val="24"/>
              </w:rPr>
              <w:t>爱克股份</w:t>
            </w:r>
          </w:p>
        </w:tc>
        <w:tc>
          <w:tcPr>
            <w:tcW w:w="834" w:type="dxa"/>
            <w:vAlign w:val="center"/>
          </w:tcPr>
          <w:p>
            <w:pPr>
              <w:jc w:val="center"/>
            </w:pPr>
            <w:r>
              <w:rPr>
                <w:sz w:val="24"/>
              </w:rPr>
              <w:t>2020-09-09</w:t>
            </w:r>
          </w:p>
        </w:tc>
        <w:tc>
          <w:tcPr>
            <w:tcW w:w="835" w:type="dxa"/>
            <w:vAlign w:val="center"/>
          </w:tcPr>
          <w:p>
            <w:pPr>
              <w:jc w:val="center"/>
            </w:pPr>
            <w:r>
              <w:rPr>
                <w:sz w:val="24"/>
              </w:rPr>
              <w:t>2021-03-16</w:t>
            </w:r>
          </w:p>
        </w:tc>
        <w:tc>
          <w:tcPr>
            <w:tcW w:w="834" w:type="dxa"/>
            <w:vAlign w:val="center"/>
          </w:tcPr>
          <w:p>
            <w:pPr>
              <w:jc w:val="center"/>
            </w:pPr>
            <w:r>
              <w:rPr>
                <w:sz w:val="24"/>
              </w:rPr>
              <w:t>限售股</w:t>
            </w:r>
          </w:p>
        </w:tc>
        <w:tc>
          <w:tcPr>
            <w:tcW w:w="835" w:type="dxa"/>
            <w:vAlign w:val="center"/>
          </w:tcPr>
          <w:p>
            <w:pPr>
              <w:jc w:val="right"/>
            </w:pPr>
            <w:r>
              <w:rPr>
                <w:sz w:val="24"/>
              </w:rPr>
              <w:t>27.97</w:t>
            </w:r>
          </w:p>
        </w:tc>
        <w:tc>
          <w:tcPr>
            <w:tcW w:w="834" w:type="dxa"/>
            <w:vAlign w:val="center"/>
          </w:tcPr>
          <w:p>
            <w:pPr>
              <w:jc w:val="right"/>
            </w:pPr>
            <w:r>
              <w:rPr>
                <w:sz w:val="24"/>
              </w:rPr>
              <w:t>30.12</w:t>
            </w:r>
          </w:p>
        </w:tc>
        <w:tc>
          <w:tcPr>
            <w:tcW w:w="835" w:type="dxa"/>
            <w:vAlign w:val="center"/>
          </w:tcPr>
          <w:p>
            <w:pPr>
              <w:jc w:val="right"/>
            </w:pPr>
            <w:r>
              <w:rPr>
                <w:sz w:val="24"/>
              </w:rPr>
              <w:t>370</w:t>
            </w:r>
          </w:p>
        </w:tc>
        <w:tc>
          <w:tcPr>
            <w:tcW w:w="834" w:type="dxa"/>
            <w:vAlign w:val="center"/>
          </w:tcPr>
          <w:p>
            <w:pPr>
              <w:jc w:val="right"/>
            </w:pPr>
            <w:r>
              <w:rPr>
                <w:sz w:val="24"/>
              </w:rPr>
              <w:t>10,348.90</w:t>
            </w:r>
          </w:p>
        </w:tc>
        <w:tc>
          <w:tcPr>
            <w:tcW w:w="835" w:type="dxa"/>
            <w:vAlign w:val="center"/>
          </w:tcPr>
          <w:p>
            <w:pPr>
              <w:jc w:val="right"/>
            </w:pPr>
            <w:r>
              <w:rPr>
                <w:sz w:val="24"/>
              </w:rPr>
              <w:t>11,144.40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300890</w:t>
            </w:r>
          </w:p>
        </w:tc>
        <w:tc>
          <w:tcPr>
            <w:tcW w:w="835" w:type="dxa"/>
            <w:vAlign w:val="center"/>
          </w:tcPr>
          <w:p>
            <w:pPr>
              <w:jc w:val="center"/>
            </w:pPr>
            <w:r>
              <w:rPr>
                <w:sz w:val="24"/>
              </w:rPr>
              <w:t>翔丰华</w:t>
            </w:r>
          </w:p>
        </w:tc>
        <w:tc>
          <w:tcPr>
            <w:tcW w:w="834" w:type="dxa"/>
            <w:vAlign w:val="center"/>
          </w:tcPr>
          <w:p>
            <w:pPr>
              <w:jc w:val="center"/>
            </w:pPr>
            <w:r>
              <w:rPr>
                <w:sz w:val="24"/>
              </w:rPr>
              <w:t>2020-09-10</w:t>
            </w:r>
          </w:p>
        </w:tc>
        <w:tc>
          <w:tcPr>
            <w:tcW w:w="835" w:type="dxa"/>
            <w:vAlign w:val="center"/>
          </w:tcPr>
          <w:p>
            <w:pPr>
              <w:jc w:val="center"/>
            </w:pPr>
            <w:r>
              <w:rPr>
                <w:sz w:val="24"/>
              </w:rPr>
              <w:t>2021-03-18</w:t>
            </w:r>
          </w:p>
        </w:tc>
        <w:tc>
          <w:tcPr>
            <w:tcW w:w="834" w:type="dxa"/>
            <w:vAlign w:val="center"/>
          </w:tcPr>
          <w:p>
            <w:pPr>
              <w:jc w:val="center"/>
            </w:pPr>
            <w:r>
              <w:rPr>
                <w:sz w:val="24"/>
              </w:rPr>
              <w:t>限售股</w:t>
            </w:r>
          </w:p>
        </w:tc>
        <w:tc>
          <w:tcPr>
            <w:tcW w:w="835" w:type="dxa"/>
            <w:vAlign w:val="center"/>
          </w:tcPr>
          <w:p>
            <w:pPr>
              <w:jc w:val="right"/>
            </w:pPr>
            <w:r>
              <w:rPr>
                <w:sz w:val="24"/>
              </w:rPr>
              <w:t>14.69</w:t>
            </w:r>
          </w:p>
        </w:tc>
        <w:tc>
          <w:tcPr>
            <w:tcW w:w="834" w:type="dxa"/>
            <w:vAlign w:val="center"/>
          </w:tcPr>
          <w:p>
            <w:pPr>
              <w:jc w:val="right"/>
            </w:pPr>
            <w:r>
              <w:rPr>
                <w:sz w:val="24"/>
              </w:rPr>
              <w:t>48.85</w:t>
            </w:r>
          </w:p>
        </w:tc>
        <w:tc>
          <w:tcPr>
            <w:tcW w:w="835" w:type="dxa"/>
            <w:vAlign w:val="center"/>
          </w:tcPr>
          <w:p>
            <w:pPr>
              <w:jc w:val="right"/>
            </w:pPr>
            <w:r>
              <w:rPr>
                <w:sz w:val="24"/>
              </w:rPr>
              <w:t>286</w:t>
            </w:r>
          </w:p>
        </w:tc>
        <w:tc>
          <w:tcPr>
            <w:tcW w:w="834" w:type="dxa"/>
            <w:vAlign w:val="center"/>
          </w:tcPr>
          <w:p>
            <w:pPr>
              <w:jc w:val="right"/>
            </w:pPr>
            <w:r>
              <w:rPr>
                <w:sz w:val="24"/>
              </w:rPr>
              <w:t>4,201.34</w:t>
            </w:r>
          </w:p>
        </w:tc>
        <w:tc>
          <w:tcPr>
            <w:tcW w:w="835" w:type="dxa"/>
            <w:vAlign w:val="center"/>
          </w:tcPr>
          <w:p>
            <w:pPr>
              <w:jc w:val="right"/>
            </w:pPr>
            <w:r>
              <w:rPr>
                <w:sz w:val="24"/>
              </w:rPr>
              <w:t>13,971.10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300891</w:t>
            </w:r>
          </w:p>
        </w:tc>
        <w:tc>
          <w:tcPr>
            <w:tcW w:w="835" w:type="dxa"/>
            <w:vAlign w:val="center"/>
          </w:tcPr>
          <w:p>
            <w:pPr>
              <w:jc w:val="center"/>
            </w:pPr>
            <w:r>
              <w:rPr>
                <w:sz w:val="24"/>
              </w:rPr>
              <w:t>惠云钛业</w:t>
            </w:r>
          </w:p>
        </w:tc>
        <w:tc>
          <w:tcPr>
            <w:tcW w:w="834" w:type="dxa"/>
            <w:vAlign w:val="center"/>
          </w:tcPr>
          <w:p>
            <w:pPr>
              <w:jc w:val="center"/>
            </w:pPr>
            <w:r>
              <w:rPr>
                <w:sz w:val="24"/>
              </w:rPr>
              <w:t>2020-09-10</w:t>
            </w:r>
          </w:p>
        </w:tc>
        <w:tc>
          <w:tcPr>
            <w:tcW w:w="835" w:type="dxa"/>
            <w:vAlign w:val="center"/>
          </w:tcPr>
          <w:p>
            <w:pPr>
              <w:jc w:val="center"/>
            </w:pPr>
            <w:r>
              <w:rPr>
                <w:sz w:val="24"/>
              </w:rPr>
              <w:t>2021-03-17</w:t>
            </w:r>
          </w:p>
        </w:tc>
        <w:tc>
          <w:tcPr>
            <w:tcW w:w="834" w:type="dxa"/>
            <w:vAlign w:val="center"/>
          </w:tcPr>
          <w:p>
            <w:pPr>
              <w:jc w:val="center"/>
            </w:pPr>
            <w:r>
              <w:rPr>
                <w:sz w:val="24"/>
              </w:rPr>
              <w:t>限售股</w:t>
            </w:r>
          </w:p>
        </w:tc>
        <w:tc>
          <w:tcPr>
            <w:tcW w:w="835" w:type="dxa"/>
            <w:vAlign w:val="center"/>
          </w:tcPr>
          <w:p>
            <w:pPr>
              <w:jc w:val="right"/>
            </w:pPr>
            <w:r>
              <w:rPr>
                <w:sz w:val="24"/>
              </w:rPr>
              <w:t>3.64</w:t>
            </w:r>
          </w:p>
        </w:tc>
        <w:tc>
          <w:tcPr>
            <w:tcW w:w="834" w:type="dxa"/>
            <w:vAlign w:val="center"/>
          </w:tcPr>
          <w:p>
            <w:pPr>
              <w:jc w:val="right"/>
            </w:pPr>
            <w:r>
              <w:rPr>
                <w:sz w:val="24"/>
              </w:rPr>
              <w:t>16.40</w:t>
            </w:r>
          </w:p>
        </w:tc>
        <w:tc>
          <w:tcPr>
            <w:tcW w:w="835" w:type="dxa"/>
            <w:vAlign w:val="center"/>
          </w:tcPr>
          <w:p>
            <w:pPr>
              <w:jc w:val="right"/>
            </w:pPr>
            <w:r>
              <w:rPr>
                <w:sz w:val="24"/>
              </w:rPr>
              <w:t>1,143</w:t>
            </w:r>
          </w:p>
        </w:tc>
        <w:tc>
          <w:tcPr>
            <w:tcW w:w="834" w:type="dxa"/>
            <w:vAlign w:val="center"/>
          </w:tcPr>
          <w:p>
            <w:pPr>
              <w:jc w:val="right"/>
            </w:pPr>
            <w:r>
              <w:rPr>
                <w:sz w:val="24"/>
              </w:rPr>
              <w:t>4,160.52</w:t>
            </w:r>
          </w:p>
        </w:tc>
        <w:tc>
          <w:tcPr>
            <w:tcW w:w="835" w:type="dxa"/>
            <w:vAlign w:val="center"/>
          </w:tcPr>
          <w:p>
            <w:pPr>
              <w:jc w:val="right"/>
            </w:pPr>
            <w:r>
              <w:rPr>
                <w:sz w:val="24"/>
              </w:rPr>
              <w:t>18,745.20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300892</w:t>
            </w:r>
          </w:p>
        </w:tc>
        <w:tc>
          <w:tcPr>
            <w:tcW w:w="835" w:type="dxa"/>
            <w:vAlign w:val="center"/>
          </w:tcPr>
          <w:p>
            <w:pPr>
              <w:jc w:val="center"/>
            </w:pPr>
            <w:r>
              <w:rPr>
                <w:sz w:val="24"/>
              </w:rPr>
              <w:t>品渥食品</w:t>
            </w:r>
          </w:p>
        </w:tc>
        <w:tc>
          <w:tcPr>
            <w:tcW w:w="834" w:type="dxa"/>
            <w:vAlign w:val="center"/>
          </w:tcPr>
          <w:p>
            <w:pPr>
              <w:jc w:val="center"/>
            </w:pPr>
            <w:r>
              <w:rPr>
                <w:sz w:val="24"/>
              </w:rPr>
              <w:t>2020-09-11</w:t>
            </w:r>
          </w:p>
        </w:tc>
        <w:tc>
          <w:tcPr>
            <w:tcW w:w="835" w:type="dxa"/>
            <w:vAlign w:val="center"/>
          </w:tcPr>
          <w:p>
            <w:pPr>
              <w:jc w:val="center"/>
            </w:pPr>
            <w:r>
              <w:rPr>
                <w:sz w:val="24"/>
              </w:rPr>
              <w:t>2021-03-30</w:t>
            </w:r>
          </w:p>
        </w:tc>
        <w:tc>
          <w:tcPr>
            <w:tcW w:w="834" w:type="dxa"/>
            <w:vAlign w:val="center"/>
          </w:tcPr>
          <w:p>
            <w:pPr>
              <w:jc w:val="center"/>
            </w:pPr>
            <w:r>
              <w:rPr>
                <w:sz w:val="24"/>
              </w:rPr>
              <w:t>限售股</w:t>
            </w:r>
          </w:p>
        </w:tc>
        <w:tc>
          <w:tcPr>
            <w:tcW w:w="835" w:type="dxa"/>
            <w:vAlign w:val="center"/>
          </w:tcPr>
          <w:p>
            <w:pPr>
              <w:jc w:val="right"/>
            </w:pPr>
            <w:r>
              <w:rPr>
                <w:sz w:val="24"/>
              </w:rPr>
              <w:t>26.66</w:t>
            </w:r>
          </w:p>
        </w:tc>
        <w:tc>
          <w:tcPr>
            <w:tcW w:w="834" w:type="dxa"/>
            <w:vAlign w:val="center"/>
          </w:tcPr>
          <w:p>
            <w:pPr>
              <w:jc w:val="right"/>
            </w:pPr>
            <w:r>
              <w:rPr>
                <w:sz w:val="24"/>
              </w:rPr>
              <w:t>60.01</w:t>
            </w:r>
          </w:p>
        </w:tc>
        <w:tc>
          <w:tcPr>
            <w:tcW w:w="835" w:type="dxa"/>
            <w:vAlign w:val="center"/>
          </w:tcPr>
          <w:p>
            <w:pPr>
              <w:jc w:val="right"/>
            </w:pPr>
            <w:r>
              <w:rPr>
                <w:sz w:val="24"/>
              </w:rPr>
              <w:t>227</w:t>
            </w:r>
          </w:p>
        </w:tc>
        <w:tc>
          <w:tcPr>
            <w:tcW w:w="834" w:type="dxa"/>
            <w:vAlign w:val="center"/>
          </w:tcPr>
          <w:p>
            <w:pPr>
              <w:jc w:val="right"/>
            </w:pPr>
            <w:r>
              <w:rPr>
                <w:sz w:val="24"/>
              </w:rPr>
              <w:t>6,051.82</w:t>
            </w:r>
          </w:p>
        </w:tc>
        <w:tc>
          <w:tcPr>
            <w:tcW w:w="835" w:type="dxa"/>
            <w:vAlign w:val="center"/>
          </w:tcPr>
          <w:p>
            <w:pPr>
              <w:jc w:val="right"/>
            </w:pPr>
            <w:r>
              <w:rPr>
                <w:sz w:val="24"/>
              </w:rPr>
              <w:t>13,622.27</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300893</w:t>
            </w:r>
          </w:p>
        </w:tc>
        <w:tc>
          <w:tcPr>
            <w:tcW w:w="835" w:type="dxa"/>
            <w:vAlign w:val="center"/>
          </w:tcPr>
          <w:p>
            <w:pPr>
              <w:jc w:val="center"/>
            </w:pPr>
            <w:r>
              <w:rPr>
                <w:sz w:val="24"/>
              </w:rPr>
              <w:t>松原股份</w:t>
            </w:r>
          </w:p>
        </w:tc>
        <w:tc>
          <w:tcPr>
            <w:tcW w:w="834" w:type="dxa"/>
            <w:vAlign w:val="center"/>
          </w:tcPr>
          <w:p>
            <w:pPr>
              <w:jc w:val="center"/>
            </w:pPr>
            <w:r>
              <w:rPr>
                <w:sz w:val="24"/>
              </w:rPr>
              <w:t>2020-09-17</w:t>
            </w:r>
          </w:p>
        </w:tc>
        <w:tc>
          <w:tcPr>
            <w:tcW w:w="835" w:type="dxa"/>
            <w:vAlign w:val="center"/>
          </w:tcPr>
          <w:p>
            <w:pPr>
              <w:jc w:val="center"/>
            </w:pPr>
            <w:r>
              <w:rPr>
                <w:sz w:val="24"/>
              </w:rPr>
              <w:t>2021-03-24</w:t>
            </w:r>
          </w:p>
        </w:tc>
        <w:tc>
          <w:tcPr>
            <w:tcW w:w="834" w:type="dxa"/>
            <w:vAlign w:val="center"/>
          </w:tcPr>
          <w:p>
            <w:pPr>
              <w:jc w:val="center"/>
            </w:pPr>
            <w:r>
              <w:rPr>
                <w:sz w:val="24"/>
              </w:rPr>
              <w:t>限售股</w:t>
            </w:r>
          </w:p>
        </w:tc>
        <w:tc>
          <w:tcPr>
            <w:tcW w:w="835" w:type="dxa"/>
            <w:vAlign w:val="center"/>
          </w:tcPr>
          <w:p>
            <w:pPr>
              <w:jc w:val="right"/>
            </w:pPr>
            <w:r>
              <w:rPr>
                <w:sz w:val="24"/>
              </w:rPr>
              <w:t>13.47</w:t>
            </w:r>
          </w:p>
        </w:tc>
        <w:tc>
          <w:tcPr>
            <w:tcW w:w="834" w:type="dxa"/>
            <w:vAlign w:val="center"/>
          </w:tcPr>
          <w:p>
            <w:pPr>
              <w:jc w:val="right"/>
            </w:pPr>
            <w:r>
              <w:rPr>
                <w:sz w:val="24"/>
              </w:rPr>
              <w:t>35.08</w:t>
            </w:r>
          </w:p>
        </w:tc>
        <w:tc>
          <w:tcPr>
            <w:tcW w:w="835" w:type="dxa"/>
            <w:vAlign w:val="center"/>
          </w:tcPr>
          <w:p>
            <w:pPr>
              <w:jc w:val="right"/>
            </w:pPr>
            <w:r>
              <w:rPr>
                <w:sz w:val="24"/>
              </w:rPr>
              <w:t>276</w:t>
            </w:r>
          </w:p>
        </w:tc>
        <w:tc>
          <w:tcPr>
            <w:tcW w:w="834" w:type="dxa"/>
            <w:vAlign w:val="center"/>
          </w:tcPr>
          <w:p>
            <w:pPr>
              <w:jc w:val="right"/>
            </w:pPr>
            <w:r>
              <w:rPr>
                <w:sz w:val="24"/>
              </w:rPr>
              <w:t>3,717.72</w:t>
            </w:r>
          </w:p>
        </w:tc>
        <w:tc>
          <w:tcPr>
            <w:tcW w:w="835" w:type="dxa"/>
            <w:vAlign w:val="center"/>
          </w:tcPr>
          <w:p>
            <w:pPr>
              <w:jc w:val="right"/>
            </w:pPr>
            <w:r>
              <w:rPr>
                <w:sz w:val="24"/>
              </w:rPr>
              <w:t>9,682.08</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300895</w:t>
            </w:r>
          </w:p>
        </w:tc>
        <w:tc>
          <w:tcPr>
            <w:tcW w:w="835" w:type="dxa"/>
            <w:vAlign w:val="center"/>
          </w:tcPr>
          <w:p>
            <w:pPr>
              <w:jc w:val="center"/>
            </w:pPr>
            <w:r>
              <w:rPr>
                <w:sz w:val="24"/>
              </w:rPr>
              <w:t>铜牛信息</w:t>
            </w:r>
          </w:p>
        </w:tc>
        <w:tc>
          <w:tcPr>
            <w:tcW w:w="834" w:type="dxa"/>
            <w:vAlign w:val="center"/>
          </w:tcPr>
          <w:p>
            <w:pPr>
              <w:jc w:val="center"/>
            </w:pPr>
            <w:r>
              <w:rPr>
                <w:sz w:val="24"/>
              </w:rPr>
              <w:t>2020-09-17</w:t>
            </w:r>
          </w:p>
        </w:tc>
        <w:tc>
          <w:tcPr>
            <w:tcW w:w="835" w:type="dxa"/>
            <w:vAlign w:val="center"/>
          </w:tcPr>
          <w:p>
            <w:pPr>
              <w:jc w:val="center"/>
            </w:pPr>
            <w:r>
              <w:rPr>
                <w:sz w:val="24"/>
              </w:rPr>
              <w:t>2021-03-24</w:t>
            </w:r>
          </w:p>
        </w:tc>
        <w:tc>
          <w:tcPr>
            <w:tcW w:w="834" w:type="dxa"/>
            <w:vAlign w:val="center"/>
          </w:tcPr>
          <w:p>
            <w:pPr>
              <w:jc w:val="center"/>
            </w:pPr>
            <w:r>
              <w:rPr>
                <w:sz w:val="24"/>
              </w:rPr>
              <w:t>限售股</w:t>
            </w:r>
          </w:p>
        </w:tc>
        <w:tc>
          <w:tcPr>
            <w:tcW w:w="835" w:type="dxa"/>
            <w:vAlign w:val="center"/>
          </w:tcPr>
          <w:p>
            <w:pPr>
              <w:jc w:val="right"/>
            </w:pPr>
            <w:r>
              <w:rPr>
                <w:sz w:val="24"/>
              </w:rPr>
              <w:t>12.65</w:t>
            </w:r>
          </w:p>
        </w:tc>
        <w:tc>
          <w:tcPr>
            <w:tcW w:w="834" w:type="dxa"/>
            <w:vAlign w:val="center"/>
          </w:tcPr>
          <w:p>
            <w:pPr>
              <w:jc w:val="right"/>
            </w:pPr>
            <w:r>
              <w:rPr>
                <w:sz w:val="24"/>
              </w:rPr>
              <w:t>45.30</w:t>
            </w:r>
          </w:p>
        </w:tc>
        <w:tc>
          <w:tcPr>
            <w:tcW w:w="835" w:type="dxa"/>
            <w:vAlign w:val="center"/>
          </w:tcPr>
          <w:p>
            <w:pPr>
              <w:jc w:val="right"/>
            </w:pPr>
            <w:r>
              <w:rPr>
                <w:sz w:val="24"/>
              </w:rPr>
              <w:t>283</w:t>
            </w:r>
          </w:p>
        </w:tc>
        <w:tc>
          <w:tcPr>
            <w:tcW w:w="834" w:type="dxa"/>
            <w:vAlign w:val="center"/>
          </w:tcPr>
          <w:p>
            <w:pPr>
              <w:jc w:val="right"/>
            </w:pPr>
            <w:r>
              <w:rPr>
                <w:sz w:val="24"/>
              </w:rPr>
              <w:t>3,579.95</w:t>
            </w:r>
          </w:p>
        </w:tc>
        <w:tc>
          <w:tcPr>
            <w:tcW w:w="835" w:type="dxa"/>
            <w:vAlign w:val="center"/>
          </w:tcPr>
          <w:p>
            <w:pPr>
              <w:jc w:val="right"/>
            </w:pPr>
            <w:r>
              <w:rPr>
                <w:sz w:val="24"/>
              </w:rPr>
              <w:t>12,819.90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300900</w:t>
            </w:r>
          </w:p>
        </w:tc>
        <w:tc>
          <w:tcPr>
            <w:tcW w:w="835" w:type="dxa"/>
            <w:vAlign w:val="center"/>
          </w:tcPr>
          <w:p>
            <w:pPr>
              <w:jc w:val="center"/>
            </w:pPr>
            <w:r>
              <w:rPr>
                <w:sz w:val="24"/>
              </w:rPr>
              <w:t>广联航空</w:t>
            </w:r>
          </w:p>
        </w:tc>
        <w:tc>
          <w:tcPr>
            <w:tcW w:w="834" w:type="dxa"/>
            <w:vAlign w:val="center"/>
          </w:tcPr>
          <w:p>
            <w:pPr>
              <w:jc w:val="center"/>
            </w:pPr>
            <w:r>
              <w:rPr>
                <w:sz w:val="24"/>
              </w:rPr>
              <w:t>2020-10-19</w:t>
            </w:r>
          </w:p>
        </w:tc>
        <w:tc>
          <w:tcPr>
            <w:tcW w:w="835" w:type="dxa"/>
            <w:vAlign w:val="center"/>
          </w:tcPr>
          <w:p>
            <w:pPr>
              <w:jc w:val="center"/>
            </w:pPr>
            <w:r>
              <w:rPr>
                <w:sz w:val="24"/>
              </w:rPr>
              <w:t>2021-04-29</w:t>
            </w:r>
          </w:p>
        </w:tc>
        <w:tc>
          <w:tcPr>
            <w:tcW w:w="834" w:type="dxa"/>
            <w:vAlign w:val="center"/>
          </w:tcPr>
          <w:p>
            <w:pPr>
              <w:jc w:val="center"/>
            </w:pPr>
            <w:r>
              <w:rPr>
                <w:sz w:val="24"/>
              </w:rPr>
              <w:t>限售股</w:t>
            </w:r>
          </w:p>
        </w:tc>
        <w:tc>
          <w:tcPr>
            <w:tcW w:w="835" w:type="dxa"/>
            <w:vAlign w:val="center"/>
          </w:tcPr>
          <w:p>
            <w:pPr>
              <w:jc w:val="right"/>
            </w:pPr>
            <w:r>
              <w:rPr>
                <w:sz w:val="24"/>
              </w:rPr>
              <w:t>17.87</w:t>
            </w:r>
          </w:p>
        </w:tc>
        <w:tc>
          <w:tcPr>
            <w:tcW w:w="834" w:type="dxa"/>
            <w:vAlign w:val="center"/>
          </w:tcPr>
          <w:p>
            <w:pPr>
              <w:jc w:val="right"/>
            </w:pPr>
            <w:r>
              <w:rPr>
                <w:sz w:val="24"/>
              </w:rPr>
              <w:t>33.16</w:t>
            </w:r>
          </w:p>
        </w:tc>
        <w:tc>
          <w:tcPr>
            <w:tcW w:w="835" w:type="dxa"/>
            <w:vAlign w:val="center"/>
          </w:tcPr>
          <w:p>
            <w:pPr>
              <w:jc w:val="right"/>
            </w:pPr>
            <w:r>
              <w:rPr>
                <w:sz w:val="24"/>
              </w:rPr>
              <w:t>551</w:t>
            </w:r>
          </w:p>
        </w:tc>
        <w:tc>
          <w:tcPr>
            <w:tcW w:w="834" w:type="dxa"/>
            <w:vAlign w:val="center"/>
          </w:tcPr>
          <w:p>
            <w:pPr>
              <w:jc w:val="right"/>
            </w:pPr>
            <w:r>
              <w:rPr>
                <w:sz w:val="24"/>
              </w:rPr>
              <w:t>9,846.37</w:t>
            </w:r>
          </w:p>
        </w:tc>
        <w:tc>
          <w:tcPr>
            <w:tcW w:w="835" w:type="dxa"/>
            <w:vAlign w:val="center"/>
          </w:tcPr>
          <w:p>
            <w:pPr>
              <w:jc w:val="right"/>
            </w:pPr>
            <w:r>
              <w:rPr>
                <w:sz w:val="24"/>
              </w:rPr>
              <w:t>18,271.16</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300903</w:t>
            </w:r>
          </w:p>
        </w:tc>
        <w:tc>
          <w:tcPr>
            <w:tcW w:w="835" w:type="dxa"/>
            <w:vAlign w:val="center"/>
          </w:tcPr>
          <w:p>
            <w:pPr>
              <w:jc w:val="center"/>
            </w:pPr>
            <w:r>
              <w:rPr>
                <w:sz w:val="24"/>
              </w:rPr>
              <w:t>科翔股份</w:t>
            </w:r>
          </w:p>
        </w:tc>
        <w:tc>
          <w:tcPr>
            <w:tcW w:w="834" w:type="dxa"/>
            <w:vAlign w:val="center"/>
          </w:tcPr>
          <w:p>
            <w:pPr>
              <w:jc w:val="center"/>
            </w:pPr>
            <w:r>
              <w:rPr>
                <w:sz w:val="24"/>
              </w:rPr>
              <w:t>2020-10-29</w:t>
            </w:r>
          </w:p>
        </w:tc>
        <w:tc>
          <w:tcPr>
            <w:tcW w:w="835" w:type="dxa"/>
            <w:vAlign w:val="center"/>
          </w:tcPr>
          <w:p>
            <w:pPr>
              <w:jc w:val="center"/>
            </w:pPr>
            <w:r>
              <w:rPr>
                <w:sz w:val="24"/>
              </w:rPr>
              <w:t>2021-05-06</w:t>
            </w:r>
          </w:p>
        </w:tc>
        <w:tc>
          <w:tcPr>
            <w:tcW w:w="834" w:type="dxa"/>
            <w:vAlign w:val="center"/>
          </w:tcPr>
          <w:p>
            <w:pPr>
              <w:jc w:val="center"/>
            </w:pPr>
            <w:r>
              <w:rPr>
                <w:sz w:val="24"/>
              </w:rPr>
              <w:t>限售股</w:t>
            </w:r>
          </w:p>
        </w:tc>
        <w:tc>
          <w:tcPr>
            <w:tcW w:w="835" w:type="dxa"/>
            <w:vAlign w:val="center"/>
          </w:tcPr>
          <w:p>
            <w:pPr>
              <w:jc w:val="right"/>
            </w:pPr>
            <w:r>
              <w:rPr>
                <w:sz w:val="24"/>
              </w:rPr>
              <w:t>13.06</w:t>
            </w:r>
          </w:p>
        </w:tc>
        <w:tc>
          <w:tcPr>
            <w:tcW w:w="834" w:type="dxa"/>
            <w:vAlign w:val="center"/>
          </w:tcPr>
          <w:p>
            <w:pPr>
              <w:jc w:val="right"/>
            </w:pPr>
            <w:r>
              <w:rPr>
                <w:sz w:val="24"/>
              </w:rPr>
              <w:t>30.47</w:t>
            </w:r>
          </w:p>
        </w:tc>
        <w:tc>
          <w:tcPr>
            <w:tcW w:w="835" w:type="dxa"/>
            <w:vAlign w:val="center"/>
          </w:tcPr>
          <w:p>
            <w:pPr>
              <w:jc w:val="right"/>
            </w:pPr>
            <w:r>
              <w:rPr>
                <w:sz w:val="24"/>
              </w:rPr>
              <w:t>4,775</w:t>
            </w:r>
          </w:p>
        </w:tc>
        <w:tc>
          <w:tcPr>
            <w:tcW w:w="834" w:type="dxa"/>
            <w:vAlign w:val="center"/>
          </w:tcPr>
          <w:p>
            <w:pPr>
              <w:jc w:val="right"/>
            </w:pPr>
            <w:r>
              <w:rPr>
                <w:sz w:val="24"/>
              </w:rPr>
              <w:t>62,361.50</w:t>
            </w:r>
          </w:p>
        </w:tc>
        <w:tc>
          <w:tcPr>
            <w:tcW w:w="835" w:type="dxa"/>
            <w:vAlign w:val="center"/>
          </w:tcPr>
          <w:p>
            <w:pPr>
              <w:jc w:val="right"/>
            </w:pPr>
            <w:r>
              <w:rPr>
                <w:sz w:val="24"/>
              </w:rPr>
              <w:t>145,494.25</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300909</w:t>
            </w:r>
          </w:p>
        </w:tc>
        <w:tc>
          <w:tcPr>
            <w:tcW w:w="835" w:type="dxa"/>
            <w:vAlign w:val="center"/>
          </w:tcPr>
          <w:p>
            <w:pPr>
              <w:jc w:val="center"/>
            </w:pPr>
            <w:r>
              <w:rPr>
                <w:sz w:val="24"/>
              </w:rPr>
              <w:t>汇创达</w:t>
            </w:r>
          </w:p>
        </w:tc>
        <w:tc>
          <w:tcPr>
            <w:tcW w:w="834" w:type="dxa"/>
            <w:vAlign w:val="center"/>
          </w:tcPr>
          <w:p>
            <w:pPr>
              <w:jc w:val="center"/>
            </w:pPr>
            <w:r>
              <w:rPr>
                <w:sz w:val="24"/>
              </w:rPr>
              <w:t>2020-11-11</w:t>
            </w:r>
          </w:p>
        </w:tc>
        <w:tc>
          <w:tcPr>
            <w:tcW w:w="835" w:type="dxa"/>
            <w:vAlign w:val="center"/>
          </w:tcPr>
          <w:p>
            <w:pPr>
              <w:jc w:val="center"/>
            </w:pPr>
            <w:r>
              <w:rPr>
                <w:sz w:val="24"/>
              </w:rPr>
              <w:t>2021-05-18</w:t>
            </w:r>
          </w:p>
        </w:tc>
        <w:tc>
          <w:tcPr>
            <w:tcW w:w="834" w:type="dxa"/>
            <w:vAlign w:val="center"/>
          </w:tcPr>
          <w:p>
            <w:pPr>
              <w:jc w:val="center"/>
            </w:pPr>
            <w:r>
              <w:rPr>
                <w:sz w:val="24"/>
              </w:rPr>
              <w:t>限售股</w:t>
            </w:r>
          </w:p>
        </w:tc>
        <w:tc>
          <w:tcPr>
            <w:tcW w:w="835" w:type="dxa"/>
            <w:vAlign w:val="center"/>
          </w:tcPr>
          <w:p>
            <w:pPr>
              <w:jc w:val="right"/>
            </w:pPr>
            <w:r>
              <w:rPr>
                <w:sz w:val="24"/>
              </w:rPr>
              <w:t>29.57</w:t>
            </w:r>
          </w:p>
        </w:tc>
        <w:tc>
          <w:tcPr>
            <w:tcW w:w="834" w:type="dxa"/>
            <w:vAlign w:val="center"/>
          </w:tcPr>
          <w:p>
            <w:pPr>
              <w:jc w:val="right"/>
            </w:pPr>
            <w:r>
              <w:rPr>
                <w:sz w:val="24"/>
              </w:rPr>
              <w:t>40.67</w:t>
            </w:r>
          </w:p>
        </w:tc>
        <w:tc>
          <w:tcPr>
            <w:tcW w:w="835" w:type="dxa"/>
            <w:vAlign w:val="center"/>
          </w:tcPr>
          <w:p>
            <w:pPr>
              <w:jc w:val="right"/>
            </w:pPr>
            <w:r>
              <w:rPr>
                <w:sz w:val="24"/>
              </w:rPr>
              <w:t>352</w:t>
            </w:r>
          </w:p>
        </w:tc>
        <w:tc>
          <w:tcPr>
            <w:tcW w:w="834" w:type="dxa"/>
            <w:vAlign w:val="center"/>
          </w:tcPr>
          <w:p>
            <w:pPr>
              <w:jc w:val="right"/>
            </w:pPr>
            <w:r>
              <w:rPr>
                <w:sz w:val="24"/>
              </w:rPr>
              <w:t>10,408.64</w:t>
            </w:r>
          </w:p>
        </w:tc>
        <w:tc>
          <w:tcPr>
            <w:tcW w:w="835" w:type="dxa"/>
            <w:vAlign w:val="center"/>
          </w:tcPr>
          <w:p>
            <w:pPr>
              <w:jc w:val="right"/>
            </w:pPr>
            <w:r>
              <w:rPr>
                <w:sz w:val="24"/>
              </w:rPr>
              <w:t>14,315.84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300911</w:t>
            </w:r>
          </w:p>
        </w:tc>
        <w:tc>
          <w:tcPr>
            <w:tcW w:w="835" w:type="dxa"/>
            <w:vAlign w:val="center"/>
          </w:tcPr>
          <w:p>
            <w:pPr>
              <w:jc w:val="center"/>
            </w:pPr>
            <w:r>
              <w:rPr>
                <w:sz w:val="24"/>
              </w:rPr>
              <w:t>亿田智能</w:t>
            </w:r>
          </w:p>
        </w:tc>
        <w:tc>
          <w:tcPr>
            <w:tcW w:w="834" w:type="dxa"/>
            <w:vAlign w:val="center"/>
          </w:tcPr>
          <w:p>
            <w:pPr>
              <w:jc w:val="center"/>
            </w:pPr>
            <w:r>
              <w:rPr>
                <w:sz w:val="24"/>
              </w:rPr>
              <w:t>2020-11-24</w:t>
            </w:r>
          </w:p>
        </w:tc>
        <w:tc>
          <w:tcPr>
            <w:tcW w:w="835" w:type="dxa"/>
            <w:vAlign w:val="center"/>
          </w:tcPr>
          <w:p>
            <w:pPr>
              <w:jc w:val="center"/>
            </w:pPr>
            <w:r>
              <w:rPr>
                <w:sz w:val="24"/>
              </w:rPr>
              <w:t>2021-06-03</w:t>
            </w:r>
          </w:p>
        </w:tc>
        <w:tc>
          <w:tcPr>
            <w:tcW w:w="834" w:type="dxa"/>
            <w:vAlign w:val="center"/>
          </w:tcPr>
          <w:p>
            <w:pPr>
              <w:jc w:val="center"/>
            </w:pPr>
            <w:r>
              <w:rPr>
                <w:sz w:val="24"/>
              </w:rPr>
              <w:t>限售股</w:t>
            </w:r>
          </w:p>
        </w:tc>
        <w:tc>
          <w:tcPr>
            <w:tcW w:w="835" w:type="dxa"/>
            <w:vAlign w:val="center"/>
          </w:tcPr>
          <w:p>
            <w:pPr>
              <w:jc w:val="right"/>
            </w:pPr>
            <w:r>
              <w:rPr>
                <w:sz w:val="24"/>
              </w:rPr>
              <w:t>24.35</w:t>
            </w:r>
          </w:p>
        </w:tc>
        <w:tc>
          <w:tcPr>
            <w:tcW w:w="834" w:type="dxa"/>
            <w:vAlign w:val="center"/>
          </w:tcPr>
          <w:p>
            <w:pPr>
              <w:jc w:val="right"/>
            </w:pPr>
            <w:r>
              <w:rPr>
                <w:sz w:val="24"/>
              </w:rPr>
              <w:t>33.06</w:t>
            </w:r>
          </w:p>
        </w:tc>
        <w:tc>
          <w:tcPr>
            <w:tcW w:w="835" w:type="dxa"/>
            <w:vAlign w:val="center"/>
          </w:tcPr>
          <w:p>
            <w:pPr>
              <w:jc w:val="right"/>
            </w:pPr>
            <w:r>
              <w:rPr>
                <w:sz w:val="24"/>
              </w:rPr>
              <w:t>309</w:t>
            </w:r>
          </w:p>
        </w:tc>
        <w:tc>
          <w:tcPr>
            <w:tcW w:w="834" w:type="dxa"/>
            <w:vAlign w:val="center"/>
          </w:tcPr>
          <w:p>
            <w:pPr>
              <w:jc w:val="right"/>
            </w:pPr>
            <w:r>
              <w:rPr>
                <w:sz w:val="24"/>
              </w:rPr>
              <w:t>7,524.15</w:t>
            </w:r>
          </w:p>
        </w:tc>
        <w:tc>
          <w:tcPr>
            <w:tcW w:w="835" w:type="dxa"/>
            <w:vAlign w:val="center"/>
          </w:tcPr>
          <w:p>
            <w:pPr>
              <w:jc w:val="right"/>
            </w:pPr>
            <w:r>
              <w:rPr>
                <w:sz w:val="24"/>
              </w:rPr>
              <w:t>10,215.54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300917</w:t>
            </w:r>
          </w:p>
        </w:tc>
        <w:tc>
          <w:tcPr>
            <w:tcW w:w="835" w:type="dxa"/>
            <w:vAlign w:val="center"/>
          </w:tcPr>
          <w:p>
            <w:pPr>
              <w:jc w:val="center"/>
            </w:pPr>
            <w:r>
              <w:rPr>
                <w:sz w:val="24"/>
              </w:rPr>
              <w:t>特发服务</w:t>
            </w:r>
          </w:p>
        </w:tc>
        <w:tc>
          <w:tcPr>
            <w:tcW w:w="834" w:type="dxa"/>
            <w:vAlign w:val="center"/>
          </w:tcPr>
          <w:p>
            <w:pPr>
              <w:jc w:val="center"/>
            </w:pPr>
            <w:r>
              <w:rPr>
                <w:sz w:val="24"/>
              </w:rPr>
              <w:t>2020-12-14</w:t>
            </w:r>
          </w:p>
        </w:tc>
        <w:tc>
          <w:tcPr>
            <w:tcW w:w="835" w:type="dxa"/>
            <w:vAlign w:val="center"/>
          </w:tcPr>
          <w:p>
            <w:pPr>
              <w:jc w:val="center"/>
            </w:pPr>
            <w:r>
              <w:rPr>
                <w:sz w:val="24"/>
              </w:rPr>
              <w:t>2021-06-21</w:t>
            </w:r>
          </w:p>
        </w:tc>
        <w:tc>
          <w:tcPr>
            <w:tcW w:w="834" w:type="dxa"/>
            <w:vAlign w:val="center"/>
          </w:tcPr>
          <w:p>
            <w:pPr>
              <w:jc w:val="center"/>
            </w:pPr>
            <w:r>
              <w:rPr>
                <w:sz w:val="24"/>
              </w:rPr>
              <w:t>限售股</w:t>
            </w:r>
          </w:p>
        </w:tc>
        <w:tc>
          <w:tcPr>
            <w:tcW w:w="835" w:type="dxa"/>
            <w:vAlign w:val="center"/>
          </w:tcPr>
          <w:p>
            <w:pPr>
              <w:jc w:val="right"/>
            </w:pPr>
            <w:r>
              <w:rPr>
                <w:sz w:val="24"/>
              </w:rPr>
              <w:t>18.78</w:t>
            </w:r>
          </w:p>
        </w:tc>
        <w:tc>
          <w:tcPr>
            <w:tcW w:w="834" w:type="dxa"/>
            <w:vAlign w:val="center"/>
          </w:tcPr>
          <w:p>
            <w:pPr>
              <w:jc w:val="right"/>
            </w:pPr>
            <w:r>
              <w:rPr>
                <w:sz w:val="24"/>
              </w:rPr>
              <w:t>31.94</w:t>
            </w:r>
          </w:p>
        </w:tc>
        <w:tc>
          <w:tcPr>
            <w:tcW w:w="835" w:type="dxa"/>
            <w:vAlign w:val="center"/>
          </w:tcPr>
          <w:p>
            <w:pPr>
              <w:jc w:val="right"/>
            </w:pPr>
            <w:r>
              <w:rPr>
                <w:sz w:val="24"/>
              </w:rPr>
              <w:t>281</w:t>
            </w:r>
          </w:p>
        </w:tc>
        <w:tc>
          <w:tcPr>
            <w:tcW w:w="834" w:type="dxa"/>
            <w:vAlign w:val="center"/>
          </w:tcPr>
          <w:p>
            <w:pPr>
              <w:jc w:val="right"/>
            </w:pPr>
            <w:r>
              <w:rPr>
                <w:sz w:val="24"/>
              </w:rPr>
              <w:t>5,277.18</w:t>
            </w:r>
          </w:p>
        </w:tc>
        <w:tc>
          <w:tcPr>
            <w:tcW w:w="835" w:type="dxa"/>
            <w:vAlign w:val="center"/>
          </w:tcPr>
          <w:p>
            <w:pPr>
              <w:jc w:val="right"/>
            </w:pPr>
            <w:r>
              <w:rPr>
                <w:sz w:val="24"/>
              </w:rPr>
              <w:t>8,975.14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300918</w:t>
            </w:r>
          </w:p>
        </w:tc>
        <w:tc>
          <w:tcPr>
            <w:tcW w:w="835" w:type="dxa"/>
            <w:vAlign w:val="center"/>
          </w:tcPr>
          <w:p>
            <w:pPr>
              <w:jc w:val="center"/>
            </w:pPr>
            <w:r>
              <w:rPr>
                <w:sz w:val="24"/>
              </w:rPr>
              <w:t>南山智尚</w:t>
            </w:r>
          </w:p>
        </w:tc>
        <w:tc>
          <w:tcPr>
            <w:tcW w:w="834" w:type="dxa"/>
            <w:vAlign w:val="center"/>
          </w:tcPr>
          <w:p>
            <w:pPr>
              <w:jc w:val="center"/>
            </w:pPr>
            <w:r>
              <w:rPr>
                <w:sz w:val="24"/>
              </w:rPr>
              <w:t>2020-12-15</w:t>
            </w:r>
          </w:p>
        </w:tc>
        <w:tc>
          <w:tcPr>
            <w:tcW w:w="835" w:type="dxa"/>
            <w:vAlign w:val="center"/>
          </w:tcPr>
          <w:p>
            <w:pPr>
              <w:jc w:val="center"/>
            </w:pPr>
            <w:r>
              <w:rPr>
                <w:sz w:val="24"/>
              </w:rPr>
              <w:t>2021-06-22</w:t>
            </w:r>
          </w:p>
        </w:tc>
        <w:tc>
          <w:tcPr>
            <w:tcW w:w="834" w:type="dxa"/>
            <w:vAlign w:val="center"/>
          </w:tcPr>
          <w:p>
            <w:pPr>
              <w:jc w:val="center"/>
            </w:pPr>
            <w:r>
              <w:rPr>
                <w:sz w:val="24"/>
              </w:rPr>
              <w:t>限售股</w:t>
            </w:r>
          </w:p>
        </w:tc>
        <w:tc>
          <w:tcPr>
            <w:tcW w:w="835" w:type="dxa"/>
            <w:vAlign w:val="center"/>
          </w:tcPr>
          <w:p>
            <w:pPr>
              <w:jc w:val="right"/>
            </w:pPr>
            <w:r>
              <w:rPr>
                <w:sz w:val="24"/>
              </w:rPr>
              <w:t>4.97</w:t>
            </w:r>
          </w:p>
        </w:tc>
        <w:tc>
          <w:tcPr>
            <w:tcW w:w="834" w:type="dxa"/>
            <w:vAlign w:val="center"/>
          </w:tcPr>
          <w:p>
            <w:pPr>
              <w:jc w:val="right"/>
            </w:pPr>
            <w:r>
              <w:rPr>
                <w:sz w:val="24"/>
              </w:rPr>
              <w:t>8.94</w:t>
            </w:r>
          </w:p>
        </w:tc>
        <w:tc>
          <w:tcPr>
            <w:tcW w:w="835" w:type="dxa"/>
            <w:vAlign w:val="center"/>
          </w:tcPr>
          <w:p>
            <w:pPr>
              <w:jc w:val="right"/>
            </w:pPr>
            <w:r>
              <w:rPr>
                <w:sz w:val="24"/>
              </w:rPr>
              <w:t>936</w:t>
            </w:r>
          </w:p>
        </w:tc>
        <w:tc>
          <w:tcPr>
            <w:tcW w:w="834" w:type="dxa"/>
            <w:vAlign w:val="center"/>
          </w:tcPr>
          <w:p>
            <w:pPr>
              <w:jc w:val="right"/>
            </w:pPr>
            <w:r>
              <w:rPr>
                <w:sz w:val="24"/>
              </w:rPr>
              <w:t>4,651.92</w:t>
            </w:r>
          </w:p>
        </w:tc>
        <w:tc>
          <w:tcPr>
            <w:tcW w:w="835" w:type="dxa"/>
            <w:vAlign w:val="center"/>
          </w:tcPr>
          <w:p>
            <w:pPr>
              <w:jc w:val="right"/>
            </w:pPr>
            <w:r>
              <w:rPr>
                <w:sz w:val="24"/>
              </w:rPr>
              <w:t>8,367.84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300919</w:t>
            </w:r>
          </w:p>
        </w:tc>
        <w:tc>
          <w:tcPr>
            <w:tcW w:w="835" w:type="dxa"/>
            <w:vAlign w:val="center"/>
          </w:tcPr>
          <w:p>
            <w:pPr>
              <w:jc w:val="center"/>
            </w:pPr>
            <w:r>
              <w:rPr>
                <w:sz w:val="24"/>
              </w:rPr>
              <w:t>中伟股份</w:t>
            </w:r>
          </w:p>
        </w:tc>
        <w:tc>
          <w:tcPr>
            <w:tcW w:w="834" w:type="dxa"/>
            <w:vAlign w:val="center"/>
          </w:tcPr>
          <w:p>
            <w:pPr>
              <w:jc w:val="center"/>
            </w:pPr>
            <w:r>
              <w:rPr>
                <w:sz w:val="24"/>
              </w:rPr>
              <w:t>2020-12-15</w:t>
            </w:r>
          </w:p>
        </w:tc>
        <w:tc>
          <w:tcPr>
            <w:tcW w:w="835" w:type="dxa"/>
            <w:vAlign w:val="center"/>
          </w:tcPr>
          <w:p>
            <w:pPr>
              <w:jc w:val="center"/>
            </w:pPr>
            <w:r>
              <w:rPr>
                <w:sz w:val="24"/>
              </w:rPr>
              <w:t>2021-06-23</w:t>
            </w:r>
          </w:p>
        </w:tc>
        <w:tc>
          <w:tcPr>
            <w:tcW w:w="834" w:type="dxa"/>
            <w:vAlign w:val="center"/>
          </w:tcPr>
          <w:p>
            <w:pPr>
              <w:jc w:val="center"/>
            </w:pPr>
            <w:r>
              <w:rPr>
                <w:sz w:val="24"/>
              </w:rPr>
              <w:t>限售股</w:t>
            </w:r>
          </w:p>
        </w:tc>
        <w:tc>
          <w:tcPr>
            <w:tcW w:w="835" w:type="dxa"/>
            <w:vAlign w:val="center"/>
          </w:tcPr>
          <w:p>
            <w:pPr>
              <w:jc w:val="right"/>
            </w:pPr>
            <w:r>
              <w:rPr>
                <w:sz w:val="24"/>
              </w:rPr>
              <w:t>24.60</w:t>
            </w:r>
          </w:p>
        </w:tc>
        <w:tc>
          <w:tcPr>
            <w:tcW w:w="834" w:type="dxa"/>
            <w:vAlign w:val="center"/>
          </w:tcPr>
          <w:p>
            <w:pPr>
              <w:jc w:val="right"/>
            </w:pPr>
            <w:r>
              <w:rPr>
                <w:sz w:val="24"/>
              </w:rPr>
              <w:t>61.51</w:t>
            </w:r>
          </w:p>
        </w:tc>
        <w:tc>
          <w:tcPr>
            <w:tcW w:w="835" w:type="dxa"/>
            <w:vAlign w:val="center"/>
          </w:tcPr>
          <w:p>
            <w:pPr>
              <w:jc w:val="right"/>
            </w:pPr>
            <w:r>
              <w:rPr>
                <w:sz w:val="24"/>
              </w:rPr>
              <w:t>250</w:t>
            </w:r>
          </w:p>
        </w:tc>
        <w:tc>
          <w:tcPr>
            <w:tcW w:w="834" w:type="dxa"/>
            <w:vAlign w:val="center"/>
          </w:tcPr>
          <w:p>
            <w:pPr>
              <w:jc w:val="right"/>
            </w:pPr>
            <w:r>
              <w:rPr>
                <w:sz w:val="24"/>
              </w:rPr>
              <w:t>6,150.00</w:t>
            </w:r>
          </w:p>
        </w:tc>
        <w:tc>
          <w:tcPr>
            <w:tcW w:w="835" w:type="dxa"/>
            <w:vAlign w:val="center"/>
          </w:tcPr>
          <w:p>
            <w:pPr>
              <w:jc w:val="right"/>
            </w:pPr>
            <w:r>
              <w:rPr>
                <w:sz w:val="24"/>
              </w:rPr>
              <w:t>15,377.50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300922</w:t>
            </w:r>
          </w:p>
        </w:tc>
        <w:tc>
          <w:tcPr>
            <w:tcW w:w="835" w:type="dxa"/>
            <w:vAlign w:val="center"/>
          </w:tcPr>
          <w:p>
            <w:pPr>
              <w:jc w:val="center"/>
            </w:pPr>
            <w:r>
              <w:rPr>
                <w:sz w:val="24"/>
              </w:rPr>
              <w:t>天秦装备</w:t>
            </w:r>
          </w:p>
        </w:tc>
        <w:tc>
          <w:tcPr>
            <w:tcW w:w="834" w:type="dxa"/>
            <w:vAlign w:val="center"/>
          </w:tcPr>
          <w:p>
            <w:pPr>
              <w:jc w:val="center"/>
            </w:pPr>
            <w:r>
              <w:rPr>
                <w:sz w:val="24"/>
              </w:rPr>
              <w:t>2020-12-18</w:t>
            </w:r>
          </w:p>
        </w:tc>
        <w:tc>
          <w:tcPr>
            <w:tcW w:w="835" w:type="dxa"/>
            <w:vAlign w:val="center"/>
          </w:tcPr>
          <w:p>
            <w:pPr>
              <w:jc w:val="center"/>
            </w:pPr>
            <w:r>
              <w:rPr>
                <w:sz w:val="24"/>
              </w:rPr>
              <w:t>2021-06-25</w:t>
            </w:r>
          </w:p>
        </w:tc>
        <w:tc>
          <w:tcPr>
            <w:tcW w:w="834" w:type="dxa"/>
            <w:vAlign w:val="center"/>
          </w:tcPr>
          <w:p>
            <w:pPr>
              <w:jc w:val="center"/>
            </w:pPr>
            <w:r>
              <w:rPr>
                <w:sz w:val="24"/>
              </w:rPr>
              <w:t>限售股</w:t>
            </w:r>
          </w:p>
        </w:tc>
        <w:tc>
          <w:tcPr>
            <w:tcW w:w="835" w:type="dxa"/>
            <w:vAlign w:val="center"/>
          </w:tcPr>
          <w:p>
            <w:pPr>
              <w:jc w:val="right"/>
            </w:pPr>
            <w:r>
              <w:rPr>
                <w:sz w:val="24"/>
              </w:rPr>
              <w:t>16.05</w:t>
            </w:r>
          </w:p>
        </w:tc>
        <w:tc>
          <w:tcPr>
            <w:tcW w:w="834" w:type="dxa"/>
            <w:vAlign w:val="center"/>
          </w:tcPr>
          <w:p>
            <w:pPr>
              <w:jc w:val="right"/>
            </w:pPr>
            <w:r>
              <w:rPr>
                <w:sz w:val="24"/>
              </w:rPr>
              <w:t>31.58</w:t>
            </w:r>
          </w:p>
        </w:tc>
        <w:tc>
          <w:tcPr>
            <w:tcW w:w="835" w:type="dxa"/>
            <w:vAlign w:val="center"/>
          </w:tcPr>
          <w:p>
            <w:pPr>
              <w:jc w:val="right"/>
            </w:pPr>
            <w:r>
              <w:rPr>
                <w:sz w:val="24"/>
              </w:rPr>
              <w:t>287</w:t>
            </w:r>
          </w:p>
        </w:tc>
        <w:tc>
          <w:tcPr>
            <w:tcW w:w="834" w:type="dxa"/>
            <w:vAlign w:val="center"/>
          </w:tcPr>
          <w:p>
            <w:pPr>
              <w:jc w:val="right"/>
            </w:pPr>
            <w:r>
              <w:rPr>
                <w:sz w:val="24"/>
              </w:rPr>
              <w:t>4,606.35</w:t>
            </w:r>
          </w:p>
        </w:tc>
        <w:tc>
          <w:tcPr>
            <w:tcW w:w="835" w:type="dxa"/>
            <w:vAlign w:val="center"/>
          </w:tcPr>
          <w:p>
            <w:pPr>
              <w:jc w:val="right"/>
            </w:pPr>
            <w:r>
              <w:rPr>
                <w:sz w:val="24"/>
              </w:rPr>
              <w:t>9,063.46</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300925</w:t>
            </w:r>
          </w:p>
        </w:tc>
        <w:tc>
          <w:tcPr>
            <w:tcW w:w="835" w:type="dxa"/>
            <w:vAlign w:val="center"/>
          </w:tcPr>
          <w:p>
            <w:pPr>
              <w:jc w:val="center"/>
            </w:pPr>
            <w:r>
              <w:rPr>
                <w:sz w:val="24"/>
              </w:rPr>
              <w:t>法本信息</w:t>
            </w:r>
          </w:p>
        </w:tc>
        <w:tc>
          <w:tcPr>
            <w:tcW w:w="834" w:type="dxa"/>
            <w:vAlign w:val="center"/>
          </w:tcPr>
          <w:p>
            <w:pPr>
              <w:jc w:val="center"/>
            </w:pPr>
            <w:r>
              <w:rPr>
                <w:sz w:val="24"/>
              </w:rPr>
              <w:t>2020-12-21</w:t>
            </w:r>
          </w:p>
        </w:tc>
        <w:tc>
          <w:tcPr>
            <w:tcW w:w="835" w:type="dxa"/>
            <w:vAlign w:val="center"/>
          </w:tcPr>
          <w:p>
            <w:pPr>
              <w:jc w:val="center"/>
            </w:pPr>
            <w:r>
              <w:rPr>
                <w:sz w:val="24"/>
              </w:rPr>
              <w:t>2021-06-30</w:t>
            </w:r>
          </w:p>
        </w:tc>
        <w:tc>
          <w:tcPr>
            <w:tcW w:w="834" w:type="dxa"/>
            <w:vAlign w:val="center"/>
          </w:tcPr>
          <w:p>
            <w:pPr>
              <w:jc w:val="center"/>
            </w:pPr>
            <w:r>
              <w:rPr>
                <w:sz w:val="24"/>
              </w:rPr>
              <w:t>限售股</w:t>
            </w:r>
          </w:p>
        </w:tc>
        <w:tc>
          <w:tcPr>
            <w:tcW w:w="835" w:type="dxa"/>
            <w:vAlign w:val="center"/>
          </w:tcPr>
          <w:p>
            <w:pPr>
              <w:jc w:val="right"/>
            </w:pPr>
            <w:r>
              <w:rPr>
                <w:sz w:val="24"/>
              </w:rPr>
              <w:t>20.08</w:t>
            </w:r>
          </w:p>
        </w:tc>
        <w:tc>
          <w:tcPr>
            <w:tcW w:w="834" w:type="dxa"/>
            <w:vAlign w:val="center"/>
          </w:tcPr>
          <w:p>
            <w:pPr>
              <w:jc w:val="right"/>
            </w:pPr>
            <w:r>
              <w:rPr>
                <w:sz w:val="24"/>
              </w:rPr>
              <w:t>37.33</w:t>
            </w:r>
          </w:p>
        </w:tc>
        <w:tc>
          <w:tcPr>
            <w:tcW w:w="835" w:type="dxa"/>
            <w:vAlign w:val="center"/>
          </w:tcPr>
          <w:p>
            <w:pPr>
              <w:jc w:val="right"/>
            </w:pPr>
            <w:r>
              <w:rPr>
                <w:sz w:val="24"/>
              </w:rPr>
              <w:t>353</w:t>
            </w:r>
          </w:p>
        </w:tc>
        <w:tc>
          <w:tcPr>
            <w:tcW w:w="834" w:type="dxa"/>
            <w:vAlign w:val="center"/>
          </w:tcPr>
          <w:p>
            <w:pPr>
              <w:jc w:val="right"/>
            </w:pPr>
            <w:r>
              <w:rPr>
                <w:sz w:val="24"/>
              </w:rPr>
              <w:t>7,088.24</w:t>
            </w:r>
          </w:p>
        </w:tc>
        <w:tc>
          <w:tcPr>
            <w:tcW w:w="835" w:type="dxa"/>
            <w:vAlign w:val="center"/>
          </w:tcPr>
          <w:p>
            <w:pPr>
              <w:jc w:val="right"/>
            </w:pPr>
            <w:r>
              <w:rPr>
                <w:sz w:val="24"/>
              </w:rPr>
              <w:t>13,177.49</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300926</w:t>
            </w:r>
          </w:p>
        </w:tc>
        <w:tc>
          <w:tcPr>
            <w:tcW w:w="835" w:type="dxa"/>
            <w:vAlign w:val="center"/>
          </w:tcPr>
          <w:p>
            <w:pPr>
              <w:jc w:val="center"/>
            </w:pPr>
            <w:r>
              <w:rPr>
                <w:sz w:val="24"/>
              </w:rPr>
              <w:t>博俊科技</w:t>
            </w:r>
          </w:p>
        </w:tc>
        <w:tc>
          <w:tcPr>
            <w:tcW w:w="834" w:type="dxa"/>
            <w:vAlign w:val="center"/>
          </w:tcPr>
          <w:p>
            <w:pPr>
              <w:jc w:val="center"/>
            </w:pPr>
            <w:r>
              <w:rPr>
                <w:sz w:val="24"/>
              </w:rPr>
              <w:t>2020-12-29</w:t>
            </w:r>
          </w:p>
        </w:tc>
        <w:tc>
          <w:tcPr>
            <w:tcW w:w="835" w:type="dxa"/>
            <w:vAlign w:val="center"/>
          </w:tcPr>
          <w:p>
            <w:pPr>
              <w:jc w:val="center"/>
            </w:pPr>
            <w:r>
              <w:rPr>
                <w:sz w:val="24"/>
              </w:rPr>
              <w:t>2021-07-07</w:t>
            </w:r>
          </w:p>
        </w:tc>
        <w:tc>
          <w:tcPr>
            <w:tcW w:w="834" w:type="dxa"/>
            <w:vAlign w:val="center"/>
          </w:tcPr>
          <w:p>
            <w:pPr>
              <w:jc w:val="center"/>
            </w:pPr>
            <w:r>
              <w:rPr>
                <w:sz w:val="24"/>
              </w:rPr>
              <w:t>限售股</w:t>
            </w:r>
          </w:p>
        </w:tc>
        <w:tc>
          <w:tcPr>
            <w:tcW w:w="835" w:type="dxa"/>
            <w:vAlign w:val="center"/>
          </w:tcPr>
          <w:p>
            <w:pPr>
              <w:jc w:val="right"/>
            </w:pPr>
            <w:r>
              <w:rPr>
                <w:sz w:val="24"/>
              </w:rPr>
              <w:t>10.76</w:t>
            </w:r>
          </w:p>
        </w:tc>
        <w:tc>
          <w:tcPr>
            <w:tcW w:w="834" w:type="dxa"/>
            <w:vAlign w:val="center"/>
          </w:tcPr>
          <w:p>
            <w:pPr>
              <w:jc w:val="right"/>
            </w:pPr>
            <w:r>
              <w:rPr>
                <w:sz w:val="24"/>
              </w:rPr>
              <w:t>10.76</w:t>
            </w:r>
          </w:p>
        </w:tc>
        <w:tc>
          <w:tcPr>
            <w:tcW w:w="835" w:type="dxa"/>
            <w:vAlign w:val="center"/>
          </w:tcPr>
          <w:p>
            <w:pPr>
              <w:jc w:val="right"/>
            </w:pPr>
            <w:r>
              <w:rPr>
                <w:sz w:val="24"/>
              </w:rPr>
              <w:t>359</w:t>
            </w:r>
          </w:p>
        </w:tc>
        <w:tc>
          <w:tcPr>
            <w:tcW w:w="834" w:type="dxa"/>
            <w:vAlign w:val="center"/>
          </w:tcPr>
          <w:p>
            <w:pPr>
              <w:jc w:val="right"/>
            </w:pPr>
            <w:r>
              <w:rPr>
                <w:sz w:val="24"/>
              </w:rPr>
              <w:t>3,862.84</w:t>
            </w:r>
          </w:p>
        </w:tc>
        <w:tc>
          <w:tcPr>
            <w:tcW w:w="835" w:type="dxa"/>
            <w:vAlign w:val="center"/>
          </w:tcPr>
          <w:p>
            <w:pPr>
              <w:jc w:val="right"/>
            </w:pPr>
            <w:r>
              <w:rPr>
                <w:sz w:val="24"/>
              </w:rPr>
              <w:t>3,862.84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300926</w:t>
            </w:r>
          </w:p>
        </w:tc>
        <w:tc>
          <w:tcPr>
            <w:tcW w:w="835" w:type="dxa"/>
            <w:vAlign w:val="center"/>
          </w:tcPr>
          <w:p>
            <w:pPr>
              <w:jc w:val="center"/>
            </w:pPr>
            <w:r>
              <w:rPr>
                <w:sz w:val="24"/>
              </w:rPr>
              <w:t>博俊科技</w:t>
            </w:r>
          </w:p>
        </w:tc>
        <w:tc>
          <w:tcPr>
            <w:tcW w:w="834" w:type="dxa"/>
            <w:vAlign w:val="center"/>
          </w:tcPr>
          <w:p>
            <w:pPr>
              <w:jc w:val="center"/>
            </w:pPr>
            <w:r>
              <w:rPr>
                <w:sz w:val="24"/>
              </w:rPr>
              <w:t>2020-12-29</w:t>
            </w:r>
          </w:p>
        </w:tc>
        <w:tc>
          <w:tcPr>
            <w:tcW w:w="835" w:type="dxa"/>
            <w:vAlign w:val="center"/>
          </w:tcPr>
          <w:p>
            <w:pPr>
              <w:jc w:val="center"/>
            </w:pPr>
            <w:r>
              <w:rPr>
                <w:sz w:val="24"/>
              </w:rPr>
              <w:t>2021-01-07</w:t>
            </w:r>
          </w:p>
        </w:tc>
        <w:tc>
          <w:tcPr>
            <w:tcW w:w="834" w:type="dxa"/>
            <w:vAlign w:val="center"/>
          </w:tcPr>
          <w:p>
            <w:pPr>
              <w:jc w:val="center"/>
            </w:pPr>
            <w:r>
              <w:rPr>
                <w:sz w:val="24"/>
              </w:rPr>
              <w:t>新股未上市</w:t>
            </w:r>
          </w:p>
        </w:tc>
        <w:tc>
          <w:tcPr>
            <w:tcW w:w="835" w:type="dxa"/>
            <w:vAlign w:val="center"/>
          </w:tcPr>
          <w:p>
            <w:pPr>
              <w:jc w:val="right"/>
            </w:pPr>
            <w:r>
              <w:rPr>
                <w:sz w:val="24"/>
              </w:rPr>
              <w:t>10.76</w:t>
            </w:r>
          </w:p>
        </w:tc>
        <w:tc>
          <w:tcPr>
            <w:tcW w:w="834" w:type="dxa"/>
            <w:vAlign w:val="center"/>
          </w:tcPr>
          <w:p>
            <w:pPr>
              <w:jc w:val="right"/>
            </w:pPr>
            <w:r>
              <w:rPr>
                <w:sz w:val="24"/>
              </w:rPr>
              <w:t>10.76</w:t>
            </w:r>
          </w:p>
        </w:tc>
        <w:tc>
          <w:tcPr>
            <w:tcW w:w="835" w:type="dxa"/>
            <w:vAlign w:val="center"/>
          </w:tcPr>
          <w:p>
            <w:pPr>
              <w:jc w:val="right"/>
            </w:pPr>
            <w:r>
              <w:rPr>
                <w:sz w:val="24"/>
              </w:rPr>
              <w:t>3,225</w:t>
            </w:r>
          </w:p>
        </w:tc>
        <w:tc>
          <w:tcPr>
            <w:tcW w:w="834" w:type="dxa"/>
            <w:vAlign w:val="center"/>
          </w:tcPr>
          <w:p>
            <w:pPr>
              <w:jc w:val="right"/>
            </w:pPr>
            <w:r>
              <w:rPr>
                <w:sz w:val="24"/>
              </w:rPr>
              <w:t>34,701.00</w:t>
            </w:r>
          </w:p>
        </w:tc>
        <w:tc>
          <w:tcPr>
            <w:tcW w:w="835" w:type="dxa"/>
            <w:vAlign w:val="center"/>
          </w:tcPr>
          <w:p>
            <w:pPr>
              <w:jc w:val="right"/>
            </w:pPr>
            <w:r>
              <w:rPr>
                <w:sz w:val="24"/>
              </w:rPr>
              <w:t>34,701.00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300927</w:t>
            </w:r>
          </w:p>
        </w:tc>
        <w:tc>
          <w:tcPr>
            <w:tcW w:w="835" w:type="dxa"/>
            <w:vAlign w:val="center"/>
          </w:tcPr>
          <w:p>
            <w:pPr>
              <w:jc w:val="center"/>
            </w:pPr>
            <w:r>
              <w:rPr>
                <w:sz w:val="24"/>
              </w:rPr>
              <w:t>江天化学</w:t>
            </w:r>
          </w:p>
        </w:tc>
        <w:tc>
          <w:tcPr>
            <w:tcW w:w="834" w:type="dxa"/>
            <w:vAlign w:val="center"/>
          </w:tcPr>
          <w:p>
            <w:pPr>
              <w:jc w:val="center"/>
            </w:pPr>
            <w:r>
              <w:rPr>
                <w:sz w:val="24"/>
              </w:rPr>
              <w:t>2020-12-29</w:t>
            </w:r>
          </w:p>
        </w:tc>
        <w:tc>
          <w:tcPr>
            <w:tcW w:w="835" w:type="dxa"/>
            <w:vAlign w:val="center"/>
          </w:tcPr>
          <w:p>
            <w:pPr>
              <w:jc w:val="center"/>
            </w:pPr>
            <w:r>
              <w:rPr>
                <w:sz w:val="24"/>
              </w:rPr>
              <w:t>2021-07-07</w:t>
            </w:r>
          </w:p>
        </w:tc>
        <w:tc>
          <w:tcPr>
            <w:tcW w:w="834" w:type="dxa"/>
            <w:vAlign w:val="center"/>
          </w:tcPr>
          <w:p>
            <w:pPr>
              <w:jc w:val="center"/>
            </w:pPr>
            <w:r>
              <w:rPr>
                <w:sz w:val="24"/>
              </w:rPr>
              <w:t>限售股</w:t>
            </w:r>
          </w:p>
        </w:tc>
        <w:tc>
          <w:tcPr>
            <w:tcW w:w="835" w:type="dxa"/>
            <w:vAlign w:val="center"/>
          </w:tcPr>
          <w:p>
            <w:pPr>
              <w:jc w:val="right"/>
            </w:pPr>
            <w:r>
              <w:rPr>
                <w:sz w:val="24"/>
              </w:rPr>
              <w:t>13.39</w:t>
            </w:r>
          </w:p>
        </w:tc>
        <w:tc>
          <w:tcPr>
            <w:tcW w:w="834" w:type="dxa"/>
            <w:vAlign w:val="center"/>
          </w:tcPr>
          <w:p>
            <w:pPr>
              <w:jc w:val="right"/>
            </w:pPr>
            <w:r>
              <w:rPr>
                <w:sz w:val="24"/>
              </w:rPr>
              <w:t>13.39</w:t>
            </w:r>
          </w:p>
        </w:tc>
        <w:tc>
          <w:tcPr>
            <w:tcW w:w="835" w:type="dxa"/>
            <w:vAlign w:val="center"/>
          </w:tcPr>
          <w:p>
            <w:pPr>
              <w:jc w:val="right"/>
            </w:pPr>
            <w:r>
              <w:rPr>
                <w:sz w:val="24"/>
              </w:rPr>
              <w:t>217</w:t>
            </w:r>
          </w:p>
        </w:tc>
        <w:tc>
          <w:tcPr>
            <w:tcW w:w="834" w:type="dxa"/>
            <w:vAlign w:val="center"/>
          </w:tcPr>
          <w:p>
            <w:pPr>
              <w:jc w:val="right"/>
            </w:pPr>
            <w:r>
              <w:rPr>
                <w:sz w:val="24"/>
              </w:rPr>
              <w:t>2,905.63</w:t>
            </w:r>
          </w:p>
        </w:tc>
        <w:tc>
          <w:tcPr>
            <w:tcW w:w="835" w:type="dxa"/>
            <w:vAlign w:val="center"/>
          </w:tcPr>
          <w:p>
            <w:pPr>
              <w:jc w:val="right"/>
            </w:pPr>
            <w:r>
              <w:rPr>
                <w:sz w:val="24"/>
              </w:rPr>
              <w:t>2,905.63</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300927</w:t>
            </w:r>
          </w:p>
        </w:tc>
        <w:tc>
          <w:tcPr>
            <w:tcW w:w="835" w:type="dxa"/>
            <w:vAlign w:val="center"/>
          </w:tcPr>
          <w:p>
            <w:pPr>
              <w:jc w:val="center"/>
            </w:pPr>
            <w:r>
              <w:rPr>
                <w:sz w:val="24"/>
              </w:rPr>
              <w:t>江天化学</w:t>
            </w:r>
          </w:p>
        </w:tc>
        <w:tc>
          <w:tcPr>
            <w:tcW w:w="834" w:type="dxa"/>
            <w:vAlign w:val="center"/>
          </w:tcPr>
          <w:p>
            <w:pPr>
              <w:jc w:val="center"/>
            </w:pPr>
            <w:r>
              <w:rPr>
                <w:sz w:val="24"/>
              </w:rPr>
              <w:t>2020-12-29</w:t>
            </w:r>
          </w:p>
        </w:tc>
        <w:tc>
          <w:tcPr>
            <w:tcW w:w="835" w:type="dxa"/>
            <w:vAlign w:val="center"/>
          </w:tcPr>
          <w:p>
            <w:pPr>
              <w:jc w:val="center"/>
            </w:pPr>
            <w:r>
              <w:rPr>
                <w:sz w:val="24"/>
              </w:rPr>
              <w:t>2021-01-07</w:t>
            </w:r>
          </w:p>
        </w:tc>
        <w:tc>
          <w:tcPr>
            <w:tcW w:w="834" w:type="dxa"/>
            <w:vAlign w:val="center"/>
          </w:tcPr>
          <w:p>
            <w:pPr>
              <w:jc w:val="center"/>
            </w:pPr>
            <w:r>
              <w:rPr>
                <w:sz w:val="24"/>
              </w:rPr>
              <w:t>新股未上市</w:t>
            </w:r>
          </w:p>
        </w:tc>
        <w:tc>
          <w:tcPr>
            <w:tcW w:w="835" w:type="dxa"/>
            <w:vAlign w:val="center"/>
          </w:tcPr>
          <w:p>
            <w:pPr>
              <w:jc w:val="right"/>
            </w:pPr>
            <w:r>
              <w:rPr>
                <w:sz w:val="24"/>
              </w:rPr>
              <w:t>13.39</w:t>
            </w:r>
          </w:p>
        </w:tc>
        <w:tc>
          <w:tcPr>
            <w:tcW w:w="834" w:type="dxa"/>
            <w:vAlign w:val="center"/>
          </w:tcPr>
          <w:p>
            <w:pPr>
              <w:jc w:val="right"/>
            </w:pPr>
            <w:r>
              <w:rPr>
                <w:sz w:val="24"/>
              </w:rPr>
              <w:t>13.39</w:t>
            </w:r>
          </w:p>
        </w:tc>
        <w:tc>
          <w:tcPr>
            <w:tcW w:w="835" w:type="dxa"/>
            <w:vAlign w:val="center"/>
          </w:tcPr>
          <w:p>
            <w:pPr>
              <w:jc w:val="right"/>
            </w:pPr>
            <w:r>
              <w:rPr>
                <w:sz w:val="24"/>
              </w:rPr>
              <w:t>1,946</w:t>
            </w:r>
          </w:p>
        </w:tc>
        <w:tc>
          <w:tcPr>
            <w:tcW w:w="834" w:type="dxa"/>
            <w:vAlign w:val="center"/>
          </w:tcPr>
          <w:p>
            <w:pPr>
              <w:jc w:val="right"/>
            </w:pPr>
            <w:r>
              <w:rPr>
                <w:sz w:val="24"/>
              </w:rPr>
              <w:t>26,056.94</w:t>
            </w:r>
          </w:p>
        </w:tc>
        <w:tc>
          <w:tcPr>
            <w:tcW w:w="835" w:type="dxa"/>
            <w:vAlign w:val="center"/>
          </w:tcPr>
          <w:p>
            <w:pPr>
              <w:jc w:val="right"/>
            </w:pPr>
            <w:r>
              <w:rPr>
                <w:sz w:val="24"/>
              </w:rPr>
              <w:t>26,056.94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300999</w:t>
            </w:r>
          </w:p>
        </w:tc>
        <w:tc>
          <w:tcPr>
            <w:tcW w:w="835" w:type="dxa"/>
            <w:vAlign w:val="center"/>
          </w:tcPr>
          <w:p>
            <w:pPr>
              <w:jc w:val="center"/>
            </w:pPr>
            <w:r>
              <w:rPr>
                <w:sz w:val="24"/>
              </w:rPr>
              <w:t>金龙鱼</w:t>
            </w:r>
          </w:p>
        </w:tc>
        <w:tc>
          <w:tcPr>
            <w:tcW w:w="834" w:type="dxa"/>
            <w:vAlign w:val="center"/>
          </w:tcPr>
          <w:p>
            <w:pPr>
              <w:jc w:val="center"/>
            </w:pPr>
            <w:r>
              <w:rPr>
                <w:sz w:val="24"/>
              </w:rPr>
              <w:t>2020-09-29</w:t>
            </w:r>
          </w:p>
        </w:tc>
        <w:tc>
          <w:tcPr>
            <w:tcW w:w="835" w:type="dxa"/>
            <w:vAlign w:val="center"/>
          </w:tcPr>
          <w:p>
            <w:pPr>
              <w:jc w:val="center"/>
            </w:pPr>
            <w:r>
              <w:rPr>
                <w:sz w:val="24"/>
              </w:rPr>
              <w:t>2021-04-15</w:t>
            </w:r>
          </w:p>
        </w:tc>
        <w:tc>
          <w:tcPr>
            <w:tcW w:w="834" w:type="dxa"/>
            <w:vAlign w:val="center"/>
          </w:tcPr>
          <w:p>
            <w:pPr>
              <w:jc w:val="center"/>
            </w:pPr>
            <w:r>
              <w:rPr>
                <w:sz w:val="24"/>
              </w:rPr>
              <w:t>限售股</w:t>
            </w:r>
          </w:p>
        </w:tc>
        <w:tc>
          <w:tcPr>
            <w:tcW w:w="835" w:type="dxa"/>
            <w:vAlign w:val="center"/>
          </w:tcPr>
          <w:p>
            <w:pPr>
              <w:jc w:val="right"/>
            </w:pPr>
            <w:r>
              <w:rPr>
                <w:sz w:val="24"/>
              </w:rPr>
              <w:t>25.70</w:t>
            </w:r>
          </w:p>
        </w:tc>
        <w:tc>
          <w:tcPr>
            <w:tcW w:w="834" w:type="dxa"/>
            <w:vAlign w:val="center"/>
          </w:tcPr>
          <w:p>
            <w:pPr>
              <w:jc w:val="right"/>
            </w:pPr>
            <w:r>
              <w:rPr>
                <w:sz w:val="24"/>
              </w:rPr>
              <w:t>88.29</w:t>
            </w:r>
          </w:p>
        </w:tc>
        <w:tc>
          <w:tcPr>
            <w:tcW w:w="835" w:type="dxa"/>
            <w:vAlign w:val="center"/>
          </w:tcPr>
          <w:p>
            <w:pPr>
              <w:jc w:val="right"/>
            </w:pPr>
            <w:r>
              <w:rPr>
                <w:sz w:val="24"/>
              </w:rPr>
              <w:t>1,590</w:t>
            </w:r>
          </w:p>
        </w:tc>
        <w:tc>
          <w:tcPr>
            <w:tcW w:w="834" w:type="dxa"/>
            <w:vAlign w:val="center"/>
          </w:tcPr>
          <w:p>
            <w:pPr>
              <w:jc w:val="right"/>
            </w:pPr>
            <w:r>
              <w:rPr>
                <w:sz w:val="24"/>
              </w:rPr>
              <w:t>40,863.00</w:t>
            </w:r>
          </w:p>
        </w:tc>
        <w:tc>
          <w:tcPr>
            <w:tcW w:w="835" w:type="dxa"/>
            <w:vAlign w:val="center"/>
          </w:tcPr>
          <w:p>
            <w:pPr>
              <w:jc w:val="right"/>
            </w:pPr>
            <w:r>
              <w:rPr>
                <w:sz w:val="24"/>
              </w:rPr>
              <w:t>140,381.10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605277</w:t>
            </w:r>
          </w:p>
        </w:tc>
        <w:tc>
          <w:tcPr>
            <w:tcW w:w="835" w:type="dxa"/>
            <w:vAlign w:val="center"/>
          </w:tcPr>
          <w:p>
            <w:pPr>
              <w:jc w:val="center"/>
            </w:pPr>
            <w:r>
              <w:rPr>
                <w:sz w:val="24"/>
              </w:rPr>
              <w:t>新亚电子</w:t>
            </w:r>
          </w:p>
        </w:tc>
        <w:tc>
          <w:tcPr>
            <w:tcW w:w="834" w:type="dxa"/>
            <w:vAlign w:val="center"/>
          </w:tcPr>
          <w:p>
            <w:pPr>
              <w:jc w:val="center"/>
            </w:pPr>
            <w:r>
              <w:rPr>
                <w:sz w:val="24"/>
              </w:rPr>
              <w:t>2020-12-25</w:t>
            </w:r>
          </w:p>
        </w:tc>
        <w:tc>
          <w:tcPr>
            <w:tcW w:w="835" w:type="dxa"/>
            <w:vAlign w:val="center"/>
          </w:tcPr>
          <w:p>
            <w:pPr>
              <w:jc w:val="center"/>
            </w:pPr>
            <w:r>
              <w:rPr>
                <w:sz w:val="24"/>
              </w:rPr>
              <w:t>2021-01-06</w:t>
            </w:r>
          </w:p>
        </w:tc>
        <w:tc>
          <w:tcPr>
            <w:tcW w:w="834" w:type="dxa"/>
            <w:vAlign w:val="center"/>
          </w:tcPr>
          <w:p>
            <w:pPr>
              <w:jc w:val="center"/>
            </w:pPr>
            <w:r>
              <w:rPr>
                <w:sz w:val="24"/>
              </w:rPr>
              <w:t>新股未上市</w:t>
            </w:r>
          </w:p>
        </w:tc>
        <w:tc>
          <w:tcPr>
            <w:tcW w:w="835" w:type="dxa"/>
            <w:vAlign w:val="center"/>
          </w:tcPr>
          <w:p>
            <w:pPr>
              <w:jc w:val="right"/>
            </w:pPr>
            <w:r>
              <w:rPr>
                <w:sz w:val="24"/>
              </w:rPr>
              <w:t>16.95</w:t>
            </w:r>
          </w:p>
        </w:tc>
        <w:tc>
          <w:tcPr>
            <w:tcW w:w="834" w:type="dxa"/>
            <w:vAlign w:val="center"/>
          </w:tcPr>
          <w:p>
            <w:pPr>
              <w:jc w:val="right"/>
            </w:pPr>
            <w:r>
              <w:rPr>
                <w:sz w:val="24"/>
              </w:rPr>
              <w:t>16.95</w:t>
            </w:r>
          </w:p>
        </w:tc>
        <w:tc>
          <w:tcPr>
            <w:tcW w:w="835" w:type="dxa"/>
            <w:vAlign w:val="center"/>
          </w:tcPr>
          <w:p>
            <w:pPr>
              <w:jc w:val="right"/>
            </w:pPr>
            <w:r>
              <w:rPr>
                <w:sz w:val="24"/>
              </w:rPr>
              <w:t>507</w:t>
            </w:r>
          </w:p>
        </w:tc>
        <w:tc>
          <w:tcPr>
            <w:tcW w:w="834" w:type="dxa"/>
            <w:vAlign w:val="center"/>
          </w:tcPr>
          <w:p>
            <w:pPr>
              <w:jc w:val="right"/>
            </w:pPr>
            <w:r>
              <w:rPr>
                <w:sz w:val="24"/>
              </w:rPr>
              <w:t>8,593.65</w:t>
            </w:r>
          </w:p>
        </w:tc>
        <w:tc>
          <w:tcPr>
            <w:tcW w:w="835" w:type="dxa"/>
            <w:vAlign w:val="center"/>
          </w:tcPr>
          <w:p>
            <w:pPr>
              <w:jc w:val="right"/>
            </w:pPr>
            <w:r>
              <w:rPr>
                <w:sz w:val="24"/>
              </w:rPr>
              <w:t>8,593.65</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688063</w:t>
            </w:r>
          </w:p>
        </w:tc>
        <w:tc>
          <w:tcPr>
            <w:tcW w:w="835" w:type="dxa"/>
            <w:vAlign w:val="center"/>
          </w:tcPr>
          <w:p>
            <w:pPr>
              <w:jc w:val="center"/>
            </w:pPr>
            <w:r>
              <w:rPr>
                <w:sz w:val="24"/>
              </w:rPr>
              <w:t>派能科技</w:t>
            </w:r>
          </w:p>
        </w:tc>
        <w:tc>
          <w:tcPr>
            <w:tcW w:w="834" w:type="dxa"/>
            <w:vAlign w:val="center"/>
          </w:tcPr>
          <w:p>
            <w:pPr>
              <w:jc w:val="center"/>
            </w:pPr>
            <w:r>
              <w:rPr>
                <w:sz w:val="24"/>
              </w:rPr>
              <w:t>2020-12-22</w:t>
            </w:r>
          </w:p>
        </w:tc>
        <w:tc>
          <w:tcPr>
            <w:tcW w:w="835" w:type="dxa"/>
            <w:vAlign w:val="center"/>
          </w:tcPr>
          <w:p>
            <w:pPr>
              <w:jc w:val="center"/>
            </w:pPr>
            <w:r>
              <w:rPr>
                <w:sz w:val="24"/>
              </w:rPr>
              <w:t>2021-06-30</w:t>
            </w:r>
          </w:p>
        </w:tc>
        <w:tc>
          <w:tcPr>
            <w:tcW w:w="834" w:type="dxa"/>
            <w:vAlign w:val="center"/>
          </w:tcPr>
          <w:p>
            <w:pPr>
              <w:jc w:val="center"/>
            </w:pPr>
            <w:r>
              <w:rPr>
                <w:sz w:val="24"/>
              </w:rPr>
              <w:t>限售股</w:t>
            </w:r>
          </w:p>
        </w:tc>
        <w:tc>
          <w:tcPr>
            <w:tcW w:w="835" w:type="dxa"/>
            <w:vAlign w:val="center"/>
          </w:tcPr>
          <w:p>
            <w:pPr>
              <w:jc w:val="right"/>
            </w:pPr>
            <w:r>
              <w:rPr>
                <w:sz w:val="24"/>
              </w:rPr>
              <w:t>56.00</w:t>
            </w:r>
          </w:p>
        </w:tc>
        <w:tc>
          <w:tcPr>
            <w:tcW w:w="834" w:type="dxa"/>
            <w:vAlign w:val="center"/>
          </w:tcPr>
          <w:p>
            <w:pPr>
              <w:jc w:val="right"/>
            </w:pPr>
            <w:r>
              <w:rPr>
                <w:sz w:val="24"/>
              </w:rPr>
              <w:t>189.24</w:t>
            </w:r>
          </w:p>
        </w:tc>
        <w:tc>
          <w:tcPr>
            <w:tcW w:w="835" w:type="dxa"/>
            <w:vAlign w:val="center"/>
          </w:tcPr>
          <w:p>
            <w:pPr>
              <w:jc w:val="right"/>
            </w:pPr>
            <w:r>
              <w:rPr>
                <w:sz w:val="24"/>
              </w:rPr>
              <w:t>1,589</w:t>
            </w:r>
          </w:p>
        </w:tc>
        <w:tc>
          <w:tcPr>
            <w:tcW w:w="834" w:type="dxa"/>
            <w:vAlign w:val="center"/>
          </w:tcPr>
          <w:p>
            <w:pPr>
              <w:jc w:val="right"/>
            </w:pPr>
            <w:r>
              <w:rPr>
                <w:sz w:val="24"/>
              </w:rPr>
              <w:t>88,984.00</w:t>
            </w:r>
          </w:p>
        </w:tc>
        <w:tc>
          <w:tcPr>
            <w:tcW w:w="835" w:type="dxa"/>
            <w:vAlign w:val="center"/>
          </w:tcPr>
          <w:p>
            <w:pPr>
              <w:jc w:val="right"/>
            </w:pPr>
            <w:r>
              <w:rPr>
                <w:sz w:val="24"/>
              </w:rPr>
              <w:t>300,702.36</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688215</w:t>
            </w:r>
          </w:p>
        </w:tc>
        <w:tc>
          <w:tcPr>
            <w:tcW w:w="835" w:type="dxa"/>
            <w:vAlign w:val="center"/>
          </w:tcPr>
          <w:p>
            <w:pPr>
              <w:jc w:val="center"/>
            </w:pPr>
            <w:r>
              <w:rPr>
                <w:sz w:val="24"/>
              </w:rPr>
              <w:t>瑞晟智能</w:t>
            </w:r>
          </w:p>
        </w:tc>
        <w:tc>
          <w:tcPr>
            <w:tcW w:w="834" w:type="dxa"/>
            <w:vAlign w:val="center"/>
          </w:tcPr>
          <w:p>
            <w:pPr>
              <w:jc w:val="center"/>
            </w:pPr>
            <w:r>
              <w:rPr>
                <w:sz w:val="24"/>
              </w:rPr>
              <w:t>2020-08-20</w:t>
            </w:r>
          </w:p>
        </w:tc>
        <w:tc>
          <w:tcPr>
            <w:tcW w:w="835" w:type="dxa"/>
            <w:vAlign w:val="center"/>
          </w:tcPr>
          <w:p>
            <w:pPr>
              <w:jc w:val="center"/>
            </w:pPr>
            <w:r>
              <w:rPr>
                <w:sz w:val="24"/>
              </w:rPr>
              <w:t>2021-03-01</w:t>
            </w:r>
          </w:p>
        </w:tc>
        <w:tc>
          <w:tcPr>
            <w:tcW w:w="834" w:type="dxa"/>
            <w:vAlign w:val="center"/>
          </w:tcPr>
          <w:p>
            <w:pPr>
              <w:jc w:val="center"/>
            </w:pPr>
            <w:r>
              <w:rPr>
                <w:sz w:val="24"/>
              </w:rPr>
              <w:t>限售股</w:t>
            </w:r>
          </w:p>
        </w:tc>
        <w:tc>
          <w:tcPr>
            <w:tcW w:w="835" w:type="dxa"/>
            <w:vAlign w:val="center"/>
          </w:tcPr>
          <w:p>
            <w:pPr>
              <w:jc w:val="right"/>
            </w:pPr>
            <w:r>
              <w:rPr>
                <w:sz w:val="24"/>
              </w:rPr>
              <w:t>34.73</w:t>
            </w:r>
          </w:p>
        </w:tc>
        <w:tc>
          <w:tcPr>
            <w:tcW w:w="834" w:type="dxa"/>
            <w:vAlign w:val="center"/>
          </w:tcPr>
          <w:p>
            <w:pPr>
              <w:jc w:val="right"/>
            </w:pPr>
            <w:r>
              <w:rPr>
                <w:sz w:val="24"/>
              </w:rPr>
              <w:t>46.12</w:t>
            </w:r>
          </w:p>
        </w:tc>
        <w:tc>
          <w:tcPr>
            <w:tcW w:w="835" w:type="dxa"/>
            <w:vAlign w:val="center"/>
          </w:tcPr>
          <w:p>
            <w:pPr>
              <w:jc w:val="right"/>
            </w:pPr>
            <w:r>
              <w:rPr>
                <w:sz w:val="24"/>
              </w:rPr>
              <w:t>1,229</w:t>
            </w:r>
          </w:p>
        </w:tc>
        <w:tc>
          <w:tcPr>
            <w:tcW w:w="834" w:type="dxa"/>
            <w:vAlign w:val="center"/>
          </w:tcPr>
          <w:p>
            <w:pPr>
              <w:jc w:val="right"/>
            </w:pPr>
            <w:r>
              <w:rPr>
                <w:sz w:val="24"/>
              </w:rPr>
              <w:t>42,683.17</w:t>
            </w:r>
          </w:p>
        </w:tc>
        <w:tc>
          <w:tcPr>
            <w:tcW w:w="835" w:type="dxa"/>
            <w:vAlign w:val="center"/>
          </w:tcPr>
          <w:p>
            <w:pPr>
              <w:jc w:val="right"/>
            </w:pPr>
            <w:r>
              <w:rPr>
                <w:sz w:val="24"/>
              </w:rPr>
              <w:t>56,681.48</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688377</w:t>
            </w:r>
          </w:p>
        </w:tc>
        <w:tc>
          <w:tcPr>
            <w:tcW w:w="835" w:type="dxa"/>
            <w:vAlign w:val="center"/>
          </w:tcPr>
          <w:p>
            <w:pPr>
              <w:jc w:val="center"/>
            </w:pPr>
            <w:r>
              <w:rPr>
                <w:sz w:val="24"/>
              </w:rPr>
              <w:t>迪威尔</w:t>
            </w:r>
          </w:p>
        </w:tc>
        <w:tc>
          <w:tcPr>
            <w:tcW w:w="834" w:type="dxa"/>
            <w:vAlign w:val="center"/>
          </w:tcPr>
          <w:p>
            <w:pPr>
              <w:jc w:val="center"/>
            </w:pPr>
            <w:r>
              <w:rPr>
                <w:sz w:val="24"/>
              </w:rPr>
              <w:t>2020-06-29</w:t>
            </w:r>
          </w:p>
        </w:tc>
        <w:tc>
          <w:tcPr>
            <w:tcW w:w="835" w:type="dxa"/>
            <w:vAlign w:val="center"/>
          </w:tcPr>
          <w:p>
            <w:pPr>
              <w:jc w:val="center"/>
            </w:pPr>
            <w:r>
              <w:rPr>
                <w:sz w:val="24"/>
              </w:rPr>
              <w:t>2021-01-08</w:t>
            </w:r>
          </w:p>
        </w:tc>
        <w:tc>
          <w:tcPr>
            <w:tcW w:w="834" w:type="dxa"/>
            <w:vAlign w:val="center"/>
          </w:tcPr>
          <w:p>
            <w:pPr>
              <w:jc w:val="center"/>
            </w:pPr>
            <w:r>
              <w:rPr>
                <w:sz w:val="24"/>
              </w:rPr>
              <w:t>限售股</w:t>
            </w:r>
          </w:p>
        </w:tc>
        <w:tc>
          <w:tcPr>
            <w:tcW w:w="835" w:type="dxa"/>
            <w:vAlign w:val="center"/>
          </w:tcPr>
          <w:p>
            <w:pPr>
              <w:jc w:val="right"/>
            </w:pPr>
            <w:r>
              <w:rPr>
                <w:sz w:val="24"/>
              </w:rPr>
              <w:t>16.42</w:t>
            </w:r>
          </w:p>
        </w:tc>
        <w:tc>
          <w:tcPr>
            <w:tcW w:w="834" w:type="dxa"/>
            <w:vAlign w:val="center"/>
          </w:tcPr>
          <w:p>
            <w:pPr>
              <w:jc w:val="right"/>
            </w:pPr>
            <w:r>
              <w:rPr>
                <w:sz w:val="24"/>
              </w:rPr>
              <w:t>18.68</w:t>
            </w:r>
          </w:p>
        </w:tc>
        <w:tc>
          <w:tcPr>
            <w:tcW w:w="835" w:type="dxa"/>
            <w:vAlign w:val="center"/>
          </w:tcPr>
          <w:p>
            <w:pPr>
              <w:jc w:val="right"/>
            </w:pPr>
            <w:r>
              <w:rPr>
                <w:sz w:val="24"/>
              </w:rPr>
              <w:t>6,578</w:t>
            </w:r>
          </w:p>
        </w:tc>
        <w:tc>
          <w:tcPr>
            <w:tcW w:w="834" w:type="dxa"/>
            <w:vAlign w:val="center"/>
          </w:tcPr>
          <w:p>
            <w:pPr>
              <w:jc w:val="right"/>
            </w:pPr>
            <w:r>
              <w:rPr>
                <w:sz w:val="24"/>
              </w:rPr>
              <w:t>108,010.76</w:t>
            </w:r>
          </w:p>
        </w:tc>
        <w:tc>
          <w:tcPr>
            <w:tcW w:w="835" w:type="dxa"/>
            <w:vAlign w:val="center"/>
          </w:tcPr>
          <w:p>
            <w:pPr>
              <w:jc w:val="right"/>
            </w:pPr>
            <w:r>
              <w:rPr>
                <w:sz w:val="24"/>
              </w:rPr>
              <w:t>122,877.04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688556</w:t>
            </w:r>
          </w:p>
        </w:tc>
        <w:tc>
          <w:tcPr>
            <w:tcW w:w="835" w:type="dxa"/>
            <w:vAlign w:val="center"/>
          </w:tcPr>
          <w:p>
            <w:pPr>
              <w:jc w:val="center"/>
            </w:pPr>
            <w:r>
              <w:rPr>
                <w:sz w:val="24"/>
              </w:rPr>
              <w:t>高测股份</w:t>
            </w:r>
          </w:p>
        </w:tc>
        <w:tc>
          <w:tcPr>
            <w:tcW w:w="834" w:type="dxa"/>
            <w:vAlign w:val="center"/>
          </w:tcPr>
          <w:p>
            <w:pPr>
              <w:jc w:val="center"/>
            </w:pPr>
            <w:r>
              <w:rPr>
                <w:sz w:val="24"/>
              </w:rPr>
              <w:t>2020-07-29</w:t>
            </w:r>
          </w:p>
        </w:tc>
        <w:tc>
          <w:tcPr>
            <w:tcW w:w="835" w:type="dxa"/>
            <w:vAlign w:val="center"/>
          </w:tcPr>
          <w:p>
            <w:pPr>
              <w:jc w:val="center"/>
            </w:pPr>
            <w:r>
              <w:rPr>
                <w:sz w:val="24"/>
              </w:rPr>
              <w:t>2021-02-08</w:t>
            </w:r>
          </w:p>
        </w:tc>
        <w:tc>
          <w:tcPr>
            <w:tcW w:w="834" w:type="dxa"/>
            <w:vAlign w:val="center"/>
          </w:tcPr>
          <w:p>
            <w:pPr>
              <w:jc w:val="center"/>
            </w:pPr>
            <w:r>
              <w:rPr>
                <w:sz w:val="24"/>
              </w:rPr>
              <w:t>限售股</w:t>
            </w:r>
          </w:p>
        </w:tc>
        <w:tc>
          <w:tcPr>
            <w:tcW w:w="835" w:type="dxa"/>
            <w:vAlign w:val="center"/>
          </w:tcPr>
          <w:p>
            <w:pPr>
              <w:jc w:val="right"/>
            </w:pPr>
            <w:r>
              <w:rPr>
                <w:sz w:val="24"/>
              </w:rPr>
              <w:t>14.41</w:t>
            </w:r>
          </w:p>
        </w:tc>
        <w:tc>
          <w:tcPr>
            <w:tcW w:w="834" w:type="dxa"/>
            <w:vAlign w:val="center"/>
          </w:tcPr>
          <w:p>
            <w:pPr>
              <w:jc w:val="right"/>
            </w:pPr>
            <w:r>
              <w:rPr>
                <w:sz w:val="24"/>
              </w:rPr>
              <w:t>26.93</w:t>
            </w:r>
          </w:p>
        </w:tc>
        <w:tc>
          <w:tcPr>
            <w:tcW w:w="835" w:type="dxa"/>
            <w:vAlign w:val="center"/>
          </w:tcPr>
          <w:p>
            <w:pPr>
              <w:jc w:val="right"/>
            </w:pPr>
            <w:r>
              <w:rPr>
                <w:sz w:val="24"/>
              </w:rPr>
              <w:t>6,896</w:t>
            </w:r>
          </w:p>
        </w:tc>
        <w:tc>
          <w:tcPr>
            <w:tcW w:w="834" w:type="dxa"/>
            <w:vAlign w:val="center"/>
          </w:tcPr>
          <w:p>
            <w:pPr>
              <w:jc w:val="right"/>
            </w:pPr>
            <w:r>
              <w:rPr>
                <w:sz w:val="24"/>
              </w:rPr>
              <w:t>99,371.36</w:t>
            </w:r>
          </w:p>
        </w:tc>
        <w:tc>
          <w:tcPr>
            <w:tcW w:w="835" w:type="dxa"/>
            <w:vAlign w:val="center"/>
          </w:tcPr>
          <w:p>
            <w:pPr>
              <w:jc w:val="right"/>
            </w:pPr>
            <w:r>
              <w:rPr>
                <w:sz w:val="24"/>
              </w:rPr>
              <w:t>185,709.28</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688580</w:t>
            </w:r>
          </w:p>
        </w:tc>
        <w:tc>
          <w:tcPr>
            <w:tcW w:w="835" w:type="dxa"/>
            <w:vAlign w:val="center"/>
          </w:tcPr>
          <w:p>
            <w:pPr>
              <w:jc w:val="center"/>
            </w:pPr>
            <w:r>
              <w:rPr>
                <w:sz w:val="24"/>
              </w:rPr>
              <w:t>伟思医疗</w:t>
            </w:r>
          </w:p>
        </w:tc>
        <w:tc>
          <w:tcPr>
            <w:tcW w:w="834" w:type="dxa"/>
            <w:vAlign w:val="center"/>
          </w:tcPr>
          <w:p>
            <w:pPr>
              <w:jc w:val="center"/>
            </w:pPr>
            <w:r>
              <w:rPr>
                <w:sz w:val="24"/>
              </w:rPr>
              <w:t>2020-07-10</w:t>
            </w:r>
          </w:p>
        </w:tc>
        <w:tc>
          <w:tcPr>
            <w:tcW w:w="835" w:type="dxa"/>
            <w:vAlign w:val="center"/>
          </w:tcPr>
          <w:p>
            <w:pPr>
              <w:jc w:val="center"/>
            </w:pPr>
            <w:r>
              <w:rPr>
                <w:sz w:val="24"/>
              </w:rPr>
              <w:t>2021-01-21</w:t>
            </w:r>
          </w:p>
        </w:tc>
        <w:tc>
          <w:tcPr>
            <w:tcW w:w="834" w:type="dxa"/>
            <w:vAlign w:val="center"/>
          </w:tcPr>
          <w:p>
            <w:pPr>
              <w:jc w:val="center"/>
            </w:pPr>
            <w:r>
              <w:rPr>
                <w:sz w:val="24"/>
              </w:rPr>
              <w:t>限售股</w:t>
            </w:r>
          </w:p>
        </w:tc>
        <w:tc>
          <w:tcPr>
            <w:tcW w:w="835" w:type="dxa"/>
            <w:vAlign w:val="center"/>
          </w:tcPr>
          <w:p>
            <w:pPr>
              <w:jc w:val="right"/>
            </w:pPr>
            <w:r>
              <w:rPr>
                <w:sz w:val="24"/>
              </w:rPr>
              <w:t>67.58</w:t>
            </w:r>
          </w:p>
        </w:tc>
        <w:tc>
          <w:tcPr>
            <w:tcW w:w="834" w:type="dxa"/>
            <w:vAlign w:val="center"/>
          </w:tcPr>
          <w:p>
            <w:pPr>
              <w:jc w:val="right"/>
            </w:pPr>
            <w:r>
              <w:rPr>
                <w:sz w:val="24"/>
              </w:rPr>
              <w:t>98.41</w:t>
            </w:r>
          </w:p>
        </w:tc>
        <w:tc>
          <w:tcPr>
            <w:tcW w:w="835" w:type="dxa"/>
            <w:vAlign w:val="center"/>
          </w:tcPr>
          <w:p>
            <w:pPr>
              <w:jc w:val="right"/>
            </w:pPr>
            <w:r>
              <w:rPr>
                <w:sz w:val="24"/>
              </w:rPr>
              <w:t>1,930</w:t>
            </w:r>
          </w:p>
        </w:tc>
        <w:tc>
          <w:tcPr>
            <w:tcW w:w="834" w:type="dxa"/>
            <w:vAlign w:val="center"/>
          </w:tcPr>
          <w:p>
            <w:pPr>
              <w:jc w:val="right"/>
            </w:pPr>
            <w:r>
              <w:rPr>
                <w:sz w:val="24"/>
              </w:rPr>
              <w:t>130,429.40</w:t>
            </w:r>
          </w:p>
        </w:tc>
        <w:tc>
          <w:tcPr>
            <w:tcW w:w="835" w:type="dxa"/>
            <w:vAlign w:val="center"/>
          </w:tcPr>
          <w:p>
            <w:pPr>
              <w:jc w:val="right"/>
            </w:pPr>
            <w:r>
              <w:rPr>
                <w:sz w:val="24"/>
              </w:rPr>
              <w:t>189,931.30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688617</w:t>
            </w:r>
          </w:p>
        </w:tc>
        <w:tc>
          <w:tcPr>
            <w:tcW w:w="835" w:type="dxa"/>
            <w:vAlign w:val="center"/>
          </w:tcPr>
          <w:p>
            <w:pPr>
              <w:jc w:val="center"/>
            </w:pPr>
            <w:r>
              <w:rPr>
                <w:sz w:val="24"/>
              </w:rPr>
              <w:t>惠泰医疗</w:t>
            </w:r>
          </w:p>
        </w:tc>
        <w:tc>
          <w:tcPr>
            <w:tcW w:w="834" w:type="dxa"/>
            <w:vAlign w:val="center"/>
          </w:tcPr>
          <w:p>
            <w:pPr>
              <w:jc w:val="center"/>
            </w:pPr>
            <w:r>
              <w:rPr>
                <w:sz w:val="24"/>
              </w:rPr>
              <w:t>2020-12-30</w:t>
            </w:r>
          </w:p>
        </w:tc>
        <w:tc>
          <w:tcPr>
            <w:tcW w:w="835" w:type="dxa"/>
            <w:vAlign w:val="center"/>
          </w:tcPr>
          <w:p>
            <w:pPr>
              <w:jc w:val="center"/>
            </w:pPr>
            <w:r>
              <w:rPr>
                <w:sz w:val="24"/>
              </w:rPr>
              <w:t>2021-01-07</w:t>
            </w:r>
          </w:p>
        </w:tc>
        <w:tc>
          <w:tcPr>
            <w:tcW w:w="834" w:type="dxa"/>
            <w:vAlign w:val="center"/>
          </w:tcPr>
          <w:p>
            <w:pPr>
              <w:jc w:val="center"/>
            </w:pPr>
            <w:r>
              <w:rPr>
                <w:sz w:val="24"/>
              </w:rPr>
              <w:t>新股未上市</w:t>
            </w:r>
          </w:p>
        </w:tc>
        <w:tc>
          <w:tcPr>
            <w:tcW w:w="835" w:type="dxa"/>
            <w:vAlign w:val="center"/>
          </w:tcPr>
          <w:p>
            <w:pPr>
              <w:jc w:val="right"/>
            </w:pPr>
            <w:r>
              <w:rPr>
                <w:sz w:val="24"/>
              </w:rPr>
              <w:t>74.46</w:t>
            </w:r>
          </w:p>
        </w:tc>
        <w:tc>
          <w:tcPr>
            <w:tcW w:w="834" w:type="dxa"/>
            <w:vAlign w:val="center"/>
          </w:tcPr>
          <w:p>
            <w:pPr>
              <w:jc w:val="right"/>
            </w:pPr>
            <w:r>
              <w:rPr>
                <w:sz w:val="24"/>
              </w:rPr>
              <w:t>74.46</w:t>
            </w:r>
          </w:p>
        </w:tc>
        <w:tc>
          <w:tcPr>
            <w:tcW w:w="835" w:type="dxa"/>
            <w:vAlign w:val="center"/>
          </w:tcPr>
          <w:p>
            <w:pPr>
              <w:jc w:val="right"/>
            </w:pPr>
            <w:r>
              <w:rPr>
                <w:sz w:val="24"/>
              </w:rPr>
              <w:t>870</w:t>
            </w:r>
          </w:p>
        </w:tc>
        <w:tc>
          <w:tcPr>
            <w:tcW w:w="834" w:type="dxa"/>
            <w:vAlign w:val="center"/>
          </w:tcPr>
          <w:p>
            <w:pPr>
              <w:jc w:val="right"/>
            </w:pPr>
            <w:r>
              <w:rPr>
                <w:sz w:val="24"/>
              </w:rPr>
              <w:t>64,780.20</w:t>
            </w:r>
          </w:p>
        </w:tc>
        <w:tc>
          <w:tcPr>
            <w:tcW w:w="835" w:type="dxa"/>
            <w:vAlign w:val="center"/>
          </w:tcPr>
          <w:p>
            <w:pPr>
              <w:jc w:val="right"/>
            </w:pPr>
            <w:r>
              <w:rPr>
                <w:sz w:val="24"/>
              </w:rPr>
              <w:t>64,780.20</w:t>
            </w:r>
          </w:p>
        </w:tc>
        <w:tc>
          <w:tcPr>
            <w:tcW w:w="835" w:type="dxa"/>
            <w:vAlign w:val="center"/>
          </w:tcPr>
          <w:p>
            <w:pPr>
              <w:jc w:val="center"/>
            </w:pPr>
            <w:r>
              <w:rPr>
                <w:sz w:val="24"/>
              </w:rPr>
              <w:t>-</w:t>
            </w:r>
          </w:p>
        </w:tc>
      </w:tr>
    </w:tbl>
    <w:p>
      <w:pPr>
        <w:tabs>
          <w:tab w:val="left" w:pos="426"/>
        </w:tabs>
        <w:spacing w:before="29" w:line="288" w:lineRule="auto"/>
        <w:jc w:val="left"/>
        <w:rPr>
          <w:kern w:val="0"/>
          <w:sz w:val="24"/>
        </w:rPr>
      </w:pPr>
      <w:r>
        <w:rPr>
          <w:kern w:val="0"/>
          <w:sz w:val="24"/>
        </w:rPr>
        <w:t>注：1、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pPr>
        <w:tabs>
          <w:tab w:val="left" w:pos="426"/>
        </w:tabs>
        <w:spacing w:before="29" w:line="288" w:lineRule="auto"/>
        <w:jc w:val="left"/>
        <w:rPr>
          <w:kern w:val="0"/>
          <w:sz w:val="24"/>
        </w:rPr>
      </w:pPr>
      <w:r>
        <w:rPr>
          <w:kern w:val="0"/>
          <w:sz w:val="24"/>
        </w:rPr>
        <w:t>2、本基金可作为特定投资者，认购首次公开发行股票时公司股东公开发售股份，所认购的股份自发行结束之日起12个月内不得转让。</w:t>
      </w:r>
    </w:p>
    <w:p>
      <w:pPr>
        <w:tabs>
          <w:tab w:val="left" w:pos="426"/>
        </w:tabs>
        <w:spacing w:before="29" w:line="288" w:lineRule="auto"/>
        <w:jc w:val="left"/>
        <w:rPr>
          <w:kern w:val="0"/>
          <w:sz w:val="24"/>
        </w:rPr>
      </w:pPr>
      <w:r>
        <w:rPr>
          <w:kern w:val="0"/>
          <w:sz w:val="24"/>
        </w:rPr>
        <w:t>3、本基金可作为特定投资者，参与上市公司公开或非公开发行股份认购。本基金可作为特定投资者所认购的2020年2月14日前发行完毕的非公开发行股份，自发行结束之日起12个月内不得转让。本基金所认购的2020年2月14日(含)后发行完毕的非公开发行股份，自发行结束之日起6个月内不得转让。本基金持有的上市公司非公开发行股份，采取集中竞价交易方式的，在任意连续90日内，减持股份的总数不得超过公司股份总数的1%，且自股份解除限售之日起12个月内，通过集中竞价交易减持的数量不得超过本基金持有该次非公开发行股份数量的50%；采取大宗交易方式的，在任意连续90日内，减持股份的总数不得超过公司股份总数的2%。本基金通过大宗交易方式受让的原上市公司大股东减持或者特定股东减持的股份，在受让后6个月内，不得转让所受让的股份。</w:t>
      </w:r>
    </w:p>
    <w:p>
      <w:pPr>
        <w:tabs>
          <w:tab w:val="left" w:pos="426"/>
        </w:tabs>
        <w:spacing w:before="29" w:line="288" w:lineRule="auto"/>
        <w:jc w:val="left"/>
        <w:rPr>
          <w:kern w:val="0"/>
          <w:sz w:val="24"/>
        </w:rPr>
      </w:pPr>
      <w:r>
        <w:rPr>
          <w:kern w:val="0"/>
          <w:sz w:val="24"/>
        </w:rPr>
        <w:t>4、本基金获配的科创板股票如经抽签方式确定需要锁定的，锁定期限为自发行人股票上市之日起6个月。本基金通过询价转让受让的股份，在受让后6个月内不得转让。</w:t>
      </w:r>
    </w:p>
    <w:p>
      <w:pPr>
        <w:tabs>
          <w:tab w:val="left" w:pos="426"/>
        </w:tabs>
        <w:spacing w:before="29" w:line="288" w:lineRule="auto"/>
        <w:jc w:val="left"/>
        <w:rPr>
          <w:kern w:val="0"/>
          <w:sz w:val="24"/>
        </w:rPr>
      </w:pPr>
      <w:r>
        <w:rPr>
          <w:kern w:val="0"/>
          <w:sz w:val="24"/>
        </w:rPr>
        <w:t>5、本基金可以通过</w:t>
      </w:r>
      <w:r>
        <w:rPr>
          <w:rFonts w:hint="eastAsia"/>
          <w:kern w:val="0"/>
          <w:sz w:val="24"/>
        </w:rPr>
        <w:t>网下</w:t>
      </w:r>
      <w:r>
        <w:rPr>
          <w:kern w:val="0"/>
          <w:sz w:val="24"/>
        </w:rPr>
        <w:t>发行获配的创业板股票。发行人和主承销商可以采用摇号限售方式或比例限售方式，安排获配的部分创业板股票设置不低于6个月的限售期。</w:t>
      </w:r>
    </w:p>
    <w:p>
      <w:pPr>
        <w:spacing w:line="360" w:lineRule="auto"/>
        <w:rPr>
          <w:rFonts w:asciiTheme="minorEastAsia" w:hAnsiTheme="minorEastAsia" w:eastAsiaTheme="minorEastAsia"/>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7.4.12.2</w:t>
      </w:r>
      <w:r>
        <w:rPr>
          <w:rFonts w:hint="eastAsia" w:eastAsiaTheme="minorEastAsia"/>
          <w:b/>
          <w:color w:val="000000" w:themeColor="text1"/>
          <w:sz w:val="24"/>
        </w:rPr>
        <w:t>期末持有的暂时停牌等流通受限股票</w:t>
      </w:r>
    </w:p>
    <w:p>
      <w:pPr>
        <w:tabs>
          <w:tab w:val="left" w:pos="426"/>
        </w:tabs>
        <w:spacing w:before="29" w:line="288" w:lineRule="auto"/>
        <w:jc w:val="left"/>
        <w:rPr>
          <w:kern w:val="0"/>
          <w:sz w:val="24"/>
        </w:rPr>
      </w:pPr>
      <w:r>
        <w:rPr>
          <w:kern w:val="0"/>
          <w:sz w:val="24"/>
        </w:rPr>
        <w:t>本基金本报告期末未持有暂时停牌等流通受限股票。</w:t>
      </w:r>
    </w:p>
    <w:p>
      <w:pPr>
        <w:spacing w:line="360" w:lineRule="auto"/>
        <w:rPr>
          <w:rFonts w:asciiTheme="minorEastAsia" w:hAnsiTheme="minorEastAsia" w:eastAsiaTheme="minorEastAsia"/>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7.4.12.3</w:t>
      </w:r>
      <w:r>
        <w:rPr>
          <w:rFonts w:hint="eastAsia" w:eastAsiaTheme="minorEastAsia"/>
          <w:b/>
          <w:color w:val="000000" w:themeColor="text1"/>
          <w:sz w:val="24"/>
        </w:rPr>
        <w:t>期末债券正回购交易中作为抵押的债券</w:t>
      </w:r>
    </w:p>
    <w:p>
      <w:pPr>
        <w:spacing w:before="29" w:line="288" w:lineRule="auto"/>
        <w:rPr>
          <w:color w:val="000000"/>
          <w:sz w:val="24"/>
        </w:rPr>
      </w:pPr>
      <w:r>
        <w:rPr>
          <w:color w:val="000000"/>
          <w:sz w:val="24"/>
        </w:rPr>
        <w:t>本基金本报告期末无从事债券正回购交易形成的卖出回购证券款余额。</w:t>
      </w:r>
    </w:p>
    <w:p>
      <w:pPr>
        <w:spacing w:before="29" w:line="288" w:lineRule="auto"/>
        <w:rPr>
          <w:color w:val="000000"/>
          <w:sz w:val="24"/>
        </w:rPr>
      </w:pPr>
    </w:p>
    <w:p>
      <w:pPr>
        <w:spacing w:line="360" w:lineRule="auto"/>
        <w:rPr>
          <w:rFonts w:eastAsiaTheme="minorEastAsia"/>
          <w:b/>
          <w:color w:val="000000" w:themeColor="text1"/>
          <w:sz w:val="24"/>
        </w:rPr>
      </w:pPr>
      <w:r>
        <w:rPr>
          <w:rFonts w:eastAsiaTheme="minorEastAsia"/>
          <w:b/>
          <w:color w:val="000000" w:themeColor="text1"/>
          <w:sz w:val="24"/>
        </w:rPr>
        <w:t>7.4.13</w:t>
      </w:r>
      <w:r>
        <w:rPr>
          <w:rFonts w:hint="eastAsia" w:eastAsiaTheme="minorEastAsia"/>
          <w:b/>
          <w:color w:val="000000" w:themeColor="text1"/>
          <w:sz w:val="24"/>
        </w:rPr>
        <w:t>金融工具风险及管理</w:t>
      </w:r>
    </w:p>
    <w:p>
      <w:pPr>
        <w:spacing w:line="360" w:lineRule="auto"/>
        <w:rPr>
          <w:rFonts w:eastAsiaTheme="minorEastAsia"/>
          <w:b/>
          <w:color w:val="000000" w:themeColor="text1"/>
          <w:sz w:val="24"/>
        </w:rPr>
      </w:pPr>
      <w:r>
        <w:rPr>
          <w:rFonts w:eastAsiaTheme="minorEastAsia"/>
          <w:b/>
          <w:color w:val="000000" w:themeColor="text1"/>
          <w:sz w:val="24"/>
        </w:rPr>
        <w:t>7.4.13.1</w:t>
      </w:r>
      <w:r>
        <w:rPr>
          <w:rFonts w:hint="eastAsia" w:eastAsiaTheme="minorEastAsia"/>
          <w:b/>
          <w:color w:val="000000" w:themeColor="text1"/>
          <w:sz w:val="24"/>
        </w:rPr>
        <w:t>风险管理政策和组织架构</w:t>
      </w:r>
    </w:p>
    <w:p>
      <w:pPr>
        <w:spacing w:before="29" w:line="288" w:lineRule="auto"/>
        <w:ind w:firstLine="480" w:firstLineChars="20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存托凭证）、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科技创新相关上市公司股票，以及具有较高息票率的债券，力争实现基金资产的长期稳定增值。</w:t>
      </w:r>
    </w:p>
    <w:p>
      <w:pPr>
        <w:spacing w:before="29" w:line="288" w:lineRule="auto"/>
        <w:ind w:firstLine="480" w:firstLineChars="20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pPr>
        <w:spacing w:before="29" w:line="288" w:lineRule="auto"/>
        <w:ind w:firstLine="480" w:firstLineChars="20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pPr>
        <w:spacing w:before="29" w:line="288" w:lineRule="auto"/>
        <w:ind w:firstLine="480" w:firstLineChars="200"/>
        <w:rPr>
          <w:color w:val="000000"/>
          <w:sz w:val="24"/>
        </w:rPr>
      </w:pPr>
      <w:r>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pPr>
        <w:adjustRightInd w:val="0"/>
        <w:spacing w:line="360" w:lineRule="auto"/>
        <w:ind w:firstLine="420" w:firstLineChars="200"/>
        <w:jc w:val="left"/>
        <w:rPr>
          <w:rFonts w:asciiTheme="minorEastAsia" w:hAnsiTheme="minorEastAsia" w:eastAsiaTheme="minorEastAsia"/>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7.4.13.2</w:t>
      </w:r>
      <w:r>
        <w:rPr>
          <w:rFonts w:hint="eastAsia" w:eastAsiaTheme="minorEastAsia"/>
          <w:b/>
          <w:color w:val="000000" w:themeColor="text1"/>
          <w:sz w:val="24"/>
        </w:rPr>
        <w:t>信用风险</w:t>
      </w:r>
    </w:p>
    <w:p>
      <w:pPr>
        <w:spacing w:before="29" w:line="288" w:lineRule="auto"/>
        <w:ind w:firstLine="480" w:firstLineChars="20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pPr>
        <w:spacing w:before="29" w:line="288" w:lineRule="auto"/>
        <w:ind w:firstLine="480" w:firstLineChars="200"/>
        <w:rPr>
          <w:color w:val="000000"/>
          <w:sz w:val="24"/>
        </w:rPr>
      </w:pPr>
      <w:r>
        <w:rPr>
          <w:color w:val="000000"/>
          <w:sz w:val="24"/>
        </w:rPr>
        <w:t>本基金的基金管理人在交易前对交易对手的资信状况进行了充分的评估。本基金的银行存款存放在本基金的托管人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pPr>
        <w:spacing w:before="29" w:line="288" w:lineRule="auto"/>
        <w:ind w:firstLine="480" w:firstLineChars="200"/>
        <w:rPr>
          <w:color w:val="000000"/>
          <w:sz w:val="24"/>
        </w:rPr>
      </w:pPr>
      <w:r>
        <w:rPr>
          <w:color w:val="000000"/>
          <w:sz w:val="24"/>
        </w:rPr>
        <w:t>本基金的基金管理人建立了信用风险管理流程，通过对投资品种信用等级评估来控制证券发行人的信用风险，且通过分散化投资以分散信用风险。于2020年12月31日，本基金未持有除国债、央行票据和政策性金融债以外的债券（2019年12月31日：无）。</w:t>
      </w:r>
    </w:p>
    <w:p>
      <w:pPr>
        <w:spacing w:line="360" w:lineRule="auto"/>
        <w:ind w:firstLine="420" w:firstLineChars="200"/>
        <w:jc w:val="left"/>
        <w:rPr>
          <w:rFonts w:asciiTheme="minorEastAsia" w:hAnsiTheme="minorEastAsia" w:eastAsiaTheme="minorEastAsia"/>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7.4.13.3</w:t>
      </w:r>
      <w:r>
        <w:rPr>
          <w:rFonts w:hint="eastAsia" w:eastAsiaTheme="minorEastAsia"/>
          <w:b/>
          <w:color w:val="000000" w:themeColor="text1"/>
          <w:sz w:val="24"/>
        </w:rPr>
        <w:t>流动性风险</w:t>
      </w:r>
    </w:p>
    <w:p>
      <w:pPr>
        <w:spacing w:before="29" w:line="288" w:lineRule="auto"/>
        <w:ind w:firstLine="480" w:firstLineChars="20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pPr>
        <w:spacing w:before="29" w:line="288" w:lineRule="auto"/>
        <w:ind w:firstLine="480" w:firstLineChars="20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pPr>
        <w:spacing w:before="29" w:line="288" w:lineRule="auto"/>
        <w:ind w:firstLine="480" w:firstLineChars="200"/>
        <w:rPr>
          <w:color w:val="000000"/>
          <w:sz w:val="24"/>
        </w:rPr>
      </w:pPr>
      <w:r>
        <w:rPr>
          <w:color w:val="000000"/>
          <w:sz w:val="24"/>
        </w:rPr>
        <w:t>于2020年12月31日，本基金所承担的全部金融负债的合约约定到期日均为一个月以内且不计息，可赎回基金份额净值(所有者权益)无固定到期日且不计息，因此账面余额即为未折现的合约到期现金流量。</w:t>
      </w:r>
    </w:p>
    <w:p>
      <w:pPr>
        <w:spacing w:before="29" w:line="288" w:lineRule="auto"/>
        <w:ind w:firstLine="480" w:firstLineChars="200"/>
        <w:rPr>
          <w:color w:val="000000"/>
          <w:sz w:val="24"/>
        </w:rPr>
      </w:pPr>
      <w:r>
        <w:rPr>
          <w:color w:val="000000"/>
          <w:sz w:val="24"/>
        </w:rPr>
        <w:t>注：流动性受限资产、7个工作日可变现资产的计算口径见《公开募集开放式证券投资基金流动性风险管理规定》第四十条。</w:t>
      </w:r>
    </w:p>
    <w:p>
      <w:pPr>
        <w:spacing w:line="360" w:lineRule="auto"/>
        <w:ind w:firstLine="420" w:firstLineChars="200"/>
        <w:rPr>
          <w:rFonts w:asciiTheme="minorEastAsia" w:hAnsiTheme="minorEastAsia" w:eastAsiaTheme="minorEastAsia"/>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7.4.13.3</w:t>
      </w:r>
      <w:r>
        <w:rPr>
          <w:rFonts w:hint="eastAsia" w:eastAsiaTheme="minorEastAsia"/>
          <w:b/>
          <w:color w:val="000000" w:themeColor="text1"/>
          <w:sz w:val="24"/>
        </w:rPr>
        <w:t>.1</w:t>
      </w:r>
      <w:r>
        <w:rPr>
          <w:rFonts w:eastAsiaTheme="minorEastAsia"/>
          <w:b/>
          <w:color w:val="000000" w:themeColor="text1"/>
          <w:sz w:val="24"/>
        </w:rPr>
        <w:t xml:space="preserve"> </w:t>
      </w:r>
      <w:r>
        <w:rPr>
          <w:rFonts w:hint="eastAsia" w:eastAsiaTheme="minorEastAsia"/>
          <w:b/>
          <w:color w:val="000000" w:themeColor="text1"/>
          <w:sz w:val="24"/>
        </w:rPr>
        <w:t>报告期内本基金组合资产的流动性风险分析</w:t>
      </w:r>
    </w:p>
    <w:p>
      <w:pPr>
        <w:widowControl/>
        <w:spacing w:line="360" w:lineRule="auto"/>
        <w:ind w:firstLine="420" w:firstLineChars="20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自2017年10月1日起施行)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pPr>
        <w:widowControl/>
        <w:spacing w:line="360" w:lineRule="auto"/>
        <w:ind w:firstLine="420" w:firstLineChars="20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10%，且本基金与由本基金的基金管理人管理的其他基金共同持有一家公司发行的证券不得超过该证券的10%。本基金与由本基金的基金管理人管理的其他开放式基金共同持有一家上市公司发行的可流通股票不得超过该上市公司可流通股票的15%，本基金与由本基金的基金管理人管理的全部投资组合持有一家上市公司发行的可流通股票，不得超过该上市公司可流通股票的30%(完全按照有关指数构成比例进行证券投资的开放式基金及中国证监会认定的特殊投资组合不受该比例限制)。</w:t>
      </w:r>
    </w:p>
    <w:p>
      <w:pPr>
        <w:widowControl/>
        <w:spacing w:line="360" w:lineRule="auto"/>
        <w:ind w:firstLine="420" w:firstLineChars="20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本基金所持部分证券在证券交易所上市，其余亦可在银行间同业市场交易，部分基金资产流通暂时受限制不能自由转让的情况参见附注7.4.12。 此外，本基金可通过卖出回购金融资产方式借入短期资金应对流动性需求，其上限一般不超过基金持有的债券投资的公允价值。本基金主动投资于流动性受限资产的市值合计不得超过基金资产净值的15%。</w:t>
      </w:r>
    </w:p>
    <w:p>
      <w:pPr>
        <w:widowControl/>
        <w:spacing w:line="360" w:lineRule="auto"/>
        <w:ind w:firstLine="420" w:firstLineChars="20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本基金的基金管理人每日对基金组合资产中7个工作日可变现资产的可变现价值进行审慎评估与测算，确保每日确认的净赎回申请不得超过7个工作日可变现资产的可变现价值。</w:t>
      </w:r>
    </w:p>
    <w:p>
      <w:pPr>
        <w:widowControl/>
        <w:spacing w:line="360" w:lineRule="auto"/>
        <w:ind w:firstLine="420" w:firstLineChars="20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pPr>
        <w:widowControl/>
        <w:spacing w:line="360" w:lineRule="auto"/>
        <w:ind w:firstLine="420" w:firstLineChars="200"/>
        <w:rPr>
          <w:rFonts w:eastAsiaTheme="minorEastAsia"/>
          <w:color w:val="000000" w:themeColor="text1"/>
          <w:kern w:val="0"/>
          <w:szCs w:val="21"/>
        </w:rPr>
      </w:pPr>
      <w:r>
        <w:rPr>
          <w:rFonts w:eastAsiaTheme="minorEastAsia"/>
          <w:color w:val="000000" w:themeColor="text1"/>
          <w:kern w:val="0"/>
          <w:szCs w:val="21"/>
        </w:rPr>
        <w:t>综合上述各项流动性指标的监测结果及流动性风险管理措施的实施，本基金在本报告期内流动性情况良好。</w:t>
      </w:r>
    </w:p>
    <w:p>
      <w:pPr>
        <w:widowControl/>
        <w:spacing w:line="360" w:lineRule="auto"/>
        <w:ind w:firstLine="420" w:firstLineChars="200"/>
        <w:rPr>
          <w:rFonts w:eastAsiaTheme="minorEastAsia"/>
          <w:color w:val="000000" w:themeColor="text1"/>
          <w:kern w:val="0"/>
          <w:szCs w:val="21"/>
        </w:rPr>
      </w:pPr>
    </w:p>
    <w:p>
      <w:pPr>
        <w:spacing w:line="360" w:lineRule="auto"/>
        <w:rPr>
          <w:rFonts w:eastAsiaTheme="minorEastAsia"/>
          <w:b/>
          <w:color w:val="000000" w:themeColor="text1"/>
          <w:sz w:val="24"/>
        </w:rPr>
      </w:pPr>
      <w:r>
        <w:rPr>
          <w:rFonts w:eastAsiaTheme="minorEastAsia"/>
          <w:b/>
          <w:color w:val="000000" w:themeColor="text1"/>
          <w:sz w:val="24"/>
        </w:rPr>
        <w:t>7.4.13.4</w:t>
      </w:r>
      <w:r>
        <w:rPr>
          <w:rFonts w:hint="eastAsia" w:eastAsiaTheme="minorEastAsia"/>
          <w:b/>
          <w:color w:val="000000" w:themeColor="text1"/>
          <w:sz w:val="24"/>
        </w:rPr>
        <w:t>市场风险</w:t>
      </w:r>
    </w:p>
    <w:p>
      <w:pPr>
        <w:spacing w:before="29" w:line="288" w:lineRule="auto"/>
        <w:ind w:firstLine="480" w:firstLineChars="200"/>
        <w:rPr>
          <w:color w:val="000000"/>
          <w:sz w:val="24"/>
        </w:rPr>
      </w:pPr>
      <w:r>
        <w:rPr>
          <w:color w:val="000000"/>
          <w:sz w:val="24"/>
        </w:rPr>
        <w:t>市场风险是指基金所持金融工具的公允价值或未来现金流量因所处市场各类价格因素的变动而发生波动的风险，包括利率风险、外汇风险和其他价格风险。</w:t>
      </w:r>
    </w:p>
    <w:p>
      <w:pPr>
        <w:spacing w:line="360" w:lineRule="auto"/>
        <w:ind w:firstLine="420" w:firstLineChars="200"/>
        <w:jc w:val="left"/>
        <w:rPr>
          <w:rFonts w:asciiTheme="minorEastAsia" w:hAnsiTheme="minorEastAsia" w:eastAsiaTheme="minorEastAsia"/>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7.4.13.4.1</w:t>
      </w:r>
      <w:r>
        <w:rPr>
          <w:rFonts w:hint="eastAsia" w:eastAsiaTheme="minorEastAsia"/>
          <w:b/>
          <w:color w:val="000000" w:themeColor="text1"/>
          <w:sz w:val="24"/>
        </w:rPr>
        <w:t>利率风险</w:t>
      </w:r>
    </w:p>
    <w:p>
      <w:pPr>
        <w:spacing w:before="29" w:line="288" w:lineRule="auto"/>
        <w:ind w:firstLine="480" w:firstLineChars="20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pPr>
        <w:spacing w:before="29" w:line="288" w:lineRule="auto"/>
        <w:ind w:firstLine="480" w:firstLineChars="200"/>
        <w:rPr>
          <w:color w:val="000000"/>
          <w:sz w:val="24"/>
        </w:rPr>
      </w:pPr>
      <w:r>
        <w:rPr>
          <w:color w:val="000000"/>
          <w:sz w:val="24"/>
        </w:rPr>
        <w:t>本基金的基金管理人定期对本基金面临的利率敏感性缺口进行监控，并通过调整投资组合的久期等方法对上述利率风险进行管理。</w:t>
      </w:r>
    </w:p>
    <w:p>
      <w:pPr>
        <w:spacing w:before="29" w:line="288" w:lineRule="auto"/>
        <w:ind w:firstLine="480" w:firstLineChars="200"/>
        <w:rPr>
          <w:color w:val="000000"/>
          <w:sz w:val="24"/>
        </w:rPr>
      </w:pPr>
      <w:r>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pPr>
        <w:spacing w:before="29" w:line="288" w:lineRule="auto"/>
        <w:ind w:firstLine="480" w:firstLineChars="200"/>
        <w:rPr>
          <w:color w:val="000000"/>
          <w:sz w:val="24"/>
        </w:rPr>
      </w:pPr>
      <w:r>
        <w:rPr>
          <w:color w:val="000000"/>
          <w:sz w:val="24"/>
        </w:rPr>
        <w:tab/>
      </w:r>
    </w:p>
    <w:p>
      <w:pPr>
        <w:spacing w:line="360" w:lineRule="auto"/>
        <w:rPr>
          <w:rFonts w:eastAsiaTheme="minorEastAsia"/>
          <w:b/>
          <w:color w:val="000000" w:themeColor="text1"/>
          <w:sz w:val="24"/>
        </w:rPr>
      </w:pPr>
      <w:r>
        <w:rPr>
          <w:rFonts w:eastAsiaTheme="minorEastAsia"/>
          <w:b/>
          <w:color w:val="000000" w:themeColor="text1"/>
          <w:sz w:val="24"/>
        </w:rPr>
        <w:t>7.4.13.4.1.1</w:t>
      </w:r>
      <w:r>
        <w:rPr>
          <w:rFonts w:hint="eastAsia" w:eastAsiaTheme="minorEastAsia"/>
          <w:b/>
          <w:color w:val="000000" w:themeColor="text1"/>
          <w:sz w:val="24"/>
        </w:rPr>
        <w:t>利率风险敞口</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25"/>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8"/>
        <w:gridCol w:w="1701"/>
        <w:gridCol w:w="1701"/>
        <w:gridCol w:w="1559"/>
        <w:gridCol w:w="1559"/>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jc w:val="center"/>
              <w:rPr>
                <w:b/>
                <w:sz w:val="18"/>
                <w:szCs w:val="18"/>
              </w:rPr>
            </w:pPr>
            <w:r>
              <w:rPr>
                <w:rFonts w:hint="eastAsia"/>
                <w:b/>
                <w:sz w:val="18"/>
                <w:szCs w:val="18"/>
              </w:rPr>
              <w:t>本期末</w:t>
            </w:r>
          </w:p>
          <w:p>
            <w:pPr>
              <w:spacing w:before="29" w:line="288" w:lineRule="auto"/>
              <w:jc w:val="center"/>
              <w:rPr>
                <w:b/>
                <w:sz w:val="18"/>
                <w:szCs w:val="18"/>
              </w:rPr>
            </w:pPr>
            <w:r>
              <w:rPr>
                <w:b/>
                <w:sz w:val="18"/>
                <w:szCs w:val="18"/>
              </w:rPr>
              <w:t>2020年12月31日</w:t>
            </w:r>
          </w:p>
        </w:tc>
        <w:tc>
          <w:tcPr>
            <w:tcW w:w="1701" w:type="dxa"/>
            <w:vAlign w:val="center"/>
          </w:tcPr>
          <w:p>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pPr>
              <w:spacing w:before="29" w:line="288" w:lineRule="auto"/>
              <w:jc w:val="center"/>
              <w:rPr>
                <w:b/>
                <w:sz w:val="18"/>
                <w:szCs w:val="18"/>
              </w:rPr>
            </w:pPr>
            <w:r>
              <w:rPr>
                <w:rFonts w:hint="eastAsia"/>
                <w:b/>
                <w:sz w:val="18"/>
                <w:szCs w:val="18"/>
              </w:rPr>
              <w:t>不计息</w:t>
            </w:r>
          </w:p>
        </w:tc>
        <w:tc>
          <w:tcPr>
            <w:tcW w:w="1301" w:type="dxa"/>
            <w:vAlign w:val="center"/>
          </w:tcPr>
          <w:p>
            <w:pPr>
              <w:spacing w:before="29" w:line="288" w:lineRule="auto"/>
              <w:jc w:val="center"/>
              <w:rPr>
                <w:b/>
                <w:sz w:val="18"/>
                <w:szCs w:val="18"/>
              </w:rPr>
            </w:pPr>
            <w:r>
              <w:rPr>
                <w:rFonts w:hint="eastAsia"/>
                <w:b/>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line="360" w:lineRule="auto"/>
              <w:rPr>
                <w:rFonts w:ascii="宋体" w:hAnsi="宋体"/>
                <w:color w:val="000000"/>
                <w:sz w:val="18"/>
                <w:szCs w:val="18"/>
              </w:rPr>
            </w:pPr>
            <w:r>
              <w:rPr>
                <w:rFonts w:hint="eastAsia" w:ascii="宋体" w:hAnsi="宋体"/>
                <w:color w:val="000000"/>
                <w:sz w:val="18"/>
                <w:szCs w:val="18"/>
              </w:rPr>
              <w:t>资产</w:t>
            </w:r>
          </w:p>
        </w:tc>
        <w:tc>
          <w:tcPr>
            <w:tcW w:w="1701" w:type="dxa"/>
            <w:vAlign w:val="center"/>
          </w:tcPr>
          <w:p>
            <w:pPr>
              <w:spacing w:line="360" w:lineRule="auto"/>
              <w:jc w:val="right"/>
              <w:rPr>
                <w:rFonts w:ascii="宋体" w:hAnsi="宋体"/>
                <w:color w:val="000000"/>
                <w:szCs w:val="21"/>
              </w:rPr>
            </w:pPr>
          </w:p>
        </w:tc>
        <w:tc>
          <w:tcPr>
            <w:tcW w:w="1701" w:type="dxa"/>
            <w:vAlign w:val="center"/>
          </w:tcPr>
          <w:p>
            <w:pPr>
              <w:spacing w:line="360" w:lineRule="auto"/>
              <w:jc w:val="right"/>
              <w:rPr>
                <w:rFonts w:ascii="宋体" w:hAnsi="宋体"/>
                <w:color w:val="000000"/>
                <w:szCs w:val="21"/>
              </w:rPr>
            </w:pPr>
          </w:p>
        </w:tc>
        <w:tc>
          <w:tcPr>
            <w:tcW w:w="1559" w:type="dxa"/>
            <w:vAlign w:val="center"/>
          </w:tcPr>
          <w:p>
            <w:pPr>
              <w:spacing w:line="360" w:lineRule="auto"/>
              <w:jc w:val="right"/>
              <w:rPr>
                <w:rFonts w:ascii="宋体" w:hAnsi="宋体"/>
                <w:color w:val="000000"/>
                <w:szCs w:val="21"/>
              </w:rPr>
            </w:pPr>
          </w:p>
        </w:tc>
        <w:tc>
          <w:tcPr>
            <w:tcW w:w="1559" w:type="dxa"/>
            <w:vAlign w:val="center"/>
          </w:tcPr>
          <w:p>
            <w:pPr>
              <w:spacing w:line="360" w:lineRule="auto"/>
              <w:jc w:val="right"/>
              <w:rPr>
                <w:rFonts w:ascii="宋体" w:hAnsi="宋体"/>
                <w:color w:val="000000"/>
                <w:szCs w:val="21"/>
              </w:rPr>
            </w:pPr>
          </w:p>
        </w:tc>
        <w:tc>
          <w:tcPr>
            <w:tcW w:w="1301" w:type="dxa"/>
            <w:vAlign w:val="center"/>
          </w:tcPr>
          <w:p>
            <w:pPr>
              <w:spacing w:line="360" w:lineRule="auto"/>
              <w:jc w:val="righ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银行存款</w:t>
            </w:r>
          </w:p>
        </w:tc>
        <w:tc>
          <w:tcPr>
            <w:tcW w:w="1701" w:type="dxa"/>
            <w:vAlign w:val="center"/>
          </w:tcPr>
          <w:p>
            <w:pPr>
              <w:jc w:val="right"/>
            </w:pPr>
            <w:r>
              <w:rPr>
                <w:color w:val="000000"/>
                <w:sz w:val="18"/>
                <w:szCs w:val="18"/>
              </w:rPr>
              <w:t>39,473,969.38</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39,473,969.38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结算备付金</w:t>
            </w:r>
          </w:p>
        </w:tc>
        <w:tc>
          <w:tcPr>
            <w:tcW w:w="1701" w:type="dxa"/>
            <w:vAlign w:val="center"/>
          </w:tcPr>
          <w:p>
            <w:pPr>
              <w:jc w:val="right"/>
            </w:pPr>
            <w:r>
              <w:rPr>
                <w:color w:val="000000"/>
                <w:sz w:val="18"/>
                <w:szCs w:val="18"/>
              </w:rPr>
              <w:t>914,636.90</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914,636.90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存出保证金</w:t>
            </w:r>
          </w:p>
        </w:tc>
        <w:tc>
          <w:tcPr>
            <w:tcW w:w="1701" w:type="dxa"/>
            <w:vAlign w:val="center"/>
          </w:tcPr>
          <w:p>
            <w:pPr>
              <w:jc w:val="right"/>
            </w:pPr>
            <w:r>
              <w:rPr>
                <w:color w:val="000000"/>
                <w:sz w:val="18"/>
                <w:szCs w:val="18"/>
              </w:rPr>
              <w:t>150,790.72</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150,790.72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交易性金融资产</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285,338,868.40</w:t>
            </w:r>
          </w:p>
        </w:tc>
        <w:tc>
          <w:tcPr>
            <w:tcW w:w="1301" w:type="dxa"/>
            <w:vAlign w:val="center"/>
          </w:tcPr>
          <w:p>
            <w:pPr>
              <w:jc w:val="right"/>
            </w:pPr>
            <w:r>
              <w:rPr>
                <w:color w:val="000000"/>
                <w:sz w:val="18"/>
                <w:szCs w:val="18"/>
              </w:rPr>
              <w:t>285,338,868.40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应收证券清算款</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3,452,307.95</w:t>
            </w:r>
          </w:p>
        </w:tc>
        <w:tc>
          <w:tcPr>
            <w:tcW w:w="1301" w:type="dxa"/>
            <w:vAlign w:val="center"/>
          </w:tcPr>
          <w:p>
            <w:pPr>
              <w:jc w:val="right"/>
            </w:pPr>
            <w:r>
              <w:rPr>
                <w:color w:val="000000"/>
                <w:sz w:val="18"/>
                <w:szCs w:val="18"/>
              </w:rPr>
              <w:t>3,452,307.95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应收利息</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3,600.78</w:t>
            </w:r>
          </w:p>
        </w:tc>
        <w:tc>
          <w:tcPr>
            <w:tcW w:w="1301" w:type="dxa"/>
            <w:vAlign w:val="center"/>
          </w:tcPr>
          <w:p>
            <w:pPr>
              <w:jc w:val="right"/>
            </w:pPr>
            <w:r>
              <w:rPr>
                <w:color w:val="000000"/>
                <w:sz w:val="18"/>
                <w:szCs w:val="18"/>
              </w:rPr>
              <w:t>3,600.78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应收申购款</w:t>
            </w:r>
          </w:p>
        </w:tc>
        <w:tc>
          <w:tcPr>
            <w:tcW w:w="1701" w:type="dxa"/>
            <w:vAlign w:val="center"/>
          </w:tcPr>
          <w:p>
            <w:pPr>
              <w:jc w:val="right"/>
            </w:pPr>
            <w:r>
              <w:rPr>
                <w:color w:val="000000"/>
                <w:sz w:val="18"/>
                <w:szCs w:val="18"/>
              </w:rPr>
              <w:t>22,370.27</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382,025.82</w:t>
            </w:r>
          </w:p>
        </w:tc>
        <w:tc>
          <w:tcPr>
            <w:tcW w:w="1301" w:type="dxa"/>
            <w:vAlign w:val="center"/>
          </w:tcPr>
          <w:p>
            <w:pPr>
              <w:jc w:val="right"/>
            </w:pPr>
            <w:r>
              <w:rPr>
                <w:color w:val="000000"/>
                <w:sz w:val="18"/>
                <w:szCs w:val="18"/>
              </w:rPr>
              <w:t>404,396.09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rFonts w:asciiTheme="minorEastAsia" w:hAnsiTheme="minorEastAsia" w:eastAsiaTheme="minorEastAsia"/>
                <w:color w:val="000000"/>
                <w:szCs w:val="21"/>
              </w:rPr>
            </w:pPr>
            <w:r>
              <w:rPr>
                <w:rFonts w:hint="eastAsia"/>
                <w:color w:val="000000"/>
                <w:sz w:val="18"/>
                <w:szCs w:val="18"/>
              </w:rPr>
              <w:t>资产总计</w:t>
            </w:r>
          </w:p>
        </w:tc>
        <w:tc>
          <w:tcPr>
            <w:tcW w:w="1701" w:type="dxa"/>
            <w:vAlign w:val="center"/>
          </w:tcPr>
          <w:p>
            <w:pPr>
              <w:spacing w:before="29" w:line="288" w:lineRule="auto"/>
              <w:jc w:val="right"/>
              <w:rPr>
                <w:sz w:val="18"/>
                <w:szCs w:val="18"/>
              </w:rPr>
            </w:pPr>
            <w:r>
              <w:rPr>
                <w:sz w:val="18"/>
                <w:szCs w:val="18"/>
              </w:rPr>
              <w:t>40,561,767.27</w:t>
            </w:r>
          </w:p>
        </w:tc>
        <w:tc>
          <w:tcPr>
            <w:tcW w:w="1701" w:type="dxa"/>
            <w:vAlign w:val="center"/>
          </w:tcPr>
          <w:p>
            <w:pPr>
              <w:spacing w:before="29" w:line="288" w:lineRule="auto"/>
              <w:jc w:val="right"/>
              <w:rPr>
                <w:sz w:val="18"/>
                <w:szCs w:val="18"/>
              </w:rPr>
            </w:pPr>
            <w:r>
              <w:rPr>
                <w:sz w:val="18"/>
                <w:szCs w:val="18"/>
              </w:rPr>
              <w:t>-</w:t>
            </w:r>
          </w:p>
        </w:tc>
        <w:tc>
          <w:tcPr>
            <w:tcW w:w="1559" w:type="dxa"/>
            <w:vAlign w:val="center"/>
          </w:tcPr>
          <w:p>
            <w:pPr>
              <w:spacing w:before="29" w:line="288" w:lineRule="auto"/>
              <w:jc w:val="right"/>
              <w:rPr>
                <w:sz w:val="18"/>
                <w:szCs w:val="18"/>
              </w:rPr>
            </w:pPr>
            <w:r>
              <w:rPr>
                <w:sz w:val="18"/>
                <w:szCs w:val="18"/>
              </w:rPr>
              <w:t>-</w:t>
            </w:r>
          </w:p>
        </w:tc>
        <w:tc>
          <w:tcPr>
            <w:tcW w:w="1559" w:type="dxa"/>
            <w:vAlign w:val="center"/>
          </w:tcPr>
          <w:p>
            <w:pPr>
              <w:spacing w:before="29" w:line="288" w:lineRule="auto"/>
              <w:jc w:val="right"/>
              <w:rPr>
                <w:sz w:val="18"/>
                <w:szCs w:val="18"/>
              </w:rPr>
            </w:pPr>
            <w:r>
              <w:rPr>
                <w:sz w:val="18"/>
                <w:szCs w:val="18"/>
              </w:rPr>
              <w:t>289,176,802.95</w:t>
            </w:r>
          </w:p>
        </w:tc>
        <w:tc>
          <w:tcPr>
            <w:tcW w:w="1301" w:type="dxa"/>
            <w:vAlign w:val="center"/>
          </w:tcPr>
          <w:p>
            <w:pPr>
              <w:spacing w:before="29" w:line="288" w:lineRule="auto"/>
              <w:jc w:val="right"/>
              <w:rPr>
                <w:sz w:val="18"/>
                <w:szCs w:val="18"/>
              </w:rPr>
            </w:pPr>
            <w:r>
              <w:rPr>
                <w:sz w:val="18"/>
                <w:szCs w:val="18"/>
              </w:rPr>
              <w:t>329,738,570.22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rFonts w:ascii="宋体" w:hAnsi="宋体"/>
                <w:color w:val="000000"/>
                <w:szCs w:val="21"/>
              </w:rPr>
            </w:pPr>
            <w:r>
              <w:rPr>
                <w:rFonts w:hint="eastAsia"/>
                <w:color w:val="000000"/>
                <w:sz w:val="18"/>
                <w:szCs w:val="18"/>
              </w:rPr>
              <w:t>负债</w:t>
            </w:r>
          </w:p>
        </w:tc>
        <w:tc>
          <w:tcPr>
            <w:tcW w:w="1701" w:type="dxa"/>
            <w:vAlign w:val="center"/>
          </w:tcPr>
          <w:p>
            <w:pPr>
              <w:spacing w:line="360" w:lineRule="auto"/>
              <w:jc w:val="right"/>
              <w:rPr>
                <w:rFonts w:ascii="宋体" w:hAnsi="宋体"/>
                <w:color w:val="0000FF"/>
                <w:kern w:val="0"/>
                <w:szCs w:val="21"/>
              </w:rPr>
            </w:pPr>
          </w:p>
        </w:tc>
        <w:tc>
          <w:tcPr>
            <w:tcW w:w="1701" w:type="dxa"/>
            <w:vAlign w:val="center"/>
          </w:tcPr>
          <w:p>
            <w:pPr>
              <w:spacing w:line="360" w:lineRule="auto"/>
              <w:jc w:val="right"/>
              <w:rPr>
                <w:rFonts w:ascii="宋体" w:hAnsi="宋体"/>
                <w:color w:val="000000"/>
                <w:szCs w:val="21"/>
              </w:rPr>
            </w:pPr>
          </w:p>
        </w:tc>
        <w:tc>
          <w:tcPr>
            <w:tcW w:w="1559" w:type="dxa"/>
            <w:vAlign w:val="center"/>
          </w:tcPr>
          <w:p>
            <w:pPr>
              <w:spacing w:line="360" w:lineRule="auto"/>
              <w:jc w:val="right"/>
              <w:rPr>
                <w:rFonts w:ascii="宋体" w:hAnsi="宋体"/>
                <w:color w:val="000000"/>
                <w:szCs w:val="21"/>
              </w:rPr>
            </w:pPr>
          </w:p>
        </w:tc>
        <w:tc>
          <w:tcPr>
            <w:tcW w:w="1559" w:type="dxa"/>
            <w:vAlign w:val="center"/>
          </w:tcPr>
          <w:p>
            <w:pPr>
              <w:spacing w:line="360" w:lineRule="auto"/>
              <w:jc w:val="right"/>
              <w:rPr>
                <w:rFonts w:ascii="宋体" w:hAnsi="宋体"/>
                <w:color w:val="000000"/>
                <w:szCs w:val="21"/>
              </w:rPr>
            </w:pPr>
          </w:p>
        </w:tc>
        <w:tc>
          <w:tcPr>
            <w:tcW w:w="1301" w:type="dxa"/>
            <w:vAlign w:val="center"/>
          </w:tcPr>
          <w:p>
            <w:pPr>
              <w:spacing w:line="360" w:lineRule="auto"/>
              <w:jc w:val="righ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应付赎回款</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1,163,250.87</w:t>
            </w:r>
          </w:p>
        </w:tc>
        <w:tc>
          <w:tcPr>
            <w:tcW w:w="1301" w:type="dxa"/>
            <w:vAlign w:val="center"/>
          </w:tcPr>
          <w:p>
            <w:pPr>
              <w:jc w:val="right"/>
            </w:pPr>
            <w:r>
              <w:rPr>
                <w:color w:val="000000"/>
                <w:sz w:val="18"/>
                <w:szCs w:val="18"/>
              </w:rPr>
              <w:t>1,163,250.87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应付管理人报酬</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390,359.05</w:t>
            </w:r>
          </w:p>
        </w:tc>
        <w:tc>
          <w:tcPr>
            <w:tcW w:w="1301" w:type="dxa"/>
            <w:vAlign w:val="center"/>
          </w:tcPr>
          <w:p>
            <w:pPr>
              <w:jc w:val="right"/>
            </w:pPr>
            <w:r>
              <w:rPr>
                <w:color w:val="000000"/>
                <w:sz w:val="18"/>
                <w:szCs w:val="18"/>
              </w:rPr>
              <w:t>390,359.05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8" w:type="dxa"/>
            <w:vAlign w:val="center"/>
          </w:tcPr>
          <w:p>
            <w:pPr>
              <w:jc w:val="center"/>
            </w:pPr>
            <w:r>
              <w:rPr>
                <w:color w:val="000000"/>
                <w:sz w:val="18"/>
                <w:szCs w:val="18"/>
              </w:rPr>
              <w:t>应付托管费</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65,059.85</w:t>
            </w:r>
          </w:p>
        </w:tc>
        <w:tc>
          <w:tcPr>
            <w:tcW w:w="1301" w:type="dxa"/>
            <w:vAlign w:val="center"/>
          </w:tcPr>
          <w:p>
            <w:pPr>
              <w:jc w:val="right"/>
            </w:pPr>
            <w:r>
              <w:rPr>
                <w:color w:val="000000"/>
                <w:sz w:val="18"/>
                <w:szCs w:val="18"/>
              </w:rPr>
              <w:t>65,059.85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应付交易费用</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736,853.13</w:t>
            </w:r>
          </w:p>
        </w:tc>
        <w:tc>
          <w:tcPr>
            <w:tcW w:w="1301" w:type="dxa"/>
            <w:vAlign w:val="center"/>
          </w:tcPr>
          <w:p>
            <w:pPr>
              <w:jc w:val="right"/>
            </w:pPr>
            <w:r>
              <w:rPr>
                <w:color w:val="000000"/>
                <w:sz w:val="18"/>
                <w:szCs w:val="18"/>
              </w:rPr>
              <w:t>736,853.13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其他负债</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175,884.60</w:t>
            </w:r>
          </w:p>
        </w:tc>
        <w:tc>
          <w:tcPr>
            <w:tcW w:w="1301" w:type="dxa"/>
            <w:vAlign w:val="center"/>
          </w:tcPr>
          <w:p>
            <w:pPr>
              <w:jc w:val="right"/>
            </w:pPr>
            <w:r>
              <w:rPr>
                <w:color w:val="000000"/>
                <w:sz w:val="18"/>
                <w:szCs w:val="18"/>
              </w:rPr>
              <w:t>175,884.60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color w:val="000000"/>
                <w:sz w:val="18"/>
                <w:szCs w:val="18"/>
              </w:rPr>
            </w:pPr>
            <w:r>
              <w:rPr>
                <w:rFonts w:hint="eastAsia"/>
                <w:color w:val="000000"/>
                <w:sz w:val="18"/>
                <w:szCs w:val="18"/>
              </w:rPr>
              <w:t>负债总计</w:t>
            </w:r>
          </w:p>
        </w:tc>
        <w:tc>
          <w:tcPr>
            <w:tcW w:w="1701" w:type="dxa"/>
            <w:vAlign w:val="center"/>
          </w:tcPr>
          <w:p>
            <w:pPr>
              <w:spacing w:before="29" w:line="288" w:lineRule="auto"/>
              <w:jc w:val="right"/>
              <w:rPr>
                <w:color w:val="000000"/>
                <w:sz w:val="18"/>
                <w:szCs w:val="18"/>
              </w:rPr>
            </w:pPr>
            <w:r>
              <w:rPr>
                <w:color w:val="000000"/>
                <w:sz w:val="18"/>
                <w:szCs w:val="18"/>
              </w:rPr>
              <w:t>-</w:t>
            </w:r>
          </w:p>
        </w:tc>
        <w:tc>
          <w:tcPr>
            <w:tcW w:w="1701"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ind w:right="180"/>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2,531,407.50</w:t>
            </w:r>
          </w:p>
        </w:tc>
        <w:tc>
          <w:tcPr>
            <w:tcW w:w="1301" w:type="dxa"/>
            <w:vAlign w:val="center"/>
          </w:tcPr>
          <w:p>
            <w:pPr>
              <w:spacing w:before="29" w:line="288" w:lineRule="auto"/>
              <w:jc w:val="right"/>
              <w:rPr>
                <w:color w:val="000000"/>
                <w:sz w:val="18"/>
                <w:szCs w:val="18"/>
              </w:rPr>
            </w:pPr>
            <w:r>
              <w:rPr>
                <w:color w:val="000000"/>
                <w:sz w:val="18"/>
                <w:szCs w:val="18"/>
              </w:rPr>
              <w:t>2,531,407.50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color w:val="000000"/>
                <w:sz w:val="18"/>
                <w:szCs w:val="18"/>
              </w:rPr>
            </w:pPr>
            <w:r>
              <w:rPr>
                <w:rFonts w:hint="eastAsia"/>
                <w:color w:val="000000"/>
                <w:sz w:val="18"/>
                <w:szCs w:val="18"/>
              </w:rPr>
              <w:t>利率敏感度缺口</w:t>
            </w:r>
          </w:p>
        </w:tc>
        <w:tc>
          <w:tcPr>
            <w:tcW w:w="1701" w:type="dxa"/>
            <w:vAlign w:val="center"/>
          </w:tcPr>
          <w:p>
            <w:pPr>
              <w:spacing w:before="29" w:line="288" w:lineRule="auto"/>
              <w:jc w:val="right"/>
              <w:rPr>
                <w:color w:val="000000"/>
                <w:sz w:val="18"/>
                <w:szCs w:val="18"/>
              </w:rPr>
            </w:pPr>
            <w:r>
              <w:rPr>
                <w:color w:val="000000"/>
                <w:sz w:val="18"/>
                <w:szCs w:val="18"/>
              </w:rPr>
              <w:t>40,561,767.27</w:t>
            </w:r>
          </w:p>
        </w:tc>
        <w:tc>
          <w:tcPr>
            <w:tcW w:w="1701"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286,645,395.45</w:t>
            </w:r>
          </w:p>
        </w:tc>
        <w:tc>
          <w:tcPr>
            <w:tcW w:w="1301" w:type="dxa"/>
            <w:vAlign w:val="center"/>
          </w:tcPr>
          <w:p>
            <w:pPr>
              <w:spacing w:before="29" w:line="288" w:lineRule="auto"/>
              <w:jc w:val="right"/>
              <w:rPr>
                <w:color w:val="000000"/>
                <w:sz w:val="18"/>
                <w:szCs w:val="18"/>
              </w:rPr>
            </w:pPr>
            <w:r>
              <w:rPr>
                <w:color w:val="000000"/>
                <w:sz w:val="18"/>
                <w:szCs w:val="18"/>
              </w:rPr>
              <w:t>327,207,162.72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jc w:val="center"/>
              <w:rPr>
                <w:b/>
                <w:sz w:val="18"/>
                <w:szCs w:val="18"/>
              </w:rPr>
            </w:pPr>
            <w:r>
              <w:rPr>
                <w:rFonts w:hint="eastAsia"/>
                <w:b/>
                <w:sz w:val="18"/>
                <w:szCs w:val="18"/>
              </w:rPr>
              <w:t>上年度末</w:t>
            </w:r>
          </w:p>
          <w:p>
            <w:pPr>
              <w:spacing w:before="29" w:line="288" w:lineRule="auto"/>
              <w:jc w:val="center"/>
              <w:rPr>
                <w:b/>
                <w:sz w:val="18"/>
                <w:szCs w:val="18"/>
              </w:rPr>
            </w:pPr>
            <w:r>
              <w:rPr>
                <w:b/>
                <w:sz w:val="18"/>
                <w:szCs w:val="18"/>
              </w:rPr>
              <w:t>2019年12月31日</w:t>
            </w:r>
          </w:p>
        </w:tc>
        <w:tc>
          <w:tcPr>
            <w:tcW w:w="1701" w:type="dxa"/>
            <w:vAlign w:val="center"/>
          </w:tcPr>
          <w:p>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pPr>
              <w:spacing w:before="29" w:line="288" w:lineRule="auto"/>
              <w:jc w:val="center"/>
              <w:rPr>
                <w:b/>
                <w:sz w:val="18"/>
                <w:szCs w:val="18"/>
              </w:rPr>
            </w:pPr>
            <w:r>
              <w:rPr>
                <w:rFonts w:hint="eastAsia"/>
                <w:b/>
                <w:sz w:val="18"/>
                <w:szCs w:val="18"/>
              </w:rPr>
              <w:t>不计息</w:t>
            </w:r>
          </w:p>
        </w:tc>
        <w:tc>
          <w:tcPr>
            <w:tcW w:w="1301" w:type="dxa"/>
            <w:vAlign w:val="center"/>
          </w:tcPr>
          <w:p>
            <w:pPr>
              <w:spacing w:before="29" w:line="288" w:lineRule="auto"/>
              <w:jc w:val="center"/>
              <w:rPr>
                <w:b/>
                <w:sz w:val="18"/>
                <w:szCs w:val="18"/>
              </w:rPr>
            </w:pPr>
            <w:r>
              <w:rPr>
                <w:rFonts w:hint="eastAsia"/>
                <w:b/>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color w:val="000000"/>
                <w:kern w:val="0"/>
                <w:sz w:val="24"/>
              </w:rPr>
            </w:pPr>
            <w:r>
              <w:rPr>
                <w:rFonts w:hint="eastAsia"/>
                <w:color w:val="000000"/>
                <w:sz w:val="18"/>
                <w:szCs w:val="18"/>
              </w:rPr>
              <w:t>资产</w:t>
            </w:r>
          </w:p>
        </w:tc>
        <w:tc>
          <w:tcPr>
            <w:tcW w:w="1701" w:type="dxa"/>
            <w:vAlign w:val="center"/>
          </w:tcPr>
          <w:p>
            <w:pPr>
              <w:widowControl/>
              <w:spacing w:before="29" w:line="288" w:lineRule="auto"/>
              <w:jc w:val="right"/>
              <w:rPr>
                <w:color w:val="000000"/>
                <w:kern w:val="0"/>
                <w:sz w:val="24"/>
              </w:rPr>
            </w:pPr>
          </w:p>
        </w:tc>
        <w:tc>
          <w:tcPr>
            <w:tcW w:w="1701" w:type="dxa"/>
            <w:vAlign w:val="center"/>
          </w:tcPr>
          <w:p>
            <w:pPr>
              <w:spacing w:line="360" w:lineRule="auto"/>
              <w:jc w:val="right"/>
              <w:rPr>
                <w:rFonts w:ascii="宋体" w:hAnsi="宋体"/>
                <w:b/>
                <w:color w:val="000000"/>
                <w:szCs w:val="21"/>
              </w:rPr>
            </w:pPr>
          </w:p>
        </w:tc>
        <w:tc>
          <w:tcPr>
            <w:tcW w:w="1559" w:type="dxa"/>
            <w:vAlign w:val="center"/>
          </w:tcPr>
          <w:p>
            <w:pPr>
              <w:spacing w:line="360" w:lineRule="auto"/>
              <w:jc w:val="right"/>
              <w:rPr>
                <w:rFonts w:ascii="宋体" w:hAnsi="宋体"/>
                <w:b/>
                <w:color w:val="000000"/>
                <w:szCs w:val="21"/>
              </w:rPr>
            </w:pPr>
          </w:p>
        </w:tc>
        <w:tc>
          <w:tcPr>
            <w:tcW w:w="1559" w:type="dxa"/>
            <w:vAlign w:val="center"/>
          </w:tcPr>
          <w:p>
            <w:pPr>
              <w:spacing w:line="360" w:lineRule="auto"/>
              <w:jc w:val="right"/>
              <w:rPr>
                <w:rFonts w:ascii="宋体" w:hAnsi="宋体"/>
                <w:b/>
                <w:color w:val="000000"/>
                <w:szCs w:val="21"/>
              </w:rPr>
            </w:pPr>
          </w:p>
        </w:tc>
        <w:tc>
          <w:tcPr>
            <w:tcW w:w="1301" w:type="dxa"/>
            <w:vAlign w:val="center"/>
          </w:tcPr>
          <w:p>
            <w:pPr>
              <w:spacing w:line="360" w:lineRule="auto"/>
              <w:jc w:val="righ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银行存款</w:t>
            </w:r>
          </w:p>
        </w:tc>
        <w:tc>
          <w:tcPr>
            <w:tcW w:w="1701" w:type="dxa"/>
            <w:vAlign w:val="center"/>
          </w:tcPr>
          <w:p>
            <w:pPr>
              <w:jc w:val="right"/>
            </w:pPr>
            <w:r>
              <w:rPr>
                <w:color w:val="000000"/>
                <w:sz w:val="18"/>
                <w:szCs w:val="18"/>
              </w:rPr>
              <w:t>8,561,035.29</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8,561,035.29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结算备付金</w:t>
            </w:r>
          </w:p>
        </w:tc>
        <w:tc>
          <w:tcPr>
            <w:tcW w:w="1701" w:type="dxa"/>
            <w:vAlign w:val="center"/>
          </w:tcPr>
          <w:p>
            <w:pPr>
              <w:jc w:val="right"/>
            </w:pPr>
            <w:r>
              <w:rPr>
                <w:color w:val="000000"/>
                <w:sz w:val="18"/>
                <w:szCs w:val="18"/>
              </w:rPr>
              <w:t>572,211.84</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572,211.84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存出保证金</w:t>
            </w:r>
          </w:p>
        </w:tc>
        <w:tc>
          <w:tcPr>
            <w:tcW w:w="1701" w:type="dxa"/>
            <w:vAlign w:val="center"/>
          </w:tcPr>
          <w:p>
            <w:pPr>
              <w:jc w:val="right"/>
            </w:pPr>
            <w:r>
              <w:rPr>
                <w:color w:val="000000"/>
                <w:sz w:val="18"/>
                <w:szCs w:val="18"/>
              </w:rPr>
              <w:t>121,873.00</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121,873.00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交易性金融资产</w:t>
            </w:r>
          </w:p>
        </w:tc>
        <w:tc>
          <w:tcPr>
            <w:tcW w:w="1701" w:type="dxa"/>
            <w:vAlign w:val="center"/>
          </w:tcPr>
          <w:p>
            <w:pPr>
              <w:jc w:val="right"/>
            </w:pPr>
            <w:r>
              <w:rPr>
                <w:color w:val="000000"/>
                <w:sz w:val="18"/>
                <w:szCs w:val="18"/>
              </w:rPr>
              <w:t>10,013,000.00</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224,693,782.71</w:t>
            </w:r>
          </w:p>
        </w:tc>
        <w:tc>
          <w:tcPr>
            <w:tcW w:w="1301" w:type="dxa"/>
            <w:vAlign w:val="center"/>
          </w:tcPr>
          <w:p>
            <w:pPr>
              <w:jc w:val="right"/>
            </w:pPr>
            <w:r>
              <w:rPr>
                <w:color w:val="000000"/>
                <w:sz w:val="18"/>
                <w:szCs w:val="18"/>
              </w:rPr>
              <w:t>234,706,782.71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应收利息</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133,665.07</w:t>
            </w:r>
          </w:p>
        </w:tc>
        <w:tc>
          <w:tcPr>
            <w:tcW w:w="1301" w:type="dxa"/>
            <w:vAlign w:val="center"/>
          </w:tcPr>
          <w:p>
            <w:pPr>
              <w:jc w:val="right"/>
            </w:pPr>
            <w:r>
              <w:rPr>
                <w:color w:val="000000"/>
                <w:sz w:val="18"/>
                <w:szCs w:val="18"/>
              </w:rPr>
              <w:t>133,665.07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应收申购款</w:t>
            </w:r>
          </w:p>
        </w:tc>
        <w:tc>
          <w:tcPr>
            <w:tcW w:w="1701" w:type="dxa"/>
            <w:vAlign w:val="center"/>
          </w:tcPr>
          <w:p>
            <w:pPr>
              <w:jc w:val="right"/>
            </w:pPr>
            <w:r>
              <w:rPr>
                <w:color w:val="000000"/>
                <w:sz w:val="18"/>
                <w:szCs w:val="18"/>
              </w:rPr>
              <w:t>798.80</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1,395,176.94</w:t>
            </w:r>
          </w:p>
        </w:tc>
        <w:tc>
          <w:tcPr>
            <w:tcW w:w="1301" w:type="dxa"/>
            <w:vAlign w:val="center"/>
          </w:tcPr>
          <w:p>
            <w:pPr>
              <w:jc w:val="right"/>
            </w:pPr>
            <w:r>
              <w:rPr>
                <w:color w:val="000000"/>
                <w:sz w:val="18"/>
                <w:szCs w:val="18"/>
              </w:rPr>
              <w:t>1,395,975.74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rFonts w:ascii="宋体" w:hAnsi="宋体"/>
                <w:color w:val="000000"/>
                <w:szCs w:val="21"/>
              </w:rPr>
            </w:pPr>
            <w:r>
              <w:rPr>
                <w:rFonts w:hint="eastAsia"/>
                <w:color w:val="000000"/>
                <w:sz w:val="18"/>
                <w:szCs w:val="18"/>
              </w:rPr>
              <w:t>资产总计</w:t>
            </w:r>
          </w:p>
        </w:tc>
        <w:tc>
          <w:tcPr>
            <w:tcW w:w="1701" w:type="dxa"/>
            <w:vAlign w:val="center"/>
          </w:tcPr>
          <w:p>
            <w:pPr>
              <w:spacing w:before="29" w:line="288" w:lineRule="auto"/>
              <w:jc w:val="right"/>
              <w:rPr>
                <w:sz w:val="18"/>
                <w:szCs w:val="18"/>
              </w:rPr>
            </w:pPr>
            <w:r>
              <w:rPr>
                <w:sz w:val="18"/>
                <w:szCs w:val="18"/>
              </w:rPr>
              <w:t>19,268,918.93</w:t>
            </w:r>
          </w:p>
        </w:tc>
        <w:tc>
          <w:tcPr>
            <w:tcW w:w="1701" w:type="dxa"/>
            <w:vAlign w:val="center"/>
          </w:tcPr>
          <w:p>
            <w:pPr>
              <w:spacing w:before="29" w:line="288" w:lineRule="auto"/>
              <w:jc w:val="right"/>
              <w:rPr>
                <w:sz w:val="18"/>
                <w:szCs w:val="18"/>
              </w:rPr>
            </w:pPr>
            <w:r>
              <w:rPr>
                <w:sz w:val="18"/>
                <w:szCs w:val="18"/>
              </w:rPr>
              <w:t>-</w:t>
            </w:r>
          </w:p>
        </w:tc>
        <w:tc>
          <w:tcPr>
            <w:tcW w:w="1559" w:type="dxa"/>
            <w:vAlign w:val="center"/>
          </w:tcPr>
          <w:p>
            <w:pPr>
              <w:spacing w:before="29" w:line="288" w:lineRule="auto"/>
              <w:jc w:val="right"/>
              <w:rPr>
                <w:sz w:val="18"/>
                <w:szCs w:val="18"/>
              </w:rPr>
            </w:pPr>
            <w:r>
              <w:rPr>
                <w:sz w:val="18"/>
                <w:szCs w:val="18"/>
              </w:rPr>
              <w:t>-</w:t>
            </w:r>
          </w:p>
        </w:tc>
        <w:tc>
          <w:tcPr>
            <w:tcW w:w="1559" w:type="dxa"/>
            <w:vAlign w:val="center"/>
          </w:tcPr>
          <w:p>
            <w:pPr>
              <w:spacing w:before="29" w:line="288" w:lineRule="auto"/>
              <w:jc w:val="right"/>
              <w:rPr>
                <w:sz w:val="18"/>
                <w:szCs w:val="18"/>
              </w:rPr>
            </w:pPr>
            <w:r>
              <w:rPr>
                <w:sz w:val="18"/>
                <w:szCs w:val="18"/>
              </w:rPr>
              <w:t>226,222,624.72</w:t>
            </w:r>
          </w:p>
        </w:tc>
        <w:tc>
          <w:tcPr>
            <w:tcW w:w="1301" w:type="dxa"/>
            <w:vAlign w:val="center"/>
          </w:tcPr>
          <w:p>
            <w:pPr>
              <w:spacing w:before="29" w:line="288" w:lineRule="auto"/>
              <w:jc w:val="right"/>
              <w:rPr>
                <w:sz w:val="18"/>
                <w:szCs w:val="18"/>
              </w:rPr>
            </w:pPr>
            <w:r>
              <w:rPr>
                <w:sz w:val="18"/>
                <w:szCs w:val="18"/>
              </w:rPr>
              <w:t>245,491,543.65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1588" w:type="dxa"/>
            <w:vAlign w:val="center"/>
          </w:tcPr>
          <w:p>
            <w:pPr>
              <w:spacing w:line="360" w:lineRule="auto"/>
              <w:rPr>
                <w:rFonts w:ascii="宋体" w:hAnsi="宋体"/>
                <w:color w:val="000000"/>
                <w:szCs w:val="21"/>
              </w:rPr>
            </w:pPr>
            <w:r>
              <w:rPr>
                <w:rFonts w:hint="eastAsia"/>
                <w:color w:val="000000"/>
                <w:sz w:val="18"/>
                <w:szCs w:val="18"/>
              </w:rPr>
              <w:t>负债</w:t>
            </w:r>
          </w:p>
        </w:tc>
        <w:tc>
          <w:tcPr>
            <w:tcW w:w="1701" w:type="dxa"/>
            <w:vAlign w:val="bottom"/>
          </w:tcPr>
          <w:p>
            <w:pPr>
              <w:spacing w:line="360" w:lineRule="auto"/>
              <w:jc w:val="right"/>
              <w:rPr>
                <w:rFonts w:ascii="宋体" w:hAnsi="宋体"/>
                <w:color w:val="0000FF"/>
                <w:kern w:val="0"/>
                <w:szCs w:val="21"/>
              </w:rPr>
            </w:pPr>
          </w:p>
        </w:tc>
        <w:tc>
          <w:tcPr>
            <w:tcW w:w="1701" w:type="dxa"/>
            <w:vAlign w:val="bottom"/>
          </w:tcPr>
          <w:p>
            <w:pPr>
              <w:spacing w:line="360" w:lineRule="auto"/>
              <w:jc w:val="right"/>
              <w:rPr>
                <w:rFonts w:ascii="宋体" w:hAnsi="宋体"/>
                <w:color w:val="000000"/>
                <w:szCs w:val="21"/>
              </w:rPr>
            </w:pPr>
          </w:p>
        </w:tc>
        <w:tc>
          <w:tcPr>
            <w:tcW w:w="1559" w:type="dxa"/>
            <w:vAlign w:val="bottom"/>
          </w:tcPr>
          <w:p>
            <w:pPr>
              <w:spacing w:line="360" w:lineRule="auto"/>
              <w:jc w:val="right"/>
              <w:rPr>
                <w:rFonts w:ascii="宋体" w:hAnsi="宋体"/>
                <w:color w:val="000000"/>
                <w:szCs w:val="21"/>
              </w:rPr>
            </w:pPr>
          </w:p>
        </w:tc>
        <w:tc>
          <w:tcPr>
            <w:tcW w:w="1559" w:type="dxa"/>
            <w:vAlign w:val="bottom"/>
          </w:tcPr>
          <w:p>
            <w:pPr>
              <w:spacing w:line="360" w:lineRule="auto"/>
              <w:jc w:val="right"/>
              <w:rPr>
                <w:rFonts w:ascii="宋体" w:hAnsi="宋体"/>
                <w:color w:val="000000"/>
                <w:szCs w:val="21"/>
              </w:rPr>
            </w:pPr>
          </w:p>
        </w:tc>
        <w:tc>
          <w:tcPr>
            <w:tcW w:w="1301" w:type="dxa"/>
            <w:vAlign w:val="bottom"/>
          </w:tcPr>
          <w:p>
            <w:pPr>
              <w:spacing w:line="360" w:lineRule="auto"/>
              <w:jc w:val="righ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应付赎回款</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2,293,558.83</w:t>
            </w:r>
          </w:p>
        </w:tc>
        <w:tc>
          <w:tcPr>
            <w:tcW w:w="1301" w:type="dxa"/>
            <w:vAlign w:val="center"/>
          </w:tcPr>
          <w:p>
            <w:pPr>
              <w:jc w:val="right"/>
            </w:pPr>
            <w:r>
              <w:rPr>
                <w:color w:val="000000"/>
                <w:sz w:val="18"/>
                <w:szCs w:val="18"/>
              </w:rPr>
              <w:t>2,293,558.83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应付管理人报酬</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322,350.57</w:t>
            </w:r>
          </w:p>
        </w:tc>
        <w:tc>
          <w:tcPr>
            <w:tcW w:w="1301" w:type="dxa"/>
            <w:vAlign w:val="center"/>
          </w:tcPr>
          <w:p>
            <w:pPr>
              <w:jc w:val="right"/>
            </w:pPr>
            <w:r>
              <w:rPr>
                <w:color w:val="000000"/>
                <w:sz w:val="18"/>
                <w:szCs w:val="18"/>
              </w:rPr>
              <w:t>322,350.57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应付托管费</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53,725.07</w:t>
            </w:r>
          </w:p>
        </w:tc>
        <w:tc>
          <w:tcPr>
            <w:tcW w:w="1301" w:type="dxa"/>
            <w:vAlign w:val="center"/>
          </w:tcPr>
          <w:p>
            <w:pPr>
              <w:jc w:val="right"/>
            </w:pPr>
            <w:r>
              <w:rPr>
                <w:color w:val="000000"/>
                <w:sz w:val="18"/>
                <w:szCs w:val="18"/>
              </w:rPr>
              <w:t>53,725.07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应付交易费用</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431,906.95</w:t>
            </w:r>
          </w:p>
        </w:tc>
        <w:tc>
          <w:tcPr>
            <w:tcW w:w="1301" w:type="dxa"/>
            <w:vAlign w:val="center"/>
          </w:tcPr>
          <w:p>
            <w:pPr>
              <w:jc w:val="right"/>
            </w:pPr>
            <w:r>
              <w:rPr>
                <w:color w:val="000000"/>
                <w:sz w:val="18"/>
                <w:szCs w:val="18"/>
              </w:rPr>
              <w:t>431,906.95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其他负债</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189,107.82</w:t>
            </w:r>
          </w:p>
        </w:tc>
        <w:tc>
          <w:tcPr>
            <w:tcW w:w="1301" w:type="dxa"/>
            <w:vAlign w:val="center"/>
          </w:tcPr>
          <w:p>
            <w:pPr>
              <w:jc w:val="right"/>
            </w:pPr>
            <w:r>
              <w:rPr>
                <w:color w:val="000000"/>
                <w:sz w:val="18"/>
                <w:szCs w:val="18"/>
              </w:rPr>
              <w:t>189,107.82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1588" w:type="dxa"/>
            <w:vAlign w:val="center"/>
          </w:tcPr>
          <w:p>
            <w:pPr>
              <w:spacing w:before="29" w:line="288" w:lineRule="auto"/>
              <w:rPr>
                <w:color w:val="000000"/>
                <w:sz w:val="18"/>
                <w:szCs w:val="18"/>
              </w:rPr>
            </w:pPr>
            <w:r>
              <w:rPr>
                <w:rFonts w:hint="eastAsia"/>
                <w:color w:val="000000"/>
                <w:sz w:val="18"/>
                <w:szCs w:val="18"/>
              </w:rPr>
              <w:t>负债总计</w:t>
            </w:r>
          </w:p>
        </w:tc>
        <w:tc>
          <w:tcPr>
            <w:tcW w:w="1701" w:type="dxa"/>
            <w:vAlign w:val="center"/>
          </w:tcPr>
          <w:p>
            <w:pPr>
              <w:spacing w:before="29" w:line="288" w:lineRule="auto"/>
              <w:jc w:val="right"/>
              <w:rPr>
                <w:color w:val="000000"/>
                <w:sz w:val="18"/>
                <w:szCs w:val="18"/>
              </w:rPr>
            </w:pPr>
            <w:r>
              <w:rPr>
                <w:rFonts w:hint="eastAsia"/>
                <w:color w:val="000000"/>
                <w:sz w:val="18"/>
                <w:szCs w:val="18"/>
              </w:rPr>
              <w:t>-</w:t>
            </w:r>
          </w:p>
        </w:tc>
        <w:tc>
          <w:tcPr>
            <w:tcW w:w="1701"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3,290,649.24</w:t>
            </w:r>
          </w:p>
        </w:tc>
        <w:tc>
          <w:tcPr>
            <w:tcW w:w="1301" w:type="dxa"/>
            <w:vAlign w:val="center"/>
          </w:tcPr>
          <w:p>
            <w:pPr>
              <w:spacing w:before="29" w:line="288" w:lineRule="auto"/>
              <w:jc w:val="right"/>
              <w:rPr>
                <w:color w:val="000000"/>
                <w:sz w:val="18"/>
                <w:szCs w:val="18"/>
              </w:rPr>
            </w:pPr>
            <w:r>
              <w:rPr>
                <w:rFonts w:hint="eastAsia"/>
                <w:color w:val="000000"/>
                <w:sz w:val="18"/>
                <w:szCs w:val="18"/>
              </w:rPr>
              <w:t>3,290,649.24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1588" w:type="dxa"/>
            <w:vAlign w:val="center"/>
          </w:tcPr>
          <w:p>
            <w:pPr>
              <w:spacing w:before="29" w:line="288" w:lineRule="auto"/>
              <w:rPr>
                <w:color w:val="000000"/>
                <w:sz w:val="18"/>
                <w:szCs w:val="18"/>
              </w:rPr>
            </w:pPr>
            <w:r>
              <w:rPr>
                <w:rFonts w:hint="eastAsia"/>
                <w:color w:val="000000"/>
                <w:sz w:val="18"/>
                <w:szCs w:val="18"/>
              </w:rPr>
              <w:t>利率敏感度缺口</w:t>
            </w:r>
          </w:p>
        </w:tc>
        <w:tc>
          <w:tcPr>
            <w:tcW w:w="1701" w:type="dxa"/>
            <w:vAlign w:val="center"/>
          </w:tcPr>
          <w:p>
            <w:pPr>
              <w:spacing w:before="29" w:line="288" w:lineRule="auto"/>
              <w:jc w:val="right"/>
              <w:rPr>
                <w:color w:val="000000"/>
                <w:sz w:val="18"/>
                <w:szCs w:val="18"/>
              </w:rPr>
            </w:pPr>
            <w:r>
              <w:rPr>
                <w:color w:val="000000"/>
                <w:sz w:val="18"/>
                <w:szCs w:val="18"/>
              </w:rPr>
              <w:t>19,268,918.93</w:t>
            </w:r>
          </w:p>
        </w:tc>
        <w:tc>
          <w:tcPr>
            <w:tcW w:w="1701"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222,931,975.48</w:t>
            </w:r>
          </w:p>
        </w:tc>
        <w:tc>
          <w:tcPr>
            <w:tcW w:w="1301" w:type="dxa"/>
            <w:vAlign w:val="center"/>
          </w:tcPr>
          <w:p>
            <w:pPr>
              <w:spacing w:before="29" w:line="288" w:lineRule="auto"/>
              <w:jc w:val="right"/>
              <w:rPr>
                <w:color w:val="000000"/>
                <w:sz w:val="18"/>
                <w:szCs w:val="18"/>
              </w:rPr>
            </w:pPr>
            <w:r>
              <w:rPr>
                <w:color w:val="000000"/>
                <w:sz w:val="18"/>
                <w:szCs w:val="18"/>
              </w:rPr>
              <w:t>242,200,894.41</w:t>
            </w:r>
          </w:p>
        </w:tc>
      </w:tr>
    </w:tbl>
    <w:p>
      <w:pPr>
        <w:tabs>
          <w:tab w:val="left" w:pos="426"/>
        </w:tabs>
        <w:spacing w:before="29" w:line="288" w:lineRule="auto"/>
        <w:jc w:val="left"/>
        <w:rPr>
          <w:kern w:val="0"/>
          <w:sz w:val="24"/>
        </w:rPr>
      </w:pPr>
      <w:r>
        <w:rPr>
          <w:kern w:val="0"/>
          <w:sz w:val="24"/>
        </w:rPr>
        <w:t>注：表中所示为本基金资产及负债的账面价值，并按照合约规定的利率重新定价日或到期日孰早予以分类。</w:t>
      </w:r>
    </w:p>
    <w:p>
      <w:pPr>
        <w:spacing w:line="360" w:lineRule="auto"/>
        <w:rPr>
          <w:rFonts w:asciiTheme="minorEastAsia" w:hAnsiTheme="minorEastAsia" w:eastAsiaTheme="minorEastAsia"/>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7.4.13.4.1.2</w:t>
      </w:r>
      <w:r>
        <w:rPr>
          <w:rFonts w:hint="eastAsia" w:eastAsiaTheme="minorEastAsia"/>
          <w:b/>
          <w:color w:val="000000" w:themeColor="text1"/>
          <w:sz w:val="24"/>
        </w:rPr>
        <w:t>利率风险的敏感性分析</w:t>
      </w:r>
    </w:p>
    <w:p>
      <w:pPr>
        <w:tabs>
          <w:tab w:val="left" w:pos="426"/>
        </w:tabs>
        <w:spacing w:before="29" w:line="288" w:lineRule="auto"/>
        <w:jc w:val="left"/>
        <w:rPr>
          <w:kern w:val="0"/>
          <w:sz w:val="24"/>
        </w:rPr>
      </w:pPr>
      <w:r>
        <w:rPr>
          <w:kern w:val="0"/>
          <w:sz w:val="24"/>
        </w:rPr>
        <w:t xml:space="preserve">    于2020年12月31日，本基金未持有交易性债券投资（2019年12月31日：本基金持有的交易性债券投资公允价值占基金资产净值的比例为4.13%），因此市场利率的变动对于本基金资产净值无重大影响（2019年12月31日：同）。</w:t>
      </w:r>
    </w:p>
    <w:p>
      <w:pPr>
        <w:spacing w:line="360" w:lineRule="auto"/>
        <w:ind w:firstLine="420"/>
        <w:rPr>
          <w:rFonts w:asciiTheme="minorEastAsia" w:hAnsiTheme="minorEastAsia" w:eastAsiaTheme="minorEastAsia"/>
          <w:color w:val="000000"/>
          <w:szCs w:val="21"/>
        </w:rPr>
      </w:pPr>
      <w:r>
        <w:rPr>
          <w:rFonts w:asciiTheme="minorEastAsia" w:hAnsiTheme="minorEastAsia" w:eastAsiaTheme="minorEastAsia"/>
          <w:color w:val="000000"/>
          <w:szCs w:val="21"/>
        </w:rPr>
        <w:tab/>
      </w:r>
    </w:p>
    <w:p>
      <w:pPr>
        <w:spacing w:line="360" w:lineRule="auto"/>
        <w:rPr>
          <w:rFonts w:eastAsiaTheme="minorEastAsia"/>
          <w:b/>
          <w:color w:val="000000" w:themeColor="text1"/>
          <w:sz w:val="24"/>
        </w:rPr>
      </w:pPr>
      <w:r>
        <w:rPr>
          <w:rFonts w:eastAsiaTheme="minorEastAsia"/>
          <w:b/>
          <w:color w:val="000000" w:themeColor="text1"/>
          <w:sz w:val="24"/>
        </w:rPr>
        <w:t>7.4.13.4.2</w:t>
      </w:r>
      <w:r>
        <w:rPr>
          <w:rFonts w:hint="eastAsia" w:eastAsiaTheme="minorEastAsia"/>
          <w:b/>
          <w:color w:val="000000" w:themeColor="text1"/>
          <w:sz w:val="24"/>
        </w:rPr>
        <w:t>外汇风险</w:t>
      </w:r>
    </w:p>
    <w:p>
      <w:pPr>
        <w:spacing w:before="29" w:line="288" w:lineRule="auto"/>
        <w:ind w:firstLine="480" w:firstLineChars="200"/>
        <w:rPr>
          <w:color w:val="000000"/>
          <w:sz w:val="24"/>
        </w:rPr>
      </w:pPr>
      <w:r>
        <w:rPr>
          <w:color w:val="000000"/>
          <w:sz w:val="24"/>
        </w:rPr>
        <w:t>外汇风险是指金融工具的公允价值或未来现金流量因外汇汇率变动而发生波动的风险。本基金的所有资产及负债以人民币计价，因此无重大外汇风险。</w:t>
      </w:r>
    </w:p>
    <w:p>
      <w:pPr>
        <w:spacing w:line="360" w:lineRule="auto"/>
        <w:ind w:firstLine="420" w:firstLineChars="200"/>
        <w:rPr>
          <w:rFonts w:asciiTheme="minorEastAsia" w:hAnsiTheme="minorEastAsia" w:eastAsiaTheme="minorEastAsia"/>
          <w:szCs w:val="21"/>
        </w:rPr>
      </w:pPr>
    </w:p>
    <w:p>
      <w:pPr>
        <w:spacing w:line="360" w:lineRule="auto"/>
        <w:rPr>
          <w:rFonts w:eastAsiaTheme="minorEastAsia"/>
          <w:b/>
          <w:color w:val="000000" w:themeColor="text1"/>
          <w:sz w:val="24"/>
        </w:rPr>
      </w:pPr>
      <w:r>
        <w:rPr>
          <w:rFonts w:eastAsiaTheme="minorEastAsia"/>
          <w:b/>
          <w:color w:val="000000" w:themeColor="text1"/>
          <w:sz w:val="24"/>
        </w:rPr>
        <w:t>7.4.13.4.3</w:t>
      </w:r>
      <w:r>
        <w:rPr>
          <w:rFonts w:hint="eastAsia" w:eastAsiaTheme="minorEastAsia"/>
          <w:b/>
          <w:color w:val="000000" w:themeColor="text1"/>
          <w:sz w:val="24"/>
        </w:rPr>
        <w:t>其他价格风险</w:t>
      </w:r>
    </w:p>
    <w:p>
      <w:pPr>
        <w:spacing w:before="29" w:line="288" w:lineRule="auto"/>
        <w:ind w:firstLine="480" w:firstLineChars="20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pPr>
        <w:spacing w:before="29" w:line="288" w:lineRule="auto"/>
        <w:ind w:firstLine="480" w:firstLineChars="200"/>
        <w:rPr>
          <w:color w:val="000000"/>
          <w:sz w:val="24"/>
        </w:rPr>
      </w:pPr>
      <w:r>
        <w:rPr>
          <w:color w:val="000000"/>
          <w:sz w:val="24"/>
        </w:rPr>
        <w:t>本基金的基金管理人在构建和管理投资组合的过程中，采用“自上而下”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pPr>
        <w:spacing w:before="29" w:line="288" w:lineRule="auto"/>
        <w:ind w:firstLine="480" w:firstLineChars="200"/>
        <w:rPr>
          <w:color w:val="000000"/>
          <w:sz w:val="24"/>
        </w:rPr>
      </w:pPr>
      <w:r>
        <w:rPr>
          <w:color w:val="000000"/>
          <w:sz w:val="24"/>
        </w:rPr>
        <w:t>本基金通过投资组合的分散化降低其他价格风险。本基金投资组合中股票资产（含存托凭证）占基金资产的0%-95%；本基金投资受益于科技创新相关上市公司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pPr>
        <w:spacing w:line="360" w:lineRule="auto"/>
        <w:ind w:firstLine="422" w:firstLineChars="200"/>
        <w:rPr>
          <w:rFonts w:asciiTheme="minorEastAsia" w:hAnsiTheme="minorEastAsia" w:eastAsiaTheme="minorEastAsia"/>
          <w:b/>
          <w:bCs/>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7.4.13.4.3.1</w:t>
      </w:r>
      <w:r>
        <w:rPr>
          <w:rFonts w:hint="eastAsia" w:eastAsiaTheme="minorEastAsia"/>
          <w:b/>
          <w:color w:val="000000" w:themeColor="text1"/>
          <w:sz w:val="24"/>
        </w:rPr>
        <w:t>其他价格风险敞口</w:t>
      </w:r>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1843"/>
        <w:gridCol w:w="1097"/>
        <w:gridCol w:w="1879"/>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Merge w:val="restart"/>
            <w:vAlign w:val="center"/>
          </w:tcPr>
          <w:p>
            <w:pPr>
              <w:spacing w:before="29" w:line="288" w:lineRule="auto"/>
              <w:jc w:val="center"/>
              <w:rPr>
                <w:color w:val="000000"/>
                <w:sz w:val="24"/>
              </w:rPr>
            </w:pPr>
            <w:r>
              <w:rPr>
                <w:rFonts w:hint="eastAsia"/>
                <w:color w:val="000000"/>
                <w:sz w:val="24"/>
              </w:rPr>
              <w:t>项目</w:t>
            </w:r>
          </w:p>
        </w:tc>
        <w:tc>
          <w:tcPr>
            <w:tcW w:w="2940" w:type="dxa"/>
            <w:gridSpan w:val="2"/>
            <w:vAlign w:val="center"/>
          </w:tcPr>
          <w:p>
            <w:pPr>
              <w:spacing w:before="29" w:line="288" w:lineRule="auto"/>
              <w:jc w:val="center"/>
              <w:rPr>
                <w:color w:val="000000"/>
                <w:sz w:val="24"/>
              </w:rPr>
            </w:pPr>
            <w:r>
              <w:rPr>
                <w:rFonts w:hint="eastAsia"/>
                <w:color w:val="000000"/>
                <w:sz w:val="24"/>
              </w:rPr>
              <w:t>本期末</w:t>
            </w:r>
          </w:p>
          <w:p>
            <w:pPr>
              <w:spacing w:before="29" w:line="288" w:lineRule="auto"/>
              <w:jc w:val="center"/>
              <w:rPr>
                <w:color w:val="000000"/>
                <w:sz w:val="24"/>
              </w:rPr>
            </w:pPr>
            <w:r>
              <w:rPr>
                <w:color w:val="000000"/>
                <w:sz w:val="24"/>
              </w:rPr>
              <w:t>2020年12月31日</w:t>
            </w:r>
          </w:p>
        </w:tc>
        <w:tc>
          <w:tcPr>
            <w:tcW w:w="2941" w:type="dxa"/>
            <w:gridSpan w:val="2"/>
            <w:vAlign w:val="center"/>
          </w:tcPr>
          <w:p>
            <w:pPr>
              <w:spacing w:before="29" w:line="288" w:lineRule="auto"/>
              <w:jc w:val="center"/>
              <w:rPr>
                <w:color w:val="000000"/>
                <w:sz w:val="24"/>
              </w:rPr>
            </w:pPr>
            <w:r>
              <w:rPr>
                <w:rFonts w:hint="eastAsia"/>
                <w:color w:val="000000"/>
                <w:sz w:val="24"/>
              </w:rPr>
              <w:t>上年度末</w:t>
            </w:r>
          </w:p>
          <w:p>
            <w:pPr>
              <w:spacing w:before="29" w:line="288" w:lineRule="auto"/>
              <w:jc w:val="center"/>
              <w:rPr>
                <w:color w:val="000000"/>
                <w:sz w:val="24"/>
              </w:rPr>
            </w:pPr>
            <w:r>
              <w:rPr>
                <w:color w:val="00000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Merge w:val="continue"/>
            <w:vAlign w:val="center"/>
          </w:tcPr>
          <w:p>
            <w:pPr>
              <w:spacing w:before="29" w:line="288" w:lineRule="auto"/>
              <w:jc w:val="center"/>
              <w:rPr>
                <w:color w:val="000000"/>
                <w:sz w:val="24"/>
              </w:rPr>
            </w:pPr>
          </w:p>
        </w:tc>
        <w:tc>
          <w:tcPr>
            <w:tcW w:w="1843" w:type="dxa"/>
            <w:vAlign w:val="center"/>
          </w:tcPr>
          <w:p>
            <w:pPr>
              <w:spacing w:before="29" w:line="288" w:lineRule="auto"/>
              <w:ind w:right="142"/>
              <w:jc w:val="center"/>
              <w:rPr>
                <w:color w:val="000000"/>
                <w:sz w:val="24"/>
              </w:rPr>
            </w:pPr>
            <w:r>
              <w:rPr>
                <w:rFonts w:hint="eastAsia"/>
                <w:color w:val="000000"/>
                <w:sz w:val="24"/>
              </w:rPr>
              <w:t>公允价值</w:t>
            </w:r>
          </w:p>
        </w:tc>
        <w:tc>
          <w:tcPr>
            <w:tcW w:w="1097" w:type="dxa"/>
            <w:vAlign w:val="center"/>
          </w:tcPr>
          <w:p>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c>
          <w:tcPr>
            <w:tcW w:w="1879" w:type="dxa"/>
            <w:vAlign w:val="center"/>
          </w:tcPr>
          <w:p>
            <w:pPr>
              <w:spacing w:before="29" w:line="288" w:lineRule="auto"/>
              <w:ind w:right="113"/>
              <w:jc w:val="center"/>
              <w:rPr>
                <w:color w:val="000000"/>
                <w:sz w:val="24"/>
              </w:rPr>
            </w:pPr>
            <w:r>
              <w:rPr>
                <w:rFonts w:hint="eastAsia"/>
                <w:color w:val="000000"/>
                <w:sz w:val="24"/>
              </w:rPr>
              <w:t>公允价值</w:t>
            </w:r>
          </w:p>
        </w:tc>
        <w:tc>
          <w:tcPr>
            <w:tcW w:w="1062" w:type="dxa"/>
            <w:vAlign w:val="center"/>
          </w:tcPr>
          <w:p>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交易性金融资产－股票投资</w:t>
            </w:r>
          </w:p>
        </w:tc>
        <w:tc>
          <w:tcPr>
            <w:tcW w:w="1843" w:type="dxa"/>
            <w:vAlign w:val="center"/>
          </w:tcPr>
          <w:p>
            <w:pPr>
              <w:spacing w:before="29" w:line="288" w:lineRule="auto"/>
              <w:jc w:val="right"/>
              <w:rPr>
                <w:kern w:val="0"/>
                <w:sz w:val="24"/>
              </w:rPr>
            </w:pPr>
            <w:r>
              <w:rPr>
                <w:kern w:val="0"/>
                <w:sz w:val="24"/>
              </w:rPr>
              <w:t>285,338,868.40</w:t>
            </w:r>
          </w:p>
        </w:tc>
        <w:tc>
          <w:tcPr>
            <w:tcW w:w="1097" w:type="dxa"/>
            <w:vAlign w:val="center"/>
          </w:tcPr>
          <w:p>
            <w:pPr>
              <w:spacing w:before="29" w:line="288" w:lineRule="auto"/>
              <w:jc w:val="right"/>
              <w:rPr>
                <w:kern w:val="0"/>
                <w:sz w:val="24"/>
              </w:rPr>
            </w:pPr>
            <w:r>
              <w:rPr>
                <w:kern w:val="0"/>
                <w:sz w:val="24"/>
              </w:rPr>
              <w:t>87.20</w:t>
            </w:r>
          </w:p>
        </w:tc>
        <w:tc>
          <w:tcPr>
            <w:tcW w:w="1879" w:type="dxa"/>
            <w:vAlign w:val="center"/>
          </w:tcPr>
          <w:p>
            <w:pPr>
              <w:spacing w:before="29" w:line="288" w:lineRule="auto"/>
              <w:jc w:val="right"/>
              <w:rPr>
                <w:kern w:val="0"/>
                <w:sz w:val="24"/>
              </w:rPr>
            </w:pPr>
            <w:r>
              <w:rPr>
                <w:kern w:val="0"/>
                <w:sz w:val="24"/>
              </w:rPr>
              <w:t>224,693,782.71</w:t>
            </w:r>
          </w:p>
        </w:tc>
        <w:tc>
          <w:tcPr>
            <w:tcW w:w="1062" w:type="dxa"/>
            <w:vAlign w:val="center"/>
          </w:tcPr>
          <w:p>
            <w:pPr>
              <w:spacing w:before="29" w:line="288" w:lineRule="auto"/>
              <w:jc w:val="right"/>
              <w:rPr>
                <w:kern w:val="0"/>
                <w:sz w:val="24"/>
              </w:rPr>
            </w:pPr>
            <w:r>
              <w:rPr>
                <w:kern w:val="0"/>
                <w:sz w:val="24"/>
              </w:rPr>
              <w:t>92.77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交易性金融资产－基金投资</w:t>
            </w:r>
          </w:p>
        </w:tc>
        <w:tc>
          <w:tcPr>
            <w:tcW w:w="1843" w:type="dxa"/>
            <w:vAlign w:val="center"/>
          </w:tcPr>
          <w:p>
            <w:pPr>
              <w:spacing w:before="29" w:line="288" w:lineRule="auto"/>
              <w:jc w:val="right"/>
              <w:rPr>
                <w:kern w:val="0"/>
                <w:sz w:val="24"/>
              </w:rPr>
            </w:pPr>
            <w:r>
              <w:rPr>
                <w:kern w:val="0"/>
                <w:sz w:val="24"/>
              </w:rPr>
              <w:t>-</w:t>
            </w:r>
          </w:p>
        </w:tc>
        <w:tc>
          <w:tcPr>
            <w:tcW w:w="1097" w:type="dxa"/>
            <w:vAlign w:val="center"/>
          </w:tcPr>
          <w:p>
            <w:pPr>
              <w:spacing w:before="29" w:line="288" w:lineRule="auto"/>
              <w:jc w:val="right"/>
              <w:rPr>
                <w:kern w:val="0"/>
                <w:sz w:val="24"/>
              </w:rPr>
            </w:pPr>
            <w:r>
              <w:rPr>
                <w:kern w:val="0"/>
                <w:sz w:val="24"/>
              </w:rPr>
              <w:t>-</w:t>
            </w:r>
          </w:p>
        </w:tc>
        <w:tc>
          <w:tcPr>
            <w:tcW w:w="1879" w:type="dxa"/>
            <w:vAlign w:val="center"/>
          </w:tcPr>
          <w:p>
            <w:pPr>
              <w:spacing w:before="29" w:line="288" w:lineRule="auto"/>
              <w:jc w:val="right"/>
              <w:rPr>
                <w:kern w:val="0"/>
                <w:sz w:val="24"/>
              </w:rPr>
            </w:pPr>
            <w:r>
              <w:rPr>
                <w:kern w:val="0"/>
                <w:sz w:val="24"/>
              </w:rPr>
              <w:t>-</w:t>
            </w:r>
          </w:p>
        </w:tc>
        <w:tc>
          <w:tcPr>
            <w:tcW w:w="1062"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交易性金融资产－贵金属投资</w:t>
            </w:r>
          </w:p>
        </w:tc>
        <w:tc>
          <w:tcPr>
            <w:tcW w:w="1843" w:type="dxa"/>
            <w:vAlign w:val="center"/>
          </w:tcPr>
          <w:p>
            <w:pPr>
              <w:spacing w:before="29" w:line="288" w:lineRule="auto"/>
              <w:jc w:val="right"/>
              <w:rPr>
                <w:kern w:val="0"/>
                <w:sz w:val="24"/>
              </w:rPr>
            </w:pPr>
            <w:r>
              <w:rPr>
                <w:rFonts w:hint="eastAsia"/>
                <w:kern w:val="0"/>
                <w:sz w:val="24"/>
              </w:rPr>
              <w:t>-</w:t>
            </w:r>
          </w:p>
        </w:tc>
        <w:tc>
          <w:tcPr>
            <w:tcW w:w="1097" w:type="dxa"/>
            <w:vAlign w:val="center"/>
          </w:tcPr>
          <w:p>
            <w:pPr>
              <w:spacing w:before="29" w:line="288" w:lineRule="auto"/>
              <w:jc w:val="right"/>
              <w:rPr>
                <w:kern w:val="0"/>
                <w:sz w:val="24"/>
              </w:rPr>
            </w:pPr>
            <w:r>
              <w:rPr>
                <w:rFonts w:hint="eastAsia"/>
                <w:kern w:val="0"/>
                <w:sz w:val="24"/>
              </w:rPr>
              <w:t>-</w:t>
            </w:r>
          </w:p>
        </w:tc>
        <w:tc>
          <w:tcPr>
            <w:tcW w:w="1879" w:type="dxa"/>
            <w:vAlign w:val="center"/>
          </w:tcPr>
          <w:p>
            <w:pPr>
              <w:spacing w:before="29" w:line="288" w:lineRule="auto"/>
              <w:jc w:val="right"/>
              <w:rPr>
                <w:kern w:val="0"/>
                <w:sz w:val="24"/>
              </w:rPr>
            </w:pPr>
            <w:r>
              <w:rPr>
                <w:rFonts w:hint="eastAsia"/>
                <w:kern w:val="0"/>
                <w:sz w:val="24"/>
              </w:rPr>
              <w:t>-</w:t>
            </w:r>
          </w:p>
        </w:tc>
        <w:tc>
          <w:tcPr>
            <w:tcW w:w="1062" w:type="dxa"/>
            <w:vAlign w:val="center"/>
          </w:tcPr>
          <w:p>
            <w:pPr>
              <w:spacing w:before="29" w:line="288" w:lineRule="auto"/>
              <w:jc w:val="right"/>
              <w:rPr>
                <w:kern w:val="0"/>
                <w:sz w:val="24"/>
              </w:rPr>
            </w:pPr>
            <w:r>
              <w:rPr>
                <w:rFonts w:hint="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衍生金融资产－权证投资</w:t>
            </w:r>
          </w:p>
        </w:tc>
        <w:tc>
          <w:tcPr>
            <w:tcW w:w="1843" w:type="dxa"/>
            <w:vAlign w:val="center"/>
          </w:tcPr>
          <w:p>
            <w:pPr>
              <w:spacing w:before="29" w:line="288" w:lineRule="auto"/>
              <w:jc w:val="right"/>
              <w:rPr>
                <w:kern w:val="0"/>
                <w:sz w:val="24"/>
              </w:rPr>
            </w:pPr>
            <w:r>
              <w:rPr>
                <w:kern w:val="0"/>
                <w:sz w:val="24"/>
              </w:rPr>
              <w:t>-</w:t>
            </w:r>
          </w:p>
        </w:tc>
        <w:tc>
          <w:tcPr>
            <w:tcW w:w="1097" w:type="dxa"/>
            <w:vAlign w:val="center"/>
          </w:tcPr>
          <w:p>
            <w:pPr>
              <w:spacing w:before="29" w:line="288" w:lineRule="auto"/>
              <w:jc w:val="right"/>
              <w:rPr>
                <w:kern w:val="0"/>
                <w:sz w:val="24"/>
              </w:rPr>
            </w:pPr>
            <w:r>
              <w:rPr>
                <w:kern w:val="0"/>
                <w:sz w:val="24"/>
              </w:rPr>
              <w:t>-</w:t>
            </w:r>
          </w:p>
        </w:tc>
        <w:tc>
          <w:tcPr>
            <w:tcW w:w="1879" w:type="dxa"/>
            <w:vAlign w:val="center"/>
          </w:tcPr>
          <w:p>
            <w:pPr>
              <w:spacing w:before="29" w:line="288" w:lineRule="auto"/>
              <w:jc w:val="right"/>
              <w:rPr>
                <w:kern w:val="0"/>
                <w:sz w:val="24"/>
              </w:rPr>
            </w:pPr>
            <w:r>
              <w:rPr>
                <w:kern w:val="0"/>
                <w:sz w:val="24"/>
              </w:rPr>
              <w:t>-</w:t>
            </w:r>
          </w:p>
        </w:tc>
        <w:tc>
          <w:tcPr>
            <w:tcW w:w="1062"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其他</w:t>
            </w:r>
          </w:p>
        </w:tc>
        <w:tc>
          <w:tcPr>
            <w:tcW w:w="1843" w:type="dxa"/>
            <w:vAlign w:val="center"/>
          </w:tcPr>
          <w:p>
            <w:pPr>
              <w:spacing w:before="29" w:line="288" w:lineRule="auto"/>
              <w:jc w:val="right"/>
              <w:rPr>
                <w:kern w:val="0"/>
                <w:sz w:val="24"/>
              </w:rPr>
            </w:pPr>
            <w:r>
              <w:rPr>
                <w:kern w:val="0"/>
                <w:sz w:val="24"/>
              </w:rPr>
              <w:t>-</w:t>
            </w:r>
          </w:p>
        </w:tc>
        <w:tc>
          <w:tcPr>
            <w:tcW w:w="1097" w:type="dxa"/>
            <w:vAlign w:val="center"/>
          </w:tcPr>
          <w:p>
            <w:pPr>
              <w:spacing w:before="29" w:line="288" w:lineRule="auto"/>
              <w:jc w:val="right"/>
              <w:rPr>
                <w:kern w:val="0"/>
                <w:sz w:val="24"/>
              </w:rPr>
            </w:pPr>
            <w:r>
              <w:rPr>
                <w:kern w:val="0"/>
                <w:sz w:val="24"/>
              </w:rPr>
              <w:t>-</w:t>
            </w:r>
          </w:p>
        </w:tc>
        <w:tc>
          <w:tcPr>
            <w:tcW w:w="1879" w:type="dxa"/>
            <w:vAlign w:val="center"/>
          </w:tcPr>
          <w:p>
            <w:pPr>
              <w:spacing w:before="29" w:line="288" w:lineRule="auto"/>
              <w:jc w:val="right"/>
              <w:rPr>
                <w:kern w:val="0"/>
                <w:sz w:val="24"/>
              </w:rPr>
            </w:pPr>
            <w:r>
              <w:rPr>
                <w:kern w:val="0"/>
                <w:sz w:val="24"/>
              </w:rPr>
              <w:t>-</w:t>
            </w:r>
          </w:p>
        </w:tc>
        <w:tc>
          <w:tcPr>
            <w:tcW w:w="1062"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合计</w:t>
            </w:r>
          </w:p>
        </w:tc>
        <w:tc>
          <w:tcPr>
            <w:tcW w:w="1843" w:type="dxa"/>
            <w:vAlign w:val="center"/>
          </w:tcPr>
          <w:p>
            <w:pPr>
              <w:spacing w:before="29" w:line="288" w:lineRule="auto"/>
              <w:jc w:val="right"/>
              <w:rPr>
                <w:kern w:val="0"/>
                <w:sz w:val="24"/>
              </w:rPr>
            </w:pPr>
            <w:r>
              <w:rPr>
                <w:kern w:val="0"/>
                <w:sz w:val="24"/>
              </w:rPr>
              <w:t>285,338,868.40</w:t>
            </w:r>
          </w:p>
        </w:tc>
        <w:tc>
          <w:tcPr>
            <w:tcW w:w="1097" w:type="dxa"/>
            <w:vAlign w:val="center"/>
          </w:tcPr>
          <w:p>
            <w:pPr>
              <w:spacing w:before="29" w:line="288" w:lineRule="auto"/>
              <w:jc w:val="right"/>
              <w:rPr>
                <w:kern w:val="0"/>
                <w:sz w:val="24"/>
              </w:rPr>
            </w:pPr>
            <w:r>
              <w:rPr>
                <w:kern w:val="0"/>
                <w:sz w:val="24"/>
              </w:rPr>
              <w:t>87.20</w:t>
            </w:r>
          </w:p>
        </w:tc>
        <w:tc>
          <w:tcPr>
            <w:tcW w:w="1879" w:type="dxa"/>
            <w:vAlign w:val="center"/>
          </w:tcPr>
          <w:p>
            <w:pPr>
              <w:spacing w:before="29" w:line="288" w:lineRule="auto"/>
              <w:jc w:val="right"/>
              <w:rPr>
                <w:kern w:val="0"/>
                <w:sz w:val="24"/>
              </w:rPr>
            </w:pPr>
            <w:r>
              <w:rPr>
                <w:kern w:val="0"/>
                <w:sz w:val="24"/>
              </w:rPr>
              <w:t>224,693,782.71</w:t>
            </w:r>
          </w:p>
        </w:tc>
        <w:tc>
          <w:tcPr>
            <w:tcW w:w="1062" w:type="dxa"/>
            <w:vAlign w:val="center"/>
          </w:tcPr>
          <w:p>
            <w:pPr>
              <w:spacing w:before="29" w:line="288" w:lineRule="auto"/>
              <w:jc w:val="right"/>
              <w:rPr>
                <w:kern w:val="0"/>
                <w:sz w:val="24"/>
              </w:rPr>
            </w:pPr>
            <w:r>
              <w:rPr>
                <w:kern w:val="0"/>
                <w:sz w:val="24"/>
              </w:rPr>
              <w:t>92.77</w:t>
            </w:r>
          </w:p>
        </w:tc>
      </w:tr>
    </w:tbl>
    <w:p>
      <w:pPr>
        <w:spacing w:line="360" w:lineRule="auto"/>
        <w:ind w:firstLine="420" w:firstLineChars="200"/>
        <w:rPr>
          <w:rFonts w:asciiTheme="minorEastAsia" w:hAnsiTheme="minorEastAsia" w:eastAsiaTheme="minorEastAsia"/>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7.4.13.4.3.2</w:t>
      </w:r>
      <w:r>
        <w:rPr>
          <w:rFonts w:hint="eastAsia" w:eastAsiaTheme="minorEastAsia"/>
          <w:b/>
          <w:color w:val="000000" w:themeColor="text1"/>
          <w:sz w:val="24"/>
        </w:rPr>
        <w:t>其他价格风险的敏感性分析</w:t>
      </w:r>
    </w:p>
    <w:tbl>
      <w:tblPr>
        <w:tblStyle w:val="25"/>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3969"/>
        <w:gridCol w:w="2126"/>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jc w:val="left"/>
            </w:pPr>
            <w:r>
              <w:rPr>
                <w:bCs/>
                <w:color w:val="000000"/>
                <w:sz w:val="24"/>
              </w:rPr>
              <w:t>假设</w:t>
            </w:r>
          </w:p>
        </w:tc>
        <w:tc>
          <w:tcPr>
            <w:tcW w:w="8221" w:type="dxa"/>
            <w:gridSpan w:val="3"/>
            <w:vAlign w:val="center"/>
          </w:tcPr>
          <w:p>
            <w:pPr>
              <w:jc w:val="center"/>
            </w:pPr>
            <w:r>
              <w:rPr>
                <w:bCs/>
                <w:color w:val="000000"/>
                <w:sz w:val="24"/>
              </w:rPr>
              <w:t>除业绩比较基准(附注7.4.1)以外的其他市场变量保持不变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restart"/>
            <w:vAlign w:val="center"/>
          </w:tcPr>
          <w:p>
            <w:pPr>
              <w:widowControl/>
              <w:autoSpaceDE w:val="0"/>
              <w:autoSpaceDN w:val="0"/>
              <w:spacing w:before="29" w:line="288" w:lineRule="auto"/>
              <w:ind w:right="-15"/>
              <w:jc w:val="center"/>
              <w:textAlignment w:val="bottom"/>
              <w:rPr>
                <w:bCs/>
                <w:color w:val="000000"/>
                <w:sz w:val="24"/>
              </w:rPr>
            </w:pPr>
            <w:r>
              <w:rPr>
                <w:rFonts w:hint="eastAsia"/>
                <w:bCs/>
                <w:color w:val="000000"/>
                <w:sz w:val="24"/>
              </w:rPr>
              <w:t>分析</w:t>
            </w:r>
            <w:r>
              <w:rPr>
                <w:bCs/>
                <w:color w:val="000000"/>
                <w:sz w:val="24"/>
              </w:rPr>
              <w:t xml:space="preserve"> </w:t>
            </w:r>
          </w:p>
        </w:tc>
        <w:tc>
          <w:tcPr>
            <w:tcW w:w="3969" w:type="dxa"/>
            <w:vMerge w:val="restart"/>
            <w:vAlign w:val="center"/>
          </w:tcPr>
          <w:p>
            <w:pPr>
              <w:widowControl/>
              <w:autoSpaceDE w:val="0"/>
              <w:autoSpaceDN w:val="0"/>
              <w:spacing w:before="29" w:line="288" w:lineRule="auto"/>
              <w:ind w:right="-15"/>
              <w:jc w:val="center"/>
              <w:textAlignment w:val="bottom"/>
              <w:rPr>
                <w:bCs/>
                <w:color w:val="000000"/>
                <w:sz w:val="24"/>
              </w:rPr>
            </w:pPr>
            <w:r>
              <w:rPr>
                <w:rFonts w:hint="eastAsia"/>
                <w:bCs/>
                <w:color w:val="000000"/>
                <w:sz w:val="24"/>
              </w:rPr>
              <w:t>相关风险变量的变动</w:t>
            </w:r>
          </w:p>
        </w:tc>
        <w:tc>
          <w:tcPr>
            <w:tcW w:w="4252" w:type="dxa"/>
            <w:gridSpan w:val="2"/>
            <w:vAlign w:val="center"/>
          </w:tcPr>
          <w:p>
            <w:pPr>
              <w:widowControl/>
              <w:autoSpaceDE w:val="0"/>
              <w:autoSpaceDN w:val="0"/>
              <w:spacing w:before="29" w:line="288" w:lineRule="auto"/>
              <w:ind w:right="-15"/>
              <w:jc w:val="center"/>
              <w:textAlignment w:val="bottom"/>
              <w:rPr>
                <w:bCs/>
                <w:color w:val="000000"/>
                <w:sz w:val="24"/>
              </w:rPr>
            </w:pPr>
            <w:r>
              <w:rPr>
                <w:rFonts w:hint="eastAsia"/>
                <w:bCs/>
                <w:color w:val="000000"/>
                <w:sz w:val="24"/>
              </w:rPr>
              <w:t>对资产负债表日基金资产净值的</w:t>
            </w:r>
          </w:p>
          <w:p>
            <w:pPr>
              <w:widowControl/>
              <w:autoSpaceDE w:val="0"/>
              <w:autoSpaceDN w:val="0"/>
              <w:spacing w:before="29" w:line="288" w:lineRule="auto"/>
              <w:ind w:right="-15"/>
              <w:jc w:val="center"/>
              <w:textAlignment w:val="bottom"/>
              <w:rPr>
                <w:bCs/>
                <w:color w:val="000000"/>
                <w:sz w:val="24"/>
              </w:rPr>
            </w:pPr>
            <w:r>
              <w:rPr>
                <w:rFonts w:hint="eastAsia"/>
                <w:bCs/>
                <w:color w:val="000000"/>
                <w:sz w:val="24"/>
              </w:rPr>
              <w:t>影响金额（单位：人民币万元）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vAlign w:val="center"/>
          </w:tcPr>
          <w:p>
            <w:pPr>
              <w:widowControl/>
              <w:autoSpaceDE w:val="0"/>
              <w:autoSpaceDN w:val="0"/>
              <w:spacing w:before="29" w:line="288" w:lineRule="auto"/>
              <w:ind w:right="-15"/>
              <w:jc w:val="center"/>
              <w:textAlignment w:val="bottom"/>
              <w:rPr>
                <w:bCs/>
                <w:color w:val="000000"/>
                <w:sz w:val="24"/>
              </w:rPr>
            </w:pPr>
          </w:p>
        </w:tc>
        <w:tc>
          <w:tcPr>
            <w:tcW w:w="3969" w:type="dxa"/>
            <w:vMerge w:val="continue"/>
            <w:vAlign w:val="center"/>
          </w:tcPr>
          <w:p>
            <w:pPr>
              <w:widowControl/>
              <w:autoSpaceDE w:val="0"/>
              <w:autoSpaceDN w:val="0"/>
              <w:spacing w:before="29" w:line="288" w:lineRule="auto"/>
              <w:ind w:right="-15"/>
              <w:jc w:val="center"/>
              <w:textAlignment w:val="bottom"/>
              <w:rPr>
                <w:bCs/>
                <w:color w:val="000000"/>
                <w:sz w:val="24"/>
              </w:rPr>
            </w:pPr>
          </w:p>
        </w:tc>
        <w:tc>
          <w:tcPr>
            <w:tcW w:w="2126" w:type="dxa"/>
          </w:tcPr>
          <w:p>
            <w:pPr>
              <w:autoSpaceDE w:val="0"/>
              <w:autoSpaceDN w:val="0"/>
              <w:spacing w:before="29" w:line="288" w:lineRule="auto"/>
              <w:ind w:right="-15" w:firstLine="840" w:firstLineChars="350"/>
              <w:jc w:val="center"/>
              <w:textAlignment w:val="bottom"/>
              <w:rPr>
                <w:bCs/>
                <w:color w:val="000000"/>
                <w:sz w:val="24"/>
              </w:rPr>
            </w:pPr>
            <w:r>
              <w:rPr>
                <w:rFonts w:hint="eastAsia"/>
                <w:bCs/>
                <w:color w:val="000000"/>
                <w:sz w:val="24"/>
              </w:rPr>
              <w:t>本期末</w:t>
            </w:r>
          </w:p>
          <w:p>
            <w:pPr>
              <w:autoSpaceDE w:val="0"/>
              <w:autoSpaceDN w:val="0"/>
              <w:spacing w:before="29" w:line="288" w:lineRule="auto"/>
              <w:ind w:right="-15"/>
              <w:jc w:val="center"/>
              <w:textAlignment w:val="bottom"/>
              <w:rPr>
                <w:bCs/>
                <w:color w:val="000000"/>
                <w:sz w:val="24"/>
              </w:rPr>
            </w:pPr>
            <w:r>
              <w:rPr>
                <w:bCs/>
                <w:color w:val="000000"/>
                <w:sz w:val="24"/>
              </w:rPr>
              <w:t>2020年12月31日</w:t>
            </w:r>
          </w:p>
        </w:tc>
        <w:tc>
          <w:tcPr>
            <w:tcW w:w="2126" w:type="dxa"/>
          </w:tcPr>
          <w:p>
            <w:pPr>
              <w:autoSpaceDE w:val="0"/>
              <w:autoSpaceDN w:val="0"/>
              <w:spacing w:before="29" w:line="288" w:lineRule="auto"/>
              <w:ind w:right="-15" w:firstLine="720" w:firstLineChars="300"/>
              <w:jc w:val="center"/>
              <w:textAlignment w:val="bottom"/>
              <w:rPr>
                <w:bCs/>
                <w:color w:val="000000"/>
                <w:sz w:val="24"/>
              </w:rPr>
            </w:pPr>
            <w:r>
              <w:rPr>
                <w:rFonts w:hint="eastAsia"/>
                <w:bCs/>
                <w:color w:val="000000"/>
                <w:sz w:val="24"/>
              </w:rPr>
              <w:t>上年度末</w:t>
            </w:r>
          </w:p>
          <w:p>
            <w:pPr>
              <w:autoSpaceDE w:val="0"/>
              <w:autoSpaceDN w:val="0"/>
              <w:spacing w:before="29" w:line="288" w:lineRule="auto"/>
              <w:ind w:right="-15"/>
              <w:jc w:val="center"/>
              <w:textAlignment w:val="bottom"/>
              <w:rPr>
                <w:bCs/>
                <w:color w:val="000000"/>
                <w:sz w:val="24"/>
              </w:rPr>
            </w:pPr>
            <w:r>
              <w:rPr>
                <w:bCs/>
                <w:color w:val="00000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tcPr>
          <w:p/>
        </w:tc>
        <w:tc>
          <w:tcPr>
            <w:tcW w:w="3969" w:type="dxa"/>
            <w:vAlign w:val="center"/>
          </w:tcPr>
          <w:p>
            <w:r>
              <w:rPr>
                <w:color w:val="000000"/>
                <w:sz w:val="24"/>
              </w:rPr>
              <w:t>1. 业绩比较基准(附注7.4.1)上升5%</w:t>
            </w:r>
          </w:p>
        </w:tc>
        <w:tc>
          <w:tcPr>
            <w:tcW w:w="2126" w:type="dxa"/>
            <w:vAlign w:val="center"/>
          </w:tcPr>
          <w:p>
            <w:pPr>
              <w:jc w:val="right"/>
            </w:pPr>
            <w:r>
              <w:rPr>
                <w:color w:val="000000"/>
                <w:sz w:val="24"/>
              </w:rPr>
              <w:t>增加约2,780</w:t>
            </w:r>
          </w:p>
        </w:tc>
        <w:tc>
          <w:tcPr>
            <w:tcW w:w="2126" w:type="dxa"/>
            <w:vAlign w:val="center"/>
          </w:tcPr>
          <w:p>
            <w:pPr>
              <w:jc w:val="right"/>
            </w:pPr>
            <w:r>
              <w:rPr>
                <w:color w:val="000000"/>
                <w:sz w:val="24"/>
              </w:rPr>
              <w:t>增加约1,927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tcPr>
          <w:p/>
        </w:tc>
        <w:tc>
          <w:tcPr>
            <w:tcW w:w="3969" w:type="dxa"/>
            <w:vAlign w:val="center"/>
          </w:tcPr>
          <w:p>
            <w:r>
              <w:rPr>
                <w:color w:val="000000"/>
                <w:sz w:val="24"/>
              </w:rPr>
              <w:t>2. 业绩比较基准(附注7.4.1)下降5%</w:t>
            </w:r>
          </w:p>
        </w:tc>
        <w:tc>
          <w:tcPr>
            <w:tcW w:w="2126" w:type="dxa"/>
            <w:vAlign w:val="center"/>
          </w:tcPr>
          <w:p>
            <w:pPr>
              <w:jc w:val="right"/>
            </w:pPr>
            <w:r>
              <w:rPr>
                <w:color w:val="000000"/>
                <w:sz w:val="24"/>
              </w:rPr>
              <w:t>减少约2,780</w:t>
            </w:r>
          </w:p>
        </w:tc>
        <w:tc>
          <w:tcPr>
            <w:tcW w:w="2126" w:type="dxa"/>
            <w:vAlign w:val="center"/>
          </w:tcPr>
          <w:p>
            <w:pPr>
              <w:jc w:val="right"/>
            </w:pPr>
            <w:r>
              <w:rPr>
                <w:color w:val="000000"/>
                <w:sz w:val="24"/>
              </w:rPr>
              <w:t>减少约1,927</w:t>
            </w:r>
          </w:p>
        </w:tc>
      </w:tr>
    </w:tbl>
    <w:p>
      <w:pPr>
        <w:spacing w:line="360" w:lineRule="auto"/>
        <w:rPr>
          <w:rFonts w:eastAsiaTheme="minorEastAsia"/>
          <w:b/>
          <w:color w:val="000000" w:themeColor="text1"/>
          <w:sz w:val="24"/>
        </w:rPr>
      </w:pPr>
      <w:r>
        <w:rPr>
          <w:rFonts w:eastAsiaTheme="minorEastAsia"/>
          <w:b/>
          <w:color w:val="000000" w:themeColor="text1"/>
          <w:sz w:val="24"/>
        </w:rPr>
        <w:t>7.4.14</w:t>
      </w:r>
      <w:r>
        <w:rPr>
          <w:rFonts w:hint="eastAsia" w:eastAsiaTheme="minorEastAsia"/>
          <w:b/>
          <w:color w:val="000000" w:themeColor="text1"/>
          <w:sz w:val="24"/>
        </w:rPr>
        <w:t>有助于理解和分析会计报表需要说明的其他事项</w:t>
      </w:r>
    </w:p>
    <w:p>
      <w:pPr>
        <w:spacing w:before="29" w:line="288" w:lineRule="auto"/>
        <w:ind w:firstLine="480" w:firstLineChars="200"/>
        <w:rPr>
          <w:color w:val="000000"/>
          <w:sz w:val="24"/>
        </w:rPr>
      </w:pPr>
      <w:r>
        <w:rPr>
          <w:color w:val="000000"/>
          <w:sz w:val="24"/>
        </w:rPr>
        <w:t>(1) 公允价值</w:t>
      </w:r>
    </w:p>
    <w:p>
      <w:pPr>
        <w:spacing w:before="29" w:line="288" w:lineRule="auto"/>
        <w:ind w:firstLine="480" w:firstLineChars="200"/>
        <w:rPr>
          <w:color w:val="000000"/>
          <w:sz w:val="24"/>
        </w:rPr>
      </w:pPr>
      <w:r>
        <w:rPr>
          <w:color w:val="000000"/>
          <w:sz w:val="24"/>
        </w:rPr>
        <w:t>(a)  金融工具公允价值计量的方法</w:t>
      </w:r>
    </w:p>
    <w:p>
      <w:pPr>
        <w:spacing w:before="29" w:line="288" w:lineRule="auto"/>
        <w:ind w:firstLine="480" w:firstLineChars="200"/>
        <w:rPr>
          <w:color w:val="000000"/>
          <w:sz w:val="24"/>
        </w:rPr>
      </w:pPr>
      <w:r>
        <w:rPr>
          <w:color w:val="000000"/>
          <w:sz w:val="24"/>
        </w:rPr>
        <w:t>公允价值计量结果所属的层次，由对公允价值计量整体而言具有重要意义的输入值所属的最低层次决定：</w:t>
      </w:r>
    </w:p>
    <w:p>
      <w:pPr>
        <w:spacing w:before="29" w:line="288" w:lineRule="auto"/>
        <w:ind w:firstLine="480" w:firstLineChars="200"/>
        <w:rPr>
          <w:color w:val="000000"/>
          <w:sz w:val="24"/>
        </w:rPr>
      </w:pPr>
      <w:r>
        <w:rPr>
          <w:color w:val="000000"/>
          <w:sz w:val="24"/>
        </w:rPr>
        <w:t>第一层次：相同资产或负债在活跃市场上未经调整的报价。</w:t>
      </w:r>
    </w:p>
    <w:p>
      <w:pPr>
        <w:spacing w:before="29" w:line="288" w:lineRule="auto"/>
        <w:ind w:firstLine="480" w:firstLineChars="200"/>
        <w:rPr>
          <w:color w:val="000000"/>
          <w:sz w:val="24"/>
        </w:rPr>
      </w:pPr>
      <w:r>
        <w:rPr>
          <w:color w:val="000000"/>
          <w:sz w:val="24"/>
        </w:rPr>
        <w:t>第二层次：除第一层次输入值外相关资产或负债直接或间接可观察的输入值。</w:t>
      </w:r>
    </w:p>
    <w:p>
      <w:pPr>
        <w:spacing w:before="29" w:line="288" w:lineRule="auto"/>
        <w:ind w:firstLine="480" w:firstLineChars="200"/>
        <w:rPr>
          <w:color w:val="000000"/>
          <w:sz w:val="24"/>
        </w:rPr>
      </w:pPr>
      <w:r>
        <w:rPr>
          <w:color w:val="000000"/>
          <w:sz w:val="24"/>
        </w:rPr>
        <w:t>第三层次：相关资产或负债的不可观察输入值。</w:t>
      </w:r>
    </w:p>
    <w:p>
      <w:pPr>
        <w:spacing w:before="29" w:line="288" w:lineRule="auto"/>
        <w:ind w:firstLine="480" w:firstLineChars="200"/>
        <w:rPr>
          <w:color w:val="000000"/>
          <w:sz w:val="24"/>
        </w:rPr>
      </w:pPr>
      <w:r>
        <w:rPr>
          <w:color w:val="000000"/>
          <w:sz w:val="24"/>
        </w:rPr>
        <w:t>(b)  持续的以公允价值计量的金融工具</w:t>
      </w:r>
    </w:p>
    <w:p>
      <w:pPr>
        <w:spacing w:before="29" w:line="288" w:lineRule="auto"/>
        <w:ind w:firstLine="480" w:firstLineChars="200"/>
        <w:rPr>
          <w:color w:val="000000"/>
          <w:sz w:val="24"/>
        </w:rPr>
      </w:pPr>
      <w:r>
        <w:rPr>
          <w:color w:val="000000"/>
          <w:sz w:val="24"/>
        </w:rPr>
        <w:t>(i)  各层次金融工具公允价值</w:t>
      </w:r>
    </w:p>
    <w:p>
      <w:pPr>
        <w:spacing w:before="29" w:line="288" w:lineRule="auto"/>
        <w:ind w:firstLine="480" w:firstLineChars="200"/>
        <w:rPr>
          <w:color w:val="000000"/>
          <w:sz w:val="24"/>
        </w:rPr>
      </w:pPr>
      <w:r>
        <w:rPr>
          <w:color w:val="000000"/>
          <w:sz w:val="24"/>
        </w:rPr>
        <w:t>于2020年12月31日，本基金持有的以公允价值计量且其变动计入当期损益的金融资产中属于第一层次的余额为277,448,790.62元，属于第二层次的余额为7,890,077.78元，无属于第三层次的余额(2019年12月31日：第一层次216,156,755.62元，第二层次18,550,027.09元，无第三层次)。</w:t>
      </w:r>
    </w:p>
    <w:p>
      <w:pPr>
        <w:spacing w:before="29" w:line="288" w:lineRule="auto"/>
        <w:ind w:firstLine="480" w:firstLineChars="200"/>
        <w:rPr>
          <w:color w:val="000000"/>
          <w:sz w:val="24"/>
        </w:rPr>
      </w:pPr>
      <w:r>
        <w:rPr>
          <w:color w:val="000000"/>
          <w:sz w:val="24"/>
        </w:rPr>
        <w:t>(ii)  公允价值所属层次间的重大变动</w:t>
      </w:r>
    </w:p>
    <w:p>
      <w:pPr>
        <w:spacing w:before="29" w:line="288" w:lineRule="auto"/>
        <w:ind w:firstLine="480" w:firstLineChars="200"/>
        <w:rPr>
          <w:color w:val="000000"/>
          <w:sz w:val="24"/>
        </w:rPr>
      </w:pPr>
      <w:r>
        <w:rPr>
          <w:color w:val="000000"/>
          <w:sz w:val="24"/>
        </w:rPr>
        <w:t>本基金以导致各层次之间转换的事项发生日为确认各层次之间转换的时点。</w:t>
      </w:r>
    </w:p>
    <w:p>
      <w:pPr>
        <w:spacing w:before="29" w:line="288" w:lineRule="auto"/>
        <w:ind w:firstLine="480" w:firstLineChars="200"/>
        <w:rPr>
          <w:color w:val="000000"/>
          <w:sz w:val="24"/>
        </w:rPr>
      </w:pPr>
      <w:r>
        <w:rPr>
          <w:color w:val="000000"/>
          <w:sz w:val="24"/>
        </w:rPr>
        <w:t>对于证券交易所上市的股票和债券，若出现重大事项停牌、交易不活跃(包括涨跌停时的交易不活跃)、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pPr>
        <w:spacing w:before="29" w:line="288" w:lineRule="auto"/>
        <w:ind w:firstLine="480" w:firstLineChars="200"/>
        <w:rPr>
          <w:color w:val="000000"/>
          <w:sz w:val="24"/>
        </w:rPr>
      </w:pPr>
      <w:r>
        <w:rPr>
          <w:color w:val="000000"/>
          <w:sz w:val="24"/>
        </w:rPr>
        <w:t>(iii)  第三层次公允价值余额和本期变动金额</w:t>
      </w:r>
    </w:p>
    <w:p>
      <w:pPr>
        <w:spacing w:before="29" w:line="288" w:lineRule="auto"/>
        <w:ind w:firstLine="480" w:firstLineChars="200"/>
        <w:rPr>
          <w:color w:val="000000"/>
          <w:sz w:val="24"/>
        </w:rPr>
      </w:pPr>
      <w:r>
        <w:rPr>
          <w:color w:val="000000"/>
          <w:sz w:val="24"/>
        </w:rPr>
        <w:t>无。</w:t>
      </w:r>
    </w:p>
    <w:p>
      <w:pPr>
        <w:spacing w:before="29" w:line="288" w:lineRule="auto"/>
        <w:ind w:firstLine="480" w:firstLineChars="200"/>
        <w:rPr>
          <w:color w:val="000000"/>
          <w:sz w:val="24"/>
        </w:rPr>
      </w:pPr>
      <w:r>
        <w:rPr>
          <w:color w:val="000000"/>
          <w:sz w:val="24"/>
        </w:rPr>
        <w:t>(c)  非持续的以公允价值计量的金融工具</w:t>
      </w:r>
    </w:p>
    <w:p>
      <w:pPr>
        <w:spacing w:before="29" w:line="288" w:lineRule="auto"/>
        <w:ind w:firstLine="480" w:firstLineChars="200"/>
        <w:rPr>
          <w:color w:val="000000"/>
          <w:sz w:val="24"/>
        </w:rPr>
      </w:pPr>
      <w:r>
        <w:rPr>
          <w:color w:val="000000"/>
          <w:sz w:val="24"/>
        </w:rPr>
        <w:t>于2020年12月31日，本基金未持有非持续的以公允价值计量的金融资产(2019年12月31日：同)。</w:t>
      </w:r>
    </w:p>
    <w:p>
      <w:pPr>
        <w:spacing w:before="29" w:line="288" w:lineRule="auto"/>
        <w:ind w:firstLine="480" w:firstLineChars="200"/>
        <w:rPr>
          <w:color w:val="000000"/>
          <w:sz w:val="24"/>
        </w:rPr>
      </w:pPr>
      <w:r>
        <w:rPr>
          <w:color w:val="000000"/>
          <w:sz w:val="24"/>
        </w:rPr>
        <w:t>(d)  不以公允价值计量的金融工具</w:t>
      </w:r>
    </w:p>
    <w:p>
      <w:pPr>
        <w:spacing w:before="29" w:line="288" w:lineRule="auto"/>
        <w:ind w:firstLine="480" w:firstLineChars="200"/>
        <w:rPr>
          <w:color w:val="000000"/>
          <w:sz w:val="24"/>
        </w:rPr>
      </w:pPr>
      <w:r>
        <w:rPr>
          <w:color w:val="000000"/>
          <w:sz w:val="24"/>
        </w:rPr>
        <w:t>不以公允价值计量的金融资产和负债主要包括应收款项和其他金融负债，其账面价值与公允价值相差很小。</w:t>
      </w:r>
    </w:p>
    <w:p>
      <w:pPr>
        <w:spacing w:before="29" w:line="288" w:lineRule="auto"/>
        <w:ind w:firstLine="480" w:firstLineChars="200"/>
        <w:rPr>
          <w:color w:val="000000"/>
          <w:sz w:val="24"/>
        </w:rPr>
      </w:pPr>
      <w:r>
        <w:rPr>
          <w:color w:val="000000"/>
          <w:sz w:val="24"/>
        </w:rPr>
        <w:t>(2) 除公允价值外，截至资产负债表日本基金无需要说明的其他重要事项。</w:t>
      </w:r>
    </w:p>
    <w:p>
      <w:pPr>
        <w:spacing w:before="29" w:line="288" w:lineRule="auto"/>
        <w:ind w:firstLine="480" w:firstLineChars="200"/>
        <w:rPr>
          <w:color w:val="000000"/>
          <w:sz w:val="24"/>
        </w:rPr>
      </w:pPr>
    </w:p>
    <w:p>
      <w:pPr>
        <w:pStyle w:val="2"/>
        <w:keepNext/>
        <w:keepLines/>
        <w:widowControl w:val="0"/>
        <w:spacing w:before="312" w:beforeLines="100" w:after="312" w:afterLines="100" w:line="288" w:lineRule="auto"/>
        <w:jc w:val="center"/>
        <w:rPr>
          <w:b/>
          <w:color w:val="000000"/>
          <w:szCs w:val="24"/>
        </w:rPr>
      </w:pPr>
      <w:bookmarkStart w:id="124" w:name="_Toc225498272"/>
      <w:bookmarkStart w:id="125" w:name="_Toc361324877"/>
      <w:bookmarkStart w:id="126" w:name="_Toc67589777"/>
      <w:r>
        <w:rPr>
          <w:rFonts w:hint="eastAsia"/>
          <w:b/>
          <w:color w:val="000000"/>
          <w:szCs w:val="24"/>
        </w:rPr>
        <w:t>§</w:t>
      </w:r>
      <w:r>
        <w:rPr>
          <w:b/>
          <w:color w:val="000000"/>
          <w:szCs w:val="24"/>
        </w:rPr>
        <w:t>8</w:t>
      </w:r>
      <w:r>
        <w:rPr>
          <w:rFonts w:hint="eastAsia"/>
          <w:b/>
          <w:color w:val="000000"/>
          <w:szCs w:val="24"/>
        </w:rPr>
        <w:t>投资组合报告</w:t>
      </w:r>
      <w:bookmarkEnd w:id="124"/>
      <w:bookmarkEnd w:id="125"/>
      <w:bookmarkEnd w:id="126"/>
    </w:p>
    <w:p>
      <w:pPr>
        <w:pStyle w:val="3"/>
        <w:spacing w:before="0" w:after="0"/>
        <w:rPr>
          <w:rFonts w:ascii="Times New Roman" w:hAnsi="Times New Roman" w:eastAsiaTheme="minorEastAsia"/>
          <w:color w:val="000000" w:themeColor="text1"/>
          <w:kern w:val="0"/>
          <w:sz w:val="21"/>
          <w:szCs w:val="21"/>
        </w:rPr>
      </w:pPr>
      <w:bookmarkStart w:id="127" w:name="_Toc225498273"/>
      <w:bookmarkStart w:id="128" w:name="_Toc361324878"/>
      <w:bookmarkStart w:id="129" w:name="_Toc374374955"/>
      <w:bookmarkStart w:id="130" w:name="_Toc67589778"/>
      <w:r>
        <w:rPr>
          <w:rFonts w:ascii="Times New Roman" w:hAnsi="Times New Roman" w:eastAsiaTheme="minorEastAsia"/>
          <w:bCs w:val="0"/>
          <w:color w:val="000000" w:themeColor="text1"/>
          <w:kern w:val="0"/>
          <w:sz w:val="21"/>
          <w:szCs w:val="21"/>
        </w:rPr>
        <w:t xml:space="preserve">8.1 </w:t>
      </w:r>
      <w:r>
        <w:rPr>
          <w:rFonts w:ascii="Times New Roman" w:hAnsi="Times New Roman" w:eastAsiaTheme="minorEastAsia"/>
          <w:color w:val="000000" w:themeColor="text1"/>
          <w:kern w:val="0"/>
          <w:sz w:val="21"/>
          <w:szCs w:val="21"/>
        </w:rPr>
        <w:t>期末基金资产组合情况</w:t>
      </w:r>
      <w:bookmarkEnd w:id="127"/>
      <w:bookmarkEnd w:id="128"/>
      <w:bookmarkEnd w:id="129"/>
      <w:bookmarkEnd w:id="130"/>
    </w:p>
    <w:p>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2748"/>
        <w:gridCol w:w="2551"/>
        <w:gridCol w:w="2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eastAsiaTheme="minorEastAsia"/>
                <w:color w:val="000000" w:themeColor="text1"/>
                <w:szCs w:val="21"/>
              </w:rPr>
              <w:t>序号</w:t>
            </w:r>
          </w:p>
        </w:tc>
        <w:tc>
          <w:tcPr>
            <w:tcW w:w="2748" w:type="dxa"/>
            <w:vAlign w:val="center"/>
          </w:tcPr>
          <w:p>
            <w:pPr>
              <w:spacing w:line="276" w:lineRule="auto"/>
              <w:jc w:val="center"/>
              <w:rPr>
                <w:rFonts w:eastAsiaTheme="minorEastAsia"/>
                <w:color w:val="000000" w:themeColor="text1"/>
                <w:szCs w:val="21"/>
              </w:rPr>
            </w:pPr>
            <w:r>
              <w:rPr>
                <w:rFonts w:eastAsiaTheme="minorEastAsia"/>
                <w:color w:val="000000" w:themeColor="text1"/>
                <w:szCs w:val="21"/>
              </w:rPr>
              <w:t>项目</w:t>
            </w:r>
          </w:p>
        </w:tc>
        <w:tc>
          <w:tcPr>
            <w:tcW w:w="2551" w:type="dxa"/>
            <w:vAlign w:val="center"/>
          </w:tcPr>
          <w:p>
            <w:pPr>
              <w:spacing w:line="276" w:lineRule="auto"/>
              <w:jc w:val="center"/>
              <w:rPr>
                <w:rFonts w:eastAsiaTheme="minorEastAsia"/>
                <w:color w:val="000000" w:themeColor="text1"/>
                <w:szCs w:val="21"/>
              </w:rPr>
            </w:pPr>
            <w:r>
              <w:rPr>
                <w:rFonts w:eastAsiaTheme="minorEastAsia"/>
                <w:color w:val="000000" w:themeColor="text1"/>
                <w:szCs w:val="21"/>
              </w:rPr>
              <w:t>金额</w:t>
            </w:r>
          </w:p>
        </w:tc>
        <w:tc>
          <w:tcPr>
            <w:tcW w:w="2621" w:type="dxa"/>
            <w:vAlign w:val="center"/>
          </w:tcPr>
          <w:p>
            <w:pPr>
              <w:spacing w:line="276" w:lineRule="auto"/>
              <w:jc w:val="center"/>
              <w:rPr>
                <w:rFonts w:eastAsiaTheme="minorEastAsia"/>
                <w:color w:val="000000" w:themeColor="text1"/>
                <w:szCs w:val="21"/>
              </w:rPr>
            </w:pPr>
            <w:r>
              <w:rPr>
                <w:rFonts w:eastAsiaTheme="minorEastAsia"/>
                <w:color w:val="000000" w:themeColor="text1"/>
                <w:sz w:val="24"/>
              </w:rPr>
              <w:t>占基金总资产的比例</w:t>
            </w:r>
            <w:r>
              <w:rPr>
                <w:rFonts w:hint="eastAsia" w:eastAsiaTheme="minorEastAsia"/>
                <w:color w:val="000000" w:themeColor="text1"/>
                <w:sz w:val="24"/>
              </w:rPr>
              <w:t>(</w:t>
            </w:r>
            <w:r>
              <w:rPr>
                <w:rFonts w:eastAsiaTheme="minorEastAsia"/>
                <w:color w:val="000000" w:themeColor="text1"/>
                <w:sz w:val="24"/>
              </w:rPr>
              <w:t>%</w:t>
            </w:r>
            <w:r>
              <w:rPr>
                <w:rFonts w:hint="eastAsia"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eastAsiaTheme="minorEastAsia"/>
                <w:color w:val="000000" w:themeColor="text1"/>
                <w:szCs w:val="21"/>
              </w:rPr>
              <w:t>1</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权益投资</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285,338,868.40</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86.53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其中：股票</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285,338,868.40</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86.53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hint="eastAsia" w:eastAsiaTheme="minorEastAsia"/>
                <w:color w:val="000000" w:themeColor="text1"/>
                <w:szCs w:val="21"/>
              </w:rPr>
              <w:t>2</w:t>
            </w:r>
          </w:p>
        </w:tc>
        <w:tc>
          <w:tcPr>
            <w:tcW w:w="2748" w:type="dxa"/>
            <w:vAlign w:val="center"/>
          </w:tcPr>
          <w:p>
            <w:pPr>
              <w:spacing w:line="276" w:lineRule="auto"/>
              <w:ind w:left="105" w:leftChars="50"/>
              <w:rPr>
                <w:rFonts w:eastAsiaTheme="minorEastAsia"/>
                <w:color w:val="000000" w:themeColor="text1"/>
                <w:szCs w:val="21"/>
              </w:rPr>
            </w:pPr>
            <w:r>
              <w:rPr>
                <w:rFonts w:hint="eastAsia" w:eastAsiaTheme="minorEastAsia"/>
                <w:color w:val="000000" w:themeColor="text1"/>
                <w:szCs w:val="21"/>
              </w:rPr>
              <w:t>基金投资</w:t>
            </w:r>
          </w:p>
        </w:tc>
        <w:tc>
          <w:tcPr>
            <w:tcW w:w="2551" w:type="dxa"/>
            <w:vAlign w:val="center"/>
          </w:tcPr>
          <w:p>
            <w:pPr>
              <w:spacing w:before="29" w:line="276" w:lineRule="auto"/>
              <w:ind w:left="17"/>
              <w:jc w:val="right"/>
              <w:rPr>
                <w:rFonts w:eastAsiaTheme="minorEastAsia"/>
                <w:color w:val="000000" w:themeColor="text1"/>
                <w:szCs w:val="21"/>
              </w:rPr>
            </w:pPr>
            <w:r>
              <w:rPr>
                <w:rFonts w:hint="eastAsia"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hint="eastAsia"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hint="eastAsia" w:eastAsiaTheme="minorEastAsia"/>
                <w:color w:val="000000" w:themeColor="text1"/>
                <w:szCs w:val="21"/>
              </w:rPr>
              <w:t>3</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固定收益投资</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其中：债券</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p>
        </w:tc>
        <w:tc>
          <w:tcPr>
            <w:tcW w:w="2748" w:type="dxa"/>
            <w:vAlign w:val="center"/>
          </w:tcPr>
          <w:p>
            <w:pPr>
              <w:spacing w:line="276" w:lineRule="auto"/>
              <w:ind w:left="105" w:leftChars="50" w:firstLine="630" w:firstLineChars="300"/>
              <w:rPr>
                <w:rFonts w:eastAsiaTheme="minorEastAsia"/>
                <w:color w:val="000000" w:themeColor="text1"/>
                <w:szCs w:val="21"/>
              </w:rPr>
            </w:pPr>
            <w:r>
              <w:rPr>
                <w:rFonts w:eastAsiaTheme="minorEastAsia"/>
                <w:color w:val="000000" w:themeColor="text1"/>
                <w:szCs w:val="21"/>
              </w:rPr>
              <w:t>资产支持证券</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hint="eastAsia" w:eastAsiaTheme="minorEastAsia"/>
                <w:color w:val="000000" w:themeColor="text1"/>
                <w:szCs w:val="21"/>
              </w:rPr>
              <w:t>4</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贵金属投资</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hint="eastAsia" w:eastAsiaTheme="minorEastAsia"/>
                <w:color w:val="000000" w:themeColor="text1"/>
                <w:szCs w:val="21"/>
              </w:rPr>
              <w:t>5</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金融衍生品投资</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hint="eastAsia" w:eastAsiaTheme="minorEastAsia"/>
                <w:color w:val="000000" w:themeColor="text1"/>
                <w:szCs w:val="21"/>
              </w:rPr>
              <w:t>6</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买入返售金融资产</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其中：买断式回购的买入返售金融资产</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hint="eastAsia" w:eastAsiaTheme="minorEastAsia"/>
                <w:color w:val="000000" w:themeColor="text1"/>
                <w:szCs w:val="21"/>
              </w:rPr>
              <w:t>7</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银行存款和结算备付金合计</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40,388,606.28</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12.25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before="29" w:line="276" w:lineRule="auto"/>
              <w:ind w:left="17"/>
              <w:jc w:val="center"/>
              <w:rPr>
                <w:rFonts w:eastAsiaTheme="minorEastAsia"/>
                <w:color w:val="000000" w:themeColor="text1"/>
                <w:szCs w:val="21"/>
              </w:rPr>
            </w:pPr>
            <w:r>
              <w:rPr>
                <w:rFonts w:eastAsiaTheme="minorEastAsia"/>
                <w:color w:val="000000" w:themeColor="text1"/>
                <w:szCs w:val="21"/>
              </w:rPr>
              <w:t>8</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其他各项资产</w:t>
            </w:r>
          </w:p>
        </w:tc>
        <w:tc>
          <w:tcPr>
            <w:tcW w:w="2551" w:type="dxa"/>
            <w:vAlign w:val="center"/>
          </w:tcPr>
          <w:p>
            <w:pPr>
              <w:spacing w:line="276" w:lineRule="auto"/>
              <w:jc w:val="right"/>
              <w:rPr>
                <w:rFonts w:eastAsiaTheme="minorEastAsia"/>
                <w:color w:val="000000" w:themeColor="text1"/>
                <w:szCs w:val="21"/>
              </w:rPr>
            </w:pPr>
            <w:r>
              <w:rPr>
                <w:rFonts w:eastAsiaTheme="minorEastAsia"/>
                <w:color w:val="000000" w:themeColor="text1"/>
                <w:szCs w:val="21"/>
              </w:rPr>
              <w:t>4,011,095.54</w:t>
            </w:r>
          </w:p>
        </w:tc>
        <w:tc>
          <w:tcPr>
            <w:tcW w:w="2621" w:type="dxa"/>
            <w:vAlign w:val="center"/>
          </w:tcPr>
          <w:p>
            <w:pPr>
              <w:spacing w:line="276" w:lineRule="auto"/>
              <w:jc w:val="right"/>
              <w:rPr>
                <w:rFonts w:eastAsiaTheme="minorEastAsia"/>
                <w:color w:val="000000" w:themeColor="text1"/>
                <w:szCs w:val="21"/>
              </w:rPr>
            </w:pPr>
            <w:r>
              <w:rPr>
                <w:rFonts w:eastAsiaTheme="minorEastAsia"/>
                <w:color w:val="000000" w:themeColor="text1"/>
                <w:szCs w:val="21"/>
              </w:rPr>
              <w:t>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before="29" w:line="276" w:lineRule="auto"/>
              <w:ind w:left="17"/>
              <w:jc w:val="center"/>
              <w:rPr>
                <w:rFonts w:eastAsiaTheme="minorEastAsia"/>
                <w:color w:val="000000" w:themeColor="text1"/>
                <w:szCs w:val="21"/>
              </w:rPr>
            </w:pPr>
            <w:r>
              <w:rPr>
                <w:rFonts w:eastAsiaTheme="minorEastAsia"/>
                <w:color w:val="000000" w:themeColor="text1"/>
                <w:szCs w:val="21"/>
              </w:rPr>
              <w:t>9</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合计</w:t>
            </w:r>
          </w:p>
        </w:tc>
        <w:tc>
          <w:tcPr>
            <w:tcW w:w="2551" w:type="dxa"/>
            <w:vAlign w:val="center"/>
          </w:tcPr>
          <w:p>
            <w:pPr>
              <w:spacing w:line="276" w:lineRule="auto"/>
              <w:jc w:val="right"/>
              <w:rPr>
                <w:rFonts w:eastAsiaTheme="minorEastAsia"/>
                <w:color w:val="000000" w:themeColor="text1"/>
                <w:szCs w:val="21"/>
              </w:rPr>
            </w:pPr>
            <w:r>
              <w:rPr>
                <w:rFonts w:eastAsiaTheme="minorEastAsia"/>
                <w:color w:val="000000" w:themeColor="text1"/>
                <w:szCs w:val="21"/>
              </w:rPr>
              <w:t>329,738,570.22</w:t>
            </w:r>
          </w:p>
        </w:tc>
        <w:tc>
          <w:tcPr>
            <w:tcW w:w="2621" w:type="dxa"/>
            <w:vAlign w:val="center"/>
          </w:tcPr>
          <w:p>
            <w:pPr>
              <w:spacing w:line="276" w:lineRule="auto"/>
              <w:jc w:val="right"/>
              <w:rPr>
                <w:rFonts w:eastAsiaTheme="minorEastAsia"/>
                <w:color w:val="000000" w:themeColor="text1"/>
                <w:szCs w:val="21"/>
              </w:rPr>
            </w:pPr>
            <w:r>
              <w:rPr>
                <w:rFonts w:eastAsiaTheme="minorEastAsia"/>
                <w:color w:val="000000" w:themeColor="text1"/>
                <w:szCs w:val="21"/>
              </w:rPr>
              <w:t>100.00</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31" w:name="_Toc225498274"/>
      <w:bookmarkStart w:id="132" w:name="_Toc361324879"/>
      <w:bookmarkStart w:id="133" w:name="_Toc67589779"/>
      <w:r>
        <w:rPr>
          <w:rFonts w:ascii="Times New Roman" w:hAnsi="Times New Roman"/>
          <w:kern w:val="0"/>
          <w:szCs w:val="24"/>
        </w:rPr>
        <w:t>8.2</w:t>
      </w:r>
      <w:r>
        <w:rPr>
          <w:rFonts w:hint="eastAsia" w:ascii="Times New Roman" w:hAnsi="Times New Roman"/>
          <w:kern w:val="0"/>
          <w:szCs w:val="24"/>
        </w:rPr>
        <w:t>期末按行业分类的股票投资组合</w:t>
      </w:r>
      <w:bookmarkEnd w:id="131"/>
      <w:bookmarkEnd w:id="132"/>
      <w:bookmarkEnd w:id="133"/>
    </w:p>
    <w:p>
      <w:pPr>
        <w:spacing w:before="29" w:line="288" w:lineRule="auto"/>
        <w:rPr>
          <w:rFonts w:eastAsiaTheme="minorEastAsia"/>
          <w:b/>
          <w:sz w:val="24"/>
        </w:rPr>
      </w:pPr>
      <w:r>
        <w:rPr>
          <w:rFonts w:eastAsiaTheme="minorEastAsia"/>
          <w:b/>
          <w:sz w:val="24"/>
        </w:rPr>
        <w:t>8.2.1</w:t>
      </w:r>
      <w:r>
        <w:rPr>
          <w:rFonts w:hint="eastAsia" w:eastAsiaTheme="minorEastAsia"/>
          <w:b/>
          <w:sz w:val="24"/>
        </w:rPr>
        <w:t>报告期末按行业分类的境内股票投资组合</w:t>
      </w:r>
    </w:p>
    <w:p>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Style w:val="25"/>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7"/>
        <w:gridCol w:w="3713"/>
        <w:gridCol w:w="2714"/>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代码</w:t>
            </w:r>
          </w:p>
        </w:tc>
        <w:tc>
          <w:tcPr>
            <w:tcW w:w="3685"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行业类别</w:t>
            </w:r>
          </w:p>
        </w:tc>
        <w:tc>
          <w:tcPr>
            <w:tcW w:w="2693"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701"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占基金资产净值比例（％）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A</w:t>
            </w:r>
          </w:p>
        </w:tc>
        <w:tc>
          <w:tcPr>
            <w:tcW w:w="3685" w:type="dxa"/>
            <w:vAlign w:val="center"/>
          </w:tcPr>
          <w:p>
            <w:pPr>
              <w:spacing w:before="29" w:line="288" w:lineRule="auto"/>
              <w:rPr>
                <w:sz w:val="24"/>
              </w:rPr>
            </w:pPr>
            <w:r>
              <w:rPr>
                <w:rFonts w:hint="eastAsia"/>
                <w:sz w:val="24"/>
              </w:rPr>
              <w:t>农、林、牧、渔业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B</w:t>
            </w:r>
          </w:p>
        </w:tc>
        <w:tc>
          <w:tcPr>
            <w:tcW w:w="3685" w:type="dxa"/>
            <w:vAlign w:val="center"/>
          </w:tcPr>
          <w:p>
            <w:pPr>
              <w:spacing w:before="29" w:line="288" w:lineRule="auto"/>
              <w:rPr>
                <w:sz w:val="24"/>
              </w:rPr>
            </w:pPr>
            <w:r>
              <w:rPr>
                <w:rFonts w:hint="eastAsia"/>
                <w:sz w:val="24"/>
              </w:rPr>
              <w:t>采矿业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C</w:t>
            </w:r>
          </w:p>
        </w:tc>
        <w:tc>
          <w:tcPr>
            <w:tcW w:w="3685" w:type="dxa"/>
            <w:vAlign w:val="center"/>
          </w:tcPr>
          <w:p>
            <w:pPr>
              <w:spacing w:before="29" w:line="288" w:lineRule="auto"/>
              <w:rPr>
                <w:sz w:val="24"/>
              </w:rPr>
            </w:pPr>
            <w:r>
              <w:rPr>
                <w:rFonts w:hint="eastAsia"/>
                <w:sz w:val="24"/>
              </w:rPr>
              <w:t>制造业</w:t>
            </w:r>
          </w:p>
        </w:tc>
        <w:tc>
          <w:tcPr>
            <w:tcW w:w="2693" w:type="dxa"/>
            <w:vAlign w:val="center"/>
          </w:tcPr>
          <w:p>
            <w:pPr>
              <w:spacing w:before="29" w:line="288" w:lineRule="auto"/>
              <w:jc w:val="right"/>
              <w:rPr>
                <w:color w:val="000000"/>
                <w:kern w:val="0"/>
                <w:sz w:val="24"/>
              </w:rPr>
            </w:pPr>
            <w:r>
              <w:rPr>
                <w:color w:val="000000"/>
                <w:kern w:val="0"/>
                <w:sz w:val="24"/>
              </w:rPr>
              <w:t>206,933,974.76</w:t>
            </w:r>
          </w:p>
        </w:tc>
        <w:tc>
          <w:tcPr>
            <w:tcW w:w="1701" w:type="dxa"/>
            <w:vAlign w:val="center"/>
          </w:tcPr>
          <w:p>
            <w:pPr>
              <w:spacing w:before="29" w:line="288" w:lineRule="auto"/>
              <w:jc w:val="right"/>
              <w:rPr>
                <w:color w:val="000000"/>
                <w:kern w:val="0"/>
                <w:sz w:val="24"/>
              </w:rPr>
            </w:pPr>
            <w:r>
              <w:rPr>
                <w:color w:val="000000"/>
                <w:kern w:val="0"/>
                <w:sz w:val="24"/>
              </w:rPr>
              <w:t>63.24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D</w:t>
            </w:r>
          </w:p>
        </w:tc>
        <w:tc>
          <w:tcPr>
            <w:tcW w:w="3685" w:type="dxa"/>
            <w:vAlign w:val="center"/>
          </w:tcPr>
          <w:p>
            <w:pPr>
              <w:spacing w:before="29" w:line="288" w:lineRule="auto"/>
              <w:rPr>
                <w:sz w:val="24"/>
              </w:rPr>
            </w:pPr>
            <w:r>
              <w:rPr>
                <w:rFonts w:hint="eastAsia"/>
                <w:sz w:val="24"/>
              </w:rPr>
              <w:t>电力、热力、燃气及水生产和供应业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E</w:t>
            </w:r>
          </w:p>
        </w:tc>
        <w:tc>
          <w:tcPr>
            <w:tcW w:w="3685" w:type="dxa"/>
            <w:vAlign w:val="center"/>
          </w:tcPr>
          <w:p>
            <w:pPr>
              <w:spacing w:before="29" w:line="288" w:lineRule="auto"/>
              <w:rPr>
                <w:sz w:val="24"/>
              </w:rPr>
            </w:pPr>
            <w:r>
              <w:rPr>
                <w:rFonts w:hint="eastAsia"/>
                <w:sz w:val="24"/>
              </w:rPr>
              <w:t>建筑业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F</w:t>
            </w:r>
          </w:p>
        </w:tc>
        <w:tc>
          <w:tcPr>
            <w:tcW w:w="3685" w:type="dxa"/>
            <w:vAlign w:val="center"/>
          </w:tcPr>
          <w:p>
            <w:pPr>
              <w:spacing w:before="29" w:line="288" w:lineRule="auto"/>
              <w:rPr>
                <w:sz w:val="24"/>
              </w:rPr>
            </w:pPr>
            <w:r>
              <w:rPr>
                <w:rFonts w:hint="eastAsia"/>
                <w:sz w:val="24"/>
              </w:rPr>
              <w:t>批发和零售业</w:t>
            </w:r>
          </w:p>
        </w:tc>
        <w:tc>
          <w:tcPr>
            <w:tcW w:w="2693" w:type="dxa"/>
            <w:vAlign w:val="center"/>
          </w:tcPr>
          <w:p>
            <w:pPr>
              <w:spacing w:before="29" w:line="288" w:lineRule="auto"/>
              <w:jc w:val="right"/>
              <w:rPr>
                <w:color w:val="000000"/>
                <w:kern w:val="0"/>
                <w:sz w:val="24"/>
              </w:rPr>
            </w:pPr>
            <w:r>
              <w:rPr>
                <w:color w:val="000000"/>
                <w:kern w:val="0"/>
                <w:sz w:val="24"/>
              </w:rPr>
              <w:t>13,622.27</w:t>
            </w:r>
          </w:p>
        </w:tc>
        <w:tc>
          <w:tcPr>
            <w:tcW w:w="1701" w:type="dxa"/>
            <w:vAlign w:val="center"/>
          </w:tcPr>
          <w:p>
            <w:pPr>
              <w:spacing w:before="29" w:line="288" w:lineRule="auto"/>
              <w:jc w:val="right"/>
              <w:rPr>
                <w:color w:val="000000"/>
                <w:kern w:val="0"/>
                <w:sz w:val="24"/>
              </w:rPr>
            </w:pPr>
            <w:r>
              <w:rPr>
                <w:color w:val="000000"/>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G</w:t>
            </w:r>
          </w:p>
        </w:tc>
        <w:tc>
          <w:tcPr>
            <w:tcW w:w="3685" w:type="dxa"/>
            <w:vAlign w:val="center"/>
          </w:tcPr>
          <w:p>
            <w:pPr>
              <w:spacing w:before="29" w:line="288" w:lineRule="auto"/>
              <w:rPr>
                <w:sz w:val="24"/>
              </w:rPr>
            </w:pPr>
            <w:r>
              <w:rPr>
                <w:rFonts w:hint="eastAsia"/>
                <w:sz w:val="24"/>
              </w:rPr>
              <w:t>交通运输、仓储和邮政业</w:t>
            </w:r>
          </w:p>
        </w:tc>
        <w:tc>
          <w:tcPr>
            <w:tcW w:w="2693" w:type="dxa"/>
            <w:vAlign w:val="center"/>
          </w:tcPr>
          <w:p>
            <w:pPr>
              <w:spacing w:before="29" w:line="288" w:lineRule="auto"/>
              <w:jc w:val="right"/>
              <w:rPr>
                <w:color w:val="000000"/>
                <w:kern w:val="0"/>
                <w:sz w:val="24"/>
              </w:rPr>
            </w:pPr>
            <w:r>
              <w:rPr>
                <w:color w:val="000000"/>
                <w:kern w:val="0"/>
                <w:sz w:val="24"/>
              </w:rPr>
              <w:t>21,967,749.86</w:t>
            </w:r>
          </w:p>
        </w:tc>
        <w:tc>
          <w:tcPr>
            <w:tcW w:w="1701" w:type="dxa"/>
            <w:vAlign w:val="center"/>
          </w:tcPr>
          <w:p>
            <w:pPr>
              <w:spacing w:before="29" w:line="288" w:lineRule="auto"/>
              <w:jc w:val="right"/>
              <w:rPr>
                <w:color w:val="000000"/>
                <w:kern w:val="0"/>
                <w:sz w:val="24"/>
              </w:rPr>
            </w:pPr>
            <w:r>
              <w:rPr>
                <w:color w:val="000000"/>
                <w:kern w:val="0"/>
                <w:sz w:val="24"/>
              </w:rPr>
              <w:t>6.71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H</w:t>
            </w:r>
          </w:p>
        </w:tc>
        <w:tc>
          <w:tcPr>
            <w:tcW w:w="3685" w:type="dxa"/>
            <w:vAlign w:val="center"/>
          </w:tcPr>
          <w:p>
            <w:pPr>
              <w:spacing w:before="29" w:line="288" w:lineRule="auto"/>
              <w:rPr>
                <w:sz w:val="24"/>
              </w:rPr>
            </w:pPr>
            <w:r>
              <w:rPr>
                <w:rFonts w:hint="eastAsia"/>
                <w:sz w:val="24"/>
              </w:rPr>
              <w:t>住宿和餐饮业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I</w:t>
            </w:r>
          </w:p>
        </w:tc>
        <w:tc>
          <w:tcPr>
            <w:tcW w:w="3685" w:type="dxa"/>
            <w:vAlign w:val="center"/>
          </w:tcPr>
          <w:p>
            <w:pPr>
              <w:spacing w:before="29" w:line="288" w:lineRule="auto"/>
              <w:rPr>
                <w:sz w:val="24"/>
              </w:rPr>
            </w:pPr>
            <w:r>
              <w:rPr>
                <w:rFonts w:hint="eastAsia"/>
                <w:sz w:val="24"/>
              </w:rPr>
              <w:t>信息传输、软件和信息技术服务业</w:t>
            </w:r>
          </w:p>
        </w:tc>
        <w:tc>
          <w:tcPr>
            <w:tcW w:w="2693" w:type="dxa"/>
            <w:vAlign w:val="center"/>
          </w:tcPr>
          <w:p>
            <w:pPr>
              <w:spacing w:before="29" w:line="288" w:lineRule="auto"/>
              <w:jc w:val="right"/>
              <w:rPr>
                <w:color w:val="000000"/>
                <w:kern w:val="0"/>
                <w:sz w:val="24"/>
              </w:rPr>
            </w:pPr>
            <w:r>
              <w:rPr>
                <w:color w:val="000000"/>
                <w:kern w:val="0"/>
                <w:sz w:val="24"/>
              </w:rPr>
              <w:t>31,555,926.27</w:t>
            </w:r>
          </w:p>
        </w:tc>
        <w:tc>
          <w:tcPr>
            <w:tcW w:w="1701" w:type="dxa"/>
            <w:vAlign w:val="center"/>
          </w:tcPr>
          <w:p>
            <w:pPr>
              <w:spacing w:before="29" w:line="288" w:lineRule="auto"/>
              <w:jc w:val="right"/>
              <w:rPr>
                <w:color w:val="000000"/>
                <w:kern w:val="0"/>
                <w:sz w:val="24"/>
              </w:rPr>
            </w:pPr>
            <w:r>
              <w:rPr>
                <w:color w:val="000000"/>
                <w:kern w:val="0"/>
                <w:sz w:val="24"/>
              </w:rPr>
              <w:t>9.64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J</w:t>
            </w:r>
          </w:p>
        </w:tc>
        <w:tc>
          <w:tcPr>
            <w:tcW w:w="3685" w:type="dxa"/>
            <w:vAlign w:val="center"/>
          </w:tcPr>
          <w:p>
            <w:pPr>
              <w:spacing w:before="29" w:line="288" w:lineRule="auto"/>
              <w:rPr>
                <w:sz w:val="24"/>
              </w:rPr>
            </w:pPr>
            <w:r>
              <w:rPr>
                <w:rFonts w:hint="eastAsia"/>
                <w:sz w:val="24"/>
              </w:rPr>
              <w:t>金融业</w:t>
            </w:r>
          </w:p>
        </w:tc>
        <w:tc>
          <w:tcPr>
            <w:tcW w:w="2693" w:type="dxa"/>
            <w:vAlign w:val="center"/>
          </w:tcPr>
          <w:p>
            <w:pPr>
              <w:spacing w:before="29" w:line="288" w:lineRule="auto"/>
              <w:jc w:val="right"/>
              <w:rPr>
                <w:color w:val="000000"/>
                <w:kern w:val="0"/>
                <w:sz w:val="24"/>
              </w:rPr>
            </w:pPr>
            <w:r>
              <w:rPr>
                <w:color w:val="000000"/>
                <w:kern w:val="0"/>
                <w:sz w:val="24"/>
              </w:rPr>
              <w:t>15,155,917.08</w:t>
            </w:r>
          </w:p>
        </w:tc>
        <w:tc>
          <w:tcPr>
            <w:tcW w:w="1701" w:type="dxa"/>
            <w:vAlign w:val="center"/>
          </w:tcPr>
          <w:p>
            <w:pPr>
              <w:spacing w:before="29" w:line="288" w:lineRule="auto"/>
              <w:jc w:val="right"/>
              <w:rPr>
                <w:color w:val="000000"/>
                <w:kern w:val="0"/>
                <w:sz w:val="24"/>
              </w:rPr>
            </w:pPr>
            <w:r>
              <w:rPr>
                <w:color w:val="000000"/>
                <w:kern w:val="0"/>
                <w:sz w:val="24"/>
              </w:rPr>
              <w:t>4.63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K</w:t>
            </w:r>
          </w:p>
        </w:tc>
        <w:tc>
          <w:tcPr>
            <w:tcW w:w="3685" w:type="dxa"/>
            <w:vAlign w:val="center"/>
          </w:tcPr>
          <w:p>
            <w:pPr>
              <w:spacing w:before="29" w:line="288" w:lineRule="auto"/>
              <w:rPr>
                <w:sz w:val="24"/>
              </w:rPr>
            </w:pPr>
            <w:r>
              <w:rPr>
                <w:rFonts w:hint="eastAsia"/>
                <w:sz w:val="24"/>
              </w:rPr>
              <w:t>房地产业</w:t>
            </w:r>
          </w:p>
        </w:tc>
        <w:tc>
          <w:tcPr>
            <w:tcW w:w="2693" w:type="dxa"/>
            <w:vAlign w:val="center"/>
          </w:tcPr>
          <w:p>
            <w:pPr>
              <w:spacing w:before="29" w:line="288" w:lineRule="auto"/>
              <w:jc w:val="right"/>
              <w:rPr>
                <w:color w:val="000000"/>
                <w:kern w:val="0"/>
                <w:sz w:val="24"/>
              </w:rPr>
            </w:pPr>
            <w:r>
              <w:rPr>
                <w:color w:val="000000"/>
                <w:kern w:val="0"/>
                <w:sz w:val="24"/>
              </w:rPr>
              <w:t>8,975.14</w:t>
            </w:r>
          </w:p>
        </w:tc>
        <w:tc>
          <w:tcPr>
            <w:tcW w:w="1701" w:type="dxa"/>
            <w:vAlign w:val="center"/>
          </w:tcPr>
          <w:p>
            <w:pPr>
              <w:spacing w:before="29" w:line="288" w:lineRule="auto"/>
              <w:jc w:val="right"/>
              <w:rPr>
                <w:color w:val="000000"/>
                <w:kern w:val="0"/>
                <w:sz w:val="24"/>
              </w:rPr>
            </w:pPr>
            <w:r>
              <w:rPr>
                <w:color w:val="000000"/>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L</w:t>
            </w:r>
          </w:p>
        </w:tc>
        <w:tc>
          <w:tcPr>
            <w:tcW w:w="3685" w:type="dxa"/>
            <w:vAlign w:val="center"/>
          </w:tcPr>
          <w:p>
            <w:pPr>
              <w:spacing w:before="29" w:line="288" w:lineRule="auto"/>
              <w:rPr>
                <w:sz w:val="24"/>
              </w:rPr>
            </w:pPr>
            <w:r>
              <w:rPr>
                <w:rFonts w:hint="eastAsia"/>
                <w:sz w:val="24"/>
              </w:rPr>
              <w:t>租赁和商务服务业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M</w:t>
            </w:r>
          </w:p>
        </w:tc>
        <w:tc>
          <w:tcPr>
            <w:tcW w:w="3685" w:type="dxa"/>
            <w:vAlign w:val="center"/>
          </w:tcPr>
          <w:p>
            <w:pPr>
              <w:spacing w:before="29" w:line="288" w:lineRule="auto"/>
              <w:rPr>
                <w:sz w:val="24"/>
              </w:rPr>
            </w:pPr>
            <w:r>
              <w:rPr>
                <w:rFonts w:hint="eastAsia"/>
                <w:sz w:val="24"/>
              </w:rPr>
              <w:t>科学研究和技术服务业</w:t>
            </w:r>
          </w:p>
        </w:tc>
        <w:tc>
          <w:tcPr>
            <w:tcW w:w="2693" w:type="dxa"/>
            <w:vAlign w:val="center"/>
          </w:tcPr>
          <w:p>
            <w:pPr>
              <w:spacing w:before="29" w:line="288" w:lineRule="auto"/>
              <w:jc w:val="right"/>
              <w:rPr>
                <w:color w:val="000000"/>
                <w:kern w:val="0"/>
                <w:sz w:val="24"/>
              </w:rPr>
            </w:pPr>
            <w:r>
              <w:rPr>
                <w:color w:val="000000"/>
                <w:kern w:val="0"/>
                <w:sz w:val="24"/>
              </w:rPr>
              <w:t>12,295.80</w:t>
            </w:r>
          </w:p>
        </w:tc>
        <w:tc>
          <w:tcPr>
            <w:tcW w:w="1701" w:type="dxa"/>
            <w:vAlign w:val="center"/>
          </w:tcPr>
          <w:p>
            <w:pPr>
              <w:spacing w:before="29" w:line="288" w:lineRule="auto"/>
              <w:jc w:val="right"/>
              <w:rPr>
                <w:color w:val="000000"/>
                <w:kern w:val="0"/>
                <w:sz w:val="24"/>
              </w:rPr>
            </w:pPr>
            <w:r>
              <w:rPr>
                <w:color w:val="000000"/>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N</w:t>
            </w:r>
          </w:p>
        </w:tc>
        <w:tc>
          <w:tcPr>
            <w:tcW w:w="3685" w:type="dxa"/>
            <w:vAlign w:val="center"/>
          </w:tcPr>
          <w:p>
            <w:pPr>
              <w:spacing w:before="29" w:line="288" w:lineRule="auto"/>
              <w:rPr>
                <w:sz w:val="24"/>
              </w:rPr>
            </w:pPr>
            <w:r>
              <w:rPr>
                <w:rFonts w:hint="eastAsia"/>
                <w:sz w:val="24"/>
              </w:rPr>
              <w:t>水利、环境和公共设施管理业</w:t>
            </w:r>
          </w:p>
        </w:tc>
        <w:tc>
          <w:tcPr>
            <w:tcW w:w="2693" w:type="dxa"/>
            <w:vAlign w:val="center"/>
          </w:tcPr>
          <w:p>
            <w:pPr>
              <w:spacing w:before="29" w:line="288" w:lineRule="auto"/>
              <w:jc w:val="right"/>
              <w:rPr>
                <w:color w:val="000000"/>
                <w:kern w:val="0"/>
                <w:sz w:val="24"/>
              </w:rPr>
            </w:pPr>
            <w:r>
              <w:rPr>
                <w:color w:val="000000"/>
                <w:kern w:val="0"/>
                <w:sz w:val="24"/>
              </w:rPr>
              <w:t>12,809.85</w:t>
            </w:r>
          </w:p>
        </w:tc>
        <w:tc>
          <w:tcPr>
            <w:tcW w:w="1701" w:type="dxa"/>
            <w:vAlign w:val="center"/>
          </w:tcPr>
          <w:p>
            <w:pPr>
              <w:spacing w:before="29" w:line="288" w:lineRule="auto"/>
              <w:jc w:val="right"/>
              <w:rPr>
                <w:color w:val="000000"/>
                <w:kern w:val="0"/>
                <w:sz w:val="24"/>
              </w:rPr>
            </w:pPr>
            <w:r>
              <w:rPr>
                <w:color w:val="000000"/>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O</w:t>
            </w:r>
          </w:p>
        </w:tc>
        <w:tc>
          <w:tcPr>
            <w:tcW w:w="3685" w:type="dxa"/>
            <w:vAlign w:val="center"/>
          </w:tcPr>
          <w:p>
            <w:pPr>
              <w:spacing w:before="29" w:line="288" w:lineRule="auto"/>
              <w:rPr>
                <w:sz w:val="24"/>
              </w:rPr>
            </w:pPr>
            <w:r>
              <w:rPr>
                <w:rFonts w:hint="eastAsia"/>
                <w:sz w:val="24"/>
              </w:rPr>
              <w:t>居民服务、修理和其他服务业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P</w:t>
            </w:r>
          </w:p>
        </w:tc>
        <w:tc>
          <w:tcPr>
            <w:tcW w:w="3685" w:type="dxa"/>
            <w:vAlign w:val="center"/>
          </w:tcPr>
          <w:p>
            <w:pPr>
              <w:spacing w:before="29" w:line="288" w:lineRule="auto"/>
              <w:rPr>
                <w:sz w:val="24"/>
              </w:rPr>
            </w:pPr>
            <w:r>
              <w:rPr>
                <w:rFonts w:hint="eastAsia"/>
                <w:sz w:val="24"/>
              </w:rPr>
              <w:t>教育</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Q</w:t>
            </w:r>
          </w:p>
        </w:tc>
        <w:tc>
          <w:tcPr>
            <w:tcW w:w="3685" w:type="dxa"/>
            <w:vAlign w:val="center"/>
          </w:tcPr>
          <w:p>
            <w:pPr>
              <w:spacing w:before="29" w:line="288" w:lineRule="auto"/>
              <w:rPr>
                <w:sz w:val="24"/>
              </w:rPr>
            </w:pPr>
            <w:r>
              <w:rPr>
                <w:rFonts w:hint="eastAsia"/>
                <w:sz w:val="24"/>
              </w:rPr>
              <w:t>卫生和社会工作</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R</w:t>
            </w:r>
          </w:p>
        </w:tc>
        <w:tc>
          <w:tcPr>
            <w:tcW w:w="3685" w:type="dxa"/>
            <w:vAlign w:val="center"/>
          </w:tcPr>
          <w:p>
            <w:pPr>
              <w:spacing w:before="29" w:line="288" w:lineRule="auto"/>
              <w:rPr>
                <w:sz w:val="24"/>
              </w:rPr>
            </w:pPr>
            <w:r>
              <w:rPr>
                <w:rFonts w:hint="eastAsia"/>
                <w:sz w:val="24"/>
              </w:rPr>
              <w:t>文化、体育和娱乐业</w:t>
            </w:r>
          </w:p>
        </w:tc>
        <w:tc>
          <w:tcPr>
            <w:tcW w:w="2693" w:type="dxa"/>
            <w:vAlign w:val="center"/>
          </w:tcPr>
          <w:p>
            <w:pPr>
              <w:spacing w:before="29" w:line="288" w:lineRule="auto"/>
              <w:jc w:val="right"/>
              <w:rPr>
                <w:color w:val="000000"/>
                <w:kern w:val="0"/>
                <w:sz w:val="24"/>
              </w:rPr>
            </w:pPr>
            <w:r>
              <w:rPr>
                <w:color w:val="000000"/>
                <w:kern w:val="0"/>
                <w:sz w:val="24"/>
              </w:rPr>
              <w:t>9,677,597.37</w:t>
            </w:r>
          </w:p>
        </w:tc>
        <w:tc>
          <w:tcPr>
            <w:tcW w:w="1701" w:type="dxa"/>
            <w:vAlign w:val="center"/>
          </w:tcPr>
          <w:p>
            <w:pPr>
              <w:spacing w:before="29" w:line="288" w:lineRule="auto"/>
              <w:jc w:val="right"/>
              <w:rPr>
                <w:color w:val="000000"/>
                <w:kern w:val="0"/>
                <w:sz w:val="24"/>
              </w:rPr>
            </w:pPr>
            <w:r>
              <w:rPr>
                <w:color w:val="000000"/>
                <w:kern w:val="0"/>
                <w:sz w:val="24"/>
              </w:rPr>
              <w:t>2.96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S</w:t>
            </w:r>
          </w:p>
        </w:tc>
        <w:tc>
          <w:tcPr>
            <w:tcW w:w="3685" w:type="dxa"/>
            <w:vAlign w:val="center"/>
          </w:tcPr>
          <w:p>
            <w:pPr>
              <w:spacing w:before="29" w:line="288" w:lineRule="auto"/>
              <w:rPr>
                <w:sz w:val="24"/>
              </w:rPr>
            </w:pPr>
            <w:r>
              <w:rPr>
                <w:rFonts w:hint="eastAsia"/>
                <w:sz w:val="24"/>
              </w:rPr>
              <w:t>综合</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p>
        </w:tc>
        <w:tc>
          <w:tcPr>
            <w:tcW w:w="3685" w:type="dxa"/>
            <w:vAlign w:val="center"/>
          </w:tcPr>
          <w:p>
            <w:pPr>
              <w:spacing w:before="29" w:line="288" w:lineRule="auto"/>
              <w:rPr>
                <w:sz w:val="24"/>
              </w:rPr>
            </w:pPr>
            <w:r>
              <w:rPr>
                <w:rFonts w:hint="eastAsia"/>
                <w:sz w:val="24"/>
              </w:rPr>
              <w:t>合计</w:t>
            </w:r>
          </w:p>
        </w:tc>
        <w:tc>
          <w:tcPr>
            <w:tcW w:w="2693" w:type="dxa"/>
            <w:vAlign w:val="center"/>
          </w:tcPr>
          <w:p>
            <w:pPr>
              <w:spacing w:before="29" w:line="288" w:lineRule="auto"/>
              <w:jc w:val="right"/>
              <w:rPr>
                <w:color w:val="000000"/>
                <w:kern w:val="0"/>
                <w:sz w:val="24"/>
              </w:rPr>
            </w:pPr>
            <w:r>
              <w:rPr>
                <w:color w:val="000000"/>
                <w:kern w:val="0"/>
                <w:sz w:val="24"/>
              </w:rPr>
              <w:t>285,338,868.40</w:t>
            </w:r>
          </w:p>
        </w:tc>
        <w:tc>
          <w:tcPr>
            <w:tcW w:w="1701" w:type="dxa"/>
            <w:vAlign w:val="center"/>
          </w:tcPr>
          <w:p>
            <w:pPr>
              <w:spacing w:before="29" w:line="288" w:lineRule="auto"/>
              <w:jc w:val="right"/>
              <w:rPr>
                <w:color w:val="000000"/>
                <w:kern w:val="0"/>
                <w:sz w:val="24"/>
              </w:rPr>
            </w:pPr>
            <w:r>
              <w:rPr>
                <w:color w:val="000000"/>
                <w:kern w:val="0"/>
                <w:sz w:val="24"/>
              </w:rPr>
              <w:t>87.20</w:t>
            </w:r>
          </w:p>
        </w:tc>
      </w:tr>
    </w:tbl>
    <w:p>
      <w:pPr>
        <w:pStyle w:val="4"/>
      </w:pPr>
    </w:p>
    <w:p>
      <w:pPr>
        <w:tabs>
          <w:tab w:val="left" w:pos="426"/>
        </w:tabs>
        <w:spacing w:before="29" w:line="288" w:lineRule="auto"/>
        <w:jc w:val="left"/>
        <w:rPr>
          <w:rFonts w:asciiTheme="minorEastAsia" w:hAnsiTheme="minorEastAsia" w:eastAsiaTheme="minorEastAsia"/>
          <w:color w:val="000000"/>
          <w:szCs w:val="21"/>
        </w:rPr>
      </w:pPr>
      <w:r>
        <w:rPr>
          <w:rFonts w:eastAsiaTheme="minorEastAsia"/>
          <w:b/>
          <w:sz w:val="24"/>
        </w:rPr>
        <w:t>8.2.2</w:t>
      </w:r>
      <w:r>
        <w:rPr>
          <w:rFonts w:hint="eastAsia" w:eastAsiaTheme="minorEastAsia"/>
          <w:b/>
          <w:sz w:val="24"/>
        </w:rPr>
        <w:t>报告期末按行业分类的港股通投资股票投资组合</w:t>
      </w:r>
    </w:p>
    <w:p>
      <w:pPr>
        <w:widowControl/>
        <w:autoSpaceDE w:val="0"/>
        <w:autoSpaceDN w:val="0"/>
        <w:spacing w:before="29" w:line="288" w:lineRule="auto"/>
        <w:ind w:right="-15"/>
        <w:textAlignment w:val="bottom"/>
        <w:rPr>
          <w:color w:val="000000"/>
          <w:sz w:val="24"/>
        </w:rPr>
      </w:pPr>
      <w:r>
        <w:rPr>
          <w:color w:val="000000"/>
          <w:sz w:val="24"/>
        </w:rPr>
        <w:t>本基金本报告期末未持有通过港股通投资的股票。</w:t>
      </w:r>
    </w:p>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134" w:name="_Toc361324881"/>
      <w:bookmarkStart w:id="135" w:name="_Toc67589780"/>
      <w:r>
        <w:rPr>
          <w:rFonts w:ascii="Times New Roman" w:hAnsi="Times New Roman"/>
          <w:kern w:val="0"/>
          <w:szCs w:val="24"/>
        </w:rPr>
        <w:t>8.3</w:t>
      </w:r>
      <w:r>
        <w:rPr>
          <w:rFonts w:hint="eastAsia" w:ascii="Times New Roman" w:hAnsi="Times New Roman"/>
          <w:kern w:val="0"/>
          <w:szCs w:val="24"/>
        </w:rPr>
        <w:t>期末按公允价值占基金资产净值比例大小排序的所有股票投资明细</w:t>
      </w:r>
      <w:bookmarkEnd w:id="134"/>
      <w:bookmarkEnd w:id="135"/>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1701"/>
        <w:gridCol w:w="1559"/>
        <w:gridCol w:w="1932"/>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29" w:line="288" w:lineRule="auto"/>
              <w:jc w:val="center"/>
              <w:rPr>
                <w:sz w:val="24"/>
              </w:rPr>
            </w:pPr>
            <w:r>
              <w:rPr>
                <w:rFonts w:hint="eastAsia"/>
                <w:sz w:val="24"/>
              </w:rPr>
              <w:t>序号</w:t>
            </w:r>
          </w:p>
        </w:tc>
        <w:tc>
          <w:tcPr>
            <w:tcW w:w="1276" w:type="dxa"/>
            <w:vAlign w:val="center"/>
          </w:tcPr>
          <w:p>
            <w:pPr>
              <w:adjustRightInd w:val="0"/>
              <w:snapToGrid w:val="0"/>
              <w:spacing w:before="29" w:line="288" w:lineRule="auto"/>
              <w:jc w:val="center"/>
              <w:rPr>
                <w:sz w:val="24"/>
              </w:rPr>
            </w:pPr>
            <w:r>
              <w:rPr>
                <w:rFonts w:hint="eastAsia"/>
                <w:sz w:val="24"/>
              </w:rPr>
              <w:t>股票代码</w:t>
            </w:r>
          </w:p>
        </w:tc>
        <w:tc>
          <w:tcPr>
            <w:tcW w:w="1701" w:type="dxa"/>
            <w:vAlign w:val="center"/>
          </w:tcPr>
          <w:p>
            <w:pPr>
              <w:adjustRightInd w:val="0"/>
              <w:snapToGrid w:val="0"/>
              <w:spacing w:before="29" w:line="288" w:lineRule="auto"/>
              <w:jc w:val="center"/>
              <w:rPr>
                <w:sz w:val="24"/>
              </w:rPr>
            </w:pPr>
            <w:r>
              <w:rPr>
                <w:rFonts w:hint="eastAsia"/>
                <w:sz w:val="24"/>
              </w:rPr>
              <w:t>股票名称</w:t>
            </w:r>
          </w:p>
        </w:tc>
        <w:tc>
          <w:tcPr>
            <w:tcW w:w="1559" w:type="dxa"/>
            <w:vAlign w:val="center"/>
          </w:tcPr>
          <w:p>
            <w:pPr>
              <w:adjustRightInd w:val="0"/>
              <w:snapToGrid w:val="0"/>
              <w:spacing w:before="29" w:line="288" w:lineRule="auto"/>
              <w:jc w:val="center"/>
              <w:rPr>
                <w:sz w:val="24"/>
              </w:rPr>
            </w:pPr>
            <w:r>
              <w:rPr>
                <w:rFonts w:hint="eastAsia"/>
                <w:sz w:val="24"/>
              </w:rPr>
              <w:t>数量</w:t>
            </w:r>
            <w:r>
              <w:rPr>
                <w:sz w:val="24"/>
              </w:rPr>
              <w:t>(</w:t>
            </w:r>
            <w:r>
              <w:rPr>
                <w:rFonts w:hint="eastAsia"/>
                <w:sz w:val="24"/>
              </w:rPr>
              <w:t>股</w:t>
            </w:r>
            <w:r>
              <w:rPr>
                <w:sz w:val="24"/>
              </w:rPr>
              <w:t>)</w:t>
            </w:r>
          </w:p>
        </w:tc>
        <w:tc>
          <w:tcPr>
            <w:tcW w:w="1932" w:type="dxa"/>
            <w:vAlign w:val="center"/>
          </w:tcPr>
          <w:p>
            <w:pPr>
              <w:autoSpaceDE w:val="0"/>
              <w:autoSpaceDN w:val="0"/>
              <w:adjustRightInd w:val="0"/>
              <w:snapToGrid w:val="0"/>
              <w:spacing w:before="29" w:line="288" w:lineRule="auto"/>
              <w:jc w:val="center"/>
              <w:rPr>
                <w:sz w:val="24"/>
              </w:rPr>
            </w:pPr>
            <w:r>
              <w:rPr>
                <w:rFonts w:hint="eastAsia"/>
                <w:sz w:val="24"/>
              </w:rPr>
              <w:t>公允价值</w:t>
            </w:r>
          </w:p>
        </w:tc>
        <w:tc>
          <w:tcPr>
            <w:tcW w:w="1612" w:type="dxa"/>
            <w:vAlign w:val="center"/>
          </w:tcPr>
          <w:p>
            <w:pPr>
              <w:adjustRightInd w:val="0"/>
              <w:snapToGrid w:val="0"/>
              <w:spacing w:before="29" w:line="288" w:lineRule="auto"/>
              <w:jc w:val="center"/>
              <w:rPr>
                <w:sz w:val="24"/>
              </w:rPr>
            </w:pPr>
            <w:r>
              <w:rPr>
                <w:rFonts w:hint="eastAsia"/>
                <w:sz w:val="24"/>
              </w:rPr>
              <w:t>占基金资产净值比例</w:t>
            </w:r>
            <w:r>
              <w:rPr>
                <w:sz w:val="24"/>
              </w:rPr>
              <w:t>(</w:t>
            </w:r>
            <w:r>
              <w:rPr>
                <w:rFonts w:hint="eastAsia"/>
                <w:sz w:val="24"/>
              </w:rPr>
              <w:t>％</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w:t>
            </w:r>
          </w:p>
        </w:tc>
        <w:tc>
          <w:tcPr>
            <w:tcW w:w="1276" w:type="dxa"/>
            <w:vAlign w:val="center"/>
          </w:tcPr>
          <w:p>
            <w:pPr>
              <w:jc w:val="center"/>
            </w:pPr>
            <w:r>
              <w:rPr>
                <w:color w:val="000000"/>
                <w:sz w:val="24"/>
              </w:rPr>
              <w:t>000651</w:t>
            </w:r>
          </w:p>
        </w:tc>
        <w:tc>
          <w:tcPr>
            <w:tcW w:w="1701" w:type="dxa"/>
            <w:vAlign w:val="center"/>
          </w:tcPr>
          <w:p>
            <w:pPr>
              <w:jc w:val="center"/>
            </w:pPr>
            <w:r>
              <w:rPr>
                <w:color w:val="000000"/>
                <w:sz w:val="24"/>
              </w:rPr>
              <w:t>格力电器</w:t>
            </w:r>
          </w:p>
        </w:tc>
        <w:tc>
          <w:tcPr>
            <w:tcW w:w="1559" w:type="dxa"/>
            <w:vAlign w:val="center"/>
          </w:tcPr>
          <w:p>
            <w:pPr>
              <w:jc w:val="right"/>
            </w:pPr>
            <w:r>
              <w:rPr>
                <w:color w:val="000000"/>
                <w:sz w:val="24"/>
              </w:rPr>
              <w:t>374,900</w:t>
            </w:r>
          </w:p>
        </w:tc>
        <w:tc>
          <w:tcPr>
            <w:tcW w:w="1932" w:type="dxa"/>
            <w:vAlign w:val="center"/>
          </w:tcPr>
          <w:p>
            <w:pPr>
              <w:jc w:val="right"/>
            </w:pPr>
            <w:r>
              <w:rPr>
                <w:color w:val="000000"/>
                <w:sz w:val="24"/>
              </w:rPr>
              <w:t>23,221,306.00</w:t>
            </w:r>
          </w:p>
        </w:tc>
        <w:tc>
          <w:tcPr>
            <w:tcW w:w="1612" w:type="dxa"/>
            <w:vAlign w:val="center"/>
          </w:tcPr>
          <w:p>
            <w:pPr>
              <w:jc w:val="right"/>
            </w:pPr>
            <w:r>
              <w:rPr>
                <w:color w:val="000000"/>
                <w:sz w:val="24"/>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w:t>
            </w:r>
          </w:p>
        </w:tc>
        <w:tc>
          <w:tcPr>
            <w:tcW w:w="1276" w:type="dxa"/>
            <w:vAlign w:val="center"/>
          </w:tcPr>
          <w:p>
            <w:pPr>
              <w:jc w:val="center"/>
            </w:pPr>
            <w:r>
              <w:rPr>
                <w:color w:val="000000"/>
                <w:sz w:val="24"/>
              </w:rPr>
              <w:t>603678</w:t>
            </w:r>
          </w:p>
        </w:tc>
        <w:tc>
          <w:tcPr>
            <w:tcW w:w="1701" w:type="dxa"/>
            <w:vAlign w:val="center"/>
          </w:tcPr>
          <w:p>
            <w:pPr>
              <w:jc w:val="center"/>
            </w:pPr>
            <w:r>
              <w:rPr>
                <w:color w:val="000000"/>
                <w:sz w:val="24"/>
              </w:rPr>
              <w:t>火炬电子</w:t>
            </w:r>
          </w:p>
        </w:tc>
        <w:tc>
          <w:tcPr>
            <w:tcW w:w="1559" w:type="dxa"/>
            <w:vAlign w:val="center"/>
          </w:tcPr>
          <w:p>
            <w:pPr>
              <w:jc w:val="right"/>
            </w:pPr>
            <w:r>
              <w:rPr>
                <w:color w:val="000000"/>
                <w:sz w:val="24"/>
              </w:rPr>
              <w:t>315,000</w:t>
            </w:r>
          </w:p>
        </w:tc>
        <w:tc>
          <w:tcPr>
            <w:tcW w:w="1932" w:type="dxa"/>
            <w:vAlign w:val="center"/>
          </w:tcPr>
          <w:p>
            <w:pPr>
              <w:jc w:val="right"/>
            </w:pPr>
            <w:r>
              <w:rPr>
                <w:color w:val="000000"/>
                <w:sz w:val="24"/>
              </w:rPr>
              <w:t>22,774,500.00</w:t>
            </w:r>
          </w:p>
        </w:tc>
        <w:tc>
          <w:tcPr>
            <w:tcW w:w="1612" w:type="dxa"/>
            <w:vAlign w:val="center"/>
          </w:tcPr>
          <w:p>
            <w:pPr>
              <w:jc w:val="right"/>
            </w:pPr>
            <w:r>
              <w:rPr>
                <w:color w:val="000000"/>
                <w:sz w:val="24"/>
              </w:rPr>
              <w:t>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w:t>
            </w:r>
          </w:p>
        </w:tc>
        <w:tc>
          <w:tcPr>
            <w:tcW w:w="1276" w:type="dxa"/>
            <w:vAlign w:val="center"/>
          </w:tcPr>
          <w:p>
            <w:pPr>
              <w:jc w:val="center"/>
            </w:pPr>
            <w:r>
              <w:rPr>
                <w:color w:val="000000"/>
                <w:sz w:val="24"/>
              </w:rPr>
              <w:t>300572</w:t>
            </w:r>
          </w:p>
        </w:tc>
        <w:tc>
          <w:tcPr>
            <w:tcW w:w="1701" w:type="dxa"/>
            <w:vAlign w:val="center"/>
          </w:tcPr>
          <w:p>
            <w:pPr>
              <w:jc w:val="center"/>
            </w:pPr>
            <w:r>
              <w:rPr>
                <w:color w:val="000000"/>
                <w:sz w:val="24"/>
              </w:rPr>
              <w:t>安车检测</w:t>
            </w:r>
          </w:p>
        </w:tc>
        <w:tc>
          <w:tcPr>
            <w:tcW w:w="1559" w:type="dxa"/>
            <w:vAlign w:val="center"/>
          </w:tcPr>
          <w:p>
            <w:pPr>
              <w:jc w:val="right"/>
            </w:pPr>
            <w:r>
              <w:rPr>
                <w:color w:val="000000"/>
                <w:sz w:val="24"/>
              </w:rPr>
              <w:t>541,038</w:t>
            </w:r>
          </w:p>
        </w:tc>
        <w:tc>
          <w:tcPr>
            <w:tcW w:w="1932" w:type="dxa"/>
            <w:vAlign w:val="center"/>
          </w:tcPr>
          <w:p>
            <w:pPr>
              <w:jc w:val="right"/>
            </w:pPr>
            <w:r>
              <w:rPr>
                <w:color w:val="000000"/>
                <w:sz w:val="24"/>
              </w:rPr>
              <w:t>22,117,633.44</w:t>
            </w:r>
          </w:p>
        </w:tc>
        <w:tc>
          <w:tcPr>
            <w:tcW w:w="1612" w:type="dxa"/>
            <w:vAlign w:val="center"/>
          </w:tcPr>
          <w:p>
            <w:pPr>
              <w:jc w:val="right"/>
            </w:pPr>
            <w:r>
              <w:rPr>
                <w:color w:val="000000"/>
                <w:sz w:val="24"/>
              </w:rPr>
              <w:t>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w:t>
            </w:r>
          </w:p>
        </w:tc>
        <w:tc>
          <w:tcPr>
            <w:tcW w:w="1276" w:type="dxa"/>
            <w:vAlign w:val="center"/>
          </w:tcPr>
          <w:p>
            <w:pPr>
              <w:jc w:val="center"/>
            </w:pPr>
            <w:r>
              <w:rPr>
                <w:color w:val="000000"/>
                <w:sz w:val="24"/>
              </w:rPr>
              <w:t>600456</w:t>
            </w:r>
          </w:p>
        </w:tc>
        <w:tc>
          <w:tcPr>
            <w:tcW w:w="1701" w:type="dxa"/>
            <w:vAlign w:val="center"/>
          </w:tcPr>
          <w:p>
            <w:pPr>
              <w:jc w:val="center"/>
            </w:pPr>
            <w:r>
              <w:rPr>
                <w:color w:val="000000"/>
                <w:sz w:val="24"/>
              </w:rPr>
              <w:t>宝钛股份</w:t>
            </w:r>
          </w:p>
        </w:tc>
        <w:tc>
          <w:tcPr>
            <w:tcW w:w="1559" w:type="dxa"/>
            <w:vAlign w:val="center"/>
          </w:tcPr>
          <w:p>
            <w:pPr>
              <w:jc w:val="right"/>
            </w:pPr>
            <w:r>
              <w:rPr>
                <w:color w:val="000000"/>
                <w:sz w:val="24"/>
              </w:rPr>
              <w:t>371,800</w:t>
            </w:r>
          </w:p>
        </w:tc>
        <w:tc>
          <w:tcPr>
            <w:tcW w:w="1932" w:type="dxa"/>
            <w:vAlign w:val="center"/>
          </w:tcPr>
          <w:p>
            <w:pPr>
              <w:jc w:val="right"/>
            </w:pPr>
            <w:r>
              <w:rPr>
                <w:color w:val="000000"/>
                <w:sz w:val="24"/>
              </w:rPr>
              <w:t>19,367,062.00</w:t>
            </w:r>
          </w:p>
        </w:tc>
        <w:tc>
          <w:tcPr>
            <w:tcW w:w="1612" w:type="dxa"/>
            <w:vAlign w:val="center"/>
          </w:tcPr>
          <w:p>
            <w:pPr>
              <w:jc w:val="right"/>
            </w:pPr>
            <w:r>
              <w:rPr>
                <w:color w:val="000000"/>
                <w:sz w:val="24"/>
              </w:rPr>
              <w:t>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w:t>
            </w:r>
          </w:p>
        </w:tc>
        <w:tc>
          <w:tcPr>
            <w:tcW w:w="1276" w:type="dxa"/>
            <w:vAlign w:val="center"/>
          </w:tcPr>
          <w:p>
            <w:pPr>
              <w:jc w:val="center"/>
            </w:pPr>
            <w:r>
              <w:rPr>
                <w:color w:val="000000"/>
                <w:sz w:val="24"/>
              </w:rPr>
              <w:t>002049</w:t>
            </w:r>
          </w:p>
        </w:tc>
        <w:tc>
          <w:tcPr>
            <w:tcW w:w="1701" w:type="dxa"/>
            <w:vAlign w:val="center"/>
          </w:tcPr>
          <w:p>
            <w:pPr>
              <w:jc w:val="center"/>
            </w:pPr>
            <w:r>
              <w:rPr>
                <w:color w:val="000000"/>
                <w:sz w:val="24"/>
              </w:rPr>
              <w:t>紫光国微</w:t>
            </w:r>
          </w:p>
        </w:tc>
        <w:tc>
          <w:tcPr>
            <w:tcW w:w="1559" w:type="dxa"/>
            <w:vAlign w:val="center"/>
          </w:tcPr>
          <w:p>
            <w:pPr>
              <w:jc w:val="right"/>
            </w:pPr>
            <w:r>
              <w:rPr>
                <w:color w:val="000000"/>
                <w:sz w:val="24"/>
              </w:rPr>
              <w:t>139,328</w:t>
            </w:r>
          </w:p>
        </w:tc>
        <w:tc>
          <w:tcPr>
            <w:tcW w:w="1932" w:type="dxa"/>
            <w:vAlign w:val="center"/>
          </w:tcPr>
          <w:p>
            <w:pPr>
              <w:jc w:val="right"/>
            </w:pPr>
            <w:r>
              <w:rPr>
                <w:color w:val="000000"/>
                <w:sz w:val="24"/>
              </w:rPr>
              <w:t>18,643,479.68</w:t>
            </w:r>
          </w:p>
        </w:tc>
        <w:tc>
          <w:tcPr>
            <w:tcW w:w="1612" w:type="dxa"/>
            <w:vAlign w:val="center"/>
          </w:tcPr>
          <w:p>
            <w:pPr>
              <w:jc w:val="right"/>
            </w:pPr>
            <w:r>
              <w:rPr>
                <w:color w:val="000000"/>
                <w:sz w:val="24"/>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w:t>
            </w:r>
          </w:p>
        </w:tc>
        <w:tc>
          <w:tcPr>
            <w:tcW w:w="1276" w:type="dxa"/>
            <w:vAlign w:val="center"/>
          </w:tcPr>
          <w:p>
            <w:pPr>
              <w:jc w:val="center"/>
            </w:pPr>
            <w:r>
              <w:rPr>
                <w:color w:val="000000"/>
                <w:sz w:val="24"/>
              </w:rPr>
              <w:t>601233</w:t>
            </w:r>
          </w:p>
        </w:tc>
        <w:tc>
          <w:tcPr>
            <w:tcW w:w="1701" w:type="dxa"/>
            <w:vAlign w:val="center"/>
          </w:tcPr>
          <w:p>
            <w:pPr>
              <w:jc w:val="center"/>
            </w:pPr>
            <w:r>
              <w:rPr>
                <w:color w:val="000000"/>
                <w:sz w:val="24"/>
              </w:rPr>
              <w:t>桐昆股份</w:t>
            </w:r>
          </w:p>
        </w:tc>
        <w:tc>
          <w:tcPr>
            <w:tcW w:w="1559" w:type="dxa"/>
            <w:vAlign w:val="center"/>
          </w:tcPr>
          <w:p>
            <w:pPr>
              <w:jc w:val="right"/>
            </w:pPr>
            <w:r>
              <w:rPr>
                <w:color w:val="000000"/>
                <w:sz w:val="24"/>
              </w:rPr>
              <w:t>858,500</w:t>
            </w:r>
          </w:p>
        </w:tc>
        <w:tc>
          <w:tcPr>
            <w:tcW w:w="1932" w:type="dxa"/>
            <w:vAlign w:val="center"/>
          </w:tcPr>
          <w:p>
            <w:pPr>
              <w:jc w:val="right"/>
            </w:pPr>
            <w:r>
              <w:rPr>
                <w:color w:val="000000"/>
                <w:sz w:val="24"/>
              </w:rPr>
              <w:t>17,676,515.00</w:t>
            </w:r>
          </w:p>
        </w:tc>
        <w:tc>
          <w:tcPr>
            <w:tcW w:w="1612" w:type="dxa"/>
            <w:vAlign w:val="center"/>
          </w:tcPr>
          <w:p>
            <w:pPr>
              <w:jc w:val="right"/>
            </w:pPr>
            <w:r>
              <w:rPr>
                <w:color w:val="000000"/>
                <w:sz w:val="24"/>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w:t>
            </w:r>
          </w:p>
        </w:tc>
        <w:tc>
          <w:tcPr>
            <w:tcW w:w="1276" w:type="dxa"/>
            <w:vAlign w:val="center"/>
          </w:tcPr>
          <w:p>
            <w:pPr>
              <w:jc w:val="center"/>
            </w:pPr>
            <w:r>
              <w:rPr>
                <w:color w:val="000000"/>
                <w:sz w:val="24"/>
              </w:rPr>
              <w:t>300782</w:t>
            </w:r>
          </w:p>
        </w:tc>
        <w:tc>
          <w:tcPr>
            <w:tcW w:w="1701" w:type="dxa"/>
            <w:vAlign w:val="center"/>
          </w:tcPr>
          <w:p>
            <w:pPr>
              <w:jc w:val="center"/>
            </w:pPr>
            <w:r>
              <w:rPr>
                <w:color w:val="000000"/>
                <w:sz w:val="24"/>
              </w:rPr>
              <w:t>卓胜微</w:t>
            </w:r>
          </w:p>
        </w:tc>
        <w:tc>
          <w:tcPr>
            <w:tcW w:w="1559" w:type="dxa"/>
            <w:vAlign w:val="center"/>
          </w:tcPr>
          <w:p>
            <w:pPr>
              <w:jc w:val="right"/>
            </w:pPr>
            <w:r>
              <w:rPr>
                <w:color w:val="000000"/>
                <w:sz w:val="24"/>
              </w:rPr>
              <w:t>27,088</w:t>
            </w:r>
          </w:p>
        </w:tc>
        <w:tc>
          <w:tcPr>
            <w:tcW w:w="1932" w:type="dxa"/>
            <w:vAlign w:val="center"/>
          </w:tcPr>
          <w:p>
            <w:pPr>
              <w:jc w:val="right"/>
            </w:pPr>
            <w:r>
              <w:rPr>
                <w:color w:val="000000"/>
                <w:sz w:val="24"/>
              </w:rPr>
              <w:t>15,454,787.52</w:t>
            </w:r>
          </w:p>
        </w:tc>
        <w:tc>
          <w:tcPr>
            <w:tcW w:w="1612" w:type="dxa"/>
            <w:vAlign w:val="center"/>
          </w:tcPr>
          <w:p>
            <w:pPr>
              <w:jc w:val="right"/>
            </w:pPr>
            <w:r>
              <w:rPr>
                <w:color w:val="000000"/>
                <w:sz w:val="24"/>
              </w:rPr>
              <w:t>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w:t>
            </w:r>
          </w:p>
        </w:tc>
        <w:tc>
          <w:tcPr>
            <w:tcW w:w="1276" w:type="dxa"/>
            <w:vAlign w:val="center"/>
          </w:tcPr>
          <w:p>
            <w:pPr>
              <w:jc w:val="center"/>
            </w:pPr>
            <w:r>
              <w:rPr>
                <w:color w:val="000000"/>
                <w:sz w:val="24"/>
              </w:rPr>
              <w:t>601318</w:t>
            </w:r>
          </w:p>
        </w:tc>
        <w:tc>
          <w:tcPr>
            <w:tcW w:w="1701" w:type="dxa"/>
            <w:vAlign w:val="center"/>
          </w:tcPr>
          <w:p>
            <w:pPr>
              <w:jc w:val="center"/>
            </w:pPr>
            <w:r>
              <w:rPr>
                <w:color w:val="000000"/>
                <w:sz w:val="24"/>
              </w:rPr>
              <w:t>中国平安</w:t>
            </w:r>
          </w:p>
        </w:tc>
        <w:tc>
          <w:tcPr>
            <w:tcW w:w="1559" w:type="dxa"/>
            <w:vAlign w:val="center"/>
          </w:tcPr>
          <w:p>
            <w:pPr>
              <w:jc w:val="right"/>
            </w:pPr>
            <w:r>
              <w:rPr>
                <w:color w:val="000000"/>
                <w:sz w:val="24"/>
              </w:rPr>
              <w:t>174,246</w:t>
            </w:r>
          </w:p>
        </w:tc>
        <w:tc>
          <w:tcPr>
            <w:tcW w:w="1932" w:type="dxa"/>
            <w:vAlign w:val="center"/>
          </w:tcPr>
          <w:p>
            <w:pPr>
              <w:jc w:val="right"/>
            </w:pPr>
            <w:r>
              <w:rPr>
                <w:color w:val="000000"/>
                <w:sz w:val="24"/>
              </w:rPr>
              <w:t>15,155,917.08</w:t>
            </w:r>
          </w:p>
        </w:tc>
        <w:tc>
          <w:tcPr>
            <w:tcW w:w="1612" w:type="dxa"/>
            <w:vAlign w:val="center"/>
          </w:tcPr>
          <w:p>
            <w:pPr>
              <w:jc w:val="right"/>
            </w:pPr>
            <w:r>
              <w:rPr>
                <w:color w:val="000000"/>
                <w:sz w:val="24"/>
              </w:rPr>
              <w:t>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w:t>
            </w:r>
          </w:p>
        </w:tc>
        <w:tc>
          <w:tcPr>
            <w:tcW w:w="1276" w:type="dxa"/>
            <w:vAlign w:val="center"/>
          </w:tcPr>
          <w:p>
            <w:pPr>
              <w:jc w:val="center"/>
            </w:pPr>
            <w:r>
              <w:rPr>
                <w:color w:val="000000"/>
                <w:sz w:val="24"/>
              </w:rPr>
              <w:t>300395</w:t>
            </w:r>
          </w:p>
        </w:tc>
        <w:tc>
          <w:tcPr>
            <w:tcW w:w="1701" w:type="dxa"/>
            <w:vAlign w:val="center"/>
          </w:tcPr>
          <w:p>
            <w:pPr>
              <w:jc w:val="center"/>
            </w:pPr>
            <w:r>
              <w:rPr>
                <w:color w:val="000000"/>
                <w:sz w:val="24"/>
              </w:rPr>
              <w:t>菲利华</w:t>
            </w:r>
          </w:p>
        </w:tc>
        <w:tc>
          <w:tcPr>
            <w:tcW w:w="1559" w:type="dxa"/>
            <w:vAlign w:val="center"/>
          </w:tcPr>
          <w:p>
            <w:pPr>
              <w:jc w:val="right"/>
            </w:pPr>
            <w:r>
              <w:rPr>
                <w:color w:val="000000"/>
                <w:sz w:val="24"/>
              </w:rPr>
              <w:t>249,059</w:t>
            </w:r>
          </w:p>
        </w:tc>
        <w:tc>
          <w:tcPr>
            <w:tcW w:w="1932" w:type="dxa"/>
            <w:vAlign w:val="center"/>
          </w:tcPr>
          <w:p>
            <w:pPr>
              <w:jc w:val="right"/>
            </w:pPr>
            <w:r>
              <w:rPr>
                <w:color w:val="000000"/>
                <w:sz w:val="24"/>
              </w:rPr>
              <w:t>14,901,199.97</w:t>
            </w:r>
          </w:p>
        </w:tc>
        <w:tc>
          <w:tcPr>
            <w:tcW w:w="1612" w:type="dxa"/>
            <w:vAlign w:val="center"/>
          </w:tcPr>
          <w:p>
            <w:pPr>
              <w:jc w:val="right"/>
            </w:pPr>
            <w:r>
              <w:rPr>
                <w:color w:val="000000"/>
                <w:sz w:val="24"/>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10</w:t>
            </w:r>
          </w:p>
        </w:tc>
        <w:tc>
          <w:tcPr>
            <w:tcW w:w="1276" w:type="dxa"/>
            <w:vAlign w:val="center"/>
          </w:tcPr>
          <w:p>
            <w:pPr>
              <w:jc w:val="center"/>
            </w:pPr>
            <w:r>
              <w:rPr>
                <w:color w:val="000000"/>
                <w:sz w:val="24"/>
              </w:rPr>
              <w:t>300036</w:t>
            </w:r>
          </w:p>
        </w:tc>
        <w:tc>
          <w:tcPr>
            <w:tcW w:w="1701" w:type="dxa"/>
            <w:vAlign w:val="center"/>
          </w:tcPr>
          <w:p>
            <w:pPr>
              <w:jc w:val="center"/>
            </w:pPr>
            <w:r>
              <w:rPr>
                <w:color w:val="000000"/>
                <w:sz w:val="24"/>
              </w:rPr>
              <w:t>超图软件</w:t>
            </w:r>
          </w:p>
        </w:tc>
        <w:tc>
          <w:tcPr>
            <w:tcW w:w="1559" w:type="dxa"/>
            <w:vAlign w:val="center"/>
          </w:tcPr>
          <w:p>
            <w:pPr>
              <w:jc w:val="right"/>
            </w:pPr>
            <w:r>
              <w:rPr>
                <w:color w:val="000000"/>
                <w:sz w:val="24"/>
              </w:rPr>
              <w:t>700,969</w:t>
            </w:r>
          </w:p>
        </w:tc>
        <w:tc>
          <w:tcPr>
            <w:tcW w:w="1932" w:type="dxa"/>
            <w:vAlign w:val="center"/>
          </w:tcPr>
          <w:p>
            <w:pPr>
              <w:jc w:val="right"/>
            </w:pPr>
            <w:r>
              <w:rPr>
                <w:color w:val="000000"/>
                <w:sz w:val="24"/>
              </w:rPr>
              <w:t>12,925,868.36</w:t>
            </w:r>
          </w:p>
        </w:tc>
        <w:tc>
          <w:tcPr>
            <w:tcW w:w="1612" w:type="dxa"/>
            <w:vAlign w:val="center"/>
          </w:tcPr>
          <w:p>
            <w:pPr>
              <w:jc w:val="right"/>
            </w:pPr>
            <w:r>
              <w:rPr>
                <w:color w:val="000000"/>
                <w:sz w:val="24"/>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11</w:t>
            </w:r>
          </w:p>
        </w:tc>
        <w:tc>
          <w:tcPr>
            <w:tcW w:w="1276" w:type="dxa"/>
            <w:vAlign w:val="center"/>
          </w:tcPr>
          <w:p>
            <w:pPr>
              <w:jc w:val="center"/>
            </w:pPr>
            <w:r>
              <w:rPr>
                <w:color w:val="000000"/>
                <w:sz w:val="24"/>
              </w:rPr>
              <w:t>603267</w:t>
            </w:r>
          </w:p>
        </w:tc>
        <w:tc>
          <w:tcPr>
            <w:tcW w:w="1701" w:type="dxa"/>
            <w:vAlign w:val="center"/>
          </w:tcPr>
          <w:p>
            <w:pPr>
              <w:jc w:val="center"/>
            </w:pPr>
            <w:r>
              <w:rPr>
                <w:color w:val="000000"/>
                <w:sz w:val="24"/>
              </w:rPr>
              <w:t>鸿远电子</w:t>
            </w:r>
          </w:p>
        </w:tc>
        <w:tc>
          <w:tcPr>
            <w:tcW w:w="1559" w:type="dxa"/>
            <w:vAlign w:val="center"/>
          </w:tcPr>
          <w:p>
            <w:pPr>
              <w:jc w:val="right"/>
            </w:pPr>
            <w:r>
              <w:rPr>
                <w:color w:val="000000"/>
                <w:sz w:val="24"/>
              </w:rPr>
              <w:t>81,940</w:t>
            </w:r>
          </w:p>
        </w:tc>
        <w:tc>
          <w:tcPr>
            <w:tcW w:w="1932" w:type="dxa"/>
            <w:vAlign w:val="center"/>
          </w:tcPr>
          <w:p>
            <w:pPr>
              <w:jc w:val="right"/>
            </w:pPr>
            <w:r>
              <w:rPr>
                <w:color w:val="000000"/>
                <w:sz w:val="24"/>
              </w:rPr>
              <w:t>10,550,594.40</w:t>
            </w:r>
          </w:p>
        </w:tc>
        <w:tc>
          <w:tcPr>
            <w:tcW w:w="1612" w:type="dxa"/>
            <w:vAlign w:val="center"/>
          </w:tcPr>
          <w:p>
            <w:pPr>
              <w:jc w:val="right"/>
            </w:pPr>
            <w:r>
              <w:rPr>
                <w:color w:val="000000"/>
                <w:sz w:val="24"/>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12</w:t>
            </w:r>
          </w:p>
        </w:tc>
        <w:tc>
          <w:tcPr>
            <w:tcW w:w="1276" w:type="dxa"/>
            <w:vAlign w:val="center"/>
          </w:tcPr>
          <w:p>
            <w:pPr>
              <w:jc w:val="center"/>
            </w:pPr>
            <w:r>
              <w:rPr>
                <w:color w:val="000000"/>
                <w:sz w:val="24"/>
              </w:rPr>
              <w:t>300788</w:t>
            </w:r>
          </w:p>
        </w:tc>
        <w:tc>
          <w:tcPr>
            <w:tcW w:w="1701" w:type="dxa"/>
            <w:vAlign w:val="center"/>
          </w:tcPr>
          <w:p>
            <w:pPr>
              <w:jc w:val="center"/>
            </w:pPr>
            <w:r>
              <w:rPr>
                <w:color w:val="000000"/>
                <w:sz w:val="24"/>
              </w:rPr>
              <w:t>中信出版</w:t>
            </w:r>
          </w:p>
        </w:tc>
        <w:tc>
          <w:tcPr>
            <w:tcW w:w="1559" w:type="dxa"/>
            <w:vAlign w:val="center"/>
          </w:tcPr>
          <w:p>
            <w:pPr>
              <w:jc w:val="right"/>
            </w:pPr>
            <w:r>
              <w:rPr>
                <w:color w:val="000000"/>
                <w:sz w:val="24"/>
              </w:rPr>
              <w:t>227,830</w:t>
            </w:r>
          </w:p>
        </w:tc>
        <w:tc>
          <w:tcPr>
            <w:tcW w:w="1932" w:type="dxa"/>
            <w:vAlign w:val="center"/>
          </w:tcPr>
          <w:p>
            <w:pPr>
              <w:jc w:val="right"/>
            </w:pPr>
            <w:r>
              <w:rPr>
                <w:color w:val="000000"/>
                <w:sz w:val="24"/>
              </w:rPr>
              <w:t>9,662,270.30</w:t>
            </w:r>
          </w:p>
        </w:tc>
        <w:tc>
          <w:tcPr>
            <w:tcW w:w="1612" w:type="dxa"/>
            <w:vAlign w:val="center"/>
          </w:tcPr>
          <w:p>
            <w:pPr>
              <w:jc w:val="right"/>
            </w:pPr>
            <w:r>
              <w:rPr>
                <w:color w:val="000000"/>
                <w:sz w:val="24"/>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13</w:t>
            </w:r>
          </w:p>
        </w:tc>
        <w:tc>
          <w:tcPr>
            <w:tcW w:w="1276" w:type="dxa"/>
            <w:vAlign w:val="center"/>
          </w:tcPr>
          <w:p>
            <w:pPr>
              <w:jc w:val="center"/>
            </w:pPr>
            <w:r>
              <w:rPr>
                <w:color w:val="000000"/>
                <w:sz w:val="24"/>
              </w:rPr>
              <w:t>603885</w:t>
            </w:r>
          </w:p>
        </w:tc>
        <w:tc>
          <w:tcPr>
            <w:tcW w:w="1701" w:type="dxa"/>
            <w:vAlign w:val="center"/>
          </w:tcPr>
          <w:p>
            <w:pPr>
              <w:jc w:val="center"/>
            </w:pPr>
            <w:r>
              <w:rPr>
                <w:color w:val="000000"/>
                <w:sz w:val="24"/>
              </w:rPr>
              <w:t>吉祥航空</w:t>
            </w:r>
          </w:p>
        </w:tc>
        <w:tc>
          <w:tcPr>
            <w:tcW w:w="1559" w:type="dxa"/>
            <w:vAlign w:val="center"/>
          </w:tcPr>
          <w:p>
            <w:pPr>
              <w:jc w:val="right"/>
            </w:pPr>
            <w:r>
              <w:rPr>
                <w:color w:val="000000"/>
                <w:sz w:val="24"/>
              </w:rPr>
              <w:t>839,700</w:t>
            </w:r>
          </w:p>
        </w:tc>
        <w:tc>
          <w:tcPr>
            <w:tcW w:w="1932" w:type="dxa"/>
            <w:vAlign w:val="center"/>
          </w:tcPr>
          <w:p>
            <w:pPr>
              <w:jc w:val="right"/>
            </w:pPr>
            <w:r>
              <w:rPr>
                <w:color w:val="000000"/>
                <w:sz w:val="24"/>
              </w:rPr>
              <w:t>9,547,389.00</w:t>
            </w:r>
          </w:p>
        </w:tc>
        <w:tc>
          <w:tcPr>
            <w:tcW w:w="1612" w:type="dxa"/>
            <w:vAlign w:val="center"/>
          </w:tcPr>
          <w:p>
            <w:pPr>
              <w:jc w:val="right"/>
            </w:pPr>
            <w:r>
              <w:rPr>
                <w:color w:val="000000"/>
                <w:sz w:val="24"/>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14</w:t>
            </w:r>
          </w:p>
        </w:tc>
        <w:tc>
          <w:tcPr>
            <w:tcW w:w="1276" w:type="dxa"/>
            <w:vAlign w:val="center"/>
          </w:tcPr>
          <w:p>
            <w:pPr>
              <w:jc w:val="center"/>
            </w:pPr>
            <w:r>
              <w:rPr>
                <w:color w:val="000000"/>
                <w:sz w:val="24"/>
              </w:rPr>
              <w:t>002475</w:t>
            </w:r>
          </w:p>
        </w:tc>
        <w:tc>
          <w:tcPr>
            <w:tcW w:w="1701" w:type="dxa"/>
            <w:vAlign w:val="center"/>
          </w:tcPr>
          <w:p>
            <w:pPr>
              <w:jc w:val="center"/>
            </w:pPr>
            <w:r>
              <w:rPr>
                <w:color w:val="000000"/>
                <w:sz w:val="24"/>
              </w:rPr>
              <w:t>立讯精密</w:t>
            </w:r>
          </w:p>
        </w:tc>
        <w:tc>
          <w:tcPr>
            <w:tcW w:w="1559" w:type="dxa"/>
            <w:vAlign w:val="center"/>
          </w:tcPr>
          <w:p>
            <w:pPr>
              <w:jc w:val="right"/>
            </w:pPr>
            <w:r>
              <w:rPr>
                <w:color w:val="000000"/>
                <w:sz w:val="24"/>
              </w:rPr>
              <w:t>169,900</w:t>
            </w:r>
          </w:p>
        </w:tc>
        <w:tc>
          <w:tcPr>
            <w:tcW w:w="1932" w:type="dxa"/>
            <w:vAlign w:val="center"/>
          </w:tcPr>
          <w:p>
            <w:pPr>
              <w:jc w:val="right"/>
            </w:pPr>
            <w:r>
              <w:rPr>
                <w:color w:val="000000"/>
                <w:sz w:val="24"/>
              </w:rPr>
              <w:t>9,534,788.00</w:t>
            </w:r>
          </w:p>
        </w:tc>
        <w:tc>
          <w:tcPr>
            <w:tcW w:w="1612" w:type="dxa"/>
            <w:vAlign w:val="center"/>
          </w:tcPr>
          <w:p>
            <w:pPr>
              <w:jc w:val="right"/>
            </w:pPr>
            <w:r>
              <w:rPr>
                <w:color w:val="000000"/>
                <w:sz w:val="24"/>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15</w:t>
            </w:r>
          </w:p>
        </w:tc>
        <w:tc>
          <w:tcPr>
            <w:tcW w:w="1276" w:type="dxa"/>
            <w:vAlign w:val="center"/>
          </w:tcPr>
          <w:p>
            <w:pPr>
              <w:jc w:val="center"/>
            </w:pPr>
            <w:r>
              <w:rPr>
                <w:color w:val="000000"/>
                <w:sz w:val="24"/>
              </w:rPr>
              <w:t>002352</w:t>
            </w:r>
          </w:p>
        </w:tc>
        <w:tc>
          <w:tcPr>
            <w:tcW w:w="1701" w:type="dxa"/>
            <w:vAlign w:val="center"/>
          </w:tcPr>
          <w:p>
            <w:pPr>
              <w:jc w:val="center"/>
            </w:pPr>
            <w:r>
              <w:rPr>
                <w:color w:val="000000"/>
                <w:sz w:val="24"/>
              </w:rPr>
              <w:t>顺丰控股</w:t>
            </w:r>
          </w:p>
        </w:tc>
        <w:tc>
          <w:tcPr>
            <w:tcW w:w="1559" w:type="dxa"/>
            <w:vAlign w:val="center"/>
          </w:tcPr>
          <w:p>
            <w:pPr>
              <w:jc w:val="right"/>
            </w:pPr>
            <w:r>
              <w:rPr>
                <w:color w:val="000000"/>
                <w:sz w:val="24"/>
              </w:rPr>
              <w:t>106,646</w:t>
            </w:r>
          </w:p>
        </w:tc>
        <w:tc>
          <w:tcPr>
            <w:tcW w:w="1932" w:type="dxa"/>
            <w:vAlign w:val="center"/>
          </w:tcPr>
          <w:p>
            <w:pPr>
              <w:jc w:val="right"/>
            </w:pPr>
            <w:r>
              <w:rPr>
                <w:color w:val="000000"/>
                <w:sz w:val="24"/>
              </w:rPr>
              <w:t>9,316,976.58</w:t>
            </w:r>
          </w:p>
        </w:tc>
        <w:tc>
          <w:tcPr>
            <w:tcW w:w="1612" w:type="dxa"/>
            <w:vAlign w:val="center"/>
          </w:tcPr>
          <w:p>
            <w:pPr>
              <w:jc w:val="right"/>
            </w:pPr>
            <w:r>
              <w:rPr>
                <w:color w:val="000000"/>
                <w:sz w:val="24"/>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16</w:t>
            </w:r>
          </w:p>
        </w:tc>
        <w:tc>
          <w:tcPr>
            <w:tcW w:w="1276" w:type="dxa"/>
            <w:vAlign w:val="center"/>
          </w:tcPr>
          <w:p>
            <w:pPr>
              <w:jc w:val="center"/>
            </w:pPr>
            <w:r>
              <w:rPr>
                <w:color w:val="000000"/>
                <w:sz w:val="24"/>
              </w:rPr>
              <w:t>600352</w:t>
            </w:r>
          </w:p>
        </w:tc>
        <w:tc>
          <w:tcPr>
            <w:tcW w:w="1701" w:type="dxa"/>
            <w:vAlign w:val="center"/>
          </w:tcPr>
          <w:p>
            <w:pPr>
              <w:jc w:val="center"/>
            </w:pPr>
            <w:r>
              <w:rPr>
                <w:color w:val="000000"/>
                <w:sz w:val="24"/>
              </w:rPr>
              <w:t>浙江龙盛</w:t>
            </w:r>
          </w:p>
        </w:tc>
        <w:tc>
          <w:tcPr>
            <w:tcW w:w="1559" w:type="dxa"/>
            <w:vAlign w:val="center"/>
          </w:tcPr>
          <w:p>
            <w:pPr>
              <w:jc w:val="right"/>
            </w:pPr>
            <w:r>
              <w:rPr>
                <w:color w:val="000000"/>
                <w:sz w:val="24"/>
              </w:rPr>
              <w:t>664,900</w:t>
            </w:r>
          </w:p>
        </w:tc>
        <w:tc>
          <w:tcPr>
            <w:tcW w:w="1932" w:type="dxa"/>
            <w:vAlign w:val="center"/>
          </w:tcPr>
          <w:p>
            <w:pPr>
              <w:jc w:val="right"/>
            </w:pPr>
            <w:r>
              <w:rPr>
                <w:color w:val="000000"/>
                <w:sz w:val="24"/>
              </w:rPr>
              <w:t>9,055,938.00</w:t>
            </w:r>
          </w:p>
        </w:tc>
        <w:tc>
          <w:tcPr>
            <w:tcW w:w="1612" w:type="dxa"/>
            <w:vAlign w:val="center"/>
          </w:tcPr>
          <w:p>
            <w:pPr>
              <w:jc w:val="right"/>
            </w:pPr>
            <w:r>
              <w:rPr>
                <w:color w:val="000000"/>
                <w:sz w:val="24"/>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17</w:t>
            </w:r>
          </w:p>
        </w:tc>
        <w:tc>
          <w:tcPr>
            <w:tcW w:w="1276" w:type="dxa"/>
            <w:vAlign w:val="center"/>
          </w:tcPr>
          <w:p>
            <w:pPr>
              <w:jc w:val="center"/>
            </w:pPr>
            <w:r>
              <w:rPr>
                <w:color w:val="000000"/>
                <w:sz w:val="24"/>
              </w:rPr>
              <w:t>300454</w:t>
            </w:r>
          </w:p>
        </w:tc>
        <w:tc>
          <w:tcPr>
            <w:tcW w:w="1701" w:type="dxa"/>
            <w:vAlign w:val="center"/>
          </w:tcPr>
          <w:p>
            <w:pPr>
              <w:jc w:val="center"/>
            </w:pPr>
            <w:r>
              <w:rPr>
                <w:color w:val="000000"/>
                <w:sz w:val="24"/>
              </w:rPr>
              <w:t>深信服</w:t>
            </w:r>
          </w:p>
        </w:tc>
        <w:tc>
          <w:tcPr>
            <w:tcW w:w="1559" w:type="dxa"/>
            <w:vAlign w:val="center"/>
          </w:tcPr>
          <w:p>
            <w:pPr>
              <w:jc w:val="right"/>
            </w:pPr>
            <w:r>
              <w:rPr>
                <w:color w:val="000000"/>
                <w:sz w:val="24"/>
              </w:rPr>
              <w:t>35,900</w:t>
            </w:r>
          </w:p>
        </w:tc>
        <w:tc>
          <w:tcPr>
            <w:tcW w:w="1932" w:type="dxa"/>
            <w:vAlign w:val="center"/>
          </w:tcPr>
          <w:p>
            <w:pPr>
              <w:jc w:val="right"/>
            </w:pPr>
            <w:r>
              <w:rPr>
                <w:color w:val="000000"/>
                <w:sz w:val="24"/>
              </w:rPr>
              <w:t>8,903,559.00</w:t>
            </w:r>
          </w:p>
        </w:tc>
        <w:tc>
          <w:tcPr>
            <w:tcW w:w="1612" w:type="dxa"/>
            <w:vAlign w:val="center"/>
          </w:tcPr>
          <w:p>
            <w:pPr>
              <w:jc w:val="right"/>
            </w:pPr>
            <w:r>
              <w:rPr>
                <w:color w:val="000000"/>
                <w:sz w:val="24"/>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18</w:t>
            </w:r>
          </w:p>
        </w:tc>
        <w:tc>
          <w:tcPr>
            <w:tcW w:w="1276" w:type="dxa"/>
            <w:vAlign w:val="center"/>
          </w:tcPr>
          <w:p>
            <w:pPr>
              <w:jc w:val="center"/>
            </w:pPr>
            <w:r>
              <w:rPr>
                <w:color w:val="000000"/>
                <w:sz w:val="24"/>
              </w:rPr>
              <w:t>688608</w:t>
            </w:r>
          </w:p>
        </w:tc>
        <w:tc>
          <w:tcPr>
            <w:tcW w:w="1701" w:type="dxa"/>
            <w:vAlign w:val="center"/>
          </w:tcPr>
          <w:p>
            <w:pPr>
              <w:jc w:val="center"/>
            </w:pPr>
            <w:r>
              <w:rPr>
                <w:color w:val="000000"/>
                <w:sz w:val="24"/>
              </w:rPr>
              <w:t>恒玄科技</w:t>
            </w:r>
          </w:p>
        </w:tc>
        <w:tc>
          <w:tcPr>
            <w:tcW w:w="1559" w:type="dxa"/>
            <w:vAlign w:val="center"/>
          </w:tcPr>
          <w:p>
            <w:pPr>
              <w:jc w:val="right"/>
            </w:pPr>
            <w:r>
              <w:rPr>
                <w:color w:val="000000"/>
                <w:sz w:val="24"/>
              </w:rPr>
              <w:t>24,550</w:t>
            </w:r>
          </w:p>
        </w:tc>
        <w:tc>
          <w:tcPr>
            <w:tcW w:w="1932" w:type="dxa"/>
            <w:vAlign w:val="center"/>
          </w:tcPr>
          <w:p>
            <w:pPr>
              <w:jc w:val="right"/>
            </w:pPr>
            <w:r>
              <w:rPr>
                <w:color w:val="000000"/>
                <w:sz w:val="24"/>
              </w:rPr>
              <w:t>8,126,050.00</w:t>
            </w:r>
          </w:p>
        </w:tc>
        <w:tc>
          <w:tcPr>
            <w:tcW w:w="1612" w:type="dxa"/>
            <w:vAlign w:val="center"/>
          </w:tcPr>
          <w:p>
            <w:pPr>
              <w:jc w:val="right"/>
            </w:pPr>
            <w:r>
              <w:rPr>
                <w:color w:val="000000"/>
                <w:sz w:val="24"/>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19</w:t>
            </w:r>
          </w:p>
        </w:tc>
        <w:tc>
          <w:tcPr>
            <w:tcW w:w="1276" w:type="dxa"/>
            <w:vAlign w:val="center"/>
          </w:tcPr>
          <w:p>
            <w:pPr>
              <w:jc w:val="center"/>
            </w:pPr>
            <w:r>
              <w:rPr>
                <w:color w:val="000000"/>
                <w:sz w:val="24"/>
              </w:rPr>
              <w:t>002493</w:t>
            </w:r>
          </w:p>
        </w:tc>
        <w:tc>
          <w:tcPr>
            <w:tcW w:w="1701" w:type="dxa"/>
            <w:vAlign w:val="center"/>
          </w:tcPr>
          <w:p>
            <w:pPr>
              <w:jc w:val="center"/>
            </w:pPr>
            <w:r>
              <w:rPr>
                <w:color w:val="000000"/>
                <w:sz w:val="24"/>
              </w:rPr>
              <w:t>荣盛石化</w:t>
            </w:r>
          </w:p>
        </w:tc>
        <w:tc>
          <w:tcPr>
            <w:tcW w:w="1559" w:type="dxa"/>
            <w:vAlign w:val="center"/>
          </w:tcPr>
          <w:p>
            <w:pPr>
              <w:jc w:val="right"/>
            </w:pPr>
            <w:r>
              <w:rPr>
                <w:color w:val="000000"/>
                <w:sz w:val="24"/>
              </w:rPr>
              <w:t>243,700</w:t>
            </w:r>
          </w:p>
        </w:tc>
        <w:tc>
          <w:tcPr>
            <w:tcW w:w="1932" w:type="dxa"/>
            <w:vAlign w:val="center"/>
          </w:tcPr>
          <w:p>
            <w:pPr>
              <w:jc w:val="right"/>
            </w:pPr>
            <w:r>
              <w:rPr>
                <w:color w:val="000000"/>
                <w:sz w:val="24"/>
              </w:rPr>
              <w:t>6,728,557.00</w:t>
            </w:r>
          </w:p>
        </w:tc>
        <w:tc>
          <w:tcPr>
            <w:tcW w:w="1612" w:type="dxa"/>
            <w:vAlign w:val="center"/>
          </w:tcPr>
          <w:p>
            <w:pPr>
              <w:jc w:val="right"/>
            </w:pPr>
            <w:r>
              <w:rPr>
                <w:color w:val="000000"/>
                <w:sz w:val="24"/>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20</w:t>
            </w:r>
          </w:p>
        </w:tc>
        <w:tc>
          <w:tcPr>
            <w:tcW w:w="1276" w:type="dxa"/>
            <w:vAlign w:val="center"/>
          </w:tcPr>
          <w:p>
            <w:pPr>
              <w:jc w:val="center"/>
            </w:pPr>
            <w:r>
              <w:rPr>
                <w:color w:val="000000"/>
                <w:sz w:val="24"/>
              </w:rPr>
              <w:t>603816</w:t>
            </w:r>
          </w:p>
        </w:tc>
        <w:tc>
          <w:tcPr>
            <w:tcW w:w="1701" w:type="dxa"/>
            <w:vAlign w:val="center"/>
          </w:tcPr>
          <w:p>
            <w:pPr>
              <w:jc w:val="center"/>
            </w:pPr>
            <w:r>
              <w:rPr>
                <w:color w:val="000000"/>
                <w:sz w:val="24"/>
              </w:rPr>
              <w:t>顾家家居</w:t>
            </w:r>
          </w:p>
        </w:tc>
        <w:tc>
          <w:tcPr>
            <w:tcW w:w="1559" w:type="dxa"/>
            <w:vAlign w:val="center"/>
          </w:tcPr>
          <w:p>
            <w:pPr>
              <w:jc w:val="right"/>
            </w:pPr>
            <w:r>
              <w:rPr>
                <w:color w:val="000000"/>
                <w:sz w:val="24"/>
              </w:rPr>
              <w:t>92,000</w:t>
            </w:r>
          </w:p>
        </w:tc>
        <w:tc>
          <w:tcPr>
            <w:tcW w:w="1932" w:type="dxa"/>
            <w:vAlign w:val="center"/>
          </w:tcPr>
          <w:p>
            <w:pPr>
              <w:jc w:val="right"/>
            </w:pPr>
            <w:r>
              <w:rPr>
                <w:color w:val="000000"/>
                <w:sz w:val="24"/>
              </w:rPr>
              <w:t>6,486,920.00</w:t>
            </w:r>
          </w:p>
        </w:tc>
        <w:tc>
          <w:tcPr>
            <w:tcW w:w="1612" w:type="dxa"/>
            <w:vAlign w:val="center"/>
          </w:tcPr>
          <w:p>
            <w:pPr>
              <w:jc w:val="right"/>
            </w:pPr>
            <w:r>
              <w:rPr>
                <w:color w:val="000000"/>
                <w:sz w:val="24"/>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21</w:t>
            </w:r>
          </w:p>
        </w:tc>
        <w:tc>
          <w:tcPr>
            <w:tcW w:w="1276" w:type="dxa"/>
            <w:vAlign w:val="center"/>
          </w:tcPr>
          <w:p>
            <w:pPr>
              <w:jc w:val="center"/>
            </w:pPr>
            <w:r>
              <w:rPr>
                <w:color w:val="000000"/>
                <w:sz w:val="24"/>
              </w:rPr>
              <w:t>300369</w:t>
            </w:r>
          </w:p>
        </w:tc>
        <w:tc>
          <w:tcPr>
            <w:tcW w:w="1701" w:type="dxa"/>
            <w:vAlign w:val="center"/>
          </w:tcPr>
          <w:p>
            <w:pPr>
              <w:jc w:val="center"/>
            </w:pPr>
            <w:r>
              <w:rPr>
                <w:color w:val="000000"/>
                <w:sz w:val="24"/>
              </w:rPr>
              <w:t>绿盟科技</w:t>
            </w:r>
          </w:p>
        </w:tc>
        <w:tc>
          <w:tcPr>
            <w:tcW w:w="1559" w:type="dxa"/>
            <w:vAlign w:val="center"/>
          </w:tcPr>
          <w:p>
            <w:pPr>
              <w:jc w:val="right"/>
            </w:pPr>
            <w:r>
              <w:rPr>
                <w:color w:val="000000"/>
                <w:sz w:val="24"/>
              </w:rPr>
              <w:t>320,911</w:t>
            </w:r>
          </w:p>
        </w:tc>
        <w:tc>
          <w:tcPr>
            <w:tcW w:w="1932" w:type="dxa"/>
            <w:vAlign w:val="center"/>
          </w:tcPr>
          <w:p>
            <w:pPr>
              <w:jc w:val="right"/>
            </w:pPr>
            <w:r>
              <w:rPr>
                <w:color w:val="000000"/>
                <w:sz w:val="24"/>
              </w:rPr>
              <w:t>4,903,520.08</w:t>
            </w:r>
          </w:p>
        </w:tc>
        <w:tc>
          <w:tcPr>
            <w:tcW w:w="1612" w:type="dxa"/>
            <w:vAlign w:val="center"/>
          </w:tcPr>
          <w:p>
            <w:pPr>
              <w:jc w:val="right"/>
            </w:pPr>
            <w:r>
              <w:rPr>
                <w:color w:val="000000"/>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22</w:t>
            </w:r>
          </w:p>
        </w:tc>
        <w:tc>
          <w:tcPr>
            <w:tcW w:w="1276" w:type="dxa"/>
            <w:vAlign w:val="center"/>
          </w:tcPr>
          <w:p>
            <w:pPr>
              <w:jc w:val="center"/>
            </w:pPr>
            <w:r>
              <w:rPr>
                <w:color w:val="000000"/>
                <w:sz w:val="24"/>
              </w:rPr>
              <w:t>002439</w:t>
            </w:r>
          </w:p>
        </w:tc>
        <w:tc>
          <w:tcPr>
            <w:tcW w:w="1701" w:type="dxa"/>
            <w:vAlign w:val="center"/>
          </w:tcPr>
          <w:p>
            <w:pPr>
              <w:jc w:val="center"/>
            </w:pPr>
            <w:r>
              <w:rPr>
                <w:color w:val="000000"/>
                <w:sz w:val="24"/>
              </w:rPr>
              <w:t>启明星辰</w:t>
            </w:r>
          </w:p>
        </w:tc>
        <w:tc>
          <w:tcPr>
            <w:tcW w:w="1559" w:type="dxa"/>
            <w:vAlign w:val="center"/>
          </w:tcPr>
          <w:p>
            <w:pPr>
              <w:jc w:val="right"/>
            </w:pPr>
            <w:r>
              <w:rPr>
                <w:color w:val="000000"/>
                <w:sz w:val="24"/>
              </w:rPr>
              <w:t>162,800</w:t>
            </w:r>
          </w:p>
        </w:tc>
        <w:tc>
          <w:tcPr>
            <w:tcW w:w="1932" w:type="dxa"/>
            <w:vAlign w:val="center"/>
          </w:tcPr>
          <w:p>
            <w:pPr>
              <w:jc w:val="right"/>
            </w:pPr>
            <w:r>
              <w:rPr>
                <w:color w:val="000000"/>
                <w:sz w:val="24"/>
              </w:rPr>
              <w:t>4,755,388.00</w:t>
            </w:r>
          </w:p>
        </w:tc>
        <w:tc>
          <w:tcPr>
            <w:tcW w:w="1612" w:type="dxa"/>
            <w:vAlign w:val="center"/>
          </w:tcPr>
          <w:p>
            <w:pPr>
              <w:jc w:val="right"/>
            </w:pPr>
            <w:r>
              <w:rPr>
                <w:color w:val="000000"/>
                <w:sz w:val="24"/>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23</w:t>
            </w:r>
          </w:p>
        </w:tc>
        <w:tc>
          <w:tcPr>
            <w:tcW w:w="1276" w:type="dxa"/>
            <w:vAlign w:val="center"/>
          </w:tcPr>
          <w:p>
            <w:pPr>
              <w:jc w:val="center"/>
            </w:pPr>
            <w:r>
              <w:rPr>
                <w:color w:val="000000"/>
                <w:sz w:val="24"/>
              </w:rPr>
              <w:t>600029</w:t>
            </w:r>
          </w:p>
        </w:tc>
        <w:tc>
          <w:tcPr>
            <w:tcW w:w="1701" w:type="dxa"/>
            <w:vAlign w:val="center"/>
          </w:tcPr>
          <w:p>
            <w:pPr>
              <w:jc w:val="center"/>
            </w:pPr>
            <w:r>
              <w:rPr>
                <w:color w:val="000000"/>
                <w:sz w:val="24"/>
              </w:rPr>
              <w:t>南方航空</w:t>
            </w:r>
          </w:p>
        </w:tc>
        <w:tc>
          <w:tcPr>
            <w:tcW w:w="1559" w:type="dxa"/>
            <w:vAlign w:val="center"/>
          </w:tcPr>
          <w:p>
            <w:pPr>
              <w:jc w:val="right"/>
            </w:pPr>
            <w:r>
              <w:rPr>
                <w:color w:val="000000"/>
                <w:sz w:val="24"/>
              </w:rPr>
              <w:t>518,539</w:t>
            </w:r>
          </w:p>
        </w:tc>
        <w:tc>
          <w:tcPr>
            <w:tcW w:w="1932" w:type="dxa"/>
            <w:vAlign w:val="center"/>
          </w:tcPr>
          <w:p>
            <w:pPr>
              <w:jc w:val="right"/>
            </w:pPr>
            <w:r>
              <w:rPr>
                <w:color w:val="000000"/>
                <w:sz w:val="24"/>
              </w:rPr>
              <w:t>3,090,492.44</w:t>
            </w:r>
          </w:p>
        </w:tc>
        <w:tc>
          <w:tcPr>
            <w:tcW w:w="1612" w:type="dxa"/>
            <w:vAlign w:val="center"/>
          </w:tcPr>
          <w:p>
            <w:pPr>
              <w:jc w:val="right"/>
            </w:pPr>
            <w:r>
              <w:rPr>
                <w:color w:val="000000"/>
                <w:sz w:val="24"/>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24</w:t>
            </w:r>
          </w:p>
        </w:tc>
        <w:tc>
          <w:tcPr>
            <w:tcW w:w="1276" w:type="dxa"/>
            <w:vAlign w:val="center"/>
          </w:tcPr>
          <w:p>
            <w:pPr>
              <w:jc w:val="center"/>
            </w:pPr>
            <w:r>
              <w:rPr>
                <w:color w:val="000000"/>
                <w:sz w:val="24"/>
              </w:rPr>
              <w:t>688063</w:t>
            </w:r>
          </w:p>
        </w:tc>
        <w:tc>
          <w:tcPr>
            <w:tcW w:w="1701" w:type="dxa"/>
            <w:vAlign w:val="center"/>
          </w:tcPr>
          <w:p>
            <w:pPr>
              <w:jc w:val="center"/>
            </w:pPr>
            <w:r>
              <w:rPr>
                <w:color w:val="000000"/>
                <w:sz w:val="24"/>
              </w:rPr>
              <w:t>派能科技</w:t>
            </w:r>
          </w:p>
        </w:tc>
        <w:tc>
          <w:tcPr>
            <w:tcW w:w="1559" w:type="dxa"/>
            <w:vAlign w:val="center"/>
          </w:tcPr>
          <w:p>
            <w:pPr>
              <w:jc w:val="right"/>
            </w:pPr>
            <w:r>
              <w:rPr>
                <w:color w:val="000000"/>
                <w:sz w:val="24"/>
              </w:rPr>
              <w:t>1,589</w:t>
            </w:r>
          </w:p>
        </w:tc>
        <w:tc>
          <w:tcPr>
            <w:tcW w:w="1932" w:type="dxa"/>
            <w:vAlign w:val="center"/>
          </w:tcPr>
          <w:p>
            <w:pPr>
              <w:jc w:val="right"/>
            </w:pPr>
            <w:r>
              <w:rPr>
                <w:color w:val="000000"/>
                <w:sz w:val="24"/>
              </w:rPr>
              <w:t>300,702.36</w:t>
            </w:r>
          </w:p>
        </w:tc>
        <w:tc>
          <w:tcPr>
            <w:tcW w:w="1612" w:type="dxa"/>
            <w:vAlign w:val="center"/>
          </w:tcPr>
          <w:p>
            <w:pPr>
              <w:jc w:val="right"/>
            </w:pPr>
            <w:r>
              <w:rPr>
                <w:color w:val="000000"/>
                <w:sz w:val="24"/>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25</w:t>
            </w:r>
          </w:p>
        </w:tc>
        <w:tc>
          <w:tcPr>
            <w:tcW w:w="1276" w:type="dxa"/>
            <w:vAlign w:val="center"/>
          </w:tcPr>
          <w:p>
            <w:pPr>
              <w:jc w:val="center"/>
            </w:pPr>
            <w:r>
              <w:rPr>
                <w:color w:val="000000"/>
                <w:sz w:val="24"/>
              </w:rPr>
              <w:t>688686</w:t>
            </w:r>
          </w:p>
        </w:tc>
        <w:tc>
          <w:tcPr>
            <w:tcW w:w="1701" w:type="dxa"/>
            <w:vAlign w:val="center"/>
          </w:tcPr>
          <w:p>
            <w:pPr>
              <w:jc w:val="center"/>
            </w:pPr>
            <w:r>
              <w:rPr>
                <w:color w:val="000000"/>
                <w:sz w:val="24"/>
              </w:rPr>
              <w:t>奥普特</w:t>
            </w:r>
          </w:p>
        </w:tc>
        <w:tc>
          <w:tcPr>
            <w:tcW w:w="1559" w:type="dxa"/>
            <w:vAlign w:val="center"/>
          </w:tcPr>
          <w:p>
            <w:pPr>
              <w:jc w:val="right"/>
            </w:pPr>
            <w:r>
              <w:rPr>
                <w:color w:val="000000"/>
                <w:sz w:val="24"/>
              </w:rPr>
              <w:t>1,126</w:t>
            </w:r>
          </w:p>
        </w:tc>
        <w:tc>
          <w:tcPr>
            <w:tcW w:w="1932" w:type="dxa"/>
            <w:vAlign w:val="center"/>
          </w:tcPr>
          <w:p>
            <w:pPr>
              <w:jc w:val="right"/>
            </w:pPr>
            <w:r>
              <w:rPr>
                <w:color w:val="000000"/>
                <w:sz w:val="24"/>
              </w:rPr>
              <w:t>244,116.80</w:t>
            </w:r>
          </w:p>
        </w:tc>
        <w:tc>
          <w:tcPr>
            <w:tcW w:w="1612" w:type="dxa"/>
            <w:vAlign w:val="center"/>
          </w:tcPr>
          <w:p>
            <w:pPr>
              <w:jc w:val="right"/>
            </w:pPr>
            <w:r>
              <w:rPr>
                <w:color w:val="000000"/>
                <w:sz w:val="24"/>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26</w:t>
            </w:r>
          </w:p>
        </w:tc>
        <w:tc>
          <w:tcPr>
            <w:tcW w:w="1276" w:type="dxa"/>
            <w:vAlign w:val="center"/>
          </w:tcPr>
          <w:p>
            <w:pPr>
              <w:jc w:val="center"/>
            </w:pPr>
            <w:r>
              <w:rPr>
                <w:color w:val="000000"/>
                <w:sz w:val="24"/>
              </w:rPr>
              <w:t>300919</w:t>
            </w:r>
          </w:p>
        </w:tc>
        <w:tc>
          <w:tcPr>
            <w:tcW w:w="1701" w:type="dxa"/>
            <w:vAlign w:val="center"/>
          </w:tcPr>
          <w:p>
            <w:pPr>
              <w:jc w:val="center"/>
            </w:pPr>
            <w:r>
              <w:rPr>
                <w:color w:val="000000"/>
                <w:sz w:val="24"/>
              </w:rPr>
              <w:t>中伟股份</w:t>
            </w:r>
          </w:p>
        </w:tc>
        <w:tc>
          <w:tcPr>
            <w:tcW w:w="1559" w:type="dxa"/>
            <w:vAlign w:val="center"/>
          </w:tcPr>
          <w:p>
            <w:pPr>
              <w:jc w:val="right"/>
            </w:pPr>
            <w:r>
              <w:rPr>
                <w:color w:val="000000"/>
                <w:sz w:val="24"/>
              </w:rPr>
              <w:t>2,498</w:t>
            </w:r>
          </w:p>
        </w:tc>
        <w:tc>
          <w:tcPr>
            <w:tcW w:w="1932" w:type="dxa"/>
            <w:vAlign w:val="center"/>
          </w:tcPr>
          <w:p>
            <w:pPr>
              <w:jc w:val="right"/>
            </w:pPr>
            <w:r>
              <w:rPr>
                <w:color w:val="000000"/>
                <w:sz w:val="24"/>
              </w:rPr>
              <w:t>199,084.06</w:t>
            </w:r>
          </w:p>
        </w:tc>
        <w:tc>
          <w:tcPr>
            <w:tcW w:w="1612" w:type="dxa"/>
            <w:vAlign w:val="center"/>
          </w:tcPr>
          <w:p>
            <w:pPr>
              <w:jc w:val="right"/>
            </w:pPr>
            <w:r>
              <w:rPr>
                <w:color w:val="000000"/>
                <w:sz w:val="24"/>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27</w:t>
            </w:r>
          </w:p>
        </w:tc>
        <w:tc>
          <w:tcPr>
            <w:tcW w:w="1276" w:type="dxa"/>
            <w:vAlign w:val="center"/>
          </w:tcPr>
          <w:p>
            <w:pPr>
              <w:jc w:val="center"/>
            </w:pPr>
            <w:r>
              <w:rPr>
                <w:color w:val="000000"/>
                <w:sz w:val="24"/>
              </w:rPr>
              <w:t>688580</w:t>
            </w:r>
          </w:p>
        </w:tc>
        <w:tc>
          <w:tcPr>
            <w:tcW w:w="1701" w:type="dxa"/>
            <w:vAlign w:val="center"/>
          </w:tcPr>
          <w:p>
            <w:pPr>
              <w:jc w:val="center"/>
            </w:pPr>
            <w:r>
              <w:rPr>
                <w:color w:val="000000"/>
                <w:sz w:val="24"/>
              </w:rPr>
              <w:t>伟思医疗</w:t>
            </w:r>
          </w:p>
        </w:tc>
        <w:tc>
          <w:tcPr>
            <w:tcW w:w="1559" w:type="dxa"/>
            <w:vAlign w:val="center"/>
          </w:tcPr>
          <w:p>
            <w:pPr>
              <w:jc w:val="right"/>
            </w:pPr>
            <w:r>
              <w:rPr>
                <w:color w:val="000000"/>
                <w:sz w:val="24"/>
              </w:rPr>
              <w:t>1,930</w:t>
            </w:r>
          </w:p>
        </w:tc>
        <w:tc>
          <w:tcPr>
            <w:tcW w:w="1932" w:type="dxa"/>
            <w:vAlign w:val="center"/>
          </w:tcPr>
          <w:p>
            <w:pPr>
              <w:jc w:val="right"/>
            </w:pPr>
            <w:r>
              <w:rPr>
                <w:color w:val="000000"/>
                <w:sz w:val="24"/>
              </w:rPr>
              <w:t>189,931.30</w:t>
            </w:r>
          </w:p>
        </w:tc>
        <w:tc>
          <w:tcPr>
            <w:tcW w:w="1612" w:type="dxa"/>
            <w:vAlign w:val="center"/>
          </w:tcPr>
          <w:p>
            <w:pPr>
              <w:jc w:val="right"/>
            </w:pPr>
            <w:r>
              <w:rPr>
                <w:color w:val="000000"/>
                <w:sz w:val="24"/>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28</w:t>
            </w:r>
          </w:p>
        </w:tc>
        <w:tc>
          <w:tcPr>
            <w:tcW w:w="1276" w:type="dxa"/>
            <w:vAlign w:val="center"/>
          </w:tcPr>
          <w:p>
            <w:pPr>
              <w:jc w:val="center"/>
            </w:pPr>
            <w:r>
              <w:rPr>
                <w:color w:val="000000"/>
                <w:sz w:val="24"/>
              </w:rPr>
              <w:t>688556</w:t>
            </w:r>
          </w:p>
        </w:tc>
        <w:tc>
          <w:tcPr>
            <w:tcW w:w="1701" w:type="dxa"/>
            <w:vAlign w:val="center"/>
          </w:tcPr>
          <w:p>
            <w:pPr>
              <w:jc w:val="center"/>
            </w:pPr>
            <w:r>
              <w:rPr>
                <w:color w:val="000000"/>
                <w:sz w:val="24"/>
              </w:rPr>
              <w:t>高测股份</w:t>
            </w:r>
          </w:p>
        </w:tc>
        <w:tc>
          <w:tcPr>
            <w:tcW w:w="1559" w:type="dxa"/>
            <w:vAlign w:val="center"/>
          </w:tcPr>
          <w:p>
            <w:pPr>
              <w:jc w:val="right"/>
            </w:pPr>
            <w:r>
              <w:rPr>
                <w:color w:val="000000"/>
                <w:sz w:val="24"/>
              </w:rPr>
              <w:t>6,896</w:t>
            </w:r>
          </w:p>
        </w:tc>
        <w:tc>
          <w:tcPr>
            <w:tcW w:w="1932" w:type="dxa"/>
            <w:vAlign w:val="center"/>
          </w:tcPr>
          <w:p>
            <w:pPr>
              <w:jc w:val="right"/>
            </w:pPr>
            <w:r>
              <w:rPr>
                <w:color w:val="000000"/>
                <w:sz w:val="24"/>
              </w:rPr>
              <w:t>185,709.28</w:t>
            </w:r>
          </w:p>
        </w:tc>
        <w:tc>
          <w:tcPr>
            <w:tcW w:w="1612" w:type="dxa"/>
            <w:vAlign w:val="center"/>
          </w:tcPr>
          <w:p>
            <w:pPr>
              <w:jc w:val="right"/>
            </w:pPr>
            <w:r>
              <w:rPr>
                <w:color w:val="000000"/>
                <w:sz w:val="24"/>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29</w:t>
            </w:r>
          </w:p>
        </w:tc>
        <w:tc>
          <w:tcPr>
            <w:tcW w:w="1276" w:type="dxa"/>
            <w:vAlign w:val="center"/>
          </w:tcPr>
          <w:p>
            <w:pPr>
              <w:jc w:val="center"/>
            </w:pPr>
            <w:r>
              <w:rPr>
                <w:color w:val="000000"/>
                <w:sz w:val="24"/>
              </w:rPr>
              <w:t>300903</w:t>
            </w:r>
          </w:p>
        </w:tc>
        <w:tc>
          <w:tcPr>
            <w:tcW w:w="1701" w:type="dxa"/>
            <w:vAlign w:val="center"/>
          </w:tcPr>
          <w:p>
            <w:pPr>
              <w:jc w:val="center"/>
            </w:pPr>
            <w:r>
              <w:rPr>
                <w:color w:val="000000"/>
                <w:sz w:val="24"/>
              </w:rPr>
              <w:t>科翔股份</w:t>
            </w:r>
          </w:p>
        </w:tc>
        <w:tc>
          <w:tcPr>
            <w:tcW w:w="1559" w:type="dxa"/>
            <w:vAlign w:val="center"/>
          </w:tcPr>
          <w:p>
            <w:pPr>
              <w:jc w:val="right"/>
            </w:pPr>
            <w:r>
              <w:rPr>
                <w:color w:val="000000"/>
                <w:sz w:val="24"/>
              </w:rPr>
              <w:t>4,775</w:t>
            </w:r>
          </w:p>
        </w:tc>
        <w:tc>
          <w:tcPr>
            <w:tcW w:w="1932" w:type="dxa"/>
            <w:vAlign w:val="center"/>
          </w:tcPr>
          <w:p>
            <w:pPr>
              <w:jc w:val="right"/>
            </w:pPr>
            <w:r>
              <w:rPr>
                <w:color w:val="000000"/>
                <w:sz w:val="24"/>
              </w:rPr>
              <w:t>145,494.25</w:t>
            </w:r>
          </w:p>
        </w:tc>
        <w:tc>
          <w:tcPr>
            <w:tcW w:w="1612" w:type="dxa"/>
            <w:vAlign w:val="center"/>
          </w:tcPr>
          <w:p>
            <w:pPr>
              <w:jc w:val="right"/>
            </w:pPr>
            <w:r>
              <w:rPr>
                <w:color w:val="000000"/>
                <w:sz w:val="24"/>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30</w:t>
            </w:r>
          </w:p>
        </w:tc>
        <w:tc>
          <w:tcPr>
            <w:tcW w:w="1276" w:type="dxa"/>
            <w:vAlign w:val="center"/>
          </w:tcPr>
          <w:p>
            <w:pPr>
              <w:jc w:val="center"/>
            </w:pPr>
            <w:r>
              <w:rPr>
                <w:color w:val="000000"/>
                <w:sz w:val="24"/>
              </w:rPr>
              <w:t>300999</w:t>
            </w:r>
          </w:p>
        </w:tc>
        <w:tc>
          <w:tcPr>
            <w:tcW w:w="1701" w:type="dxa"/>
            <w:vAlign w:val="center"/>
          </w:tcPr>
          <w:p>
            <w:pPr>
              <w:jc w:val="center"/>
            </w:pPr>
            <w:r>
              <w:rPr>
                <w:color w:val="000000"/>
                <w:sz w:val="24"/>
              </w:rPr>
              <w:t>金龙鱼</w:t>
            </w:r>
          </w:p>
        </w:tc>
        <w:tc>
          <w:tcPr>
            <w:tcW w:w="1559" w:type="dxa"/>
            <w:vAlign w:val="center"/>
          </w:tcPr>
          <w:p>
            <w:pPr>
              <w:jc w:val="right"/>
            </w:pPr>
            <w:r>
              <w:rPr>
                <w:color w:val="000000"/>
                <w:sz w:val="24"/>
              </w:rPr>
              <w:t>1,590</w:t>
            </w:r>
          </w:p>
        </w:tc>
        <w:tc>
          <w:tcPr>
            <w:tcW w:w="1932" w:type="dxa"/>
            <w:vAlign w:val="center"/>
          </w:tcPr>
          <w:p>
            <w:pPr>
              <w:jc w:val="right"/>
            </w:pPr>
            <w:r>
              <w:rPr>
                <w:color w:val="000000"/>
                <w:sz w:val="24"/>
              </w:rPr>
              <w:t>140,381.10</w:t>
            </w:r>
          </w:p>
        </w:tc>
        <w:tc>
          <w:tcPr>
            <w:tcW w:w="1612" w:type="dxa"/>
            <w:vAlign w:val="center"/>
          </w:tcPr>
          <w:p>
            <w:pPr>
              <w:jc w:val="right"/>
            </w:pPr>
            <w:r>
              <w:rPr>
                <w:color w:val="000000"/>
                <w:sz w:val="24"/>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31</w:t>
            </w:r>
          </w:p>
        </w:tc>
        <w:tc>
          <w:tcPr>
            <w:tcW w:w="1276" w:type="dxa"/>
            <w:vAlign w:val="center"/>
          </w:tcPr>
          <w:p>
            <w:pPr>
              <w:jc w:val="center"/>
            </w:pPr>
            <w:r>
              <w:rPr>
                <w:color w:val="000000"/>
                <w:sz w:val="24"/>
              </w:rPr>
              <w:t>688377</w:t>
            </w:r>
          </w:p>
        </w:tc>
        <w:tc>
          <w:tcPr>
            <w:tcW w:w="1701" w:type="dxa"/>
            <w:vAlign w:val="center"/>
          </w:tcPr>
          <w:p>
            <w:pPr>
              <w:jc w:val="center"/>
            </w:pPr>
            <w:r>
              <w:rPr>
                <w:color w:val="000000"/>
                <w:sz w:val="24"/>
              </w:rPr>
              <w:t>迪威尔</w:t>
            </w:r>
          </w:p>
        </w:tc>
        <w:tc>
          <w:tcPr>
            <w:tcW w:w="1559" w:type="dxa"/>
            <w:vAlign w:val="center"/>
          </w:tcPr>
          <w:p>
            <w:pPr>
              <w:jc w:val="right"/>
            </w:pPr>
            <w:r>
              <w:rPr>
                <w:color w:val="000000"/>
                <w:sz w:val="24"/>
              </w:rPr>
              <w:t>6,578</w:t>
            </w:r>
          </w:p>
        </w:tc>
        <w:tc>
          <w:tcPr>
            <w:tcW w:w="1932" w:type="dxa"/>
            <w:vAlign w:val="center"/>
          </w:tcPr>
          <w:p>
            <w:pPr>
              <w:jc w:val="right"/>
            </w:pPr>
            <w:r>
              <w:rPr>
                <w:color w:val="000000"/>
                <w:sz w:val="24"/>
              </w:rPr>
              <w:t>122,877.04</w:t>
            </w:r>
          </w:p>
        </w:tc>
        <w:tc>
          <w:tcPr>
            <w:tcW w:w="1612" w:type="dxa"/>
            <w:vAlign w:val="center"/>
          </w:tcPr>
          <w:p>
            <w:pPr>
              <w:jc w:val="right"/>
            </w:pPr>
            <w:r>
              <w:rPr>
                <w:color w:val="000000"/>
                <w:sz w:val="24"/>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32</w:t>
            </w:r>
          </w:p>
        </w:tc>
        <w:tc>
          <w:tcPr>
            <w:tcW w:w="1276" w:type="dxa"/>
            <w:vAlign w:val="center"/>
          </w:tcPr>
          <w:p>
            <w:pPr>
              <w:jc w:val="center"/>
            </w:pPr>
            <w:r>
              <w:rPr>
                <w:color w:val="000000"/>
                <w:sz w:val="24"/>
              </w:rPr>
              <w:t>603195</w:t>
            </w:r>
          </w:p>
        </w:tc>
        <w:tc>
          <w:tcPr>
            <w:tcW w:w="1701" w:type="dxa"/>
            <w:vAlign w:val="center"/>
          </w:tcPr>
          <w:p>
            <w:pPr>
              <w:jc w:val="center"/>
            </w:pPr>
            <w:r>
              <w:rPr>
                <w:color w:val="000000"/>
                <w:sz w:val="24"/>
              </w:rPr>
              <w:t>公牛集团</w:t>
            </w:r>
          </w:p>
        </w:tc>
        <w:tc>
          <w:tcPr>
            <w:tcW w:w="1559" w:type="dxa"/>
            <w:vAlign w:val="center"/>
          </w:tcPr>
          <w:p>
            <w:pPr>
              <w:jc w:val="right"/>
            </w:pPr>
            <w:r>
              <w:rPr>
                <w:color w:val="000000"/>
                <w:sz w:val="24"/>
              </w:rPr>
              <w:t>567</w:t>
            </w:r>
          </w:p>
        </w:tc>
        <w:tc>
          <w:tcPr>
            <w:tcW w:w="1932" w:type="dxa"/>
            <w:vAlign w:val="center"/>
          </w:tcPr>
          <w:p>
            <w:pPr>
              <w:jc w:val="right"/>
            </w:pPr>
            <w:r>
              <w:rPr>
                <w:color w:val="000000"/>
                <w:sz w:val="24"/>
              </w:rPr>
              <w:t>116,399.43</w:t>
            </w:r>
          </w:p>
        </w:tc>
        <w:tc>
          <w:tcPr>
            <w:tcW w:w="1612" w:type="dxa"/>
            <w:vAlign w:val="center"/>
          </w:tcPr>
          <w:p>
            <w:pPr>
              <w:jc w:val="right"/>
            </w:pPr>
            <w:r>
              <w:rPr>
                <w:color w:val="000000"/>
                <w:sz w:val="24"/>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33</w:t>
            </w:r>
          </w:p>
        </w:tc>
        <w:tc>
          <w:tcPr>
            <w:tcW w:w="1276" w:type="dxa"/>
            <w:vAlign w:val="center"/>
          </w:tcPr>
          <w:p>
            <w:pPr>
              <w:jc w:val="center"/>
            </w:pPr>
            <w:r>
              <w:rPr>
                <w:color w:val="000000"/>
                <w:sz w:val="24"/>
              </w:rPr>
              <w:t>300869</w:t>
            </w:r>
          </w:p>
        </w:tc>
        <w:tc>
          <w:tcPr>
            <w:tcW w:w="1701" w:type="dxa"/>
            <w:vAlign w:val="center"/>
          </w:tcPr>
          <w:p>
            <w:pPr>
              <w:jc w:val="center"/>
            </w:pPr>
            <w:r>
              <w:rPr>
                <w:color w:val="000000"/>
                <w:sz w:val="24"/>
              </w:rPr>
              <w:t>康泰医学</w:t>
            </w:r>
          </w:p>
        </w:tc>
        <w:tc>
          <w:tcPr>
            <w:tcW w:w="1559" w:type="dxa"/>
            <w:vAlign w:val="center"/>
          </w:tcPr>
          <w:p>
            <w:pPr>
              <w:jc w:val="right"/>
            </w:pPr>
            <w:r>
              <w:rPr>
                <w:color w:val="000000"/>
                <w:sz w:val="24"/>
              </w:rPr>
              <w:t>862</w:t>
            </w:r>
          </w:p>
        </w:tc>
        <w:tc>
          <w:tcPr>
            <w:tcW w:w="1932" w:type="dxa"/>
            <w:vAlign w:val="center"/>
          </w:tcPr>
          <w:p>
            <w:pPr>
              <w:jc w:val="right"/>
            </w:pPr>
            <w:r>
              <w:rPr>
                <w:color w:val="000000"/>
                <w:sz w:val="24"/>
              </w:rPr>
              <w:t>95,578.56</w:t>
            </w:r>
          </w:p>
        </w:tc>
        <w:tc>
          <w:tcPr>
            <w:tcW w:w="1612" w:type="dxa"/>
            <w:vAlign w:val="center"/>
          </w:tcPr>
          <w:p>
            <w:pPr>
              <w:jc w:val="right"/>
            </w:pPr>
            <w:r>
              <w:rPr>
                <w:color w:val="000000"/>
                <w:sz w:val="24"/>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34</w:t>
            </w:r>
          </w:p>
        </w:tc>
        <w:tc>
          <w:tcPr>
            <w:tcW w:w="1276" w:type="dxa"/>
            <w:vAlign w:val="center"/>
          </w:tcPr>
          <w:p>
            <w:pPr>
              <w:jc w:val="center"/>
            </w:pPr>
            <w:r>
              <w:rPr>
                <w:color w:val="000000"/>
                <w:sz w:val="24"/>
              </w:rPr>
              <w:t>688617</w:t>
            </w:r>
          </w:p>
        </w:tc>
        <w:tc>
          <w:tcPr>
            <w:tcW w:w="1701" w:type="dxa"/>
            <w:vAlign w:val="center"/>
          </w:tcPr>
          <w:p>
            <w:pPr>
              <w:jc w:val="center"/>
            </w:pPr>
            <w:r>
              <w:rPr>
                <w:color w:val="000000"/>
                <w:sz w:val="24"/>
              </w:rPr>
              <w:t>惠泰医疗</w:t>
            </w:r>
          </w:p>
        </w:tc>
        <w:tc>
          <w:tcPr>
            <w:tcW w:w="1559" w:type="dxa"/>
            <w:vAlign w:val="center"/>
          </w:tcPr>
          <w:p>
            <w:pPr>
              <w:jc w:val="right"/>
            </w:pPr>
            <w:r>
              <w:rPr>
                <w:color w:val="000000"/>
                <w:sz w:val="24"/>
              </w:rPr>
              <w:t>870</w:t>
            </w:r>
          </w:p>
        </w:tc>
        <w:tc>
          <w:tcPr>
            <w:tcW w:w="1932" w:type="dxa"/>
            <w:vAlign w:val="center"/>
          </w:tcPr>
          <w:p>
            <w:pPr>
              <w:jc w:val="right"/>
            </w:pPr>
            <w:r>
              <w:rPr>
                <w:color w:val="000000"/>
                <w:sz w:val="24"/>
              </w:rPr>
              <w:t>64,780.20</w:t>
            </w:r>
          </w:p>
        </w:tc>
        <w:tc>
          <w:tcPr>
            <w:tcW w:w="1612" w:type="dxa"/>
            <w:vAlign w:val="center"/>
          </w:tcPr>
          <w:p>
            <w:pPr>
              <w:jc w:val="right"/>
            </w:pPr>
            <w:r>
              <w:rPr>
                <w:color w:val="000000"/>
                <w:sz w:val="24"/>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35</w:t>
            </w:r>
          </w:p>
        </w:tc>
        <w:tc>
          <w:tcPr>
            <w:tcW w:w="1276" w:type="dxa"/>
            <w:vAlign w:val="center"/>
          </w:tcPr>
          <w:p>
            <w:pPr>
              <w:jc w:val="center"/>
            </w:pPr>
            <w:r>
              <w:rPr>
                <w:color w:val="000000"/>
                <w:sz w:val="24"/>
              </w:rPr>
              <w:t>688215</w:t>
            </w:r>
          </w:p>
        </w:tc>
        <w:tc>
          <w:tcPr>
            <w:tcW w:w="1701" w:type="dxa"/>
            <w:vAlign w:val="center"/>
          </w:tcPr>
          <w:p>
            <w:pPr>
              <w:jc w:val="center"/>
            </w:pPr>
            <w:r>
              <w:rPr>
                <w:color w:val="000000"/>
                <w:sz w:val="24"/>
              </w:rPr>
              <w:t>瑞晟智能</w:t>
            </w:r>
          </w:p>
        </w:tc>
        <w:tc>
          <w:tcPr>
            <w:tcW w:w="1559" w:type="dxa"/>
            <w:vAlign w:val="center"/>
          </w:tcPr>
          <w:p>
            <w:pPr>
              <w:jc w:val="right"/>
            </w:pPr>
            <w:r>
              <w:rPr>
                <w:color w:val="000000"/>
                <w:sz w:val="24"/>
              </w:rPr>
              <w:t>1,229</w:t>
            </w:r>
          </w:p>
        </w:tc>
        <w:tc>
          <w:tcPr>
            <w:tcW w:w="1932" w:type="dxa"/>
            <w:vAlign w:val="center"/>
          </w:tcPr>
          <w:p>
            <w:pPr>
              <w:jc w:val="right"/>
            </w:pPr>
            <w:r>
              <w:rPr>
                <w:color w:val="000000"/>
                <w:sz w:val="24"/>
              </w:rPr>
              <w:t>56,681.48</w:t>
            </w:r>
          </w:p>
        </w:tc>
        <w:tc>
          <w:tcPr>
            <w:tcW w:w="1612" w:type="dxa"/>
            <w:vAlign w:val="center"/>
          </w:tcPr>
          <w:p>
            <w:pPr>
              <w:jc w:val="right"/>
            </w:pPr>
            <w:r>
              <w:rPr>
                <w:color w:val="000000"/>
                <w:sz w:val="24"/>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36</w:t>
            </w:r>
          </w:p>
        </w:tc>
        <w:tc>
          <w:tcPr>
            <w:tcW w:w="1276" w:type="dxa"/>
            <w:vAlign w:val="center"/>
          </w:tcPr>
          <w:p>
            <w:pPr>
              <w:jc w:val="center"/>
            </w:pPr>
            <w:r>
              <w:rPr>
                <w:color w:val="000000"/>
                <w:sz w:val="24"/>
              </w:rPr>
              <w:t>300926</w:t>
            </w:r>
          </w:p>
        </w:tc>
        <w:tc>
          <w:tcPr>
            <w:tcW w:w="1701" w:type="dxa"/>
            <w:vAlign w:val="center"/>
          </w:tcPr>
          <w:p>
            <w:pPr>
              <w:jc w:val="center"/>
            </w:pPr>
            <w:r>
              <w:rPr>
                <w:color w:val="000000"/>
                <w:sz w:val="24"/>
              </w:rPr>
              <w:t>博俊科技</w:t>
            </w:r>
          </w:p>
        </w:tc>
        <w:tc>
          <w:tcPr>
            <w:tcW w:w="1559" w:type="dxa"/>
            <w:vAlign w:val="center"/>
          </w:tcPr>
          <w:p>
            <w:pPr>
              <w:jc w:val="right"/>
            </w:pPr>
            <w:r>
              <w:rPr>
                <w:color w:val="000000"/>
                <w:sz w:val="24"/>
              </w:rPr>
              <w:t>3,584</w:t>
            </w:r>
          </w:p>
        </w:tc>
        <w:tc>
          <w:tcPr>
            <w:tcW w:w="1932" w:type="dxa"/>
            <w:vAlign w:val="center"/>
          </w:tcPr>
          <w:p>
            <w:pPr>
              <w:jc w:val="right"/>
            </w:pPr>
            <w:r>
              <w:rPr>
                <w:color w:val="000000"/>
                <w:sz w:val="24"/>
              </w:rPr>
              <w:t>38,563.84</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37</w:t>
            </w:r>
          </w:p>
        </w:tc>
        <w:tc>
          <w:tcPr>
            <w:tcW w:w="1276" w:type="dxa"/>
            <w:vAlign w:val="center"/>
          </w:tcPr>
          <w:p>
            <w:pPr>
              <w:jc w:val="center"/>
            </w:pPr>
            <w:r>
              <w:rPr>
                <w:color w:val="000000"/>
                <w:sz w:val="24"/>
              </w:rPr>
              <w:t>300870</w:t>
            </w:r>
          </w:p>
        </w:tc>
        <w:tc>
          <w:tcPr>
            <w:tcW w:w="1701" w:type="dxa"/>
            <w:vAlign w:val="center"/>
          </w:tcPr>
          <w:p>
            <w:pPr>
              <w:jc w:val="center"/>
            </w:pPr>
            <w:r>
              <w:rPr>
                <w:color w:val="000000"/>
                <w:sz w:val="24"/>
              </w:rPr>
              <w:t>欧陆通</w:t>
            </w:r>
          </w:p>
        </w:tc>
        <w:tc>
          <w:tcPr>
            <w:tcW w:w="1559" w:type="dxa"/>
            <w:vAlign w:val="center"/>
          </w:tcPr>
          <w:p>
            <w:pPr>
              <w:jc w:val="right"/>
            </w:pPr>
            <w:r>
              <w:rPr>
                <w:color w:val="000000"/>
                <w:sz w:val="24"/>
              </w:rPr>
              <w:t>478</w:t>
            </w:r>
          </w:p>
        </w:tc>
        <w:tc>
          <w:tcPr>
            <w:tcW w:w="1932" w:type="dxa"/>
            <w:vAlign w:val="center"/>
          </w:tcPr>
          <w:p>
            <w:pPr>
              <w:jc w:val="right"/>
            </w:pPr>
            <w:r>
              <w:rPr>
                <w:color w:val="000000"/>
                <w:sz w:val="24"/>
              </w:rPr>
              <w:t>31,390.26</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38</w:t>
            </w:r>
          </w:p>
        </w:tc>
        <w:tc>
          <w:tcPr>
            <w:tcW w:w="1276" w:type="dxa"/>
            <w:vAlign w:val="center"/>
          </w:tcPr>
          <w:p>
            <w:pPr>
              <w:jc w:val="center"/>
            </w:pPr>
            <w:r>
              <w:rPr>
                <w:color w:val="000000"/>
                <w:sz w:val="24"/>
              </w:rPr>
              <w:t>300927</w:t>
            </w:r>
          </w:p>
        </w:tc>
        <w:tc>
          <w:tcPr>
            <w:tcW w:w="1701" w:type="dxa"/>
            <w:vAlign w:val="center"/>
          </w:tcPr>
          <w:p>
            <w:pPr>
              <w:jc w:val="center"/>
            </w:pPr>
            <w:r>
              <w:rPr>
                <w:color w:val="000000"/>
                <w:sz w:val="24"/>
              </w:rPr>
              <w:t>江天化学</w:t>
            </w:r>
          </w:p>
        </w:tc>
        <w:tc>
          <w:tcPr>
            <w:tcW w:w="1559" w:type="dxa"/>
            <w:vAlign w:val="center"/>
          </w:tcPr>
          <w:p>
            <w:pPr>
              <w:jc w:val="right"/>
            </w:pPr>
            <w:r>
              <w:rPr>
                <w:color w:val="000000"/>
                <w:sz w:val="24"/>
              </w:rPr>
              <w:t>2,163</w:t>
            </w:r>
          </w:p>
        </w:tc>
        <w:tc>
          <w:tcPr>
            <w:tcW w:w="1932" w:type="dxa"/>
            <w:vAlign w:val="center"/>
          </w:tcPr>
          <w:p>
            <w:pPr>
              <w:jc w:val="right"/>
            </w:pPr>
            <w:r>
              <w:rPr>
                <w:color w:val="000000"/>
                <w:sz w:val="24"/>
              </w:rPr>
              <w:t>28,962.57</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39</w:t>
            </w:r>
          </w:p>
        </w:tc>
        <w:tc>
          <w:tcPr>
            <w:tcW w:w="1276" w:type="dxa"/>
            <w:vAlign w:val="center"/>
          </w:tcPr>
          <w:p>
            <w:pPr>
              <w:jc w:val="center"/>
            </w:pPr>
            <w:r>
              <w:rPr>
                <w:color w:val="000000"/>
                <w:sz w:val="24"/>
              </w:rPr>
              <w:t>003026</w:t>
            </w:r>
          </w:p>
        </w:tc>
        <w:tc>
          <w:tcPr>
            <w:tcW w:w="1701" w:type="dxa"/>
            <w:vAlign w:val="center"/>
          </w:tcPr>
          <w:p>
            <w:pPr>
              <w:jc w:val="center"/>
            </w:pPr>
            <w:r>
              <w:rPr>
                <w:color w:val="000000"/>
                <w:sz w:val="24"/>
              </w:rPr>
              <w:t>中晶科技</w:t>
            </w:r>
          </w:p>
        </w:tc>
        <w:tc>
          <w:tcPr>
            <w:tcW w:w="1559" w:type="dxa"/>
            <w:vAlign w:val="center"/>
          </w:tcPr>
          <w:p>
            <w:pPr>
              <w:jc w:val="right"/>
            </w:pPr>
            <w:r>
              <w:rPr>
                <w:color w:val="000000"/>
                <w:sz w:val="24"/>
              </w:rPr>
              <w:t>461</w:t>
            </w:r>
          </w:p>
        </w:tc>
        <w:tc>
          <w:tcPr>
            <w:tcW w:w="1932" w:type="dxa"/>
            <w:vAlign w:val="center"/>
          </w:tcPr>
          <w:p>
            <w:pPr>
              <w:jc w:val="right"/>
            </w:pPr>
            <w:r>
              <w:rPr>
                <w:color w:val="000000"/>
                <w:sz w:val="24"/>
              </w:rPr>
              <w:t>21,740.76</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40</w:t>
            </w:r>
          </w:p>
        </w:tc>
        <w:tc>
          <w:tcPr>
            <w:tcW w:w="1276" w:type="dxa"/>
            <w:vAlign w:val="center"/>
          </w:tcPr>
          <w:p>
            <w:pPr>
              <w:jc w:val="center"/>
            </w:pPr>
            <w:r>
              <w:rPr>
                <w:color w:val="000000"/>
                <w:sz w:val="24"/>
              </w:rPr>
              <w:t>300872</w:t>
            </w:r>
          </w:p>
        </w:tc>
        <w:tc>
          <w:tcPr>
            <w:tcW w:w="1701" w:type="dxa"/>
            <w:vAlign w:val="center"/>
          </w:tcPr>
          <w:p>
            <w:pPr>
              <w:jc w:val="center"/>
            </w:pPr>
            <w:r>
              <w:rPr>
                <w:color w:val="000000"/>
                <w:sz w:val="24"/>
              </w:rPr>
              <w:t>天阳科技</w:t>
            </w:r>
          </w:p>
        </w:tc>
        <w:tc>
          <w:tcPr>
            <w:tcW w:w="1559" w:type="dxa"/>
            <w:vAlign w:val="center"/>
          </w:tcPr>
          <w:p>
            <w:pPr>
              <w:jc w:val="right"/>
            </w:pPr>
            <w:r>
              <w:rPr>
                <w:color w:val="000000"/>
                <w:sz w:val="24"/>
              </w:rPr>
              <w:t>556</w:t>
            </w:r>
          </w:p>
        </w:tc>
        <w:tc>
          <w:tcPr>
            <w:tcW w:w="1932" w:type="dxa"/>
            <w:vAlign w:val="center"/>
          </w:tcPr>
          <w:p>
            <w:pPr>
              <w:jc w:val="right"/>
            </w:pPr>
            <w:r>
              <w:rPr>
                <w:color w:val="000000"/>
                <w:sz w:val="24"/>
              </w:rPr>
              <w:t>21,039.04</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41</w:t>
            </w:r>
          </w:p>
        </w:tc>
        <w:tc>
          <w:tcPr>
            <w:tcW w:w="1276" w:type="dxa"/>
            <w:vAlign w:val="center"/>
          </w:tcPr>
          <w:p>
            <w:pPr>
              <w:jc w:val="center"/>
            </w:pPr>
            <w:r>
              <w:rPr>
                <w:color w:val="000000"/>
                <w:sz w:val="24"/>
              </w:rPr>
              <w:t>300877</w:t>
            </w:r>
          </w:p>
        </w:tc>
        <w:tc>
          <w:tcPr>
            <w:tcW w:w="1701" w:type="dxa"/>
            <w:vAlign w:val="center"/>
          </w:tcPr>
          <w:p>
            <w:pPr>
              <w:jc w:val="center"/>
            </w:pPr>
            <w:r>
              <w:rPr>
                <w:color w:val="000000"/>
                <w:sz w:val="24"/>
              </w:rPr>
              <w:t>金春股份</w:t>
            </w:r>
          </w:p>
        </w:tc>
        <w:tc>
          <w:tcPr>
            <w:tcW w:w="1559" w:type="dxa"/>
            <w:vAlign w:val="center"/>
          </w:tcPr>
          <w:p>
            <w:pPr>
              <w:jc w:val="right"/>
            </w:pPr>
            <w:r>
              <w:rPr>
                <w:color w:val="000000"/>
                <w:sz w:val="24"/>
              </w:rPr>
              <w:t>404</w:t>
            </w:r>
          </w:p>
        </w:tc>
        <w:tc>
          <w:tcPr>
            <w:tcW w:w="1932" w:type="dxa"/>
            <w:vAlign w:val="center"/>
          </w:tcPr>
          <w:p>
            <w:pPr>
              <w:jc w:val="right"/>
            </w:pPr>
            <w:r>
              <w:rPr>
                <w:color w:val="000000"/>
                <w:sz w:val="24"/>
              </w:rPr>
              <w:t>20,543.40</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42</w:t>
            </w:r>
          </w:p>
        </w:tc>
        <w:tc>
          <w:tcPr>
            <w:tcW w:w="1276" w:type="dxa"/>
            <w:vAlign w:val="center"/>
          </w:tcPr>
          <w:p>
            <w:pPr>
              <w:jc w:val="center"/>
            </w:pPr>
            <w:r>
              <w:rPr>
                <w:color w:val="000000"/>
                <w:sz w:val="24"/>
              </w:rPr>
              <w:t>300891</w:t>
            </w:r>
          </w:p>
        </w:tc>
        <w:tc>
          <w:tcPr>
            <w:tcW w:w="1701" w:type="dxa"/>
            <w:vAlign w:val="center"/>
          </w:tcPr>
          <w:p>
            <w:pPr>
              <w:jc w:val="center"/>
            </w:pPr>
            <w:r>
              <w:rPr>
                <w:color w:val="000000"/>
                <w:sz w:val="24"/>
              </w:rPr>
              <w:t>惠云钛业</w:t>
            </w:r>
          </w:p>
        </w:tc>
        <w:tc>
          <w:tcPr>
            <w:tcW w:w="1559" w:type="dxa"/>
            <w:vAlign w:val="center"/>
          </w:tcPr>
          <w:p>
            <w:pPr>
              <w:jc w:val="right"/>
            </w:pPr>
            <w:r>
              <w:rPr>
                <w:color w:val="000000"/>
                <w:sz w:val="24"/>
              </w:rPr>
              <w:t>1,143</w:t>
            </w:r>
          </w:p>
        </w:tc>
        <w:tc>
          <w:tcPr>
            <w:tcW w:w="1932" w:type="dxa"/>
            <w:vAlign w:val="center"/>
          </w:tcPr>
          <w:p>
            <w:pPr>
              <w:jc w:val="right"/>
            </w:pPr>
            <w:r>
              <w:rPr>
                <w:color w:val="000000"/>
                <w:sz w:val="24"/>
              </w:rPr>
              <w:t>18,745.20</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43</w:t>
            </w:r>
          </w:p>
        </w:tc>
        <w:tc>
          <w:tcPr>
            <w:tcW w:w="1276" w:type="dxa"/>
            <w:vAlign w:val="center"/>
          </w:tcPr>
          <w:p>
            <w:pPr>
              <w:jc w:val="center"/>
            </w:pPr>
            <w:r>
              <w:rPr>
                <w:color w:val="000000"/>
                <w:sz w:val="24"/>
              </w:rPr>
              <w:t>003029</w:t>
            </w:r>
          </w:p>
        </w:tc>
        <w:tc>
          <w:tcPr>
            <w:tcW w:w="1701" w:type="dxa"/>
            <w:vAlign w:val="center"/>
          </w:tcPr>
          <w:p>
            <w:pPr>
              <w:jc w:val="center"/>
            </w:pPr>
            <w:r>
              <w:rPr>
                <w:color w:val="000000"/>
                <w:sz w:val="24"/>
              </w:rPr>
              <w:t>吉大正元</w:t>
            </w:r>
          </w:p>
        </w:tc>
        <w:tc>
          <w:tcPr>
            <w:tcW w:w="1559" w:type="dxa"/>
            <w:vAlign w:val="center"/>
          </w:tcPr>
          <w:p>
            <w:pPr>
              <w:jc w:val="right"/>
            </w:pPr>
            <w:r>
              <w:rPr>
                <w:color w:val="000000"/>
                <w:sz w:val="24"/>
              </w:rPr>
              <w:t>716</w:t>
            </w:r>
          </w:p>
        </w:tc>
        <w:tc>
          <w:tcPr>
            <w:tcW w:w="1932" w:type="dxa"/>
            <w:vAlign w:val="center"/>
          </w:tcPr>
          <w:p>
            <w:pPr>
              <w:jc w:val="right"/>
            </w:pPr>
            <w:r>
              <w:rPr>
                <w:color w:val="000000"/>
                <w:sz w:val="24"/>
              </w:rPr>
              <w:t>18,716.24</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44</w:t>
            </w:r>
          </w:p>
        </w:tc>
        <w:tc>
          <w:tcPr>
            <w:tcW w:w="1276" w:type="dxa"/>
            <w:vAlign w:val="center"/>
          </w:tcPr>
          <w:p>
            <w:pPr>
              <w:jc w:val="center"/>
            </w:pPr>
            <w:r>
              <w:rPr>
                <w:color w:val="000000"/>
                <w:sz w:val="24"/>
              </w:rPr>
              <w:t>300861</w:t>
            </w:r>
          </w:p>
        </w:tc>
        <w:tc>
          <w:tcPr>
            <w:tcW w:w="1701" w:type="dxa"/>
            <w:vAlign w:val="center"/>
          </w:tcPr>
          <w:p>
            <w:pPr>
              <w:jc w:val="center"/>
            </w:pPr>
            <w:r>
              <w:rPr>
                <w:color w:val="000000"/>
                <w:sz w:val="24"/>
              </w:rPr>
              <w:t>美畅股份</w:t>
            </w:r>
          </w:p>
        </w:tc>
        <w:tc>
          <w:tcPr>
            <w:tcW w:w="1559" w:type="dxa"/>
            <w:vAlign w:val="center"/>
          </w:tcPr>
          <w:p>
            <w:pPr>
              <w:jc w:val="right"/>
            </w:pPr>
            <w:r>
              <w:rPr>
                <w:color w:val="000000"/>
                <w:sz w:val="24"/>
              </w:rPr>
              <w:t>358</w:t>
            </w:r>
          </w:p>
        </w:tc>
        <w:tc>
          <w:tcPr>
            <w:tcW w:w="1932" w:type="dxa"/>
            <w:vAlign w:val="center"/>
          </w:tcPr>
          <w:p>
            <w:pPr>
              <w:jc w:val="right"/>
            </w:pPr>
            <w:r>
              <w:rPr>
                <w:color w:val="000000"/>
                <w:sz w:val="24"/>
              </w:rPr>
              <w:t>18,293.80</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45</w:t>
            </w:r>
          </w:p>
        </w:tc>
        <w:tc>
          <w:tcPr>
            <w:tcW w:w="1276" w:type="dxa"/>
            <w:vAlign w:val="center"/>
          </w:tcPr>
          <w:p>
            <w:pPr>
              <w:jc w:val="center"/>
            </w:pPr>
            <w:r>
              <w:rPr>
                <w:color w:val="000000"/>
                <w:sz w:val="24"/>
              </w:rPr>
              <w:t>300900</w:t>
            </w:r>
          </w:p>
        </w:tc>
        <w:tc>
          <w:tcPr>
            <w:tcW w:w="1701" w:type="dxa"/>
            <w:vAlign w:val="center"/>
          </w:tcPr>
          <w:p>
            <w:pPr>
              <w:jc w:val="center"/>
            </w:pPr>
            <w:r>
              <w:rPr>
                <w:color w:val="000000"/>
                <w:sz w:val="24"/>
              </w:rPr>
              <w:t>广联航空</w:t>
            </w:r>
          </w:p>
        </w:tc>
        <w:tc>
          <w:tcPr>
            <w:tcW w:w="1559" w:type="dxa"/>
            <w:vAlign w:val="center"/>
          </w:tcPr>
          <w:p>
            <w:pPr>
              <w:jc w:val="right"/>
            </w:pPr>
            <w:r>
              <w:rPr>
                <w:color w:val="000000"/>
                <w:sz w:val="24"/>
              </w:rPr>
              <w:t>551</w:t>
            </w:r>
          </w:p>
        </w:tc>
        <w:tc>
          <w:tcPr>
            <w:tcW w:w="1932" w:type="dxa"/>
            <w:vAlign w:val="center"/>
          </w:tcPr>
          <w:p>
            <w:pPr>
              <w:jc w:val="right"/>
            </w:pPr>
            <w:r>
              <w:rPr>
                <w:color w:val="000000"/>
                <w:sz w:val="24"/>
              </w:rPr>
              <w:t>18,271.16</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46</w:t>
            </w:r>
          </w:p>
        </w:tc>
        <w:tc>
          <w:tcPr>
            <w:tcW w:w="1276" w:type="dxa"/>
            <w:vAlign w:val="center"/>
          </w:tcPr>
          <w:p>
            <w:pPr>
              <w:jc w:val="center"/>
            </w:pPr>
            <w:r>
              <w:rPr>
                <w:color w:val="000000"/>
                <w:sz w:val="24"/>
              </w:rPr>
              <w:t>003028</w:t>
            </w:r>
          </w:p>
        </w:tc>
        <w:tc>
          <w:tcPr>
            <w:tcW w:w="1701" w:type="dxa"/>
            <w:vAlign w:val="center"/>
          </w:tcPr>
          <w:p>
            <w:pPr>
              <w:jc w:val="center"/>
            </w:pPr>
            <w:r>
              <w:rPr>
                <w:color w:val="000000"/>
                <w:sz w:val="24"/>
              </w:rPr>
              <w:t>振邦智能</w:t>
            </w:r>
          </w:p>
        </w:tc>
        <w:tc>
          <w:tcPr>
            <w:tcW w:w="1559" w:type="dxa"/>
            <w:vAlign w:val="center"/>
          </w:tcPr>
          <w:p>
            <w:pPr>
              <w:jc w:val="right"/>
            </w:pPr>
            <w:r>
              <w:rPr>
                <w:color w:val="000000"/>
                <w:sz w:val="24"/>
              </w:rPr>
              <w:t>432</w:t>
            </w:r>
          </w:p>
        </w:tc>
        <w:tc>
          <w:tcPr>
            <w:tcW w:w="1932" w:type="dxa"/>
            <w:vAlign w:val="center"/>
          </w:tcPr>
          <w:p>
            <w:pPr>
              <w:jc w:val="right"/>
            </w:pPr>
            <w:r>
              <w:rPr>
                <w:color w:val="000000"/>
                <w:sz w:val="24"/>
              </w:rPr>
              <w:t>18,010.08</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47</w:t>
            </w:r>
          </w:p>
        </w:tc>
        <w:tc>
          <w:tcPr>
            <w:tcW w:w="1276" w:type="dxa"/>
            <w:vAlign w:val="center"/>
          </w:tcPr>
          <w:p>
            <w:pPr>
              <w:jc w:val="center"/>
            </w:pPr>
            <w:r>
              <w:rPr>
                <w:color w:val="000000"/>
                <w:sz w:val="24"/>
              </w:rPr>
              <w:t>605179</w:t>
            </w:r>
          </w:p>
        </w:tc>
        <w:tc>
          <w:tcPr>
            <w:tcW w:w="1701" w:type="dxa"/>
            <w:vAlign w:val="center"/>
          </w:tcPr>
          <w:p>
            <w:pPr>
              <w:jc w:val="center"/>
            </w:pPr>
            <w:r>
              <w:rPr>
                <w:color w:val="000000"/>
                <w:sz w:val="24"/>
              </w:rPr>
              <w:t>一鸣食品</w:t>
            </w:r>
          </w:p>
        </w:tc>
        <w:tc>
          <w:tcPr>
            <w:tcW w:w="1559" w:type="dxa"/>
            <w:vAlign w:val="center"/>
          </w:tcPr>
          <w:p>
            <w:pPr>
              <w:jc w:val="right"/>
            </w:pPr>
            <w:r>
              <w:rPr>
                <w:color w:val="000000"/>
                <w:sz w:val="24"/>
              </w:rPr>
              <w:t>939</w:t>
            </w:r>
          </w:p>
        </w:tc>
        <w:tc>
          <w:tcPr>
            <w:tcW w:w="1932" w:type="dxa"/>
            <w:vAlign w:val="center"/>
          </w:tcPr>
          <w:p>
            <w:pPr>
              <w:jc w:val="right"/>
            </w:pPr>
            <w:r>
              <w:rPr>
                <w:color w:val="000000"/>
                <w:sz w:val="24"/>
              </w:rPr>
              <w:t>16,582.74</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48</w:t>
            </w:r>
          </w:p>
        </w:tc>
        <w:tc>
          <w:tcPr>
            <w:tcW w:w="1276" w:type="dxa"/>
            <w:vAlign w:val="center"/>
          </w:tcPr>
          <w:p>
            <w:pPr>
              <w:jc w:val="center"/>
            </w:pPr>
            <w:r>
              <w:rPr>
                <w:color w:val="000000"/>
                <w:sz w:val="24"/>
              </w:rPr>
              <w:t>300860</w:t>
            </w:r>
          </w:p>
        </w:tc>
        <w:tc>
          <w:tcPr>
            <w:tcW w:w="1701" w:type="dxa"/>
            <w:vAlign w:val="center"/>
          </w:tcPr>
          <w:p>
            <w:pPr>
              <w:jc w:val="center"/>
            </w:pPr>
            <w:r>
              <w:rPr>
                <w:color w:val="000000"/>
                <w:sz w:val="24"/>
              </w:rPr>
              <w:t>锋尚文化</w:t>
            </w:r>
          </w:p>
        </w:tc>
        <w:tc>
          <w:tcPr>
            <w:tcW w:w="1559" w:type="dxa"/>
            <w:vAlign w:val="center"/>
          </w:tcPr>
          <w:p>
            <w:pPr>
              <w:jc w:val="right"/>
            </w:pPr>
            <w:r>
              <w:rPr>
                <w:color w:val="000000"/>
                <w:sz w:val="24"/>
              </w:rPr>
              <w:t>121</w:t>
            </w:r>
          </w:p>
        </w:tc>
        <w:tc>
          <w:tcPr>
            <w:tcW w:w="1932" w:type="dxa"/>
            <w:vAlign w:val="center"/>
          </w:tcPr>
          <w:p>
            <w:pPr>
              <w:jc w:val="right"/>
            </w:pPr>
            <w:r>
              <w:rPr>
                <w:color w:val="000000"/>
                <w:sz w:val="24"/>
              </w:rPr>
              <w:t>15,327.07</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49</w:t>
            </w:r>
          </w:p>
        </w:tc>
        <w:tc>
          <w:tcPr>
            <w:tcW w:w="1276" w:type="dxa"/>
            <w:vAlign w:val="center"/>
          </w:tcPr>
          <w:p>
            <w:pPr>
              <w:jc w:val="center"/>
            </w:pPr>
            <w:r>
              <w:rPr>
                <w:color w:val="000000"/>
                <w:sz w:val="24"/>
              </w:rPr>
              <w:t>300878</w:t>
            </w:r>
          </w:p>
        </w:tc>
        <w:tc>
          <w:tcPr>
            <w:tcW w:w="1701" w:type="dxa"/>
            <w:vAlign w:val="center"/>
          </w:tcPr>
          <w:p>
            <w:pPr>
              <w:jc w:val="center"/>
            </w:pPr>
            <w:r>
              <w:rPr>
                <w:color w:val="000000"/>
                <w:sz w:val="24"/>
              </w:rPr>
              <w:t>维康药业</w:t>
            </w:r>
          </w:p>
        </w:tc>
        <w:tc>
          <w:tcPr>
            <w:tcW w:w="1559" w:type="dxa"/>
            <w:vAlign w:val="center"/>
          </w:tcPr>
          <w:p>
            <w:pPr>
              <w:jc w:val="right"/>
            </w:pPr>
            <w:r>
              <w:rPr>
                <w:color w:val="000000"/>
                <w:sz w:val="24"/>
              </w:rPr>
              <w:t>298</w:t>
            </w:r>
          </w:p>
        </w:tc>
        <w:tc>
          <w:tcPr>
            <w:tcW w:w="1932" w:type="dxa"/>
            <w:vAlign w:val="center"/>
          </w:tcPr>
          <w:p>
            <w:pPr>
              <w:jc w:val="right"/>
            </w:pPr>
            <w:r>
              <w:rPr>
                <w:color w:val="000000"/>
                <w:sz w:val="24"/>
              </w:rPr>
              <w:t>14,518.56</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50</w:t>
            </w:r>
          </w:p>
        </w:tc>
        <w:tc>
          <w:tcPr>
            <w:tcW w:w="1276" w:type="dxa"/>
            <w:vAlign w:val="center"/>
          </w:tcPr>
          <w:p>
            <w:pPr>
              <w:jc w:val="center"/>
            </w:pPr>
            <w:r>
              <w:rPr>
                <w:color w:val="000000"/>
                <w:sz w:val="24"/>
              </w:rPr>
              <w:t>300909</w:t>
            </w:r>
          </w:p>
        </w:tc>
        <w:tc>
          <w:tcPr>
            <w:tcW w:w="1701" w:type="dxa"/>
            <w:vAlign w:val="center"/>
          </w:tcPr>
          <w:p>
            <w:pPr>
              <w:jc w:val="center"/>
            </w:pPr>
            <w:r>
              <w:rPr>
                <w:color w:val="000000"/>
                <w:sz w:val="24"/>
              </w:rPr>
              <w:t>汇创达</w:t>
            </w:r>
          </w:p>
        </w:tc>
        <w:tc>
          <w:tcPr>
            <w:tcW w:w="1559" w:type="dxa"/>
            <w:vAlign w:val="center"/>
          </w:tcPr>
          <w:p>
            <w:pPr>
              <w:jc w:val="right"/>
            </w:pPr>
            <w:r>
              <w:rPr>
                <w:color w:val="000000"/>
                <w:sz w:val="24"/>
              </w:rPr>
              <w:t>352</w:t>
            </w:r>
          </w:p>
        </w:tc>
        <w:tc>
          <w:tcPr>
            <w:tcW w:w="1932" w:type="dxa"/>
            <w:vAlign w:val="center"/>
          </w:tcPr>
          <w:p>
            <w:pPr>
              <w:jc w:val="right"/>
            </w:pPr>
            <w:r>
              <w:rPr>
                <w:color w:val="000000"/>
                <w:sz w:val="24"/>
              </w:rPr>
              <w:t>14,315.84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51</w:t>
            </w:r>
          </w:p>
        </w:tc>
        <w:tc>
          <w:tcPr>
            <w:tcW w:w="1276" w:type="dxa"/>
            <w:vAlign w:val="center"/>
          </w:tcPr>
          <w:p>
            <w:pPr>
              <w:jc w:val="center"/>
            </w:pPr>
            <w:r>
              <w:rPr>
                <w:color w:val="000000"/>
                <w:sz w:val="24"/>
              </w:rPr>
              <w:t>300890</w:t>
            </w:r>
          </w:p>
        </w:tc>
        <w:tc>
          <w:tcPr>
            <w:tcW w:w="1701" w:type="dxa"/>
            <w:vAlign w:val="center"/>
          </w:tcPr>
          <w:p>
            <w:pPr>
              <w:jc w:val="center"/>
            </w:pPr>
            <w:r>
              <w:rPr>
                <w:color w:val="000000"/>
                <w:sz w:val="24"/>
              </w:rPr>
              <w:t>翔丰华</w:t>
            </w:r>
          </w:p>
        </w:tc>
        <w:tc>
          <w:tcPr>
            <w:tcW w:w="1559" w:type="dxa"/>
            <w:vAlign w:val="center"/>
          </w:tcPr>
          <w:p>
            <w:pPr>
              <w:jc w:val="right"/>
            </w:pPr>
            <w:r>
              <w:rPr>
                <w:color w:val="000000"/>
                <w:sz w:val="24"/>
              </w:rPr>
              <w:t>286</w:t>
            </w:r>
          </w:p>
        </w:tc>
        <w:tc>
          <w:tcPr>
            <w:tcW w:w="1932" w:type="dxa"/>
            <w:vAlign w:val="center"/>
          </w:tcPr>
          <w:p>
            <w:pPr>
              <w:jc w:val="right"/>
            </w:pPr>
            <w:r>
              <w:rPr>
                <w:color w:val="000000"/>
                <w:sz w:val="24"/>
              </w:rPr>
              <w:t>13,971.10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52</w:t>
            </w:r>
          </w:p>
        </w:tc>
        <w:tc>
          <w:tcPr>
            <w:tcW w:w="1276" w:type="dxa"/>
            <w:vAlign w:val="center"/>
          </w:tcPr>
          <w:p>
            <w:pPr>
              <w:jc w:val="center"/>
            </w:pPr>
            <w:r>
              <w:rPr>
                <w:color w:val="000000"/>
                <w:sz w:val="24"/>
              </w:rPr>
              <w:t>300892</w:t>
            </w:r>
          </w:p>
        </w:tc>
        <w:tc>
          <w:tcPr>
            <w:tcW w:w="1701" w:type="dxa"/>
            <w:vAlign w:val="center"/>
          </w:tcPr>
          <w:p>
            <w:pPr>
              <w:jc w:val="center"/>
            </w:pPr>
            <w:r>
              <w:rPr>
                <w:color w:val="000000"/>
                <w:sz w:val="24"/>
              </w:rPr>
              <w:t>品渥食品</w:t>
            </w:r>
          </w:p>
        </w:tc>
        <w:tc>
          <w:tcPr>
            <w:tcW w:w="1559" w:type="dxa"/>
            <w:vAlign w:val="center"/>
          </w:tcPr>
          <w:p>
            <w:pPr>
              <w:jc w:val="right"/>
            </w:pPr>
            <w:r>
              <w:rPr>
                <w:color w:val="000000"/>
                <w:sz w:val="24"/>
              </w:rPr>
              <w:t>227</w:t>
            </w:r>
          </w:p>
        </w:tc>
        <w:tc>
          <w:tcPr>
            <w:tcW w:w="1932" w:type="dxa"/>
            <w:vAlign w:val="center"/>
          </w:tcPr>
          <w:p>
            <w:pPr>
              <w:jc w:val="right"/>
            </w:pPr>
            <w:r>
              <w:rPr>
                <w:color w:val="000000"/>
                <w:sz w:val="24"/>
              </w:rPr>
              <w:t>13,622.27</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53</w:t>
            </w:r>
          </w:p>
        </w:tc>
        <w:tc>
          <w:tcPr>
            <w:tcW w:w="1276" w:type="dxa"/>
            <w:vAlign w:val="center"/>
          </w:tcPr>
          <w:p>
            <w:pPr>
              <w:jc w:val="center"/>
            </w:pPr>
            <w:r>
              <w:rPr>
                <w:color w:val="000000"/>
                <w:sz w:val="24"/>
              </w:rPr>
              <w:t>300868</w:t>
            </w:r>
          </w:p>
        </w:tc>
        <w:tc>
          <w:tcPr>
            <w:tcW w:w="1701" w:type="dxa"/>
            <w:vAlign w:val="center"/>
          </w:tcPr>
          <w:p>
            <w:pPr>
              <w:jc w:val="center"/>
            </w:pPr>
            <w:r>
              <w:rPr>
                <w:color w:val="000000"/>
                <w:sz w:val="24"/>
              </w:rPr>
              <w:t>杰美特</w:t>
            </w:r>
          </w:p>
        </w:tc>
        <w:tc>
          <w:tcPr>
            <w:tcW w:w="1559" w:type="dxa"/>
            <w:vAlign w:val="center"/>
          </w:tcPr>
          <w:p>
            <w:pPr>
              <w:jc w:val="right"/>
            </w:pPr>
            <w:r>
              <w:rPr>
                <w:color w:val="000000"/>
                <w:sz w:val="24"/>
              </w:rPr>
              <w:t>307</w:t>
            </w:r>
          </w:p>
        </w:tc>
        <w:tc>
          <w:tcPr>
            <w:tcW w:w="1932" w:type="dxa"/>
            <w:vAlign w:val="center"/>
          </w:tcPr>
          <w:p>
            <w:pPr>
              <w:jc w:val="right"/>
            </w:pPr>
            <w:r>
              <w:rPr>
                <w:color w:val="000000"/>
                <w:sz w:val="24"/>
              </w:rPr>
              <w:t>13,286.96</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54</w:t>
            </w:r>
          </w:p>
        </w:tc>
        <w:tc>
          <w:tcPr>
            <w:tcW w:w="1276" w:type="dxa"/>
            <w:vAlign w:val="center"/>
          </w:tcPr>
          <w:p>
            <w:pPr>
              <w:jc w:val="center"/>
            </w:pPr>
            <w:r>
              <w:rPr>
                <w:color w:val="000000"/>
                <w:sz w:val="24"/>
              </w:rPr>
              <w:t>300925</w:t>
            </w:r>
          </w:p>
        </w:tc>
        <w:tc>
          <w:tcPr>
            <w:tcW w:w="1701" w:type="dxa"/>
            <w:vAlign w:val="center"/>
          </w:tcPr>
          <w:p>
            <w:pPr>
              <w:jc w:val="center"/>
            </w:pPr>
            <w:r>
              <w:rPr>
                <w:color w:val="000000"/>
                <w:sz w:val="24"/>
              </w:rPr>
              <w:t>法本信息</w:t>
            </w:r>
          </w:p>
        </w:tc>
        <w:tc>
          <w:tcPr>
            <w:tcW w:w="1559" w:type="dxa"/>
            <w:vAlign w:val="center"/>
          </w:tcPr>
          <w:p>
            <w:pPr>
              <w:jc w:val="right"/>
            </w:pPr>
            <w:r>
              <w:rPr>
                <w:color w:val="000000"/>
                <w:sz w:val="24"/>
              </w:rPr>
              <w:t>353</w:t>
            </w:r>
          </w:p>
        </w:tc>
        <w:tc>
          <w:tcPr>
            <w:tcW w:w="1932" w:type="dxa"/>
            <w:vAlign w:val="center"/>
          </w:tcPr>
          <w:p>
            <w:pPr>
              <w:jc w:val="right"/>
            </w:pPr>
            <w:r>
              <w:rPr>
                <w:color w:val="000000"/>
                <w:sz w:val="24"/>
              </w:rPr>
              <w:t>13,177.49</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55</w:t>
            </w:r>
          </w:p>
        </w:tc>
        <w:tc>
          <w:tcPr>
            <w:tcW w:w="1276" w:type="dxa"/>
            <w:vAlign w:val="center"/>
          </w:tcPr>
          <w:p>
            <w:pPr>
              <w:jc w:val="center"/>
            </w:pPr>
            <w:r>
              <w:rPr>
                <w:color w:val="000000"/>
                <w:sz w:val="24"/>
              </w:rPr>
              <w:t>300873</w:t>
            </w:r>
          </w:p>
        </w:tc>
        <w:tc>
          <w:tcPr>
            <w:tcW w:w="1701" w:type="dxa"/>
            <w:vAlign w:val="center"/>
          </w:tcPr>
          <w:p>
            <w:pPr>
              <w:jc w:val="center"/>
            </w:pPr>
            <w:r>
              <w:rPr>
                <w:color w:val="000000"/>
                <w:sz w:val="24"/>
              </w:rPr>
              <w:t>海晨股份</w:t>
            </w:r>
          </w:p>
        </w:tc>
        <w:tc>
          <w:tcPr>
            <w:tcW w:w="1559" w:type="dxa"/>
            <w:vAlign w:val="center"/>
          </w:tcPr>
          <w:p>
            <w:pPr>
              <w:jc w:val="right"/>
            </w:pPr>
            <w:r>
              <w:rPr>
                <w:color w:val="000000"/>
                <w:sz w:val="24"/>
              </w:rPr>
              <w:t>312</w:t>
            </w:r>
          </w:p>
        </w:tc>
        <w:tc>
          <w:tcPr>
            <w:tcW w:w="1932" w:type="dxa"/>
            <w:vAlign w:val="center"/>
          </w:tcPr>
          <w:p>
            <w:pPr>
              <w:jc w:val="right"/>
            </w:pPr>
            <w:r>
              <w:rPr>
                <w:color w:val="000000"/>
                <w:sz w:val="24"/>
              </w:rPr>
              <w:t>12,891.84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56</w:t>
            </w:r>
          </w:p>
        </w:tc>
        <w:tc>
          <w:tcPr>
            <w:tcW w:w="1276" w:type="dxa"/>
            <w:vAlign w:val="center"/>
          </w:tcPr>
          <w:p>
            <w:pPr>
              <w:jc w:val="center"/>
            </w:pPr>
            <w:r>
              <w:rPr>
                <w:color w:val="000000"/>
                <w:sz w:val="24"/>
              </w:rPr>
              <w:t>300895</w:t>
            </w:r>
          </w:p>
        </w:tc>
        <w:tc>
          <w:tcPr>
            <w:tcW w:w="1701" w:type="dxa"/>
            <w:vAlign w:val="center"/>
          </w:tcPr>
          <w:p>
            <w:pPr>
              <w:jc w:val="center"/>
            </w:pPr>
            <w:r>
              <w:rPr>
                <w:color w:val="000000"/>
                <w:sz w:val="24"/>
              </w:rPr>
              <w:t>铜牛信息</w:t>
            </w:r>
          </w:p>
        </w:tc>
        <w:tc>
          <w:tcPr>
            <w:tcW w:w="1559" w:type="dxa"/>
            <w:vAlign w:val="center"/>
          </w:tcPr>
          <w:p>
            <w:pPr>
              <w:jc w:val="right"/>
            </w:pPr>
            <w:r>
              <w:rPr>
                <w:color w:val="000000"/>
                <w:sz w:val="24"/>
              </w:rPr>
              <w:t>283</w:t>
            </w:r>
          </w:p>
        </w:tc>
        <w:tc>
          <w:tcPr>
            <w:tcW w:w="1932" w:type="dxa"/>
            <w:vAlign w:val="center"/>
          </w:tcPr>
          <w:p>
            <w:pPr>
              <w:jc w:val="right"/>
            </w:pPr>
            <w:r>
              <w:rPr>
                <w:color w:val="000000"/>
                <w:sz w:val="24"/>
              </w:rPr>
              <w:t>12,819.90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57</w:t>
            </w:r>
          </w:p>
        </w:tc>
        <w:tc>
          <w:tcPr>
            <w:tcW w:w="1276" w:type="dxa"/>
            <w:vAlign w:val="center"/>
          </w:tcPr>
          <w:p>
            <w:pPr>
              <w:jc w:val="center"/>
            </w:pPr>
            <w:r>
              <w:rPr>
                <w:color w:val="000000"/>
                <w:sz w:val="24"/>
              </w:rPr>
              <w:t>300876</w:t>
            </w:r>
          </w:p>
        </w:tc>
        <w:tc>
          <w:tcPr>
            <w:tcW w:w="1701" w:type="dxa"/>
            <w:vAlign w:val="center"/>
          </w:tcPr>
          <w:p>
            <w:pPr>
              <w:jc w:val="center"/>
            </w:pPr>
            <w:r>
              <w:rPr>
                <w:color w:val="000000"/>
                <w:sz w:val="24"/>
              </w:rPr>
              <w:t>蒙泰高新</w:t>
            </w:r>
          </w:p>
        </w:tc>
        <w:tc>
          <w:tcPr>
            <w:tcW w:w="1559" w:type="dxa"/>
            <w:vAlign w:val="center"/>
          </w:tcPr>
          <w:p>
            <w:pPr>
              <w:jc w:val="right"/>
            </w:pPr>
            <w:r>
              <w:rPr>
                <w:color w:val="000000"/>
                <w:sz w:val="24"/>
              </w:rPr>
              <w:t>350</w:t>
            </w:r>
          </w:p>
        </w:tc>
        <w:tc>
          <w:tcPr>
            <w:tcW w:w="1932" w:type="dxa"/>
            <w:vAlign w:val="center"/>
          </w:tcPr>
          <w:p>
            <w:pPr>
              <w:jc w:val="right"/>
            </w:pPr>
            <w:r>
              <w:rPr>
                <w:color w:val="000000"/>
                <w:sz w:val="24"/>
              </w:rPr>
              <w:t>12,817.00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58</w:t>
            </w:r>
          </w:p>
        </w:tc>
        <w:tc>
          <w:tcPr>
            <w:tcW w:w="1276" w:type="dxa"/>
            <w:vAlign w:val="center"/>
          </w:tcPr>
          <w:p>
            <w:pPr>
              <w:jc w:val="center"/>
            </w:pPr>
            <w:r>
              <w:rPr>
                <w:color w:val="000000"/>
                <w:sz w:val="24"/>
              </w:rPr>
              <w:t>300864</w:t>
            </w:r>
          </w:p>
        </w:tc>
        <w:tc>
          <w:tcPr>
            <w:tcW w:w="1701" w:type="dxa"/>
            <w:vAlign w:val="center"/>
          </w:tcPr>
          <w:p>
            <w:pPr>
              <w:jc w:val="center"/>
            </w:pPr>
            <w:r>
              <w:rPr>
                <w:color w:val="000000"/>
                <w:sz w:val="24"/>
              </w:rPr>
              <w:t>南大环境</w:t>
            </w:r>
          </w:p>
        </w:tc>
        <w:tc>
          <w:tcPr>
            <w:tcW w:w="1559" w:type="dxa"/>
            <w:vAlign w:val="center"/>
          </w:tcPr>
          <w:p>
            <w:pPr>
              <w:jc w:val="right"/>
            </w:pPr>
            <w:r>
              <w:rPr>
                <w:color w:val="000000"/>
                <w:sz w:val="24"/>
              </w:rPr>
              <w:t>141</w:t>
            </w:r>
          </w:p>
        </w:tc>
        <w:tc>
          <w:tcPr>
            <w:tcW w:w="1932" w:type="dxa"/>
            <w:vAlign w:val="center"/>
          </w:tcPr>
          <w:p>
            <w:pPr>
              <w:jc w:val="right"/>
            </w:pPr>
            <w:r>
              <w:rPr>
                <w:color w:val="000000"/>
                <w:sz w:val="24"/>
              </w:rPr>
              <w:t>12,809.85</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59</w:t>
            </w:r>
          </w:p>
        </w:tc>
        <w:tc>
          <w:tcPr>
            <w:tcW w:w="1276" w:type="dxa"/>
            <w:vAlign w:val="center"/>
          </w:tcPr>
          <w:p>
            <w:pPr>
              <w:jc w:val="center"/>
            </w:pPr>
            <w:r>
              <w:rPr>
                <w:color w:val="000000"/>
                <w:sz w:val="24"/>
              </w:rPr>
              <w:t>300879</w:t>
            </w:r>
          </w:p>
        </w:tc>
        <w:tc>
          <w:tcPr>
            <w:tcW w:w="1701" w:type="dxa"/>
            <w:vAlign w:val="center"/>
          </w:tcPr>
          <w:p>
            <w:pPr>
              <w:jc w:val="center"/>
            </w:pPr>
            <w:r>
              <w:rPr>
                <w:color w:val="000000"/>
                <w:sz w:val="24"/>
              </w:rPr>
              <w:t>大叶股份</w:t>
            </w:r>
          </w:p>
        </w:tc>
        <w:tc>
          <w:tcPr>
            <w:tcW w:w="1559" w:type="dxa"/>
            <w:vAlign w:val="center"/>
          </w:tcPr>
          <w:p>
            <w:pPr>
              <w:jc w:val="right"/>
            </w:pPr>
            <w:r>
              <w:rPr>
                <w:color w:val="000000"/>
                <w:sz w:val="24"/>
              </w:rPr>
              <w:t>466</w:t>
            </w:r>
          </w:p>
        </w:tc>
        <w:tc>
          <w:tcPr>
            <w:tcW w:w="1932" w:type="dxa"/>
            <w:vAlign w:val="center"/>
          </w:tcPr>
          <w:p>
            <w:pPr>
              <w:jc w:val="right"/>
            </w:pPr>
            <w:r>
              <w:rPr>
                <w:color w:val="000000"/>
                <w:sz w:val="24"/>
              </w:rPr>
              <w:t>12,637.92</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60</w:t>
            </w:r>
          </w:p>
        </w:tc>
        <w:tc>
          <w:tcPr>
            <w:tcW w:w="1276" w:type="dxa"/>
            <w:vAlign w:val="center"/>
          </w:tcPr>
          <w:p>
            <w:pPr>
              <w:jc w:val="center"/>
            </w:pPr>
            <w:r>
              <w:rPr>
                <w:color w:val="000000"/>
                <w:sz w:val="24"/>
              </w:rPr>
              <w:t>300887</w:t>
            </w:r>
          </w:p>
        </w:tc>
        <w:tc>
          <w:tcPr>
            <w:tcW w:w="1701" w:type="dxa"/>
            <w:vAlign w:val="center"/>
          </w:tcPr>
          <w:p>
            <w:pPr>
              <w:jc w:val="center"/>
            </w:pPr>
            <w:r>
              <w:rPr>
                <w:color w:val="000000"/>
                <w:sz w:val="24"/>
              </w:rPr>
              <w:t>谱尼测试</w:t>
            </w:r>
          </w:p>
        </w:tc>
        <w:tc>
          <w:tcPr>
            <w:tcW w:w="1559" w:type="dxa"/>
            <w:vAlign w:val="center"/>
          </w:tcPr>
          <w:p>
            <w:pPr>
              <w:jc w:val="right"/>
            </w:pPr>
            <w:r>
              <w:rPr>
                <w:color w:val="000000"/>
                <w:sz w:val="24"/>
              </w:rPr>
              <w:t>165</w:t>
            </w:r>
          </w:p>
        </w:tc>
        <w:tc>
          <w:tcPr>
            <w:tcW w:w="1932" w:type="dxa"/>
            <w:vAlign w:val="center"/>
          </w:tcPr>
          <w:p>
            <w:pPr>
              <w:jc w:val="right"/>
            </w:pPr>
            <w:r>
              <w:rPr>
                <w:color w:val="000000"/>
                <w:sz w:val="24"/>
              </w:rPr>
              <w:t>12,295.80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61</w:t>
            </w:r>
          </w:p>
        </w:tc>
        <w:tc>
          <w:tcPr>
            <w:tcW w:w="1276" w:type="dxa"/>
            <w:vAlign w:val="center"/>
          </w:tcPr>
          <w:p>
            <w:pPr>
              <w:jc w:val="center"/>
            </w:pPr>
            <w:r>
              <w:rPr>
                <w:color w:val="000000"/>
                <w:sz w:val="24"/>
              </w:rPr>
              <w:t>300884</w:t>
            </w:r>
          </w:p>
        </w:tc>
        <w:tc>
          <w:tcPr>
            <w:tcW w:w="1701" w:type="dxa"/>
            <w:vAlign w:val="center"/>
          </w:tcPr>
          <w:p>
            <w:pPr>
              <w:jc w:val="center"/>
            </w:pPr>
            <w:r>
              <w:rPr>
                <w:color w:val="000000"/>
                <w:sz w:val="24"/>
              </w:rPr>
              <w:t>狄耐克</w:t>
            </w:r>
          </w:p>
        </w:tc>
        <w:tc>
          <w:tcPr>
            <w:tcW w:w="1559" w:type="dxa"/>
            <w:vAlign w:val="center"/>
          </w:tcPr>
          <w:p>
            <w:pPr>
              <w:jc w:val="right"/>
            </w:pPr>
            <w:r>
              <w:rPr>
                <w:color w:val="000000"/>
                <w:sz w:val="24"/>
              </w:rPr>
              <w:t>354</w:t>
            </w:r>
          </w:p>
        </w:tc>
        <w:tc>
          <w:tcPr>
            <w:tcW w:w="1932" w:type="dxa"/>
            <w:vAlign w:val="center"/>
          </w:tcPr>
          <w:p>
            <w:pPr>
              <w:jc w:val="right"/>
            </w:pPr>
            <w:r>
              <w:rPr>
                <w:color w:val="000000"/>
                <w:sz w:val="24"/>
              </w:rPr>
              <w:t>11,862.54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62</w:t>
            </w:r>
          </w:p>
        </w:tc>
        <w:tc>
          <w:tcPr>
            <w:tcW w:w="1276" w:type="dxa"/>
            <w:vAlign w:val="center"/>
          </w:tcPr>
          <w:p>
            <w:pPr>
              <w:jc w:val="center"/>
            </w:pPr>
            <w:r>
              <w:rPr>
                <w:color w:val="000000"/>
                <w:sz w:val="24"/>
              </w:rPr>
              <w:t>300882</w:t>
            </w:r>
          </w:p>
        </w:tc>
        <w:tc>
          <w:tcPr>
            <w:tcW w:w="1701" w:type="dxa"/>
            <w:vAlign w:val="center"/>
          </w:tcPr>
          <w:p>
            <w:pPr>
              <w:jc w:val="center"/>
            </w:pPr>
            <w:r>
              <w:rPr>
                <w:color w:val="000000"/>
                <w:sz w:val="24"/>
              </w:rPr>
              <w:t>万胜智能</w:t>
            </w:r>
          </w:p>
        </w:tc>
        <w:tc>
          <w:tcPr>
            <w:tcW w:w="1559" w:type="dxa"/>
            <w:vAlign w:val="center"/>
          </w:tcPr>
          <w:p>
            <w:pPr>
              <w:jc w:val="right"/>
            </w:pPr>
            <w:r>
              <w:rPr>
                <w:color w:val="000000"/>
                <w:sz w:val="24"/>
              </w:rPr>
              <w:t>440</w:t>
            </w:r>
          </w:p>
        </w:tc>
        <w:tc>
          <w:tcPr>
            <w:tcW w:w="1932" w:type="dxa"/>
            <w:vAlign w:val="center"/>
          </w:tcPr>
          <w:p>
            <w:pPr>
              <w:jc w:val="right"/>
            </w:pPr>
            <w:r>
              <w:rPr>
                <w:color w:val="000000"/>
                <w:sz w:val="24"/>
              </w:rPr>
              <w:t>11,347.60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63</w:t>
            </w:r>
          </w:p>
        </w:tc>
        <w:tc>
          <w:tcPr>
            <w:tcW w:w="1276" w:type="dxa"/>
            <w:vAlign w:val="center"/>
          </w:tcPr>
          <w:p>
            <w:pPr>
              <w:jc w:val="center"/>
            </w:pPr>
            <w:r>
              <w:rPr>
                <w:color w:val="000000"/>
                <w:sz w:val="24"/>
              </w:rPr>
              <w:t>300889</w:t>
            </w:r>
          </w:p>
        </w:tc>
        <w:tc>
          <w:tcPr>
            <w:tcW w:w="1701" w:type="dxa"/>
            <w:vAlign w:val="center"/>
          </w:tcPr>
          <w:p>
            <w:pPr>
              <w:jc w:val="center"/>
            </w:pPr>
            <w:r>
              <w:rPr>
                <w:color w:val="000000"/>
                <w:sz w:val="24"/>
              </w:rPr>
              <w:t>爱克股份</w:t>
            </w:r>
          </w:p>
        </w:tc>
        <w:tc>
          <w:tcPr>
            <w:tcW w:w="1559" w:type="dxa"/>
            <w:vAlign w:val="center"/>
          </w:tcPr>
          <w:p>
            <w:pPr>
              <w:jc w:val="right"/>
            </w:pPr>
            <w:r>
              <w:rPr>
                <w:color w:val="000000"/>
                <w:sz w:val="24"/>
              </w:rPr>
              <w:t>370</w:t>
            </w:r>
          </w:p>
        </w:tc>
        <w:tc>
          <w:tcPr>
            <w:tcW w:w="1932" w:type="dxa"/>
            <w:vAlign w:val="center"/>
          </w:tcPr>
          <w:p>
            <w:pPr>
              <w:jc w:val="right"/>
            </w:pPr>
            <w:r>
              <w:rPr>
                <w:color w:val="000000"/>
                <w:sz w:val="24"/>
              </w:rPr>
              <w:t>11,144.40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64</w:t>
            </w:r>
          </w:p>
        </w:tc>
        <w:tc>
          <w:tcPr>
            <w:tcW w:w="1276" w:type="dxa"/>
            <w:vAlign w:val="center"/>
          </w:tcPr>
          <w:p>
            <w:pPr>
              <w:jc w:val="center"/>
            </w:pPr>
            <w:r>
              <w:rPr>
                <w:color w:val="000000"/>
                <w:sz w:val="24"/>
              </w:rPr>
              <w:t>605155</w:t>
            </w:r>
          </w:p>
        </w:tc>
        <w:tc>
          <w:tcPr>
            <w:tcW w:w="1701" w:type="dxa"/>
            <w:vAlign w:val="center"/>
          </w:tcPr>
          <w:p>
            <w:pPr>
              <w:jc w:val="center"/>
            </w:pPr>
            <w:r>
              <w:rPr>
                <w:color w:val="000000"/>
                <w:sz w:val="24"/>
              </w:rPr>
              <w:t>西大门</w:t>
            </w:r>
          </w:p>
        </w:tc>
        <w:tc>
          <w:tcPr>
            <w:tcW w:w="1559" w:type="dxa"/>
            <w:vAlign w:val="center"/>
          </w:tcPr>
          <w:p>
            <w:pPr>
              <w:jc w:val="right"/>
            </w:pPr>
            <w:r>
              <w:rPr>
                <w:color w:val="000000"/>
                <w:sz w:val="24"/>
              </w:rPr>
              <w:t>350</w:t>
            </w:r>
          </w:p>
        </w:tc>
        <w:tc>
          <w:tcPr>
            <w:tcW w:w="1932" w:type="dxa"/>
            <w:vAlign w:val="center"/>
          </w:tcPr>
          <w:p>
            <w:pPr>
              <w:jc w:val="right"/>
            </w:pPr>
            <w:r>
              <w:rPr>
                <w:color w:val="000000"/>
                <w:sz w:val="24"/>
              </w:rPr>
              <w:t>10,668.00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65</w:t>
            </w:r>
          </w:p>
        </w:tc>
        <w:tc>
          <w:tcPr>
            <w:tcW w:w="1276" w:type="dxa"/>
            <w:vAlign w:val="center"/>
          </w:tcPr>
          <w:p>
            <w:pPr>
              <w:jc w:val="center"/>
            </w:pPr>
            <w:r>
              <w:rPr>
                <w:color w:val="000000"/>
                <w:sz w:val="24"/>
              </w:rPr>
              <w:t>300911</w:t>
            </w:r>
          </w:p>
        </w:tc>
        <w:tc>
          <w:tcPr>
            <w:tcW w:w="1701" w:type="dxa"/>
            <w:vAlign w:val="center"/>
          </w:tcPr>
          <w:p>
            <w:pPr>
              <w:jc w:val="center"/>
            </w:pPr>
            <w:r>
              <w:rPr>
                <w:color w:val="000000"/>
                <w:sz w:val="24"/>
              </w:rPr>
              <w:t>亿田智能</w:t>
            </w:r>
          </w:p>
        </w:tc>
        <w:tc>
          <w:tcPr>
            <w:tcW w:w="1559" w:type="dxa"/>
            <w:vAlign w:val="center"/>
          </w:tcPr>
          <w:p>
            <w:pPr>
              <w:jc w:val="right"/>
            </w:pPr>
            <w:r>
              <w:rPr>
                <w:color w:val="000000"/>
                <w:sz w:val="24"/>
              </w:rPr>
              <w:t>309</w:t>
            </w:r>
          </w:p>
        </w:tc>
        <w:tc>
          <w:tcPr>
            <w:tcW w:w="1932" w:type="dxa"/>
            <w:vAlign w:val="center"/>
          </w:tcPr>
          <w:p>
            <w:pPr>
              <w:jc w:val="right"/>
            </w:pPr>
            <w:r>
              <w:rPr>
                <w:color w:val="000000"/>
                <w:sz w:val="24"/>
              </w:rPr>
              <w:t>10,215.54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66</w:t>
            </w:r>
          </w:p>
        </w:tc>
        <w:tc>
          <w:tcPr>
            <w:tcW w:w="1276" w:type="dxa"/>
            <w:vAlign w:val="center"/>
          </w:tcPr>
          <w:p>
            <w:pPr>
              <w:jc w:val="center"/>
            </w:pPr>
            <w:r>
              <w:rPr>
                <w:color w:val="000000"/>
                <w:sz w:val="24"/>
              </w:rPr>
              <w:t>300893</w:t>
            </w:r>
          </w:p>
        </w:tc>
        <w:tc>
          <w:tcPr>
            <w:tcW w:w="1701" w:type="dxa"/>
            <w:vAlign w:val="center"/>
          </w:tcPr>
          <w:p>
            <w:pPr>
              <w:jc w:val="center"/>
            </w:pPr>
            <w:r>
              <w:rPr>
                <w:color w:val="000000"/>
                <w:sz w:val="24"/>
              </w:rPr>
              <w:t>松原股份</w:t>
            </w:r>
          </w:p>
        </w:tc>
        <w:tc>
          <w:tcPr>
            <w:tcW w:w="1559" w:type="dxa"/>
            <w:vAlign w:val="center"/>
          </w:tcPr>
          <w:p>
            <w:pPr>
              <w:jc w:val="right"/>
            </w:pPr>
            <w:r>
              <w:rPr>
                <w:color w:val="000000"/>
                <w:sz w:val="24"/>
              </w:rPr>
              <w:t>276</w:t>
            </w:r>
          </w:p>
        </w:tc>
        <w:tc>
          <w:tcPr>
            <w:tcW w:w="1932" w:type="dxa"/>
            <w:vAlign w:val="center"/>
          </w:tcPr>
          <w:p>
            <w:pPr>
              <w:jc w:val="right"/>
            </w:pPr>
            <w:r>
              <w:rPr>
                <w:color w:val="000000"/>
                <w:sz w:val="24"/>
              </w:rPr>
              <w:t>9,682.08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67</w:t>
            </w:r>
          </w:p>
        </w:tc>
        <w:tc>
          <w:tcPr>
            <w:tcW w:w="1276" w:type="dxa"/>
            <w:vAlign w:val="center"/>
          </w:tcPr>
          <w:p>
            <w:pPr>
              <w:jc w:val="center"/>
            </w:pPr>
            <w:r>
              <w:rPr>
                <w:color w:val="000000"/>
                <w:sz w:val="24"/>
              </w:rPr>
              <w:t>300881</w:t>
            </w:r>
          </w:p>
        </w:tc>
        <w:tc>
          <w:tcPr>
            <w:tcW w:w="1701" w:type="dxa"/>
            <w:vAlign w:val="center"/>
          </w:tcPr>
          <w:p>
            <w:pPr>
              <w:jc w:val="center"/>
            </w:pPr>
            <w:r>
              <w:rPr>
                <w:color w:val="000000"/>
                <w:sz w:val="24"/>
              </w:rPr>
              <w:t>盛德鑫泰</w:t>
            </w:r>
          </w:p>
        </w:tc>
        <w:tc>
          <w:tcPr>
            <w:tcW w:w="1559" w:type="dxa"/>
            <w:vAlign w:val="center"/>
          </w:tcPr>
          <w:p>
            <w:pPr>
              <w:jc w:val="right"/>
            </w:pPr>
            <w:r>
              <w:rPr>
                <w:color w:val="000000"/>
                <w:sz w:val="24"/>
              </w:rPr>
              <w:t>291</w:t>
            </w:r>
          </w:p>
        </w:tc>
        <w:tc>
          <w:tcPr>
            <w:tcW w:w="1932" w:type="dxa"/>
            <w:vAlign w:val="center"/>
          </w:tcPr>
          <w:p>
            <w:pPr>
              <w:jc w:val="right"/>
            </w:pPr>
            <w:r>
              <w:rPr>
                <w:color w:val="000000"/>
                <w:sz w:val="24"/>
              </w:rPr>
              <w:t>9,402.21</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68</w:t>
            </w:r>
          </w:p>
        </w:tc>
        <w:tc>
          <w:tcPr>
            <w:tcW w:w="1276" w:type="dxa"/>
            <w:vAlign w:val="center"/>
          </w:tcPr>
          <w:p>
            <w:pPr>
              <w:jc w:val="center"/>
            </w:pPr>
            <w:r>
              <w:rPr>
                <w:color w:val="000000"/>
                <w:sz w:val="24"/>
              </w:rPr>
              <w:t>300922</w:t>
            </w:r>
          </w:p>
        </w:tc>
        <w:tc>
          <w:tcPr>
            <w:tcW w:w="1701" w:type="dxa"/>
            <w:vAlign w:val="center"/>
          </w:tcPr>
          <w:p>
            <w:pPr>
              <w:jc w:val="center"/>
            </w:pPr>
            <w:r>
              <w:rPr>
                <w:color w:val="000000"/>
                <w:sz w:val="24"/>
              </w:rPr>
              <w:t>天秦装备</w:t>
            </w:r>
          </w:p>
        </w:tc>
        <w:tc>
          <w:tcPr>
            <w:tcW w:w="1559" w:type="dxa"/>
            <w:vAlign w:val="center"/>
          </w:tcPr>
          <w:p>
            <w:pPr>
              <w:jc w:val="right"/>
            </w:pPr>
            <w:r>
              <w:rPr>
                <w:color w:val="000000"/>
                <w:sz w:val="24"/>
              </w:rPr>
              <w:t>287</w:t>
            </w:r>
          </w:p>
        </w:tc>
        <w:tc>
          <w:tcPr>
            <w:tcW w:w="1932" w:type="dxa"/>
            <w:vAlign w:val="center"/>
          </w:tcPr>
          <w:p>
            <w:pPr>
              <w:jc w:val="right"/>
            </w:pPr>
            <w:r>
              <w:rPr>
                <w:color w:val="000000"/>
                <w:sz w:val="24"/>
              </w:rPr>
              <w:t>9,063.46</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69</w:t>
            </w:r>
          </w:p>
        </w:tc>
        <w:tc>
          <w:tcPr>
            <w:tcW w:w="1276" w:type="dxa"/>
            <w:vAlign w:val="center"/>
          </w:tcPr>
          <w:p>
            <w:pPr>
              <w:jc w:val="center"/>
            </w:pPr>
            <w:r>
              <w:rPr>
                <w:color w:val="000000"/>
                <w:sz w:val="24"/>
              </w:rPr>
              <w:t>300917</w:t>
            </w:r>
          </w:p>
        </w:tc>
        <w:tc>
          <w:tcPr>
            <w:tcW w:w="1701" w:type="dxa"/>
            <w:vAlign w:val="center"/>
          </w:tcPr>
          <w:p>
            <w:pPr>
              <w:jc w:val="center"/>
            </w:pPr>
            <w:r>
              <w:rPr>
                <w:color w:val="000000"/>
                <w:sz w:val="24"/>
              </w:rPr>
              <w:t>特发服务</w:t>
            </w:r>
          </w:p>
        </w:tc>
        <w:tc>
          <w:tcPr>
            <w:tcW w:w="1559" w:type="dxa"/>
            <w:vAlign w:val="center"/>
          </w:tcPr>
          <w:p>
            <w:pPr>
              <w:jc w:val="right"/>
            </w:pPr>
            <w:r>
              <w:rPr>
                <w:color w:val="000000"/>
                <w:sz w:val="24"/>
              </w:rPr>
              <w:t>281</w:t>
            </w:r>
          </w:p>
        </w:tc>
        <w:tc>
          <w:tcPr>
            <w:tcW w:w="1932" w:type="dxa"/>
            <w:vAlign w:val="center"/>
          </w:tcPr>
          <w:p>
            <w:pPr>
              <w:jc w:val="right"/>
            </w:pPr>
            <w:r>
              <w:rPr>
                <w:color w:val="000000"/>
                <w:sz w:val="24"/>
              </w:rPr>
              <w:t>8,975.14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70</w:t>
            </w:r>
          </w:p>
        </w:tc>
        <w:tc>
          <w:tcPr>
            <w:tcW w:w="1276" w:type="dxa"/>
            <w:vAlign w:val="center"/>
          </w:tcPr>
          <w:p>
            <w:pPr>
              <w:jc w:val="center"/>
            </w:pPr>
            <w:r>
              <w:rPr>
                <w:color w:val="000000"/>
                <w:sz w:val="24"/>
              </w:rPr>
              <w:t>605277</w:t>
            </w:r>
          </w:p>
        </w:tc>
        <w:tc>
          <w:tcPr>
            <w:tcW w:w="1701" w:type="dxa"/>
            <w:vAlign w:val="center"/>
          </w:tcPr>
          <w:p>
            <w:pPr>
              <w:jc w:val="center"/>
            </w:pPr>
            <w:r>
              <w:rPr>
                <w:color w:val="000000"/>
                <w:sz w:val="24"/>
              </w:rPr>
              <w:t>新亚电子</w:t>
            </w:r>
          </w:p>
        </w:tc>
        <w:tc>
          <w:tcPr>
            <w:tcW w:w="1559" w:type="dxa"/>
            <w:vAlign w:val="center"/>
          </w:tcPr>
          <w:p>
            <w:pPr>
              <w:jc w:val="right"/>
            </w:pPr>
            <w:r>
              <w:rPr>
                <w:color w:val="000000"/>
                <w:sz w:val="24"/>
              </w:rPr>
              <w:t>507</w:t>
            </w:r>
          </w:p>
        </w:tc>
        <w:tc>
          <w:tcPr>
            <w:tcW w:w="1932" w:type="dxa"/>
            <w:vAlign w:val="center"/>
          </w:tcPr>
          <w:p>
            <w:pPr>
              <w:jc w:val="right"/>
            </w:pPr>
            <w:r>
              <w:rPr>
                <w:color w:val="000000"/>
                <w:sz w:val="24"/>
              </w:rPr>
              <w:t>8,593.65</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71</w:t>
            </w:r>
          </w:p>
        </w:tc>
        <w:tc>
          <w:tcPr>
            <w:tcW w:w="1276" w:type="dxa"/>
            <w:vAlign w:val="center"/>
          </w:tcPr>
          <w:p>
            <w:pPr>
              <w:jc w:val="center"/>
            </w:pPr>
            <w:r>
              <w:rPr>
                <w:color w:val="000000"/>
                <w:sz w:val="24"/>
              </w:rPr>
              <w:t>300918</w:t>
            </w:r>
          </w:p>
        </w:tc>
        <w:tc>
          <w:tcPr>
            <w:tcW w:w="1701" w:type="dxa"/>
            <w:vAlign w:val="center"/>
          </w:tcPr>
          <w:p>
            <w:pPr>
              <w:jc w:val="center"/>
            </w:pPr>
            <w:r>
              <w:rPr>
                <w:color w:val="000000"/>
                <w:sz w:val="24"/>
              </w:rPr>
              <w:t>南山智尚</w:t>
            </w:r>
          </w:p>
        </w:tc>
        <w:tc>
          <w:tcPr>
            <w:tcW w:w="1559" w:type="dxa"/>
            <w:vAlign w:val="center"/>
          </w:tcPr>
          <w:p>
            <w:pPr>
              <w:jc w:val="right"/>
            </w:pPr>
            <w:r>
              <w:rPr>
                <w:color w:val="000000"/>
                <w:sz w:val="24"/>
              </w:rPr>
              <w:t>936</w:t>
            </w:r>
          </w:p>
        </w:tc>
        <w:tc>
          <w:tcPr>
            <w:tcW w:w="1932" w:type="dxa"/>
            <w:vAlign w:val="center"/>
          </w:tcPr>
          <w:p>
            <w:pPr>
              <w:jc w:val="right"/>
            </w:pPr>
            <w:r>
              <w:rPr>
                <w:color w:val="000000"/>
                <w:sz w:val="24"/>
              </w:rPr>
              <w:t>8,367.84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72</w:t>
            </w:r>
          </w:p>
        </w:tc>
        <w:tc>
          <w:tcPr>
            <w:tcW w:w="1276" w:type="dxa"/>
            <w:vAlign w:val="center"/>
          </w:tcPr>
          <w:p>
            <w:pPr>
              <w:jc w:val="center"/>
            </w:pPr>
            <w:r>
              <w:rPr>
                <w:color w:val="000000"/>
                <w:sz w:val="24"/>
              </w:rPr>
              <w:t>003030</w:t>
            </w:r>
          </w:p>
        </w:tc>
        <w:tc>
          <w:tcPr>
            <w:tcW w:w="1701" w:type="dxa"/>
            <w:vAlign w:val="center"/>
          </w:tcPr>
          <w:p>
            <w:pPr>
              <w:jc w:val="center"/>
            </w:pPr>
            <w:r>
              <w:rPr>
                <w:color w:val="000000"/>
                <w:sz w:val="24"/>
              </w:rPr>
              <w:t>祖名股份</w:t>
            </w:r>
          </w:p>
        </w:tc>
        <w:tc>
          <w:tcPr>
            <w:tcW w:w="1559" w:type="dxa"/>
            <w:vAlign w:val="center"/>
          </w:tcPr>
          <w:p>
            <w:pPr>
              <w:jc w:val="right"/>
            </w:pPr>
            <w:r>
              <w:rPr>
                <w:color w:val="000000"/>
                <w:sz w:val="24"/>
              </w:rPr>
              <w:t>480</w:t>
            </w:r>
          </w:p>
        </w:tc>
        <w:tc>
          <w:tcPr>
            <w:tcW w:w="1932" w:type="dxa"/>
            <w:vAlign w:val="center"/>
          </w:tcPr>
          <w:p>
            <w:pPr>
              <w:jc w:val="right"/>
            </w:pPr>
            <w:r>
              <w:rPr>
                <w:color w:val="000000"/>
                <w:sz w:val="24"/>
              </w:rPr>
              <w:t>7,286.40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73</w:t>
            </w:r>
          </w:p>
        </w:tc>
        <w:tc>
          <w:tcPr>
            <w:tcW w:w="1276" w:type="dxa"/>
            <w:vAlign w:val="center"/>
          </w:tcPr>
          <w:p>
            <w:pPr>
              <w:jc w:val="center"/>
            </w:pPr>
            <w:r>
              <w:rPr>
                <w:color w:val="000000"/>
                <w:sz w:val="24"/>
              </w:rPr>
              <w:t>300886</w:t>
            </w:r>
          </w:p>
        </w:tc>
        <w:tc>
          <w:tcPr>
            <w:tcW w:w="1701" w:type="dxa"/>
            <w:vAlign w:val="center"/>
          </w:tcPr>
          <w:p>
            <w:pPr>
              <w:jc w:val="center"/>
            </w:pPr>
            <w:r>
              <w:rPr>
                <w:color w:val="000000"/>
                <w:sz w:val="24"/>
              </w:rPr>
              <w:t>华业香料</w:t>
            </w:r>
          </w:p>
        </w:tc>
        <w:tc>
          <w:tcPr>
            <w:tcW w:w="1559" w:type="dxa"/>
            <w:vAlign w:val="center"/>
          </w:tcPr>
          <w:p>
            <w:pPr>
              <w:jc w:val="right"/>
            </w:pPr>
            <w:r>
              <w:rPr>
                <w:color w:val="000000"/>
                <w:sz w:val="24"/>
              </w:rPr>
              <w:t>147</w:t>
            </w:r>
          </w:p>
        </w:tc>
        <w:tc>
          <w:tcPr>
            <w:tcW w:w="1932" w:type="dxa"/>
            <w:vAlign w:val="center"/>
          </w:tcPr>
          <w:p>
            <w:pPr>
              <w:jc w:val="right"/>
            </w:pPr>
            <w:r>
              <w:rPr>
                <w:color w:val="000000"/>
                <w:sz w:val="24"/>
              </w:rPr>
              <w:t>6,713.49</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74</w:t>
            </w:r>
          </w:p>
        </w:tc>
        <w:tc>
          <w:tcPr>
            <w:tcW w:w="1276" w:type="dxa"/>
            <w:vAlign w:val="center"/>
          </w:tcPr>
          <w:p>
            <w:pPr>
              <w:jc w:val="center"/>
            </w:pPr>
            <w:r>
              <w:rPr>
                <w:color w:val="000000"/>
                <w:sz w:val="24"/>
              </w:rPr>
              <w:t>003031</w:t>
            </w:r>
          </w:p>
        </w:tc>
        <w:tc>
          <w:tcPr>
            <w:tcW w:w="1701" w:type="dxa"/>
            <w:vAlign w:val="center"/>
          </w:tcPr>
          <w:p>
            <w:pPr>
              <w:jc w:val="center"/>
            </w:pPr>
            <w:r>
              <w:rPr>
                <w:color w:val="000000"/>
                <w:sz w:val="24"/>
              </w:rPr>
              <w:t>中瓷电子</w:t>
            </w:r>
          </w:p>
        </w:tc>
        <w:tc>
          <w:tcPr>
            <w:tcW w:w="1559" w:type="dxa"/>
            <w:vAlign w:val="center"/>
          </w:tcPr>
          <w:p>
            <w:pPr>
              <w:jc w:val="right"/>
            </w:pPr>
            <w:r>
              <w:rPr>
                <w:color w:val="000000"/>
                <w:sz w:val="24"/>
              </w:rPr>
              <w:t>387</w:t>
            </w:r>
          </w:p>
        </w:tc>
        <w:tc>
          <w:tcPr>
            <w:tcW w:w="1932" w:type="dxa"/>
            <w:vAlign w:val="center"/>
          </w:tcPr>
          <w:p>
            <w:pPr>
              <w:jc w:val="right"/>
            </w:pPr>
            <w:r>
              <w:rPr>
                <w:color w:val="000000"/>
                <w:sz w:val="24"/>
              </w:rPr>
              <w:t>5,909.49</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75</w:t>
            </w:r>
          </w:p>
        </w:tc>
        <w:tc>
          <w:tcPr>
            <w:tcW w:w="1276" w:type="dxa"/>
            <w:vAlign w:val="center"/>
          </w:tcPr>
          <w:p>
            <w:pPr>
              <w:jc w:val="center"/>
            </w:pPr>
            <w:r>
              <w:rPr>
                <w:color w:val="000000"/>
                <w:sz w:val="24"/>
              </w:rPr>
              <w:t>300365</w:t>
            </w:r>
          </w:p>
        </w:tc>
        <w:tc>
          <w:tcPr>
            <w:tcW w:w="1701" w:type="dxa"/>
            <w:vAlign w:val="center"/>
          </w:tcPr>
          <w:p>
            <w:pPr>
              <w:jc w:val="center"/>
            </w:pPr>
            <w:r>
              <w:rPr>
                <w:color w:val="000000"/>
                <w:sz w:val="24"/>
              </w:rPr>
              <w:t>恒华科技</w:t>
            </w:r>
          </w:p>
        </w:tc>
        <w:tc>
          <w:tcPr>
            <w:tcW w:w="1559" w:type="dxa"/>
            <w:vAlign w:val="center"/>
          </w:tcPr>
          <w:p>
            <w:pPr>
              <w:jc w:val="right"/>
            </w:pPr>
            <w:r>
              <w:rPr>
                <w:color w:val="000000"/>
                <w:sz w:val="24"/>
              </w:rPr>
              <w:t>184</w:t>
            </w:r>
          </w:p>
        </w:tc>
        <w:tc>
          <w:tcPr>
            <w:tcW w:w="1932" w:type="dxa"/>
            <w:vAlign w:val="center"/>
          </w:tcPr>
          <w:p>
            <w:pPr>
              <w:jc w:val="right"/>
            </w:pPr>
            <w:r>
              <w:rPr>
                <w:color w:val="000000"/>
                <w:sz w:val="24"/>
              </w:rPr>
              <w:t>1,838.16</w:t>
            </w:r>
          </w:p>
        </w:tc>
        <w:tc>
          <w:tcPr>
            <w:tcW w:w="1612" w:type="dxa"/>
            <w:vAlign w:val="center"/>
          </w:tcPr>
          <w:p>
            <w:pPr>
              <w:jc w:val="right"/>
            </w:pPr>
            <w:r>
              <w:rPr>
                <w:color w:val="000000"/>
                <w:sz w:val="24"/>
              </w:rPr>
              <w:t>0.00</w:t>
            </w:r>
          </w:p>
        </w:tc>
      </w:tr>
    </w:tbl>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136" w:name="_Toc67589781"/>
      <w:bookmarkStart w:id="137" w:name="_Toc361324882"/>
      <w:r>
        <w:rPr>
          <w:rFonts w:ascii="Times New Roman" w:hAnsi="Times New Roman"/>
          <w:kern w:val="0"/>
          <w:szCs w:val="24"/>
        </w:rPr>
        <w:t>8.4</w:t>
      </w:r>
      <w:bookmarkStart w:id="138" w:name="_Toc234814103"/>
      <w:r>
        <w:rPr>
          <w:rFonts w:hint="eastAsia" w:ascii="Times New Roman" w:hAnsi="Times New Roman"/>
          <w:kern w:val="0"/>
          <w:szCs w:val="24"/>
        </w:rPr>
        <w:t>报告期内股票投资组合的重大变动</w:t>
      </w:r>
      <w:bookmarkEnd w:id="136"/>
      <w:bookmarkEnd w:id="137"/>
      <w:bookmarkEnd w:id="138"/>
    </w:p>
    <w:p>
      <w:pPr>
        <w:spacing w:line="360" w:lineRule="auto"/>
        <w:rPr>
          <w:rFonts w:eastAsiaTheme="minorEastAsia"/>
          <w:b/>
          <w:color w:val="000000" w:themeColor="text1"/>
          <w:sz w:val="24"/>
        </w:rPr>
      </w:pPr>
      <w:r>
        <w:rPr>
          <w:rFonts w:eastAsiaTheme="minorEastAsia"/>
          <w:b/>
          <w:color w:val="000000" w:themeColor="text1"/>
          <w:sz w:val="24"/>
        </w:rPr>
        <w:t>8.4.1</w:t>
      </w:r>
      <w:r>
        <w:rPr>
          <w:rFonts w:hint="eastAsia" w:eastAsiaTheme="minorEastAsia"/>
          <w:b/>
          <w:color w:val="000000" w:themeColor="text1"/>
          <w:sz w:val="24"/>
        </w:rPr>
        <w:t>累计买入金额超出期初基金资产净值</w:t>
      </w:r>
      <w:r>
        <w:rPr>
          <w:rFonts w:eastAsiaTheme="minorEastAsia"/>
          <w:b/>
          <w:color w:val="000000" w:themeColor="text1"/>
          <w:sz w:val="24"/>
        </w:rPr>
        <w:t>2％</w:t>
      </w:r>
      <w:r>
        <w:rPr>
          <w:rFonts w:hint="eastAsia" w:eastAsiaTheme="minorEastAsia"/>
          <w:b/>
          <w:color w:val="000000" w:themeColor="text1"/>
          <w:sz w:val="24"/>
        </w:rPr>
        <w:t>或前</w:t>
      </w:r>
      <w:r>
        <w:rPr>
          <w:rFonts w:eastAsiaTheme="minorEastAsia"/>
          <w:b/>
          <w:color w:val="000000" w:themeColor="text1"/>
          <w:sz w:val="24"/>
        </w:rPr>
        <w:t>20</w:t>
      </w:r>
      <w:r>
        <w:rPr>
          <w:rFonts w:hint="eastAsia" w:eastAsiaTheme="minorEastAsia"/>
          <w:b/>
          <w:color w:val="000000" w:themeColor="text1"/>
          <w:sz w:val="24"/>
        </w:rPr>
        <w:t>名的股票明细</w:t>
      </w:r>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1650"/>
        <w:gridCol w:w="1980"/>
        <w:gridCol w:w="288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spacing w:before="29" w:line="288" w:lineRule="auto"/>
              <w:ind w:left="17"/>
              <w:jc w:val="center"/>
              <w:rPr>
                <w:color w:val="000000"/>
                <w:sz w:val="24"/>
              </w:rPr>
            </w:pPr>
            <w:r>
              <w:rPr>
                <w:rFonts w:hint="eastAsia"/>
                <w:color w:val="000000"/>
                <w:sz w:val="24"/>
              </w:rPr>
              <w:t>序号</w:t>
            </w:r>
          </w:p>
        </w:tc>
        <w:tc>
          <w:tcPr>
            <w:tcW w:w="1650" w:type="dxa"/>
            <w:vAlign w:val="center"/>
          </w:tcPr>
          <w:p>
            <w:pPr>
              <w:spacing w:before="29" w:line="288" w:lineRule="auto"/>
              <w:ind w:left="17"/>
              <w:jc w:val="center"/>
              <w:rPr>
                <w:color w:val="000000"/>
                <w:sz w:val="24"/>
              </w:rPr>
            </w:pPr>
            <w:r>
              <w:rPr>
                <w:rFonts w:hint="eastAsia"/>
                <w:color w:val="000000"/>
                <w:sz w:val="24"/>
              </w:rPr>
              <w:t>股票代码</w:t>
            </w:r>
          </w:p>
        </w:tc>
        <w:tc>
          <w:tcPr>
            <w:tcW w:w="1980" w:type="dxa"/>
            <w:vAlign w:val="center"/>
          </w:tcPr>
          <w:p>
            <w:pPr>
              <w:spacing w:before="29" w:line="288" w:lineRule="auto"/>
              <w:ind w:left="17"/>
              <w:jc w:val="center"/>
              <w:rPr>
                <w:color w:val="000000"/>
                <w:sz w:val="24"/>
              </w:rPr>
            </w:pPr>
            <w:r>
              <w:rPr>
                <w:rFonts w:hint="eastAsia"/>
                <w:color w:val="000000"/>
                <w:sz w:val="24"/>
              </w:rPr>
              <w:t>股票名称</w:t>
            </w:r>
          </w:p>
        </w:tc>
        <w:tc>
          <w:tcPr>
            <w:tcW w:w="2880" w:type="dxa"/>
            <w:vAlign w:val="center"/>
          </w:tcPr>
          <w:p>
            <w:pPr>
              <w:spacing w:before="29" w:line="288" w:lineRule="auto"/>
              <w:ind w:left="17"/>
              <w:jc w:val="center"/>
              <w:rPr>
                <w:color w:val="000000"/>
                <w:sz w:val="24"/>
              </w:rPr>
            </w:pPr>
            <w:r>
              <w:rPr>
                <w:rFonts w:hint="eastAsia"/>
                <w:color w:val="000000"/>
                <w:sz w:val="24"/>
              </w:rPr>
              <w:t>本期累计买入金额</w:t>
            </w:r>
          </w:p>
        </w:tc>
        <w:tc>
          <w:tcPr>
            <w:tcW w:w="1620" w:type="dxa"/>
            <w:vAlign w:val="center"/>
          </w:tcPr>
          <w:p>
            <w:pPr>
              <w:spacing w:before="29" w:line="288" w:lineRule="auto"/>
              <w:ind w:left="17"/>
              <w:jc w:val="center"/>
              <w:rPr>
                <w:color w:val="000000"/>
                <w:sz w:val="24"/>
              </w:rPr>
            </w:pPr>
            <w:r>
              <w:rPr>
                <w:rFonts w:hint="eastAsia"/>
                <w:color w:val="000000"/>
                <w:sz w:val="24"/>
              </w:rPr>
              <w:t>占期初基金资产净值比例（％）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w:t>
            </w:r>
          </w:p>
        </w:tc>
        <w:tc>
          <w:tcPr>
            <w:tcW w:w="1650" w:type="dxa"/>
            <w:vAlign w:val="center"/>
          </w:tcPr>
          <w:p>
            <w:pPr>
              <w:jc w:val="center"/>
            </w:pPr>
            <w:r>
              <w:rPr>
                <w:color w:val="000000"/>
                <w:sz w:val="24"/>
              </w:rPr>
              <w:t>600048</w:t>
            </w:r>
          </w:p>
        </w:tc>
        <w:tc>
          <w:tcPr>
            <w:tcW w:w="1980" w:type="dxa"/>
            <w:vAlign w:val="center"/>
          </w:tcPr>
          <w:p>
            <w:pPr>
              <w:jc w:val="center"/>
            </w:pPr>
            <w:r>
              <w:rPr>
                <w:color w:val="000000"/>
                <w:sz w:val="24"/>
              </w:rPr>
              <w:t>保利地产</w:t>
            </w:r>
          </w:p>
        </w:tc>
        <w:tc>
          <w:tcPr>
            <w:tcW w:w="2880" w:type="dxa"/>
            <w:vAlign w:val="center"/>
          </w:tcPr>
          <w:p>
            <w:pPr>
              <w:jc w:val="right"/>
            </w:pPr>
            <w:r>
              <w:rPr>
                <w:color w:val="000000"/>
                <w:sz w:val="24"/>
              </w:rPr>
              <w:t>60,973,940.28</w:t>
            </w:r>
          </w:p>
        </w:tc>
        <w:tc>
          <w:tcPr>
            <w:tcW w:w="1620" w:type="dxa"/>
            <w:vAlign w:val="center"/>
          </w:tcPr>
          <w:p>
            <w:pPr>
              <w:jc w:val="right"/>
            </w:pPr>
            <w:r>
              <w:rPr>
                <w:color w:val="000000"/>
                <w:sz w:val="24"/>
              </w:rPr>
              <w:t>25.17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w:t>
            </w:r>
          </w:p>
        </w:tc>
        <w:tc>
          <w:tcPr>
            <w:tcW w:w="1650" w:type="dxa"/>
            <w:vAlign w:val="center"/>
          </w:tcPr>
          <w:p>
            <w:pPr>
              <w:jc w:val="center"/>
            </w:pPr>
            <w:r>
              <w:rPr>
                <w:color w:val="000000"/>
                <w:sz w:val="24"/>
              </w:rPr>
              <w:t>300365</w:t>
            </w:r>
          </w:p>
        </w:tc>
        <w:tc>
          <w:tcPr>
            <w:tcW w:w="1980" w:type="dxa"/>
            <w:vAlign w:val="center"/>
          </w:tcPr>
          <w:p>
            <w:pPr>
              <w:jc w:val="center"/>
            </w:pPr>
            <w:r>
              <w:rPr>
                <w:color w:val="000000"/>
                <w:sz w:val="24"/>
              </w:rPr>
              <w:t>恒华科技</w:t>
            </w:r>
          </w:p>
        </w:tc>
        <w:tc>
          <w:tcPr>
            <w:tcW w:w="2880" w:type="dxa"/>
            <w:vAlign w:val="center"/>
          </w:tcPr>
          <w:p>
            <w:pPr>
              <w:jc w:val="right"/>
            </w:pPr>
            <w:r>
              <w:rPr>
                <w:color w:val="000000"/>
                <w:sz w:val="24"/>
              </w:rPr>
              <w:t>46,800,163.49</w:t>
            </w:r>
          </w:p>
        </w:tc>
        <w:tc>
          <w:tcPr>
            <w:tcW w:w="1620" w:type="dxa"/>
            <w:vAlign w:val="center"/>
          </w:tcPr>
          <w:p>
            <w:pPr>
              <w:jc w:val="right"/>
            </w:pPr>
            <w:r>
              <w:rPr>
                <w:color w:val="000000"/>
                <w:sz w:val="24"/>
              </w:rPr>
              <w:t>19.32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w:t>
            </w:r>
          </w:p>
        </w:tc>
        <w:tc>
          <w:tcPr>
            <w:tcW w:w="1650" w:type="dxa"/>
            <w:vAlign w:val="center"/>
          </w:tcPr>
          <w:p>
            <w:pPr>
              <w:jc w:val="center"/>
            </w:pPr>
            <w:r>
              <w:rPr>
                <w:color w:val="000000"/>
                <w:sz w:val="24"/>
              </w:rPr>
              <w:t>300601</w:t>
            </w:r>
          </w:p>
        </w:tc>
        <w:tc>
          <w:tcPr>
            <w:tcW w:w="1980" w:type="dxa"/>
            <w:vAlign w:val="center"/>
          </w:tcPr>
          <w:p>
            <w:pPr>
              <w:jc w:val="center"/>
            </w:pPr>
            <w:r>
              <w:rPr>
                <w:color w:val="000000"/>
                <w:sz w:val="24"/>
              </w:rPr>
              <w:t>康泰生物</w:t>
            </w:r>
          </w:p>
        </w:tc>
        <w:tc>
          <w:tcPr>
            <w:tcW w:w="2880" w:type="dxa"/>
            <w:vAlign w:val="center"/>
          </w:tcPr>
          <w:p>
            <w:pPr>
              <w:jc w:val="right"/>
            </w:pPr>
            <w:r>
              <w:rPr>
                <w:color w:val="000000"/>
                <w:sz w:val="24"/>
              </w:rPr>
              <w:t>42,592,127.97</w:t>
            </w:r>
          </w:p>
        </w:tc>
        <w:tc>
          <w:tcPr>
            <w:tcW w:w="1620" w:type="dxa"/>
            <w:vAlign w:val="center"/>
          </w:tcPr>
          <w:p>
            <w:pPr>
              <w:jc w:val="right"/>
            </w:pPr>
            <w:r>
              <w:rPr>
                <w:color w:val="000000"/>
                <w:sz w:val="24"/>
              </w:rPr>
              <w:t>17.59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w:t>
            </w:r>
          </w:p>
        </w:tc>
        <w:tc>
          <w:tcPr>
            <w:tcW w:w="1650" w:type="dxa"/>
            <w:vAlign w:val="center"/>
          </w:tcPr>
          <w:p>
            <w:pPr>
              <w:jc w:val="center"/>
            </w:pPr>
            <w:r>
              <w:rPr>
                <w:color w:val="000000"/>
                <w:sz w:val="24"/>
              </w:rPr>
              <w:t>300036</w:t>
            </w:r>
          </w:p>
        </w:tc>
        <w:tc>
          <w:tcPr>
            <w:tcW w:w="1980" w:type="dxa"/>
            <w:vAlign w:val="center"/>
          </w:tcPr>
          <w:p>
            <w:pPr>
              <w:jc w:val="center"/>
            </w:pPr>
            <w:r>
              <w:rPr>
                <w:color w:val="000000"/>
                <w:sz w:val="24"/>
              </w:rPr>
              <w:t>超图软件</w:t>
            </w:r>
          </w:p>
        </w:tc>
        <w:tc>
          <w:tcPr>
            <w:tcW w:w="2880" w:type="dxa"/>
            <w:vAlign w:val="center"/>
          </w:tcPr>
          <w:p>
            <w:pPr>
              <w:jc w:val="right"/>
            </w:pPr>
            <w:r>
              <w:rPr>
                <w:color w:val="000000"/>
                <w:sz w:val="24"/>
              </w:rPr>
              <w:t>37,825,679.05</w:t>
            </w:r>
          </w:p>
        </w:tc>
        <w:tc>
          <w:tcPr>
            <w:tcW w:w="1620" w:type="dxa"/>
            <w:vAlign w:val="center"/>
          </w:tcPr>
          <w:p>
            <w:pPr>
              <w:jc w:val="right"/>
            </w:pPr>
            <w:r>
              <w:rPr>
                <w:color w:val="000000"/>
                <w:sz w:val="24"/>
              </w:rPr>
              <w:t>15.62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w:t>
            </w:r>
          </w:p>
        </w:tc>
        <w:tc>
          <w:tcPr>
            <w:tcW w:w="1650" w:type="dxa"/>
            <w:vAlign w:val="center"/>
          </w:tcPr>
          <w:p>
            <w:pPr>
              <w:jc w:val="center"/>
            </w:pPr>
            <w:r>
              <w:rPr>
                <w:color w:val="000000"/>
                <w:sz w:val="24"/>
              </w:rPr>
              <w:t>300188</w:t>
            </w:r>
          </w:p>
        </w:tc>
        <w:tc>
          <w:tcPr>
            <w:tcW w:w="1980" w:type="dxa"/>
            <w:vAlign w:val="center"/>
          </w:tcPr>
          <w:p>
            <w:pPr>
              <w:jc w:val="center"/>
            </w:pPr>
            <w:r>
              <w:rPr>
                <w:color w:val="000000"/>
                <w:sz w:val="24"/>
              </w:rPr>
              <w:t>美亚柏科</w:t>
            </w:r>
          </w:p>
        </w:tc>
        <w:tc>
          <w:tcPr>
            <w:tcW w:w="2880" w:type="dxa"/>
            <w:vAlign w:val="center"/>
          </w:tcPr>
          <w:p>
            <w:pPr>
              <w:jc w:val="right"/>
            </w:pPr>
            <w:r>
              <w:rPr>
                <w:color w:val="000000"/>
                <w:sz w:val="24"/>
              </w:rPr>
              <w:t>37,735,726.76</w:t>
            </w:r>
          </w:p>
        </w:tc>
        <w:tc>
          <w:tcPr>
            <w:tcW w:w="1620" w:type="dxa"/>
            <w:vAlign w:val="center"/>
          </w:tcPr>
          <w:p>
            <w:pPr>
              <w:jc w:val="right"/>
            </w:pPr>
            <w:r>
              <w:rPr>
                <w:color w:val="000000"/>
                <w:sz w:val="24"/>
              </w:rPr>
              <w:t>15.58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w:t>
            </w:r>
          </w:p>
        </w:tc>
        <w:tc>
          <w:tcPr>
            <w:tcW w:w="1650" w:type="dxa"/>
            <w:vAlign w:val="center"/>
          </w:tcPr>
          <w:p>
            <w:pPr>
              <w:jc w:val="center"/>
            </w:pPr>
            <w:r>
              <w:rPr>
                <w:color w:val="000000"/>
                <w:sz w:val="24"/>
              </w:rPr>
              <w:t>300572</w:t>
            </w:r>
          </w:p>
        </w:tc>
        <w:tc>
          <w:tcPr>
            <w:tcW w:w="1980" w:type="dxa"/>
            <w:vAlign w:val="center"/>
          </w:tcPr>
          <w:p>
            <w:pPr>
              <w:jc w:val="center"/>
            </w:pPr>
            <w:r>
              <w:rPr>
                <w:color w:val="000000"/>
                <w:sz w:val="24"/>
              </w:rPr>
              <w:t>安车检测</w:t>
            </w:r>
          </w:p>
        </w:tc>
        <w:tc>
          <w:tcPr>
            <w:tcW w:w="2880" w:type="dxa"/>
            <w:vAlign w:val="center"/>
          </w:tcPr>
          <w:p>
            <w:pPr>
              <w:jc w:val="right"/>
            </w:pPr>
            <w:r>
              <w:rPr>
                <w:color w:val="000000"/>
                <w:sz w:val="24"/>
              </w:rPr>
              <w:t>37,305,723.99</w:t>
            </w:r>
          </w:p>
        </w:tc>
        <w:tc>
          <w:tcPr>
            <w:tcW w:w="1620" w:type="dxa"/>
            <w:vAlign w:val="center"/>
          </w:tcPr>
          <w:p>
            <w:pPr>
              <w:jc w:val="right"/>
            </w:pPr>
            <w:r>
              <w:rPr>
                <w:color w:val="000000"/>
                <w:sz w:val="24"/>
              </w:rPr>
              <w:t>15.40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w:t>
            </w:r>
          </w:p>
        </w:tc>
        <w:tc>
          <w:tcPr>
            <w:tcW w:w="1650" w:type="dxa"/>
            <w:vAlign w:val="center"/>
          </w:tcPr>
          <w:p>
            <w:pPr>
              <w:jc w:val="center"/>
            </w:pPr>
            <w:r>
              <w:rPr>
                <w:color w:val="000000"/>
                <w:sz w:val="24"/>
              </w:rPr>
              <w:t>300395</w:t>
            </w:r>
          </w:p>
        </w:tc>
        <w:tc>
          <w:tcPr>
            <w:tcW w:w="1980" w:type="dxa"/>
            <w:vAlign w:val="center"/>
          </w:tcPr>
          <w:p>
            <w:pPr>
              <w:jc w:val="center"/>
            </w:pPr>
            <w:r>
              <w:rPr>
                <w:color w:val="000000"/>
                <w:sz w:val="24"/>
              </w:rPr>
              <w:t>菲利华</w:t>
            </w:r>
          </w:p>
        </w:tc>
        <w:tc>
          <w:tcPr>
            <w:tcW w:w="2880" w:type="dxa"/>
            <w:vAlign w:val="center"/>
          </w:tcPr>
          <w:p>
            <w:pPr>
              <w:jc w:val="right"/>
            </w:pPr>
            <w:r>
              <w:rPr>
                <w:color w:val="000000"/>
                <w:sz w:val="24"/>
              </w:rPr>
              <w:t>30,869,241.89</w:t>
            </w:r>
          </w:p>
        </w:tc>
        <w:tc>
          <w:tcPr>
            <w:tcW w:w="1620" w:type="dxa"/>
            <w:vAlign w:val="center"/>
          </w:tcPr>
          <w:p>
            <w:pPr>
              <w:jc w:val="right"/>
            </w:pPr>
            <w:r>
              <w:rPr>
                <w:color w:val="000000"/>
                <w:sz w:val="24"/>
              </w:rPr>
              <w:t>12.75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w:t>
            </w:r>
          </w:p>
        </w:tc>
        <w:tc>
          <w:tcPr>
            <w:tcW w:w="1650" w:type="dxa"/>
            <w:vAlign w:val="center"/>
          </w:tcPr>
          <w:p>
            <w:pPr>
              <w:jc w:val="center"/>
            </w:pPr>
            <w:r>
              <w:rPr>
                <w:color w:val="000000"/>
                <w:sz w:val="24"/>
              </w:rPr>
              <w:t>300782</w:t>
            </w:r>
          </w:p>
        </w:tc>
        <w:tc>
          <w:tcPr>
            <w:tcW w:w="1980" w:type="dxa"/>
            <w:vAlign w:val="center"/>
          </w:tcPr>
          <w:p>
            <w:pPr>
              <w:jc w:val="center"/>
            </w:pPr>
            <w:r>
              <w:rPr>
                <w:color w:val="000000"/>
                <w:sz w:val="24"/>
              </w:rPr>
              <w:t>卓胜微</w:t>
            </w:r>
          </w:p>
        </w:tc>
        <w:tc>
          <w:tcPr>
            <w:tcW w:w="2880" w:type="dxa"/>
            <w:vAlign w:val="center"/>
          </w:tcPr>
          <w:p>
            <w:pPr>
              <w:jc w:val="right"/>
            </w:pPr>
            <w:r>
              <w:rPr>
                <w:color w:val="000000"/>
                <w:sz w:val="24"/>
              </w:rPr>
              <w:t>30,649,482.05</w:t>
            </w:r>
          </w:p>
        </w:tc>
        <w:tc>
          <w:tcPr>
            <w:tcW w:w="1620" w:type="dxa"/>
            <w:vAlign w:val="center"/>
          </w:tcPr>
          <w:p>
            <w:pPr>
              <w:jc w:val="right"/>
            </w:pPr>
            <w:r>
              <w:rPr>
                <w:color w:val="000000"/>
                <w:sz w:val="24"/>
              </w:rPr>
              <w:t>12.65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w:t>
            </w:r>
          </w:p>
        </w:tc>
        <w:tc>
          <w:tcPr>
            <w:tcW w:w="1650" w:type="dxa"/>
            <w:vAlign w:val="center"/>
          </w:tcPr>
          <w:p>
            <w:pPr>
              <w:jc w:val="center"/>
            </w:pPr>
            <w:r>
              <w:rPr>
                <w:color w:val="000000"/>
                <w:sz w:val="24"/>
              </w:rPr>
              <w:t>300454</w:t>
            </w:r>
          </w:p>
        </w:tc>
        <w:tc>
          <w:tcPr>
            <w:tcW w:w="1980" w:type="dxa"/>
            <w:vAlign w:val="center"/>
          </w:tcPr>
          <w:p>
            <w:pPr>
              <w:jc w:val="center"/>
            </w:pPr>
            <w:r>
              <w:rPr>
                <w:color w:val="000000"/>
                <w:sz w:val="24"/>
              </w:rPr>
              <w:t>深信服</w:t>
            </w:r>
          </w:p>
        </w:tc>
        <w:tc>
          <w:tcPr>
            <w:tcW w:w="2880" w:type="dxa"/>
            <w:vAlign w:val="center"/>
          </w:tcPr>
          <w:p>
            <w:pPr>
              <w:jc w:val="right"/>
            </w:pPr>
            <w:r>
              <w:rPr>
                <w:color w:val="000000"/>
                <w:sz w:val="24"/>
              </w:rPr>
              <w:t>28,429,992.00</w:t>
            </w:r>
          </w:p>
        </w:tc>
        <w:tc>
          <w:tcPr>
            <w:tcW w:w="1620" w:type="dxa"/>
            <w:vAlign w:val="center"/>
          </w:tcPr>
          <w:p>
            <w:pPr>
              <w:jc w:val="right"/>
            </w:pPr>
            <w:r>
              <w:rPr>
                <w:color w:val="000000"/>
                <w:sz w:val="24"/>
              </w:rPr>
              <w:t>11.74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w:t>
            </w:r>
          </w:p>
        </w:tc>
        <w:tc>
          <w:tcPr>
            <w:tcW w:w="1650" w:type="dxa"/>
            <w:vAlign w:val="center"/>
          </w:tcPr>
          <w:p>
            <w:pPr>
              <w:jc w:val="center"/>
            </w:pPr>
            <w:r>
              <w:rPr>
                <w:color w:val="000000"/>
                <w:sz w:val="24"/>
              </w:rPr>
              <w:t>002049</w:t>
            </w:r>
          </w:p>
        </w:tc>
        <w:tc>
          <w:tcPr>
            <w:tcW w:w="1980" w:type="dxa"/>
            <w:vAlign w:val="center"/>
          </w:tcPr>
          <w:p>
            <w:pPr>
              <w:jc w:val="center"/>
            </w:pPr>
            <w:r>
              <w:rPr>
                <w:color w:val="000000"/>
                <w:sz w:val="24"/>
              </w:rPr>
              <w:t>紫光国微</w:t>
            </w:r>
          </w:p>
        </w:tc>
        <w:tc>
          <w:tcPr>
            <w:tcW w:w="2880" w:type="dxa"/>
            <w:vAlign w:val="center"/>
          </w:tcPr>
          <w:p>
            <w:pPr>
              <w:jc w:val="right"/>
            </w:pPr>
            <w:r>
              <w:rPr>
                <w:color w:val="000000"/>
                <w:sz w:val="24"/>
              </w:rPr>
              <w:t>28,264,126.72</w:t>
            </w:r>
          </w:p>
        </w:tc>
        <w:tc>
          <w:tcPr>
            <w:tcW w:w="1620" w:type="dxa"/>
            <w:vAlign w:val="center"/>
          </w:tcPr>
          <w:p>
            <w:pPr>
              <w:jc w:val="right"/>
            </w:pPr>
            <w:r>
              <w:rPr>
                <w:color w:val="000000"/>
                <w:sz w:val="24"/>
              </w:rPr>
              <w:t>11.67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11</w:t>
            </w:r>
          </w:p>
        </w:tc>
        <w:tc>
          <w:tcPr>
            <w:tcW w:w="1650" w:type="dxa"/>
            <w:vAlign w:val="center"/>
          </w:tcPr>
          <w:p>
            <w:pPr>
              <w:jc w:val="center"/>
            </w:pPr>
            <w:r>
              <w:rPr>
                <w:color w:val="000000"/>
                <w:sz w:val="24"/>
              </w:rPr>
              <w:t>000725</w:t>
            </w:r>
          </w:p>
        </w:tc>
        <w:tc>
          <w:tcPr>
            <w:tcW w:w="1980" w:type="dxa"/>
            <w:vAlign w:val="center"/>
          </w:tcPr>
          <w:p>
            <w:pPr>
              <w:jc w:val="center"/>
            </w:pPr>
            <w:r>
              <w:rPr>
                <w:color w:val="000000"/>
                <w:sz w:val="24"/>
              </w:rPr>
              <w:t>京东方A</w:t>
            </w:r>
          </w:p>
        </w:tc>
        <w:tc>
          <w:tcPr>
            <w:tcW w:w="2880" w:type="dxa"/>
            <w:vAlign w:val="center"/>
          </w:tcPr>
          <w:p>
            <w:pPr>
              <w:jc w:val="right"/>
            </w:pPr>
            <w:r>
              <w:rPr>
                <w:color w:val="000000"/>
                <w:sz w:val="24"/>
              </w:rPr>
              <w:t>28,248,454.58</w:t>
            </w:r>
          </w:p>
        </w:tc>
        <w:tc>
          <w:tcPr>
            <w:tcW w:w="1620" w:type="dxa"/>
            <w:vAlign w:val="center"/>
          </w:tcPr>
          <w:p>
            <w:pPr>
              <w:jc w:val="right"/>
            </w:pPr>
            <w:r>
              <w:rPr>
                <w:color w:val="000000"/>
                <w:sz w:val="24"/>
              </w:rPr>
              <w:t>11.66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12</w:t>
            </w:r>
          </w:p>
        </w:tc>
        <w:tc>
          <w:tcPr>
            <w:tcW w:w="1650" w:type="dxa"/>
            <w:vAlign w:val="center"/>
          </w:tcPr>
          <w:p>
            <w:pPr>
              <w:jc w:val="center"/>
            </w:pPr>
            <w:r>
              <w:rPr>
                <w:color w:val="000000"/>
                <w:sz w:val="24"/>
              </w:rPr>
              <w:t>603885</w:t>
            </w:r>
          </w:p>
        </w:tc>
        <w:tc>
          <w:tcPr>
            <w:tcW w:w="1980" w:type="dxa"/>
            <w:vAlign w:val="center"/>
          </w:tcPr>
          <w:p>
            <w:pPr>
              <w:jc w:val="center"/>
            </w:pPr>
            <w:r>
              <w:rPr>
                <w:color w:val="000000"/>
                <w:sz w:val="24"/>
              </w:rPr>
              <w:t>吉祥航空</w:t>
            </w:r>
          </w:p>
        </w:tc>
        <w:tc>
          <w:tcPr>
            <w:tcW w:w="2880" w:type="dxa"/>
            <w:vAlign w:val="center"/>
          </w:tcPr>
          <w:p>
            <w:pPr>
              <w:jc w:val="right"/>
            </w:pPr>
            <w:r>
              <w:rPr>
                <w:color w:val="000000"/>
                <w:sz w:val="24"/>
              </w:rPr>
              <w:t>27,194,468.86</w:t>
            </w:r>
          </w:p>
        </w:tc>
        <w:tc>
          <w:tcPr>
            <w:tcW w:w="1620" w:type="dxa"/>
            <w:vAlign w:val="center"/>
          </w:tcPr>
          <w:p>
            <w:pPr>
              <w:jc w:val="right"/>
            </w:pPr>
            <w:r>
              <w:rPr>
                <w:color w:val="000000"/>
                <w:sz w:val="24"/>
              </w:rPr>
              <w:t>11.23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13</w:t>
            </w:r>
          </w:p>
        </w:tc>
        <w:tc>
          <w:tcPr>
            <w:tcW w:w="1650" w:type="dxa"/>
            <w:vAlign w:val="center"/>
          </w:tcPr>
          <w:p>
            <w:pPr>
              <w:jc w:val="center"/>
            </w:pPr>
            <w:r>
              <w:rPr>
                <w:color w:val="000000"/>
                <w:sz w:val="24"/>
              </w:rPr>
              <w:t>601318</w:t>
            </w:r>
          </w:p>
        </w:tc>
        <w:tc>
          <w:tcPr>
            <w:tcW w:w="1980" w:type="dxa"/>
            <w:vAlign w:val="center"/>
          </w:tcPr>
          <w:p>
            <w:pPr>
              <w:jc w:val="center"/>
            </w:pPr>
            <w:r>
              <w:rPr>
                <w:color w:val="000000"/>
                <w:sz w:val="24"/>
              </w:rPr>
              <w:t>中国平安</w:t>
            </w:r>
          </w:p>
        </w:tc>
        <w:tc>
          <w:tcPr>
            <w:tcW w:w="2880" w:type="dxa"/>
            <w:vAlign w:val="center"/>
          </w:tcPr>
          <w:p>
            <w:pPr>
              <w:jc w:val="right"/>
            </w:pPr>
            <w:r>
              <w:rPr>
                <w:color w:val="000000"/>
                <w:sz w:val="24"/>
              </w:rPr>
              <w:t>26,647,147.94</w:t>
            </w:r>
          </w:p>
        </w:tc>
        <w:tc>
          <w:tcPr>
            <w:tcW w:w="1620" w:type="dxa"/>
            <w:vAlign w:val="center"/>
          </w:tcPr>
          <w:p>
            <w:pPr>
              <w:jc w:val="right"/>
            </w:pPr>
            <w:r>
              <w:rPr>
                <w:color w:val="000000"/>
                <w:sz w:val="24"/>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14</w:t>
            </w:r>
          </w:p>
        </w:tc>
        <w:tc>
          <w:tcPr>
            <w:tcW w:w="1650" w:type="dxa"/>
            <w:vAlign w:val="center"/>
          </w:tcPr>
          <w:p>
            <w:pPr>
              <w:jc w:val="center"/>
            </w:pPr>
            <w:r>
              <w:rPr>
                <w:color w:val="000000"/>
                <w:sz w:val="24"/>
              </w:rPr>
              <w:t>002439</w:t>
            </w:r>
          </w:p>
        </w:tc>
        <w:tc>
          <w:tcPr>
            <w:tcW w:w="1980" w:type="dxa"/>
            <w:vAlign w:val="center"/>
          </w:tcPr>
          <w:p>
            <w:pPr>
              <w:jc w:val="center"/>
            </w:pPr>
            <w:r>
              <w:rPr>
                <w:color w:val="000000"/>
                <w:sz w:val="24"/>
              </w:rPr>
              <w:t>启明星辰</w:t>
            </w:r>
          </w:p>
        </w:tc>
        <w:tc>
          <w:tcPr>
            <w:tcW w:w="2880" w:type="dxa"/>
            <w:vAlign w:val="center"/>
          </w:tcPr>
          <w:p>
            <w:pPr>
              <w:jc w:val="right"/>
            </w:pPr>
            <w:r>
              <w:rPr>
                <w:color w:val="000000"/>
                <w:sz w:val="24"/>
              </w:rPr>
              <w:t>26,410,947.66</w:t>
            </w:r>
          </w:p>
        </w:tc>
        <w:tc>
          <w:tcPr>
            <w:tcW w:w="1620" w:type="dxa"/>
            <w:vAlign w:val="center"/>
          </w:tcPr>
          <w:p>
            <w:pPr>
              <w:jc w:val="right"/>
            </w:pPr>
            <w:r>
              <w:rPr>
                <w:color w:val="000000"/>
                <w:sz w:val="24"/>
              </w:rPr>
              <w:t>10.90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15</w:t>
            </w:r>
          </w:p>
        </w:tc>
        <w:tc>
          <w:tcPr>
            <w:tcW w:w="1650" w:type="dxa"/>
            <w:vAlign w:val="center"/>
          </w:tcPr>
          <w:p>
            <w:pPr>
              <w:jc w:val="center"/>
            </w:pPr>
            <w:r>
              <w:rPr>
                <w:color w:val="000000"/>
                <w:sz w:val="24"/>
              </w:rPr>
              <w:t>002352</w:t>
            </w:r>
          </w:p>
        </w:tc>
        <w:tc>
          <w:tcPr>
            <w:tcW w:w="1980" w:type="dxa"/>
            <w:vAlign w:val="center"/>
          </w:tcPr>
          <w:p>
            <w:pPr>
              <w:jc w:val="center"/>
            </w:pPr>
            <w:r>
              <w:rPr>
                <w:color w:val="000000"/>
                <w:sz w:val="24"/>
              </w:rPr>
              <w:t>顺丰控股</w:t>
            </w:r>
          </w:p>
        </w:tc>
        <w:tc>
          <w:tcPr>
            <w:tcW w:w="2880" w:type="dxa"/>
            <w:vAlign w:val="center"/>
          </w:tcPr>
          <w:p>
            <w:pPr>
              <w:jc w:val="right"/>
            </w:pPr>
            <w:r>
              <w:rPr>
                <w:color w:val="000000"/>
                <w:sz w:val="24"/>
              </w:rPr>
              <w:t>25,486,358.00</w:t>
            </w:r>
          </w:p>
        </w:tc>
        <w:tc>
          <w:tcPr>
            <w:tcW w:w="1620" w:type="dxa"/>
            <w:vAlign w:val="center"/>
          </w:tcPr>
          <w:p>
            <w:pPr>
              <w:jc w:val="right"/>
            </w:pPr>
            <w:r>
              <w:rPr>
                <w:color w:val="000000"/>
                <w:sz w:val="24"/>
              </w:rPr>
              <w:t>10.52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16</w:t>
            </w:r>
          </w:p>
        </w:tc>
        <w:tc>
          <w:tcPr>
            <w:tcW w:w="1650" w:type="dxa"/>
            <w:vAlign w:val="center"/>
          </w:tcPr>
          <w:p>
            <w:pPr>
              <w:jc w:val="center"/>
            </w:pPr>
            <w:r>
              <w:rPr>
                <w:color w:val="000000"/>
                <w:sz w:val="24"/>
              </w:rPr>
              <w:t>603678</w:t>
            </w:r>
          </w:p>
        </w:tc>
        <w:tc>
          <w:tcPr>
            <w:tcW w:w="1980" w:type="dxa"/>
            <w:vAlign w:val="center"/>
          </w:tcPr>
          <w:p>
            <w:pPr>
              <w:jc w:val="center"/>
            </w:pPr>
            <w:r>
              <w:rPr>
                <w:color w:val="000000"/>
                <w:sz w:val="24"/>
              </w:rPr>
              <w:t>火炬电子</w:t>
            </w:r>
          </w:p>
        </w:tc>
        <w:tc>
          <w:tcPr>
            <w:tcW w:w="2880" w:type="dxa"/>
            <w:vAlign w:val="center"/>
          </w:tcPr>
          <w:p>
            <w:pPr>
              <w:jc w:val="right"/>
            </w:pPr>
            <w:r>
              <w:rPr>
                <w:color w:val="000000"/>
                <w:sz w:val="24"/>
              </w:rPr>
              <w:t>25,258,226.99</w:t>
            </w:r>
          </w:p>
        </w:tc>
        <w:tc>
          <w:tcPr>
            <w:tcW w:w="1620" w:type="dxa"/>
            <w:vAlign w:val="center"/>
          </w:tcPr>
          <w:p>
            <w:pPr>
              <w:jc w:val="right"/>
            </w:pPr>
            <w:r>
              <w:rPr>
                <w:color w:val="000000"/>
                <w:sz w:val="24"/>
              </w:rPr>
              <w:t>10.43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17</w:t>
            </w:r>
          </w:p>
        </w:tc>
        <w:tc>
          <w:tcPr>
            <w:tcW w:w="1650" w:type="dxa"/>
            <w:vAlign w:val="center"/>
          </w:tcPr>
          <w:p>
            <w:pPr>
              <w:jc w:val="center"/>
            </w:pPr>
            <w:r>
              <w:rPr>
                <w:color w:val="000000"/>
                <w:sz w:val="24"/>
              </w:rPr>
              <w:t>688008</w:t>
            </w:r>
          </w:p>
        </w:tc>
        <w:tc>
          <w:tcPr>
            <w:tcW w:w="1980" w:type="dxa"/>
            <w:vAlign w:val="center"/>
          </w:tcPr>
          <w:p>
            <w:pPr>
              <w:jc w:val="center"/>
            </w:pPr>
            <w:r>
              <w:rPr>
                <w:color w:val="000000"/>
                <w:sz w:val="24"/>
              </w:rPr>
              <w:t>澜起科技</w:t>
            </w:r>
          </w:p>
        </w:tc>
        <w:tc>
          <w:tcPr>
            <w:tcW w:w="2880" w:type="dxa"/>
            <w:vAlign w:val="center"/>
          </w:tcPr>
          <w:p>
            <w:pPr>
              <w:jc w:val="right"/>
            </w:pPr>
            <w:r>
              <w:rPr>
                <w:color w:val="000000"/>
                <w:sz w:val="24"/>
              </w:rPr>
              <w:t>23,730,767.43</w:t>
            </w:r>
          </w:p>
        </w:tc>
        <w:tc>
          <w:tcPr>
            <w:tcW w:w="1620" w:type="dxa"/>
            <w:vAlign w:val="center"/>
          </w:tcPr>
          <w:p>
            <w:pPr>
              <w:jc w:val="right"/>
            </w:pPr>
            <w:r>
              <w:rPr>
                <w:color w:val="000000"/>
                <w:sz w:val="24"/>
              </w:rPr>
              <w:t>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18</w:t>
            </w:r>
          </w:p>
        </w:tc>
        <w:tc>
          <w:tcPr>
            <w:tcW w:w="1650" w:type="dxa"/>
            <w:vAlign w:val="center"/>
          </w:tcPr>
          <w:p>
            <w:pPr>
              <w:jc w:val="center"/>
            </w:pPr>
            <w:r>
              <w:rPr>
                <w:color w:val="000000"/>
                <w:sz w:val="24"/>
              </w:rPr>
              <w:t>000651</w:t>
            </w:r>
          </w:p>
        </w:tc>
        <w:tc>
          <w:tcPr>
            <w:tcW w:w="1980" w:type="dxa"/>
            <w:vAlign w:val="center"/>
          </w:tcPr>
          <w:p>
            <w:pPr>
              <w:jc w:val="center"/>
            </w:pPr>
            <w:r>
              <w:rPr>
                <w:color w:val="000000"/>
                <w:sz w:val="24"/>
              </w:rPr>
              <w:t>格力电器</w:t>
            </w:r>
          </w:p>
        </w:tc>
        <w:tc>
          <w:tcPr>
            <w:tcW w:w="2880" w:type="dxa"/>
            <w:vAlign w:val="center"/>
          </w:tcPr>
          <w:p>
            <w:pPr>
              <w:jc w:val="right"/>
            </w:pPr>
            <w:r>
              <w:rPr>
                <w:color w:val="000000"/>
                <w:sz w:val="24"/>
              </w:rPr>
              <w:t>23,599,368.00</w:t>
            </w:r>
          </w:p>
        </w:tc>
        <w:tc>
          <w:tcPr>
            <w:tcW w:w="1620" w:type="dxa"/>
            <w:vAlign w:val="center"/>
          </w:tcPr>
          <w:p>
            <w:pPr>
              <w:jc w:val="right"/>
            </w:pPr>
            <w:r>
              <w:rPr>
                <w:color w:val="000000"/>
                <w:sz w:val="24"/>
              </w:rPr>
              <w:t>9.74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19</w:t>
            </w:r>
          </w:p>
        </w:tc>
        <w:tc>
          <w:tcPr>
            <w:tcW w:w="1650" w:type="dxa"/>
            <w:vAlign w:val="center"/>
          </w:tcPr>
          <w:p>
            <w:pPr>
              <w:jc w:val="center"/>
            </w:pPr>
            <w:r>
              <w:rPr>
                <w:color w:val="000000"/>
                <w:sz w:val="24"/>
              </w:rPr>
              <w:t>600176</w:t>
            </w:r>
          </w:p>
        </w:tc>
        <w:tc>
          <w:tcPr>
            <w:tcW w:w="1980" w:type="dxa"/>
            <w:vAlign w:val="center"/>
          </w:tcPr>
          <w:p>
            <w:pPr>
              <w:jc w:val="center"/>
            </w:pPr>
            <w:r>
              <w:rPr>
                <w:color w:val="000000"/>
                <w:sz w:val="24"/>
              </w:rPr>
              <w:t>中国巨石</w:t>
            </w:r>
          </w:p>
        </w:tc>
        <w:tc>
          <w:tcPr>
            <w:tcW w:w="2880" w:type="dxa"/>
            <w:vAlign w:val="center"/>
          </w:tcPr>
          <w:p>
            <w:pPr>
              <w:jc w:val="right"/>
            </w:pPr>
            <w:r>
              <w:rPr>
                <w:color w:val="000000"/>
                <w:sz w:val="24"/>
              </w:rPr>
              <w:t>23,227,198.69</w:t>
            </w:r>
          </w:p>
        </w:tc>
        <w:tc>
          <w:tcPr>
            <w:tcW w:w="1620" w:type="dxa"/>
            <w:vAlign w:val="center"/>
          </w:tcPr>
          <w:p>
            <w:pPr>
              <w:jc w:val="right"/>
            </w:pPr>
            <w:r>
              <w:rPr>
                <w:color w:val="000000"/>
                <w:sz w:val="24"/>
              </w:rPr>
              <w:t>9.59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20</w:t>
            </w:r>
          </w:p>
        </w:tc>
        <w:tc>
          <w:tcPr>
            <w:tcW w:w="1650" w:type="dxa"/>
            <w:vAlign w:val="center"/>
          </w:tcPr>
          <w:p>
            <w:pPr>
              <w:jc w:val="center"/>
            </w:pPr>
            <w:r>
              <w:rPr>
                <w:color w:val="000000"/>
                <w:sz w:val="24"/>
              </w:rPr>
              <w:t>603195</w:t>
            </w:r>
          </w:p>
        </w:tc>
        <w:tc>
          <w:tcPr>
            <w:tcW w:w="1980" w:type="dxa"/>
            <w:vAlign w:val="center"/>
          </w:tcPr>
          <w:p>
            <w:pPr>
              <w:jc w:val="center"/>
            </w:pPr>
            <w:r>
              <w:rPr>
                <w:color w:val="000000"/>
                <w:sz w:val="24"/>
              </w:rPr>
              <w:t>公牛集团</w:t>
            </w:r>
          </w:p>
        </w:tc>
        <w:tc>
          <w:tcPr>
            <w:tcW w:w="2880" w:type="dxa"/>
            <w:vAlign w:val="center"/>
          </w:tcPr>
          <w:p>
            <w:pPr>
              <w:jc w:val="right"/>
            </w:pPr>
            <w:r>
              <w:rPr>
                <w:color w:val="000000"/>
                <w:sz w:val="24"/>
              </w:rPr>
              <w:t>21,517,972.98</w:t>
            </w:r>
          </w:p>
        </w:tc>
        <w:tc>
          <w:tcPr>
            <w:tcW w:w="1620" w:type="dxa"/>
            <w:vAlign w:val="center"/>
          </w:tcPr>
          <w:p>
            <w:pPr>
              <w:jc w:val="right"/>
            </w:pPr>
            <w:r>
              <w:rPr>
                <w:color w:val="000000"/>
                <w:sz w:val="24"/>
              </w:rPr>
              <w:t>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21</w:t>
            </w:r>
          </w:p>
        </w:tc>
        <w:tc>
          <w:tcPr>
            <w:tcW w:w="1650" w:type="dxa"/>
            <w:vAlign w:val="center"/>
          </w:tcPr>
          <w:p>
            <w:pPr>
              <w:jc w:val="center"/>
            </w:pPr>
            <w:r>
              <w:rPr>
                <w:color w:val="000000"/>
                <w:sz w:val="24"/>
              </w:rPr>
              <w:t>300059</w:t>
            </w:r>
          </w:p>
        </w:tc>
        <w:tc>
          <w:tcPr>
            <w:tcW w:w="1980" w:type="dxa"/>
            <w:vAlign w:val="center"/>
          </w:tcPr>
          <w:p>
            <w:pPr>
              <w:jc w:val="center"/>
            </w:pPr>
            <w:r>
              <w:rPr>
                <w:color w:val="000000"/>
                <w:sz w:val="24"/>
              </w:rPr>
              <w:t>东方财富</w:t>
            </w:r>
          </w:p>
        </w:tc>
        <w:tc>
          <w:tcPr>
            <w:tcW w:w="2880" w:type="dxa"/>
            <w:vAlign w:val="center"/>
          </w:tcPr>
          <w:p>
            <w:pPr>
              <w:jc w:val="right"/>
            </w:pPr>
            <w:r>
              <w:rPr>
                <w:color w:val="000000"/>
                <w:sz w:val="24"/>
              </w:rPr>
              <w:t>21,450,699.80</w:t>
            </w:r>
          </w:p>
        </w:tc>
        <w:tc>
          <w:tcPr>
            <w:tcW w:w="1620" w:type="dxa"/>
            <w:vAlign w:val="center"/>
          </w:tcPr>
          <w:p>
            <w:pPr>
              <w:jc w:val="right"/>
            </w:pPr>
            <w:r>
              <w:rPr>
                <w:color w:val="000000"/>
                <w:sz w:val="24"/>
              </w:rPr>
              <w:t>8.86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22</w:t>
            </w:r>
          </w:p>
        </w:tc>
        <w:tc>
          <w:tcPr>
            <w:tcW w:w="1650" w:type="dxa"/>
            <w:vAlign w:val="center"/>
          </w:tcPr>
          <w:p>
            <w:pPr>
              <w:jc w:val="center"/>
            </w:pPr>
            <w:r>
              <w:rPr>
                <w:color w:val="000000"/>
                <w:sz w:val="24"/>
              </w:rPr>
              <w:t>300724</w:t>
            </w:r>
          </w:p>
        </w:tc>
        <w:tc>
          <w:tcPr>
            <w:tcW w:w="1980" w:type="dxa"/>
            <w:vAlign w:val="center"/>
          </w:tcPr>
          <w:p>
            <w:pPr>
              <w:jc w:val="center"/>
            </w:pPr>
            <w:r>
              <w:rPr>
                <w:color w:val="000000"/>
                <w:sz w:val="24"/>
              </w:rPr>
              <w:t>捷佳伟创</w:t>
            </w:r>
          </w:p>
        </w:tc>
        <w:tc>
          <w:tcPr>
            <w:tcW w:w="2880" w:type="dxa"/>
            <w:vAlign w:val="center"/>
          </w:tcPr>
          <w:p>
            <w:pPr>
              <w:jc w:val="right"/>
            </w:pPr>
            <w:r>
              <w:rPr>
                <w:color w:val="000000"/>
                <w:sz w:val="24"/>
              </w:rPr>
              <w:t>21,305,243.02</w:t>
            </w:r>
          </w:p>
        </w:tc>
        <w:tc>
          <w:tcPr>
            <w:tcW w:w="1620" w:type="dxa"/>
            <w:vAlign w:val="center"/>
          </w:tcPr>
          <w:p>
            <w:pPr>
              <w:jc w:val="right"/>
            </w:pPr>
            <w:r>
              <w:rPr>
                <w:color w:val="000000"/>
                <w:sz w:val="24"/>
              </w:rPr>
              <w:t>8.80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23</w:t>
            </w:r>
          </w:p>
        </w:tc>
        <w:tc>
          <w:tcPr>
            <w:tcW w:w="1650" w:type="dxa"/>
            <w:vAlign w:val="center"/>
          </w:tcPr>
          <w:p>
            <w:pPr>
              <w:jc w:val="center"/>
            </w:pPr>
            <w:r>
              <w:rPr>
                <w:color w:val="000000"/>
                <w:sz w:val="24"/>
              </w:rPr>
              <w:t>603290</w:t>
            </w:r>
          </w:p>
        </w:tc>
        <w:tc>
          <w:tcPr>
            <w:tcW w:w="1980" w:type="dxa"/>
            <w:vAlign w:val="center"/>
          </w:tcPr>
          <w:p>
            <w:pPr>
              <w:jc w:val="center"/>
            </w:pPr>
            <w:r>
              <w:rPr>
                <w:color w:val="000000"/>
                <w:sz w:val="24"/>
              </w:rPr>
              <w:t>斯达半导</w:t>
            </w:r>
          </w:p>
        </w:tc>
        <w:tc>
          <w:tcPr>
            <w:tcW w:w="2880" w:type="dxa"/>
            <w:vAlign w:val="center"/>
          </w:tcPr>
          <w:p>
            <w:pPr>
              <w:jc w:val="right"/>
            </w:pPr>
            <w:r>
              <w:rPr>
                <w:color w:val="000000"/>
                <w:sz w:val="24"/>
              </w:rPr>
              <w:t>19,660,952.00</w:t>
            </w:r>
          </w:p>
        </w:tc>
        <w:tc>
          <w:tcPr>
            <w:tcW w:w="1620" w:type="dxa"/>
            <w:vAlign w:val="center"/>
          </w:tcPr>
          <w:p>
            <w:pPr>
              <w:jc w:val="right"/>
            </w:pPr>
            <w:r>
              <w:rPr>
                <w:color w:val="000000"/>
                <w:sz w:val="24"/>
              </w:rPr>
              <w:t>8.12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24</w:t>
            </w:r>
          </w:p>
        </w:tc>
        <w:tc>
          <w:tcPr>
            <w:tcW w:w="1650" w:type="dxa"/>
            <w:vAlign w:val="center"/>
          </w:tcPr>
          <w:p>
            <w:pPr>
              <w:jc w:val="center"/>
            </w:pPr>
            <w:r>
              <w:rPr>
                <w:color w:val="000000"/>
                <w:sz w:val="24"/>
              </w:rPr>
              <w:t>300142</w:t>
            </w:r>
          </w:p>
        </w:tc>
        <w:tc>
          <w:tcPr>
            <w:tcW w:w="1980" w:type="dxa"/>
            <w:vAlign w:val="center"/>
          </w:tcPr>
          <w:p>
            <w:pPr>
              <w:jc w:val="center"/>
            </w:pPr>
            <w:r>
              <w:rPr>
                <w:color w:val="000000"/>
                <w:sz w:val="24"/>
              </w:rPr>
              <w:t>沃森生物</w:t>
            </w:r>
          </w:p>
        </w:tc>
        <w:tc>
          <w:tcPr>
            <w:tcW w:w="2880" w:type="dxa"/>
            <w:vAlign w:val="center"/>
          </w:tcPr>
          <w:p>
            <w:pPr>
              <w:jc w:val="right"/>
            </w:pPr>
            <w:r>
              <w:rPr>
                <w:color w:val="000000"/>
                <w:sz w:val="24"/>
              </w:rPr>
              <w:t>19,485,296.00</w:t>
            </w:r>
          </w:p>
        </w:tc>
        <w:tc>
          <w:tcPr>
            <w:tcW w:w="1620" w:type="dxa"/>
            <w:vAlign w:val="center"/>
          </w:tcPr>
          <w:p>
            <w:pPr>
              <w:jc w:val="right"/>
            </w:pPr>
            <w:r>
              <w:rPr>
                <w:color w:val="000000"/>
                <w:sz w:val="24"/>
              </w:rPr>
              <w:t>8.05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25</w:t>
            </w:r>
          </w:p>
        </w:tc>
        <w:tc>
          <w:tcPr>
            <w:tcW w:w="1650" w:type="dxa"/>
            <w:vAlign w:val="center"/>
          </w:tcPr>
          <w:p>
            <w:pPr>
              <w:jc w:val="center"/>
            </w:pPr>
            <w:r>
              <w:rPr>
                <w:color w:val="000000"/>
                <w:sz w:val="24"/>
              </w:rPr>
              <w:t>300122</w:t>
            </w:r>
          </w:p>
        </w:tc>
        <w:tc>
          <w:tcPr>
            <w:tcW w:w="1980" w:type="dxa"/>
            <w:vAlign w:val="center"/>
          </w:tcPr>
          <w:p>
            <w:pPr>
              <w:jc w:val="center"/>
            </w:pPr>
            <w:r>
              <w:rPr>
                <w:color w:val="000000"/>
                <w:sz w:val="24"/>
              </w:rPr>
              <w:t>智飞生物</w:t>
            </w:r>
          </w:p>
        </w:tc>
        <w:tc>
          <w:tcPr>
            <w:tcW w:w="2880" w:type="dxa"/>
            <w:vAlign w:val="center"/>
          </w:tcPr>
          <w:p>
            <w:pPr>
              <w:jc w:val="right"/>
            </w:pPr>
            <w:r>
              <w:rPr>
                <w:color w:val="000000"/>
                <w:sz w:val="24"/>
              </w:rPr>
              <w:t>19,262,186.00</w:t>
            </w:r>
          </w:p>
        </w:tc>
        <w:tc>
          <w:tcPr>
            <w:tcW w:w="1620" w:type="dxa"/>
            <w:vAlign w:val="center"/>
          </w:tcPr>
          <w:p>
            <w:pPr>
              <w:jc w:val="right"/>
            </w:pPr>
            <w:r>
              <w:rPr>
                <w:color w:val="000000"/>
                <w:sz w:val="24"/>
              </w:rPr>
              <w:t>7.95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26</w:t>
            </w:r>
          </w:p>
        </w:tc>
        <w:tc>
          <w:tcPr>
            <w:tcW w:w="1650" w:type="dxa"/>
            <w:vAlign w:val="center"/>
          </w:tcPr>
          <w:p>
            <w:pPr>
              <w:jc w:val="center"/>
            </w:pPr>
            <w:r>
              <w:rPr>
                <w:color w:val="000000"/>
                <w:sz w:val="24"/>
              </w:rPr>
              <w:t>000961</w:t>
            </w:r>
          </w:p>
        </w:tc>
        <w:tc>
          <w:tcPr>
            <w:tcW w:w="1980" w:type="dxa"/>
            <w:vAlign w:val="center"/>
          </w:tcPr>
          <w:p>
            <w:pPr>
              <w:jc w:val="center"/>
            </w:pPr>
            <w:r>
              <w:rPr>
                <w:color w:val="000000"/>
                <w:sz w:val="24"/>
              </w:rPr>
              <w:t>中南建设</w:t>
            </w:r>
          </w:p>
        </w:tc>
        <w:tc>
          <w:tcPr>
            <w:tcW w:w="2880" w:type="dxa"/>
            <w:vAlign w:val="center"/>
          </w:tcPr>
          <w:p>
            <w:pPr>
              <w:jc w:val="right"/>
            </w:pPr>
            <w:r>
              <w:rPr>
                <w:color w:val="000000"/>
                <w:sz w:val="24"/>
              </w:rPr>
              <w:t>19,255,190.20</w:t>
            </w:r>
          </w:p>
        </w:tc>
        <w:tc>
          <w:tcPr>
            <w:tcW w:w="1620" w:type="dxa"/>
            <w:vAlign w:val="center"/>
          </w:tcPr>
          <w:p>
            <w:pPr>
              <w:jc w:val="right"/>
            </w:pPr>
            <w:r>
              <w:rPr>
                <w:color w:val="000000"/>
                <w:sz w:val="24"/>
              </w:rPr>
              <w:t>7.95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27</w:t>
            </w:r>
          </w:p>
        </w:tc>
        <w:tc>
          <w:tcPr>
            <w:tcW w:w="1650" w:type="dxa"/>
            <w:vAlign w:val="center"/>
          </w:tcPr>
          <w:p>
            <w:pPr>
              <w:jc w:val="center"/>
            </w:pPr>
            <w:r>
              <w:rPr>
                <w:color w:val="000000"/>
                <w:sz w:val="24"/>
              </w:rPr>
              <w:t>688561</w:t>
            </w:r>
          </w:p>
        </w:tc>
        <w:tc>
          <w:tcPr>
            <w:tcW w:w="1980" w:type="dxa"/>
            <w:vAlign w:val="center"/>
          </w:tcPr>
          <w:p>
            <w:pPr>
              <w:jc w:val="center"/>
            </w:pPr>
            <w:r>
              <w:rPr>
                <w:color w:val="000000"/>
                <w:sz w:val="24"/>
              </w:rPr>
              <w:t>奇安信</w:t>
            </w:r>
          </w:p>
        </w:tc>
        <w:tc>
          <w:tcPr>
            <w:tcW w:w="2880" w:type="dxa"/>
            <w:vAlign w:val="center"/>
          </w:tcPr>
          <w:p>
            <w:pPr>
              <w:jc w:val="right"/>
            </w:pPr>
            <w:r>
              <w:rPr>
                <w:color w:val="000000"/>
                <w:sz w:val="24"/>
              </w:rPr>
              <w:t>18,245,786.05</w:t>
            </w:r>
          </w:p>
        </w:tc>
        <w:tc>
          <w:tcPr>
            <w:tcW w:w="1620" w:type="dxa"/>
            <w:vAlign w:val="center"/>
          </w:tcPr>
          <w:p>
            <w:pPr>
              <w:jc w:val="right"/>
            </w:pPr>
            <w:r>
              <w:rPr>
                <w:color w:val="000000"/>
                <w:sz w:val="24"/>
              </w:rPr>
              <w:t>7.53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28</w:t>
            </w:r>
          </w:p>
        </w:tc>
        <w:tc>
          <w:tcPr>
            <w:tcW w:w="1650" w:type="dxa"/>
            <w:vAlign w:val="center"/>
          </w:tcPr>
          <w:p>
            <w:pPr>
              <w:jc w:val="center"/>
            </w:pPr>
            <w:r>
              <w:rPr>
                <w:color w:val="000000"/>
                <w:sz w:val="24"/>
              </w:rPr>
              <w:t>300624</w:t>
            </w:r>
          </w:p>
        </w:tc>
        <w:tc>
          <w:tcPr>
            <w:tcW w:w="1980" w:type="dxa"/>
            <w:vAlign w:val="center"/>
          </w:tcPr>
          <w:p>
            <w:pPr>
              <w:jc w:val="center"/>
            </w:pPr>
            <w:r>
              <w:rPr>
                <w:color w:val="000000"/>
                <w:sz w:val="24"/>
              </w:rPr>
              <w:t>万兴科技</w:t>
            </w:r>
          </w:p>
        </w:tc>
        <w:tc>
          <w:tcPr>
            <w:tcW w:w="2880" w:type="dxa"/>
            <w:vAlign w:val="center"/>
          </w:tcPr>
          <w:p>
            <w:pPr>
              <w:jc w:val="right"/>
            </w:pPr>
            <w:r>
              <w:rPr>
                <w:color w:val="000000"/>
                <w:sz w:val="24"/>
              </w:rPr>
              <w:t>17,286,454.00</w:t>
            </w:r>
          </w:p>
        </w:tc>
        <w:tc>
          <w:tcPr>
            <w:tcW w:w="1620" w:type="dxa"/>
            <w:vAlign w:val="center"/>
          </w:tcPr>
          <w:p>
            <w:pPr>
              <w:jc w:val="right"/>
            </w:pPr>
            <w:r>
              <w:rPr>
                <w:color w:val="000000"/>
                <w:sz w:val="24"/>
              </w:rPr>
              <w:t>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29</w:t>
            </w:r>
          </w:p>
        </w:tc>
        <w:tc>
          <w:tcPr>
            <w:tcW w:w="1650" w:type="dxa"/>
            <w:vAlign w:val="center"/>
          </w:tcPr>
          <w:p>
            <w:pPr>
              <w:jc w:val="center"/>
            </w:pPr>
            <w:r>
              <w:rPr>
                <w:color w:val="000000"/>
                <w:sz w:val="24"/>
              </w:rPr>
              <w:t>002475</w:t>
            </w:r>
          </w:p>
        </w:tc>
        <w:tc>
          <w:tcPr>
            <w:tcW w:w="1980" w:type="dxa"/>
            <w:vAlign w:val="center"/>
          </w:tcPr>
          <w:p>
            <w:pPr>
              <w:jc w:val="center"/>
            </w:pPr>
            <w:r>
              <w:rPr>
                <w:color w:val="000000"/>
                <w:sz w:val="24"/>
              </w:rPr>
              <w:t>立讯精密</w:t>
            </w:r>
          </w:p>
        </w:tc>
        <w:tc>
          <w:tcPr>
            <w:tcW w:w="2880" w:type="dxa"/>
            <w:vAlign w:val="center"/>
          </w:tcPr>
          <w:p>
            <w:pPr>
              <w:jc w:val="right"/>
            </w:pPr>
            <w:r>
              <w:rPr>
                <w:color w:val="000000"/>
                <w:sz w:val="24"/>
              </w:rPr>
              <w:t>16,926,567.95</w:t>
            </w:r>
          </w:p>
        </w:tc>
        <w:tc>
          <w:tcPr>
            <w:tcW w:w="1620" w:type="dxa"/>
            <w:vAlign w:val="center"/>
          </w:tcPr>
          <w:p>
            <w:pPr>
              <w:jc w:val="right"/>
            </w:pPr>
            <w:r>
              <w:rPr>
                <w:color w:val="000000"/>
                <w:sz w:val="24"/>
              </w:rPr>
              <w:t>6.99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30</w:t>
            </w:r>
          </w:p>
        </w:tc>
        <w:tc>
          <w:tcPr>
            <w:tcW w:w="1650" w:type="dxa"/>
            <w:vAlign w:val="center"/>
          </w:tcPr>
          <w:p>
            <w:pPr>
              <w:jc w:val="center"/>
            </w:pPr>
            <w:r>
              <w:rPr>
                <w:color w:val="000000"/>
                <w:sz w:val="24"/>
              </w:rPr>
              <w:t>603267</w:t>
            </w:r>
          </w:p>
        </w:tc>
        <w:tc>
          <w:tcPr>
            <w:tcW w:w="1980" w:type="dxa"/>
            <w:vAlign w:val="center"/>
          </w:tcPr>
          <w:p>
            <w:pPr>
              <w:jc w:val="center"/>
            </w:pPr>
            <w:r>
              <w:rPr>
                <w:color w:val="000000"/>
                <w:sz w:val="24"/>
              </w:rPr>
              <w:t>鸿远电子</w:t>
            </w:r>
          </w:p>
        </w:tc>
        <w:tc>
          <w:tcPr>
            <w:tcW w:w="2880" w:type="dxa"/>
            <w:vAlign w:val="center"/>
          </w:tcPr>
          <w:p>
            <w:pPr>
              <w:jc w:val="right"/>
            </w:pPr>
            <w:r>
              <w:rPr>
                <w:color w:val="000000"/>
                <w:sz w:val="24"/>
              </w:rPr>
              <w:t>16,763,400.22</w:t>
            </w:r>
          </w:p>
        </w:tc>
        <w:tc>
          <w:tcPr>
            <w:tcW w:w="1620" w:type="dxa"/>
            <w:vAlign w:val="center"/>
          </w:tcPr>
          <w:p>
            <w:pPr>
              <w:jc w:val="right"/>
            </w:pPr>
            <w:r>
              <w:rPr>
                <w:color w:val="000000"/>
                <w:sz w:val="24"/>
              </w:rPr>
              <w:t>6.92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31</w:t>
            </w:r>
          </w:p>
        </w:tc>
        <w:tc>
          <w:tcPr>
            <w:tcW w:w="1650" w:type="dxa"/>
            <w:vAlign w:val="center"/>
          </w:tcPr>
          <w:p>
            <w:pPr>
              <w:jc w:val="center"/>
            </w:pPr>
            <w:r>
              <w:rPr>
                <w:color w:val="000000"/>
                <w:sz w:val="24"/>
              </w:rPr>
              <w:t>603990</w:t>
            </w:r>
          </w:p>
        </w:tc>
        <w:tc>
          <w:tcPr>
            <w:tcW w:w="1980" w:type="dxa"/>
            <w:vAlign w:val="center"/>
          </w:tcPr>
          <w:p>
            <w:pPr>
              <w:jc w:val="center"/>
            </w:pPr>
            <w:r>
              <w:rPr>
                <w:color w:val="000000"/>
                <w:sz w:val="24"/>
              </w:rPr>
              <w:t>麦迪科技</w:t>
            </w:r>
          </w:p>
        </w:tc>
        <w:tc>
          <w:tcPr>
            <w:tcW w:w="2880" w:type="dxa"/>
            <w:vAlign w:val="center"/>
          </w:tcPr>
          <w:p>
            <w:pPr>
              <w:jc w:val="right"/>
            </w:pPr>
            <w:r>
              <w:rPr>
                <w:color w:val="000000"/>
                <w:sz w:val="24"/>
              </w:rPr>
              <w:t>15,968,066.50</w:t>
            </w:r>
          </w:p>
        </w:tc>
        <w:tc>
          <w:tcPr>
            <w:tcW w:w="1620" w:type="dxa"/>
            <w:vAlign w:val="center"/>
          </w:tcPr>
          <w:p>
            <w:pPr>
              <w:jc w:val="right"/>
            </w:pPr>
            <w:r>
              <w:rPr>
                <w:color w:val="000000"/>
                <w:sz w:val="24"/>
              </w:rPr>
              <w:t>6.59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32</w:t>
            </w:r>
          </w:p>
        </w:tc>
        <w:tc>
          <w:tcPr>
            <w:tcW w:w="1650" w:type="dxa"/>
            <w:vAlign w:val="center"/>
          </w:tcPr>
          <w:p>
            <w:pPr>
              <w:jc w:val="center"/>
            </w:pPr>
            <w:r>
              <w:rPr>
                <w:color w:val="000000"/>
                <w:sz w:val="24"/>
              </w:rPr>
              <w:t>002271</w:t>
            </w:r>
          </w:p>
        </w:tc>
        <w:tc>
          <w:tcPr>
            <w:tcW w:w="1980" w:type="dxa"/>
            <w:vAlign w:val="center"/>
          </w:tcPr>
          <w:p>
            <w:pPr>
              <w:jc w:val="center"/>
            </w:pPr>
            <w:r>
              <w:rPr>
                <w:color w:val="000000"/>
                <w:sz w:val="24"/>
              </w:rPr>
              <w:t>东方雨虹</w:t>
            </w:r>
          </w:p>
        </w:tc>
        <w:tc>
          <w:tcPr>
            <w:tcW w:w="2880" w:type="dxa"/>
            <w:vAlign w:val="center"/>
          </w:tcPr>
          <w:p>
            <w:pPr>
              <w:jc w:val="right"/>
            </w:pPr>
            <w:r>
              <w:rPr>
                <w:color w:val="000000"/>
                <w:sz w:val="24"/>
              </w:rPr>
              <w:t>15,904,500.00</w:t>
            </w:r>
          </w:p>
        </w:tc>
        <w:tc>
          <w:tcPr>
            <w:tcW w:w="1620" w:type="dxa"/>
            <w:vAlign w:val="center"/>
          </w:tcPr>
          <w:p>
            <w:pPr>
              <w:jc w:val="right"/>
            </w:pPr>
            <w:r>
              <w:rPr>
                <w:color w:val="000000"/>
                <w:sz w:val="24"/>
              </w:rPr>
              <w:t>6.57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33</w:t>
            </w:r>
          </w:p>
        </w:tc>
        <w:tc>
          <w:tcPr>
            <w:tcW w:w="1650" w:type="dxa"/>
            <w:vAlign w:val="center"/>
          </w:tcPr>
          <w:p>
            <w:pPr>
              <w:jc w:val="center"/>
            </w:pPr>
            <w:r>
              <w:rPr>
                <w:color w:val="000000"/>
                <w:sz w:val="24"/>
              </w:rPr>
              <w:t>688229</w:t>
            </w:r>
          </w:p>
        </w:tc>
        <w:tc>
          <w:tcPr>
            <w:tcW w:w="1980" w:type="dxa"/>
            <w:vAlign w:val="center"/>
          </w:tcPr>
          <w:p>
            <w:pPr>
              <w:jc w:val="center"/>
            </w:pPr>
            <w:r>
              <w:rPr>
                <w:color w:val="000000"/>
                <w:sz w:val="24"/>
              </w:rPr>
              <w:t>博睿数据</w:t>
            </w:r>
          </w:p>
        </w:tc>
        <w:tc>
          <w:tcPr>
            <w:tcW w:w="2880" w:type="dxa"/>
            <w:vAlign w:val="center"/>
          </w:tcPr>
          <w:p>
            <w:pPr>
              <w:jc w:val="right"/>
            </w:pPr>
            <w:r>
              <w:rPr>
                <w:color w:val="000000"/>
                <w:sz w:val="24"/>
              </w:rPr>
              <w:t>15,855,294.63</w:t>
            </w:r>
          </w:p>
        </w:tc>
        <w:tc>
          <w:tcPr>
            <w:tcW w:w="1620" w:type="dxa"/>
            <w:vAlign w:val="center"/>
          </w:tcPr>
          <w:p>
            <w:pPr>
              <w:jc w:val="right"/>
            </w:pPr>
            <w:r>
              <w:rPr>
                <w:color w:val="000000"/>
                <w:sz w:val="24"/>
              </w:rPr>
              <w:t>6.55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34</w:t>
            </w:r>
          </w:p>
        </w:tc>
        <w:tc>
          <w:tcPr>
            <w:tcW w:w="1650" w:type="dxa"/>
            <w:vAlign w:val="center"/>
          </w:tcPr>
          <w:p>
            <w:pPr>
              <w:jc w:val="center"/>
            </w:pPr>
            <w:r>
              <w:rPr>
                <w:color w:val="000000"/>
                <w:sz w:val="24"/>
              </w:rPr>
              <w:t>600216</w:t>
            </w:r>
          </w:p>
        </w:tc>
        <w:tc>
          <w:tcPr>
            <w:tcW w:w="1980" w:type="dxa"/>
            <w:vAlign w:val="center"/>
          </w:tcPr>
          <w:p>
            <w:pPr>
              <w:jc w:val="center"/>
            </w:pPr>
            <w:r>
              <w:rPr>
                <w:color w:val="000000"/>
                <w:sz w:val="24"/>
              </w:rPr>
              <w:t>浙江医药</w:t>
            </w:r>
          </w:p>
        </w:tc>
        <w:tc>
          <w:tcPr>
            <w:tcW w:w="2880" w:type="dxa"/>
            <w:vAlign w:val="center"/>
          </w:tcPr>
          <w:p>
            <w:pPr>
              <w:jc w:val="right"/>
            </w:pPr>
            <w:r>
              <w:rPr>
                <w:color w:val="000000"/>
                <w:sz w:val="24"/>
              </w:rPr>
              <w:t>15,663,823.15</w:t>
            </w:r>
          </w:p>
        </w:tc>
        <w:tc>
          <w:tcPr>
            <w:tcW w:w="1620" w:type="dxa"/>
            <w:vAlign w:val="center"/>
          </w:tcPr>
          <w:p>
            <w:pPr>
              <w:jc w:val="right"/>
            </w:pPr>
            <w:r>
              <w:rPr>
                <w:color w:val="000000"/>
                <w:sz w:val="24"/>
              </w:rPr>
              <w:t>6.47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35</w:t>
            </w:r>
          </w:p>
        </w:tc>
        <w:tc>
          <w:tcPr>
            <w:tcW w:w="1650" w:type="dxa"/>
            <w:vAlign w:val="center"/>
          </w:tcPr>
          <w:p>
            <w:pPr>
              <w:jc w:val="center"/>
            </w:pPr>
            <w:r>
              <w:rPr>
                <w:color w:val="000000"/>
                <w:sz w:val="24"/>
              </w:rPr>
              <w:t>000100</w:t>
            </w:r>
          </w:p>
        </w:tc>
        <w:tc>
          <w:tcPr>
            <w:tcW w:w="1980" w:type="dxa"/>
            <w:vAlign w:val="center"/>
          </w:tcPr>
          <w:p>
            <w:pPr>
              <w:jc w:val="center"/>
            </w:pPr>
            <w:r>
              <w:rPr>
                <w:color w:val="000000"/>
                <w:sz w:val="24"/>
              </w:rPr>
              <w:t>TCL科技</w:t>
            </w:r>
          </w:p>
        </w:tc>
        <w:tc>
          <w:tcPr>
            <w:tcW w:w="2880" w:type="dxa"/>
            <w:vAlign w:val="center"/>
          </w:tcPr>
          <w:p>
            <w:pPr>
              <w:jc w:val="right"/>
            </w:pPr>
            <w:r>
              <w:rPr>
                <w:color w:val="000000"/>
                <w:sz w:val="24"/>
              </w:rPr>
              <w:t>15,611,984.27</w:t>
            </w:r>
          </w:p>
        </w:tc>
        <w:tc>
          <w:tcPr>
            <w:tcW w:w="1620" w:type="dxa"/>
            <w:vAlign w:val="center"/>
          </w:tcPr>
          <w:p>
            <w:pPr>
              <w:jc w:val="right"/>
            </w:pPr>
            <w:r>
              <w:rPr>
                <w:color w:val="000000"/>
                <w:sz w:val="24"/>
              </w:rPr>
              <w:t>6.45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36</w:t>
            </w:r>
          </w:p>
        </w:tc>
        <w:tc>
          <w:tcPr>
            <w:tcW w:w="1650" w:type="dxa"/>
            <w:vAlign w:val="center"/>
          </w:tcPr>
          <w:p>
            <w:pPr>
              <w:jc w:val="center"/>
            </w:pPr>
            <w:r>
              <w:rPr>
                <w:color w:val="000000"/>
                <w:sz w:val="24"/>
              </w:rPr>
              <w:t>603816</w:t>
            </w:r>
          </w:p>
        </w:tc>
        <w:tc>
          <w:tcPr>
            <w:tcW w:w="1980" w:type="dxa"/>
            <w:vAlign w:val="center"/>
          </w:tcPr>
          <w:p>
            <w:pPr>
              <w:jc w:val="center"/>
            </w:pPr>
            <w:r>
              <w:rPr>
                <w:color w:val="000000"/>
                <w:sz w:val="24"/>
              </w:rPr>
              <w:t>顾家家居</w:t>
            </w:r>
          </w:p>
        </w:tc>
        <w:tc>
          <w:tcPr>
            <w:tcW w:w="2880" w:type="dxa"/>
            <w:vAlign w:val="center"/>
          </w:tcPr>
          <w:p>
            <w:pPr>
              <w:jc w:val="right"/>
            </w:pPr>
            <w:r>
              <w:rPr>
                <w:color w:val="000000"/>
                <w:sz w:val="24"/>
              </w:rPr>
              <w:t>15,097,583.23</w:t>
            </w:r>
          </w:p>
        </w:tc>
        <w:tc>
          <w:tcPr>
            <w:tcW w:w="1620" w:type="dxa"/>
            <w:vAlign w:val="center"/>
          </w:tcPr>
          <w:p>
            <w:pPr>
              <w:jc w:val="right"/>
            </w:pPr>
            <w:r>
              <w:rPr>
                <w:color w:val="000000"/>
                <w:sz w:val="24"/>
              </w:rPr>
              <w:t>6.23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37</w:t>
            </w:r>
          </w:p>
        </w:tc>
        <w:tc>
          <w:tcPr>
            <w:tcW w:w="1650" w:type="dxa"/>
            <w:vAlign w:val="center"/>
          </w:tcPr>
          <w:p>
            <w:pPr>
              <w:jc w:val="center"/>
            </w:pPr>
            <w:r>
              <w:rPr>
                <w:color w:val="000000"/>
                <w:sz w:val="24"/>
              </w:rPr>
              <w:t>601233</w:t>
            </w:r>
          </w:p>
        </w:tc>
        <w:tc>
          <w:tcPr>
            <w:tcW w:w="1980" w:type="dxa"/>
            <w:vAlign w:val="center"/>
          </w:tcPr>
          <w:p>
            <w:pPr>
              <w:jc w:val="center"/>
            </w:pPr>
            <w:r>
              <w:rPr>
                <w:color w:val="000000"/>
                <w:sz w:val="24"/>
              </w:rPr>
              <w:t>桐昆股份</w:t>
            </w:r>
          </w:p>
        </w:tc>
        <w:tc>
          <w:tcPr>
            <w:tcW w:w="2880" w:type="dxa"/>
            <w:vAlign w:val="center"/>
          </w:tcPr>
          <w:p>
            <w:pPr>
              <w:jc w:val="right"/>
            </w:pPr>
            <w:r>
              <w:rPr>
                <w:color w:val="000000"/>
                <w:sz w:val="24"/>
              </w:rPr>
              <w:t>14,946,595.35</w:t>
            </w:r>
          </w:p>
        </w:tc>
        <w:tc>
          <w:tcPr>
            <w:tcW w:w="1620" w:type="dxa"/>
            <w:vAlign w:val="center"/>
          </w:tcPr>
          <w:p>
            <w:pPr>
              <w:jc w:val="right"/>
            </w:pPr>
            <w:r>
              <w:rPr>
                <w:color w:val="000000"/>
                <w:sz w:val="24"/>
              </w:rPr>
              <w:t>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38</w:t>
            </w:r>
          </w:p>
        </w:tc>
        <w:tc>
          <w:tcPr>
            <w:tcW w:w="1650" w:type="dxa"/>
            <w:vAlign w:val="center"/>
          </w:tcPr>
          <w:p>
            <w:pPr>
              <w:jc w:val="center"/>
            </w:pPr>
            <w:r>
              <w:rPr>
                <w:color w:val="000000"/>
                <w:sz w:val="24"/>
              </w:rPr>
              <w:t>600456</w:t>
            </w:r>
          </w:p>
        </w:tc>
        <w:tc>
          <w:tcPr>
            <w:tcW w:w="1980" w:type="dxa"/>
            <w:vAlign w:val="center"/>
          </w:tcPr>
          <w:p>
            <w:pPr>
              <w:jc w:val="center"/>
            </w:pPr>
            <w:r>
              <w:rPr>
                <w:color w:val="000000"/>
                <w:sz w:val="24"/>
              </w:rPr>
              <w:t>宝钛股份</w:t>
            </w:r>
          </w:p>
        </w:tc>
        <w:tc>
          <w:tcPr>
            <w:tcW w:w="2880" w:type="dxa"/>
            <w:vAlign w:val="center"/>
          </w:tcPr>
          <w:p>
            <w:pPr>
              <w:jc w:val="right"/>
            </w:pPr>
            <w:r>
              <w:rPr>
                <w:color w:val="000000"/>
                <w:sz w:val="24"/>
              </w:rPr>
              <w:t>13,859,187.00</w:t>
            </w:r>
          </w:p>
        </w:tc>
        <w:tc>
          <w:tcPr>
            <w:tcW w:w="1620" w:type="dxa"/>
            <w:vAlign w:val="center"/>
          </w:tcPr>
          <w:p>
            <w:pPr>
              <w:jc w:val="right"/>
            </w:pPr>
            <w:r>
              <w:rPr>
                <w:color w:val="000000"/>
                <w:sz w:val="24"/>
              </w:rPr>
              <w:t>5.72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39</w:t>
            </w:r>
          </w:p>
        </w:tc>
        <w:tc>
          <w:tcPr>
            <w:tcW w:w="1650" w:type="dxa"/>
            <w:vAlign w:val="center"/>
          </w:tcPr>
          <w:p>
            <w:pPr>
              <w:jc w:val="center"/>
            </w:pPr>
            <w:r>
              <w:rPr>
                <w:color w:val="000000"/>
                <w:sz w:val="24"/>
              </w:rPr>
              <w:t>300788</w:t>
            </w:r>
          </w:p>
        </w:tc>
        <w:tc>
          <w:tcPr>
            <w:tcW w:w="1980" w:type="dxa"/>
            <w:vAlign w:val="center"/>
          </w:tcPr>
          <w:p>
            <w:pPr>
              <w:jc w:val="center"/>
            </w:pPr>
            <w:r>
              <w:rPr>
                <w:color w:val="000000"/>
                <w:sz w:val="24"/>
              </w:rPr>
              <w:t>中信出版</w:t>
            </w:r>
          </w:p>
        </w:tc>
        <w:tc>
          <w:tcPr>
            <w:tcW w:w="2880" w:type="dxa"/>
            <w:vAlign w:val="center"/>
          </w:tcPr>
          <w:p>
            <w:pPr>
              <w:jc w:val="right"/>
            </w:pPr>
            <w:r>
              <w:rPr>
                <w:color w:val="000000"/>
                <w:sz w:val="24"/>
              </w:rPr>
              <w:t>13,600,438.40</w:t>
            </w:r>
          </w:p>
        </w:tc>
        <w:tc>
          <w:tcPr>
            <w:tcW w:w="1620" w:type="dxa"/>
            <w:vAlign w:val="center"/>
          </w:tcPr>
          <w:p>
            <w:pPr>
              <w:jc w:val="right"/>
            </w:pPr>
            <w:r>
              <w:rPr>
                <w:color w:val="000000"/>
                <w:sz w:val="24"/>
              </w:rPr>
              <w:t>5.62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40</w:t>
            </w:r>
          </w:p>
        </w:tc>
        <w:tc>
          <w:tcPr>
            <w:tcW w:w="1650" w:type="dxa"/>
            <w:vAlign w:val="center"/>
          </w:tcPr>
          <w:p>
            <w:pPr>
              <w:jc w:val="center"/>
            </w:pPr>
            <w:r>
              <w:rPr>
                <w:color w:val="000000"/>
                <w:sz w:val="24"/>
              </w:rPr>
              <w:t>300226</w:t>
            </w:r>
          </w:p>
        </w:tc>
        <w:tc>
          <w:tcPr>
            <w:tcW w:w="1980" w:type="dxa"/>
            <w:vAlign w:val="center"/>
          </w:tcPr>
          <w:p>
            <w:pPr>
              <w:jc w:val="center"/>
            </w:pPr>
            <w:r>
              <w:rPr>
                <w:color w:val="000000"/>
                <w:sz w:val="24"/>
              </w:rPr>
              <w:t>上海钢联</w:t>
            </w:r>
          </w:p>
        </w:tc>
        <w:tc>
          <w:tcPr>
            <w:tcW w:w="2880" w:type="dxa"/>
            <w:vAlign w:val="center"/>
          </w:tcPr>
          <w:p>
            <w:pPr>
              <w:jc w:val="right"/>
            </w:pPr>
            <w:r>
              <w:rPr>
                <w:color w:val="000000"/>
                <w:sz w:val="24"/>
              </w:rPr>
              <w:t>13,099,047.41</w:t>
            </w:r>
          </w:p>
        </w:tc>
        <w:tc>
          <w:tcPr>
            <w:tcW w:w="1620" w:type="dxa"/>
            <w:vAlign w:val="center"/>
          </w:tcPr>
          <w:p>
            <w:pPr>
              <w:jc w:val="right"/>
            </w:pPr>
            <w:r>
              <w:rPr>
                <w:color w:val="000000"/>
                <w:sz w:val="24"/>
              </w:rPr>
              <w:t>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41</w:t>
            </w:r>
          </w:p>
        </w:tc>
        <w:tc>
          <w:tcPr>
            <w:tcW w:w="1650" w:type="dxa"/>
            <w:vAlign w:val="center"/>
          </w:tcPr>
          <w:p>
            <w:pPr>
              <w:jc w:val="center"/>
            </w:pPr>
            <w:r>
              <w:rPr>
                <w:color w:val="000000"/>
                <w:sz w:val="24"/>
              </w:rPr>
              <w:t>688039</w:t>
            </w:r>
          </w:p>
        </w:tc>
        <w:tc>
          <w:tcPr>
            <w:tcW w:w="1980" w:type="dxa"/>
            <w:vAlign w:val="center"/>
          </w:tcPr>
          <w:p>
            <w:pPr>
              <w:jc w:val="center"/>
            </w:pPr>
            <w:r>
              <w:rPr>
                <w:color w:val="000000"/>
                <w:sz w:val="24"/>
              </w:rPr>
              <w:t>当虹科技</w:t>
            </w:r>
          </w:p>
        </w:tc>
        <w:tc>
          <w:tcPr>
            <w:tcW w:w="2880" w:type="dxa"/>
            <w:vAlign w:val="center"/>
          </w:tcPr>
          <w:p>
            <w:pPr>
              <w:jc w:val="right"/>
            </w:pPr>
            <w:r>
              <w:rPr>
                <w:color w:val="000000"/>
                <w:sz w:val="24"/>
              </w:rPr>
              <w:t>12,523,668.45</w:t>
            </w:r>
          </w:p>
        </w:tc>
        <w:tc>
          <w:tcPr>
            <w:tcW w:w="1620" w:type="dxa"/>
            <w:vAlign w:val="center"/>
          </w:tcPr>
          <w:p>
            <w:pPr>
              <w:jc w:val="right"/>
            </w:pPr>
            <w:r>
              <w:rPr>
                <w:color w:val="000000"/>
                <w:sz w:val="24"/>
              </w:rPr>
              <w:t>5.17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42</w:t>
            </w:r>
          </w:p>
        </w:tc>
        <w:tc>
          <w:tcPr>
            <w:tcW w:w="1650" w:type="dxa"/>
            <w:vAlign w:val="center"/>
          </w:tcPr>
          <w:p>
            <w:pPr>
              <w:jc w:val="center"/>
            </w:pPr>
            <w:r>
              <w:rPr>
                <w:color w:val="000000"/>
                <w:sz w:val="24"/>
              </w:rPr>
              <w:t>300123</w:t>
            </w:r>
          </w:p>
        </w:tc>
        <w:tc>
          <w:tcPr>
            <w:tcW w:w="1980" w:type="dxa"/>
            <w:vAlign w:val="center"/>
          </w:tcPr>
          <w:p>
            <w:pPr>
              <w:jc w:val="center"/>
            </w:pPr>
            <w:r>
              <w:rPr>
                <w:color w:val="000000"/>
                <w:sz w:val="24"/>
              </w:rPr>
              <w:t>亚光科技</w:t>
            </w:r>
          </w:p>
        </w:tc>
        <w:tc>
          <w:tcPr>
            <w:tcW w:w="2880" w:type="dxa"/>
            <w:vAlign w:val="center"/>
          </w:tcPr>
          <w:p>
            <w:pPr>
              <w:jc w:val="right"/>
            </w:pPr>
            <w:r>
              <w:rPr>
                <w:color w:val="000000"/>
                <w:sz w:val="24"/>
              </w:rPr>
              <w:t>12,159,211.12</w:t>
            </w:r>
          </w:p>
        </w:tc>
        <w:tc>
          <w:tcPr>
            <w:tcW w:w="1620" w:type="dxa"/>
            <w:vAlign w:val="center"/>
          </w:tcPr>
          <w:p>
            <w:pPr>
              <w:jc w:val="right"/>
            </w:pPr>
            <w:r>
              <w:rPr>
                <w:color w:val="000000"/>
                <w:sz w:val="24"/>
              </w:rPr>
              <w:t>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43</w:t>
            </w:r>
          </w:p>
        </w:tc>
        <w:tc>
          <w:tcPr>
            <w:tcW w:w="1650" w:type="dxa"/>
            <w:vAlign w:val="center"/>
          </w:tcPr>
          <w:p>
            <w:pPr>
              <w:jc w:val="center"/>
            </w:pPr>
            <w:r>
              <w:rPr>
                <w:color w:val="000000"/>
                <w:sz w:val="24"/>
              </w:rPr>
              <w:t>002372</w:t>
            </w:r>
          </w:p>
        </w:tc>
        <w:tc>
          <w:tcPr>
            <w:tcW w:w="1980" w:type="dxa"/>
            <w:vAlign w:val="center"/>
          </w:tcPr>
          <w:p>
            <w:pPr>
              <w:jc w:val="center"/>
            </w:pPr>
            <w:r>
              <w:rPr>
                <w:color w:val="000000"/>
                <w:sz w:val="24"/>
              </w:rPr>
              <w:t>伟星新材</w:t>
            </w:r>
          </w:p>
        </w:tc>
        <w:tc>
          <w:tcPr>
            <w:tcW w:w="2880" w:type="dxa"/>
            <w:vAlign w:val="center"/>
          </w:tcPr>
          <w:p>
            <w:pPr>
              <w:jc w:val="right"/>
            </w:pPr>
            <w:r>
              <w:rPr>
                <w:color w:val="000000"/>
                <w:sz w:val="24"/>
              </w:rPr>
              <w:t>11,306,226.05</w:t>
            </w:r>
          </w:p>
        </w:tc>
        <w:tc>
          <w:tcPr>
            <w:tcW w:w="1620" w:type="dxa"/>
            <w:vAlign w:val="center"/>
          </w:tcPr>
          <w:p>
            <w:pPr>
              <w:jc w:val="right"/>
            </w:pPr>
            <w:r>
              <w:rPr>
                <w:color w:val="000000"/>
                <w:sz w:val="24"/>
              </w:rPr>
              <w:t>4.67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44</w:t>
            </w:r>
          </w:p>
        </w:tc>
        <w:tc>
          <w:tcPr>
            <w:tcW w:w="1650" w:type="dxa"/>
            <w:vAlign w:val="center"/>
          </w:tcPr>
          <w:p>
            <w:pPr>
              <w:jc w:val="center"/>
            </w:pPr>
            <w:r>
              <w:rPr>
                <w:color w:val="000000"/>
                <w:sz w:val="24"/>
              </w:rPr>
              <w:t>300369</w:t>
            </w:r>
          </w:p>
        </w:tc>
        <w:tc>
          <w:tcPr>
            <w:tcW w:w="1980" w:type="dxa"/>
            <w:vAlign w:val="center"/>
          </w:tcPr>
          <w:p>
            <w:pPr>
              <w:jc w:val="center"/>
            </w:pPr>
            <w:r>
              <w:rPr>
                <w:color w:val="000000"/>
                <w:sz w:val="24"/>
              </w:rPr>
              <w:t>绿盟科技</w:t>
            </w:r>
          </w:p>
        </w:tc>
        <w:tc>
          <w:tcPr>
            <w:tcW w:w="2880" w:type="dxa"/>
            <w:vAlign w:val="center"/>
          </w:tcPr>
          <w:p>
            <w:pPr>
              <w:jc w:val="right"/>
            </w:pPr>
            <w:r>
              <w:rPr>
                <w:color w:val="000000"/>
                <w:sz w:val="24"/>
              </w:rPr>
              <w:t>11,173,606.14</w:t>
            </w:r>
          </w:p>
        </w:tc>
        <w:tc>
          <w:tcPr>
            <w:tcW w:w="1620" w:type="dxa"/>
            <w:vAlign w:val="center"/>
          </w:tcPr>
          <w:p>
            <w:pPr>
              <w:jc w:val="right"/>
            </w:pPr>
            <w:r>
              <w:rPr>
                <w:color w:val="000000"/>
                <w:sz w:val="24"/>
              </w:rPr>
              <w:t>4.61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45</w:t>
            </w:r>
          </w:p>
        </w:tc>
        <w:tc>
          <w:tcPr>
            <w:tcW w:w="1650" w:type="dxa"/>
            <w:vAlign w:val="center"/>
          </w:tcPr>
          <w:p>
            <w:pPr>
              <w:jc w:val="center"/>
            </w:pPr>
            <w:r>
              <w:rPr>
                <w:color w:val="000000"/>
                <w:sz w:val="24"/>
              </w:rPr>
              <w:t>000733</w:t>
            </w:r>
          </w:p>
        </w:tc>
        <w:tc>
          <w:tcPr>
            <w:tcW w:w="1980" w:type="dxa"/>
            <w:vAlign w:val="center"/>
          </w:tcPr>
          <w:p>
            <w:pPr>
              <w:jc w:val="center"/>
            </w:pPr>
            <w:r>
              <w:rPr>
                <w:color w:val="000000"/>
                <w:sz w:val="24"/>
              </w:rPr>
              <w:t>振华科技</w:t>
            </w:r>
          </w:p>
        </w:tc>
        <w:tc>
          <w:tcPr>
            <w:tcW w:w="2880" w:type="dxa"/>
            <w:vAlign w:val="center"/>
          </w:tcPr>
          <w:p>
            <w:pPr>
              <w:jc w:val="right"/>
            </w:pPr>
            <w:r>
              <w:rPr>
                <w:color w:val="000000"/>
                <w:sz w:val="24"/>
              </w:rPr>
              <w:t>11,112,137.00</w:t>
            </w:r>
          </w:p>
        </w:tc>
        <w:tc>
          <w:tcPr>
            <w:tcW w:w="1620" w:type="dxa"/>
            <w:vAlign w:val="center"/>
          </w:tcPr>
          <w:p>
            <w:pPr>
              <w:jc w:val="right"/>
            </w:pPr>
            <w:r>
              <w:rPr>
                <w:color w:val="000000"/>
                <w:sz w:val="24"/>
              </w:rPr>
              <w:t>4.59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46</w:t>
            </w:r>
          </w:p>
        </w:tc>
        <w:tc>
          <w:tcPr>
            <w:tcW w:w="1650" w:type="dxa"/>
            <w:vAlign w:val="center"/>
          </w:tcPr>
          <w:p>
            <w:pPr>
              <w:jc w:val="center"/>
            </w:pPr>
            <w:r>
              <w:rPr>
                <w:color w:val="000000"/>
                <w:sz w:val="24"/>
              </w:rPr>
              <w:t>002027</w:t>
            </w:r>
          </w:p>
        </w:tc>
        <w:tc>
          <w:tcPr>
            <w:tcW w:w="1980" w:type="dxa"/>
            <w:vAlign w:val="center"/>
          </w:tcPr>
          <w:p>
            <w:pPr>
              <w:jc w:val="center"/>
            </w:pPr>
            <w:r>
              <w:rPr>
                <w:color w:val="000000"/>
                <w:sz w:val="24"/>
              </w:rPr>
              <w:t>分众传媒</w:t>
            </w:r>
          </w:p>
        </w:tc>
        <w:tc>
          <w:tcPr>
            <w:tcW w:w="2880" w:type="dxa"/>
            <w:vAlign w:val="center"/>
          </w:tcPr>
          <w:p>
            <w:pPr>
              <w:jc w:val="right"/>
            </w:pPr>
            <w:r>
              <w:rPr>
                <w:color w:val="000000"/>
                <w:sz w:val="24"/>
              </w:rPr>
              <w:t>10,582,285.00</w:t>
            </w:r>
          </w:p>
        </w:tc>
        <w:tc>
          <w:tcPr>
            <w:tcW w:w="1620" w:type="dxa"/>
            <w:vAlign w:val="center"/>
          </w:tcPr>
          <w:p>
            <w:pPr>
              <w:jc w:val="right"/>
            </w:pPr>
            <w:r>
              <w:rPr>
                <w:color w:val="000000"/>
                <w:sz w:val="24"/>
              </w:rPr>
              <w:t>4.37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47</w:t>
            </w:r>
          </w:p>
        </w:tc>
        <w:tc>
          <w:tcPr>
            <w:tcW w:w="1650" w:type="dxa"/>
            <w:vAlign w:val="center"/>
          </w:tcPr>
          <w:p>
            <w:pPr>
              <w:jc w:val="center"/>
            </w:pPr>
            <w:r>
              <w:rPr>
                <w:color w:val="000000"/>
                <w:sz w:val="24"/>
              </w:rPr>
              <w:t>601155</w:t>
            </w:r>
          </w:p>
        </w:tc>
        <w:tc>
          <w:tcPr>
            <w:tcW w:w="1980" w:type="dxa"/>
            <w:vAlign w:val="center"/>
          </w:tcPr>
          <w:p>
            <w:pPr>
              <w:jc w:val="center"/>
            </w:pPr>
            <w:r>
              <w:rPr>
                <w:color w:val="000000"/>
                <w:sz w:val="24"/>
              </w:rPr>
              <w:t>新城控股</w:t>
            </w:r>
          </w:p>
        </w:tc>
        <w:tc>
          <w:tcPr>
            <w:tcW w:w="2880" w:type="dxa"/>
            <w:vAlign w:val="center"/>
          </w:tcPr>
          <w:p>
            <w:pPr>
              <w:jc w:val="right"/>
            </w:pPr>
            <w:r>
              <w:rPr>
                <w:color w:val="000000"/>
                <w:sz w:val="24"/>
              </w:rPr>
              <w:t>10,020,221.56</w:t>
            </w:r>
          </w:p>
        </w:tc>
        <w:tc>
          <w:tcPr>
            <w:tcW w:w="1620" w:type="dxa"/>
            <w:vAlign w:val="center"/>
          </w:tcPr>
          <w:p>
            <w:pPr>
              <w:jc w:val="right"/>
            </w:pPr>
            <w:r>
              <w:rPr>
                <w:color w:val="000000"/>
                <w:sz w:val="24"/>
              </w:rPr>
              <w:t>4.14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48</w:t>
            </w:r>
          </w:p>
        </w:tc>
        <w:tc>
          <w:tcPr>
            <w:tcW w:w="1650" w:type="dxa"/>
            <w:vAlign w:val="center"/>
          </w:tcPr>
          <w:p>
            <w:pPr>
              <w:jc w:val="center"/>
            </w:pPr>
            <w:r>
              <w:rPr>
                <w:color w:val="000000"/>
                <w:sz w:val="24"/>
              </w:rPr>
              <w:t>300663</w:t>
            </w:r>
          </w:p>
        </w:tc>
        <w:tc>
          <w:tcPr>
            <w:tcW w:w="1980" w:type="dxa"/>
            <w:vAlign w:val="center"/>
          </w:tcPr>
          <w:p>
            <w:pPr>
              <w:jc w:val="center"/>
            </w:pPr>
            <w:r>
              <w:rPr>
                <w:color w:val="000000"/>
                <w:sz w:val="24"/>
              </w:rPr>
              <w:t>科蓝软件</w:t>
            </w:r>
          </w:p>
        </w:tc>
        <w:tc>
          <w:tcPr>
            <w:tcW w:w="2880" w:type="dxa"/>
            <w:vAlign w:val="center"/>
          </w:tcPr>
          <w:p>
            <w:pPr>
              <w:jc w:val="right"/>
            </w:pPr>
            <w:r>
              <w:rPr>
                <w:color w:val="000000"/>
                <w:sz w:val="24"/>
              </w:rPr>
              <w:t>9,753,939.81</w:t>
            </w:r>
          </w:p>
        </w:tc>
        <w:tc>
          <w:tcPr>
            <w:tcW w:w="1620" w:type="dxa"/>
            <w:vAlign w:val="center"/>
          </w:tcPr>
          <w:p>
            <w:pPr>
              <w:jc w:val="right"/>
            </w:pPr>
            <w:r>
              <w:rPr>
                <w:color w:val="000000"/>
                <w:sz w:val="24"/>
              </w:rPr>
              <w:t>4.03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49</w:t>
            </w:r>
          </w:p>
        </w:tc>
        <w:tc>
          <w:tcPr>
            <w:tcW w:w="1650" w:type="dxa"/>
            <w:vAlign w:val="center"/>
          </w:tcPr>
          <w:p>
            <w:pPr>
              <w:jc w:val="center"/>
            </w:pPr>
            <w:r>
              <w:rPr>
                <w:color w:val="000000"/>
                <w:sz w:val="24"/>
              </w:rPr>
              <w:t>300787</w:t>
            </w:r>
          </w:p>
        </w:tc>
        <w:tc>
          <w:tcPr>
            <w:tcW w:w="1980" w:type="dxa"/>
            <w:vAlign w:val="center"/>
          </w:tcPr>
          <w:p>
            <w:pPr>
              <w:jc w:val="center"/>
            </w:pPr>
            <w:r>
              <w:rPr>
                <w:color w:val="000000"/>
                <w:sz w:val="24"/>
              </w:rPr>
              <w:t>海能实业</w:t>
            </w:r>
          </w:p>
        </w:tc>
        <w:tc>
          <w:tcPr>
            <w:tcW w:w="2880" w:type="dxa"/>
            <w:vAlign w:val="center"/>
          </w:tcPr>
          <w:p>
            <w:pPr>
              <w:jc w:val="right"/>
            </w:pPr>
            <w:r>
              <w:rPr>
                <w:color w:val="000000"/>
                <w:sz w:val="24"/>
              </w:rPr>
              <w:t>9,684,222.00</w:t>
            </w:r>
          </w:p>
        </w:tc>
        <w:tc>
          <w:tcPr>
            <w:tcW w:w="1620" w:type="dxa"/>
            <w:vAlign w:val="center"/>
          </w:tcPr>
          <w:p>
            <w:pPr>
              <w:jc w:val="right"/>
            </w:pPr>
            <w:r>
              <w:rPr>
                <w:color w:val="000000"/>
                <w:sz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50</w:t>
            </w:r>
          </w:p>
        </w:tc>
        <w:tc>
          <w:tcPr>
            <w:tcW w:w="1650" w:type="dxa"/>
            <w:vAlign w:val="center"/>
          </w:tcPr>
          <w:p>
            <w:pPr>
              <w:jc w:val="center"/>
            </w:pPr>
            <w:r>
              <w:rPr>
                <w:color w:val="000000"/>
                <w:sz w:val="24"/>
              </w:rPr>
              <w:t>603866</w:t>
            </w:r>
          </w:p>
        </w:tc>
        <w:tc>
          <w:tcPr>
            <w:tcW w:w="1980" w:type="dxa"/>
            <w:vAlign w:val="center"/>
          </w:tcPr>
          <w:p>
            <w:pPr>
              <w:jc w:val="center"/>
            </w:pPr>
            <w:r>
              <w:rPr>
                <w:color w:val="000000"/>
                <w:sz w:val="24"/>
              </w:rPr>
              <w:t>桃李面包</w:t>
            </w:r>
          </w:p>
        </w:tc>
        <w:tc>
          <w:tcPr>
            <w:tcW w:w="2880" w:type="dxa"/>
            <w:vAlign w:val="center"/>
          </w:tcPr>
          <w:p>
            <w:pPr>
              <w:jc w:val="right"/>
            </w:pPr>
            <w:r>
              <w:rPr>
                <w:color w:val="000000"/>
                <w:sz w:val="24"/>
              </w:rPr>
              <w:t>9,645,466.66</w:t>
            </w:r>
          </w:p>
        </w:tc>
        <w:tc>
          <w:tcPr>
            <w:tcW w:w="1620" w:type="dxa"/>
            <w:vAlign w:val="center"/>
          </w:tcPr>
          <w:p>
            <w:pPr>
              <w:jc w:val="right"/>
            </w:pPr>
            <w:r>
              <w:rPr>
                <w:color w:val="000000"/>
                <w:sz w:val="24"/>
              </w:rPr>
              <w:t>3.98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51</w:t>
            </w:r>
          </w:p>
        </w:tc>
        <w:tc>
          <w:tcPr>
            <w:tcW w:w="1650" w:type="dxa"/>
            <w:vAlign w:val="center"/>
          </w:tcPr>
          <w:p>
            <w:pPr>
              <w:jc w:val="center"/>
            </w:pPr>
            <w:r>
              <w:rPr>
                <w:color w:val="000000"/>
                <w:sz w:val="24"/>
              </w:rPr>
              <w:t>600352</w:t>
            </w:r>
          </w:p>
        </w:tc>
        <w:tc>
          <w:tcPr>
            <w:tcW w:w="1980" w:type="dxa"/>
            <w:vAlign w:val="center"/>
          </w:tcPr>
          <w:p>
            <w:pPr>
              <w:jc w:val="center"/>
            </w:pPr>
            <w:r>
              <w:rPr>
                <w:color w:val="000000"/>
                <w:sz w:val="24"/>
              </w:rPr>
              <w:t>浙江龙盛</w:t>
            </w:r>
          </w:p>
        </w:tc>
        <w:tc>
          <w:tcPr>
            <w:tcW w:w="2880" w:type="dxa"/>
            <w:vAlign w:val="center"/>
          </w:tcPr>
          <w:p>
            <w:pPr>
              <w:jc w:val="right"/>
            </w:pPr>
            <w:r>
              <w:rPr>
                <w:color w:val="000000"/>
                <w:sz w:val="24"/>
              </w:rPr>
              <w:t>9,628,937.00</w:t>
            </w:r>
          </w:p>
        </w:tc>
        <w:tc>
          <w:tcPr>
            <w:tcW w:w="1620" w:type="dxa"/>
            <w:vAlign w:val="center"/>
          </w:tcPr>
          <w:p>
            <w:pPr>
              <w:jc w:val="right"/>
            </w:pPr>
            <w:r>
              <w:rPr>
                <w:color w:val="000000"/>
                <w:sz w:val="24"/>
              </w:rPr>
              <w:t>3.98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52</w:t>
            </w:r>
          </w:p>
        </w:tc>
        <w:tc>
          <w:tcPr>
            <w:tcW w:w="1650" w:type="dxa"/>
            <w:vAlign w:val="center"/>
          </w:tcPr>
          <w:p>
            <w:pPr>
              <w:jc w:val="center"/>
            </w:pPr>
            <w:r>
              <w:rPr>
                <w:color w:val="000000"/>
                <w:sz w:val="24"/>
              </w:rPr>
              <w:t>688390</w:t>
            </w:r>
          </w:p>
        </w:tc>
        <w:tc>
          <w:tcPr>
            <w:tcW w:w="1980" w:type="dxa"/>
            <w:vAlign w:val="center"/>
          </w:tcPr>
          <w:p>
            <w:pPr>
              <w:jc w:val="center"/>
            </w:pPr>
            <w:r>
              <w:rPr>
                <w:color w:val="000000"/>
                <w:sz w:val="24"/>
              </w:rPr>
              <w:t>固德威</w:t>
            </w:r>
          </w:p>
        </w:tc>
        <w:tc>
          <w:tcPr>
            <w:tcW w:w="2880" w:type="dxa"/>
            <w:vAlign w:val="center"/>
          </w:tcPr>
          <w:p>
            <w:pPr>
              <w:jc w:val="right"/>
            </w:pPr>
            <w:r>
              <w:rPr>
                <w:color w:val="000000"/>
                <w:sz w:val="24"/>
              </w:rPr>
              <w:t>9,462,171.92</w:t>
            </w:r>
          </w:p>
        </w:tc>
        <w:tc>
          <w:tcPr>
            <w:tcW w:w="1620" w:type="dxa"/>
            <w:vAlign w:val="center"/>
          </w:tcPr>
          <w:p>
            <w:pPr>
              <w:jc w:val="right"/>
            </w:pPr>
            <w:r>
              <w:rPr>
                <w:color w:val="000000"/>
                <w:sz w:val="24"/>
              </w:rPr>
              <w:t>3.91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53</w:t>
            </w:r>
          </w:p>
        </w:tc>
        <w:tc>
          <w:tcPr>
            <w:tcW w:w="1650" w:type="dxa"/>
            <w:vAlign w:val="center"/>
          </w:tcPr>
          <w:p>
            <w:pPr>
              <w:jc w:val="center"/>
            </w:pPr>
            <w:r>
              <w:rPr>
                <w:color w:val="000000"/>
                <w:sz w:val="24"/>
              </w:rPr>
              <w:t>688006</w:t>
            </w:r>
          </w:p>
        </w:tc>
        <w:tc>
          <w:tcPr>
            <w:tcW w:w="1980" w:type="dxa"/>
            <w:vAlign w:val="center"/>
          </w:tcPr>
          <w:p>
            <w:pPr>
              <w:jc w:val="center"/>
            </w:pPr>
            <w:r>
              <w:rPr>
                <w:color w:val="000000"/>
                <w:sz w:val="24"/>
              </w:rPr>
              <w:t>杭可科技</w:t>
            </w:r>
          </w:p>
        </w:tc>
        <w:tc>
          <w:tcPr>
            <w:tcW w:w="2880" w:type="dxa"/>
            <w:vAlign w:val="center"/>
          </w:tcPr>
          <w:p>
            <w:pPr>
              <w:jc w:val="right"/>
            </w:pPr>
            <w:r>
              <w:rPr>
                <w:color w:val="000000"/>
                <w:sz w:val="24"/>
              </w:rPr>
              <w:t>9,351,273.37</w:t>
            </w:r>
          </w:p>
        </w:tc>
        <w:tc>
          <w:tcPr>
            <w:tcW w:w="1620" w:type="dxa"/>
            <w:vAlign w:val="center"/>
          </w:tcPr>
          <w:p>
            <w:pPr>
              <w:jc w:val="right"/>
            </w:pPr>
            <w:r>
              <w:rPr>
                <w:color w:val="000000"/>
                <w:sz w:val="24"/>
              </w:rPr>
              <w:t>3.86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54</w:t>
            </w:r>
          </w:p>
        </w:tc>
        <w:tc>
          <w:tcPr>
            <w:tcW w:w="1650" w:type="dxa"/>
            <w:vAlign w:val="center"/>
          </w:tcPr>
          <w:p>
            <w:pPr>
              <w:jc w:val="center"/>
            </w:pPr>
            <w:r>
              <w:rPr>
                <w:color w:val="000000"/>
                <w:sz w:val="24"/>
              </w:rPr>
              <w:t>688012</w:t>
            </w:r>
          </w:p>
        </w:tc>
        <w:tc>
          <w:tcPr>
            <w:tcW w:w="1980" w:type="dxa"/>
            <w:vAlign w:val="center"/>
          </w:tcPr>
          <w:p>
            <w:pPr>
              <w:jc w:val="center"/>
            </w:pPr>
            <w:r>
              <w:rPr>
                <w:color w:val="000000"/>
                <w:sz w:val="24"/>
              </w:rPr>
              <w:t>中微公司</w:t>
            </w:r>
          </w:p>
        </w:tc>
        <w:tc>
          <w:tcPr>
            <w:tcW w:w="2880" w:type="dxa"/>
            <w:vAlign w:val="center"/>
          </w:tcPr>
          <w:p>
            <w:pPr>
              <w:jc w:val="right"/>
            </w:pPr>
            <w:r>
              <w:rPr>
                <w:color w:val="000000"/>
                <w:sz w:val="24"/>
              </w:rPr>
              <w:t>9,308,649.21</w:t>
            </w:r>
          </w:p>
        </w:tc>
        <w:tc>
          <w:tcPr>
            <w:tcW w:w="1620" w:type="dxa"/>
            <w:vAlign w:val="center"/>
          </w:tcPr>
          <w:p>
            <w:pPr>
              <w:jc w:val="right"/>
            </w:pPr>
            <w:r>
              <w:rPr>
                <w:color w:val="000000"/>
                <w:sz w:val="24"/>
              </w:rPr>
              <w:t>3.84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55</w:t>
            </w:r>
          </w:p>
        </w:tc>
        <w:tc>
          <w:tcPr>
            <w:tcW w:w="1650" w:type="dxa"/>
            <w:vAlign w:val="center"/>
          </w:tcPr>
          <w:p>
            <w:pPr>
              <w:jc w:val="center"/>
            </w:pPr>
            <w:r>
              <w:rPr>
                <w:color w:val="000000"/>
                <w:sz w:val="24"/>
              </w:rPr>
              <w:t>603039</w:t>
            </w:r>
          </w:p>
        </w:tc>
        <w:tc>
          <w:tcPr>
            <w:tcW w:w="1980" w:type="dxa"/>
            <w:vAlign w:val="center"/>
          </w:tcPr>
          <w:p>
            <w:pPr>
              <w:jc w:val="center"/>
            </w:pPr>
            <w:r>
              <w:rPr>
                <w:color w:val="000000"/>
                <w:sz w:val="24"/>
              </w:rPr>
              <w:t>泛微网络</w:t>
            </w:r>
          </w:p>
        </w:tc>
        <w:tc>
          <w:tcPr>
            <w:tcW w:w="2880" w:type="dxa"/>
            <w:vAlign w:val="center"/>
          </w:tcPr>
          <w:p>
            <w:pPr>
              <w:jc w:val="right"/>
            </w:pPr>
            <w:r>
              <w:rPr>
                <w:color w:val="000000"/>
                <w:sz w:val="24"/>
              </w:rPr>
              <w:t>8,836,891.23</w:t>
            </w:r>
          </w:p>
        </w:tc>
        <w:tc>
          <w:tcPr>
            <w:tcW w:w="1620" w:type="dxa"/>
            <w:vAlign w:val="center"/>
          </w:tcPr>
          <w:p>
            <w:pPr>
              <w:jc w:val="right"/>
            </w:pPr>
            <w:r>
              <w:rPr>
                <w:color w:val="000000"/>
                <w:sz w:val="24"/>
              </w:rPr>
              <w:t>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56</w:t>
            </w:r>
          </w:p>
        </w:tc>
        <w:tc>
          <w:tcPr>
            <w:tcW w:w="1650" w:type="dxa"/>
            <w:vAlign w:val="center"/>
          </w:tcPr>
          <w:p>
            <w:pPr>
              <w:jc w:val="center"/>
            </w:pPr>
            <w:r>
              <w:rPr>
                <w:color w:val="000000"/>
                <w:sz w:val="24"/>
              </w:rPr>
              <w:t>601288</w:t>
            </w:r>
          </w:p>
        </w:tc>
        <w:tc>
          <w:tcPr>
            <w:tcW w:w="1980" w:type="dxa"/>
            <w:vAlign w:val="center"/>
          </w:tcPr>
          <w:p>
            <w:pPr>
              <w:jc w:val="center"/>
            </w:pPr>
            <w:r>
              <w:rPr>
                <w:color w:val="000000"/>
                <w:sz w:val="24"/>
              </w:rPr>
              <w:t>农业银行</w:t>
            </w:r>
          </w:p>
        </w:tc>
        <w:tc>
          <w:tcPr>
            <w:tcW w:w="2880" w:type="dxa"/>
            <w:vAlign w:val="center"/>
          </w:tcPr>
          <w:p>
            <w:pPr>
              <w:jc w:val="right"/>
            </w:pPr>
            <w:r>
              <w:rPr>
                <w:color w:val="000000"/>
                <w:sz w:val="24"/>
              </w:rPr>
              <w:t>8,744,840.00</w:t>
            </w:r>
          </w:p>
        </w:tc>
        <w:tc>
          <w:tcPr>
            <w:tcW w:w="1620" w:type="dxa"/>
            <w:vAlign w:val="center"/>
          </w:tcPr>
          <w:p>
            <w:pPr>
              <w:jc w:val="right"/>
            </w:pPr>
            <w:r>
              <w:rPr>
                <w:color w:val="000000"/>
                <w:sz w:val="24"/>
              </w:rPr>
              <w:t>3.61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57</w:t>
            </w:r>
          </w:p>
        </w:tc>
        <w:tc>
          <w:tcPr>
            <w:tcW w:w="1650" w:type="dxa"/>
            <w:vAlign w:val="center"/>
          </w:tcPr>
          <w:p>
            <w:pPr>
              <w:jc w:val="center"/>
            </w:pPr>
            <w:r>
              <w:rPr>
                <w:color w:val="000000"/>
                <w:sz w:val="24"/>
              </w:rPr>
              <w:t>688007</w:t>
            </w:r>
          </w:p>
        </w:tc>
        <w:tc>
          <w:tcPr>
            <w:tcW w:w="1980" w:type="dxa"/>
            <w:vAlign w:val="center"/>
          </w:tcPr>
          <w:p>
            <w:pPr>
              <w:jc w:val="center"/>
            </w:pPr>
            <w:r>
              <w:rPr>
                <w:color w:val="000000"/>
                <w:sz w:val="24"/>
              </w:rPr>
              <w:t>光峰科技</w:t>
            </w:r>
          </w:p>
        </w:tc>
        <w:tc>
          <w:tcPr>
            <w:tcW w:w="2880" w:type="dxa"/>
            <w:vAlign w:val="center"/>
          </w:tcPr>
          <w:p>
            <w:pPr>
              <w:jc w:val="right"/>
            </w:pPr>
            <w:r>
              <w:rPr>
                <w:color w:val="000000"/>
                <w:sz w:val="24"/>
              </w:rPr>
              <w:t>8,706,250.24</w:t>
            </w:r>
          </w:p>
        </w:tc>
        <w:tc>
          <w:tcPr>
            <w:tcW w:w="1620" w:type="dxa"/>
            <w:vAlign w:val="center"/>
          </w:tcPr>
          <w:p>
            <w:pPr>
              <w:jc w:val="right"/>
            </w:pPr>
            <w:r>
              <w:rPr>
                <w:color w:val="000000"/>
                <w:sz w:val="24"/>
              </w:rPr>
              <w:t>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58</w:t>
            </w:r>
          </w:p>
        </w:tc>
        <w:tc>
          <w:tcPr>
            <w:tcW w:w="1650" w:type="dxa"/>
            <w:vAlign w:val="center"/>
          </w:tcPr>
          <w:p>
            <w:pPr>
              <w:jc w:val="center"/>
            </w:pPr>
            <w:r>
              <w:rPr>
                <w:color w:val="000000"/>
                <w:sz w:val="24"/>
              </w:rPr>
              <w:t>600887</w:t>
            </w:r>
          </w:p>
        </w:tc>
        <w:tc>
          <w:tcPr>
            <w:tcW w:w="1980" w:type="dxa"/>
            <w:vAlign w:val="center"/>
          </w:tcPr>
          <w:p>
            <w:pPr>
              <w:jc w:val="center"/>
            </w:pPr>
            <w:r>
              <w:rPr>
                <w:color w:val="000000"/>
                <w:sz w:val="24"/>
              </w:rPr>
              <w:t>伊利股份</w:t>
            </w:r>
          </w:p>
        </w:tc>
        <w:tc>
          <w:tcPr>
            <w:tcW w:w="2880" w:type="dxa"/>
            <w:vAlign w:val="center"/>
          </w:tcPr>
          <w:p>
            <w:pPr>
              <w:jc w:val="right"/>
            </w:pPr>
            <w:r>
              <w:rPr>
                <w:color w:val="000000"/>
                <w:sz w:val="24"/>
              </w:rPr>
              <w:t>8,687,426.00</w:t>
            </w:r>
          </w:p>
        </w:tc>
        <w:tc>
          <w:tcPr>
            <w:tcW w:w="1620" w:type="dxa"/>
            <w:vAlign w:val="center"/>
          </w:tcPr>
          <w:p>
            <w:pPr>
              <w:jc w:val="right"/>
            </w:pPr>
            <w:r>
              <w:rPr>
                <w:color w:val="000000"/>
                <w:sz w:val="24"/>
              </w:rPr>
              <w:t>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59</w:t>
            </w:r>
          </w:p>
        </w:tc>
        <w:tc>
          <w:tcPr>
            <w:tcW w:w="1650" w:type="dxa"/>
            <w:vAlign w:val="center"/>
          </w:tcPr>
          <w:p>
            <w:pPr>
              <w:jc w:val="center"/>
            </w:pPr>
            <w:r>
              <w:rPr>
                <w:color w:val="000000"/>
                <w:sz w:val="24"/>
              </w:rPr>
              <w:t>688608</w:t>
            </w:r>
          </w:p>
        </w:tc>
        <w:tc>
          <w:tcPr>
            <w:tcW w:w="1980" w:type="dxa"/>
            <w:vAlign w:val="center"/>
          </w:tcPr>
          <w:p>
            <w:pPr>
              <w:jc w:val="center"/>
            </w:pPr>
            <w:r>
              <w:rPr>
                <w:color w:val="000000"/>
                <w:sz w:val="24"/>
              </w:rPr>
              <w:t>恒玄科技</w:t>
            </w:r>
          </w:p>
        </w:tc>
        <w:tc>
          <w:tcPr>
            <w:tcW w:w="2880" w:type="dxa"/>
            <w:vAlign w:val="center"/>
          </w:tcPr>
          <w:p>
            <w:pPr>
              <w:jc w:val="right"/>
            </w:pPr>
            <w:r>
              <w:rPr>
                <w:color w:val="000000"/>
                <w:sz w:val="24"/>
              </w:rPr>
              <w:t>8,311,614.89</w:t>
            </w:r>
          </w:p>
        </w:tc>
        <w:tc>
          <w:tcPr>
            <w:tcW w:w="1620" w:type="dxa"/>
            <w:vAlign w:val="center"/>
          </w:tcPr>
          <w:p>
            <w:pPr>
              <w:jc w:val="right"/>
            </w:pPr>
            <w:r>
              <w:rPr>
                <w:color w:val="000000"/>
                <w:sz w:val="24"/>
              </w:rPr>
              <w:t>3.43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60</w:t>
            </w:r>
          </w:p>
        </w:tc>
        <w:tc>
          <w:tcPr>
            <w:tcW w:w="1650" w:type="dxa"/>
            <w:vAlign w:val="center"/>
          </w:tcPr>
          <w:p>
            <w:pPr>
              <w:jc w:val="center"/>
            </w:pPr>
            <w:r>
              <w:rPr>
                <w:color w:val="000000"/>
                <w:sz w:val="24"/>
              </w:rPr>
              <w:t>600519</w:t>
            </w:r>
          </w:p>
        </w:tc>
        <w:tc>
          <w:tcPr>
            <w:tcW w:w="1980" w:type="dxa"/>
            <w:vAlign w:val="center"/>
          </w:tcPr>
          <w:p>
            <w:pPr>
              <w:jc w:val="center"/>
            </w:pPr>
            <w:r>
              <w:rPr>
                <w:color w:val="000000"/>
                <w:sz w:val="24"/>
              </w:rPr>
              <w:t>贵州茅台</w:t>
            </w:r>
          </w:p>
        </w:tc>
        <w:tc>
          <w:tcPr>
            <w:tcW w:w="2880" w:type="dxa"/>
            <w:vAlign w:val="center"/>
          </w:tcPr>
          <w:p>
            <w:pPr>
              <w:jc w:val="right"/>
            </w:pPr>
            <w:r>
              <w:rPr>
                <w:color w:val="000000"/>
                <w:sz w:val="24"/>
              </w:rPr>
              <w:t>8,184,713.00</w:t>
            </w:r>
          </w:p>
        </w:tc>
        <w:tc>
          <w:tcPr>
            <w:tcW w:w="1620" w:type="dxa"/>
            <w:vAlign w:val="center"/>
          </w:tcPr>
          <w:p>
            <w:pPr>
              <w:jc w:val="right"/>
            </w:pPr>
            <w:r>
              <w:rPr>
                <w:color w:val="000000"/>
                <w:sz w:val="24"/>
              </w:rPr>
              <w:t>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61</w:t>
            </w:r>
          </w:p>
        </w:tc>
        <w:tc>
          <w:tcPr>
            <w:tcW w:w="1650" w:type="dxa"/>
            <w:vAlign w:val="center"/>
          </w:tcPr>
          <w:p>
            <w:pPr>
              <w:jc w:val="center"/>
            </w:pPr>
            <w:r>
              <w:rPr>
                <w:color w:val="000000"/>
                <w:sz w:val="24"/>
              </w:rPr>
              <w:t>000910</w:t>
            </w:r>
          </w:p>
        </w:tc>
        <w:tc>
          <w:tcPr>
            <w:tcW w:w="1980" w:type="dxa"/>
            <w:vAlign w:val="center"/>
          </w:tcPr>
          <w:p>
            <w:pPr>
              <w:jc w:val="center"/>
            </w:pPr>
            <w:r>
              <w:rPr>
                <w:color w:val="000000"/>
                <w:sz w:val="24"/>
              </w:rPr>
              <w:t>大亚圣象</w:t>
            </w:r>
          </w:p>
        </w:tc>
        <w:tc>
          <w:tcPr>
            <w:tcW w:w="2880" w:type="dxa"/>
            <w:vAlign w:val="center"/>
          </w:tcPr>
          <w:p>
            <w:pPr>
              <w:jc w:val="right"/>
            </w:pPr>
            <w:r>
              <w:rPr>
                <w:color w:val="000000"/>
                <w:sz w:val="24"/>
              </w:rPr>
              <w:t>8,154,559.83</w:t>
            </w:r>
          </w:p>
        </w:tc>
        <w:tc>
          <w:tcPr>
            <w:tcW w:w="1620" w:type="dxa"/>
            <w:vAlign w:val="center"/>
          </w:tcPr>
          <w:p>
            <w:pPr>
              <w:jc w:val="right"/>
            </w:pPr>
            <w:r>
              <w:rPr>
                <w:color w:val="000000"/>
                <w:sz w:val="24"/>
              </w:rPr>
              <w:t>3.37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62</w:t>
            </w:r>
          </w:p>
        </w:tc>
        <w:tc>
          <w:tcPr>
            <w:tcW w:w="1650" w:type="dxa"/>
            <w:vAlign w:val="center"/>
          </w:tcPr>
          <w:p>
            <w:pPr>
              <w:jc w:val="center"/>
            </w:pPr>
            <w:r>
              <w:rPr>
                <w:color w:val="000000"/>
                <w:sz w:val="24"/>
              </w:rPr>
              <w:t>000656</w:t>
            </w:r>
          </w:p>
        </w:tc>
        <w:tc>
          <w:tcPr>
            <w:tcW w:w="1980" w:type="dxa"/>
            <w:vAlign w:val="center"/>
          </w:tcPr>
          <w:p>
            <w:pPr>
              <w:jc w:val="center"/>
            </w:pPr>
            <w:r>
              <w:rPr>
                <w:color w:val="000000"/>
                <w:sz w:val="24"/>
              </w:rPr>
              <w:t>金科股份</w:t>
            </w:r>
          </w:p>
        </w:tc>
        <w:tc>
          <w:tcPr>
            <w:tcW w:w="2880" w:type="dxa"/>
            <w:vAlign w:val="center"/>
          </w:tcPr>
          <w:p>
            <w:pPr>
              <w:jc w:val="right"/>
            </w:pPr>
            <w:r>
              <w:rPr>
                <w:color w:val="000000"/>
                <w:sz w:val="24"/>
              </w:rPr>
              <w:t>7,990,444.00</w:t>
            </w:r>
          </w:p>
        </w:tc>
        <w:tc>
          <w:tcPr>
            <w:tcW w:w="1620" w:type="dxa"/>
            <w:vAlign w:val="center"/>
          </w:tcPr>
          <w:p>
            <w:pPr>
              <w:jc w:val="right"/>
            </w:pPr>
            <w:r>
              <w:rPr>
                <w:color w:val="000000"/>
                <w:sz w:val="24"/>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63</w:t>
            </w:r>
          </w:p>
        </w:tc>
        <w:tc>
          <w:tcPr>
            <w:tcW w:w="1650" w:type="dxa"/>
            <w:vAlign w:val="center"/>
          </w:tcPr>
          <w:p>
            <w:pPr>
              <w:jc w:val="center"/>
            </w:pPr>
            <w:r>
              <w:rPr>
                <w:color w:val="000000"/>
                <w:sz w:val="24"/>
              </w:rPr>
              <w:t>688066</w:t>
            </w:r>
          </w:p>
        </w:tc>
        <w:tc>
          <w:tcPr>
            <w:tcW w:w="1980" w:type="dxa"/>
            <w:vAlign w:val="center"/>
          </w:tcPr>
          <w:p>
            <w:pPr>
              <w:jc w:val="center"/>
            </w:pPr>
            <w:r>
              <w:rPr>
                <w:color w:val="000000"/>
                <w:sz w:val="24"/>
              </w:rPr>
              <w:t>航天宏图</w:t>
            </w:r>
          </w:p>
        </w:tc>
        <w:tc>
          <w:tcPr>
            <w:tcW w:w="2880" w:type="dxa"/>
            <w:vAlign w:val="center"/>
          </w:tcPr>
          <w:p>
            <w:pPr>
              <w:jc w:val="right"/>
            </w:pPr>
            <w:r>
              <w:rPr>
                <w:color w:val="000000"/>
                <w:sz w:val="24"/>
              </w:rPr>
              <w:t>7,933,764.67</w:t>
            </w:r>
          </w:p>
        </w:tc>
        <w:tc>
          <w:tcPr>
            <w:tcW w:w="1620" w:type="dxa"/>
            <w:vAlign w:val="center"/>
          </w:tcPr>
          <w:p>
            <w:pPr>
              <w:jc w:val="right"/>
            </w:pPr>
            <w:r>
              <w:rPr>
                <w:color w:val="000000"/>
                <w:sz w:val="24"/>
              </w:rPr>
              <w:t>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64</w:t>
            </w:r>
          </w:p>
        </w:tc>
        <w:tc>
          <w:tcPr>
            <w:tcW w:w="1650" w:type="dxa"/>
            <w:vAlign w:val="center"/>
          </w:tcPr>
          <w:p>
            <w:pPr>
              <w:jc w:val="center"/>
            </w:pPr>
            <w:r>
              <w:rPr>
                <w:color w:val="000000"/>
                <w:sz w:val="24"/>
              </w:rPr>
              <w:t>002993</w:t>
            </w:r>
          </w:p>
        </w:tc>
        <w:tc>
          <w:tcPr>
            <w:tcW w:w="1980" w:type="dxa"/>
            <w:vAlign w:val="center"/>
          </w:tcPr>
          <w:p>
            <w:pPr>
              <w:jc w:val="center"/>
            </w:pPr>
            <w:r>
              <w:rPr>
                <w:color w:val="000000"/>
                <w:sz w:val="24"/>
              </w:rPr>
              <w:t>奥海科技</w:t>
            </w:r>
          </w:p>
        </w:tc>
        <w:tc>
          <w:tcPr>
            <w:tcW w:w="2880" w:type="dxa"/>
            <w:vAlign w:val="center"/>
          </w:tcPr>
          <w:p>
            <w:pPr>
              <w:jc w:val="right"/>
            </w:pPr>
            <w:r>
              <w:rPr>
                <w:color w:val="000000"/>
                <w:sz w:val="24"/>
              </w:rPr>
              <w:t>7,923,477.82</w:t>
            </w:r>
          </w:p>
        </w:tc>
        <w:tc>
          <w:tcPr>
            <w:tcW w:w="1620" w:type="dxa"/>
            <w:vAlign w:val="center"/>
          </w:tcPr>
          <w:p>
            <w:pPr>
              <w:jc w:val="right"/>
            </w:pPr>
            <w:r>
              <w:rPr>
                <w:color w:val="000000"/>
                <w:sz w:val="24"/>
              </w:rPr>
              <w:t>3.27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65</w:t>
            </w:r>
          </w:p>
        </w:tc>
        <w:tc>
          <w:tcPr>
            <w:tcW w:w="1650" w:type="dxa"/>
            <w:vAlign w:val="center"/>
          </w:tcPr>
          <w:p>
            <w:pPr>
              <w:jc w:val="center"/>
            </w:pPr>
            <w:r>
              <w:rPr>
                <w:color w:val="000000"/>
                <w:sz w:val="24"/>
              </w:rPr>
              <w:t>600089</w:t>
            </w:r>
          </w:p>
        </w:tc>
        <w:tc>
          <w:tcPr>
            <w:tcW w:w="1980" w:type="dxa"/>
            <w:vAlign w:val="center"/>
          </w:tcPr>
          <w:p>
            <w:pPr>
              <w:jc w:val="center"/>
            </w:pPr>
            <w:r>
              <w:rPr>
                <w:color w:val="000000"/>
                <w:sz w:val="24"/>
              </w:rPr>
              <w:t>特变电工</w:t>
            </w:r>
          </w:p>
        </w:tc>
        <w:tc>
          <w:tcPr>
            <w:tcW w:w="2880" w:type="dxa"/>
            <w:vAlign w:val="center"/>
          </w:tcPr>
          <w:p>
            <w:pPr>
              <w:jc w:val="right"/>
            </w:pPr>
            <w:r>
              <w:rPr>
                <w:color w:val="000000"/>
                <w:sz w:val="24"/>
              </w:rPr>
              <w:t>7,827,268.00</w:t>
            </w:r>
          </w:p>
        </w:tc>
        <w:tc>
          <w:tcPr>
            <w:tcW w:w="1620" w:type="dxa"/>
            <w:vAlign w:val="center"/>
          </w:tcPr>
          <w:p>
            <w:pPr>
              <w:jc w:val="right"/>
            </w:pPr>
            <w:r>
              <w:rPr>
                <w:color w:val="000000"/>
                <w:sz w:val="24"/>
              </w:rPr>
              <w:t>3.23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66</w:t>
            </w:r>
          </w:p>
        </w:tc>
        <w:tc>
          <w:tcPr>
            <w:tcW w:w="1650" w:type="dxa"/>
            <w:vAlign w:val="center"/>
          </w:tcPr>
          <w:p>
            <w:pPr>
              <w:jc w:val="center"/>
            </w:pPr>
            <w:r>
              <w:rPr>
                <w:color w:val="000000"/>
                <w:sz w:val="24"/>
              </w:rPr>
              <w:t>300628</w:t>
            </w:r>
          </w:p>
        </w:tc>
        <w:tc>
          <w:tcPr>
            <w:tcW w:w="1980" w:type="dxa"/>
            <w:vAlign w:val="center"/>
          </w:tcPr>
          <w:p>
            <w:pPr>
              <w:jc w:val="center"/>
            </w:pPr>
            <w:r>
              <w:rPr>
                <w:color w:val="000000"/>
                <w:sz w:val="24"/>
              </w:rPr>
              <w:t>亿联网络</w:t>
            </w:r>
          </w:p>
        </w:tc>
        <w:tc>
          <w:tcPr>
            <w:tcW w:w="2880" w:type="dxa"/>
            <w:vAlign w:val="center"/>
          </w:tcPr>
          <w:p>
            <w:pPr>
              <w:jc w:val="right"/>
            </w:pPr>
            <w:r>
              <w:rPr>
                <w:color w:val="000000"/>
                <w:sz w:val="24"/>
              </w:rPr>
              <w:t>7,650,779.00</w:t>
            </w:r>
          </w:p>
        </w:tc>
        <w:tc>
          <w:tcPr>
            <w:tcW w:w="1620" w:type="dxa"/>
            <w:vAlign w:val="center"/>
          </w:tcPr>
          <w:p>
            <w:pPr>
              <w:jc w:val="right"/>
            </w:pPr>
            <w:r>
              <w:rPr>
                <w:color w:val="000000"/>
                <w:sz w:val="24"/>
              </w:rPr>
              <w:t>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67</w:t>
            </w:r>
          </w:p>
        </w:tc>
        <w:tc>
          <w:tcPr>
            <w:tcW w:w="1650" w:type="dxa"/>
            <w:vAlign w:val="center"/>
          </w:tcPr>
          <w:p>
            <w:pPr>
              <w:jc w:val="center"/>
            </w:pPr>
            <w:r>
              <w:rPr>
                <w:color w:val="000000"/>
                <w:sz w:val="24"/>
              </w:rPr>
              <w:t>300450</w:t>
            </w:r>
          </w:p>
        </w:tc>
        <w:tc>
          <w:tcPr>
            <w:tcW w:w="1980" w:type="dxa"/>
            <w:vAlign w:val="center"/>
          </w:tcPr>
          <w:p>
            <w:pPr>
              <w:jc w:val="center"/>
            </w:pPr>
            <w:r>
              <w:rPr>
                <w:color w:val="000000"/>
                <w:sz w:val="24"/>
              </w:rPr>
              <w:t>先导智能</w:t>
            </w:r>
          </w:p>
        </w:tc>
        <w:tc>
          <w:tcPr>
            <w:tcW w:w="2880" w:type="dxa"/>
            <w:vAlign w:val="center"/>
          </w:tcPr>
          <w:p>
            <w:pPr>
              <w:jc w:val="right"/>
            </w:pPr>
            <w:r>
              <w:rPr>
                <w:color w:val="000000"/>
                <w:sz w:val="24"/>
              </w:rPr>
              <w:t>7,385,597.00</w:t>
            </w:r>
          </w:p>
        </w:tc>
        <w:tc>
          <w:tcPr>
            <w:tcW w:w="1620" w:type="dxa"/>
            <w:vAlign w:val="center"/>
          </w:tcPr>
          <w:p>
            <w:pPr>
              <w:jc w:val="right"/>
            </w:pPr>
            <w:r>
              <w:rPr>
                <w:color w:val="000000"/>
                <w:sz w:val="24"/>
              </w:rPr>
              <w:t>3.05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68</w:t>
            </w:r>
          </w:p>
        </w:tc>
        <w:tc>
          <w:tcPr>
            <w:tcW w:w="1650" w:type="dxa"/>
            <w:vAlign w:val="center"/>
          </w:tcPr>
          <w:p>
            <w:pPr>
              <w:jc w:val="center"/>
            </w:pPr>
            <w:r>
              <w:rPr>
                <w:color w:val="000000"/>
                <w:sz w:val="24"/>
              </w:rPr>
              <w:t>300016</w:t>
            </w:r>
          </w:p>
        </w:tc>
        <w:tc>
          <w:tcPr>
            <w:tcW w:w="1980" w:type="dxa"/>
            <w:vAlign w:val="center"/>
          </w:tcPr>
          <w:p>
            <w:pPr>
              <w:jc w:val="center"/>
            </w:pPr>
            <w:r>
              <w:rPr>
                <w:color w:val="000000"/>
                <w:sz w:val="24"/>
              </w:rPr>
              <w:t>北陆药业</w:t>
            </w:r>
          </w:p>
        </w:tc>
        <w:tc>
          <w:tcPr>
            <w:tcW w:w="2880" w:type="dxa"/>
            <w:vAlign w:val="center"/>
          </w:tcPr>
          <w:p>
            <w:pPr>
              <w:jc w:val="right"/>
            </w:pPr>
            <w:r>
              <w:rPr>
                <w:color w:val="000000"/>
                <w:sz w:val="24"/>
              </w:rPr>
              <w:t>7,319,244.00</w:t>
            </w:r>
          </w:p>
        </w:tc>
        <w:tc>
          <w:tcPr>
            <w:tcW w:w="1620" w:type="dxa"/>
            <w:vAlign w:val="center"/>
          </w:tcPr>
          <w:p>
            <w:pPr>
              <w:jc w:val="right"/>
            </w:pPr>
            <w:r>
              <w:rPr>
                <w:color w:val="000000"/>
                <w:sz w:val="24"/>
              </w:rPr>
              <w:t>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69</w:t>
            </w:r>
          </w:p>
        </w:tc>
        <w:tc>
          <w:tcPr>
            <w:tcW w:w="1650" w:type="dxa"/>
            <w:vAlign w:val="center"/>
          </w:tcPr>
          <w:p>
            <w:pPr>
              <w:jc w:val="center"/>
            </w:pPr>
            <w:r>
              <w:rPr>
                <w:color w:val="000000"/>
                <w:sz w:val="24"/>
              </w:rPr>
              <w:t>002368</w:t>
            </w:r>
          </w:p>
        </w:tc>
        <w:tc>
          <w:tcPr>
            <w:tcW w:w="1980" w:type="dxa"/>
            <w:vAlign w:val="center"/>
          </w:tcPr>
          <w:p>
            <w:pPr>
              <w:jc w:val="center"/>
            </w:pPr>
            <w:r>
              <w:rPr>
                <w:color w:val="000000"/>
                <w:sz w:val="24"/>
              </w:rPr>
              <w:t>太极股份</w:t>
            </w:r>
          </w:p>
        </w:tc>
        <w:tc>
          <w:tcPr>
            <w:tcW w:w="2880" w:type="dxa"/>
            <w:vAlign w:val="center"/>
          </w:tcPr>
          <w:p>
            <w:pPr>
              <w:jc w:val="right"/>
            </w:pPr>
            <w:r>
              <w:rPr>
                <w:color w:val="000000"/>
                <w:sz w:val="24"/>
              </w:rPr>
              <w:t>7,104,003.20</w:t>
            </w:r>
          </w:p>
        </w:tc>
        <w:tc>
          <w:tcPr>
            <w:tcW w:w="1620" w:type="dxa"/>
            <w:vAlign w:val="center"/>
          </w:tcPr>
          <w:p>
            <w:pPr>
              <w:jc w:val="right"/>
            </w:pPr>
            <w:r>
              <w:rPr>
                <w:color w:val="000000"/>
                <w:sz w:val="24"/>
              </w:rPr>
              <w:t>2.93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70</w:t>
            </w:r>
          </w:p>
        </w:tc>
        <w:tc>
          <w:tcPr>
            <w:tcW w:w="1650" w:type="dxa"/>
            <w:vAlign w:val="center"/>
          </w:tcPr>
          <w:p>
            <w:pPr>
              <w:jc w:val="center"/>
            </w:pPr>
            <w:r>
              <w:rPr>
                <w:color w:val="000000"/>
                <w:sz w:val="24"/>
              </w:rPr>
              <w:t>002739</w:t>
            </w:r>
          </w:p>
        </w:tc>
        <w:tc>
          <w:tcPr>
            <w:tcW w:w="1980" w:type="dxa"/>
            <w:vAlign w:val="center"/>
          </w:tcPr>
          <w:p>
            <w:pPr>
              <w:jc w:val="center"/>
            </w:pPr>
            <w:r>
              <w:rPr>
                <w:color w:val="000000"/>
                <w:sz w:val="24"/>
              </w:rPr>
              <w:t>万达电影</w:t>
            </w:r>
          </w:p>
        </w:tc>
        <w:tc>
          <w:tcPr>
            <w:tcW w:w="2880" w:type="dxa"/>
            <w:vAlign w:val="center"/>
          </w:tcPr>
          <w:p>
            <w:pPr>
              <w:jc w:val="right"/>
            </w:pPr>
            <w:r>
              <w:rPr>
                <w:color w:val="000000"/>
                <w:sz w:val="24"/>
              </w:rPr>
              <w:t>6,993,800.50</w:t>
            </w:r>
          </w:p>
        </w:tc>
        <w:tc>
          <w:tcPr>
            <w:tcW w:w="1620" w:type="dxa"/>
            <w:vAlign w:val="center"/>
          </w:tcPr>
          <w:p>
            <w:pPr>
              <w:jc w:val="right"/>
            </w:pPr>
            <w:r>
              <w:rPr>
                <w:color w:val="000000"/>
                <w:sz w:val="24"/>
              </w:rPr>
              <w:t>2.89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71</w:t>
            </w:r>
          </w:p>
        </w:tc>
        <w:tc>
          <w:tcPr>
            <w:tcW w:w="1650" w:type="dxa"/>
            <w:vAlign w:val="center"/>
          </w:tcPr>
          <w:p>
            <w:pPr>
              <w:jc w:val="center"/>
            </w:pPr>
            <w:r>
              <w:rPr>
                <w:color w:val="000000"/>
                <w:sz w:val="24"/>
              </w:rPr>
              <w:t>688016</w:t>
            </w:r>
          </w:p>
        </w:tc>
        <w:tc>
          <w:tcPr>
            <w:tcW w:w="1980" w:type="dxa"/>
            <w:vAlign w:val="center"/>
          </w:tcPr>
          <w:p>
            <w:pPr>
              <w:jc w:val="center"/>
            </w:pPr>
            <w:r>
              <w:rPr>
                <w:color w:val="000000"/>
                <w:sz w:val="24"/>
              </w:rPr>
              <w:t>心脉医疗</w:t>
            </w:r>
          </w:p>
        </w:tc>
        <w:tc>
          <w:tcPr>
            <w:tcW w:w="2880" w:type="dxa"/>
            <w:vAlign w:val="center"/>
          </w:tcPr>
          <w:p>
            <w:pPr>
              <w:jc w:val="right"/>
            </w:pPr>
            <w:r>
              <w:rPr>
                <w:color w:val="000000"/>
                <w:sz w:val="24"/>
              </w:rPr>
              <w:t>6,968,190.31</w:t>
            </w:r>
          </w:p>
        </w:tc>
        <w:tc>
          <w:tcPr>
            <w:tcW w:w="1620" w:type="dxa"/>
            <w:vAlign w:val="center"/>
          </w:tcPr>
          <w:p>
            <w:pPr>
              <w:jc w:val="right"/>
            </w:pPr>
            <w:r>
              <w:rPr>
                <w:color w:val="000000"/>
                <w:sz w:val="24"/>
              </w:rPr>
              <w:t>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72</w:t>
            </w:r>
          </w:p>
        </w:tc>
        <w:tc>
          <w:tcPr>
            <w:tcW w:w="1650" w:type="dxa"/>
            <w:vAlign w:val="center"/>
          </w:tcPr>
          <w:p>
            <w:pPr>
              <w:jc w:val="center"/>
            </w:pPr>
            <w:r>
              <w:rPr>
                <w:color w:val="000000"/>
                <w:sz w:val="24"/>
              </w:rPr>
              <w:t>688180</w:t>
            </w:r>
          </w:p>
        </w:tc>
        <w:tc>
          <w:tcPr>
            <w:tcW w:w="1980" w:type="dxa"/>
            <w:vAlign w:val="center"/>
          </w:tcPr>
          <w:p>
            <w:pPr>
              <w:jc w:val="center"/>
            </w:pPr>
            <w:r>
              <w:rPr>
                <w:color w:val="000000"/>
                <w:sz w:val="24"/>
              </w:rPr>
              <w:t>君实生物</w:t>
            </w:r>
          </w:p>
        </w:tc>
        <w:tc>
          <w:tcPr>
            <w:tcW w:w="2880" w:type="dxa"/>
            <w:vAlign w:val="center"/>
          </w:tcPr>
          <w:p>
            <w:pPr>
              <w:jc w:val="right"/>
            </w:pPr>
            <w:r>
              <w:rPr>
                <w:color w:val="000000"/>
                <w:sz w:val="24"/>
              </w:rPr>
              <w:t>6,932,687.62</w:t>
            </w:r>
          </w:p>
        </w:tc>
        <w:tc>
          <w:tcPr>
            <w:tcW w:w="1620" w:type="dxa"/>
            <w:vAlign w:val="center"/>
          </w:tcPr>
          <w:p>
            <w:pPr>
              <w:jc w:val="right"/>
            </w:pPr>
            <w:r>
              <w:rPr>
                <w:color w:val="000000"/>
                <w:sz w:val="24"/>
              </w:rPr>
              <w:t>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73</w:t>
            </w:r>
          </w:p>
        </w:tc>
        <w:tc>
          <w:tcPr>
            <w:tcW w:w="1650" w:type="dxa"/>
            <w:vAlign w:val="center"/>
          </w:tcPr>
          <w:p>
            <w:pPr>
              <w:jc w:val="center"/>
            </w:pPr>
            <w:r>
              <w:rPr>
                <w:color w:val="000000"/>
                <w:sz w:val="24"/>
              </w:rPr>
              <w:t>688196</w:t>
            </w:r>
          </w:p>
        </w:tc>
        <w:tc>
          <w:tcPr>
            <w:tcW w:w="1980" w:type="dxa"/>
            <w:vAlign w:val="center"/>
          </w:tcPr>
          <w:p>
            <w:pPr>
              <w:jc w:val="center"/>
            </w:pPr>
            <w:r>
              <w:rPr>
                <w:color w:val="000000"/>
                <w:sz w:val="24"/>
              </w:rPr>
              <w:t>卓越新能</w:t>
            </w:r>
          </w:p>
        </w:tc>
        <w:tc>
          <w:tcPr>
            <w:tcW w:w="2880" w:type="dxa"/>
            <w:vAlign w:val="center"/>
          </w:tcPr>
          <w:p>
            <w:pPr>
              <w:jc w:val="right"/>
            </w:pPr>
            <w:r>
              <w:rPr>
                <w:color w:val="000000"/>
                <w:sz w:val="24"/>
              </w:rPr>
              <w:t>6,778,269.19</w:t>
            </w:r>
          </w:p>
        </w:tc>
        <w:tc>
          <w:tcPr>
            <w:tcW w:w="1620" w:type="dxa"/>
            <w:vAlign w:val="center"/>
          </w:tcPr>
          <w:p>
            <w:pPr>
              <w:jc w:val="right"/>
            </w:pPr>
            <w:r>
              <w:rPr>
                <w:color w:val="000000"/>
                <w:sz w:val="24"/>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74</w:t>
            </w:r>
          </w:p>
        </w:tc>
        <w:tc>
          <w:tcPr>
            <w:tcW w:w="1650" w:type="dxa"/>
            <w:vAlign w:val="center"/>
          </w:tcPr>
          <w:p>
            <w:pPr>
              <w:jc w:val="center"/>
            </w:pPr>
            <w:r>
              <w:rPr>
                <w:color w:val="000000"/>
                <w:sz w:val="24"/>
              </w:rPr>
              <w:t>605111</w:t>
            </w:r>
          </w:p>
        </w:tc>
        <w:tc>
          <w:tcPr>
            <w:tcW w:w="1980" w:type="dxa"/>
            <w:vAlign w:val="center"/>
          </w:tcPr>
          <w:p>
            <w:pPr>
              <w:jc w:val="center"/>
            </w:pPr>
            <w:r>
              <w:rPr>
                <w:color w:val="000000"/>
                <w:sz w:val="24"/>
              </w:rPr>
              <w:t>新洁能</w:t>
            </w:r>
          </w:p>
        </w:tc>
        <w:tc>
          <w:tcPr>
            <w:tcW w:w="2880" w:type="dxa"/>
            <w:vAlign w:val="center"/>
          </w:tcPr>
          <w:p>
            <w:pPr>
              <w:jc w:val="right"/>
            </w:pPr>
            <w:r>
              <w:rPr>
                <w:color w:val="000000"/>
                <w:sz w:val="24"/>
              </w:rPr>
              <w:t>6,740,464.35</w:t>
            </w:r>
          </w:p>
        </w:tc>
        <w:tc>
          <w:tcPr>
            <w:tcW w:w="1620" w:type="dxa"/>
            <w:vAlign w:val="center"/>
          </w:tcPr>
          <w:p>
            <w:pPr>
              <w:jc w:val="right"/>
            </w:pPr>
            <w:r>
              <w:rPr>
                <w:color w:val="000000"/>
                <w:sz w:val="24"/>
              </w:rPr>
              <w:t>2.78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75</w:t>
            </w:r>
          </w:p>
        </w:tc>
        <w:tc>
          <w:tcPr>
            <w:tcW w:w="1650" w:type="dxa"/>
            <w:vAlign w:val="center"/>
          </w:tcPr>
          <w:p>
            <w:pPr>
              <w:jc w:val="center"/>
            </w:pPr>
            <w:r>
              <w:rPr>
                <w:color w:val="000000"/>
                <w:sz w:val="24"/>
              </w:rPr>
              <w:t>002299</w:t>
            </w:r>
          </w:p>
        </w:tc>
        <w:tc>
          <w:tcPr>
            <w:tcW w:w="1980" w:type="dxa"/>
            <w:vAlign w:val="center"/>
          </w:tcPr>
          <w:p>
            <w:pPr>
              <w:jc w:val="center"/>
            </w:pPr>
            <w:r>
              <w:rPr>
                <w:color w:val="000000"/>
                <w:sz w:val="24"/>
              </w:rPr>
              <w:t>圣农发展</w:t>
            </w:r>
          </w:p>
        </w:tc>
        <w:tc>
          <w:tcPr>
            <w:tcW w:w="2880" w:type="dxa"/>
            <w:vAlign w:val="center"/>
          </w:tcPr>
          <w:p>
            <w:pPr>
              <w:jc w:val="right"/>
            </w:pPr>
            <w:r>
              <w:rPr>
                <w:color w:val="000000"/>
                <w:sz w:val="24"/>
              </w:rPr>
              <w:t>6,724,991.00</w:t>
            </w:r>
          </w:p>
        </w:tc>
        <w:tc>
          <w:tcPr>
            <w:tcW w:w="1620" w:type="dxa"/>
            <w:vAlign w:val="center"/>
          </w:tcPr>
          <w:p>
            <w:pPr>
              <w:jc w:val="right"/>
            </w:pPr>
            <w:r>
              <w:rPr>
                <w:color w:val="000000"/>
                <w:sz w:val="24"/>
              </w:rPr>
              <w:t>2.78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76</w:t>
            </w:r>
          </w:p>
        </w:tc>
        <w:tc>
          <w:tcPr>
            <w:tcW w:w="1650" w:type="dxa"/>
            <w:vAlign w:val="center"/>
          </w:tcPr>
          <w:p>
            <w:pPr>
              <w:jc w:val="center"/>
            </w:pPr>
            <w:r>
              <w:rPr>
                <w:color w:val="000000"/>
                <w:sz w:val="24"/>
              </w:rPr>
              <w:t>002458</w:t>
            </w:r>
          </w:p>
        </w:tc>
        <w:tc>
          <w:tcPr>
            <w:tcW w:w="1980" w:type="dxa"/>
            <w:vAlign w:val="center"/>
          </w:tcPr>
          <w:p>
            <w:pPr>
              <w:jc w:val="center"/>
            </w:pPr>
            <w:r>
              <w:rPr>
                <w:color w:val="000000"/>
                <w:sz w:val="24"/>
              </w:rPr>
              <w:t>益生股份</w:t>
            </w:r>
          </w:p>
        </w:tc>
        <w:tc>
          <w:tcPr>
            <w:tcW w:w="2880" w:type="dxa"/>
            <w:vAlign w:val="center"/>
          </w:tcPr>
          <w:p>
            <w:pPr>
              <w:jc w:val="right"/>
            </w:pPr>
            <w:r>
              <w:rPr>
                <w:color w:val="000000"/>
                <w:sz w:val="24"/>
              </w:rPr>
              <w:t>6,693,840.96</w:t>
            </w:r>
          </w:p>
        </w:tc>
        <w:tc>
          <w:tcPr>
            <w:tcW w:w="1620" w:type="dxa"/>
            <w:vAlign w:val="center"/>
          </w:tcPr>
          <w:p>
            <w:pPr>
              <w:jc w:val="right"/>
            </w:pPr>
            <w:r>
              <w:rPr>
                <w:color w:val="000000"/>
                <w:sz w:val="24"/>
              </w:rPr>
              <w:t>2.76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77</w:t>
            </w:r>
          </w:p>
        </w:tc>
        <w:tc>
          <w:tcPr>
            <w:tcW w:w="1650" w:type="dxa"/>
            <w:vAlign w:val="center"/>
          </w:tcPr>
          <w:p>
            <w:pPr>
              <w:jc w:val="center"/>
            </w:pPr>
            <w:r>
              <w:rPr>
                <w:color w:val="000000"/>
                <w:sz w:val="24"/>
              </w:rPr>
              <w:t>688018</w:t>
            </w:r>
          </w:p>
        </w:tc>
        <w:tc>
          <w:tcPr>
            <w:tcW w:w="1980" w:type="dxa"/>
            <w:vAlign w:val="center"/>
          </w:tcPr>
          <w:p>
            <w:pPr>
              <w:jc w:val="center"/>
            </w:pPr>
            <w:r>
              <w:rPr>
                <w:color w:val="000000"/>
                <w:sz w:val="24"/>
              </w:rPr>
              <w:t>乐鑫科技</w:t>
            </w:r>
          </w:p>
        </w:tc>
        <w:tc>
          <w:tcPr>
            <w:tcW w:w="2880" w:type="dxa"/>
            <w:vAlign w:val="center"/>
          </w:tcPr>
          <w:p>
            <w:pPr>
              <w:jc w:val="right"/>
            </w:pPr>
            <w:r>
              <w:rPr>
                <w:color w:val="000000"/>
                <w:sz w:val="24"/>
              </w:rPr>
              <w:t>6,461,614.58</w:t>
            </w:r>
          </w:p>
        </w:tc>
        <w:tc>
          <w:tcPr>
            <w:tcW w:w="1620" w:type="dxa"/>
            <w:vAlign w:val="center"/>
          </w:tcPr>
          <w:p>
            <w:pPr>
              <w:jc w:val="right"/>
            </w:pPr>
            <w:r>
              <w:rPr>
                <w:color w:val="000000"/>
                <w:sz w:val="24"/>
              </w:rPr>
              <w:t>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78</w:t>
            </w:r>
          </w:p>
        </w:tc>
        <w:tc>
          <w:tcPr>
            <w:tcW w:w="1650" w:type="dxa"/>
            <w:vAlign w:val="center"/>
          </w:tcPr>
          <w:p>
            <w:pPr>
              <w:jc w:val="center"/>
            </w:pPr>
            <w:r>
              <w:rPr>
                <w:color w:val="000000"/>
                <w:sz w:val="24"/>
              </w:rPr>
              <w:t>600258</w:t>
            </w:r>
          </w:p>
        </w:tc>
        <w:tc>
          <w:tcPr>
            <w:tcW w:w="1980" w:type="dxa"/>
            <w:vAlign w:val="center"/>
          </w:tcPr>
          <w:p>
            <w:pPr>
              <w:jc w:val="center"/>
            </w:pPr>
            <w:r>
              <w:rPr>
                <w:color w:val="000000"/>
                <w:sz w:val="24"/>
              </w:rPr>
              <w:t>首旅酒店</w:t>
            </w:r>
          </w:p>
        </w:tc>
        <w:tc>
          <w:tcPr>
            <w:tcW w:w="2880" w:type="dxa"/>
            <w:vAlign w:val="center"/>
          </w:tcPr>
          <w:p>
            <w:pPr>
              <w:jc w:val="right"/>
            </w:pPr>
            <w:r>
              <w:rPr>
                <w:color w:val="000000"/>
                <w:sz w:val="24"/>
              </w:rPr>
              <w:t>6,426,956.56</w:t>
            </w:r>
          </w:p>
        </w:tc>
        <w:tc>
          <w:tcPr>
            <w:tcW w:w="1620" w:type="dxa"/>
            <w:vAlign w:val="center"/>
          </w:tcPr>
          <w:p>
            <w:pPr>
              <w:jc w:val="right"/>
            </w:pPr>
            <w:r>
              <w:rPr>
                <w:color w:val="000000"/>
                <w:sz w:val="24"/>
              </w:rPr>
              <w:t>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79</w:t>
            </w:r>
          </w:p>
        </w:tc>
        <w:tc>
          <w:tcPr>
            <w:tcW w:w="1650" w:type="dxa"/>
            <w:vAlign w:val="center"/>
          </w:tcPr>
          <w:p>
            <w:pPr>
              <w:jc w:val="center"/>
            </w:pPr>
            <w:r>
              <w:rPr>
                <w:color w:val="000000"/>
                <w:sz w:val="24"/>
              </w:rPr>
              <w:t>002493</w:t>
            </w:r>
          </w:p>
        </w:tc>
        <w:tc>
          <w:tcPr>
            <w:tcW w:w="1980" w:type="dxa"/>
            <w:vAlign w:val="center"/>
          </w:tcPr>
          <w:p>
            <w:pPr>
              <w:jc w:val="center"/>
            </w:pPr>
            <w:r>
              <w:rPr>
                <w:color w:val="000000"/>
                <w:sz w:val="24"/>
              </w:rPr>
              <w:t>荣盛石化</w:t>
            </w:r>
          </w:p>
        </w:tc>
        <w:tc>
          <w:tcPr>
            <w:tcW w:w="2880" w:type="dxa"/>
            <w:vAlign w:val="center"/>
          </w:tcPr>
          <w:p>
            <w:pPr>
              <w:jc w:val="right"/>
            </w:pPr>
            <w:r>
              <w:rPr>
                <w:color w:val="000000"/>
                <w:sz w:val="24"/>
              </w:rPr>
              <w:t>6,265,317.00</w:t>
            </w:r>
          </w:p>
        </w:tc>
        <w:tc>
          <w:tcPr>
            <w:tcW w:w="1620" w:type="dxa"/>
            <w:vAlign w:val="center"/>
          </w:tcPr>
          <w:p>
            <w:pPr>
              <w:jc w:val="right"/>
            </w:pPr>
            <w:r>
              <w:rPr>
                <w:color w:val="000000"/>
                <w:sz w:val="24"/>
              </w:rPr>
              <w:t>2.59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80</w:t>
            </w:r>
          </w:p>
        </w:tc>
        <w:tc>
          <w:tcPr>
            <w:tcW w:w="1650" w:type="dxa"/>
            <w:vAlign w:val="center"/>
          </w:tcPr>
          <w:p>
            <w:pPr>
              <w:jc w:val="center"/>
            </w:pPr>
            <w:r>
              <w:rPr>
                <w:color w:val="000000"/>
                <w:sz w:val="24"/>
              </w:rPr>
              <w:t>601225</w:t>
            </w:r>
          </w:p>
        </w:tc>
        <w:tc>
          <w:tcPr>
            <w:tcW w:w="1980" w:type="dxa"/>
            <w:vAlign w:val="center"/>
          </w:tcPr>
          <w:p>
            <w:pPr>
              <w:jc w:val="center"/>
            </w:pPr>
            <w:r>
              <w:rPr>
                <w:color w:val="000000"/>
                <w:sz w:val="24"/>
              </w:rPr>
              <w:t>陕西煤业</w:t>
            </w:r>
          </w:p>
        </w:tc>
        <w:tc>
          <w:tcPr>
            <w:tcW w:w="2880" w:type="dxa"/>
            <w:vAlign w:val="center"/>
          </w:tcPr>
          <w:p>
            <w:pPr>
              <w:jc w:val="right"/>
            </w:pPr>
            <w:r>
              <w:rPr>
                <w:color w:val="000000"/>
                <w:sz w:val="24"/>
              </w:rPr>
              <w:t>6,175,649.87</w:t>
            </w:r>
          </w:p>
        </w:tc>
        <w:tc>
          <w:tcPr>
            <w:tcW w:w="1620" w:type="dxa"/>
            <w:vAlign w:val="center"/>
          </w:tcPr>
          <w:p>
            <w:pPr>
              <w:jc w:val="right"/>
            </w:pPr>
            <w:r>
              <w:rPr>
                <w:color w:val="000000"/>
                <w:sz w:val="24"/>
              </w:rPr>
              <w:t>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81</w:t>
            </w:r>
          </w:p>
        </w:tc>
        <w:tc>
          <w:tcPr>
            <w:tcW w:w="1650" w:type="dxa"/>
            <w:vAlign w:val="center"/>
          </w:tcPr>
          <w:p>
            <w:pPr>
              <w:jc w:val="center"/>
            </w:pPr>
            <w:r>
              <w:rPr>
                <w:color w:val="000000"/>
                <w:sz w:val="24"/>
              </w:rPr>
              <w:t>601698</w:t>
            </w:r>
          </w:p>
        </w:tc>
        <w:tc>
          <w:tcPr>
            <w:tcW w:w="1980" w:type="dxa"/>
            <w:vAlign w:val="center"/>
          </w:tcPr>
          <w:p>
            <w:pPr>
              <w:jc w:val="center"/>
            </w:pPr>
            <w:r>
              <w:rPr>
                <w:color w:val="000000"/>
                <w:sz w:val="24"/>
              </w:rPr>
              <w:t>中国卫通</w:t>
            </w:r>
          </w:p>
        </w:tc>
        <w:tc>
          <w:tcPr>
            <w:tcW w:w="2880" w:type="dxa"/>
            <w:vAlign w:val="center"/>
          </w:tcPr>
          <w:p>
            <w:pPr>
              <w:jc w:val="right"/>
            </w:pPr>
            <w:r>
              <w:rPr>
                <w:color w:val="000000"/>
                <w:sz w:val="24"/>
              </w:rPr>
              <w:t>6,067,558.00</w:t>
            </w:r>
          </w:p>
        </w:tc>
        <w:tc>
          <w:tcPr>
            <w:tcW w:w="1620" w:type="dxa"/>
            <w:vAlign w:val="center"/>
          </w:tcPr>
          <w:p>
            <w:pPr>
              <w:jc w:val="right"/>
            </w:pPr>
            <w:r>
              <w:rPr>
                <w:color w:val="000000"/>
                <w:sz w:val="24"/>
              </w:rPr>
              <w:t>2.51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82</w:t>
            </w:r>
          </w:p>
        </w:tc>
        <w:tc>
          <w:tcPr>
            <w:tcW w:w="1650" w:type="dxa"/>
            <w:vAlign w:val="center"/>
          </w:tcPr>
          <w:p>
            <w:pPr>
              <w:jc w:val="center"/>
            </w:pPr>
            <w:r>
              <w:rPr>
                <w:color w:val="000000"/>
                <w:sz w:val="24"/>
              </w:rPr>
              <w:t>300033</w:t>
            </w:r>
          </w:p>
        </w:tc>
        <w:tc>
          <w:tcPr>
            <w:tcW w:w="1980" w:type="dxa"/>
            <w:vAlign w:val="center"/>
          </w:tcPr>
          <w:p>
            <w:pPr>
              <w:jc w:val="center"/>
            </w:pPr>
            <w:r>
              <w:rPr>
                <w:color w:val="000000"/>
                <w:sz w:val="24"/>
              </w:rPr>
              <w:t>同花顺</w:t>
            </w:r>
          </w:p>
        </w:tc>
        <w:tc>
          <w:tcPr>
            <w:tcW w:w="2880" w:type="dxa"/>
            <w:vAlign w:val="center"/>
          </w:tcPr>
          <w:p>
            <w:pPr>
              <w:jc w:val="right"/>
            </w:pPr>
            <w:r>
              <w:rPr>
                <w:color w:val="000000"/>
                <w:sz w:val="24"/>
              </w:rPr>
              <w:t>6,019,873.50</w:t>
            </w:r>
          </w:p>
        </w:tc>
        <w:tc>
          <w:tcPr>
            <w:tcW w:w="1620" w:type="dxa"/>
            <w:vAlign w:val="center"/>
          </w:tcPr>
          <w:p>
            <w:pPr>
              <w:jc w:val="right"/>
            </w:pPr>
            <w:r>
              <w:rPr>
                <w:color w:val="000000"/>
                <w:sz w:val="24"/>
              </w:rPr>
              <w:t>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83</w:t>
            </w:r>
          </w:p>
        </w:tc>
        <w:tc>
          <w:tcPr>
            <w:tcW w:w="1650" w:type="dxa"/>
            <w:vAlign w:val="center"/>
          </w:tcPr>
          <w:p>
            <w:pPr>
              <w:jc w:val="center"/>
            </w:pPr>
            <w:r>
              <w:rPr>
                <w:color w:val="000000"/>
                <w:sz w:val="24"/>
              </w:rPr>
              <w:t>601995</w:t>
            </w:r>
          </w:p>
        </w:tc>
        <w:tc>
          <w:tcPr>
            <w:tcW w:w="1980" w:type="dxa"/>
            <w:vAlign w:val="center"/>
          </w:tcPr>
          <w:p>
            <w:pPr>
              <w:jc w:val="center"/>
            </w:pPr>
            <w:r>
              <w:rPr>
                <w:color w:val="000000"/>
                <w:sz w:val="24"/>
              </w:rPr>
              <w:t>中金公司</w:t>
            </w:r>
          </w:p>
        </w:tc>
        <w:tc>
          <w:tcPr>
            <w:tcW w:w="2880" w:type="dxa"/>
            <w:vAlign w:val="center"/>
          </w:tcPr>
          <w:p>
            <w:pPr>
              <w:jc w:val="right"/>
            </w:pPr>
            <w:r>
              <w:rPr>
                <w:color w:val="000000"/>
                <w:sz w:val="24"/>
              </w:rPr>
              <w:t>5,988,540.00</w:t>
            </w:r>
          </w:p>
        </w:tc>
        <w:tc>
          <w:tcPr>
            <w:tcW w:w="1620" w:type="dxa"/>
            <w:vAlign w:val="center"/>
          </w:tcPr>
          <w:p>
            <w:pPr>
              <w:jc w:val="right"/>
            </w:pPr>
            <w:r>
              <w:rPr>
                <w:color w:val="000000"/>
                <w:sz w:val="24"/>
              </w:rPr>
              <w:t>2.47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84</w:t>
            </w:r>
          </w:p>
        </w:tc>
        <w:tc>
          <w:tcPr>
            <w:tcW w:w="1650" w:type="dxa"/>
            <w:vAlign w:val="center"/>
          </w:tcPr>
          <w:p>
            <w:pPr>
              <w:jc w:val="center"/>
            </w:pPr>
            <w:r>
              <w:rPr>
                <w:color w:val="000000"/>
                <w:sz w:val="24"/>
              </w:rPr>
              <w:t>688301</w:t>
            </w:r>
          </w:p>
        </w:tc>
        <w:tc>
          <w:tcPr>
            <w:tcW w:w="1980" w:type="dxa"/>
            <w:vAlign w:val="center"/>
          </w:tcPr>
          <w:p>
            <w:pPr>
              <w:jc w:val="center"/>
            </w:pPr>
            <w:r>
              <w:rPr>
                <w:color w:val="000000"/>
                <w:sz w:val="24"/>
              </w:rPr>
              <w:t>奕瑞科技</w:t>
            </w:r>
          </w:p>
        </w:tc>
        <w:tc>
          <w:tcPr>
            <w:tcW w:w="2880" w:type="dxa"/>
            <w:vAlign w:val="center"/>
          </w:tcPr>
          <w:p>
            <w:pPr>
              <w:jc w:val="right"/>
            </w:pPr>
            <w:r>
              <w:rPr>
                <w:color w:val="000000"/>
                <w:sz w:val="24"/>
              </w:rPr>
              <w:t>5,839,451.20</w:t>
            </w:r>
          </w:p>
        </w:tc>
        <w:tc>
          <w:tcPr>
            <w:tcW w:w="1620" w:type="dxa"/>
            <w:vAlign w:val="center"/>
          </w:tcPr>
          <w:p>
            <w:pPr>
              <w:jc w:val="right"/>
            </w:pPr>
            <w:r>
              <w:rPr>
                <w:color w:val="000000"/>
                <w:sz w:val="24"/>
              </w:rPr>
              <w:t>2.41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85</w:t>
            </w:r>
          </w:p>
        </w:tc>
        <w:tc>
          <w:tcPr>
            <w:tcW w:w="1650" w:type="dxa"/>
            <w:vAlign w:val="center"/>
          </w:tcPr>
          <w:p>
            <w:pPr>
              <w:jc w:val="center"/>
            </w:pPr>
            <w:r>
              <w:rPr>
                <w:color w:val="000000"/>
                <w:sz w:val="24"/>
              </w:rPr>
              <w:t>002146</w:t>
            </w:r>
          </w:p>
        </w:tc>
        <w:tc>
          <w:tcPr>
            <w:tcW w:w="1980" w:type="dxa"/>
            <w:vAlign w:val="center"/>
          </w:tcPr>
          <w:p>
            <w:pPr>
              <w:jc w:val="center"/>
            </w:pPr>
            <w:r>
              <w:rPr>
                <w:color w:val="000000"/>
                <w:sz w:val="24"/>
              </w:rPr>
              <w:t>荣盛发展</w:t>
            </w:r>
          </w:p>
        </w:tc>
        <w:tc>
          <w:tcPr>
            <w:tcW w:w="2880" w:type="dxa"/>
            <w:vAlign w:val="center"/>
          </w:tcPr>
          <w:p>
            <w:pPr>
              <w:jc w:val="right"/>
            </w:pPr>
            <w:r>
              <w:rPr>
                <w:color w:val="000000"/>
                <w:sz w:val="24"/>
              </w:rPr>
              <w:t>5,818,951.00</w:t>
            </w:r>
          </w:p>
        </w:tc>
        <w:tc>
          <w:tcPr>
            <w:tcW w:w="1620" w:type="dxa"/>
            <w:vAlign w:val="center"/>
          </w:tcPr>
          <w:p>
            <w:pPr>
              <w:jc w:val="right"/>
            </w:pPr>
            <w:r>
              <w:rPr>
                <w:color w:val="000000"/>
                <w:sz w:val="24"/>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86</w:t>
            </w:r>
          </w:p>
        </w:tc>
        <w:tc>
          <w:tcPr>
            <w:tcW w:w="1650" w:type="dxa"/>
            <w:vAlign w:val="center"/>
          </w:tcPr>
          <w:p>
            <w:pPr>
              <w:jc w:val="center"/>
            </w:pPr>
            <w:r>
              <w:rPr>
                <w:color w:val="000000"/>
                <w:sz w:val="24"/>
              </w:rPr>
              <w:t>600196</w:t>
            </w:r>
          </w:p>
        </w:tc>
        <w:tc>
          <w:tcPr>
            <w:tcW w:w="1980" w:type="dxa"/>
            <w:vAlign w:val="center"/>
          </w:tcPr>
          <w:p>
            <w:pPr>
              <w:jc w:val="center"/>
            </w:pPr>
            <w:r>
              <w:rPr>
                <w:color w:val="000000"/>
                <w:sz w:val="24"/>
              </w:rPr>
              <w:t>复星医药</w:t>
            </w:r>
          </w:p>
        </w:tc>
        <w:tc>
          <w:tcPr>
            <w:tcW w:w="2880" w:type="dxa"/>
            <w:vAlign w:val="center"/>
          </w:tcPr>
          <w:p>
            <w:pPr>
              <w:jc w:val="right"/>
            </w:pPr>
            <w:r>
              <w:rPr>
                <w:color w:val="000000"/>
                <w:sz w:val="24"/>
              </w:rPr>
              <w:t>5,813,350.62</w:t>
            </w:r>
          </w:p>
        </w:tc>
        <w:tc>
          <w:tcPr>
            <w:tcW w:w="1620" w:type="dxa"/>
            <w:vAlign w:val="center"/>
          </w:tcPr>
          <w:p>
            <w:pPr>
              <w:jc w:val="right"/>
            </w:pPr>
            <w:r>
              <w:rPr>
                <w:color w:val="000000"/>
                <w:sz w:val="24"/>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87</w:t>
            </w:r>
          </w:p>
        </w:tc>
        <w:tc>
          <w:tcPr>
            <w:tcW w:w="1650" w:type="dxa"/>
            <w:vAlign w:val="center"/>
          </w:tcPr>
          <w:p>
            <w:pPr>
              <w:jc w:val="center"/>
            </w:pPr>
            <w:r>
              <w:rPr>
                <w:color w:val="000000"/>
                <w:sz w:val="24"/>
              </w:rPr>
              <w:t>002044</w:t>
            </w:r>
          </w:p>
        </w:tc>
        <w:tc>
          <w:tcPr>
            <w:tcW w:w="1980" w:type="dxa"/>
            <w:vAlign w:val="center"/>
          </w:tcPr>
          <w:p>
            <w:pPr>
              <w:jc w:val="center"/>
            </w:pPr>
            <w:r>
              <w:rPr>
                <w:color w:val="000000"/>
                <w:sz w:val="24"/>
              </w:rPr>
              <w:t>美年健康</w:t>
            </w:r>
          </w:p>
        </w:tc>
        <w:tc>
          <w:tcPr>
            <w:tcW w:w="2880" w:type="dxa"/>
            <w:vAlign w:val="center"/>
          </w:tcPr>
          <w:p>
            <w:pPr>
              <w:jc w:val="right"/>
            </w:pPr>
            <w:r>
              <w:rPr>
                <w:color w:val="000000"/>
                <w:sz w:val="24"/>
              </w:rPr>
              <w:t>5,774,575.76</w:t>
            </w:r>
          </w:p>
        </w:tc>
        <w:tc>
          <w:tcPr>
            <w:tcW w:w="1620" w:type="dxa"/>
            <w:vAlign w:val="center"/>
          </w:tcPr>
          <w:p>
            <w:pPr>
              <w:jc w:val="right"/>
            </w:pPr>
            <w:r>
              <w:rPr>
                <w:color w:val="000000"/>
                <w:sz w:val="24"/>
              </w:rPr>
              <w:t>2.38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88</w:t>
            </w:r>
          </w:p>
        </w:tc>
        <w:tc>
          <w:tcPr>
            <w:tcW w:w="1650" w:type="dxa"/>
            <w:vAlign w:val="center"/>
          </w:tcPr>
          <w:p>
            <w:pPr>
              <w:jc w:val="center"/>
            </w:pPr>
            <w:r>
              <w:rPr>
                <w:color w:val="000000"/>
                <w:sz w:val="24"/>
              </w:rPr>
              <w:t>688228</w:t>
            </w:r>
          </w:p>
        </w:tc>
        <w:tc>
          <w:tcPr>
            <w:tcW w:w="1980" w:type="dxa"/>
            <w:vAlign w:val="center"/>
          </w:tcPr>
          <w:p>
            <w:pPr>
              <w:jc w:val="center"/>
            </w:pPr>
            <w:r>
              <w:rPr>
                <w:color w:val="000000"/>
                <w:sz w:val="24"/>
              </w:rPr>
              <w:t>开普云</w:t>
            </w:r>
          </w:p>
        </w:tc>
        <w:tc>
          <w:tcPr>
            <w:tcW w:w="2880" w:type="dxa"/>
            <w:vAlign w:val="center"/>
          </w:tcPr>
          <w:p>
            <w:pPr>
              <w:jc w:val="right"/>
            </w:pPr>
            <w:r>
              <w:rPr>
                <w:color w:val="000000"/>
                <w:sz w:val="24"/>
              </w:rPr>
              <w:t>5,768,936.84</w:t>
            </w:r>
          </w:p>
        </w:tc>
        <w:tc>
          <w:tcPr>
            <w:tcW w:w="1620" w:type="dxa"/>
            <w:vAlign w:val="center"/>
          </w:tcPr>
          <w:p>
            <w:pPr>
              <w:jc w:val="right"/>
            </w:pPr>
            <w:r>
              <w:rPr>
                <w:color w:val="000000"/>
                <w:sz w:val="24"/>
              </w:rPr>
              <w:t>2.38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89</w:t>
            </w:r>
          </w:p>
        </w:tc>
        <w:tc>
          <w:tcPr>
            <w:tcW w:w="1650" w:type="dxa"/>
            <w:vAlign w:val="center"/>
          </w:tcPr>
          <w:p>
            <w:pPr>
              <w:jc w:val="center"/>
            </w:pPr>
            <w:r>
              <w:rPr>
                <w:color w:val="000000"/>
                <w:sz w:val="24"/>
              </w:rPr>
              <w:t>000768</w:t>
            </w:r>
          </w:p>
        </w:tc>
        <w:tc>
          <w:tcPr>
            <w:tcW w:w="1980" w:type="dxa"/>
            <w:vAlign w:val="center"/>
          </w:tcPr>
          <w:p>
            <w:pPr>
              <w:jc w:val="center"/>
            </w:pPr>
            <w:r>
              <w:rPr>
                <w:color w:val="000000"/>
                <w:sz w:val="24"/>
              </w:rPr>
              <w:t>中航西飞</w:t>
            </w:r>
          </w:p>
        </w:tc>
        <w:tc>
          <w:tcPr>
            <w:tcW w:w="2880" w:type="dxa"/>
            <w:vAlign w:val="center"/>
          </w:tcPr>
          <w:p>
            <w:pPr>
              <w:jc w:val="right"/>
            </w:pPr>
            <w:r>
              <w:rPr>
                <w:color w:val="000000"/>
                <w:sz w:val="24"/>
              </w:rPr>
              <w:t>5,715,162.87</w:t>
            </w:r>
          </w:p>
        </w:tc>
        <w:tc>
          <w:tcPr>
            <w:tcW w:w="1620" w:type="dxa"/>
            <w:vAlign w:val="center"/>
          </w:tcPr>
          <w:p>
            <w:pPr>
              <w:jc w:val="right"/>
            </w:pPr>
            <w:r>
              <w:rPr>
                <w:color w:val="000000"/>
                <w:sz w:val="24"/>
              </w:rPr>
              <w:t>2.36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90</w:t>
            </w:r>
          </w:p>
        </w:tc>
        <w:tc>
          <w:tcPr>
            <w:tcW w:w="1650" w:type="dxa"/>
            <w:vAlign w:val="center"/>
          </w:tcPr>
          <w:p>
            <w:pPr>
              <w:jc w:val="center"/>
            </w:pPr>
            <w:r>
              <w:rPr>
                <w:color w:val="000000"/>
                <w:sz w:val="24"/>
              </w:rPr>
              <w:t>688111</w:t>
            </w:r>
          </w:p>
        </w:tc>
        <w:tc>
          <w:tcPr>
            <w:tcW w:w="1980" w:type="dxa"/>
            <w:vAlign w:val="center"/>
          </w:tcPr>
          <w:p>
            <w:pPr>
              <w:jc w:val="center"/>
            </w:pPr>
            <w:r>
              <w:rPr>
                <w:color w:val="000000"/>
                <w:sz w:val="24"/>
              </w:rPr>
              <w:t>金山办公</w:t>
            </w:r>
          </w:p>
        </w:tc>
        <w:tc>
          <w:tcPr>
            <w:tcW w:w="2880" w:type="dxa"/>
            <w:vAlign w:val="center"/>
          </w:tcPr>
          <w:p>
            <w:pPr>
              <w:jc w:val="right"/>
            </w:pPr>
            <w:r>
              <w:rPr>
                <w:color w:val="000000"/>
                <w:sz w:val="24"/>
              </w:rPr>
              <w:t>5,603,389.70</w:t>
            </w:r>
          </w:p>
        </w:tc>
        <w:tc>
          <w:tcPr>
            <w:tcW w:w="1620" w:type="dxa"/>
            <w:vAlign w:val="center"/>
          </w:tcPr>
          <w:p>
            <w:pPr>
              <w:jc w:val="right"/>
            </w:pPr>
            <w:r>
              <w:rPr>
                <w:color w:val="000000"/>
                <w:sz w:val="24"/>
              </w:rPr>
              <w:t>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91</w:t>
            </w:r>
          </w:p>
        </w:tc>
        <w:tc>
          <w:tcPr>
            <w:tcW w:w="1650" w:type="dxa"/>
            <w:vAlign w:val="center"/>
          </w:tcPr>
          <w:p>
            <w:pPr>
              <w:jc w:val="center"/>
            </w:pPr>
            <w:r>
              <w:rPr>
                <w:color w:val="000000"/>
                <w:sz w:val="24"/>
              </w:rPr>
              <w:t>002230</w:t>
            </w:r>
          </w:p>
        </w:tc>
        <w:tc>
          <w:tcPr>
            <w:tcW w:w="1980" w:type="dxa"/>
            <w:vAlign w:val="center"/>
          </w:tcPr>
          <w:p>
            <w:pPr>
              <w:jc w:val="center"/>
            </w:pPr>
            <w:r>
              <w:rPr>
                <w:color w:val="000000"/>
                <w:sz w:val="24"/>
              </w:rPr>
              <w:t>科大讯飞</w:t>
            </w:r>
          </w:p>
        </w:tc>
        <w:tc>
          <w:tcPr>
            <w:tcW w:w="2880" w:type="dxa"/>
            <w:vAlign w:val="center"/>
          </w:tcPr>
          <w:p>
            <w:pPr>
              <w:jc w:val="right"/>
            </w:pPr>
            <w:r>
              <w:rPr>
                <w:color w:val="000000"/>
                <w:sz w:val="24"/>
              </w:rPr>
              <w:t>5,602,592.00</w:t>
            </w:r>
          </w:p>
        </w:tc>
        <w:tc>
          <w:tcPr>
            <w:tcW w:w="1620" w:type="dxa"/>
            <w:vAlign w:val="center"/>
          </w:tcPr>
          <w:p>
            <w:pPr>
              <w:jc w:val="right"/>
            </w:pPr>
            <w:r>
              <w:rPr>
                <w:color w:val="000000"/>
                <w:sz w:val="24"/>
              </w:rPr>
              <w:t>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92</w:t>
            </w:r>
          </w:p>
        </w:tc>
        <w:tc>
          <w:tcPr>
            <w:tcW w:w="1650" w:type="dxa"/>
            <w:vAlign w:val="center"/>
          </w:tcPr>
          <w:p>
            <w:pPr>
              <w:jc w:val="center"/>
            </w:pPr>
            <w:r>
              <w:rPr>
                <w:color w:val="000000"/>
                <w:sz w:val="24"/>
              </w:rPr>
              <w:t>300676</w:t>
            </w:r>
          </w:p>
        </w:tc>
        <w:tc>
          <w:tcPr>
            <w:tcW w:w="1980" w:type="dxa"/>
            <w:vAlign w:val="center"/>
          </w:tcPr>
          <w:p>
            <w:pPr>
              <w:jc w:val="center"/>
            </w:pPr>
            <w:r>
              <w:rPr>
                <w:color w:val="000000"/>
                <w:sz w:val="24"/>
              </w:rPr>
              <w:t>华大基因</w:t>
            </w:r>
          </w:p>
        </w:tc>
        <w:tc>
          <w:tcPr>
            <w:tcW w:w="2880" w:type="dxa"/>
            <w:vAlign w:val="center"/>
          </w:tcPr>
          <w:p>
            <w:pPr>
              <w:jc w:val="right"/>
            </w:pPr>
            <w:r>
              <w:rPr>
                <w:color w:val="000000"/>
                <w:sz w:val="24"/>
              </w:rPr>
              <w:t>5,596,853.00</w:t>
            </w:r>
          </w:p>
        </w:tc>
        <w:tc>
          <w:tcPr>
            <w:tcW w:w="1620" w:type="dxa"/>
            <w:vAlign w:val="center"/>
          </w:tcPr>
          <w:p>
            <w:pPr>
              <w:jc w:val="right"/>
            </w:pPr>
            <w:r>
              <w:rPr>
                <w:color w:val="000000"/>
                <w:sz w:val="24"/>
              </w:rPr>
              <w:t>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93</w:t>
            </w:r>
          </w:p>
        </w:tc>
        <w:tc>
          <w:tcPr>
            <w:tcW w:w="1650" w:type="dxa"/>
            <w:vAlign w:val="center"/>
          </w:tcPr>
          <w:p>
            <w:pPr>
              <w:jc w:val="center"/>
            </w:pPr>
            <w:r>
              <w:rPr>
                <w:color w:val="000000"/>
                <w:sz w:val="24"/>
              </w:rPr>
              <w:t>300271</w:t>
            </w:r>
          </w:p>
        </w:tc>
        <w:tc>
          <w:tcPr>
            <w:tcW w:w="1980" w:type="dxa"/>
            <w:vAlign w:val="center"/>
          </w:tcPr>
          <w:p>
            <w:pPr>
              <w:jc w:val="center"/>
            </w:pPr>
            <w:r>
              <w:rPr>
                <w:color w:val="000000"/>
                <w:sz w:val="24"/>
              </w:rPr>
              <w:t>华宇软件</w:t>
            </w:r>
          </w:p>
        </w:tc>
        <w:tc>
          <w:tcPr>
            <w:tcW w:w="2880" w:type="dxa"/>
            <w:vAlign w:val="center"/>
          </w:tcPr>
          <w:p>
            <w:pPr>
              <w:jc w:val="right"/>
            </w:pPr>
            <w:r>
              <w:rPr>
                <w:color w:val="000000"/>
                <w:sz w:val="24"/>
              </w:rPr>
              <w:t>5,511,247.00</w:t>
            </w:r>
          </w:p>
        </w:tc>
        <w:tc>
          <w:tcPr>
            <w:tcW w:w="1620" w:type="dxa"/>
            <w:vAlign w:val="center"/>
          </w:tcPr>
          <w:p>
            <w:pPr>
              <w:jc w:val="right"/>
            </w:pPr>
            <w:r>
              <w:rPr>
                <w:color w:val="000000"/>
                <w:sz w:val="24"/>
              </w:rPr>
              <w:t>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94</w:t>
            </w:r>
          </w:p>
        </w:tc>
        <w:tc>
          <w:tcPr>
            <w:tcW w:w="1650" w:type="dxa"/>
            <w:vAlign w:val="center"/>
          </w:tcPr>
          <w:p>
            <w:pPr>
              <w:jc w:val="center"/>
            </w:pPr>
            <w:r>
              <w:rPr>
                <w:color w:val="000000"/>
                <w:sz w:val="24"/>
              </w:rPr>
              <w:t>300512</w:t>
            </w:r>
          </w:p>
        </w:tc>
        <w:tc>
          <w:tcPr>
            <w:tcW w:w="1980" w:type="dxa"/>
            <w:vAlign w:val="center"/>
          </w:tcPr>
          <w:p>
            <w:pPr>
              <w:jc w:val="center"/>
            </w:pPr>
            <w:r>
              <w:rPr>
                <w:color w:val="000000"/>
                <w:sz w:val="24"/>
              </w:rPr>
              <w:t>中亚股份</w:t>
            </w:r>
          </w:p>
        </w:tc>
        <w:tc>
          <w:tcPr>
            <w:tcW w:w="2880" w:type="dxa"/>
            <w:vAlign w:val="center"/>
          </w:tcPr>
          <w:p>
            <w:pPr>
              <w:jc w:val="right"/>
            </w:pPr>
            <w:r>
              <w:rPr>
                <w:color w:val="000000"/>
                <w:sz w:val="24"/>
              </w:rPr>
              <w:t>5,482,748.00</w:t>
            </w:r>
          </w:p>
        </w:tc>
        <w:tc>
          <w:tcPr>
            <w:tcW w:w="1620" w:type="dxa"/>
            <w:vAlign w:val="center"/>
          </w:tcPr>
          <w:p>
            <w:pPr>
              <w:jc w:val="right"/>
            </w:pPr>
            <w:r>
              <w:rPr>
                <w:color w:val="000000"/>
                <w:sz w:val="24"/>
              </w:rPr>
              <w:t>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95</w:t>
            </w:r>
          </w:p>
        </w:tc>
        <w:tc>
          <w:tcPr>
            <w:tcW w:w="1650" w:type="dxa"/>
            <w:vAlign w:val="center"/>
          </w:tcPr>
          <w:p>
            <w:pPr>
              <w:jc w:val="center"/>
            </w:pPr>
            <w:r>
              <w:rPr>
                <w:color w:val="000000"/>
                <w:sz w:val="24"/>
              </w:rPr>
              <w:t>002955</w:t>
            </w:r>
          </w:p>
        </w:tc>
        <w:tc>
          <w:tcPr>
            <w:tcW w:w="1980" w:type="dxa"/>
            <w:vAlign w:val="center"/>
          </w:tcPr>
          <w:p>
            <w:pPr>
              <w:jc w:val="center"/>
            </w:pPr>
            <w:r>
              <w:rPr>
                <w:color w:val="000000"/>
                <w:sz w:val="24"/>
              </w:rPr>
              <w:t>鸿合科技</w:t>
            </w:r>
          </w:p>
        </w:tc>
        <w:tc>
          <w:tcPr>
            <w:tcW w:w="2880" w:type="dxa"/>
            <w:vAlign w:val="center"/>
          </w:tcPr>
          <w:p>
            <w:pPr>
              <w:jc w:val="right"/>
            </w:pPr>
            <w:r>
              <w:rPr>
                <w:color w:val="000000"/>
                <w:sz w:val="24"/>
              </w:rPr>
              <w:t>5,380,608.00</w:t>
            </w:r>
          </w:p>
        </w:tc>
        <w:tc>
          <w:tcPr>
            <w:tcW w:w="1620" w:type="dxa"/>
            <w:vAlign w:val="center"/>
          </w:tcPr>
          <w:p>
            <w:pPr>
              <w:jc w:val="right"/>
            </w:pPr>
            <w:r>
              <w:rPr>
                <w:color w:val="000000"/>
                <w:sz w:val="24"/>
              </w:rPr>
              <w:t>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96</w:t>
            </w:r>
          </w:p>
        </w:tc>
        <w:tc>
          <w:tcPr>
            <w:tcW w:w="1650" w:type="dxa"/>
            <w:vAlign w:val="center"/>
          </w:tcPr>
          <w:p>
            <w:pPr>
              <w:jc w:val="center"/>
            </w:pPr>
            <w:r>
              <w:rPr>
                <w:color w:val="000000"/>
                <w:sz w:val="24"/>
              </w:rPr>
              <w:t>300579</w:t>
            </w:r>
          </w:p>
        </w:tc>
        <w:tc>
          <w:tcPr>
            <w:tcW w:w="1980" w:type="dxa"/>
            <w:vAlign w:val="center"/>
          </w:tcPr>
          <w:p>
            <w:pPr>
              <w:jc w:val="center"/>
            </w:pPr>
            <w:r>
              <w:rPr>
                <w:color w:val="000000"/>
                <w:sz w:val="24"/>
              </w:rPr>
              <w:t>数字认证</w:t>
            </w:r>
          </w:p>
        </w:tc>
        <w:tc>
          <w:tcPr>
            <w:tcW w:w="2880" w:type="dxa"/>
            <w:vAlign w:val="center"/>
          </w:tcPr>
          <w:p>
            <w:pPr>
              <w:jc w:val="right"/>
            </w:pPr>
            <w:r>
              <w:rPr>
                <w:color w:val="000000"/>
                <w:sz w:val="24"/>
              </w:rPr>
              <w:t>5,142,317.60</w:t>
            </w:r>
          </w:p>
        </w:tc>
        <w:tc>
          <w:tcPr>
            <w:tcW w:w="1620" w:type="dxa"/>
            <w:vAlign w:val="center"/>
          </w:tcPr>
          <w:p>
            <w:pPr>
              <w:jc w:val="right"/>
            </w:pPr>
            <w:r>
              <w:rPr>
                <w:color w:val="000000"/>
                <w:sz w:val="24"/>
              </w:rPr>
              <w:t>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97</w:t>
            </w:r>
          </w:p>
        </w:tc>
        <w:tc>
          <w:tcPr>
            <w:tcW w:w="1650" w:type="dxa"/>
            <w:vAlign w:val="center"/>
          </w:tcPr>
          <w:p>
            <w:pPr>
              <w:jc w:val="center"/>
            </w:pPr>
            <w:r>
              <w:rPr>
                <w:color w:val="000000"/>
                <w:sz w:val="24"/>
              </w:rPr>
              <w:t>300659</w:t>
            </w:r>
          </w:p>
        </w:tc>
        <w:tc>
          <w:tcPr>
            <w:tcW w:w="1980" w:type="dxa"/>
            <w:vAlign w:val="center"/>
          </w:tcPr>
          <w:p>
            <w:pPr>
              <w:jc w:val="center"/>
            </w:pPr>
            <w:r>
              <w:rPr>
                <w:color w:val="000000"/>
                <w:sz w:val="24"/>
              </w:rPr>
              <w:t>中孚信息</w:t>
            </w:r>
          </w:p>
        </w:tc>
        <w:tc>
          <w:tcPr>
            <w:tcW w:w="2880" w:type="dxa"/>
            <w:vAlign w:val="center"/>
          </w:tcPr>
          <w:p>
            <w:pPr>
              <w:jc w:val="right"/>
            </w:pPr>
            <w:r>
              <w:rPr>
                <w:color w:val="000000"/>
                <w:sz w:val="24"/>
              </w:rPr>
              <w:t>5,097,412.00</w:t>
            </w:r>
          </w:p>
        </w:tc>
        <w:tc>
          <w:tcPr>
            <w:tcW w:w="1620" w:type="dxa"/>
            <w:vAlign w:val="center"/>
          </w:tcPr>
          <w:p>
            <w:pPr>
              <w:jc w:val="right"/>
            </w:pPr>
            <w:r>
              <w:rPr>
                <w:color w:val="000000"/>
                <w:sz w:val="24"/>
              </w:rPr>
              <w:t>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98</w:t>
            </w:r>
          </w:p>
        </w:tc>
        <w:tc>
          <w:tcPr>
            <w:tcW w:w="1650" w:type="dxa"/>
            <w:vAlign w:val="center"/>
          </w:tcPr>
          <w:p>
            <w:pPr>
              <w:jc w:val="center"/>
            </w:pPr>
            <w:r>
              <w:rPr>
                <w:color w:val="000000"/>
                <w:sz w:val="24"/>
              </w:rPr>
              <w:t>002001</w:t>
            </w:r>
          </w:p>
        </w:tc>
        <w:tc>
          <w:tcPr>
            <w:tcW w:w="1980" w:type="dxa"/>
            <w:vAlign w:val="center"/>
          </w:tcPr>
          <w:p>
            <w:pPr>
              <w:jc w:val="center"/>
            </w:pPr>
            <w:r>
              <w:rPr>
                <w:color w:val="000000"/>
                <w:sz w:val="24"/>
              </w:rPr>
              <w:t>新和成</w:t>
            </w:r>
          </w:p>
        </w:tc>
        <w:tc>
          <w:tcPr>
            <w:tcW w:w="2880" w:type="dxa"/>
            <w:vAlign w:val="center"/>
          </w:tcPr>
          <w:p>
            <w:pPr>
              <w:jc w:val="right"/>
            </w:pPr>
            <w:r>
              <w:rPr>
                <w:color w:val="000000"/>
                <w:sz w:val="24"/>
              </w:rPr>
              <w:t>5,058,461.57</w:t>
            </w:r>
          </w:p>
        </w:tc>
        <w:tc>
          <w:tcPr>
            <w:tcW w:w="1620" w:type="dxa"/>
            <w:vAlign w:val="center"/>
          </w:tcPr>
          <w:p>
            <w:pPr>
              <w:jc w:val="right"/>
            </w:pPr>
            <w:r>
              <w:rPr>
                <w:color w:val="000000"/>
                <w:sz w:val="24"/>
              </w:rPr>
              <w:t>2.09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99</w:t>
            </w:r>
          </w:p>
        </w:tc>
        <w:tc>
          <w:tcPr>
            <w:tcW w:w="1650" w:type="dxa"/>
            <w:vAlign w:val="center"/>
          </w:tcPr>
          <w:p>
            <w:pPr>
              <w:jc w:val="center"/>
            </w:pPr>
            <w:r>
              <w:rPr>
                <w:color w:val="000000"/>
                <w:sz w:val="24"/>
              </w:rPr>
              <w:t>000555</w:t>
            </w:r>
          </w:p>
        </w:tc>
        <w:tc>
          <w:tcPr>
            <w:tcW w:w="1980" w:type="dxa"/>
            <w:vAlign w:val="center"/>
          </w:tcPr>
          <w:p>
            <w:pPr>
              <w:jc w:val="center"/>
            </w:pPr>
            <w:r>
              <w:rPr>
                <w:color w:val="000000"/>
                <w:sz w:val="24"/>
              </w:rPr>
              <w:t>神州信息</w:t>
            </w:r>
          </w:p>
        </w:tc>
        <w:tc>
          <w:tcPr>
            <w:tcW w:w="2880" w:type="dxa"/>
            <w:vAlign w:val="center"/>
          </w:tcPr>
          <w:p>
            <w:pPr>
              <w:jc w:val="right"/>
            </w:pPr>
            <w:r>
              <w:rPr>
                <w:color w:val="000000"/>
                <w:sz w:val="24"/>
              </w:rPr>
              <w:t>4,975,741.81</w:t>
            </w:r>
          </w:p>
        </w:tc>
        <w:tc>
          <w:tcPr>
            <w:tcW w:w="1620" w:type="dxa"/>
            <w:vAlign w:val="center"/>
          </w:tcPr>
          <w:p>
            <w:pPr>
              <w:jc w:val="right"/>
            </w:pPr>
            <w:r>
              <w:rPr>
                <w:color w:val="000000"/>
                <w:sz w:val="24"/>
              </w:rPr>
              <w:t>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100</w:t>
            </w:r>
          </w:p>
        </w:tc>
        <w:tc>
          <w:tcPr>
            <w:tcW w:w="1650" w:type="dxa"/>
            <w:vAlign w:val="center"/>
          </w:tcPr>
          <w:p>
            <w:pPr>
              <w:jc w:val="center"/>
            </w:pPr>
            <w:r>
              <w:rPr>
                <w:color w:val="000000"/>
                <w:sz w:val="24"/>
              </w:rPr>
              <w:t>300085</w:t>
            </w:r>
          </w:p>
        </w:tc>
        <w:tc>
          <w:tcPr>
            <w:tcW w:w="1980" w:type="dxa"/>
            <w:vAlign w:val="center"/>
          </w:tcPr>
          <w:p>
            <w:pPr>
              <w:jc w:val="center"/>
            </w:pPr>
            <w:r>
              <w:rPr>
                <w:color w:val="000000"/>
                <w:sz w:val="24"/>
              </w:rPr>
              <w:t>银之杰</w:t>
            </w:r>
          </w:p>
        </w:tc>
        <w:tc>
          <w:tcPr>
            <w:tcW w:w="2880" w:type="dxa"/>
            <w:vAlign w:val="center"/>
          </w:tcPr>
          <w:p>
            <w:pPr>
              <w:jc w:val="right"/>
            </w:pPr>
            <w:r>
              <w:rPr>
                <w:color w:val="000000"/>
                <w:sz w:val="24"/>
              </w:rPr>
              <w:t>4,949,850.98</w:t>
            </w:r>
          </w:p>
        </w:tc>
        <w:tc>
          <w:tcPr>
            <w:tcW w:w="1620" w:type="dxa"/>
            <w:vAlign w:val="center"/>
          </w:tcPr>
          <w:p>
            <w:pPr>
              <w:jc w:val="right"/>
            </w:pPr>
            <w:r>
              <w:rPr>
                <w:color w:val="000000"/>
                <w:sz w:val="24"/>
              </w:rPr>
              <w:t>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101</w:t>
            </w:r>
          </w:p>
        </w:tc>
        <w:tc>
          <w:tcPr>
            <w:tcW w:w="1650" w:type="dxa"/>
            <w:vAlign w:val="center"/>
          </w:tcPr>
          <w:p>
            <w:pPr>
              <w:jc w:val="center"/>
            </w:pPr>
            <w:r>
              <w:rPr>
                <w:color w:val="000000"/>
                <w:sz w:val="24"/>
              </w:rPr>
              <w:t>002180</w:t>
            </w:r>
          </w:p>
        </w:tc>
        <w:tc>
          <w:tcPr>
            <w:tcW w:w="1980" w:type="dxa"/>
            <w:vAlign w:val="center"/>
          </w:tcPr>
          <w:p>
            <w:pPr>
              <w:jc w:val="center"/>
            </w:pPr>
            <w:r>
              <w:rPr>
                <w:color w:val="000000"/>
                <w:sz w:val="24"/>
              </w:rPr>
              <w:t>纳思达</w:t>
            </w:r>
          </w:p>
        </w:tc>
        <w:tc>
          <w:tcPr>
            <w:tcW w:w="2880" w:type="dxa"/>
            <w:vAlign w:val="center"/>
          </w:tcPr>
          <w:p>
            <w:pPr>
              <w:jc w:val="right"/>
            </w:pPr>
            <w:r>
              <w:rPr>
                <w:color w:val="000000"/>
                <w:sz w:val="24"/>
              </w:rPr>
              <w:t>4,949,699.00</w:t>
            </w:r>
          </w:p>
        </w:tc>
        <w:tc>
          <w:tcPr>
            <w:tcW w:w="1620" w:type="dxa"/>
            <w:vAlign w:val="center"/>
          </w:tcPr>
          <w:p>
            <w:pPr>
              <w:jc w:val="right"/>
            </w:pPr>
            <w:r>
              <w:rPr>
                <w:color w:val="000000"/>
                <w:sz w:val="24"/>
              </w:rPr>
              <w:t>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102</w:t>
            </w:r>
          </w:p>
        </w:tc>
        <w:tc>
          <w:tcPr>
            <w:tcW w:w="1650" w:type="dxa"/>
            <w:vAlign w:val="center"/>
          </w:tcPr>
          <w:p>
            <w:pPr>
              <w:jc w:val="center"/>
            </w:pPr>
            <w:r>
              <w:rPr>
                <w:color w:val="000000"/>
                <w:sz w:val="24"/>
              </w:rPr>
              <w:t>002179</w:t>
            </w:r>
          </w:p>
        </w:tc>
        <w:tc>
          <w:tcPr>
            <w:tcW w:w="1980" w:type="dxa"/>
            <w:vAlign w:val="center"/>
          </w:tcPr>
          <w:p>
            <w:pPr>
              <w:jc w:val="center"/>
            </w:pPr>
            <w:r>
              <w:rPr>
                <w:color w:val="000000"/>
                <w:sz w:val="24"/>
              </w:rPr>
              <w:t>中航光电</w:t>
            </w:r>
          </w:p>
        </w:tc>
        <w:tc>
          <w:tcPr>
            <w:tcW w:w="2880" w:type="dxa"/>
            <w:vAlign w:val="center"/>
          </w:tcPr>
          <w:p>
            <w:pPr>
              <w:jc w:val="right"/>
            </w:pPr>
            <w:r>
              <w:rPr>
                <w:color w:val="000000"/>
                <w:sz w:val="24"/>
              </w:rPr>
              <w:t>4,919,651.00</w:t>
            </w:r>
          </w:p>
        </w:tc>
        <w:tc>
          <w:tcPr>
            <w:tcW w:w="1620" w:type="dxa"/>
            <w:vAlign w:val="center"/>
          </w:tcPr>
          <w:p>
            <w:pPr>
              <w:jc w:val="right"/>
            </w:pPr>
            <w:r>
              <w:rPr>
                <w:color w:val="000000"/>
                <w:sz w:val="24"/>
              </w:rPr>
              <w:t>2.03</w:t>
            </w:r>
          </w:p>
        </w:tc>
      </w:tr>
    </w:tbl>
    <w:p>
      <w:pPr>
        <w:tabs>
          <w:tab w:val="left" w:pos="426"/>
        </w:tabs>
        <w:spacing w:before="29" w:line="288" w:lineRule="auto"/>
        <w:jc w:val="left"/>
        <w:rPr>
          <w:kern w:val="0"/>
          <w:sz w:val="24"/>
        </w:rPr>
      </w:pPr>
      <w:r>
        <w:rPr>
          <w:kern w:val="0"/>
          <w:sz w:val="24"/>
        </w:rPr>
        <w:t>注：“本期累计买入金额”按买入成交金额（成交单价乘以成交数量）填列，不考虑相关交易费用。</w:t>
      </w:r>
    </w:p>
    <w:p>
      <w:pPr>
        <w:tabs>
          <w:tab w:val="left" w:pos="426"/>
        </w:tabs>
        <w:spacing w:before="29" w:line="288" w:lineRule="auto"/>
        <w:jc w:val="left"/>
        <w:rPr>
          <w:rFonts w:asciiTheme="minorEastAsia" w:hAnsiTheme="minorEastAsia" w:eastAsiaTheme="minorEastAsia"/>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8.4.2</w:t>
      </w:r>
      <w:r>
        <w:rPr>
          <w:rFonts w:hint="eastAsia" w:eastAsiaTheme="minorEastAsia"/>
          <w:b/>
          <w:color w:val="000000" w:themeColor="text1"/>
          <w:sz w:val="24"/>
        </w:rPr>
        <w:t>累计卖出金额超出期初基金资产净值</w:t>
      </w:r>
      <w:r>
        <w:rPr>
          <w:rFonts w:eastAsiaTheme="minorEastAsia"/>
          <w:b/>
          <w:color w:val="000000" w:themeColor="text1"/>
          <w:sz w:val="24"/>
        </w:rPr>
        <w:t>2％</w:t>
      </w:r>
      <w:r>
        <w:rPr>
          <w:rFonts w:hint="eastAsia" w:eastAsiaTheme="minorEastAsia"/>
          <w:b/>
          <w:color w:val="000000" w:themeColor="text1"/>
          <w:sz w:val="24"/>
        </w:rPr>
        <w:t>或前</w:t>
      </w:r>
      <w:r>
        <w:rPr>
          <w:rFonts w:eastAsiaTheme="minorEastAsia"/>
          <w:b/>
          <w:color w:val="000000" w:themeColor="text1"/>
          <w:sz w:val="24"/>
        </w:rPr>
        <w:t>20</w:t>
      </w:r>
      <w:r>
        <w:rPr>
          <w:rFonts w:hint="eastAsia" w:eastAsiaTheme="minorEastAsia"/>
          <w:b/>
          <w:color w:val="000000" w:themeColor="text1"/>
          <w:sz w:val="24"/>
        </w:rPr>
        <w:t>名的股票明细</w:t>
      </w:r>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1650"/>
        <w:gridCol w:w="1980"/>
        <w:gridCol w:w="288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spacing w:before="29" w:line="288" w:lineRule="auto"/>
              <w:ind w:left="17"/>
              <w:jc w:val="center"/>
              <w:rPr>
                <w:rFonts w:asciiTheme="minorEastAsia" w:hAnsiTheme="minorEastAsia" w:eastAsiaTheme="minorEastAsia"/>
                <w:color w:val="000000"/>
                <w:szCs w:val="21"/>
              </w:rPr>
            </w:pPr>
            <w:r>
              <w:rPr>
                <w:rFonts w:hint="eastAsia"/>
                <w:color w:val="000000"/>
                <w:sz w:val="24"/>
              </w:rPr>
              <w:t>序号</w:t>
            </w:r>
          </w:p>
        </w:tc>
        <w:tc>
          <w:tcPr>
            <w:tcW w:w="1650" w:type="dxa"/>
            <w:vAlign w:val="center"/>
          </w:tcPr>
          <w:p>
            <w:pPr>
              <w:spacing w:before="29" w:line="288" w:lineRule="auto"/>
              <w:ind w:left="17"/>
              <w:jc w:val="center"/>
              <w:rPr>
                <w:color w:val="000000"/>
                <w:sz w:val="24"/>
              </w:rPr>
            </w:pPr>
            <w:r>
              <w:rPr>
                <w:rFonts w:hint="eastAsia"/>
                <w:color w:val="000000"/>
                <w:sz w:val="24"/>
              </w:rPr>
              <w:t>股票代码</w:t>
            </w:r>
          </w:p>
        </w:tc>
        <w:tc>
          <w:tcPr>
            <w:tcW w:w="1980" w:type="dxa"/>
            <w:vAlign w:val="center"/>
          </w:tcPr>
          <w:p>
            <w:pPr>
              <w:spacing w:before="29" w:line="288" w:lineRule="auto"/>
              <w:ind w:left="17"/>
              <w:jc w:val="center"/>
              <w:rPr>
                <w:color w:val="000000"/>
                <w:sz w:val="24"/>
              </w:rPr>
            </w:pPr>
            <w:r>
              <w:rPr>
                <w:rFonts w:hint="eastAsia"/>
                <w:color w:val="000000"/>
                <w:sz w:val="24"/>
              </w:rPr>
              <w:t>股票名称</w:t>
            </w:r>
          </w:p>
        </w:tc>
        <w:tc>
          <w:tcPr>
            <w:tcW w:w="2880" w:type="dxa"/>
            <w:vAlign w:val="center"/>
          </w:tcPr>
          <w:p>
            <w:pPr>
              <w:spacing w:before="29" w:line="288" w:lineRule="auto"/>
              <w:ind w:left="17"/>
              <w:jc w:val="center"/>
              <w:rPr>
                <w:color w:val="000000"/>
                <w:sz w:val="24"/>
              </w:rPr>
            </w:pPr>
            <w:r>
              <w:rPr>
                <w:rFonts w:hint="eastAsia"/>
                <w:color w:val="000000"/>
                <w:sz w:val="24"/>
              </w:rPr>
              <w:t>本期累计卖出金额</w:t>
            </w:r>
          </w:p>
        </w:tc>
        <w:tc>
          <w:tcPr>
            <w:tcW w:w="1620" w:type="dxa"/>
            <w:vAlign w:val="center"/>
          </w:tcPr>
          <w:p>
            <w:pPr>
              <w:spacing w:before="29" w:line="288" w:lineRule="auto"/>
              <w:ind w:left="17"/>
              <w:jc w:val="center"/>
              <w:rPr>
                <w:color w:val="000000"/>
                <w:sz w:val="24"/>
              </w:rPr>
            </w:pPr>
            <w:r>
              <w:rPr>
                <w:rFonts w:hint="eastAsia"/>
                <w:color w:val="000000"/>
                <w:sz w:val="24"/>
              </w:rPr>
              <w:t>占期初基金资产净值比例（％）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w:t>
            </w:r>
          </w:p>
        </w:tc>
        <w:tc>
          <w:tcPr>
            <w:tcW w:w="1650" w:type="dxa"/>
            <w:vAlign w:val="center"/>
          </w:tcPr>
          <w:p>
            <w:pPr>
              <w:jc w:val="center"/>
            </w:pPr>
            <w:r>
              <w:rPr>
                <w:color w:val="000000"/>
                <w:sz w:val="24"/>
              </w:rPr>
              <w:t>600048</w:t>
            </w:r>
          </w:p>
        </w:tc>
        <w:tc>
          <w:tcPr>
            <w:tcW w:w="1980" w:type="dxa"/>
            <w:vAlign w:val="center"/>
          </w:tcPr>
          <w:p>
            <w:pPr>
              <w:jc w:val="center"/>
            </w:pPr>
            <w:r>
              <w:rPr>
                <w:color w:val="000000"/>
                <w:sz w:val="24"/>
              </w:rPr>
              <w:t>保利地产</w:t>
            </w:r>
          </w:p>
        </w:tc>
        <w:tc>
          <w:tcPr>
            <w:tcW w:w="2880" w:type="dxa"/>
            <w:vAlign w:val="center"/>
          </w:tcPr>
          <w:p>
            <w:pPr>
              <w:jc w:val="right"/>
            </w:pPr>
            <w:r>
              <w:rPr>
                <w:color w:val="000000"/>
                <w:sz w:val="24"/>
              </w:rPr>
              <w:t>74,067,374.39</w:t>
            </w:r>
          </w:p>
        </w:tc>
        <w:tc>
          <w:tcPr>
            <w:tcW w:w="1620" w:type="dxa"/>
            <w:vAlign w:val="center"/>
          </w:tcPr>
          <w:p>
            <w:pPr>
              <w:jc w:val="right"/>
            </w:pPr>
            <w:r>
              <w:rPr>
                <w:color w:val="000000"/>
                <w:sz w:val="24"/>
              </w:rPr>
              <w:t>30.58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w:t>
            </w:r>
          </w:p>
        </w:tc>
        <w:tc>
          <w:tcPr>
            <w:tcW w:w="1650" w:type="dxa"/>
            <w:vAlign w:val="center"/>
          </w:tcPr>
          <w:p>
            <w:pPr>
              <w:jc w:val="center"/>
            </w:pPr>
            <w:r>
              <w:rPr>
                <w:color w:val="000000"/>
                <w:sz w:val="24"/>
              </w:rPr>
              <w:t>300365</w:t>
            </w:r>
          </w:p>
        </w:tc>
        <w:tc>
          <w:tcPr>
            <w:tcW w:w="1980" w:type="dxa"/>
            <w:vAlign w:val="center"/>
          </w:tcPr>
          <w:p>
            <w:pPr>
              <w:jc w:val="center"/>
            </w:pPr>
            <w:r>
              <w:rPr>
                <w:color w:val="000000"/>
                <w:sz w:val="24"/>
              </w:rPr>
              <w:t>恒华科技</w:t>
            </w:r>
          </w:p>
        </w:tc>
        <w:tc>
          <w:tcPr>
            <w:tcW w:w="2880" w:type="dxa"/>
            <w:vAlign w:val="center"/>
          </w:tcPr>
          <w:p>
            <w:pPr>
              <w:jc w:val="right"/>
            </w:pPr>
            <w:r>
              <w:rPr>
                <w:color w:val="000000"/>
                <w:sz w:val="24"/>
              </w:rPr>
              <w:t>64,691,762.73</w:t>
            </w:r>
          </w:p>
        </w:tc>
        <w:tc>
          <w:tcPr>
            <w:tcW w:w="1620" w:type="dxa"/>
            <w:vAlign w:val="center"/>
          </w:tcPr>
          <w:p>
            <w:pPr>
              <w:jc w:val="right"/>
            </w:pPr>
            <w:r>
              <w:rPr>
                <w:color w:val="000000"/>
                <w:sz w:val="24"/>
              </w:rPr>
              <w:t>26.71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w:t>
            </w:r>
          </w:p>
        </w:tc>
        <w:tc>
          <w:tcPr>
            <w:tcW w:w="1650" w:type="dxa"/>
            <w:vAlign w:val="center"/>
          </w:tcPr>
          <w:p>
            <w:pPr>
              <w:jc w:val="center"/>
            </w:pPr>
            <w:r>
              <w:rPr>
                <w:color w:val="000000"/>
                <w:sz w:val="24"/>
              </w:rPr>
              <w:t>300395</w:t>
            </w:r>
          </w:p>
        </w:tc>
        <w:tc>
          <w:tcPr>
            <w:tcW w:w="1980" w:type="dxa"/>
            <w:vAlign w:val="center"/>
          </w:tcPr>
          <w:p>
            <w:pPr>
              <w:jc w:val="center"/>
            </w:pPr>
            <w:r>
              <w:rPr>
                <w:color w:val="000000"/>
                <w:sz w:val="24"/>
              </w:rPr>
              <w:t>菲利华</w:t>
            </w:r>
          </w:p>
        </w:tc>
        <w:tc>
          <w:tcPr>
            <w:tcW w:w="2880" w:type="dxa"/>
            <w:vAlign w:val="center"/>
          </w:tcPr>
          <w:p>
            <w:pPr>
              <w:jc w:val="right"/>
            </w:pPr>
            <w:r>
              <w:rPr>
                <w:color w:val="000000"/>
                <w:sz w:val="24"/>
              </w:rPr>
              <w:t>53,128,962.54</w:t>
            </w:r>
          </w:p>
        </w:tc>
        <w:tc>
          <w:tcPr>
            <w:tcW w:w="1620" w:type="dxa"/>
            <w:vAlign w:val="center"/>
          </w:tcPr>
          <w:p>
            <w:pPr>
              <w:jc w:val="right"/>
            </w:pPr>
            <w:r>
              <w:rPr>
                <w:color w:val="000000"/>
                <w:sz w:val="24"/>
              </w:rPr>
              <w:t>21.94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w:t>
            </w:r>
          </w:p>
        </w:tc>
        <w:tc>
          <w:tcPr>
            <w:tcW w:w="1650" w:type="dxa"/>
            <w:vAlign w:val="center"/>
          </w:tcPr>
          <w:p>
            <w:pPr>
              <w:jc w:val="center"/>
            </w:pPr>
            <w:r>
              <w:rPr>
                <w:color w:val="000000"/>
                <w:sz w:val="24"/>
              </w:rPr>
              <w:t>300601</w:t>
            </w:r>
          </w:p>
        </w:tc>
        <w:tc>
          <w:tcPr>
            <w:tcW w:w="1980" w:type="dxa"/>
            <w:vAlign w:val="center"/>
          </w:tcPr>
          <w:p>
            <w:pPr>
              <w:jc w:val="center"/>
            </w:pPr>
            <w:r>
              <w:rPr>
                <w:color w:val="000000"/>
                <w:sz w:val="24"/>
              </w:rPr>
              <w:t>康泰生物</w:t>
            </w:r>
          </w:p>
        </w:tc>
        <w:tc>
          <w:tcPr>
            <w:tcW w:w="2880" w:type="dxa"/>
            <w:vAlign w:val="center"/>
          </w:tcPr>
          <w:p>
            <w:pPr>
              <w:jc w:val="right"/>
            </w:pPr>
            <w:r>
              <w:rPr>
                <w:color w:val="000000"/>
                <w:sz w:val="24"/>
              </w:rPr>
              <w:t>45,855,491.78</w:t>
            </w:r>
          </w:p>
        </w:tc>
        <w:tc>
          <w:tcPr>
            <w:tcW w:w="1620" w:type="dxa"/>
            <w:vAlign w:val="center"/>
          </w:tcPr>
          <w:p>
            <w:pPr>
              <w:jc w:val="right"/>
            </w:pPr>
            <w:r>
              <w:rPr>
                <w:color w:val="000000"/>
                <w:sz w:val="24"/>
              </w:rPr>
              <w:t>18.93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w:t>
            </w:r>
          </w:p>
        </w:tc>
        <w:tc>
          <w:tcPr>
            <w:tcW w:w="1650" w:type="dxa"/>
            <w:vAlign w:val="center"/>
          </w:tcPr>
          <w:p>
            <w:pPr>
              <w:jc w:val="center"/>
            </w:pPr>
            <w:r>
              <w:rPr>
                <w:color w:val="000000"/>
                <w:sz w:val="24"/>
              </w:rPr>
              <w:t>300188</w:t>
            </w:r>
          </w:p>
        </w:tc>
        <w:tc>
          <w:tcPr>
            <w:tcW w:w="1980" w:type="dxa"/>
            <w:vAlign w:val="center"/>
          </w:tcPr>
          <w:p>
            <w:pPr>
              <w:jc w:val="center"/>
            </w:pPr>
            <w:r>
              <w:rPr>
                <w:color w:val="000000"/>
                <w:sz w:val="24"/>
              </w:rPr>
              <w:t>美亚柏科</w:t>
            </w:r>
          </w:p>
        </w:tc>
        <w:tc>
          <w:tcPr>
            <w:tcW w:w="2880" w:type="dxa"/>
            <w:vAlign w:val="center"/>
          </w:tcPr>
          <w:p>
            <w:pPr>
              <w:jc w:val="right"/>
            </w:pPr>
            <w:r>
              <w:rPr>
                <w:color w:val="000000"/>
                <w:sz w:val="24"/>
              </w:rPr>
              <w:t>35,746,880.06</w:t>
            </w:r>
          </w:p>
        </w:tc>
        <w:tc>
          <w:tcPr>
            <w:tcW w:w="1620" w:type="dxa"/>
            <w:vAlign w:val="center"/>
          </w:tcPr>
          <w:p>
            <w:pPr>
              <w:jc w:val="right"/>
            </w:pPr>
            <w:r>
              <w:rPr>
                <w:color w:val="000000"/>
                <w:sz w:val="24"/>
              </w:rPr>
              <w:t>14.76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w:t>
            </w:r>
          </w:p>
        </w:tc>
        <w:tc>
          <w:tcPr>
            <w:tcW w:w="1650" w:type="dxa"/>
            <w:vAlign w:val="center"/>
          </w:tcPr>
          <w:p>
            <w:pPr>
              <w:jc w:val="center"/>
            </w:pPr>
            <w:r>
              <w:rPr>
                <w:color w:val="000000"/>
                <w:sz w:val="24"/>
              </w:rPr>
              <w:t>300036</w:t>
            </w:r>
          </w:p>
        </w:tc>
        <w:tc>
          <w:tcPr>
            <w:tcW w:w="1980" w:type="dxa"/>
            <w:vAlign w:val="center"/>
          </w:tcPr>
          <w:p>
            <w:pPr>
              <w:jc w:val="center"/>
            </w:pPr>
            <w:r>
              <w:rPr>
                <w:color w:val="000000"/>
                <w:sz w:val="24"/>
              </w:rPr>
              <w:t>超图软件</w:t>
            </w:r>
          </w:p>
        </w:tc>
        <w:tc>
          <w:tcPr>
            <w:tcW w:w="2880" w:type="dxa"/>
            <w:vAlign w:val="center"/>
          </w:tcPr>
          <w:p>
            <w:pPr>
              <w:jc w:val="right"/>
            </w:pPr>
            <w:r>
              <w:rPr>
                <w:color w:val="000000"/>
                <w:sz w:val="24"/>
              </w:rPr>
              <w:t>35,677,017.24</w:t>
            </w:r>
          </w:p>
        </w:tc>
        <w:tc>
          <w:tcPr>
            <w:tcW w:w="1620" w:type="dxa"/>
            <w:vAlign w:val="center"/>
          </w:tcPr>
          <w:p>
            <w:pPr>
              <w:jc w:val="right"/>
            </w:pPr>
            <w:r>
              <w:rPr>
                <w:color w:val="000000"/>
                <w:sz w:val="24"/>
              </w:rPr>
              <w:t>14.73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w:t>
            </w:r>
          </w:p>
        </w:tc>
        <w:tc>
          <w:tcPr>
            <w:tcW w:w="1650" w:type="dxa"/>
            <w:vAlign w:val="center"/>
          </w:tcPr>
          <w:p>
            <w:pPr>
              <w:jc w:val="center"/>
            </w:pPr>
            <w:r>
              <w:rPr>
                <w:color w:val="000000"/>
                <w:sz w:val="24"/>
              </w:rPr>
              <w:t>300572</w:t>
            </w:r>
          </w:p>
        </w:tc>
        <w:tc>
          <w:tcPr>
            <w:tcW w:w="1980" w:type="dxa"/>
            <w:vAlign w:val="center"/>
          </w:tcPr>
          <w:p>
            <w:pPr>
              <w:jc w:val="center"/>
            </w:pPr>
            <w:r>
              <w:rPr>
                <w:color w:val="000000"/>
                <w:sz w:val="24"/>
              </w:rPr>
              <w:t>安车检测</w:t>
            </w:r>
          </w:p>
        </w:tc>
        <w:tc>
          <w:tcPr>
            <w:tcW w:w="2880" w:type="dxa"/>
            <w:vAlign w:val="center"/>
          </w:tcPr>
          <w:p>
            <w:pPr>
              <w:jc w:val="right"/>
            </w:pPr>
            <w:r>
              <w:rPr>
                <w:color w:val="000000"/>
                <w:sz w:val="24"/>
              </w:rPr>
              <w:t>34,942,768.20</w:t>
            </w:r>
          </w:p>
        </w:tc>
        <w:tc>
          <w:tcPr>
            <w:tcW w:w="1620" w:type="dxa"/>
            <w:vAlign w:val="center"/>
          </w:tcPr>
          <w:p>
            <w:pPr>
              <w:jc w:val="right"/>
            </w:pPr>
            <w:r>
              <w:rPr>
                <w:color w:val="000000"/>
                <w:sz w:val="24"/>
              </w:rPr>
              <w:t>14.43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w:t>
            </w:r>
          </w:p>
        </w:tc>
        <w:tc>
          <w:tcPr>
            <w:tcW w:w="1650" w:type="dxa"/>
            <w:vAlign w:val="center"/>
          </w:tcPr>
          <w:p>
            <w:pPr>
              <w:jc w:val="center"/>
            </w:pPr>
            <w:r>
              <w:rPr>
                <w:color w:val="000000"/>
                <w:sz w:val="24"/>
              </w:rPr>
              <w:t>300454</w:t>
            </w:r>
          </w:p>
        </w:tc>
        <w:tc>
          <w:tcPr>
            <w:tcW w:w="1980" w:type="dxa"/>
            <w:vAlign w:val="center"/>
          </w:tcPr>
          <w:p>
            <w:pPr>
              <w:jc w:val="center"/>
            </w:pPr>
            <w:r>
              <w:rPr>
                <w:color w:val="000000"/>
                <w:sz w:val="24"/>
              </w:rPr>
              <w:t>深信服</w:t>
            </w:r>
          </w:p>
        </w:tc>
        <w:tc>
          <w:tcPr>
            <w:tcW w:w="2880" w:type="dxa"/>
            <w:vAlign w:val="center"/>
          </w:tcPr>
          <w:p>
            <w:pPr>
              <w:jc w:val="right"/>
            </w:pPr>
            <w:r>
              <w:rPr>
                <w:color w:val="000000"/>
                <w:sz w:val="24"/>
              </w:rPr>
              <w:t>34,396,911.36</w:t>
            </w:r>
          </w:p>
        </w:tc>
        <w:tc>
          <w:tcPr>
            <w:tcW w:w="1620" w:type="dxa"/>
            <w:vAlign w:val="center"/>
          </w:tcPr>
          <w:p>
            <w:pPr>
              <w:jc w:val="right"/>
            </w:pPr>
            <w:r>
              <w:rPr>
                <w:color w:val="000000"/>
                <w:sz w:val="24"/>
              </w:rPr>
              <w:t>14.20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w:t>
            </w:r>
          </w:p>
        </w:tc>
        <w:tc>
          <w:tcPr>
            <w:tcW w:w="1650" w:type="dxa"/>
            <w:vAlign w:val="center"/>
          </w:tcPr>
          <w:p>
            <w:pPr>
              <w:jc w:val="center"/>
            </w:pPr>
            <w:r>
              <w:rPr>
                <w:color w:val="000000"/>
                <w:sz w:val="24"/>
              </w:rPr>
              <w:t>002439</w:t>
            </w:r>
          </w:p>
        </w:tc>
        <w:tc>
          <w:tcPr>
            <w:tcW w:w="1980" w:type="dxa"/>
            <w:vAlign w:val="center"/>
          </w:tcPr>
          <w:p>
            <w:pPr>
              <w:jc w:val="center"/>
            </w:pPr>
            <w:r>
              <w:rPr>
                <w:color w:val="000000"/>
                <w:sz w:val="24"/>
              </w:rPr>
              <w:t>启明星辰</w:t>
            </w:r>
          </w:p>
        </w:tc>
        <w:tc>
          <w:tcPr>
            <w:tcW w:w="2880" w:type="dxa"/>
            <w:vAlign w:val="center"/>
          </w:tcPr>
          <w:p>
            <w:pPr>
              <w:jc w:val="right"/>
            </w:pPr>
            <w:r>
              <w:rPr>
                <w:color w:val="000000"/>
                <w:sz w:val="24"/>
              </w:rPr>
              <w:t>30,926,460.40</w:t>
            </w:r>
          </w:p>
        </w:tc>
        <w:tc>
          <w:tcPr>
            <w:tcW w:w="1620" w:type="dxa"/>
            <w:vAlign w:val="center"/>
          </w:tcPr>
          <w:p>
            <w:pPr>
              <w:jc w:val="right"/>
            </w:pPr>
            <w:r>
              <w:rPr>
                <w:color w:val="000000"/>
                <w:sz w:val="24"/>
              </w:rPr>
              <w:t>12.77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w:t>
            </w:r>
          </w:p>
        </w:tc>
        <w:tc>
          <w:tcPr>
            <w:tcW w:w="1650" w:type="dxa"/>
            <w:vAlign w:val="center"/>
          </w:tcPr>
          <w:p>
            <w:pPr>
              <w:jc w:val="center"/>
            </w:pPr>
            <w:r>
              <w:rPr>
                <w:color w:val="000000"/>
                <w:sz w:val="24"/>
              </w:rPr>
              <w:t>300624</w:t>
            </w:r>
          </w:p>
        </w:tc>
        <w:tc>
          <w:tcPr>
            <w:tcW w:w="1980" w:type="dxa"/>
            <w:vAlign w:val="center"/>
          </w:tcPr>
          <w:p>
            <w:pPr>
              <w:jc w:val="center"/>
            </w:pPr>
            <w:r>
              <w:rPr>
                <w:color w:val="000000"/>
                <w:sz w:val="24"/>
              </w:rPr>
              <w:t>万兴科技</w:t>
            </w:r>
          </w:p>
        </w:tc>
        <w:tc>
          <w:tcPr>
            <w:tcW w:w="2880" w:type="dxa"/>
            <w:vAlign w:val="center"/>
          </w:tcPr>
          <w:p>
            <w:pPr>
              <w:jc w:val="right"/>
            </w:pPr>
            <w:r>
              <w:rPr>
                <w:color w:val="000000"/>
                <w:sz w:val="24"/>
              </w:rPr>
              <w:t>29,930,219.27</w:t>
            </w:r>
          </w:p>
        </w:tc>
        <w:tc>
          <w:tcPr>
            <w:tcW w:w="1620" w:type="dxa"/>
            <w:vAlign w:val="center"/>
          </w:tcPr>
          <w:p>
            <w:pPr>
              <w:jc w:val="right"/>
            </w:pPr>
            <w:r>
              <w:rPr>
                <w:color w:val="000000"/>
                <w:sz w:val="24"/>
              </w:rPr>
              <w:t>12.36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11</w:t>
            </w:r>
          </w:p>
        </w:tc>
        <w:tc>
          <w:tcPr>
            <w:tcW w:w="1650" w:type="dxa"/>
            <w:vAlign w:val="center"/>
          </w:tcPr>
          <w:p>
            <w:pPr>
              <w:jc w:val="center"/>
            </w:pPr>
            <w:r>
              <w:rPr>
                <w:color w:val="000000"/>
                <w:sz w:val="24"/>
              </w:rPr>
              <w:t>000725</w:t>
            </w:r>
          </w:p>
        </w:tc>
        <w:tc>
          <w:tcPr>
            <w:tcW w:w="1980" w:type="dxa"/>
            <w:vAlign w:val="center"/>
          </w:tcPr>
          <w:p>
            <w:pPr>
              <w:jc w:val="center"/>
            </w:pPr>
            <w:r>
              <w:rPr>
                <w:color w:val="000000"/>
                <w:sz w:val="24"/>
              </w:rPr>
              <w:t>京东方A</w:t>
            </w:r>
          </w:p>
        </w:tc>
        <w:tc>
          <w:tcPr>
            <w:tcW w:w="2880" w:type="dxa"/>
            <w:vAlign w:val="center"/>
          </w:tcPr>
          <w:p>
            <w:pPr>
              <w:jc w:val="right"/>
            </w:pPr>
            <w:r>
              <w:rPr>
                <w:color w:val="000000"/>
                <w:sz w:val="24"/>
              </w:rPr>
              <w:t>29,291,331.00</w:t>
            </w:r>
          </w:p>
        </w:tc>
        <w:tc>
          <w:tcPr>
            <w:tcW w:w="1620" w:type="dxa"/>
            <w:vAlign w:val="center"/>
          </w:tcPr>
          <w:p>
            <w:pPr>
              <w:jc w:val="right"/>
            </w:pPr>
            <w:r>
              <w:rPr>
                <w:color w:val="000000"/>
                <w:sz w:val="24"/>
              </w:rPr>
              <w:t>12.09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12</w:t>
            </w:r>
          </w:p>
        </w:tc>
        <w:tc>
          <w:tcPr>
            <w:tcW w:w="1650" w:type="dxa"/>
            <w:vAlign w:val="center"/>
          </w:tcPr>
          <w:p>
            <w:pPr>
              <w:jc w:val="center"/>
            </w:pPr>
            <w:r>
              <w:rPr>
                <w:color w:val="000000"/>
                <w:sz w:val="24"/>
              </w:rPr>
              <w:t>603990</w:t>
            </w:r>
          </w:p>
        </w:tc>
        <w:tc>
          <w:tcPr>
            <w:tcW w:w="1980" w:type="dxa"/>
            <w:vAlign w:val="center"/>
          </w:tcPr>
          <w:p>
            <w:pPr>
              <w:jc w:val="center"/>
            </w:pPr>
            <w:r>
              <w:rPr>
                <w:color w:val="000000"/>
                <w:sz w:val="24"/>
              </w:rPr>
              <w:t>麦迪科技</w:t>
            </w:r>
          </w:p>
        </w:tc>
        <w:tc>
          <w:tcPr>
            <w:tcW w:w="2880" w:type="dxa"/>
            <w:vAlign w:val="center"/>
          </w:tcPr>
          <w:p>
            <w:pPr>
              <w:jc w:val="right"/>
            </w:pPr>
            <w:r>
              <w:rPr>
                <w:color w:val="000000"/>
                <w:sz w:val="24"/>
              </w:rPr>
              <w:t>27,393,483.50</w:t>
            </w:r>
          </w:p>
        </w:tc>
        <w:tc>
          <w:tcPr>
            <w:tcW w:w="1620" w:type="dxa"/>
            <w:vAlign w:val="center"/>
          </w:tcPr>
          <w:p>
            <w:pPr>
              <w:jc w:val="right"/>
            </w:pPr>
            <w:r>
              <w:rPr>
                <w:color w:val="000000"/>
                <w:sz w:val="24"/>
              </w:rPr>
              <w:t>11.31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13</w:t>
            </w:r>
          </w:p>
        </w:tc>
        <w:tc>
          <w:tcPr>
            <w:tcW w:w="1650" w:type="dxa"/>
            <w:vAlign w:val="center"/>
          </w:tcPr>
          <w:p>
            <w:pPr>
              <w:jc w:val="center"/>
            </w:pPr>
            <w:r>
              <w:rPr>
                <w:color w:val="000000"/>
                <w:sz w:val="24"/>
              </w:rPr>
              <w:t>600216</w:t>
            </w:r>
          </w:p>
        </w:tc>
        <w:tc>
          <w:tcPr>
            <w:tcW w:w="1980" w:type="dxa"/>
            <w:vAlign w:val="center"/>
          </w:tcPr>
          <w:p>
            <w:pPr>
              <w:jc w:val="center"/>
            </w:pPr>
            <w:r>
              <w:rPr>
                <w:color w:val="000000"/>
                <w:sz w:val="24"/>
              </w:rPr>
              <w:t>浙江医药</w:t>
            </w:r>
          </w:p>
        </w:tc>
        <w:tc>
          <w:tcPr>
            <w:tcW w:w="2880" w:type="dxa"/>
            <w:vAlign w:val="center"/>
          </w:tcPr>
          <w:p>
            <w:pPr>
              <w:jc w:val="right"/>
            </w:pPr>
            <w:r>
              <w:rPr>
                <w:color w:val="000000"/>
                <w:sz w:val="24"/>
              </w:rPr>
              <w:t>26,369,175.22</w:t>
            </w:r>
          </w:p>
        </w:tc>
        <w:tc>
          <w:tcPr>
            <w:tcW w:w="1620" w:type="dxa"/>
            <w:vAlign w:val="center"/>
          </w:tcPr>
          <w:p>
            <w:pPr>
              <w:jc w:val="right"/>
            </w:pPr>
            <w:r>
              <w:rPr>
                <w:color w:val="000000"/>
                <w:sz w:val="24"/>
              </w:rPr>
              <w:t>10.89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14</w:t>
            </w:r>
          </w:p>
        </w:tc>
        <w:tc>
          <w:tcPr>
            <w:tcW w:w="1650" w:type="dxa"/>
            <w:vAlign w:val="center"/>
          </w:tcPr>
          <w:p>
            <w:pPr>
              <w:jc w:val="center"/>
            </w:pPr>
            <w:r>
              <w:rPr>
                <w:color w:val="000000"/>
                <w:sz w:val="24"/>
              </w:rPr>
              <w:t>603290</w:t>
            </w:r>
          </w:p>
        </w:tc>
        <w:tc>
          <w:tcPr>
            <w:tcW w:w="1980" w:type="dxa"/>
            <w:vAlign w:val="center"/>
          </w:tcPr>
          <w:p>
            <w:pPr>
              <w:jc w:val="center"/>
            </w:pPr>
            <w:r>
              <w:rPr>
                <w:color w:val="000000"/>
                <w:sz w:val="24"/>
              </w:rPr>
              <w:t>斯达半导</w:t>
            </w:r>
          </w:p>
        </w:tc>
        <w:tc>
          <w:tcPr>
            <w:tcW w:w="2880" w:type="dxa"/>
            <w:vAlign w:val="center"/>
          </w:tcPr>
          <w:p>
            <w:pPr>
              <w:jc w:val="right"/>
            </w:pPr>
            <w:r>
              <w:rPr>
                <w:color w:val="000000"/>
                <w:sz w:val="24"/>
              </w:rPr>
              <w:t>25,600,819.69</w:t>
            </w:r>
          </w:p>
        </w:tc>
        <w:tc>
          <w:tcPr>
            <w:tcW w:w="1620" w:type="dxa"/>
            <w:vAlign w:val="center"/>
          </w:tcPr>
          <w:p>
            <w:pPr>
              <w:jc w:val="right"/>
            </w:pPr>
            <w:r>
              <w:rPr>
                <w:color w:val="000000"/>
                <w:sz w:val="24"/>
              </w:rPr>
              <w:t>10.57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15</w:t>
            </w:r>
          </w:p>
        </w:tc>
        <w:tc>
          <w:tcPr>
            <w:tcW w:w="1650" w:type="dxa"/>
            <w:vAlign w:val="center"/>
          </w:tcPr>
          <w:p>
            <w:pPr>
              <w:jc w:val="center"/>
            </w:pPr>
            <w:r>
              <w:rPr>
                <w:color w:val="000000"/>
                <w:sz w:val="24"/>
              </w:rPr>
              <w:t>300724</w:t>
            </w:r>
          </w:p>
        </w:tc>
        <w:tc>
          <w:tcPr>
            <w:tcW w:w="1980" w:type="dxa"/>
            <w:vAlign w:val="center"/>
          </w:tcPr>
          <w:p>
            <w:pPr>
              <w:jc w:val="center"/>
            </w:pPr>
            <w:r>
              <w:rPr>
                <w:color w:val="000000"/>
                <w:sz w:val="24"/>
              </w:rPr>
              <w:t>捷佳伟创</w:t>
            </w:r>
          </w:p>
        </w:tc>
        <w:tc>
          <w:tcPr>
            <w:tcW w:w="2880" w:type="dxa"/>
            <w:vAlign w:val="center"/>
          </w:tcPr>
          <w:p>
            <w:pPr>
              <w:jc w:val="right"/>
            </w:pPr>
            <w:r>
              <w:rPr>
                <w:color w:val="000000"/>
                <w:sz w:val="24"/>
              </w:rPr>
              <w:t>24,109,264.80</w:t>
            </w:r>
          </w:p>
        </w:tc>
        <w:tc>
          <w:tcPr>
            <w:tcW w:w="1620" w:type="dxa"/>
            <w:vAlign w:val="center"/>
          </w:tcPr>
          <w:p>
            <w:pPr>
              <w:jc w:val="right"/>
            </w:pPr>
            <w:r>
              <w:rPr>
                <w:color w:val="000000"/>
                <w:sz w:val="24"/>
              </w:rPr>
              <w:t>9.95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16</w:t>
            </w:r>
          </w:p>
        </w:tc>
        <w:tc>
          <w:tcPr>
            <w:tcW w:w="1650" w:type="dxa"/>
            <w:vAlign w:val="center"/>
          </w:tcPr>
          <w:p>
            <w:pPr>
              <w:jc w:val="center"/>
            </w:pPr>
            <w:r>
              <w:rPr>
                <w:color w:val="000000"/>
                <w:sz w:val="24"/>
              </w:rPr>
              <w:t>300059</w:t>
            </w:r>
          </w:p>
        </w:tc>
        <w:tc>
          <w:tcPr>
            <w:tcW w:w="1980" w:type="dxa"/>
            <w:vAlign w:val="center"/>
          </w:tcPr>
          <w:p>
            <w:pPr>
              <w:jc w:val="center"/>
            </w:pPr>
            <w:r>
              <w:rPr>
                <w:color w:val="000000"/>
                <w:sz w:val="24"/>
              </w:rPr>
              <w:t>东方财富</w:t>
            </w:r>
          </w:p>
        </w:tc>
        <w:tc>
          <w:tcPr>
            <w:tcW w:w="2880" w:type="dxa"/>
            <w:vAlign w:val="center"/>
          </w:tcPr>
          <w:p>
            <w:pPr>
              <w:jc w:val="right"/>
            </w:pPr>
            <w:r>
              <w:rPr>
                <w:color w:val="000000"/>
                <w:sz w:val="24"/>
              </w:rPr>
              <w:t>23,251,329.94</w:t>
            </w:r>
          </w:p>
        </w:tc>
        <w:tc>
          <w:tcPr>
            <w:tcW w:w="1620" w:type="dxa"/>
            <w:vAlign w:val="center"/>
          </w:tcPr>
          <w:p>
            <w:pPr>
              <w:jc w:val="right"/>
            </w:pPr>
            <w:r>
              <w:rPr>
                <w:color w:val="000000"/>
                <w:sz w:val="24"/>
              </w:rPr>
              <w:t>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17</w:t>
            </w:r>
          </w:p>
        </w:tc>
        <w:tc>
          <w:tcPr>
            <w:tcW w:w="1650" w:type="dxa"/>
            <w:vAlign w:val="center"/>
          </w:tcPr>
          <w:p>
            <w:pPr>
              <w:jc w:val="center"/>
            </w:pPr>
            <w:r>
              <w:rPr>
                <w:color w:val="000000"/>
                <w:sz w:val="24"/>
              </w:rPr>
              <w:t>688008</w:t>
            </w:r>
          </w:p>
        </w:tc>
        <w:tc>
          <w:tcPr>
            <w:tcW w:w="1980" w:type="dxa"/>
            <w:vAlign w:val="center"/>
          </w:tcPr>
          <w:p>
            <w:pPr>
              <w:jc w:val="center"/>
            </w:pPr>
            <w:r>
              <w:rPr>
                <w:color w:val="000000"/>
                <w:sz w:val="24"/>
              </w:rPr>
              <w:t>澜起科技</w:t>
            </w:r>
          </w:p>
        </w:tc>
        <w:tc>
          <w:tcPr>
            <w:tcW w:w="2880" w:type="dxa"/>
            <w:vAlign w:val="center"/>
          </w:tcPr>
          <w:p>
            <w:pPr>
              <w:jc w:val="right"/>
            </w:pPr>
            <w:r>
              <w:rPr>
                <w:color w:val="000000"/>
                <w:sz w:val="24"/>
              </w:rPr>
              <w:t>22,965,977.00</w:t>
            </w:r>
          </w:p>
        </w:tc>
        <w:tc>
          <w:tcPr>
            <w:tcW w:w="1620" w:type="dxa"/>
            <w:vAlign w:val="center"/>
          </w:tcPr>
          <w:p>
            <w:pPr>
              <w:jc w:val="right"/>
            </w:pPr>
            <w:r>
              <w:rPr>
                <w:color w:val="000000"/>
                <w:sz w:val="24"/>
              </w:rPr>
              <w:t>9.48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18</w:t>
            </w:r>
          </w:p>
        </w:tc>
        <w:tc>
          <w:tcPr>
            <w:tcW w:w="1650" w:type="dxa"/>
            <w:vAlign w:val="center"/>
          </w:tcPr>
          <w:p>
            <w:pPr>
              <w:jc w:val="center"/>
            </w:pPr>
            <w:r>
              <w:rPr>
                <w:color w:val="000000"/>
                <w:sz w:val="24"/>
              </w:rPr>
              <w:t>600176</w:t>
            </w:r>
          </w:p>
        </w:tc>
        <w:tc>
          <w:tcPr>
            <w:tcW w:w="1980" w:type="dxa"/>
            <w:vAlign w:val="center"/>
          </w:tcPr>
          <w:p>
            <w:pPr>
              <w:jc w:val="center"/>
            </w:pPr>
            <w:r>
              <w:rPr>
                <w:color w:val="000000"/>
                <w:sz w:val="24"/>
              </w:rPr>
              <w:t>中国巨石</w:t>
            </w:r>
          </w:p>
        </w:tc>
        <w:tc>
          <w:tcPr>
            <w:tcW w:w="2880" w:type="dxa"/>
            <w:vAlign w:val="center"/>
          </w:tcPr>
          <w:p>
            <w:pPr>
              <w:jc w:val="right"/>
            </w:pPr>
            <w:r>
              <w:rPr>
                <w:color w:val="000000"/>
                <w:sz w:val="24"/>
              </w:rPr>
              <w:t>22,889,624.12</w:t>
            </w:r>
          </w:p>
        </w:tc>
        <w:tc>
          <w:tcPr>
            <w:tcW w:w="1620" w:type="dxa"/>
            <w:vAlign w:val="center"/>
          </w:tcPr>
          <w:p>
            <w:pPr>
              <w:jc w:val="right"/>
            </w:pPr>
            <w:r>
              <w:rPr>
                <w:color w:val="000000"/>
                <w:sz w:val="24"/>
              </w:rPr>
              <w:t>9.45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19</w:t>
            </w:r>
          </w:p>
        </w:tc>
        <w:tc>
          <w:tcPr>
            <w:tcW w:w="1650" w:type="dxa"/>
            <w:vAlign w:val="center"/>
          </w:tcPr>
          <w:p>
            <w:pPr>
              <w:jc w:val="center"/>
            </w:pPr>
            <w:r>
              <w:rPr>
                <w:color w:val="000000"/>
                <w:sz w:val="24"/>
              </w:rPr>
              <w:t>300122</w:t>
            </w:r>
          </w:p>
        </w:tc>
        <w:tc>
          <w:tcPr>
            <w:tcW w:w="1980" w:type="dxa"/>
            <w:vAlign w:val="center"/>
          </w:tcPr>
          <w:p>
            <w:pPr>
              <w:jc w:val="center"/>
            </w:pPr>
            <w:r>
              <w:rPr>
                <w:color w:val="000000"/>
                <w:sz w:val="24"/>
              </w:rPr>
              <w:t>智飞生物</w:t>
            </w:r>
          </w:p>
        </w:tc>
        <w:tc>
          <w:tcPr>
            <w:tcW w:w="2880" w:type="dxa"/>
            <w:vAlign w:val="center"/>
          </w:tcPr>
          <w:p>
            <w:pPr>
              <w:jc w:val="right"/>
            </w:pPr>
            <w:r>
              <w:rPr>
                <w:color w:val="000000"/>
                <w:sz w:val="24"/>
              </w:rPr>
              <w:t>21,354,583.00</w:t>
            </w:r>
          </w:p>
        </w:tc>
        <w:tc>
          <w:tcPr>
            <w:tcW w:w="1620" w:type="dxa"/>
            <w:vAlign w:val="center"/>
          </w:tcPr>
          <w:p>
            <w:pPr>
              <w:jc w:val="right"/>
            </w:pPr>
            <w:r>
              <w:rPr>
                <w:color w:val="000000"/>
                <w:sz w:val="24"/>
              </w:rPr>
              <w:t>8.82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20</w:t>
            </w:r>
          </w:p>
        </w:tc>
        <w:tc>
          <w:tcPr>
            <w:tcW w:w="1650" w:type="dxa"/>
            <w:vAlign w:val="center"/>
          </w:tcPr>
          <w:p>
            <w:pPr>
              <w:jc w:val="center"/>
            </w:pPr>
            <w:r>
              <w:rPr>
                <w:color w:val="000000"/>
                <w:sz w:val="24"/>
              </w:rPr>
              <w:t>603195</w:t>
            </w:r>
          </w:p>
        </w:tc>
        <w:tc>
          <w:tcPr>
            <w:tcW w:w="1980" w:type="dxa"/>
            <w:vAlign w:val="center"/>
          </w:tcPr>
          <w:p>
            <w:pPr>
              <w:jc w:val="center"/>
            </w:pPr>
            <w:r>
              <w:rPr>
                <w:color w:val="000000"/>
                <w:sz w:val="24"/>
              </w:rPr>
              <w:t>公牛集团</w:t>
            </w:r>
          </w:p>
        </w:tc>
        <w:tc>
          <w:tcPr>
            <w:tcW w:w="2880" w:type="dxa"/>
            <w:vAlign w:val="center"/>
          </w:tcPr>
          <w:p>
            <w:pPr>
              <w:jc w:val="right"/>
            </w:pPr>
            <w:r>
              <w:rPr>
                <w:color w:val="000000"/>
                <w:sz w:val="24"/>
              </w:rPr>
              <w:t>21,290,934.75</w:t>
            </w:r>
          </w:p>
        </w:tc>
        <w:tc>
          <w:tcPr>
            <w:tcW w:w="1620" w:type="dxa"/>
            <w:vAlign w:val="center"/>
          </w:tcPr>
          <w:p>
            <w:pPr>
              <w:jc w:val="right"/>
            </w:pPr>
            <w:r>
              <w:rPr>
                <w:color w:val="000000"/>
                <w:sz w:val="24"/>
              </w:rPr>
              <w:t>8.79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21</w:t>
            </w:r>
          </w:p>
        </w:tc>
        <w:tc>
          <w:tcPr>
            <w:tcW w:w="1650" w:type="dxa"/>
            <w:vAlign w:val="center"/>
          </w:tcPr>
          <w:p>
            <w:pPr>
              <w:jc w:val="center"/>
            </w:pPr>
            <w:r>
              <w:rPr>
                <w:color w:val="000000"/>
                <w:sz w:val="24"/>
              </w:rPr>
              <w:t>300253</w:t>
            </w:r>
          </w:p>
        </w:tc>
        <w:tc>
          <w:tcPr>
            <w:tcW w:w="1980" w:type="dxa"/>
            <w:vAlign w:val="center"/>
          </w:tcPr>
          <w:p>
            <w:pPr>
              <w:jc w:val="center"/>
            </w:pPr>
            <w:r>
              <w:rPr>
                <w:color w:val="000000"/>
                <w:sz w:val="24"/>
              </w:rPr>
              <w:t>卫宁健康</w:t>
            </w:r>
          </w:p>
        </w:tc>
        <w:tc>
          <w:tcPr>
            <w:tcW w:w="2880" w:type="dxa"/>
            <w:vAlign w:val="center"/>
          </w:tcPr>
          <w:p>
            <w:pPr>
              <w:jc w:val="right"/>
            </w:pPr>
            <w:r>
              <w:rPr>
                <w:color w:val="000000"/>
                <w:sz w:val="24"/>
              </w:rPr>
              <w:t>21,044,338.29</w:t>
            </w:r>
          </w:p>
        </w:tc>
        <w:tc>
          <w:tcPr>
            <w:tcW w:w="1620" w:type="dxa"/>
            <w:vAlign w:val="center"/>
          </w:tcPr>
          <w:p>
            <w:pPr>
              <w:jc w:val="right"/>
            </w:pPr>
            <w:r>
              <w:rPr>
                <w:color w:val="000000"/>
                <w:sz w:val="24"/>
              </w:rPr>
              <w:t>8.69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22</w:t>
            </w:r>
          </w:p>
        </w:tc>
        <w:tc>
          <w:tcPr>
            <w:tcW w:w="1650" w:type="dxa"/>
            <w:vAlign w:val="center"/>
          </w:tcPr>
          <w:p>
            <w:pPr>
              <w:jc w:val="center"/>
            </w:pPr>
            <w:r>
              <w:rPr>
                <w:color w:val="000000"/>
                <w:sz w:val="24"/>
              </w:rPr>
              <w:t>002352</w:t>
            </w:r>
          </w:p>
        </w:tc>
        <w:tc>
          <w:tcPr>
            <w:tcW w:w="1980" w:type="dxa"/>
            <w:vAlign w:val="center"/>
          </w:tcPr>
          <w:p>
            <w:pPr>
              <w:jc w:val="center"/>
            </w:pPr>
            <w:r>
              <w:rPr>
                <w:color w:val="000000"/>
                <w:sz w:val="24"/>
              </w:rPr>
              <w:t>顺丰控股</w:t>
            </w:r>
          </w:p>
        </w:tc>
        <w:tc>
          <w:tcPr>
            <w:tcW w:w="2880" w:type="dxa"/>
            <w:vAlign w:val="center"/>
          </w:tcPr>
          <w:p>
            <w:pPr>
              <w:jc w:val="right"/>
            </w:pPr>
            <w:r>
              <w:rPr>
                <w:color w:val="000000"/>
                <w:sz w:val="24"/>
              </w:rPr>
              <w:t>20,798,067.16</w:t>
            </w:r>
          </w:p>
        </w:tc>
        <w:tc>
          <w:tcPr>
            <w:tcW w:w="1620" w:type="dxa"/>
            <w:vAlign w:val="center"/>
          </w:tcPr>
          <w:p>
            <w:pPr>
              <w:jc w:val="right"/>
            </w:pPr>
            <w:r>
              <w:rPr>
                <w:color w:val="000000"/>
                <w:sz w:val="24"/>
              </w:rPr>
              <w:t>8.59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23</w:t>
            </w:r>
          </w:p>
        </w:tc>
        <w:tc>
          <w:tcPr>
            <w:tcW w:w="1650" w:type="dxa"/>
            <w:vAlign w:val="center"/>
          </w:tcPr>
          <w:p>
            <w:pPr>
              <w:jc w:val="center"/>
            </w:pPr>
            <w:r>
              <w:rPr>
                <w:color w:val="000000"/>
                <w:sz w:val="24"/>
              </w:rPr>
              <w:t>603678</w:t>
            </w:r>
          </w:p>
        </w:tc>
        <w:tc>
          <w:tcPr>
            <w:tcW w:w="1980" w:type="dxa"/>
            <w:vAlign w:val="center"/>
          </w:tcPr>
          <w:p>
            <w:pPr>
              <w:jc w:val="center"/>
            </w:pPr>
            <w:r>
              <w:rPr>
                <w:color w:val="000000"/>
                <w:sz w:val="24"/>
              </w:rPr>
              <w:t>火炬电子</w:t>
            </w:r>
          </w:p>
        </w:tc>
        <w:tc>
          <w:tcPr>
            <w:tcW w:w="2880" w:type="dxa"/>
            <w:vAlign w:val="center"/>
          </w:tcPr>
          <w:p>
            <w:pPr>
              <w:jc w:val="right"/>
            </w:pPr>
            <w:r>
              <w:rPr>
                <w:color w:val="000000"/>
                <w:sz w:val="24"/>
              </w:rPr>
              <w:t>20,133,019.38</w:t>
            </w:r>
          </w:p>
        </w:tc>
        <w:tc>
          <w:tcPr>
            <w:tcW w:w="1620" w:type="dxa"/>
            <w:vAlign w:val="center"/>
          </w:tcPr>
          <w:p>
            <w:pPr>
              <w:jc w:val="right"/>
            </w:pPr>
            <w:r>
              <w:rPr>
                <w:color w:val="000000"/>
                <w:sz w:val="24"/>
              </w:rPr>
              <w:t>8.31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24</w:t>
            </w:r>
          </w:p>
        </w:tc>
        <w:tc>
          <w:tcPr>
            <w:tcW w:w="1650" w:type="dxa"/>
            <w:vAlign w:val="center"/>
          </w:tcPr>
          <w:p>
            <w:pPr>
              <w:jc w:val="center"/>
            </w:pPr>
            <w:r>
              <w:rPr>
                <w:color w:val="000000"/>
                <w:sz w:val="24"/>
              </w:rPr>
              <w:t>603267</w:t>
            </w:r>
          </w:p>
        </w:tc>
        <w:tc>
          <w:tcPr>
            <w:tcW w:w="1980" w:type="dxa"/>
            <w:vAlign w:val="center"/>
          </w:tcPr>
          <w:p>
            <w:pPr>
              <w:jc w:val="center"/>
            </w:pPr>
            <w:r>
              <w:rPr>
                <w:color w:val="000000"/>
                <w:sz w:val="24"/>
              </w:rPr>
              <w:t>鸿远电子</w:t>
            </w:r>
          </w:p>
        </w:tc>
        <w:tc>
          <w:tcPr>
            <w:tcW w:w="2880" w:type="dxa"/>
            <w:vAlign w:val="center"/>
          </w:tcPr>
          <w:p>
            <w:pPr>
              <w:jc w:val="right"/>
            </w:pPr>
            <w:r>
              <w:rPr>
                <w:color w:val="000000"/>
                <w:sz w:val="24"/>
              </w:rPr>
              <w:t>19,120,684.55</w:t>
            </w:r>
          </w:p>
        </w:tc>
        <w:tc>
          <w:tcPr>
            <w:tcW w:w="1620" w:type="dxa"/>
            <w:vAlign w:val="center"/>
          </w:tcPr>
          <w:p>
            <w:pPr>
              <w:jc w:val="right"/>
            </w:pPr>
            <w:r>
              <w:rPr>
                <w:color w:val="000000"/>
                <w:sz w:val="24"/>
              </w:rPr>
              <w:t>7.89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25</w:t>
            </w:r>
          </w:p>
        </w:tc>
        <w:tc>
          <w:tcPr>
            <w:tcW w:w="1650" w:type="dxa"/>
            <w:vAlign w:val="center"/>
          </w:tcPr>
          <w:p>
            <w:pPr>
              <w:jc w:val="center"/>
            </w:pPr>
            <w:r>
              <w:rPr>
                <w:color w:val="000000"/>
                <w:sz w:val="24"/>
              </w:rPr>
              <w:t>002001</w:t>
            </w:r>
          </w:p>
        </w:tc>
        <w:tc>
          <w:tcPr>
            <w:tcW w:w="1980" w:type="dxa"/>
            <w:vAlign w:val="center"/>
          </w:tcPr>
          <w:p>
            <w:pPr>
              <w:jc w:val="center"/>
            </w:pPr>
            <w:r>
              <w:rPr>
                <w:color w:val="000000"/>
                <w:sz w:val="24"/>
              </w:rPr>
              <w:t>新和成</w:t>
            </w:r>
          </w:p>
        </w:tc>
        <w:tc>
          <w:tcPr>
            <w:tcW w:w="2880" w:type="dxa"/>
            <w:vAlign w:val="center"/>
          </w:tcPr>
          <w:p>
            <w:pPr>
              <w:jc w:val="right"/>
            </w:pPr>
            <w:r>
              <w:rPr>
                <w:color w:val="000000"/>
                <w:sz w:val="24"/>
              </w:rPr>
              <w:t>18,910,691.41</w:t>
            </w:r>
          </w:p>
        </w:tc>
        <w:tc>
          <w:tcPr>
            <w:tcW w:w="1620" w:type="dxa"/>
            <w:vAlign w:val="center"/>
          </w:tcPr>
          <w:p>
            <w:pPr>
              <w:jc w:val="right"/>
            </w:pPr>
            <w:r>
              <w:rPr>
                <w:color w:val="000000"/>
                <w:sz w:val="24"/>
              </w:rPr>
              <w:t>7.81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26</w:t>
            </w:r>
          </w:p>
        </w:tc>
        <w:tc>
          <w:tcPr>
            <w:tcW w:w="1650" w:type="dxa"/>
            <w:vAlign w:val="center"/>
          </w:tcPr>
          <w:p>
            <w:pPr>
              <w:jc w:val="center"/>
            </w:pPr>
            <w:r>
              <w:rPr>
                <w:color w:val="000000"/>
                <w:sz w:val="24"/>
              </w:rPr>
              <w:t>000961</w:t>
            </w:r>
          </w:p>
        </w:tc>
        <w:tc>
          <w:tcPr>
            <w:tcW w:w="1980" w:type="dxa"/>
            <w:vAlign w:val="center"/>
          </w:tcPr>
          <w:p>
            <w:pPr>
              <w:jc w:val="center"/>
            </w:pPr>
            <w:r>
              <w:rPr>
                <w:color w:val="000000"/>
                <w:sz w:val="24"/>
              </w:rPr>
              <w:t>中南建设</w:t>
            </w:r>
          </w:p>
        </w:tc>
        <w:tc>
          <w:tcPr>
            <w:tcW w:w="2880" w:type="dxa"/>
            <w:vAlign w:val="center"/>
          </w:tcPr>
          <w:p>
            <w:pPr>
              <w:jc w:val="right"/>
            </w:pPr>
            <w:r>
              <w:rPr>
                <w:color w:val="000000"/>
                <w:sz w:val="24"/>
              </w:rPr>
              <w:t>18,243,221.50</w:t>
            </w:r>
          </w:p>
        </w:tc>
        <w:tc>
          <w:tcPr>
            <w:tcW w:w="1620" w:type="dxa"/>
            <w:vAlign w:val="center"/>
          </w:tcPr>
          <w:p>
            <w:pPr>
              <w:jc w:val="right"/>
            </w:pPr>
            <w:r>
              <w:rPr>
                <w:color w:val="000000"/>
                <w:sz w:val="24"/>
              </w:rPr>
              <w:t>7.53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27</w:t>
            </w:r>
          </w:p>
        </w:tc>
        <w:tc>
          <w:tcPr>
            <w:tcW w:w="1650" w:type="dxa"/>
            <w:vAlign w:val="center"/>
          </w:tcPr>
          <w:p>
            <w:pPr>
              <w:jc w:val="center"/>
            </w:pPr>
            <w:r>
              <w:rPr>
                <w:color w:val="000000"/>
                <w:sz w:val="24"/>
              </w:rPr>
              <w:t>300782</w:t>
            </w:r>
          </w:p>
        </w:tc>
        <w:tc>
          <w:tcPr>
            <w:tcW w:w="1980" w:type="dxa"/>
            <w:vAlign w:val="center"/>
          </w:tcPr>
          <w:p>
            <w:pPr>
              <w:jc w:val="center"/>
            </w:pPr>
            <w:r>
              <w:rPr>
                <w:color w:val="000000"/>
                <w:sz w:val="24"/>
              </w:rPr>
              <w:t>卓胜微</w:t>
            </w:r>
          </w:p>
        </w:tc>
        <w:tc>
          <w:tcPr>
            <w:tcW w:w="2880" w:type="dxa"/>
            <w:vAlign w:val="center"/>
          </w:tcPr>
          <w:p>
            <w:pPr>
              <w:jc w:val="right"/>
            </w:pPr>
            <w:r>
              <w:rPr>
                <w:color w:val="000000"/>
                <w:sz w:val="24"/>
              </w:rPr>
              <w:t>17,704,595.60</w:t>
            </w:r>
          </w:p>
        </w:tc>
        <w:tc>
          <w:tcPr>
            <w:tcW w:w="1620" w:type="dxa"/>
            <w:vAlign w:val="center"/>
          </w:tcPr>
          <w:p>
            <w:pPr>
              <w:jc w:val="right"/>
            </w:pPr>
            <w:r>
              <w:rPr>
                <w:color w:val="000000"/>
                <w:sz w:val="24"/>
              </w:rPr>
              <w:t>7.31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28</w:t>
            </w:r>
          </w:p>
        </w:tc>
        <w:tc>
          <w:tcPr>
            <w:tcW w:w="1650" w:type="dxa"/>
            <w:vAlign w:val="center"/>
          </w:tcPr>
          <w:p>
            <w:pPr>
              <w:jc w:val="center"/>
            </w:pPr>
            <w:r>
              <w:rPr>
                <w:color w:val="000000"/>
                <w:sz w:val="24"/>
              </w:rPr>
              <w:t>603885</w:t>
            </w:r>
          </w:p>
        </w:tc>
        <w:tc>
          <w:tcPr>
            <w:tcW w:w="1980" w:type="dxa"/>
            <w:vAlign w:val="center"/>
          </w:tcPr>
          <w:p>
            <w:pPr>
              <w:jc w:val="center"/>
            </w:pPr>
            <w:r>
              <w:rPr>
                <w:color w:val="000000"/>
                <w:sz w:val="24"/>
              </w:rPr>
              <w:t>吉祥航空</w:t>
            </w:r>
          </w:p>
        </w:tc>
        <w:tc>
          <w:tcPr>
            <w:tcW w:w="2880" w:type="dxa"/>
            <w:vAlign w:val="center"/>
          </w:tcPr>
          <w:p>
            <w:pPr>
              <w:jc w:val="right"/>
            </w:pPr>
            <w:r>
              <w:rPr>
                <w:color w:val="000000"/>
                <w:sz w:val="24"/>
              </w:rPr>
              <w:t>17,272,797.00</w:t>
            </w:r>
          </w:p>
        </w:tc>
        <w:tc>
          <w:tcPr>
            <w:tcW w:w="1620" w:type="dxa"/>
            <w:vAlign w:val="center"/>
          </w:tcPr>
          <w:p>
            <w:pPr>
              <w:jc w:val="right"/>
            </w:pPr>
            <w:r>
              <w:rPr>
                <w:color w:val="000000"/>
                <w:sz w:val="24"/>
              </w:rPr>
              <w:t>7.13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29</w:t>
            </w:r>
          </w:p>
        </w:tc>
        <w:tc>
          <w:tcPr>
            <w:tcW w:w="1650" w:type="dxa"/>
            <w:vAlign w:val="center"/>
          </w:tcPr>
          <w:p>
            <w:pPr>
              <w:jc w:val="center"/>
            </w:pPr>
            <w:r>
              <w:rPr>
                <w:color w:val="000000"/>
                <w:sz w:val="24"/>
              </w:rPr>
              <w:t>688561</w:t>
            </w:r>
          </w:p>
        </w:tc>
        <w:tc>
          <w:tcPr>
            <w:tcW w:w="1980" w:type="dxa"/>
            <w:vAlign w:val="center"/>
          </w:tcPr>
          <w:p>
            <w:pPr>
              <w:jc w:val="center"/>
            </w:pPr>
            <w:r>
              <w:rPr>
                <w:color w:val="000000"/>
                <w:sz w:val="24"/>
              </w:rPr>
              <w:t>奇安信</w:t>
            </w:r>
          </w:p>
        </w:tc>
        <w:tc>
          <w:tcPr>
            <w:tcW w:w="2880" w:type="dxa"/>
            <w:vAlign w:val="center"/>
          </w:tcPr>
          <w:p>
            <w:pPr>
              <w:jc w:val="right"/>
            </w:pPr>
            <w:r>
              <w:rPr>
                <w:color w:val="000000"/>
                <w:sz w:val="24"/>
              </w:rPr>
              <w:t>16,163,373.93</w:t>
            </w:r>
          </w:p>
        </w:tc>
        <w:tc>
          <w:tcPr>
            <w:tcW w:w="1620" w:type="dxa"/>
            <w:vAlign w:val="center"/>
          </w:tcPr>
          <w:p>
            <w:pPr>
              <w:jc w:val="right"/>
            </w:pPr>
            <w:r>
              <w:rPr>
                <w:color w:val="000000"/>
                <w:sz w:val="24"/>
              </w:rPr>
              <w:t>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30</w:t>
            </w:r>
          </w:p>
        </w:tc>
        <w:tc>
          <w:tcPr>
            <w:tcW w:w="1650" w:type="dxa"/>
            <w:vAlign w:val="center"/>
          </w:tcPr>
          <w:p>
            <w:pPr>
              <w:jc w:val="center"/>
            </w:pPr>
            <w:r>
              <w:rPr>
                <w:color w:val="000000"/>
                <w:sz w:val="24"/>
              </w:rPr>
              <w:t>688229</w:t>
            </w:r>
          </w:p>
        </w:tc>
        <w:tc>
          <w:tcPr>
            <w:tcW w:w="1980" w:type="dxa"/>
            <w:vAlign w:val="center"/>
          </w:tcPr>
          <w:p>
            <w:pPr>
              <w:jc w:val="center"/>
            </w:pPr>
            <w:r>
              <w:rPr>
                <w:color w:val="000000"/>
                <w:sz w:val="24"/>
              </w:rPr>
              <w:t>博睿数据</w:t>
            </w:r>
          </w:p>
        </w:tc>
        <w:tc>
          <w:tcPr>
            <w:tcW w:w="2880" w:type="dxa"/>
            <w:vAlign w:val="center"/>
          </w:tcPr>
          <w:p>
            <w:pPr>
              <w:jc w:val="right"/>
            </w:pPr>
            <w:r>
              <w:rPr>
                <w:color w:val="000000"/>
                <w:sz w:val="24"/>
              </w:rPr>
              <w:t>16,158,302.75</w:t>
            </w:r>
          </w:p>
        </w:tc>
        <w:tc>
          <w:tcPr>
            <w:tcW w:w="1620" w:type="dxa"/>
            <w:vAlign w:val="center"/>
          </w:tcPr>
          <w:p>
            <w:pPr>
              <w:jc w:val="right"/>
            </w:pPr>
            <w:r>
              <w:rPr>
                <w:color w:val="000000"/>
                <w:sz w:val="24"/>
              </w:rPr>
              <w:t>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31</w:t>
            </w:r>
          </w:p>
        </w:tc>
        <w:tc>
          <w:tcPr>
            <w:tcW w:w="1650" w:type="dxa"/>
            <w:vAlign w:val="center"/>
          </w:tcPr>
          <w:p>
            <w:pPr>
              <w:jc w:val="center"/>
            </w:pPr>
            <w:r>
              <w:rPr>
                <w:color w:val="000000"/>
                <w:sz w:val="24"/>
              </w:rPr>
              <w:t>002271</w:t>
            </w:r>
          </w:p>
        </w:tc>
        <w:tc>
          <w:tcPr>
            <w:tcW w:w="1980" w:type="dxa"/>
            <w:vAlign w:val="center"/>
          </w:tcPr>
          <w:p>
            <w:pPr>
              <w:jc w:val="center"/>
            </w:pPr>
            <w:r>
              <w:rPr>
                <w:color w:val="000000"/>
                <w:sz w:val="24"/>
              </w:rPr>
              <w:t>东方雨虹</w:t>
            </w:r>
          </w:p>
        </w:tc>
        <w:tc>
          <w:tcPr>
            <w:tcW w:w="2880" w:type="dxa"/>
            <w:vAlign w:val="center"/>
          </w:tcPr>
          <w:p>
            <w:pPr>
              <w:jc w:val="right"/>
            </w:pPr>
            <w:r>
              <w:rPr>
                <w:color w:val="000000"/>
                <w:sz w:val="24"/>
              </w:rPr>
              <w:t>16,098,022.24</w:t>
            </w:r>
          </w:p>
        </w:tc>
        <w:tc>
          <w:tcPr>
            <w:tcW w:w="1620" w:type="dxa"/>
            <w:vAlign w:val="center"/>
          </w:tcPr>
          <w:p>
            <w:pPr>
              <w:jc w:val="right"/>
            </w:pPr>
            <w:r>
              <w:rPr>
                <w:color w:val="000000"/>
                <w:sz w:val="24"/>
              </w:rPr>
              <w:t>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32</w:t>
            </w:r>
          </w:p>
        </w:tc>
        <w:tc>
          <w:tcPr>
            <w:tcW w:w="1650" w:type="dxa"/>
            <w:vAlign w:val="center"/>
          </w:tcPr>
          <w:p>
            <w:pPr>
              <w:jc w:val="center"/>
            </w:pPr>
            <w:r>
              <w:rPr>
                <w:color w:val="000000"/>
                <w:sz w:val="24"/>
              </w:rPr>
              <w:t>000100</w:t>
            </w:r>
          </w:p>
        </w:tc>
        <w:tc>
          <w:tcPr>
            <w:tcW w:w="1980" w:type="dxa"/>
            <w:vAlign w:val="center"/>
          </w:tcPr>
          <w:p>
            <w:pPr>
              <w:jc w:val="center"/>
            </w:pPr>
            <w:r>
              <w:rPr>
                <w:color w:val="000000"/>
                <w:sz w:val="24"/>
              </w:rPr>
              <w:t>TCL科技</w:t>
            </w:r>
          </w:p>
        </w:tc>
        <w:tc>
          <w:tcPr>
            <w:tcW w:w="2880" w:type="dxa"/>
            <w:vAlign w:val="center"/>
          </w:tcPr>
          <w:p>
            <w:pPr>
              <w:jc w:val="right"/>
            </w:pPr>
            <w:r>
              <w:rPr>
                <w:color w:val="000000"/>
                <w:sz w:val="24"/>
              </w:rPr>
              <w:t>15,641,279.00</w:t>
            </w:r>
          </w:p>
        </w:tc>
        <w:tc>
          <w:tcPr>
            <w:tcW w:w="1620" w:type="dxa"/>
            <w:vAlign w:val="center"/>
          </w:tcPr>
          <w:p>
            <w:pPr>
              <w:jc w:val="right"/>
            </w:pPr>
            <w:r>
              <w:rPr>
                <w:color w:val="000000"/>
                <w:sz w:val="24"/>
              </w:rPr>
              <w:t>6.46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33</w:t>
            </w:r>
          </w:p>
        </w:tc>
        <w:tc>
          <w:tcPr>
            <w:tcW w:w="1650" w:type="dxa"/>
            <w:vAlign w:val="center"/>
          </w:tcPr>
          <w:p>
            <w:pPr>
              <w:jc w:val="center"/>
            </w:pPr>
            <w:r>
              <w:rPr>
                <w:color w:val="000000"/>
                <w:sz w:val="24"/>
              </w:rPr>
              <w:t>300142</w:t>
            </w:r>
          </w:p>
        </w:tc>
        <w:tc>
          <w:tcPr>
            <w:tcW w:w="1980" w:type="dxa"/>
            <w:vAlign w:val="center"/>
          </w:tcPr>
          <w:p>
            <w:pPr>
              <w:jc w:val="center"/>
            </w:pPr>
            <w:r>
              <w:rPr>
                <w:color w:val="000000"/>
                <w:sz w:val="24"/>
              </w:rPr>
              <w:t>沃森生物</w:t>
            </w:r>
          </w:p>
        </w:tc>
        <w:tc>
          <w:tcPr>
            <w:tcW w:w="2880" w:type="dxa"/>
            <w:vAlign w:val="center"/>
          </w:tcPr>
          <w:p>
            <w:pPr>
              <w:jc w:val="right"/>
            </w:pPr>
            <w:r>
              <w:rPr>
                <w:color w:val="000000"/>
                <w:sz w:val="24"/>
              </w:rPr>
              <w:t>14,409,328.52</w:t>
            </w:r>
          </w:p>
        </w:tc>
        <w:tc>
          <w:tcPr>
            <w:tcW w:w="1620" w:type="dxa"/>
            <w:vAlign w:val="center"/>
          </w:tcPr>
          <w:p>
            <w:pPr>
              <w:jc w:val="right"/>
            </w:pPr>
            <w:r>
              <w:rPr>
                <w:color w:val="000000"/>
                <w:sz w:val="24"/>
              </w:rPr>
              <w:t>5.95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34</w:t>
            </w:r>
          </w:p>
        </w:tc>
        <w:tc>
          <w:tcPr>
            <w:tcW w:w="1650" w:type="dxa"/>
            <w:vAlign w:val="center"/>
          </w:tcPr>
          <w:p>
            <w:pPr>
              <w:jc w:val="center"/>
            </w:pPr>
            <w:r>
              <w:rPr>
                <w:color w:val="000000"/>
                <w:sz w:val="24"/>
              </w:rPr>
              <w:t>603816</w:t>
            </w:r>
          </w:p>
        </w:tc>
        <w:tc>
          <w:tcPr>
            <w:tcW w:w="1980" w:type="dxa"/>
            <w:vAlign w:val="center"/>
          </w:tcPr>
          <w:p>
            <w:pPr>
              <w:jc w:val="center"/>
            </w:pPr>
            <w:r>
              <w:rPr>
                <w:color w:val="000000"/>
                <w:sz w:val="24"/>
              </w:rPr>
              <w:t>顾家家居</w:t>
            </w:r>
          </w:p>
        </w:tc>
        <w:tc>
          <w:tcPr>
            <w:tcW w:w="2880" w:type="dxa"/>
            <w:vAlign w:val="center"/>
          </w:tcPr>
          <w:p>
            <w:pPr>
              <w:jc w:val="right"/>
            </w:pPr>
            <w:r>
              <w:rPr>
                <w:color w:val="000000"/>
                <w:sz w:val="24"/>
              </w:rPr>
              <w:t>14,132,404.90</w:t>
            </w:r>
          </w:p>
        </w:tc>
        <w:tc>
          <w:tcPr>
            <w:tcW w:w="1620" w:type="dxa"/>
            <w:vAlign w:val="center"/>
          </w:tcPr>
          <w:p>
            <w:pPr>
              <w:jc w:val="right"/>
            </w:pPr>
            <w:r>
              <w:rPr>
                <w:color w:val="000000"/>
                <w:sz w:val="24"/>
              </w:rPr>
              <w:t>5.83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35</w:t>
            </w:r>
          </w:p>
        </w:tc>
        <w:tc>
          <w:tcPr>
            <w:tcW w:w="1650" w:type="dxa"/>
            <w:vAlign w:val="center"/>
          </w:tcPr>
          <w:p>
            <w:pPr>
              <w:jc w:val="center"/>
            </w:pPr>
            <w:r>
              <w:rPr>
                <w:color w:val="000000"/>
                <w:sz w:val="24"/>
              </w:rPr>
              <w:t>002044</w:t>
            </w:r>
          </w:p>
        </w:tc>
        <w:tc>
          <w:tcPr>
            <w:tcW w:w="1980" w:type="dxa"/>
            <w:vAlign w:val="center"/>
          </w:tcPr>
          <w:p>
            <w:pPr>
              <w:jc w:val="center"/>
            </w:pPr>
            <w:r>
              <w:rPr>
                <w:color w:val="000000"/>
                <w:sz w:val="24"/>
              </w:rPr>
              <w:t>美年健康</w:t>
            </w:r>
          </w:p>
        </w:tc>
        <w:tc>
          <w:tcPr>
            <w:tcW w:w="2880" w:type="dxa"/>
            <w:vAlign w:val="center"/>
          </w:tcPr>
          <w:p>
            <w:pPr>
              <w:jc w:val="right"/>
            </w:pPr>
            <w:r>
              <w:rPr>
                <w:color w:val="000000"/>
                <w:sz w:val="24"/>
              </w:rPr>
              <w:t>14,045,989.80</w:t>
            </w:r>
          </w:p>
        </w:tc>
        <w:tc>
          <w:tcPr>
            <w:tcW w:w="1620" w:type="dxa"/>
            <w:vAlign w:val="center"/>
          </w:tcPr>
          <w:p>
            <w:pPr>
              <w:jc w:val="right"/>
            </w:pPr>
            <w:r>
              <w:rPr>
                <w:color w:val="000000"/>
                <w:sz w:val="24"/>
              </w:rPr>
              <w:t>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36</w:t>
            </w:r>
          </w:p>
        </w:tc>
        <w:tc>
          <w:tcPr>
            <w:tcW w:w="1650" w:type="dxa"/>
            <w:vAlign w:val="center"/>
          </w:tcPr>
          <w:p>
            <w:pPr>
              <w:jc w:val="center"/>
            </w:pPr>
            <w:r>
              <w:rPr>
                <w:color w:val="000000"/>
                <w:sz w:val="24"/>
              </w:rPr>
              <w:t>300123</w:t>
            </w:r>
          </w:p>
        </w:tc>
        <w:tc>
          <w:tcPr>
            <w:tcW w:w="1980" w:type="dxa"/>
            <w:vAlign w:val="center"/>
          </w:tcPr>
          <w:p>
            <w:pPr>
              <w:jc w:val="center"/>
            </w:pPr>
            <w:r>
              <w:rPr>
                <w:color w:val="000000"/>
                <w:sz w:val="24"/>
              </w:rPr>
              <w:t>亚光科技</w:t>
            </w:r>
          </w:p>
        </w:tc>
        <w:tc>
          <w:tcPr>
            <w:tcW w:w="2880" w:type="dxa"/>
            <w:vAlign w:val="center"/>
          </w:tcPr>
          <w:p>
            <w:pPr>
              <w:jc w:val="right"/>
            </w:pPr>
            <w:r>
              <w:rPr>
                <w:color w:val="000000"/>
                <w:sz w:val="24"/>
              </w:rPr>
              <w:t>14,004,556.18</w:t>
            </w:r>
          </w:p>
        </w:tc>
        <w:tc>
          <w:tcPr>
            <w:tcW w:w="1620" w:type="dxa"/>
            <w:vAlign w:val="center"/>
          </w:tcPr>
          <w:p>
            <w:pPr>
              <w:jc w:val="right"/>
            </w:pPr>
            <w:r>
              <w:rPr>
                <w:color w:val="000000"/>
                <w:sz w:val="24"/>
              </w:rPr>
              <w:t>5.78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37</w:t>
            </w:r>
          </w:p>
        </w:tc>
        <w:tc>
          <w:tcPr>
            <w:tcW w:w="1650" w:type="dxa"/>
            <w:vAlign w:val="center"/>
          </w:tcPr>
          <w:p>
            <w:pPr>
              <w:jc w:val="center"/>
            </w:pPr>
            <w:r>
              <w:rPr>
                <w:color w:val="000000"/>
                <w:sz w:val="24"/>
              </w:rPr>
              <w:t>601318</w:t>
            </w:r>
          </w:p>
        </w:tc>
        <w:tc>
          <w:tcPr>
            <w:tcW w:w="1980" w:type="dxa"/>
            <w:vAlign w:val="center"/>
          </w:tcPr>
          <w:p>
            <w:pPr>
              <w:jc w:val="center"/>
            </w:pPr>
            <w:r>
              <w:rPr>
                <w:color w:val="000000"/>
                <w:sz w:val="24"/>
              </w:rPr>
              <w:t>中国平安</w:t>
            </w:r>
          </w:p>
        </w:tc>
        <w:tc>
          <w:tcPr>
            <w:tcW w:w="2880" w:type="dxa"/>
            <w:vAlign w:val="center"/>
          </w:tcPr>
          <w:p>
            <w:pPr>
              <w:jc w:val="right"/>
            </w:pPr>
            <w:r>
              <w:rPr>
                <w:color w:val="000000"/>
                <w:sz w:val="24"/>
              </w:rPr>
              <w:t>13,233,605.00</w:t>
            </w:r>
          </w:p>
        </w:tc>
        <w:tc>
          <w:tcPr>
            <w:tcW w:w="1620" w:type="dxa"/>
            <w:vAlign w:val="center"/>
          </w:tcPr>
          <w:p>
            <w:pPr>
              <w:jc w:val="right"/>
            </w:pPr>
            <w:r>
              <w:rPr>
                <w:color w:val="000000"/>
                <w:sz w:val="24"/>
              </w:rPr>
              <w:t>5.46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38</w:t>
            </w:r>
          </w:p>
        </w:tc>
        <w:tc>
          <w:tcPr>
            <w:tcW w:w="1650" w:type="dxa"/>
            <w:vAlign w:val="center"/>
          </w:tcPr>
          <w:p>
            <w:pPr>
              <w:jc w:val="center"/>
            </w:pPr>
            <w:r>
              <w:rPr>
                <w:color w:val="000000"/>
                <w:sz w:val="24"/>
              </w:rPr>
              <w:t>002049</w:t>
            </w:r>
          </w:p>
        </w:tc>
        <w:tc>
          <w:tcPr>
            <w:tcW w:w="1980" w:type="dxa"/>
            <w:vAlign w:val="center"/>
          </w:tcPr>
          <w:p>
            <w:pPr>
              <w:jc w:val="center"/>
            </w:pPr>
            <w:r>
              <w:rPr>
                <w:color w:val="000000"/>
                <w:sz w:val="24"/>
              </w:rPr>
              <w:t>紫光国微</w:t>
            </w:r>
          </w:p>
        </w:tc>
        <w:tc>
          <w:tcPr>
            <w:tcW w:w="2880" w:type="dxa"/>
            <w:vAlign w:val="center"/>
          </w:tcPr>
          <w:p>
            <w:pPr>
              <w:jc w:val="right"/>
            </w:pPr>
            <w:r>
              <w:rPr>
                <w:color w:val="000000"/>
                <w:sz w:val="24"/>
              </w:rPr>
              <w:t>12,906,233.96</w:t>
            </w:r>
          </w:p>
        </w:tc>
        <w:tc>
          <w:tcPr>
            <w:tcW w:w="1620" w:type="dxa"/>
            <w:vAlign w:val="center"/>
          </w:tcPr>
          <w:p>
            <w:pPr>
              <w:jc w:val="right"/>
            </w:pPr>
            <w:r>
              <w:rPr>
                <w:color w:val="000000"/>
                <w:sz w:val="24"/>
              </w:rPr>
              <w:t>5.33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39</w:t>
            </w:r>
          </w:p>
        </w:tc>
        <w:tc>
          <w:tcPr>
            <w:tcW w:w="1650" w:type="dxa"/>
            <w:vAlign w:val="center"/>
          </w:tcPr>
          <w:p>
            <w:pPr>
              <w:jc w:val="center"/>
            </w:pPr>
            <w:r>
              <w:rPr>
                <w:color w:val="000000"/>
                <w:sz w:val="24"/>
              </w:rPr>
              <w:t>000733</w:t>
            </w:r>
          </w:p>
        </w:tc>
        <w:tc>
          <w:tcPr>
            <w:tcW w:w="1980" w:type="dxa"/>
            <w:vAlign w:val="center"/>
          </w:tcPr>
          <w:p>
            <w:pPr>
              <w:jc w:val="center"/>
            </w:pPr>
            <w:r>
              <w:rPr>
                <w:color w:val="000000"/>
                <w:sz w:val="24"/>
              </w:rPr>
              <w:t>振华科技</w:t>
            </w:r>
          </w:p>
        </w:tc>
        <w:tc>
          <w:tcPr>
            <w:tcW w:w="2880" w:type="dxa"/>
            <w:vAlign w:val="center"/>
          </w:tcPr>
          <w:p>
            <w:pPr>
              <w:jc w:val="right"/>
            </w:pPr>
            <w:r>
              <w:rPr>
                <w:color w:val="000000"/>
                <w:sz w:val="24"/>
              </w:rPr>
              <w:t>12,764,480.00</w:t>
            </w:r>
          </w:p>
        </w:tc>
        <w:tc>
          <w:tcPr>
            <w:tcW w:w="1620" w:type="dxa"/>
            <w:vAlign w:val="center"/>
          </w:tcPr>
          <w:p>
            <w:pPr>
              <w:jc w:val="right"/>
            </w:pPr>
            <w:r>
              <w:rPr>
                <w:color w:val="000000"/>
                <w:sz w:val="24"/>
              </w:rPr>
              <w:t>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40</w:t>
            </w:r>
          </w:p>
        </w:tc>
        <w:tc>
          <w:tcPr>
            <w:tcW w:w="1650" w:type="dxa"/>
            <w:vAlign w:val="center"/>
          </w:tcPr>
          <w:p>
            <w:pPr>
              <w:jc w:val="center"/>
            </w:pPr>
            <w:r>
              <w:rPr>
                <w:color w:val="000000"/>
                <w:sz w:val="24"/>
              </w:rPr>
              <w:t>002236</w:t>
            </w:r>
          </w:p>
        </w:tc>
        <w:tc>
          <w:tcPr>
            <w:tcW w:w="1980" w:type="dxa"/>
            <w:vAlign w:val="center"/>
          </w:tcPr>
          <w:p>
            <w:pPr>
              <w:jc w:val="center"/>
            </w:pPr>
            <w:r>
              <w:rPr>
                <w:color w:val="000000"/>
                <w:sz w:val="24"/>
              </w:rPr>
              <w:t>大华股份</w:t>
            </w:r>
          </w:p>
        </w:tc>
        <w:tc>
          <w:tcPr>
            <w:tcW w:w="2880" w:type="dxa"/>
            <w:vAlign w:val="center"/>
          </w:tcPr>
          <w:p>
            <w:pPr>
              <w:jc w:val="right"/>
            </w:pPr>
            <w:r>
              <w:rPr>
                <w:color w:val="000000"/>
                <w:sz w:val="24"/>
              </w:rPr>
              <w:t>12,723,832.08</w:t>
            </w:r>
          </w:p>
        </w:tc>
        <w:tc>
          <w:tcPr>
            <w:tcW w:w="1620" w:type="dxa"/>
            <w:vAlign w:val="center"/>
          </w:tcPr>
          <w:p>
            <w:pPr>
              <w:jc w:val="right"/>
            </w:pPr>
            <w:r>
              <w:rPr>
                <w:color w:val="000000"/>
                <w:sz w:val="24"/>
              </w:rPr>
              <w:t>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41</w:t>
            </w:r>
          </w:p>
        </w:tc>
        <w:tc>
          <w:tcPr>
            <w:tcW w:w="1650" w:type="dxa"/>
            <w:vAlign w:val="center"/>
          </w:tcPr>
          <w:p>
            <w:pPr>
              <w:jc w:val="center"/>
            </w:pPr>
            <w:r>
              <w:rPr>
                <w:color w:val="000000"/>
                <w:sz w:val="24"/>
              </w:rPr>
              <w:t>002027</w:t>
            </w:r>
          </w:p>
        </w:tc>
        <w:tc>
          <w:tcPr>
            <w:tcW w:w="1980" w:type="dxa"/>
            <w:vAlign w:val="center"/>
          </w:tcPr>
          <w:p>
            <w:pPr>
              <w:jc w:val="center"/>
            </w:pPr>
            <w:r>
              <w:rPr>
                <w:color w:val="000000"/>
                <w:sz w:val="24"/>
              </w:rPr>
              <w:t>分众传媒</w:t>
            </w:r>
          </w:p>
        </w:tc>
        <w:tc>
          <w:tcPr>
            <w:tcW w:w="2880" w:type="dxa"/>
            <w:vAlign w:val="center"/>
          </w:tcPr>
          <w:p>
            <w:pPr>
              <w:jc w:val="right"/>
            </w:pPr>
            <w:r>
              <w:rPr>
                <w:color w:val="000000"/>
                <w:sz w:val="24"/>
              </w:rPr>
              <w:t>12,415,930.00</w:t>
            </w:r>
          </w:p>
        </w:tc>
        <w:tc>
          <w:tcPr>
            <w:tcW w:w="1620" w:type="dxa"/>
            <w:vAlign w:val="center"/>
          </w:tcPr>
          <w:p>
            <w:pPr>
              <w:jc w:val="right"/>
            </w:pPr>
            <w:r>
              <w:rPr>
                <w:color w:val="000000"/>
                <w:sz w:val="24"/>
              </w:rPr>
              <w:t>5.13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42</w:t>
            </w:r>
          </w:p>
        </w:tc>
        <w:tc>
          <w:tcPr>
            <w:tcW w:w="1650" w:type="dxa"/>
            <w:vAlign w:val="center"/>
          </w:tcPr>
          <w:p>
            <w:pPr>
              <w:jc w:val="center"/>
            </w:pPr>
            <w:r>
              <w:rPr>
                <w:color w:val="000000"/>
                <w:sz w:val="24"/>
              </w:rPr>
              <w:t>688390</w:t>
            </w:r>
          </w:p>
        </w:tc>
        <w:tc>
          <w:tcPr>
            <w:tcW w:w="1980" w:type="dxa"/>
            <w:vAlign w:val="center"/>
          </w:tcPr>
          <w:p>
            <w:pPr>
              <w:jc w:val="center"/>
            </w:pPr>
            <w:r>
              <w:rPr>
                <w:color w:val="000000"/>
                <w:sz w:val="24"/>
              </w:rPr>
              <w:t>固德威</w:t>
            </w:r>
          </w:p>
        </w:tc>
        <w:tc>
          <w:tcPr>
            <w:tcW w:w="2880" w:type="dxa"/>
            <w:vAlign w:val="center"/>
          </w:tcPr>
          <w:p>
            <w:pPr>
              <w:jc w:val="right"/>
            </w:pPr>
            <w:r>
              <w:rPr>
                <w:color w:val="000000"/>
                <w:sz w:val="24"/>
              </w:rPr>
              <w:t>11,850,111.08</w:t>
            </w:r>
          </w:p>
        </w:tc>
        <w:tc>
          <w:tcPr>
            <w:tcW w:w="1620" w:type="dxa"/>
            <w:vAlign w:val="center"/>
          </w:tcPr>
          <w:p>
            <w:pPr>
              <w:jc w:val="right"/>
            </w:pPr>
            <w:r>
              <w:rPr>
                <w:color w:val="000000"/>
                <w:sz w:val="24"/>
              </w:rPr>
              <w:t>4.89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43</w:t>
            </w:r>
          </w:p>
        </w:tc>
        <w:tc>
          <w:tcPr>
            <w:tcW w:w="1650" w:type="dxa"/>
            <w:vAlign w:val="center"/>
          </w:tcPr>
          <w:p>
            <w:pPr>
              <w:jc w:val="center"/>
            </w:pPr>
            <w:r>
              <w:rPr>
                <w:color w:val="000000"/>
                <w:sz w:val="24"/>
              </w:rPr>
              <w:t>300033</w:t>
            </w:r>
          </w:p>
        </w:tc>
        <w:tc>
          <w:tcPr>
            <w:tcW w:w="1980" w:type="dxa"/>
            <w:vAlign w:val="center"/>
          </w:tcPr>
          <w:p>
            <w:pPr>
              <w:jc w:val="center"/>
            </w:pPr>
            <w:r>
              <w:rPr>
                <w:color w:val="000000"/>
                <w:sz w:val="24"/>
              </w:rPr>
              <w:t>同花顺</w:t>
            </w:r>
          </w:p>
        </w:tc>
        <w:tc>
          <w:tcPr>
            <w:tcW w:w="2880" w:type="dxa"/>
            <w:vAlign w:val="center"/>
          </w:tcPr>
          <w:p>
            <w:pPr>
              <w:jc w:val="right"/>
            </w:pPr>
            <w:r>
              <w:rPr>
                <w:color w:val="000000"/>
                <w:sz w:val="24"/>
              </w:rPr>
              <w:t>11,824,208.56</w:t>
            </w:r>
          </w:p>
        </w:tc>
        <w:tc>
          <w:tcPr>
            <w:tcW w:w="1620" w:type="dxa"/>
            <w:vAlign w:val="center"/>
          </w:tcPr>
          <w:p>
            <w:pPr>
              <w:jc w:val="right"/>
            </w:pPr>
            <w:r>
              <w:rPr>
                <w:color w:val="000000"/>
                <w:sz w:val="24"/>
              </w:rPr>
              <w:t>4.88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44</w:t>
            </w:r>
          </w:p>
        </w:tc>
        <w:tc>
          <w:tcPr>
            <w:tcW w:w="1650" w:type="dxa"/>
            <w:vAlign w:val="center"/>
          </w:tcPr>
          <w:p>
            <w:pPr>
              <w:jc w:val="center"/>
            </w:pPr>
            <w:r>
              <w:rPr>
                <w:color w:val="000000"/>
                <w:sz w:val="24"/>
              </w:rPr>
              <w:t>300226</w:t>
            </w:r>
          </w:p>
        </w:tc>
        <w:tc>
          <w:tcPr>
            <w:tcW w:w="1980" w:type="dxa"/>
            <w:vAlign w:val="center"/>
          </w:tcPr>
          <w:p>
            <w:pPr>
              <w:jc w:val="center"/>
            </w:pPr>
            <w:r>
              <w:rPr>
                <w:color w:val="000000"/>
                <w:sz w:val="24"/>
              </w:rPr>
              <w:t>上海钢联</w:t>
            </w:r>
          </w:p>
        </w:tc>
        <w:tc>
          <w:tcPr>
            <w:tcW w:w="2880" w:type="dxa"/>
            <w:vAlign w:val="center"/>
          </w:tcPr>
          <w:p>
            <w:pPr>
              <w:jc w:val="right"/>
            </w:pPr>
            <w:r>
              <w:rPr>
                <w:color w:val="000000"/>
                <w:sz w:val="24"/>
              </w:rPr>
              <w:t>11,672,753.80</w:t>
            </w:r>
          </w:p>
        </w:tc>
        <w:tc>
          <w:tcPr>
            <w:tcW w:w="1620" w:type="dxa"/>
            <w:vAlign w:val="center"/>
          </w:tcPr>
          <w:p>
            <w:pPr>
              <w:jc w:val="right"/>
            </w:pPr>
            <w:r>
              <w:rPr>
                <w:color w:val="000000"/>
                <w:sz w:val="24"/>
              </w:rPr>
              <w:t>4.82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45</w:t>
            </w:r>
          </w:p>
        </w:tc>
        <w:tc>
          <w:tcPr>
            <w:tcW w:w="1650" w:type="dxa"/>
            <w:vAlign w:val="center"/>
          </w:tcPr>
          <w:p>
            <w:pPr>
              <w:jc w:val="center"/>
            </w:pPr>
            <w:r>
              <w:rPr>
                <w:color w:val="000000"/>
                <w:sz w:val="24"/>
              </w:rPr>
              <w:t>688012</w:t>
            </w:r>
          </w:p>
        </w:tc>
        <w:tc>
          <w:tcPr>
            <w:tcW w:w="1980" w:type="dxa"/>
            <w:vAlign w:val="center"/>
          </w:tcPr>
          <w:p>
            <w:pPr>
              <w:jc w:val="center"/>
            </w:pPr>
            <w:r>
              <w:rPr>
                <w:color w:val="000000"/>
                <w:sz w:val="24"/>
              </w:rPr>
              <w:t>中微公司</w:t>
            </w:r>
          </w:p>
        </w:tc>
        <w:tc>
          <w:tcPr>
            <w:tcW w:w="2880" w:type="dxa"/>
            <w:vAlign w:val="center"/>
          </w:tcPr>
          <w:p>
            <w:pPr>
              <w:jc w:val="right"/>
            </w:pPr>
            <w:r>
              <w:rPr>
                <w:color w:val="000000"/>
                <w:sz w:val="24"/>
              </w:rPr>
              <w:t>11,434,116.66</w:t>
            </w:r>
          </w:p>
        </w:tc>
        <w:tc>
          <w:tcPr>
            <w:tcW w:w="1620" w:type="dxa"/>
            <w:vAlign w:val="center"/>
          </w:tcPr>
          <w:p>
            <w:pPr>
              <w:jc w:val="right"/>
            </w:pPr>
            <w:r>
              <w:rPr>
                <w:color w:val="000000"/>
                <w:sz w:val="24"/>
              </w:rPr>
              <w:t>4.72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46</w:t>
            </w:r>
          </w:p>
        </w:tc>
        <w:tc>
          <w:tcPr>
            <w:tcW w:w="1650" w:type="dxa"/>
            <w:vAlign w:val="center"/>
          </w:tcPr>
          <w:p>
            <w:pPr>
              <w:jc w:val="center"/>
            </w:pPr>
            <w:r>
              <w:rPr>
                <w:color w:val="000000"/>
                <w:sz w:val="24"/>
              </w:rPr>
              <w:t>605111</w:t>
            </w:r>
          </w:p>
        </w:tc>
        <w:tc>
          <w:tcPr>
            <w:tcW w:w="1980" w:type="dxa"/>
            <w:vAlign w:val="center"/>
          </w:tcPr>
          <w:p>
            <w:pPr>
              <w:jc w:val="center"/>
            </w:pPr>
            <w:r>
              <w:rPr>
                <w:color w:val="000000"/>
                <w:sz w:val="24"/>
              </w:rPr>
              <w:t>新洁能</w:t>
            </w:r>
          </w:p>
        </w:tc>
        <w:tc>
          <w:tcPr>
            <w:tcW w:w="2880" w:type="dxa"/>
            <w:vAlign w:val="center"/>
          </w:tcPr>
          <w:p>
            <w:pPr>
              <w:jc w:val="right"/>
            </w:pPr>
            <w:r>
              <w:rPr>
                <w:color w:val="000000"/>
                <w:sz w:val="24"/>
              </w:rPr>
              <w:t>11,080,959.00</w:t>
            </w:r>
          </w:p>
        </w:tc>
        <w:tc>
          <w:tcPr>
            <w:tcW w:w="1620" w:type="dxa"/>
            <w:vAlign w:val="center"/>
          </w:tcPr>
          <w:p>
            <w:pPr>
              <w:jc w:val="right"/>
            </w:pPr>
            <w:r>
              <w:rPr>
                <w:color w:val="000000"/>
                <w:sz w:val="24"/>
              </w:rPr>
              <w:t>4.58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47</w:t>
            </w:r>
          </w:p>
        </w:tc>
        <w:tc>
          <w:tcPr>
            <w:tcW w:w="1650" w:type="dxa"/>
            <w:vAlign w:val="center"/>
          </w:tcPr>
          <w:p>
            <w:pPr>
              <w:jc w:val="center"/>
            </w:pPr>
            <w:r>
              <w:rPr>
                <w:color w:val="000000"/>
                <w:sz w:val="24"/>
              </w:rPr>
              <w:t>002372</w:t>
            </w:r>
          </w:p>
        </w:tc>
        <w:tc>
          <w:tcPr>
            <w:tcW w:w="1980" w:type="dxa"/>
            <w:vAlign w:val="center"/>
          </w:tcPr>
          <w:p>
            <w:pPr>
              <w:jc w:val="center"/>
            </w:pPr>
            <w:r>
              <w:rPr>
                <w:color w:val="000000"/>
                <w:sz w:val="24"/>
              </w:rPr>
              <w:t>伟星新材</w:t>
            </w:r>
          </w:p>
        </w:tc>
        <w:tc>
          <w:tcPr>
            <w:tcW w:w="2880" w:type="dxa"/>
            <w:vAlign w:val="center"/>
          </w:tcPr>
          <w:p>
            <w:pPr>
              <w:jc w:val="right"/>
            </w:pPr>
            <w:r>
              <w:rPr>
                <w:color w:val="000000"/>
                <w:sz w:val="24"/>
              </w:rPr>
              <w:t>11,052,930.80</w:t>
            </w:r>
          </w:p>
        </w:tc>
        <w:tc>
          <w:tcPr>
            <w:tcW w:w="1620" w:type="dxa"/>
            <w:vAlign w:val="center"/>
          </w:tcPr>
          <w:p>
            <w:pPr>
              <w:jc w:val="right"/>
            </w:pPr>
            <w:r>
              <w:rPr>
                <w:color w:val="000000"/>
                <w:sz w:val="24"/>
              </w:rPr>
              <w:t>4.56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48</w:t>
            </w:r>
          </w:p>
        </w:tc>
        <w:tc>
          <w:tcPr>
            <w:tcW w:w="1650" w:type="dxa"/>
            <w:vAlign w:val="center"/>
          </w:tcPr>
          <w:p>
            <w:pPr>
              <w:jc w:val="center"/>
            </w:pPr>
            <w:r>
              <w:rPr>
                <w:color w:val="000000"/>
                <w:sz w:val="24"/>
              </w:rPr>
              <w:t>688039</w:t>
            </w:r>
          </w:p>
        </w:tc>
        <w:tc>
          <w:tcPr>
            <w:tcW w:w="1980" w:type="dxa"/>
            <w:vAlign w:val="center"/>
          </w:tcPr>
          <w:p>
            <w:pPr>
              <w:jc w:val="center"/>
            </w:pPr>
            <w:r>
              <w:rPr>
                <w:color w:val="000000"/>
                <w:sz w:val="24"/>
              </w:rPr>
              <w:t>当虹科技</w:t>
            </w:r>
          </w:p>
        </w:tc>
        <w:tc>
          <w:tcPr>
            <w:tcW w:w="2880" w:type="dxa"/>
            <w:vAlign w:val="center"/>
          </w:tcPr>
          <w:p>
            <w:pPr>
              <w:jc w:val="right"/>
            </w:pPr>
            <w:r>
              <w:rPr>
                <w:color w:val="000000"/>
                <w:sz w:val="24"/>
              </w:rPr>
              <w:t>11,047,309.25</w:t>
            </w:r>
          </w:p>
        </w:tc>
        <w:tc>
          <w:tcPr>
            <w:tcW w:w="1620" w:type="dxa"/>
            <w:vAlign w:val="center"/>
          </w:tcPr>
          <w:p>
            <w:pPr>
              <w:jc w:val="right"/>
            </w:pPr>
            <w:r>
              <w:rPr>
                <w:color w:val="000000"/>
                <w:sz w:val="24"/>
              </w:rPr>
              <w:t>4.56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49</w:t>
            </w:r>
          </w:p>
        </w:tc>
        <w:tc>
          <w:tcPr>
            <w:tcW w:w="1650" w:type="dxa"/>
            <w:vAlign w:val="center"/>
          </w:tcPr>
          <w:p>
            <w:pPr>
              <w:jc w:val="center"/>
            </w:pPr>
            <w:r>
              <w:rPr>
                <w:color w:val="000000"/>
                <w:sz w:val="24"/>
              </w:rPr>
              <w:t>688016</w:t>
            </w:r>
          </w:p>
        </w:tc>
        <w:tc>
          <w:tcPr>
            <w:tcW w:w="1980" w:type="dxa"/>
            <w:vAlign w:val="center"/>
          </w:tcPr>
          <w:p>
            <w:pPr>
              <w:jc w:val="center"/>
            </w:pPr>
            <w:r>
              <w:rPr>
                <w:color w:val="000000"/>
                <w:sz w:val="24"/>
              </w:rPr>
              <w:t>心脉医疗</w:t>
            </w:r>
          </w:p>
        </w:tc>
        <w:tc>
          <w:tcPr>
            <w:tcW w:w="2880" w:type="dxa"/>
            <w:vAlign w:val="center"/>
          </w:tcPr>
          <w:p>
            <w:pPr>
              <w:jc w:val="right"/>
            </w:pPr>
            <w:r>
              <w:rPr>
                <w:color w:val="000000"/>
                <w:sz w:val="24"/>
              </w:rPr>
              <w:t>10,340,945.36</w:t>
            </w:r>
          </w:p>
        </w:tc>
        <w:tc>
          <w:tcPr>
            <w:tcW w:w="1620" w:type="dxa"/>
            <w:vAlign w:val="center"/>
          </w:tcPr>
          <w:p>
            <w:pPr>
              <w:jc w:val="right"/>
            </w:pPr>
            <w:r>
              <w:rPr>
                <w:color w:val="000000"/>
                <w:sz w:val="24"/>
              </w:rPr>
              <w:t>4.27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50</w:t>
            </w:r>
          </w:p>
        </w:tc>
        <w:tc>
          <w:tcPr>
            <w:tcW w:w="1650" w:type="dxa"/>
            <w:vAlign w:val="center"/>
          </w:tcPr>
          <w:p>
            <w:pPr>
              <w:jc w:val="center"/>
            </w:pPr>
            <w:r>
              <w:rPr>
                <w:color w:val="000000"/>
                <w:sz w:val="24"/>
              </w:rPr>
              <w:t>300663</w:t>
            </w:r>
          </w:p>
        </w:tc>
        <w:tc>
          <w:tcPr>
            <w:tcW w:w="1980" w:type="dxa"/>
            <w:vAlign w:val="center"/>
          </w:tcPr>
          <w:p>
            <w:pPr>
              <w:jc w:val="center"/>
            </w:pPr>
            <w:r>
              <w:rPr>
                <w:color w:val="000000"/>
                <w:sz w:val="24"/>
              </w:rPr>
              <w:t>科蓝软件</w:t>
            </w:r>
          </w:p>
        </w:tc>
        <w:tc>
          <w:tcPr>
            <w:tcW w:w="2880" w:type="dxa"/>
            <w:vAlign w:val="center"/>
          </w:tcPr>
          <w:p>
            <w:pPr>
              <w:jc w:val="right"/>
            </w:pPr>
            <w:r>
              <w:rPr>
                <w:color w:val="000000"/>
                <w:sz w:val="24"/>
              </w:rPr>
              <w:t>10,320,639.00</w:t>
            </w:r>
          </w:p>
        </w:tc>
        <w:tc>
          <w:tcPr>
            <w:tcW w:w="1620" w:type="dxa"/>
            <w:vAlign w:val="center"/>
          </w:tcPr>
          <w:p>
            <w:pPr>
              <w:jc w:val="right"/>
            </w:pPr>
            <w:r>
              <w:rPr>
                <w:color w:val="000000"/>
                <w:sz w:val="24"/>
              </w:rPr>
              <w:t>4.26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51</w:t>
            </w:r>
          </w:p>
        </w:tc>
        <w:tc>
          <w:tcPr>
            <w:tcW w:w="1650" w:type="dxa"/>
            <w:vAlign w:val="center"/>
          </w:tcPr>
          <w:p>
            <w:pPr>
              <w:jc w:val="center"/>
            </w:pPr>
            <w:r>
              <w:rPr>
                <w:color w:val="000000"/>
                <w:sz w:val="24"/>
              </w:rPr>
              <w:t>600038</w:t>
            </w:r>
          </w:p>
        </w:tc>
        <w:tc>
          <w:tcPr>
            <w:tcW w:w="1980" w:type="dxa"/>
            <w:vAlign w:val="center"/>
          </w:tcPr>
          <w:p>
            <w:pPr>
              <w:jc w:val="center"/>
            </w:pPr>
            <w:r>
              <w:rPr>
                <w:color w:val="000000"/>
                <w:sz w:val="24"/>
              </w:rPr>
              <w:t>中直股份</w:t>
            </w:r>
          </w:p>
        </w:tc>
        <w:tc>
          <w:tcPr>
            <w:tcW w:w="2880" w:type="dxa"/>
            <w:vAlign w:val="center"/>
          </w:tcPr>
          <w:p>
            <w:pPr>
              <w:jc w:val="right"/>
            </w:pPr>
            <w:r>
              <w:rPr>
                <w:color w:val="000000"/>
                <w:sz w:val="24"/>
              </w:rPr>
              <w:t>10,194,066.60</w:t>
            </w:r>
          </w:p>
        </w:tc>
        <w:tc>
          <w:tcPr>
            <w:tcW w:w="1620" w:type="dxa"/>
            <w:vAlign w:val="center"/>
          </w:tcPr>
          <w:p>
            <w:pPr>
              <w:jc w:val="right"/>
            </w:pPr>
            <w:r>
              <w:rPr>
                <w:color w:val="000000"/>
                <w:sz w:val="24"/>
              </w:rPr>
              <w:t>4.21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52</w:t>
            </w:r>
          </w:p>
        </w:tc>
        <w:tc>
          <w:tcPr>
            <w:tcW w:w="1650" w:type="dxa"/>
            <w:vAlign w:val="center"/>
          </w:tcPr>
          <w:p>
            <w:pPr>
              <w:jc w:val="center"/>
            </w:pPr>
            <w:r>
              <w:rPr>
                <w:color w:val="000000"/>
                <w:sz w:val="24"/>
              </w:rPr>
              <w:t>601155</w:t>
            </w:r>
          </w:p>
        </w:tc>
        <w:tc>
          <w:tcPr>
            <w:tcW w:w="1980" w:type="dxa"/>
            <w:vAlign w:val="center"/>
          </w:tcPr>
          <w:p>
            <w:pPr>
              <w:jc w:val="center"/>
            </w:pPr>
            <w:r>
              <w:rPr>
                <w:color w:val="000000"/>
                <w:sz w:val="24"/>
              </w:rPr>
              <w:t>新城控股</w:t>
            </w:r>
          </w:p>
        </w:tc>
        <w:tc>
          <w:tcPr>
            <w:tcW w:w="2880" w:type="dxa"/>
            <w:vAlign w:val="center"/>
          </w:tcPr>
          <w:p>
            <w:pPr>
              <w:jc w:val="right"/>
            </w:pPr>
            <w:r>
              <w:rPr>
                <w:color w:val="000000"/>
                <w:sz w:val="24"/>
              </w:rPr>
              <w:t>9,792,313.01</w:t>
            </w:r>
          </w:p>
        </w:tc>
        <w:tc>
          <w:tcPr>
            <w:tcW w:w="1620" w:type="dxa"/>
            <w:vAlign w:val="center"/>
          </w:tcPr>
          <w:p>
            <w:pPr>
              <w:jc w:val="right"/>
            </w:pPr>
            <w:r>
              <w:rPr>
                <w:color w:val="000000"/>
                <w:sz w:val="24"/>
              </w:rPr>
              <w:t>4.04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53</w:t>
            </w:r>
          </w:p>
        </w:tc>
        <w:tc>
          <w:tcPr>
            <w:tcW w:w="1650" w:type="dxa"/>
            <w:vAlign w:val="center"/>
          </w:tcPr>
          <w:p>
            <w:pPr>
              <w:jc w:val="center"/>
            </w:pPr>
            <w:r>
              <w:rPr>
                <w:color w:val="000000"/>
                <w:sz w:val="24"/>
              </w:rPr>
              <w:t>603866</w:t>
            </w:r>
          </w:p>
        </w:tc>
        <w:tc>
          <w:tcPr>
            <w:tcW w:w="1980" w:type="dxa"/>
            <w:vAlign w:val="center"/>
          </w:tcPr>
          <w:p>
            <w:pPr>
              <w:jc w:val="center"/>
            </w:pPr>
            <w:r>
              <w:rPr>
                <w:color w:val="000000"/>
                <w:sz w:val="24"/>
              </w:rPr>
              <w:t>桃李面包</w:t>
            </w:r>
          </w:p>
        </w:tc>
        <w:tc>
          <w:tcPr>
            <w:tcW w:w="2880" w:type="dxa"/>
            <w:vAlign w:val="center"/>
          </w:tcPr>
          <w:p>
            <w:pPr>
              <w:jc w:val="right"/>
            </w:pPr>
            <w:r>
              <w:rPr>
                <w:color w:val="000000"/>
                <w:sz w:val="24"/>
              </w:rPr>
              <w:t>9,731,236.10</w:t>
            </w:r>
          </w:p>
        </w:tc>
        <w:tc>
          <w:tcPr>
            <w:tcW w:w="1620" w:type="dxa"/>
            <w:vAlign w:val="center"/>
          </w:tcPr>
          <w:p>
            <w:pPr>
              <w:jc w:val="right"/>
            </w:pPr>
            <w:r>
              <w:rPr>
                <w:color w:val="000000"/>
                <w:sz w:val="24"/>
              </w:rPr>
              <w:t>4.02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54</w:t>
            </w:r>
          </w:p>
        </w:tc>
        <w:tc>
          <w:tcPr>
            <w:tcW w:w="1650" w:type="dxa"/>
            <w:vAlign w:val="center"/>
          </w:tcPr>
          <w:p>
            <w:pPr>
              <w:jc w:val="center"/>
            </w:pPr>
            <w:r>
              <w:rPr>
                <w:color w:val="000000"/>
                <w:sz w:val="24"/>
              </w:rPr>
              <w:t>002475</w:t>
            </w:r>
          </w:p>
        </w:tc>
        <w:tc>
          <w:tcPr>
            <w:tcW w:w="1980" w:type="dxa"/>
            <w:vAlign w:val="center"/>
          </w:tcPr>
          <w:p>
            <w:pPr>
              <w:jc w:val="center"/>
            </w:pPr>
            <w:r>
              <w:rPr>
                <w:color w:val="000000"/>
                <w:sz w:val="24"/>
              </w:rPr>
              <w:t>立讯精密</w:t>
            </w:r>
          </w:p>
        </w:tc>
        <w:tc>
          <w:tcPr>
            <w:tcW w:w="2880" w:type="dxa"/>
            <w:vAlign w:val="center"/>
          </w:tcPr>
          <w:p>
            <w:pPr>
              <w:jc w:val="right"/>
            </w:pPr>
            <w:r>
              <w:rPr>
                <w:color w:val="000000"/>
                <w:sz w:val="24"/>
              </w:rPr>
              <w:t>9,706,432.22</w:t>
            </w:r>
          </w:p>
        </w:tc>
        <w:tc>
          <w:tcPr>
            <w:tcW w:w="1620" w:type="dxa"/>
            <w:vAlign w:val="center"/>
          </w:tcPr>
          <w:p>
            <w:pPr>
              <w:jc w:val="right"/>
            </w:pPr>
            <w:r>
              <w:rPr>
                <w:color w:val="000000"/>
                <w:sz w:val="24"/>
              </w:rPr>
              <w:t>4.01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55</w:t>
            </w:r>
          </w:p>
        </w:tc>
        <w:tc>
          <w:tcPr>
            <w:tcW w:w="1650" w:type="dxa"/>
            <w:vAlign w:val="center"/>
          </w:tcPr>
          <w:p>
            <w:pPr>
              <w:jc w:val="center"/>
            </w:pPr>
            <w:r>
              <w:rPr>
                <w:color w:val="000000"/>
                <w:sz w:val="24"/>
              </w:rPr>
              <w:t>300016</w:t>
            </w:r>
          </w:p>
        </w:tc>
        <w:tc>
          <w:tcPr>
            <w:tcW w:w="1980" w:type="dxa"/>
            <w:vAlign w:val="center"/>
          </w:tcPr>
          <w:p>
            <w:pPr>
              <w:jc w:val="center"/>
            </w:pPr>
            <w:r>
              <w:rPr>
                <w:color w:val="000000"/>
                <w:sz w:val="24"/>
              </w:rPr>
              <w:t>北陆药业</w:t>
            </w:r>
          </w:p>
        </w:tc>
        <w:tc>
          <w:tcPr>
            <w:tcW w:w="2880" w:type="dxa"/>
            <w:vAlign w:val="center"/>
          </w:tcPr>
          <w:p>
            <w:pPr>
              <w:jc w:val="right"/>
            </w:pPr>
            <w:r>
              <w:rPr>
                <w:color w:val="000000"/>
                <w:sz w:val="24"/>
              </w:rPr>
              <w:t>9,534,168.85</w:t>
            </w:r>
          </w:p>
        </w:tc>
        <w:tc>
          <w:tcPr>
            <w:tcW w:w="1620" w:type="dxa"/>
            <w:vAlign w:val="center"/>
          </w:tcPr>
          <w:p>
            <w:pPr>
              <w:jc w:val="right"/>
            </w:pPr>
            <w:r>
              <w:rPr>
                <w:color w:val="000000"/>
                <w:sz w:val="24"/>
              </w:rPr>
              <w:t>3.94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56</w:t>
            </w:r>
          </w:p>
        </w:tc>
        <w:tc>
          <w:tcPr>
            <w:tcW w:w="1650" w:type="dxa"/>
            <w:vAlign w:val="center"/>
          </w:tcPr>
          <w:p>
            <w:pPr>
              <w:jc w:val="center"/>
            </w:pPr>
            <w:r>
              <w:rPr>
                <w:color w:val="000000"/>
                <w:sz w:val="24"/>
              </w:rPr>
              <w:t>688006</w:t>
            </w:r>
          </w:p>
        </w:tc>
        <w:tc>
          <w:tcPr>
            <w:tcW w:w="1980" w:type="dxa"/>
            <w:vAlign w:val="center"/>
          </w:tcPr>
          <w:p>
            <w:pPr>
              <w:jc w:val="center"/>
            </w:pPr>
            <w:r>
              <w:rPr>
                <w:color w:val="000000"/>
                <w:sz w:val="24"/>
              </w:rPr>
              <w:t>杭可科技</w:t>
            </w:r>
          </w:p>
        </w:tc>
        <w:tc>
          <w:tcPr>
            <w:tcW w:w="2880" w:type="dxa"/>
            <w:vAlign w:val="center"/>
          </w:tcPr>
          <w:p>
            <w:pPr>
              <w:jc w:val="right"/>
            </w:pPr>
            <w:r>
              <w:rPr>
                <w:color w:val="000000"/>
                <w:sz w:val="24"/>
              </w:rPr>
              <w:t>9,053,340.60</w:t>
            </w:r>
          </w:p>
        </w:tc>
        <w:tc>
          <w:tcPr>
            <w:tcW w:w="1620" w:type="dxa"/>
            <w:vAlign w:val="center"/>
          </w:tcPr>
          <w:p>
            <w:pPr>
              <w:jc w:val="right"/>
            </w:pPr>
            <w:r>
              <w:rPr>
                <w:color w:val="000000"/>
                <w:sz w:val="24"/>
              </w:rPr>
              <w:t>3.74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57</w:t>
            </w:r>
          </w:p>
        </w:tc>
        <w:tc>
          <w:tcPr>
            <w:tcW w:w="1650" w:type="dxa"/>
            <w:vAlign w:val="center"/>
          </w:tcPr>
          <w:p>
            <w:pPr>
              <w:jc w:val="center"/>
            </w:pPr>
            <w:r>
              <w:rPr>
                <w:color w:val="000000"/>
                <w:sz w:val="24"/>
              </w:rPr>
              <w:t>300787</w:t>
            </w:r>
          </w:p>
        </w:tc>
        <w:tc>
          <w:tcPr>
            <w:tcW w:w="1980" w:type="dxa"/>
            <w:vAlign w:val="center"/>
          </w:tcPr>
          <w:p>
            <w:pPr>
              <w:jc w:val="center"/>
            </w:pPr>
            <w:r>
              <w:rPr>
                <w:color w:val="000000"/>
                <w:sz w:val="24"/>
              </w:rPr>
              <w:t>海能实业</w:t>
            </w:r>
          </w:p>
        </w:tc>
        <w:tc>
          <w:tcPr>
            <w:tcW w:w="2880" w:type="dxa"/>
            <w:vAlign w:val="center"/>
          </w:tcPr>
          <w:p>
            <w:pPr>
              <w:jc w:val="right"/>
            </w:pPr>
            <w:r>
              <w:rPr>
                <w:color w:val="000000"/>
                <w:sz w:val="24"/>
              </w:rPr>
              <w:t>8,976,485.50</w:t>
            </w:r>
          </w:p>
        </w:tc>
        <w:tc>
          <w:tcPr>
            <w:tcW w:w="1620" w:type="dxa"/>
            <w:vAlign w:val="center"/>
          </w:tcPr>
          <w:p>
            <w:pPr>
              <w:jc w:val="right"/>
            </w:pPr>
            <w:r>
              <w:rPr>
                <w:color w:val="000000"/>
                <w:sz w:val="24"/>
              </w:rPr>
              <w:t>3.71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58</w:t>
            </w:r>
          </w:p>
        </w:tc>
        <w:tc>
          <w:tcPr>
            <w:tcW w:w="1650" w:type="dxa"/>
            <w:vAlign w:val="center"/>
          </w:tcPr>
          <w:p>
            <w:pPr>
              <w:jc w:val="center"/>
            </w:pPr>
            <w:r>
              <w:rPr>
                <w:color w:val="000000"/>
                <w:sz w:val="24"/>
              </w:rPr>
              <w:t>603039</w:t>
            </w:r>
          </w:p>
        </w:tc>
        <w:tc>
          <w:tcPr>
            <w:tcW w:w="1980" w:type="dxa"/>
            <w:vAlign w:val="center"/>
          </w:tcPr>
          <w:p>
            <w:pPr>
              <w:jc w:val="center"/>
            </w:pPr>
            <w:r>
              <w:rPr>
                <w:color w:val="000000"/>
                <w:sz w:val="24"/>
              </w:rPr>
              <w:t>泛微网络</w:t>
            </w:r>
          </w:p>
        </w:tc>
        <w:tc>
          <w:tcPr>
            <w:tcW w:w="2880" w:type="dxa"/>
            <w:vAlign w:val="center"/>
          </w:tcPr>
          <w:p>
            <w:pPr>
              <w:jc w:val="right"/>
            </w:pPr>
            <w:r>
              <w:rPr>
                <w:color w:val="000000"/>
                <w:sz w:val="24"/>
              </w:rPr>
              <w:t>8,963,161.54</w:t>
            </w:r>
          </w:p>
        </w:tc>
        <w:tc>
          <w:tcPr>
            <w:tcW w:w="1620" w:type="dxa"/>
            <w:vAlign w:val="center"/>
          </w:tcPr>
          <w:p>
            <w:pPr>
              <w:jc w:val="right"/>
            </w:pPr>
            <w:r>
              <w:rPr>
                <w:color w:val="000000"/>
                <w:sz w:val="24"/>
              </w:rPr>
              <w:t>3.70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59</w:t>
            </w:r>
          </w:p>
        </w:tc>
        <w:tc>
          <w:tcPr>
            <w:tcW w:w="1650" w:type="dxa"/>
            <w:vAlign w:val="center"/>
          </w:tcPr>
          <w:p>
            <w:pPr>
              <w:jc w:val="center"/>
            </w:pPr>
            <w:r>
              <w:rPr>
                <w:color w:val="000000"/>
                <w:sz w:val="24"/>
              </w:rPr>
              <w:t>601288</w:t>
            </w:r>
          </w:p>
        </w:tc>
        <w:tc>
          <w:tcPr>
            <w:tcW w:w="1980" w:type="dxa"/>
            <w:vAlign w:val="center"/>
          </w:tcPr>
          <w:p>
            <w:pPr>
              <w:jc w:val="center"/>
            </w:pPr>
            <w:r>
              <w:rPr>
                <w:color w:val="000000"/>
                <w:sz w:val="24"/>
              </w:rPr>
              <w:t>农业银行</w:t>
            </w:r>
          </w:p>
        </w:tc>
        <w:tc>
          <w:tcPr>
            <w:tcW w:w="2880" w:type="dxa"/>
            <w:vAlign w:val="center"/>
          </w:tcPr>
          <w:p>
            <w:pPr>
              <w:jc w:val="right"/>
            </w:pPr>
            <w:r>
              <w:rPr>
                <w:color w:val="000000"/>
                <w:sz w:val="24"/>
              </w:rPr>
              <w:t>8,547,244.00</w:t>
            </w:r>
          </w:p>
        </w:tc>
        <w:tc>
          <w:tcPr>
            <w:tcW w:w="1620" w:type="dxa"/>
            <w:vAlign w:val="center"/>
          </w:tcPr>
          <w:p>
            <w:pPr>
              <w:jc w:val="right"/>
            </w:pPr>
            <w:r>
              <w:rPr>
                <w:color w:val="000000"/>
                <w:sz w:val="24"/>
              </w:rPr>
              <w:t>3.53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60</w:t>
            </w:r>
          </w:p>
        </w:tc>
        <w:tc>
          <w:tcPr>
            <w:tcW w:w="1650" w:type="dxa"/>
            <w:vAlign w:val="center"/>
          </w:tcPr>
          <w:p>
            <w:pPr>
              <w:jc w:val="center"/>
            </w:pPr>
            <w:r>
              <w:rPr>
                <w:color w:val="000000"/>
                <w:sz w:val="24"/>
              </w:rPr>
              <w:t>600519</w:t>
            </w:r>
          </w:p>
        </w:tc>
        <w:tc>
          <w:tcPr>
            <w:tcW w:w="1980" w:type="dxa"/>
            <w:vAlign w:val="center"/>
          </w:tcPr>
          <w:p>
            <w:pPr>
              <w:jc w:val="center"/>
            </w:pPr>
            <w:r>
              <w:rPr>
                <w:color w:val="000000"/>
                <w:sz w:val="24"/>
              </w:rPr>
              <w:t>贵州茅台</w:t>
            </w:r>
          </w:p>
        </w:tc>
        <w:tc>
          <w:tcPr>
            <w:tcW w:w="2880" w:type="dxa"/>
            <w:vAlign w:val="center"/>
          </w:tcPr>
          <w:p>
            <w:pPr>
              <w:jc w:val="right"/>
            </w:pPr>
            <w:r>
              <w:rPr>
                <w:color w:val="000000"/>
                <w:sz w:val="24"/>
              </w:rPr>
              <w:t>8,358,097.00</w:t>
            </w:r>
          </w:p>
        </w:tc>
        <w:tc>
          <w:tcPr>
            <w:tcW w:w="1620" w:type="dxa"/>
            <w:vAlign w:val="center"/>
          </w:tcPr>
          <w:p>
            <w:pPr>
              <w:jc w:val="right"/>
            </w:pPr>
            <w:r>
              <w:rPr>
                <w:color w:val="000000"/>
                <w:sz w:val="24"/>
              </w:rPr>
              <w:t>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61</w:t>
            </w:r>
          </w:p>
        </w:tc>
        <w:tc>
          <w:tcPr>
            <w:tcW w:w="1650" w:type="dxa"/>
            <w:vAlign w:val="center"/>
          </w:tcPr>
          <w:p>
            <w:pPr>
              <w:jc w:val="center"/>
            </w:pPr>
            <w:r>
              <w:rPr>
                <w:color w:val="000000"/>
                <w:sz w:val="24"/>
              </w:rPr>
              <w:t>000910</w:t>
            </w:r>
          </w:p>
        </w:tc>
        <w:tc>
          <w:tcPr>
            <w:tcW w:w="1980" w:type="dxa"/>
            <w:vAlign w:val="center"/>
          </w:tcPr>
          <w:p>
            <w:pPr>
              <w:jc w:val="center"/>
            </w:pPr>
            <w:r>
              <w:rPr>
                <w:color w:val="000000"/>
                <w:sz w:val="24"/>
              </w:rPr>
              <w:t>大亚圣象</w:t>
            </w:r>
          </w:p>
        </w:tc>
        <w:tc>
          <w:tcPr>
            <w:tcW w:w="2880" w:type="dxa"/>
            <w:vAlign w:val="center"/>
          </w:tcPr>
          <w:p>
            <w:pPr>
              <w:jc w:val="right"/>
            </w:pPr>
            <w:r>
              <w:rPr>
                <w:color w:val="000000"/>
                <w:sz w:val="24"/>
              </w:rPr>
              <w:t>8,243,251.90</w:t>
            </w:r>
          </w:p>
        </w:tc>
        <w:tc>
          <w:tcPr>
            <w:tcW w:w="1620" w:type="dxa"/>
            <w:vAlign w:val="center"/>
          </w:tcPr>
          <w:p>
            <w:pPr>
              <w:jc w:val="right"/>
            </w:pPr>
            <w:r>
              <w:rPr>
                <w:color w:val="000000"/>
                <w:sz w:val="24"/>
              </w:rPr>
              <w:t>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62</w:t>
            </w:r>
          </w:p>
        </w:tc>
        <w:tc>
          <w:tcPr>
            <w:tcW w:w="1650" w:type="dxa"/>
            <w:vAlign w:val="center"/>
          </w:tcPr>
          <w:p>
            <w:pPr>
              <w:jc w:val="center"/>
            </w:pPr>
            <w:r>
              <w:rPr>
                <w:color w:val="000000"/>
                <w:sz w:val="24"/>
              </w:rPr>
              <w:t>600089</w:t>
            </w:r>
          </w:p>
        </w:tc>
        <w:tc>
          <w:tcPr>
            <w:tcW w:w="1980" w:type="dxa"/>
            <w:vAlign w:val="center"/>
          </w:tcPr>
          <w:p>
            <w:pPr>
              <w:jc w:val="center"/>
            </w:pPr>
            <w:r>
              <w:rPr>
                <w:color w:val="000000"/>
                <w:sz w:val="24"/>
              </w:rPr>
              <w:t>特变电工</w:t>
            </w:r>
          </w:p>
        </w:tc>
        <w:tc>
          <w:tcPr>
            <w:tcW w:w="2880" w:type="dxa"/>
            <w:vAlign w:val="center"/>
          </w:tcPr>
          <w:p>
            <w:pPr>
              <w:jc w:val="right"/>
            </w:pPr>
            <w:r>
              <w:rPr>
                <w:color w:val="000000"/>
                <w:sz w:val="24"/>
              </w:rPr>
              <w:t>8,116,285.78</w:t>
            </w:r>
          </w:p>
        </w:tc>
        <w:tc>
          <w:tcPr>
            <w:tcW w:w="1620" w:type="dxa"/>
            <w:vAlign w:val="center"/>
          </w:tcPr>
          <w:p>
            <w:pPr>
              <w:jc w:val="right"/>
            </w:pPr>
            <w:r>
              <w:rPr>
                <w:color w:val="000000"/>
                <w:sz w:val="24"/>
              </w:rPr>
              <w:t>3.35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63</w:t>
            </w:r>
          </w:p>
        </w:tc>
        <w:tc>
          <w:tcPr>
            <w:tcW w:w="1650" w:type="dxa"/>
            <w:vAlign w:val="center"/>
          </w:tcPr>
          <w:p>
            <w:pPr>
              <w:jc w:val="center"/>
            </w:pPr>
            <w:r>
              <w:rPr>
                <w:color w:val="000000"/>
                <w:sz w:val="24"/>
              </w:rPr>
              <w:t>002993</w:t>
            </w:r>
          </w:p>
        </w:tc>
        <w:tc>
          <w:tcPr>
            <w:tcW w:w="1980" w:type="dxa"/>
            <w:vAlign w:val="center"/>
          </w:tcPr>
          <w:p>
            <w:pPr>
              <w:jc w:val="center"/>
            </w:pPr>
            <w:r>
              <w:rPr>
                <w:color w:val="000000"/>
                <w:sz w:val="24"/>
              </w:rPr>
              <w:t>奥海科技</w:t>
            </w:r>
          </w:p>
        </w:tc>
        <w:tc>
          <w:tcPr>
            <w:tcW w:w="2880" w:type="dxa"/>
            <w:vAlign w:val="center"/>
          </w:tcPr>
          <w:p>
            <w:pPr>
              <w:jc w:val="right"/>
            </w:pPr>
            <w:r>
              <w:rPr>
                <w:color w:val="000000"/>
                <w:sz w:val="24"/>
              </w:rPr>
              <w:t>8,054,628.50</w:t>
            </w:r>
          </w:p>
        </w:tc>
        <w:tc>
          <w:tcPr>
            <w:tcW w:w="1620" w:type="dxa"/>
            <w:vAlign w:val="center"/>
          </w:tcPr>
          <w:p>
            <w:pPr>
              <w:jc w:val="right"/>
            </w:pPr>
            <w:r>
              <w:rPr>
                <w:color w:val="000000"/>
                <w:sz w:val="24"/>
              </w:rPr>
              <w:t>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64</w:t>
            </w:r>
          </w:p>
        </w:tc>
        <w:tc>
          <w:tcPr>
            <w:tcW w:w="1650" w:type="dxa"/>
            <w:vAlign w:val="center"/>
          </w:tcPr>
          <w:p>
            <w:pPr>
              <w:jc w:val="center"/>
            </w:pPr>
            <w:r>
              <w:rPr>
                <w:color w:val="000000"/>
                <w:sz w:val="24"/>
              </w:rPr>
              <w:t>688981</w:t>
            </w:r>
          </w:p>
        </w:tc>
        <w:tc>
          <w:tcPr>
            <w:tcW w:w="1980" w:type="dxa"/>
            <w:vAlign w:val="center"/>
          </w:tcPr>
          <w:p>
            <w:pPr>
              <w:jc w:val="center"/>
            </w:pPr>
            <w:r>
              <w:rPr>
                <w:color w:val="000000"/>
                <w:sz w:val="24"/>
              </w:rPr>
              <w:t>中芯国际</w:t>
            </w:r>
          </w:p>
        </w:tc>
        <w:tc>
          <w:tcPr>
            <w:tcW w:w="2880" w:type="dxa"/>
            <w:vAlign w:val="center"/>
          </w:tcPr>
          <w:p>
            <w:pPr>
              <w:jc w:val="right"/>
            </w:pPr>
            <w:r>
              <w:rPr>
                <w:color w:val="000000"/>
                <w:sz w:val="24"/>
              </w:rPr>
              <w:t>8,038,813.05</w:t>
            </w:r>
          </w:p>
        </w:tc>
        <w:tc>
          <w:tcPr>
            <w:tcW w:w="1620" w:type="dxa"/>
            <w:vAlign w:val="center"/>
          </w:tcPr>
          <w:p>
            <w:pPr>
              <w:jc w:val="right"/>
            </w:pPr>
            <w:r>
              <w:rPr>
                <w:color w:val="000000"/>
                <w:sz w:val="24"/>
              </w:rPr>
              <w:t>3.32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65</w:t>
            </w:r>
          </w:p>
        </w:tc>
        <w:tc>
          <w:tcPr>
            <w:tcW w:w="1650" w:type="dxa"/>
            <w:vAlign w:val="center"/>
          </w:tcPr>
          <w:p>
            <w:pPr>
              <w:jc w:val="center"/>
            </w:pPr>
            <w:r>
              <w:rPr>
                <w:color w:val="000000"/>
                <w:sz w:val="24"/>
              </w:rPr>
              <w:t>600887</w:t>
            </w:r>
          </w:p>
        </w:tc>
        <w:tc>
          <w:tcPr>
            <w:tcW w:w="1980" w:type="dxa"/>
            <w:vAlign w:val="center"/>
          </w:tcPr>
          <w:p>
            <w:pPr>
              <w:jc w:val="center"/>
            </w:pPr>
            <w:r>
              <w:rPr>
                <w:color w:val="000000"/>
                <w:sz w:val="24"/>
              </w:rPr>
              <w:t>伊利股份</w:t>
            </w:r>
          </w:p>
        </w:tc>
        <w:tc>
          <w:tcPr>
            <w:tcW w:w="2880" w:type="dxa"/>
            <w:vAlign w:val="center"/>
          </w:tcPr>
          <w:p>
            <w:pPr>
              <w:jc w:val="right"/>
            </w:pPr>
            <w:r>
              <w:rPr>
                <w:color w:val="000000"/>
                <w:sz w:val="24"/>
              </w:rPr>
              <w:t>8,025,720.00</w:t>
            </w:r>
          </w:p>
        </w:tc>
        <w:tc>
          <w:tcPr>
            <w:tcW w:w="1620" w:type="dxa"/>
            <w:vAlign w:val="center"/>
          </w:tcPr>
          <w:p>
            <w:pPr>
              <w:jc w:val="right"/>
            </w:pPr>
            <w:r>
              <w:rPr>
                <w:color w:val="000000"/>
                <w:sz w:val="24"/>
              </w:rPr>
              <w:t>3.31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66</w:t>
            </w:r>
          </w:p>
        </w:tc>
        <w:tc>
          <w:tcPr>
            <w:tcW w:w="1650" w:type="dxa"/>
            <w:vAlign w:val="center"/>
          </w:tcPr>
          <w:p>
            <w:pPr>
              <w:jc w:val="center"/>
            </w:pPr>
            <w:r>
              <w:rPr>
                <w:color w:val="000000"/>
                <w:sz w:val="24"/>
              </w:rPr>
              <w:t>688180</w:t>
            </w:r>
          </w:p>
        </w:tc>
        <w:tc>
          <w:tcPr>
            <w:tcW w:w="1980" w:type="dxa"/>
            <w:vAlign w:val="center"/>
          </w:tcPr>
          <w:p>
            <w:pPr>
              <w:jc w:val="center"/>
            </w:pPr>
            <w:r>
              <w:rPr>
                <w:color w:val="000000"/>
                <w:sz w:val="24"/>
              </w:rPr>
              <w:t>君实生物</w:t>
            </w:r>
          </w:p>
        </w:tc>
        <w:tc>
          <w:tcPr>
            <w:tcW w:w="2880" w:type="dxa"/>
            <w:vAlign w:val="center"/>
          </w:tcPr>
          <w:p>
            <w:pPr>
              <w:jc w:val="right"/>
            </w:pPr>
            <w:r>
              <w:rPr>
                <w:color w:val="000000"/>
                <w:sz w:val="24"/>
              </w:rPr>
              <w:t>7,768,308.50</w:t>
            </w:r>
          </w:p>
        </w:tc>
        <w:tc>
          <w:tcPr>
            <w:tcW w:w="1620" w:type="dxa"/>
            <w:vAlign w:val="center"/>
          </w:tcPr>
          <w:p>
            <w:pPr>
              <w:jc w:val="right"/>
            </w:pPr>
            <w:r>
              <w:rPr>
                <w:color w:val="000000"/>
                <w:sz w:val="24"/>
              </w:rPr>
              <w:t>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67</w:t>
            </w:r>
          </w:p>
        </w:tc>
        <w:tc>
          <w:tcPr>
            <w:tcW w:w="1650" w:type="dxa"/>
            <w:vAlign w:val="center"/>
          </w:tcPr>
          <w:p>
            <w:pPr>
              <w:jc w:val="center"/>
            </w:pPr>
            <w:r>
              <w:rPr>
                <w:color w:val="000000"/>
                <w:sz w:val="24"/>
              </w:rPr>
              <w:t>000656</w:t>
            </w:r>
          </w:p>
        </w:tc>
        <w:tc>
          <w:tcPr>
            <w:tcW w:w="1980" w:type="dxa"/>
            <w:vAlign w:val="center"/>
          </w:tcPr>
          <w:p>
            <w:pPr>
              <w:jc w:val="center"/>
            </w:pPr>
            <w:r>
              <w:rPr>
                <w:color w:val="000000"/>
                <w:sz w:val="24"/>
              </w:rPr>
              <w:t>金科股份</w:t>
            </w:r>
          </w:p>
        </w:tc>
        <w:tc>
          <w:tcPr>
            <w:tcW w:w="2880" w:type="dxa"/>
            <w:vAlign w:val="center"/>
          </w:tcPr>
          <w:p>
            <w:pPr>
              <w:jc w:val="right"/>
            </w:pPr>
            <w:r>
              <w:rPr>
                <w:color w:val="000000"/>
                <w:sz w:val="24"/>
              </w:rPr>
              <w:t>7,727,960.00</w:t>
            </w:r>
          </w:p>
        </w:tc>
        <w:tc>
          <w:tcPr>
            <w:tcW w:w="1620" w:type="dxa"/>
            <w:vAlign w:val="center"/>
          </w:tcPr>
          <w:p>
            <w:pPr>
              <w:jc w:val="right"/>
            </w:pPr>
            <w:r>
              <w:rPr>
                <w:color w:val="000000"/>
                <w:sz w:val="24"/>
              </w:rPr>
              <w:t>3.19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68</w:t>
            </w:r>
          </w:p>
        </w:tc>
        <w:tc>
          <w:tcPr>
            <w:tcW w:w="1650" w:type="dxa"/>
            <w:vAlign w:val="center"/>
          </w:tcPr>
          <w:p>
            <w:pPr>
              <w:jc w:val="center"/>
            </w:pPr>
            <w:r>
              <w:rPr>
                <w:color w:val="000000"/>
                <w:sz w:val="24"/>
              </w:rPr>
              <w:t>002458</w:t>
            </w:r>
          </w:p>
        </w:tc>
        <w:tc>
          <w:tcPr>
            <w:tcW w:w="1980" w:type="dxa"/>
            <w:vAlign w:val="center"/>
          </w:tcPr>
          <w:p>
            <w:pPr>
              <w:jc w:val="center"/>
            </w:pPr>
            <w:r>
              <w:rPr>
                <w:color w:val="000000"/>
                <w:sz w:val="24"/>
              </w:rPr>
              <w:t>益生股份</w:t>
            </w:r>
          </w:p>
        </w:tc>
        <w:tc>
          <w:tcPr>
            <w:tcW w:w="2880" w:type="dxa"/>
            <w:vAlign w:val="center"/>
          </w:tcPr>
          <w:p>
            <w:pPr>
              <w:jc w:val="right"/>
            </w:pPr>
            <w:r>
              <w:rPr>
                <w:color w:val="000000"/>
                <w:sz w:val="24"/>
              </w:rPr>
              <w:t>7,450,442.00</w:t>
            </w:r>
          </w:p>
        </w:tc>
        <w:tc>
          <w:tcPr>
            <w:tcW w:w="1620" w:type="dxa"/>
            <w:vAlign w:val="center"/>
          </w:tcPr>
          <w:p>
            <w:pPr>
              <w:jc w:val="right"/>
            </w:pPr>
            <w:r>
              <w:rPr>
                <w:color w:val="000000"/>
                <w:sz w:val="24"/>
              </w:rPr>
              <w:t>3.08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69</w:t>
            </w:r>
          </w:p>
        </w:tc>
        <w:tc>
          <w:tcPr>
            <w:tcW w:w="1650" w:type="dxa"/>
            <w:vAlign w:val="center"/>
          </w:tcPr>
          <w:p>
            <w:pPr>
              <w:jc w:val="center"/>
            </w:pPr>
            <w:r>
              <w:rPr>
                <w:color w:val="000000"/>
                <w:sz w:val="24"/>
              </w:rPr>
              <w:t>688007</w:t>
            </w:r>
          </w:p>
        </w:tc>
        <w:tc>
          <w:tcPr>
            <w:tcW w:w="1980" w:type="dxa"/>
            <w:vAlign w:val="center"/>
          </w:tcPr>
          <w:p>
            <w:pPr>
              <w:jc w:val="center"/>
            </w:pPr>
            <w:r>
              <w:rPr>
                <w:color w:val="000000"/>
                <w:sz w:val="24"/>
              </w:rPr>
              <w:t>光峰科技</w:t>
            </w:r>
          </w:p>
        </w:tc>
        <w:tc>
          <w:tcPr>
            <w:tcW w:w="2880" w:type="dxa"/>
            <w:vAlign w:val="center"/>
          </w:tcPr>
          <w:p>
            <w:pPr>
              <w:jc w:val="right"/>
            </w:pPr>
            <w:r>
              <w:rPr>
                <w:color w:val="000000"/>
                <w:sz w:val="24"/>
              </w:rPr>
              <w:t>7,353,663.53</w:t>
            </w:r>
          </w:p>
        </w:tc>
        <w:tc>
          <w:tcPr>
            <w:tcW w:w="1620" w:type="dxa"/>
            <w:vAlign w:val="center"/>
          </w:tcPr>
          <w:p>
            <w:pPr>
              <w:jc w:val="right"/>
            </w:pPr>
            <w:r>
              <w:rPr>
                <w:color w:val="000000"/>
                <w:sz w:val="24"/>
              </w:rPr>
              <w:t>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70</w:t>
            </w:r>
          </w:p>
        </w:tc>
        <w:tc>
          <w:tcPr>
            <w:tcW w:w="1650" w:type="dxa"/>
            <w:vAlign w:val="center"/>
          </w:tcPr>
          <w:p>
            <w:pPr>
              <w:jc w:val="center"/>
            </w:pPr>
            <w:r>
              <w:rPr>
                <w:color w:val="000000"/>
                <w:sz w:val="24"/>
              </w:rPr>
              <w:t>688066</w:t>
            </w:r>
          </w:p>
        </w:tc>
        <w:tc>
          <w:tcPr>
            <w:tcW w:w="1980" w:type="dxa"/>
            <w:vAlign w:val="center"/>
          </w:tcPr>
          <w:p>
            <w:pPr>
              <w:jc w:val="center"/>
            </w:pPr>
            <w:r>
              <w:rPr>
                <w:color w:val="000000"/>
                <w:sz w:val="24"/>
              </w:rPr>
              <w:t>航天宏图</w:t>
            </w:r>
          </w:p>
        </w:tc>
        <w:tc>
          <w:tcPr>
            <w:tcW w:w="2880" w:type="dxa"/>
            <w:vAlign w:val="center"/>
          </w:tcPr>
          <w:p>
            <w:pPr>
              <w:jc w:val="right"/>
            </w:pPr>
            <w:r>
              <w:rPr>
                <w:color w:val="000000"/>
                <w:sz w:val="24"/>
              </w:rPr>
              <w:t>7,319,785.21</w:t>
            </w:r>
          </w:p>
        </w:tc>
        <w:tc>
          <w:tcPr>
            <w:tcW w:w="1620" w:type="dxa"/>
            <w:vAlign w:val="center"/>
          </w:tcPr>
          <w:p>
            <w:pPr>
              <w:jc w:val="right"/>
            </w:pPr>
            <w:r>
              <w:rPr>
                <w:color w:val="000000"/>
                <w:sz w:val="24"/>
              </w:rPr>
              <w:t>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71</w:t>
            </w:r>
          </w:p>
        </w:tc>
        <w:tc>
          <w:tcPr>
            <w:tcW w:w="1650" w:type="dxa"/>
            <w:vAlign w:val="center"/>
          </w:tcPr>
          <w:p>
            <w:pPr>
              <w:jc w:val="center"/>
            </w:pPr>
            <w:r>
              <w:rPr>
                <w:color w:val="000000"/>
                <w:sz w:val="24"/>
              </w:rPr>
              <w:t>300450</w:t>
            </w:r>
          </w:p>
        </w:tc>
        <w:tc>
          <w:tcPr>
            <w:tcW w:w="1980" w:type="dxa"/>
            <w:vAlign w:val="center"/>
          </w:tcPr>
          <w:p>
            <w:pPr>
              <w:jc w:val="center"/>
            </w:pPr>
            <w:r>
              <w:rPr>
                <w:color w:val="000000"/>
                <w:sz w:val="24"/>
              </w:rPr>
              <w:t>先导智能</w:t>
            </w:r>
          </w:p>
        </w:tc>
        <w:tc>
          <w:tcPr>
            <w:tcW w:w="2880" w:type="dxa"/>
            <w:vAlign w:val="center"/>
          </w:tcPr>
          <w:p>
            <w:pPr>
              <w:jc w:val="right"/>
            </w:pPr>
            <w:r>
              <w:rPr>
                <w:color w:val="000000"/>
                <w:sz w:val="24"/>
              </w:rPr>
              <w:t>7,256,168.09</w:t>
            </w:r>
          </w:p>
        </w:tc>
        <w:tc>
          <w:tcPr>
            <w:tcW w:w="1620" w:type="dxa"/>
            <w:vAlign w:val="center"/>
          </w:tcPr>
          <w:p>
            <w:pPr>
              <w:jc w:val="right"/>
            </w:pPr>
            <w:r>
              <w:rPr>
                <w:color w:val="000000"/>
                <w:sz w:val="24"/>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72</w:t>
            </w:r>
          </w:p>
        </w:tc>
        <w:tc>
          <w:tcPr>
            <w:tcW w:w="1650" w:type="dxa"/>
            <w:vAlign w:val="center"/>
          </w:tcPr>
          <w:p>
            <w:pPr>
              <w:jc w:val="center"/>
            </w:pPr>
            <w:r>
              <w:rPr>
                <w:color w:val="000000"/>
                <w:sz w:val="24"/>
              </w:rPr>
              <w:t>600258</w:t>
            </w:r>
          </w:p>
        </w:tc>
        <w:tc>
          <w:tcPr>
            <w:tcW w:w="1980" w:type="dxa"/>
            <w:vAlign w:val="center"/>
          </w:tcPr>
          <w:p>
            <w:pPr>
              <w:jc w:val="center"/>
            </w:pPr>
            <w:r>
              <w:rPr>
                <w:color w:val="000000"/>
                <w:sz w:val="24"/>
              </w:rPr>
              <w:t>首旅酒店</w:t>
            </w:r>
          </w:p>
        </w:tc>
        <w:tc>
          <w:tcPr>
            <w:tcW w:w="2880" w:type="dxa"/>
            <w:vAlign w:val="center"/>
          </w:tcPr>
          <w:p>
            <w:pPr>
              <w:jc w:val="right"/>
            </w:pPr>
            <w:r>
              <w:rPr>
                <w:color w:val="000000"/>
                <w:sz w:val="24"/>
              </w:rPr>
              <w:t>7,019,027.00</w:t>
            </w:r>
          </w:p>
        </w:tc>
        <w:tc>
          <w:tcPr>
            <w:tcW w:w="1620" w:type="dxa"/>
            <w:vAlign w:val="center"/>
          </w:tcPr>
          <w:p>
            <w:pPr>
              <w:jc w:val="right"/>
            </w:pPr>
            <w:r>
              <w:rPr>
                <w:color w:val="000000"/>
                <w:sz w:val="24"/>
              </w:rPr>
              <w:t>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73</w:t>
            </w:r>
          </w:p>
        </w:tc>
        <w:tc>
          <w:tcPr>
            <w:tcW w:w="1650" w:type="dxa"/>
            <w:vAlign w:val="center"/>
          </w:tcPr>
          <w:p>
            <w:pPr>
              <w:jc w:val="center"/>
            </w:pPr>
            <w:r>
              <w:rPr>
                <w:color w:val="000000"/>
                <w:sz w:val="24"/>
              </w:rPr>
              <w:t>688196</w:t>
            </w:r>
          </w:p>
        </w:tc>
        <w:tc>
          <w:tcPr>
            <w:tcW w:w="1980" w:type="dxa"/>
            <w:vAlign w:val="center"/>
          </w:tcPr>
          <w:p>
            <w:pPr>
              <w:jc w:val="center"/>
            </w:pPr>
            <w:r>
              <w:rPr>
                <w:color w:val="000000"/>
                <w:sz w:val="24"/>
              </w:rPr>
              <w:t>卓越新能</w:t>
            </w:r>
          </w:p>
        </w:tc>
        <w:tc>
          <w:tcPr>
            <w:tcW w:w="2880" w:type="dxa"/>
            <w:vAlign w:val="center"/>
          </w:tcPr>
          <w:p>
            <w:pPr>
              <w:jc w:val="right"/>
            </w:pPr>
            <w:r>
              <w:rPr>
                <w:color w:val="000000"/>
                <w:sz w:val="24"/>
              </w:rPr>
              <w:t>6,938,884.38</w:t>
            </w:r>
          </w:p>
        </w:tc>
        <w:tc>
          <w:tcPr>
            <w:tcW w:w="1620" w:type="dxa"/>
            <w:vAlign w:val="center"/>
          </w:tcPr>
          <w:p>
            <w:pPr>
              <w:jc w:val="right"/>
            </w:pPr>
            <w:r>
              <w:rPr>
                <w:color w:val="000000"/>
                <w:sz w:val="24"/>
              </w:rPr>
              <w:t>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74</w:t>
            </w:r>
          </w:p>
        </w:tc>
        <w:tc>
          <w:tcPr>
            <w:tcW w:w="1650" w:type="dxa"/>
            <w:vAlign w:val="center"/>
          </w:tcPr>
          <w:p>
            <w:pPr>
              <w:jc w:val="center"/>
            </w:pPr>
            <w:r>
              <w:rPr>
                <w:color w:val="000000"/>
                <w:sz w:val="24"/>
              </w:rPr>
              <w:t>002739</w:t>
            </w:r>
          </w:p>
        </w:tc>
        <w:tc>
          <w:tcPr>
            <w:tcW w:w="1980" w:type="dxa"/>
            <w:vAlign w:val="center"/>
          </w:tcPr>
          <w:p>
            <w:pPr>
              <w:jc w:val="center"/>
            </w:pPr>
            <w:r>
              <w:rPr>
                <w:color w:val="000000"/>
                <w:sz w:val="24"/>
              </w:rPr>
              <w:t>万达电影</w:t>
            </w:r>
          </w:p>
        </w:tc>
        <w:tc>
          <w:tcPr>
            <w:tcW w:w="2880" w:type="dxa"/>
            <w:vAlign w:val="center"/>
          </w:tcPr>
          <w:p>
            <w:pPr>
              <w:jc w:val="right"/>
            </w:pPr>
            <w:r>
              <w:rPr>
                <w:color w:val="000000"/>
                <w:sz w:val="24"/>
              </w:rPr>
              <w:t>6,727,070.62</w:t>
            </w:r>
          </w:p>
        </w:tc>
        <w:tc>
          <w:tcPr>
            <w:tcW w:w="1620" w:type="dxa"/>
            <w:vAlign w:val="center"/>
          </w:tcPr>
          <w:p>
            <w:pPr>
              <w:jc w:val="right"/>
            </w:pPr>
            <w:r>
              <w:rPr>
                <w:color w:val="000000"/>
                <w:sz w:val="24"/>
              </w:rPr>
              <w:t>2.78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75</w:t>
            </w:r>
          </w:p>
        </w:tc>
        <w:tc>
          <w:tcPr>
            <w:tcW w:w="1650" w:type="dxa"/>
            <w:vAlign w:val="center"/>
          </w:tcPr>
          <w:p>
            <w:pPr>
              <w:jc w:val="center"/>
            </w:pPr>
            <w:r>
              <w:rPr>
                <w:color w:val="000000"/>
                <w:sz w:val="24"/>
              </w:rPr>
              <w:t>601698</w:t>
            </w:r>
          </w:p>
        </w:tc>
        <w:tc>
          <w:tcPr>
            <w:tcW w:w="1980" w:type="dxa"/>
            <w:vAlign w:val="center"/>
          </w:tcPr>
          <w:p>
            <w:pPr>
              <w:jc w:val="center"/>
            </w:pPr>
            <w:r>
              <w:rPr>
                <w:color w:val="000000"/>
                <w:sz w:val="24"/>
              </w:rPr>
              <w:t>中国卫通</w:t>
            </w:r>
          </w:p>
        </w:tc>
        <w:tc>
          <w:tcPr>
            <w:tcW w:w="2880" w:type="dxa"/>
            <w:vAlign w:val="center"/>
          </w:tcPr>
          <w:p>
            <w:pPr>
              <w:jc w:val="right"/>
            </w:pPr>
            <w:r>
              <w:rPr>
                <w:color w:val="000000"/>
                <w:sz w:val="24"/>
              </w:rPr>
              <w:t>6,725,496.00</w:t>
            </w:r>
          </w:p>
        </w:tc>
        <w:tc>
          <w:tcPr>
            <w:tcW w:w="1620" w:type="dxa"/>
            <w:vAlign w:val="center"/>
          </w:tcPr>
          <w:p>
            <w:pPr>
              <w:jc w:val="right"/>
            </w:pPr>
            <w:r>
              <w:rPr>
                <w:color w:val="000000"/>
                <w:sz w:val="24"/>
              </w:rPr>
              <w:t>2.78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76</w:t>
            </w:r>
          </w:p>
        </w:tc>
        <w:tc>
          <w:tcPr>
            <w:tcW w:w="1650" w:type="dxa"/>
            <w:vAlign w:val="center"/>
          </w:tcPr>
          <w:p>
            <w:pPr>
              <w:jc w:val="center"/>
            </w:pPr>
            <w:r>
              <w:rPr>
                <w:color w:val="000000"/>
                <w:sz w:val="24"/>
              </w:rPr>
              <w:t>002368</w:t>
            </w:r>
          </w:p>
        </w:tc>
        <w:tc>
          <w:tcPr>
            <w:tcW w:w="1980" w:type="dxa"/>
            <w:vAlign w:val="center"/>
          </w:tcPr>
          <w:p>
            <w:pPr>
              <w:jc w:val="center"/>
            </w:pPr>
            <w:r>
              <w:rPr>
                <w:color w:val="000000"/>
                <w:sz w:val="24"/>
              </w:rPr>
              <w:t>太极股份</w:t>
            </w:r>
          </w:p>
        </w:tc>
        <w:tc>
          <w:tcPr>
            <w:tcW w:w="2880" w:type="dxa"/>
            <w:vAlign w:val="center"/>
          </w:tcPr>
          <w:p>
            <w:pPr>
              <w:jc w:val="right"/>
            </w:pPr>
            <w:r>
              <w:rPr>
                <w:color w:val="000000"/>
                <w:sz w:val="24"/>
              </w:rPr>
              <w:t>6,663,319.70</w:t>
            </w:r>
          </w:p>
        </w:tc>
        <w:tc>
          <w:tcPr>
            <w:tcW w:w="1620" w:type="dxa"/>
            <w:vAlign w:val="center"/>
          </w:tcPr>
          <w:p>
            <w:pPr>
              <w:jc w:val="right"/>
            </w:pPr>
            <w:r>
              <w:rPr>
                <w:color w:val="000000"/>
                <w:sz w:val="24"/>
              </w:rPr>
              <w:t>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77</w:t>
            </w:r>
          </w:p>
        </w:tc>
        <w:tc>
          <w:tcPr>
            <w:tcW w:w="1650" w:type="dxa"/>
            <w:vAlign w:val="center"/>
          </w:tcPr>
          <w:p>
            <w:pPr>
              <w:jc w:val="center"/>
            </w:pPr>
            <w:r>
              <w:rPr>
                <w:color w:val="000000"/>
                <w:sz w:val="24"/>
              </w:rPr>
              <w:t>688018</w:t>
            </w:r>
          </w:p>
        </w:tc>
        <w:tc>
          <w:tcPr>
            <w:tcW w:w="1980" w:type="dxa"/>
            <w:vAlign w:val="center"/>
          </w:tcPr>
          <w:p>
            <w:pPr>
              <w:jc w:val="center"/>
            </w:pPr>
            <w:r>
              <w:rPr>
                <w:color w:val="000000"/>
                <w:sz w:val="24"/>
              </w:rPr>
              <w:t>乐鑫科技</w:t>
            </w:r>
          </w:p>
        </w:tc>
        <w:tc>
          <w:tcPr>
            <w:tcW w:w="2880" w:type="dxa"/>
            <w:vAlign w:val="center"/>
          </w:tcPr>
          <w:p>
            <w:pPr>
              <w:jc w:val="right"/>
            </w:pPr>
            <w:r>
              <w:rPr>
                <w:color w:val="000000"/>
                <w:sz w:val="24"/>
              </w:rPr>
              <w:t>6,638,861.13</w:t>
            </w:r>
          </w:p>
        </w:tc>
        <w:tc>
          <w:tcPr>
            <w:tcW w:w="1620" w:type="dxa"/>
            <w:vAlign w:val="center"/>
          </w:tcPr>
          <w:p>
            <w:pPr>
              <w:jc w:val="right"/>
            </w:pPr>
            <w:r>
              <w:rPr>
                <w:color w:val="000000"/>
                <w:sz w:val="24"/>
              </w:rPr>
              <w:t>2.74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78</w:t>
            </w:r>
          </w:p>
        </w:tc>
        <w:tc>
          <w:tcPr>
            <w:tcW w:w="1650" w:type="dxa"/>
            <w:vAlign w:val="center"/>
          </w:tcPr>
          <w:p>
            <w:pPr>
              <w:jc w:val="center"/>
            </w:pPr>
            <w:r>
              <w:rPr>
                <w:color w:val="000000"/>
                <w:sz w:val="24"/>
              </w:rPr>
              <w:t>002299</w:t>
            </w:r>
          </w:p>
        </w:tc>
        <w:tc>
          <w:tcPr>
            <w:tcW w:w="1980" w:type="dxa"/>
            <w:vAlign w:val="center"/>
          </w:tcPr>
          <w:p>
            <w:pPr>
              <w:jc w:val="center"/>
            </w:pPr>
            <w:r>
              <w:rPr>
                <w:color w:val="000000"/>
                <w:sz w:val="24"/>
              </w:rPr>
              <w:t>圣农发展</w:t>
            </w:r>
          </w:p>
        </w:tc>
        <w:tc>
          <w:tcPr>
            <w:tcW w:w="2880" w:type="dxa"/>
            <w:vAlign w:val="center"/>
          </w:tcPr>
          <w:p>
            <w:pPr>
              <w:jc w:val="right"/>
            </w:pPr>
            <w:r>
              <w:rPr>
                <w:color w:val="000000"/>
                <w:sz w:val="24"/>
              </w:rPr>
              <w:t>6,596,657.15</w:t>
            </w:r>
          </w:p>
        </w:tc>
        <w:tc>
          <w:tcPr>
            <w:tcW w:w="1620" w:type="dxa"/>
            <w:vAlign w:val="center"/>
          </w:tcPr>
          <w:p>
            <w:pPr>
              <w:jc w:val="right"/>
            </w:pPr>
            <w:r>
              <w:rPr>
                <w:color w:val="000000"/>
                <w:sz w:val="24"/>
              </w:rPr>
              <w:t>2.72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79</w:t>
            </w:r>
          </w:p>
        </w:tc>
        <w:tc>
          <w:tcPr>
            <w:tcW w:w="1650" w:type="dxa"/>
            <w:vAlign w:val="center"/>
          </w:tcPr>
          <w:p>
            <w:pPr>
              <w:jc w:val="center"/>
            </w:pPr>
            <w:r>
              <w:rPr>
                <w:color w:val="000000"/>
                <w:sz w:val="24"/>
              </w:rPr>
              <w:t>601066</w:t>
            </w:r>
          </w:p>
        </w:tc>
        <w:tc>
          <w:tcPr>
            <w:tcW w:w="1980" w:type="dxa"/>
            <w:vAlign w:val="center"/>
          </w:tcPr>
          <w:p>
            <w:pPr>
              <w:jc w:val="center"/>
            </w:pPr>
            <w:r>
              <w:rPr>
                <w:color w:val="000000"/>
                <w:sz w:val="24"/>
              </w:rPr>
              <w:t>中信建投</w:t>
            </w:r>
          </w:p>
        </w:tc>
        <w:tc>
          <w:tcPr>
            <w:tcW w:w="2880" w:type="dxa"/>
            <w:vAlign w:val="center"/>
          </w:tcPr>
          <w:p>
            <w:pPr>
              <w:jc w:val="right"/>
            </w:pPr>
            <w:r>
              <w:rPr>
                <w:color w:val="000000"/>
                <w:sz w:val="24"/>
              </w:rPr>
              <w:t>6,426,968.00</w:t>
            </w:r>
          </w:p>
        </w:tc>
        <w:tc>
          <w:tcPr>
            <w:tcW w:w="1620" w:type="dxa"/>
            <w:vAlign w:val="center"/>
          </w:tcPr>
          <w:p>
            <w:pPr>
              <w:jc w:val="right"/>
            </w:pPr>
            <w:r>
              <w:rPr>
                <w:color w:val="000000"/>
                <w:sz w:val="24"/>
              </w:rPr>
              <w:t>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80</w:t>
            </w:r>
          </w:p>
        </w:tc>
        <w:tc>
          <w:tcPr>
            <w:tcW w:w="1650" w:type="dxa"/>
            <w:vAlign w:val="center"/>
          </w:tcPr>
          <w:p>
            <w:pPr>
              <w:jc w:val="center"/>
            </w:pPr>
            <w:r>
              <w:rPr>
                <w:color w:val="000000"/>
                <w:sz w:val="24"/>
              </w:rPr>
              <w:t>601995</w:t>
            </w:r>
          </w:p>
        </w:tc>
        <w:tc>
          <w:tcPr>
            <w:tcW w:w="1980" w:type="dxa"/>
            <w:vAlign w:val="center"/>
          </w:tcPr>
          <w:p>
            <w:pPr>
              <w:jc w:val="center"/>
            </w:pPr>
            <w:r>
              <w:rPr>
                <w:color w:val="000000"/>
                <w:sz w:val="24"/>
              </w:rPr>
              <w:t>中金公司</w:t>
            </w:r>
          </w:p>
        </w:tc>
        <w:tc>
          <w:tcPr>
            <w:tcW w:w="2880" w:type="dxa"/>
            <w:vAlign w:val="center"/>
          </w:tcPr>
          <w:p>
            <w:pPr>
              <w:jc w:val="right"/>
            </w:pPr>
            <w:r>
              <w:rPr>
                <w:color w:val="000000"/>
                <w:sz w:val="24"/>
              </w:rPr>
              <w:t>6,266,964.00</w:t>
            </w:r>
          </w:p>
        </w:tc>
        <w:tc>
          <w:tcPr>
            <w:tcW w:w="1620" w:type="dxa"/>
            <w:vAlign w:val="center"/>
          </w:tcPr>
          <w:p>
            <w:pPr>
              <w:jc w:val="right"/>
            </w:pPr>
            <w:r>
              <w:rPr>
                <w:color w:val="000000"/>
                <w:sz w:val="24"/>
              </w:rPr>
              <w:t>2.59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81</w:t>
            </w:r>
          </w:p>
        </w:tc>
        <w:tc>
          <w:tcPr>
            <w:tcW w:w="1650" w:type="dxa"/>
            <w:vAlign w:val="center"/>
          </w:tcPr>
          <w:p>
            <w:pPr>
              <w:jc w:val="center"/>
            </w:pPr>
            <w:r>
              <w:rPr>
                <w:color w:val="000000"/>
                <w:sz w:val="24"/>
              </w:rPr>
              <w:t>002230</w:t>
            </w:r>
          </w:p>
        </w:tc>
        <w:tc>
          <w:tcPr>
            <w:tcW w:w="1980" w:type="dxa"/>
            <w:vAlign w:val="center"/>
          </w:tcPr>
          <w:p>
            <w:pPr>
              <w:jc w:val="center"/>
            </w:pPr>
            <w:r>
              <w:rPr>
                <w:color w:val="000000"/>
                <w:sz w:val="24"/>
              </w:rPr>
              <w:t>科大讯飞</w:t>
            </w:r>
          </w:p>
        </w:tc>
        <w:tc>
          <w:tcPr>
            <w:tcW w:w="2880" w:type="dxa"/>
            <w:vAlign w:val="center"/>
          </w:tcPr>
          <w:p>
            <w:pPr>
              <w:jc w:val="right"/>
            </w:pPr>
            <w:r>
              <w:rPr>
                <w:color w:val="000000"/>
                <w:sz w:val="24"/>
              </w:rPr>
              <w:t>6,217,882.00</w:t>
            </w:r>
          </w:p>
        </w:tc>
        <w:tc>
          <w:tcPr>
            <w:tcW w:w="1620" w:type="dxa"/>
            <w:vAlign w:val="center"/>
          </w:tcPr>
          <w:p>
            <w:pPr>
              <w:jc w:val="right"/>
            </w:pPr>
            <w:r>
              <w:rPr>
                <w:color w:val="000000"/>
                <w:sz w:val="24"/>
              </w:rPr>
              <w:t>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82</w:t>
            </w:r>
          </w:p>
        </w:tc>
        <w:tc>
          <w:tcPr>
            <w:tcW w:w="1650" w:type="dxa"/>
            <w:vAlign w:val="center"/>
          </w:tcPr>
          <w:p>
            <w:pPr>
              <w:jc w:val="center"/>
            </w:pPr>
            <w:r>
              <w:rPr>
                <w:color w:val="000000"/>
                <w:sz w:val="24"/>
              </w:rPr>
              <w:t>300433</w:t>
            </w:r>
          </w:p>
        </w:tc>
        <w:tc>
          <w:tcPr>
            <w:tcW w:w="1980" w:type="dxa"/>
            <w:vAlign w:val="center"/>
          </w:tcPr>
          <w:p>
            <w:pPr>
              <w:jc w:val="center"/>
            </w:pPr>
            <w:r>
              <w:rPr>
                <w:color w:val="000000"/>
                <w:sz w:val="24"/>
              </w:rPr>
              <w:t>蓝思科技</w:t>
            </w:r>
          </w:p>
        </w:tc>
        <w:tc>
          <w:tcPr>
            <w:tcW w:w="2880" w:type="dxa"/>
            <w:vAlign w:val="center"/>
          </w:tcPr>
          <w:p>
            <w:pPr>
              <w:jc w:val="right"/>
            </w:pPr>
            <w:r>
              <w:rPr>
                <w:color w:val="000000"/>
                <w:sz w:val="24"/>
              </w:rPr>
              <w:t>6,190,615.44</w:t>
            </w:r>
          </w:p>
        </w:tc>
        <w:tc>
          <w:tcPr>
            <w:tcW w:w="1620" w:type="dxa"/>
            <w:vAlign w:val="center"/>
          </w:tcPr>
          <w:p>
            <w:pPr>
              <w:jc w:val="right"/>
            </w:pPr>
            <w:r>
              <w:rPr>
                <w:color w:val="000000"/>
                <w:sz w:val="24"/>
              </w:rPr>
              <w:t>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83</w:t>
            </w:r>
          </w:p>
        </w:tc>
        <w:tc>
          <w:tcPr>
            <w:tcW w:w="1650" w:type="dxa"/>
            <w:vAlign w:val="center"/>
          </w:tcPr>
          <w:p>
            <w:pPr>
              <w:jc w:val="center"/>
            </w:pPr>
            <w:r>
              <w:rPr>
                <w:color w:val="000000"/>
                <w:sz w:val="24"/>
              </w:rPr>
              <w:t>300512</w:t>
            </w:r>
          </w:p>
        </w:tc>
        <w:tc>
          <w:tcPr>
            <w:tcW w:w="1980" w:type="dxa"/>
            <w:vAlign w:val="center"/>
          </w:tcPr>
          <w:p>
            <w:pPr>
              <w:jc w:val="center"/>
            </w:pPr>
            <w:r>
              <w:rPr>
                <w:color w:val="000000"/>
                <w:sz w:val="24"/>
              </w:rPr>
              <w:t>中亚股份</w:t>
            </w:r>
          </w:p>
        </w:tc>
        <w:tc>
          <w:tcPr>
            <w:tcW w:w="2880" w:type="dxa"/>
            <w:vAlign w:val="center"/>
          </w:tcPr>
          <w:p>
            <w:pPr>
              <w:jc w:val="right"/>
            </w:pPr>
            <w:r>
              <w:rPr>
                <w:color w:val="000000"/>
                <w:sz w:val="24"/>
              </w:rPr>
              <w:t>6,180,115.00</w:t>
            </w:r>
          </w:p>
        </w:tc>
        <w:tc>
          <w:tcPr>
            <w:tcW w:w="1620" w:type="dxa"/>
            <w:vAlign w:val="center"/>
          </w:tcPr>
          <w:p>
            <w:pPr>
              <w:jc w:val="right"/>
            </w:pPr>
            <w:r>
              <w:rPr>
                <w:color w:val="000000"/>
                <w:sz w:val="24"/>
              </w:rPr>
              <w:t>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84</w:t>
            </w:r>
          </w:p>
        </w:tc>
        <w:tc>
          <w:tcPr>
            <w:tcW w:w="1650" w:type="dxa"/>
            <w:vAlign w:val="center"/>
          </w:tcPr>
          <w:p>
            <w:pPr>
              <w:jc w:val="center"/>
            </w:pPr>
            <w:r>
              <w:rPr>
                <w:color w:val="000000"/>
                <w:sz w:val="24"/>
              </w:rPr>
              <w:t>600030</w:t>
            </w:r>
          </w:p>
        </w:tc>
        <w:tc>
          <w:tcPr>
            <w:tcW w:w="1980" w:type="dxa"/>
            <w:vAlign w:val="center"/>
          </w:tcPr>
          <w:p>
            <w:pPr>
              <w:jc w:val="center"/>
            </w:pPr>
            <w:r>
              <w:rPr>
                <w:color w:val="000000"/>
                <w:sz w:val="24"/>
              </w:rPr>
              <w:t>中信证券</w:t>
            </w:r>
          </w:p>
        </w:tc>
        <w:tc>
          <w:tcPr>
            <w:tcW w:w="2880" w:type="dxa"/>
            <w:vAlign w:val="center"/>
          </w:tcPr>
          <w:p>
            <w:pPr>
              <w:jc w:val="right"/>
            </w:pPr>
            <w:r>
              <w:rPr>
                <w:color w:val="000000"/>
                <w:sz w:val="24"/>
              </w:rPr>
              <w:t>5,941,402.00</w:t>
            </w:r>
          </w:p>
        </w:tc>
        <w:tc>
          <w:tcPr>
            <w:tcW w:w="1620" w:type="dxa"/>
            <w:vAlign w:val="center"/>
          </w:tcPr>
          <w:p>
            <w:pPr>
              <w:jc w:val="right"/>
            </w:pPr>
            <w:r>
              <w:rPr>
                <w:color w:val="000000"/>
                <w:sz w:val="24"/>
              </w:rPr>
              <w:t>2.45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85</w:t>
            </w:r>
          </w:p>
        </w:tc>
        <w:tc>
          <w:tcPr>
            <w:tcW w:w="1650" w:type="dxa"/>
            <w:vAlign w:val="center"/>
          </w:tcPr>
          <w:p>
            <w:pPr>
              <w:jc w:val="center"/>
            </w:pPr>
            <w:r>
              <w:rPr>
                <w:color w:val="000000"/>
                <w:sz w:val="24"/>
              </w:rPr>
              <w:t>601225</w:t>
            </w:r>
          </w:p>
        </w:tc>
        <w:tc>
          <w:tcPr>
            <w:tcW w:w="1980" w:type="dxa"/>
            <w:vAlign w:val="center"/>
          </w:tcPr>
          <w:p>
            <w:pPr>
              <w:jc w:val="center"/>
            </w:pPr>
            <w:r>
              <w:rPr>
                <w:color w:val="000000"/>
                <w:sz w:val="24"/>
              </w:rPr>
              <w:t>陕西煤业</w:t>
            </w:r>
          </w:p>
        </w:tc>
        <w:tc>
          <w:tcPr>
            <w:tcW w:w="2880" w:type="dxa"/>
            <w:vAlign w:val="center"/>
          </w:tcPr>
          <w:p>
            <w:pPr>
              <w:jc w:val="right"/>
            </w:pPr>
            <w:r>
              <w:rPr>
                <w:color w:val="000000"/>
                <w:sz w:val="24"/>
              </w:rPr>
              <w:t>5,888,961.00</w:t>
            </w:r>
          </w:p>
        </w:tc>
        <w:tc>
          <w:tcPr>
            <w:tcW w:w="1620" w:type="dxa"/>
            <w:vAlign w:val="center"/>
          </w:tcPr>
          <w:p>
            <w:pPr>
              <w:jc w:val="right"/>
            </w:pPr>
            <w:r>
              <w:rPr>
                <w:color w:val="000000"/>
                <w:sz w:val="24"/>
              </w:rPr>
              <w:t>2.43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86</w:t>
            </w:r>
          </w:p>
        </w:tc>
        <w:tc>
          <w:tcPr>
            <w:tcW w:w="1650" w:type="dxa"/>
            <w:vAlign w:val="center"/>
          </w:tcPr>
          <w:p>
            <w:pPr>
              <w:jc w:val="center"/>
            </w:pPr>
            <w:r>
              <w:rPr>
                <w:color w:val="000000"/>
                <w:sz w:val="24"/>
              </w:rPr>
              <w:t>688111</w:t>
            </w:r>
          </w:p>
        </w:tc>
        <w:tc>
          <w:tcPr>
            <w:tcW w:w="1980" w:type="dxa"/>
            <w:vAlign w:val="center"/>
          </w:tcPr>
          <w:p>
            <w:pPr>
              <w:jc w:val="center"/>
            </w:pPr>
            <w:r>
              <w:rPr>
                <w:color w:val="000000"/>
                <w:sz w:val="24"/>
              </w:rPr>
              <w:t>金山办公</w:t>
            </w:r>
          </w:p>
        </w:tc>
        <w:tc>
          <w:tcPr>
            <w:tcW w:w="2880" w:type="dxa"/>
            <w:vAlign w:val="center"/>
          </w:tcPr>
          <w:p>
            <w:pPr>
              <w:jc w:val="right"/>
            </w:pPr>
            <w:r>
              <w:rPr>
                <w:color w:val="000000"/>
                <w:sz w:val="24"/>
              </w:rPr>
              <w:t>5,822,853.42</w:t>
            </w:r>
          </w:p>
        </w:tc>
        <w:tc>
          <w:tcPr>
            <w:tcW w:w="1620" w:type="dxa"/>
            <w:vAlign w:val="center"/>
          </w:tcPr>
          <w:p>
            <w:pPr>
              <w:jc w:val="right"/>
            </w:pPr>
            <w:r>
              <w:rPr>
                <w:color w:val="000000"/>
                <w:sz w:val="24"/>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87</w:t>
            </w:r>
          </w:p>
        </w:tc>
        <w:tc>
          <w:tcPr>
            <w:tcW w:w="1650" w:type="dxa"/>
            <w:vAlign w:val="center"/>
          </w:tcPr>
          <w:p>
            <w:pPr>
              <w:jc w:val="center"/>
            </w:pPr>
            <w:r>
              <w:rPr>
                <w:color w:val="000000"/>
                <w:sz w:val="24"/>
              </w:rPr>
              <w:t>300628</w:t>
            </w:r>
          </w:p>
        </w:tc>
        <w:tc>
          <w:tcPr>
            <w:tcW w:w="1980" w:type="dxa"/>
            <w:vAlign w:val="center"/>
          </w:tcPr>
          <w:p>
            <w:pPr>
              <w:jc w:val="center"/>
            </w:pPr>
            <w:r>
              <w:rPr>
                <w:color w:val="000000"/>
                <w:sz w:val="24"/>
              </w:rPr>
              <w:t>亿联网络</w:t>
            </w:r>
          </w:p>
        </w:tc>
        <w:tc>
          <w:tcPr>
            <w:tcW w:w="2880" w:type="dxa"/>
            <w:vAlign w:val="center"/>
          </w:tcPr>
          <w:p>
            <w:pPr>
              <w:jc w:val="right"/>
            </w:pPr>
            <w:r>
              <w:rPr>
                <w:color w:val="000000"/>
                <w:sz w:val="24"/>
              </w:rPr>
              <w:t>5,775,274.00</w:t>
            </w:r>
          </w:p>
        </w:tc>
        <w:tc>
          <w:tcPr>
            <w:tcW w:w="1620" w:type="dxa"/>
            <w:vAlign w:val="center"/>
          </w:tcPr>
          <w:p>
            <w:pPr>
              <w:jc w:val="right"/>
            </w:pPr>
            <w:r>
              <w:rPr>
                <w:color w:val="000000"/>
                <w:sz w:val="24"/>
              </w:rPr>
              <w:t>2.38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88</w:t>
            </w:r>
          </w:p>
        </w:tc>
        <w:tc>
          <w:tcPr>
            <w:tcW w:w="1650" w:type="dxa"/>
            <w:vAlign w:val="center"/>
          </w:tcPr>
          <w:p>
            <w:pPr>
              <w:jc w:val="center"/>
            </w:pPr>
            <w:r>
              <w:rPr>
                <w:color w:val="000000"/>
                <w:sz w:val="24"/>
              </w:rPr>
              <w:t>688228</w:t>
            </w:r>
          </w:p>
        </w:tc>
        <w:tc>
          <w:tcPr>
            <w:tcW w:w="1980" w:type="dxa"/>
            <w:vAlign w:val="center"/>
          </w:tcPr>
          <w:p>
            <w:pPr>
              <w:jc w:val="center"/>
            </w:pPr>
            <w:r>
              <w:rPr>
                <w:color w:val="000000"/>
                <w:sz w:val="24"/>
              </w:rPr>
              <w:t>开普云</w:t>
            </w:r>
          </w:p>
        </w:tc>
        <w:tc>
          <w:tcPr>
            <w:tcW w:w="2880" w:type="dxa"/>
            <w:vAlign w:val="center"/>
          </w:tcPr>
          <w:p>
            <w:pPr>
              <w:jc w:val="right"/>
            </w:pPr>
            <w:r>
              <w:rPr>
                <w:color w:val="000000"/>
                <w:sz w:val="24"/>
              </w:rPr>
              <w:t>5,718,646.07</w:t>
            </w:r>
          </w:p>
        </w:tc>
        <w:tc>
          <w:tcPr>
            <w:tcW w:w="1620" w:type="dxa"/>
            <w:vAlign w:val="center"/>
          </w:tcPr>
          <w:p>
            <w:pPr>
              <w:jc w:val="right"/>
            </w:pPr>
            <w:r>
              <w:rPr>
                <w:color w:val="000000"/>
                <w:sz w:val="24"/>
              </w:rPr>
              <w:t>2.36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89</w:t>
            </w:r>
          </w:p>
        </w:tc>
        <w:tc>
          <w:tcPr>
            <w:tcW w:w="1650" w:type="dxa"/>
            <w:vAlign w:val="center"/>
          </w:tcPr>
          <w:p>
            <w:pPr>
              <w:jc w:val="center"/>
            </w:pPr>
            <w:r>
              <w:rPr>
                <w:color w:val="000000"/>
                <w:sz w:val="24"/>
              </w:rPr>
              <w:t>600196</w:t>
            </w:r>
          </w:p>
        </w:tc>
        <w:tc>
          <w:tcPr>
            <w:tcW w:w="1980" w:type="dxa"/>
            <w:vAlign w:val="center"/>
          </w:tcPr>
          <w:p>
            <w:pPr>
              <w:jc w:val="center"/>
            </w:pPr>
            <w:r>
              <w:rPr>
                <w:color w:val="000000"/>
                <w:sz w:val="24"/>
              </w:rPr>
              <w:t>复星医药</w:t>
            </w:r>
          </w:p>
        </w:tc>
        <w:tc>
          <w:tcPr>
            <w:tcW w:w="2880" w:type="dxa"/>
            <w:vAlign w:val="center"/>
          </w:tcPr>
          <w:p>
            <w:pPr>
              <w:jc w:val="right"/>
            </w:pPr>
            <w:r>
              <w:rPr>
                <w:color w:val="000000"/>
                <w:sz w:val="24"/>
              </w:rPr>
              <w:t>5,693,738.00</w:t>
            </w:r>
          </w:p>
        </w:tc>
        <w:tc>
          <w:tcPr>
            <w:tcW w:w="1620" w:type="dxa"/>
            <w:vAlign w:val="center"/>
          </w:tcPr>
          <w:p>
            <w:pPr>
              <w:jc w:val="right"/>
            </w:pPr>
            <w:r>
              <w:rPr>
                <w:color w:val="000000"/>
                <w:sz w:val="24"/>
              </w:rPr>
              <w:t>2.35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90</w:t>
            </w:r>
          </w:p>
        </w:tc>
        <w:tc>
          <w:tcPr>
            <w:tcW w:w="1650" w:type="dxa"/>
            <w:vAlign w:val="center"/>
          </w:tcPr>
          <w:p>
            <w:pPr>
              <w:jc w:val="center"/>
            </w:pPr>
            <w:r>
              <w:rPr>
                <w:color w:val="000000"/>
                <w:sz w:val="24"/>
              </w:rPr>
              <w:t>300271</w:t>
            </w:r>
          </w:p>
        </w:tc>
        <w:tc>
          <w:tcPr>
            <w:tcW w:w="1980" w:type="dxa"/>
            <w:vAlign w:val="center"/>
          </w:tcPr>
          <w:p>
            <w:pPr>
              <w:jc w:val="center"/>
            </w:pPr>
            <w:r>
              <w:rPr>
                <w:color w:val="000000"/>
                <w:sz w:val="24"/>
              </w:rPr>
              <w:t>华宇软件</w:t>
            </w:r>
          </w:p>
        </w:tc>
        <w:tc>
          <w:tcPr>
            <w:tcW w:w="2880" w:type="dxa"/>
            <w:vAlign w:val="center"/>
          </w:tcPr>
          <w:p>
            <w:pPr>
              <w:jc w:val="right"/>
            </w:pPr>
            <w:r>
              <w:rPr>
                <w:color w:val="000000"/>
                <w:sz w:val="24"/>
              </w:rPr>
              <w:t>5,614,126.00</w:t>
            </w:r>
          </w:p>
        </w:tc>
        <w:tc>
          <w:tcPr>
            <w:tcW w:w="1620" w:type="dxa"/>
            <w:vAlign w:val="center"/>
          </w:tcPr>
          <w:p>
            <w:pPr>
              <w:jc w:val="right"/>
            </w:pPr>
            <w:r>
              <w:rPr>
                <w:color w:val="000000"/>
                <w:sz w:val="24"/>
              </w:rPr>
              <w:t>2.32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91</w:t>
            </w:r>
          </w:p>
        </w:tc>
        <w:tc>
          <w:tcPr>
            <w:tcW w:w="1650" w:type="dxa"/>
            <w:vAlign w:val="center"/>
          </w:tcPr>
          <w:p>
            <w:pPr>
              <w:jc w:val="center"/>
            </w:pPr>
            <w:r>
              <w:rPr>
                <w:color w:val="000000"/>
                <w:sz w:val="24"/>
              </w:rPr>
              <w:t>000555</w:t>
            </w:r>
          </w:p>
        </w:tc>
        <w:tc>
          <w:tcPr>
            <w:tcW w:w="1980" w:type="dxa"/>
            <w:vAlign w:val="center"/>
          </w:tcPr>
          <w:p>
            <w:pPr>
              <w:jc w:val="center"/>
            </w:pPr>
            <w:r>
              <w:rPr>
                <w:color w:val="000000"/>
                <w:sz w:val="24"/>
              </w:rPr>
              <w:t>神州信息</w:t>
            </w:r>
          </w:p>
        </w:tc>
        <w:tc>
          <w:tcPr>
            <w:tcW w:w="2880" w:type="dxa"/>
            <w:vAlign w:val="center"/>
          </w:tcPr>
          <w:p>
            <w:pPr>
              <w:jc w:val="right"/>
            </w:pPr>
            <w:r>
              <w:rPr>
                <w:color w:val="000000"/>
                <w:sz w:val="24"/>
              </w:rPr>
              <w:t>5,561,670.88</w:t>
            </w:r>
          </w:p>
        </w:tc>
        <w:tc>
          <w:tcPr>
            <w:tcW w:w="1620" w:type="dxa"/>
            <w:vAlign w:val="center"/>
          </w:tcPr>
          <w:p>
            <w:pPr>
              <w:jc w:val="right"/>
            </w:pPr>
            <w:r>
              <w:rPr>
                <w:color w:val="000000"/>
                <w:sz w:val="24"/>
              </w:rPr>
              <w:t>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92</w:t>
            </w:r>
          </w:p>
        </w:tc>
        <w:tc>
          <w:tcPr>
            <w:tcW w:w="1650" w:type="dxa"/>
            <w:vAlign w:val="center"/>
          </w:tcPr>
          <w:p>
            <w:pPr>
              <w:jc w:val="center"/>
            </w:pPr>
            <w:r>
              <w:rPr>
                <w:color w:val="000000"/>
                <w:sz w:val="24"/>
              </w:rPr>
              <w:t>300369</w:t>
            </w:r>
          </w:p>
        </w:tc>
        <w:tc>
          <w:tcPr>
            <w:tcW w:w="1980" w:type="dxa"/>
            <w:vAlign w:val="center"/>
          </w:tcPr>
          <w:p>
            <w:pPr>
              <w:jc w:val="center"/>
            </w:pPr>
            <w:r>
              <w:rPr>
                <w:color w:val="000000"/>
                <w:sz w:val="24"/>
              </w:rPr>
              <w:t>绿盟科技</w:t>
            </w:r>
          </w:p>
        </w:tc>
        <w:tc>
          <w:tcPr>
            <w:tcW w:w="2880" w:type="dxa"/>
            <w:vAlign w:val="center"/>
          </w:tcPr>
          <w:p>
            <w:pPr>
              <w:jc w:val="right"/>
            </w:pPr>
            <w:r>
              <w:rPr>
                <w:color w:val="000000"/>
                <w:sz w:val="24"/>
              </w:rPr>
              <w:t>5,399,300.60</w:t>
            </w:r>
          </w:p>
        </w:tc>
        <w:tc>
          <w:tcPr>
            <w:tcW w:w="1620" w:type="dxa"/>
            <w:vAlign w:val="center"/>
          </w:tcPr>
          <w:p>
            <w:pPr>
              <w:jc w:val="right"/>
            </w:pPr>
            <w:r>
              <w:rPr>
                <w:color w:val="000000"/>
                <w:sz w:val="24"/>
              </w:rPr>
              <w:t>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93</w:t>
            </w:r>
          </w:p>
        </w:tc>
        <w:tc>
          <w:tcPr>
            <w:tcW w:w="1650" w:type="dxa"/>
            <w:vAlign w:val="center"/>
          </w:tcPr>
          <w:p>
            <w:pPr>
              <w:jc w:val="center"/>
            </w:pPr>
            <w:r>
              <w:rPr>
                <w:color w:val="000000"/>
                <w:sz w:val="24"/>
              </w:rPr>
              <w:t>300676</w:t>
            </w:r>
          </w:p>
        </w:tc>
        <w:tc>
          <w:tcPr>
            <w:tcW w:w="1980" w:type="dxa"/>
            <w:vAlign w:val="center"/>
          </w:tcPr>
          <w:p>
            <w:pPr>
              <w:jc w:val="center"/>
            </w:pPr>
            <w:r>
              <w:rPr>
                <w:color w:val="000000"/>
                <w:sz w:val="24"/>
              </w:rPr>
              <w:t>华大基因</w:t>
            </w:r>
          </w:p>
        </w:tc>
        <w:tc>
          <w:tcPr>
            <w:tcW w:w="2880" w:type="dxa"/>
            <w:vAlign w:val="center"/>
          </w:tcPr>
          <w:p>
            <w:pPr>
              <w:jc w:val="right"/>
            </w:pPr>
            <w:r>
              <w:rPr>
                <w:color w:val="000000"/>
                <w:sz w:val="24"/>
              </w:rPr>
              <w:t>5,343,627.24</w:t>
            </w:r>
          </w:p>
        </w:tc>
        <w:tc>
          <w:tcPr>
            <w:tcW w:w="1620" w:type="dxa"/>
            <w:vAlign w:val="center"/>
          </w:tcPr>
          <w:p>
            <w:pPr>
              <w:jc w:val="right"/>
            </w:pPr>
            <w:r>
              <w:rPr>
                <w:color w:val="000000"/>
                <w:sz w:val="24"/>
              </w:rPr>
              <w:t>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94</w:t>
            </w:r>
          </w:p>
        </w:tc>
        <w:tc>
          <w:tcPr>
            <w:tcW w:w="1650" w:type="dxa"/>
            <w:vAlign w:val="center"/>
          </w:tcPr>
          <w:p>
            <w:pPr>
              <w:jc w:val="center"/>
            </w:pPr>
            <w:r>
              <w:rPr>
                <w:color w:val="000000"/>
                <w:sz w:val="24"/>
              </w:rPr>
              <w:t>000768</w:t>
            </w:r>
          </w:p>
        </w:tc>
        <w:tc>
          <w:tcPr>
            <w:tcW w:w="1980" w:type="dxa"/>
            <w:vAlign w:val="center"/>
          </w:tcPr>
          <w:p>
            <w:pPr>
              <w:jc w:val="center"/>
            </w:pPr>
            <w:r>
              <w:rPr>
                <w:color w:val="000000"/>
                <w:sz w:val="24"/>
              </w:rPr>
              <w:t>中航西飞</w:t>
            </w:r>
          </w:p>
        </w:tc>
        <w:tc>
          <w:tcPr>
            <w:tcW w:w="2880" w:type="dxa"/>
            <w:vAlign w:val="center"/>
          </w:tcPr>
          <w:p>
            <w:pPr>
              <w:jc w:val="right"/>
            </w:pPr>
            <w:r>
              <w:rPr>
                <w:color w:val="000000"/>
                <w:sz w:val="24"/>
              </w:rPr>
              <w:t>5,329,264.00</w:t>
            </w:r>
          </w:p>
        </w:tc>
        <w:tc>
          <w:tcPr>
            <w:tcW w:w="1620" w:type="dxa"/>
            <w:vAlign w:val="center"/>
          </w:tcPr>
          <w:p>
            <w:pPr>
              <w:jc w:val="right"/>
            </w:pPr>
            <w:r>
              <w:rPr>
                <w:color w:val="000000"/>
                <w:sz w:val="24"/>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95</w:t>
            </w:r>
          </w:p>
        </w:tc>
        <w:tc>
          <w:tcPr>
            <w:tcW w:w="1650" w:type="dxa"/>
            <w:vAlign w:val="center"/>
          </w:tcPr>
          <w:p>
            <w:pPr>
              <w:jc w:val="center"/>
            </w:pPr>
            <w:r>
              <w:rPr>
                <w:color w:val="000000"/>
                <w:sz w:val="24"/>
              </w:rPr>
              <w:t>300579</w:t>
            </w:r>
          </w:p>
        </w:tc>
        <w:tc>
          <w:tcPr>
            <w:tcW w:w="1980" w:type="dxa"/>
            <w:vAlign w:val="center"/>
          </w:tcPr>
          <w:p>
            <w:pPr>
              <w:jc w:val="center"/>
            </w:pPr>
            <w:r>
              <w:rPr>
                <w:color w:val="000000"/>
                <w:sz w:val="24"/>
              </w:rPr>
              <w:t>数字认证</w:t>
            </w:r>
          </w:p>
        </w:tc>
        <w:tc>
          <w:tcPr>
            <w:tcW w:w="2880" w:type="dxa"/>
            <w:vAlign w:val="center"/>
          </w:tcPr>
          <w:p>
            <w:pPr>
              <w:jc w:val="right"/>
            </w:pPr>
            <w:r>
              <w:rPr>
                <w:color w:val="000000"/>
                <w:sz w:val="24"/>
              </w:rPr>
              <w:t>5,273,069.00</w:t>
            </w:r>
          </w:p>
        </w:tc>
        <w:tc>
          <w:tcPr>
            <w:tcW w:w="1620" w:type="dxa"/>
            <w:vAlign w:val="center"/>
          </w:tcPr>
          <w:p>
            <w:pPr>
              <w:jc w:val="right"/>
            </w:pPr>
            <w:r>
              <w:rPr>
                <w:color w:val="000000"/>
                <w:sz w:val="24"/>
              </w:rPr>
              <w:t>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96</w:t>
            </w:r>
          </w:p>
        </w:tc>
        <w:tc>
          <w:tcPr>
            <w:tcW w:w="1650" w:type="dxa"/>
            <w:vAlign w:val="center"/>
          </w:tcPr>
          <w:p>
            <w:pPr>
              <w:jc w:val="center"/>
            </w:pPr>
            <w:r>
              <w:rPr>
                <w:color w:val="000000"/>
                <w:sz w:val="24"/>
              </w:rPr>
              <w:t>603079</w:t>
            </w:r>
          </w:p>
        </w:tc>
        <w:tc>
          <w:tcPr>
            <w:tcW w:w="1980" w:type="dxa"/>
            <w:vAlign w:val="center"/>
          </w:tcPr>
          <w:p>
            <w:pPr>
              <w:jc w:val="center"/>
            </w:pPr>
            <w:r>
              <w:rPr>
                <w:color w:val="000000"/>
                <w:sz w:val="24"/>
              </w:rPr>
              <w:t>圣达生物</w:t>
            </w:r>
          </w:p>
        </w:tc>
        <w:tc>
          <w:tcPr>
            <w:tcW w:w="2880" w:type="dxa"/>
            <w:vAlign w:val="center"/>
          </w:tcPr>
          <w:p>
            <w:pPr>
              <w:jc w:val="right"/>
            </w:pPr>
            <w:r>
              <w:rPr>
                <w:color w:val="000000"/>
                <w:sz w:val="24"/>
              </w:rPr>
              <w:t>5,266,983.00</w:t>
            </w:r>
          </w:p>
        </w:tc>
        <w:tc>
          <w:tcPr>
            <w:tcW w:w="1620" w:type="dxa"/>
            <w:vAlign w:val="center"/>
          </w:tcPr>
          <w:p>
            <w:pPr>
              <w:jc w:val="right"/>
            </w:pPr>
            <w:r>
              <w:rPr>
                <w:color w:val="000000"/>
                <w:sz w:val="24"/>
              </w:rPr>
              <w:t>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97</w:t>
            </w:r>
          </w:p>
        </w:tc>
        <w:tc>
          <w:tcPr>
            <w:tcW w:w="1650" w:type="dxa"/>
            <w:vAlign w:val="center"/>
          </w:tcPr>
          <w:p>
            <w:pPr>
              <w:jc w:val="center"/>
            </w:pPr>
            <w:r>
              <w:rPr>
                <w:color w:val="000000"/>
                <w:sz w:val="24"/>
              </w:rPr>
              <w:t>002146</w:t>
            </w:r>
          </w:p>
        </w:tc>
        <w:tc>
          <w:tcPr>
            <w:tcW w:w="1980" w:type="dxa"/>
            <w:vAlign w:val="center"/>
          </w:tcPr>
          <w:p>
            <w:pPr>
              <w:jc w:val="center"/>
            </w:pPr>
            <w:r>
              <w:rPr>
                <w:color w:val="000000"/>
                <w:sz w:val="24"/>
              </w:rPr>
              <w:t>荣盛发展</w:t>
            </w:r>
          </w:p>
        </w:tc>
        <w:tc>
          <w:tcPr>
            <w:tcW w:w="2880" w:type="dxa"/>
            <w:vAlign w:val="center"/>
          </w:tcPr>
          <w:p>
            <w:pPr>
              <w:jc w:val="right"/>
            </w:pPr>
            <w:r>
              <w:rPr>
                <w:color w:val="000000"/>
                <w:sz w:val="24"/>
              </w:rPr>
              <w:t>5,197,008.00</w:t>
            </w:r>
          </w:p>
        </w:tc>
        <w:tc>
          <w:tcPr>
            <w:tcW w:w="1620" w:type="dxa"/>
            <w:vAlign w:val="center"/>
          </w:tcPr>
          <w:p>
            <w:pPr>
              <w:jc w:val="right"/>
            </w:pPr>
            <w:r>
              <w:rPr>
                <w:color w:val="000000"/>
                <w:sz w:val="24"/>
              </w:rPr>
              <w:t>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98</w:t>
            </w:r>
          </w:p>
        </w:tc>
        <w:tc>
          <w:tcPr>
            <w:tcW w:w="1650" w:type="dxa"/>
            <w:vAlign w:val="center"/>
          </w:tcPr>
          <w:p>
            <w:pPr>
              <w:jc w:val="center"/>
            </w:pPr>
            <w:r>
              <w:rPr>
                <w:color w:val="000000"/>
                <w:sz w:val="24"/>
              </w:rPr>
              <w:t>688301</w:t>
            </w:r>
          </w:p>
        </w:tc>
        <w:tc>
          <w:tcPr>
            <w:tcW w:w="1980" w:type="dxa"/>
            <w:vAlign w:val="center"/>
          </w:tcPr>
          <w:p>
            <w:pPr>
              <w:jc w:val="center"/>
            </w:pPr>
            <w:r>
              <w:rPr>
                <w:color w:val="000000"/>
                <w:sz w:val="24"/>
              </w:rPr>
              <w:t>奕瑞科技</w:t>
            </w:r>
          </w:p>
        </w:tc>
        <w:tc>
          <w:tcPr>
            <w:tcW w:w="2880" w:type="dxa"/>
            <w:vAlign w:val="center"/>
          </w:tcPr>
          <w:p>
            <w:pPr>
              <w:jc w:val="right"/>
            </w:pPr>
            <w:r>
              <w:rPr>
                <w:color w:val="000000"/>
                <w:sz w:val="24"/>
              </w:rPr>
              <w:t>5,168,455.12</w:t>
            </w:r>
          </w:p>
        </w:tc>
        <w:tc>
          <w:tcPr>
            <w:tcW w:w="1620" w:type="dxa"/>
            <w:vAlign w:val="center"/>
          </w:tcPr>
          <w:p>
            <w:pPr>
              <w:jc w:val="right"/>
            </w:pPr>
            <w:r>
              <w:rPr>
                <w:color w:val="000000"/>
                <w:sz w:val="24"/>
              </w:rPr>
              <w:t>2.13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99</w:t>
            </w:r>
          </w:p>
        </w:tc>
        <w:tc>
          <w:tcPr>
            <w:tcW w:w="1650" w:type="dxa"/>
            <w:vAlign w:val="center"/>
          </w:tcPr>
          <w:p>
            <w:pPr>
              <w:jc w:val="center"/>
            </w:pPr>
            <w:r>
              <w:rPr>
                <w:color w:val="000000"/>
                <w:sz w:val="24"/>
              </w:rPr>
              <w:t>002180</w:t>
            </w:r>
          </w:p>
        </w:tc>
        <w:tc>
          <w:tcPr>
            <w:tcW w:w="1980" w:type="dxa"/>
            <w:vAlign w:val="center"/>
          </w:tcPr>
          <w:p>
            <w:pPr>
              <w:jc w:val="center"/>
            </w:pPr>
            <w:r>
              <w:rPr>
                <w:color w:val="000000"/>
                <w:sz w:val="24"/>
              </w:rPr>
              <w:t>纳思达</w:t>
            </w:r>
          </w:p>
        </w:tc>
        <w:tc>
          <w:tcPr>
            <w:tcW w:w="2880" w:type="dxa"/>
            <w:vAlign w:val="center"/>
          </w:tcPr>
          <w:p>
            <w:pPr>
              <w:jc w:val="right"/>
            </w:pPr>
            <w:r>
              <w:rPr>
                <w:color w:val="000000"/>
                <w:sz w:val="24"/>
              </w:rPr>
              <w:t>5,137,157.59</w:t>
            </w:r>
          </w:p>
        </w:tc>
        <w:tc>
          <w:tcPr>
            <w:tcW w:w="1620" w:type="dxa"/>
            <w:vAlign w:val="center"/>
          </w:tcPr>
          <w:p>
            <w:pPr>
              <w:jc w:val="right"/>
            </w:pPr>
            <w:r>
              <w:rPr>
                <w:color w:val="000000"/>
                <w:sz w:val="24"/>
              </w:rPr>
              <w:t>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100</w:t>
            </w:r>
          </w:p>
        </w:tc>
        <w:tc>
          <w:tcPr>
            <w:tcW w:w="1650" w:type="dxa"/>
            <w:vAlign w:val="center"/>
          </w:tcPr>
          <w:p>
            <w:pPr>
              <w:jc w:val="center"/>
            </w:pPr>
            <w:r>
              <w:rPr>
                <w:color w:val="000000"/>
                <w:sz w:val="24"/>
              </w:rPr>
              <w:t>300447</w:t>
            </w:r>
          </w:p>
        </w:tc>
        <w:tc>
          <w:tcPr>
            <w:tcW w:w="1980" w:type="dxa"/>
            <w:vAlign w:val="center"/>
          </w:tcPr>
          <w:p>
            <w:pPr>
              <w:jc w:val="center"/>
            </w:pPr>
            <w:r>
              <w:rPr>
                <w:color w:val="000000"/>
                <w:sz w:val="24"/>
              </w:rPr>
              <w:t>全信股份</w:t>
            </w:r>
          </w:p>
        </w:tc>
        <w:tc>
          <w:tcPr>
            <w:tcW w:w="2880" w:type="dxa"/>
            <w:vAlign w:val="center"/>
          </w:tcPr>
          <w:p>
            <w:pPr>
              <w:jc w:val="right"/>
            </w:pPr>
            <w:r>
              <w:rPr>
                <w:color w:val="000000"/>
                <w:sz w:val="24"/>
              </w:rPr>
              <w:t>4,992,719.35</w:t>
            </w:r>
          </w:p>
        </w:tc>
        <w:tc>
          <w:tcPr>
            <w:tcW w:w="1620" w:type="dxa"/>
            <w:vAlign w:val="center"/>
          </w:tcPr>
          <w:p>
            <w:pPr>
              <w:jc w:val="right"/>
            </w:pPr>
            <w:r>
              <w:rPr>
                <w:color w:val="000000"/>
                <w:sz w:val="24"/>
              </w:rPr>
              <w:t>2.06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101</w:t>
            </w:r>
          </w:p>
        </w:tc>
        <w:tc>
          <w:tcPr>
            <w:tcW w:w="1650" w:type="dxa"/>
            <w:vAlign w:val="center"/>
          </w:tcPr>
          <w:p>
            <w:pPr>
              <w:jc w:val="center"/>
            </w:pPr>
            <w:r>
              <w:rPr>
                <w:color w:val="000000"/>
                <w:sz w:val="24"/>
              </w:rPr>
              <w:t>002179</w:t>
            </w:r>
          </w:p>
        </w:tc>
        <w:tc>
          <w:tcPr>
            <w:tcW w:w="1980" w:type="dxa"/>
            <w:vAlign w:val="center"/>
          </w:tcPr>
          <w:p>
            <w:pPr>
              <w:jc w:val="center"/>
            </w:pPr>
            <w:r>
              <w:rPr>
                <w:color w:val="000000"/>
                <w:sz w:val="24"/>
              </w:rPr>
              <w:t>中航光电</w:t>
            </w:r>
          </w:p>
        </w:tc>
        <w:tc>
          <w:tcPr>
            <w:tcW w:w="2880" w:type="dxa"/>
            <w:vAlign w:val="center"/>
          </w:tcPr>
          <w:p>
            <w:pPr>
              <w:jc w:val="right"/>
            </w:pPr>
            <w:r>
              <w:rPr>
                <w:color w:val="000000"/>
                <w:sz w:val="24"/>
              </w:rPr>
              <w:t>4,878,053.52</w:t>
            </w:r>
          </w:p>
        </w:tc>
        <w:tc>
          <w:tcPr>
            <w:tcW w:w="1620" w:type="dxa"/>
            <w:vAlign w:val="center"/>
          </w:tcPr>
          <w:p>
            <w:pPr>
              <w:jc w:val="right"/>
            </w:pPr>
            <w:r>
              <w:rPr>
                <w:color w:val="000000"/>
                <w:sz w:val="24"/>
              </w:rPr>
              <w:t>2.01</w:t>
            </w:r>
          </w:p>
        </w:tc>
      </w:tr>
    </w:tbl>
    <w:p>
      <w:pPr>
        <w:tabs>
          <w:tab w:val="left" w:pos="426"/>
        </w:tabs>
        <w:spacing w:before="29" w:line="288" w:lineRule="auto"/>
        <w:jc w:val="left"/>
        <w:rPr>
          <w:kern w:val="0"/>
          <w:sz w:val="24"/>
        </w:rPr>
      </w:pPr>
      <w:r>
        <w:rPr>
          <w:kern w:val="0"/>
          <w:sz w:val="24"/>
        </w:rPr>
        <w:t>注：“本期累计卖出金额”按卖出成交金额（成交单价乘以成交数量）填列，不考虑相关交易费用。</w:t>
      </w:r>
    </w:p>
    <w:p>
      <w:pPr>
        <w:tabs>
          <w:tab w:val="left" w:pos="426"/>
        </w:tabs>
        <w:spacing w:before="29" w:line="288" w:lineRule="auto"/>
        <w:jc w:val="left"/>
        <w:rPr>
          <w:rFonts w:asciiTheme="minorEastAsia" w:hAnsiTheme="minorEastAsia" w:eastAsiaTheme="minorEastAsia"/>
          <w:szCs w:val="21"/>
        </w:rPr>
      </w:pPr>
    </w:p>
    <w:p>
      <w:pPr>
        <w:spacing w:line="360" w:lineRule="auto"/>
        <w:rPr>
          <w:rFonts w:eastAsiaTheme="minorEastAsia"/>
          <w:b/>
          <w:color w:val="000000" w:themeColor="text1"/>
          <w:sz w:val="24"/>
        </w:rPr>
      </w:pPr>
      <w:r>
        <w:rPr>
          <w:rFonts w:eastAsiaTheme="minorEastAsia"/>
          <w:b/>
          <w:color w:val="000000" w:themeColor="text1"/>
          <w:sz w:val="24"/>
        </w:rPr>
        <w:t>8.4.3</w:t>
      </w:r>
      <w:r>
        <w:rPr>
          <w:rFonts w:hint="eastAsia" w:eastAsiaTheme="minorEastAsia"/>
          <w:b/>
          <w:color w:val="000000" w:themeColor="text1"/>
          <w:sz w:val="24"/>
        </w:rPr>
        <w:t>买入股票的成本总额及卖出股票的收入总额</w:t>
      </w:r>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0"/>
        <w:gridCol w:w="4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0" w:type="dxa"/>
            <w:vAlign w:val="center"/>
          </w:tcPr>
          <w:p>
            <w:pPr>
              <w:spacing w:before="29" w:line="288" w:lineRule="auto"/>
              <w:rPr>
                <w:color w:val="000000"/>
                <w:sz w:val="24"/>
              </w:rPr>
            </w:pPr>
            <w:r>
              <w:rPr>
                <w:rFonts w:hint="eastAsia"/>
                <w:color w:val="000000"/>
                <w:sz w:val="24"/>
              </w:rPr>
              <w:t>买入股票的成本（成交）总额</w:t>
            </w:r>
          </w:p>
        </w:tc>
        <w:tc>
          <w:tcPr>
            <w:tcW w:w="4500" w:type="dxa"/>
            <w:vAlign w:val="center"/>
          </w:tcPr>
          <w:p>
            <w:pPr>
              <w:spacing w:before="29" w:line="288" w:lineRule="auto"/>
              <w:jc w:val="right"/>
              <w:rPr>
                <w:color w:val="000000"/>
                <w:sz w:val="24"/>
              </w:rPr>
            </w:pPr>
            <w:r>
              <w:rPr>
                <w:color w:val="000000"/>
                <w:sz w:val="24"/>
              </w:rPr>
              <w:t>1,619,512,159.44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0" w:type="dxa"/>
            <w:vAlign w:val="center"/>
          </w:tcPr>
          <w:p>
            <w:pPr>
              <w:spacing w:before="29" w:line="288" w:lineRule="auto"/>
              <w:rPr>
                <w:color w:val="000000"/>
                <w:sz w:val="24"/>
              </w:rPr>
            </w:pPr>
            <w:r>
              <w:rPr>
                <w:rFonts w:hint="eastAsia"/>
                <w:color w:val="000000"/>
                <w:sz w:val="24"/>
              </w:rPr>
              <w:t>卖出股票的收入（成交）总额</w:t>
            </w:r>
          </w:p>
        </w:tc>
        <w:tc>
          <w:tcPr>
            <w:tcW w:w="4500" w:type="dxa"/>
            <w:vAlign w:val="center"/>
          </w:tcPr>
          <w:p>
            <w:pPr>
              <w:spacing w:before="29" w:line="288" w:lineRule="auto"/>
              <w:jc w:val="right"/>
              <w:rPr>
                <w:color w:val="000000"/>
                <w:sz w:val="24"/>
              </w:rPr>
            </w:pPr>
            <w:r>
              <w:rPr>
                <w:color w:val="000000"/>
                <w:sz w:val="24"/>
              </w:rPr>
              <w:t>1,691,229,171.43</w:t>
            </w:r>
          </w:p>
        </w:tc>
      </w:tr>
    </w:tbl>
    <w:p>
      <w:pPr>
        <w:tabs>
          <w:tab w:val="left" w:pos="426"/>
        </w:tabs>
        <w:spacing w:before="29" w:line="288" w:lineRule="auto"/>
        <w:jc w:val="left"/>
        <w:rPr>
          <w:kern w:val="0"/>
          <w:sz w:val="24"/>
        </w:rPr>
      </w:pPr>
      <w:r>
        <w:rPr>
          <w:kern w:val="0"/>
          <w:sz w:val="24"/>
        </w:rPr>
        <w:t>注：“买入股票成本”或“卖出股票收入”均按买卖成交金额（成交单价乘以成交数量）填列，不考虑相关交易费用。</w:t>
      </w:r>
    </w:p>
    <w:p>
      <w:pPr>
        <w:tabs>
          <w:tab w:val="left" w:pos="426"/>
        </w:tabs>
        <w:spacing w:before="29" w:line="288" w:lineRule="auto"/>
        <w:jc w:val="left"/>
        <w:rPr>
          <w:kern w:val="0"/>
        </w:rPr>
      </w:pPr>
    </w:p>
    <w:p>
      <w:pPr>
        <w:pStyle w:val="3"/>
        <w:spacing w:before="29" w:after="0" w:line="288" w:lineRule="auto"/>
        <w:rPr>
          <w:rFonts w:ascii="Times New Roman" w:hAnsi="Times New Roman"/>
          <w:kern w:val="0"/>
          <w:szCs w:val="24"/>
        </w:rPr>
      </w:pPr>
      <w:bookmarkStart w:id="139" w:name="_Toc234814104"/>
      <w:bookmarkStart w:id="140" w:name="_Toc361324883"/>
      <w:bookmarkStart w:id="141" w:name="_Toc67589782"/>
      <w:r>
        <w:rPr>
          <w:rFonts w:ascii="Times New Roman" w:hAnsi="Times New Roman"/>
          <w:kern w:val="0"/>
          <w:szCs w:val="24"/>
        </w:rPr>
        <w:t>8.5</w:t>
      </w:r>
      <w:r>
        <w:rPr>
          <w:rFonts w:hint="eastAsia" w:ascii="Times New Roman" w:hAnsi="Times New Roman"/>
          <w:kern w:val="0"/>
          <w:szCs w:val="24"/>
        </w:rPr>
        <w:t>期末按债券品种分类的债券投资组合</w:t>
      </w:r>
      <w:bookmarkEnd w:id="139"/>
      <w:bookmarkEnd w:id="140"/>
      <w:bookmarkEnd w:id="141"/>
    </w:p>
    <w:p>
      <w:pPr>
        <w:tabs>
          <w:tab w:val="left" w:pos="426"/>
        </w:tabs>
        <w:spacing w:before="29" w:line="288" w:lineRule="auto"/>
        <w:jc w:val="left"/>
        <w:rPr>
          <w:kern w:val="0"/>
          <w:sz w:val="24"/>
        </w:rPr>
      </w:pPr>
      <w:r>
        <w:rPr>
          <w:kern w:val="0"/>
          <w:sz w:val="24"/>
        </w:rPr>
        <w:t>本基金本报告期末未持有债券。</w:t>
      </w:r>
      <w:r>
        <w:rPr>
          <w:rFonts w:hint="eastAsia"/>
          <w:kern w:val="0"/>
          <w:sz w:val="24"/>
        </w:rPr>
        <w:br w:type="textWrapping"/>
      </w:r>
    </w:p>
    <w:p>
      <w:pPr>
        <w:pStyle w:val="3"/>
        <w:spacing w:before="29" w:after="0" w:line="288" w:lineRule="auto"/>
        <w:rPr>
          <w:rFonts w:ascii="Times New Roman" w:hAnsi="Times New Roman"/>
          <w:kern w:val="0"/>
          <w:szCs w:val="24"/>
        </w:rPr>
      </w:pPr>
      <w:bookmarkStart w:id="142" w:name="_Toc361324884"/>
      <w:bookmarkStart w:id="143" w:name="_Toc67589783"/>
      <w:r>
        <w:rPr>
          <w:rFonts w:ascii="Times New Roman" w:hAnsi="Times New Roman"/>
          <w:kern w:val="0"/>
          <w:szCs w:val="24"/>
        </w:rPr>
        <w:t>8.6</w:t>
      </w:r>
      <w:bookmarkStart w:id="144" w:name="_Toc234814105"/>
      <w:r>
        <w:rPr>
          <w:rFonts w:hint="eastAsia" w:ascii="Times New Roman" w:hAnsi="Times New Roman"/>
          <w:kern w:val="0"/>
          <w:szCs w:val="24"/>
        </w:rPr>
        <w:t>期末按公允价值占基金资产净值比例大小排序的前五名债券投资明细</w:t>
      </w:r>
      <w:bookmarkEnd w:id="142"/>
      <w:bookmarkEnd w:id="143"/>
      <w:bookmarkEnd w:id="144"/>
    </w:p>
    <w:p>
      <w:pPr>
        <w:tabs>
          <w:tab w:val="left" w:pos="426"/>
        </w:tabs>
        <w:spacing w:before="29" w:line="288" w:lineRule="auto"/>
        <w:jc w:val="left"/>
        <w:rPr>
          <w:kern w:val="0"/>
          <w:sz w:val="24"/>
        </w:rPr>
      </w:pPr>
      <w:r>
        <w:rPr>
          <w:kern w:val="0"/>
          <w:sz w:val="24"/>
        </w:rPr>
        <w:t>本基金本报告期末未持有债券。</w:t>
      </w:r>
      <w:r>
        <w:rPr>
          <w:rFonts w:hint="eastAsia"/>
          <w:kern w:val="0"/>
          <w:sz w:val="24"/>
        </w:rPr>
        <w:br w:type="textWrapping"/>
      </w:r>
    </w:p>
    <w:p>
      <w:pPr>
        <w:pStyle w:val="3"/>
        <w:spacing w:before="29" w:after="0" w:line="288" w:lineRule="auto"/>
        <w:rPr>
          <w:rFonts w:ascii="Times New Roman" w:hAnsi="Times New Roman"/>
          <w:kern w:val="0"/>
          <w:szCs w:val="24"/>
        </w:rPr>
      </w:pPr>
      <w:bookmarkStart w:id="145" w:name="_Toc361324885"/>
      <w:bookmarkStart w:id="146" w:name="_Toc67589784"/>
      <w:r>
        <w:rPr>
          <w:rFonts w:ascii="Times New Roman" w:hAnsi="Times New Roman"/>
          <w:kern w:val="0"/>
          <w:szCs w:val="24"/>
        </w:rPr>
        <w:t>8.7</w:t>
      </w:r>
      <w:r>
        <w:rPr>
          <w:rFonts w:hint="eastAsia" w:ascii="Times New Roman" w:hAnsi="Times New Roman"/>
          <w:kern w:val="0"/>
          <w:szCs w:val="24"/>
        </w:rPr>
        <w:t>期末按公允价值占基金资产净值比例大小排序的所有资产支持证券投资明细</w:t>
      </w:r>
      <w:bookmarkEnd w:id="145"/>
      <w:bookmarkEnd w:id="146"/>
    </w:p>
    <w:p>
      <w:pPr>
        <w:tabs>
          <w:tab w:val="left" w:pos="426"/>
        </w:tabs>
        <w:spacing w:before="29" w:line="288" w:lineRule="auto"/>
        <w:jc w:val="left"/>
        <w:rPr>
          <w:kern w:val="0"/>
          <w:sz w:val="24"/>
        </w:rPr>
      </w:pPr>
      <w:r>
        <w:rPr>
          <w:kern w:val="0"/>
          <w:sz w:val="24"/>
        </w:rPr>
        <w:t>本基金本报告期末未持有资产支持证券。</w:t>
      </w:r>
      <w:r>
        <w:rPr>
          <w:rFonts w:hint="eastAsia"/>
          <w:kern w:val="0"/>
          <w:sz w:val="24"/>
        </w:rPr>
        <w:br w:type="textWrapping"/>
      </w:r>
    </w:p>
    <w:p>
      <w:pPr>
        <w:pStyle w:val="3"/>
        <w:spacing w:before="29" w:after="0" w:line="288" w:lineRule="auto"/>
        <w:rPr>
          <w:rFonts w:ascii="Times New Roman" w:hAnsi="Times New Roman"/>
          <w:kern w:val="0"/>
          <w:szCs w:val="24"/>
        </w:rPr>
      </w:pPr>
      <w:bookmarkStart w:id="147" w:name="_Toc67589785"/>
      <w:r>
        <w:rPr>
          <w:rFonts w:ascii="Times New Roman" w:hAnsi="Times New Roman"/>
          <w:kern w:val="0"/>
          <w:szCs w:val="24"/>
        </w:rPr>
        <w:t>8.8</w:t>
      </w:r>
      <w:r>
        <w:rPr>
          <w:rFonts w:hint="eastAsia" w:ascii="Times New Roman" w:hAnsi="Times New Roman"/>
          <w:kern w:val="0"/>
          <w:szCs w:val="24"/>
        </w:rPr>
        <w:t>报告期末按公允价值占基金资产净值比例大小排序的前五名贵金属投资明细</w:t>
      </w:r>
      <w:bookmarkEnd w:id="147"/>
    </w:p>
    <w:p>
      <w:pPr>
        <w:tabs>
          <w:tab w:val="left" w:pos="426"/>
        </w:tabs>
        <w:spacing w:before="29" w:line="288" w:lineRule="auto"/>
        <w:jc w:val="left"/>
        <w:rPr>
          <w:kern w:val="0"/>
          <w:sz w:val="24"/>
        </w:rPr>
      </w:pPr>
      <w:r>
        <w:rPr>
          <w:kern w:val="0"/>
          <w:sz w:val="24"/>
        </w:rPr>
        <w:t>本基金本报告期末未持有贵金属。</w:t>
      </w:r>
    </w:p>
    <w:p>
      <w:pPr>
        <w:tabs>
          <w:tab w:val="left" w:pos="426"/>
        </w:tabs>
        <w:spacing w:before="29" w:line="288" w:lineRule="auto"/>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48" w:name="_Toc361324886"/>
      <w:bookmarkStart w:id="149" w:name="_Toc67589786"/>
      <w:r>
        <w:rPr>
          <w:rFonts w:ascii="Times New Roman" w:hAnsi="Times New Roman"/>
          <w:kern w:val="0"/>
          <w:szCs w:val="24"/>
        </w:rPr>
        <w:t>8.9</w:t>
      </w:r>
      <w:r>
        <w:rPr>
          <w:rFonts w:hint="eastAsia" w:ascii="Times New Roman" w:hAnsi="Times New Roman"/>
          <w:kern w:val="0"/>
          <w:szCs w:val="24"/>
        </w:rPr>
        <w:t>期末按公允价值占基金资产净值比例大小排序的前五名权证投资明细</w:t>
      </w:r>
      <w:bookmarkEnd w:id="148"/>
      <w:bookmarkEnd w:id="149"/>
    </w:p>
    <w:p>
      <w:pPr>
        <w:tabs>
          <w:tab w:val="left" w:pos="426"/>
        </w:tabs>
        <w:spacing w:before="29" w:line="288" w:lineRule="auto"/>
        <w:jc w:val="left"/>
        <w:rPr>
          <w:kern w:val="0"/>
          <w:sz w:val="24"/>
        </w:rPr>
      </w:pPr>
      <w:r>
        <w:rPr>
          <w:kern w:val="0"/>
          <w:sz w:val="24"/>
        </w:rPr>
        <w:t>本基金本报告期末未持有权证。</w:t>
      </w:r>
    </w:p>
    <w:p>
      <w:pPr>
        <w:pStyle w:val="22"/>
        <w:spacing w:before="0" w:beforeAutospacing="0" w:after="0" w:afterAutospacing="0" w:line="360" w:lineRule="auto"/>
        <w:rPr>
          <w:rFonts w:asciiTheme="minorEastAsia" w:hAnsiTheme="minorEastAsia" w:eastAsiaTheme="minorEastAsia"/>
          <w:color w:val="000000"/>
          <w:sz w:val="21"/>
          <w:szCs w:val="21"/>
        </w:rPr>
      </w:pPr>
    </w:p>
    <w:p>
      <w:pPr>
        <w:pStyle w:val="3"/>
        <w:spacing w:before="29" w:after="0" w:line="288" w:lineRule="auto"/>
        <w:rPr>
          <w:rFonts w:ascii="Times New Roman" w:hAnsi="Times New Roman"/>
          <w:kern w:val="0"/>
          <w:szCs w:val="24"/>
        </w:rPr>
      </w:pPr>
      <w:bookmarkStart w:id="150" w:name="_Toc67589787"/>
      <w:r>
        <w:rPr>
          <w:rFonts w:hint="eastAsia" w:ascii="Times New Roman" w:hAnsi="Times New Roman"/>
          <w:kern w:val="0"/>
          <w:szCs w:val="24"/>
        </w:rPr>
        <w:t>8.10 报告期末本基金投资的股指期货交易情况说明</w:t>
      </w:r>
      <w:bookmarkEnd w:id="150"/>
    </w:p>
    <w:p>
      <w:pPr>
        <w:tabs>
          <w:tab w:val="left" w:pos="426"/>
        </w:tabs>
        <w:spacing w:before="29" w:line="288" w:lineRule="auto"/>
        <w:jc w:val="left"/>
        <w:rPr>
          <w:kern w:val="0"/>
          <w:sz w:val="24"/>
        </w:rPr>
      </w:pPr>
      <w:r>
        <w:rPr>
          <w:kern w:val="0"/>
          <w:sz w:val="24"/>
        </w:rPr>
        <w:t>本基金本报告期末未持有股指期货。</w:t>
      </w:r>
    </w:p>
    <w:p>
      <w:pPr>
        <w:adjustRightInd w:val="0"/>
        <w:snapToGrid w:val="0"/>
        <w:spacing w:line="360" w:lineRule="auto"/>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151" w:name="_Toc67589788"/>
      <w:r>
        <w:rPr>
          <w:rFonts w:hint="eastAsia" w:ascii="Times New Roman" w:hAnsi="Times New Roman"/>
          <w:kern w:val="0"/>
          <w:szCs w:val="24"/>
        </w:rPr>
        <w:t>8.11报告期末本基金投资的国债期货交易情况说明</w:t>
      </w:r>
      <w:bookmarkEnd w:id="151"/>
    </w:p>
    <w:p>
      <w:pPr>
        <w:tabs>
          <w:tab w:val="left" w:pos="426"/>
        </w:tabs>
        <w:spacing w:before="29" w:line="288" w:lineRule="auto"/>
        <w:jc w:val="left"/>
        <w:rPr>
          <w:kern w:val="0"/>
          <w:sz w:val="24"/>
        </w:rPr>
      </w:pPr>
      <w:r>
        <w:rPr>
          <w:rFonts w:hint="eastAsia"/>
          <w:kern w:val="0"/>
          <w:sz w:val="24"/>
        </w:rPr>
        <w:t>本基金本报告期末未持有国债期货。</w:t>
      </w:r>
    </w:p>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152" w:name="_Toc361324887"/>
      <w:bookmarkStart w:id="153" w:name="_Toc67589789"/>
      <w:r>
        <w:rPr>
          <w:rFonts w:ascii="Times New Roman" w:hAnsi="Times New Roman"/>
          <w:kern w:val="0"/>
          <w:szCs w:val="24"/>
        </w:rPr>
        <w:t xml:space="preserve">8.12 </w:t>
      </w:r>
      <w:r>
        <w:rPr>
          <w:rFonts w:hint="eastAsia" w:ascii="Times New Roman" w:hAnsi="Times New Roman"/>
          <w:kern w:val="0"/>
          <w:szCs w:val="24"/>
        </w:rPr>
        <w:t>投资组合报告附注</w:t>
      </w:r>
      <w:bookmarkEnd w:id="152"/>
      <w:bookmarkEnd w:id="153"/>
    </w:p>
    <w:p>
      <w:pPr>
        <w:spacing w:before="29" w:line="288" w:lineRule="auto"/>
        <w:rPr>
          <w:color w:val="000000"/>
          <w:sz w:val="24"/>
        </w:rPr>
      </w:pPr>
      <w:r>
        <w:rPr>
          <w:b/>
          <w:color w:val="000000"/>
          <w:sz w:val="24"/>
        </w:rPr>
        <w:t>8.12.1</w:t>
      </w:r>
      <w:r>
        <w:rPr>
          <w:color w:val="000000"/>
          <w:sz w:val="24"/>
        </w:rPr>
        <w:t>报告期内本基金投资的前十名证券的发行主体未被监管部门立案调查，在本报告编制日前一年内本基金投资的前十名证券的发行主体未受到公开谴责和处罚。</w:t>
      </w:r>
    </w:p>
    <w:p>
      <w:pPr>
        <w:spacing w:before="29" w:line="288" w:lineRule="auto"/>
        <w:rPr>
          <w:color w:val="000000"/>
          <w:sz w:val="24"/>
        </w:rPr>
      </w:pPr>
      <w:r>
        <w:rPr>
          <w:b/>
          <w:color w:val="000000"/>
          <w:sz w:val="24"/>
        </w:rPr>
        <w:t>8.12.2</w:t>
      </w:r>
      <w:r>
        <w:rPr>
          <w:color w:val="000000"/>
          <w:sz w:val="24"/>
        </w:rPr>
        <w:t>本基金投资的前十名股票中，没有超出基金合同规定的备选股票库之外的股票。</w:t>
      </w:r>
    </w:p>
    <w:p>
      <w:pPr>
        <w:spacing w:line="360" w:lineRule="auto"/>
        <w:rPr>
          <w:rFonts w:eastAsiaTheme="minorEastAsia"/>
          <w:b/>
          <w:color w:val="000000" w:themeColor="text1"/>
          <w:sz w:val="24"/>
        </w:rPr>
      </w:pPr>
      <w:r>
        <w:rPr>
          <w:rFonts w:eastAsiaTheme="minorEastAsia"/>
          <w:b/>
          <w:color w:val="000000" w:themeColor="text1"/>
          <w:sz w:val="24"/>
        </w:rPr>
        <w:t>8.12.3</w:t>
      </w:r>
      <w:r>
        <w:rPr>
          <w:rFonts w:hint="eastAsia" w:eastAsiaTheme="minorEastAsia"/>
          <w:b/>
          <w:color w:val="000000" w:themeColor="text1"/>
          <w:sz w:val="24"/>
        </w:rPr>
        <w:t>期末其他各项资产构成</w:t>
      </w:r>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4117"/>
        <w:gridCol w:w="4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spacing w:before="29" w:line="288" w:lineRule="auto"/>
              <w:jc w:val="center"/>
              <w:rPr>
                <w:color w:val="000000"/>
                <w:sz w:val="24"/>
              </w:rPr>
            </w:pPr>
            <w:r>
              <w:rPr>
                <w:rFonts w:hint="eastAsia"/>
                <w:color w:val="000000"/>
                <w:sz w:val="24"/>
              </w:rPr>
              <w:t>序号</w:t>
            </w:r>
          </w:p>
        </w:tc>
        <w:tc>
          <w:tcPr>
            <w:tcW w:w="4117" w:type="dxa"/>
          </w:tcPr>
          <w:p>
            <w:pPr>
              <w:spacing w:before="29" w:line="288" w:lineRule="auto"/>
              <w:jc w:val="center"/>
              <w:rPr>
                <w:color w:val="000000"/>
                <w:sz w:val="24"/>
              </w:rPr>
            </w:pPr>
            <w:r>
              <w:rPr>
                <w:rFonts w:hint="eastAsia"/>
                <w:color w:val="000000"/>
                <w:sz w:val="24"/>
              </w:rPr>
              <w:t>名称</w:t>
            </w:r>
          </w:p>
        </w:tc>
        <w:tc>
          <w:tcPr>
            <w:tcW w:w="4118" w:type="dxa"/>
          </w:tcPr>
          <w:p>
            <w:pPr>
              <w:spacing w:before="29" w:line="288" w:lineRule="auto"/>
              <w:jc w:val="center"/>
              <w:rPr>
                <w:color w:val="000000"/>
                <w:sz w:val="24"/>
              </w:rPr>
            </w:pPr>
            <w:r>
              <w:rPr>
                <w:rFonts w:hint="eastAsia"/>
                <w:color w:val="000000"/>
                <w:sz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1</w:t>
            </w:r>
          </w:p>
        </w:tc>
        <w:tc>
          <w:tcPr>
            <w:tcW w:w="4117" w:type="dxa"/>
            <w:vAlign w:val="center"/>
          </w:tcPr>
          <w:p>
            <w:pPr>
              <w:widowControl/>
              <w:spacing w:before="29" w:line="288" w:lineRule="auto"/>
              <w:rPr>
                <w:color w:val="000000"/>
                <w:kern w:val="0"/>
                <w:sz w:val="24"/>
              </w:rPr>
            </w:pPr>
            <w:r>
              <w:rPr>
                <w:rFonts w:hint="eastAsia"/>
                <w:color w:val="000000"/>
                <w:kern w:val="0"/>
                <w:sz w:val="24"/>
              </w:rPr>
              <w:t>存出保证金</w:t>
            </w:r>
          </w:p>
        </w:tc>
        <w:tc>
          <w:tcPr>
            <w:tcW w:w="4118" w:type="dxa"/>
            <w:vAlign w:val="center"/>
          </w:tcPr>
          <w:p>
            <w:pPr>
              <w:spacing w:before="29" w:line="288" w:lineRule="auto"/>
              <w:jc w:val="right"/>
              <w:rPr>
                <w:kern w:val="0"/>
                <w:sz w:val="24"/>
              </w:rPr>
            </w:pPr>
            <w:r>
              <w:rPr>
                <w:kern w:val="0"/>
                <w:sz w:val="24"/>
              </w:rPr>
              <w:t>150,790.72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2</w:t>
            </w:r>
          </w:p>
        </w:tc>
        <w:tc>
          <w:tcPr>
            <w:tcW w:w="4117" w:type="dxa"/>
            <w:vAlign w:val="center"/>
          </w:tcPr>
          <w:p>
            <w:pPr>
              <w:widowControl/>
              <w:spacing w:before="29" w:line="288" w:lineRule="auto"/>
              <w:rPr>
                <w:color w:val="000000"/>
                <w:kern w:val="0"/>
                <w:sz w:val="24"/>
              </w:rPr>
            </w:pPr>
            <w:r>
              <w:rPr>
                <w:rFonts w:hint="eastAsia"/>
                <w:color w:val="000000"/>
                <w:kern w:val="0"/>
                <w:sz w:val="24"/>
              </w:rPr>
              <w:t>应收证券清算款</w:t>
            </w:r>
          </w:p>
        </w:tc>
        <w:tc>
          <w:tcPr>
            <w:tcW w:w="4118" w:type="dxa"/>
            <w:vAlign w:val="center"/>
          </w:tcPr>
          <w:p>
            <w:pPr>
              <w:spacing w:before="29" w:line="288" w:lineRule="auto"/>
              <w:jc w:val="right"/>
              <w:rPr>
                <w:kern w:val="0"/>
                <w:sz w:val="24"/>
              </w:rPr>
            </w:pPr>
            <w:r>
              <w:rPr>
                <w:kern w:val="0"/>
                <w:sz w:val="24"/>
              </w:rPr>
              <w:t>3,452,307.95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3</w:t>
            </w:r>
          </w:p>
        </w:tc>
        <w:tc>
          <w:tcPr>
            <w:tcW w:w="4117" w:type="dxa"/>
            <w:vAlign w:val="center"/>
          </w:tcPr>
          <w:p>
            <w:pPr>
              <w:widowControl/>
              <w:spacing w:before="29" w:line="288" w:lineRule="auto"/>
              <w:rPr>
                <w:color w:val="000000"/>
                <w:kern w:val="0"/>
                <w:sz w:val="24"/>
              </w:rPr>
            </w:pPr>
            <w:r>
              <w:rPr>
                <w:rFonts w:hint="eastAsia"/>
                <w:color w:val="000000"/>
                <w:kern w:val="0"/>
                <w:sz w:val="24"/>
              </w:rPr>
              <w:t>应收股利</w:t>
            </w:r>
          </w:p>
        </w:tc>
        <w:tc>
          <w:tcPr>
            <w:tcW w:w="4118"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4</w:t>
            </w:r>
          </w:p>
        </w:tc>
        <w:tc>
          <w:tcPr>
            <w:tcW w:w="4117" w:type="dxa"/>
            <w:vAlign w:val="center"/>
          </w:tcPr>
          <w:p>
            <w:pPr>
              <w:widowControl/>
              <w:spacing w:before="29" w:line="288" w:lineRule="auto"/>
              <w:rPr>
                <w:color w:val="000000"/>
                <w:kern w:val="0"/>
                <w:sz w:val="24"/>
              </w:rPr>
            </w:pPr>
            <w:r>
              <w:rPr>
                <w:rFonts w:hint="eastAsia"/>
                <w:color w:val="000000"/>
                <w:kern w:val="0"/>
                <w:sz w:val="24"/>
              </w:rPr>
              <w:t>应收利息</w:t>
            </w:r>
          </w:p>
        </w:tc>
        <w:tc>
          <w:tcPr>
            <w:tcW w:w="4118" w:type="dxa"/>
            <w:vAlign w:val="center"/>
          </w:tcPr>
          <w:p>
            <w:pPr>
              <w:spacing w:before="29" w:line="288" w:lineRule="auto"/>
              <w:jc w:val="right"/>
              <w:rPr>
                <w:kern w:val="0"/>
                <w:sz w:val="24"/>
              </w:rPr>
            </w:pPr>
            <w:r>
              <w:rPr>
                <w:kern w:val="0"/>
                <w:sz w:val="24"/>
              </w:rPr>
              <w:t>3,600.78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5</w:t>
            </w:r>
          </w:p>
        </w:tc>
        <w:tc>
          <w:tcPr>
            <w:tcW w:w="4117" w:type="dxa"/>
            <w:vAlign w:val="center"/>
          </w:tcPr>
          <w:p>
            <w:pPr>
              <w:widowControl/>
              <w:spacing w:before="29" w:line="288" w:lineRule="auto"/>
              <w:rPr>
                <w:color w:val="000000"/>
                <w:kern w:val="0"/>
                <w:sz w:val="24"/>
              </w:rPr>
            </w:pPr>
            <w:r>
              <w:rPr>
                <w:rFonts w:hint="eastAsia"/>
                <w:color w:val="000000"/>
                <w:kern w:val="0"/>
                <w:sz w:val="24"/>
              </w:rPr>
              <w:t>应收申购款</w:t>
            </w:r>
          </w:p>
        </w:tc>
        <w:tc>
          <w:tcPr>
            <w:tcW w:w="4118" w:type="dxa"/>
            <w:vAlign w:val="center"/>
          </w:tcPr>
          <w:p>
            <w:pPr>
              <w:spacing w:before="29" w:line="288" w:lineRule="auto"/>
              <w:jc w:val="right"/>
              <w:rPr>
                <w:kern w:val="0"/>
                <w:sz w:val="24"/>
              </w:rPr>
            </w:pPr>
            <w:r>
              <w:rPr>
                <w:kern w:val="0"/>
                <w:sz w:val="24"/>
              </w:rPr>
              <w:t>404,396.09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6</w:t>
            </w:r>
          </w:p>
        </w:tc>
        <w:tc>
          <w:tcPr>
            <w:tcW w:w="4117" w:type="dxa"/>
            <w:vAlign w:val="center"/>
          </w:tcPr>
          <w:p>
            <w:pPr>
              <w:widowControl/>
              <w:spacing w:before="29" w:line="288" w:lineRule="auto"/>
              <w:rPr>
                <w:color w:val="000000"/>
                <w:kern w:val="0"/>
                <w:sz w:val="24"/>
              </w:rPr>
            </w:pPr>
            <w:r>
              <w:rPr>
                <w:rFonts w:hint="eastAsia"/>
                <w:color w:val="000000"/>
                <w:kern w:val="0"/>
                <w:sz w:val="24"/>
              </w:rPr>
              <w:t>其他应收款</w:t>
            </w:r>
          </w:p>
        </w:tc>
        <w:tc>
          <w:tcPr>
            <w:tcW w:w="4118"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7</w:t>
            </w:r>
          </w:p>
        </w:tc>
        <w:tc>
          <w:tcPr>
            <w:tcW w:w="4117" w:type="dxa"/>
            <w:vAlign w:val="center"/>
          </w:tcPr>
          <w:p>
            <w:pPr>
              <w:widowControl/>
              <w:spacing w:before="29" w:line="288" w:lineRule="auto"/>
              <w:rPr>
                <w:color w:val="000000"/>
                <w:kern w:val="0"/>
                <w:sz w:val="24"/>
              </w:rPr>
            </w:pPr>
            <w:r>
              <w:rPr>
                <w:rFonts w:hint="eastAsia"/>
                <w:color w:val="000000"/>
                <w:kern w:val="0"/>
                <w:sz w:val="24"/>
              </w:rPr>
              <w:t>待摊费用</w:t>
            </w:r>
          </w:p>
        </w:tc>
        <w:tc>
          <w:tcPr>
            <w:tcW w:w="4118"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8</w:t>
            </w:r>
          </w:p>
        </w:tc>
        <w:tc>
          <w:tcPr>
            <w:tcW w:w="4117" w:type="dxa"/>
            <w:vAlign w:val="center"/>
          </w:tcPr>
          <w:p>
            <w:pPr>
              <w:widowControl/>
              <w:spacing w:line="288" w:lineRule="auto"/>
              <w:rPr>
                <w:color w:val="000000"/>
                <w:kern w:val="0"/>
                <w:sz w:val="24"/>
              </w:rPr>
            </w:pPr>
            <w:r>
              <w:rPr>
                <w:rFonts w:hint="eastAsia"/>
                <w:color w:val="000000"/>
                <w:kern w:val="0"/>
                <w:sz w:val="24"/>
              </w:rPr>
              <w:t>其他</w:t>
            </w:r>
          </w:p>
        </w:tc>
        <w:tc>
          <w:tcPr>
            <w:tcW w:w="4118"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9</w:t>
            </w:r>
          </w:p>
        </w:tc>
        <w:tc>
          <w:tcPr>
            <w:tcW w:w="4117" w:type="dxa"/>
            <w:vAlign w:val="center"/>
          </w:tcPr>
          <w:p>
            <w:pPr>
              <w:widowControl/>
              <w:spacing w:line="288" w:lineRule="auto"/>
              <w:rPr>
                <w:color w:val="000000"/>
                <w:kern w:val="0"/>
                <w:sz w:val="24"/>
              </w:rPr>
            </w:pPr>
            <w:r>
              <w:rPr>
                <w:rFonts w:hint="eastAsia"/>
                <w:color w:val="000000"/>
                <w:kern w:val="0"/>
                <w:sz w:val="24"/>
              </w:rPr>
              <w:t>合计</w:t>
            </w:r>
          </w:p>
        </w:tc>
        <w:tc>
          <w:tcPr>
            <w:tcW w:w="4118" w:type="dxa"/>
            <w:vAlign w:val="center"/>
          </w:tcPr>
          <w:p>
            <w:pPr>
              <w:spacing w:before="29" w:line="288" w:lineRule="auto"/>
              <w:jc w:val="right"/>
              <w:rPr>
                <w:kern w:val="0"/>
                <w:sz w:val="24"/>
              </w:rPr>
            </w:pPr>
            <w:r>
              <w:rPr>
                <w:kern w:val="0"/>
                <w:sz w:val="24"/>
              </w:rPr>
              <w:t>4,011,095.54</w:t>
            </w:r>
          </w:p>
        </w:tc>
      </w:tr>
    </w:tbl>
    <w:p>
      <w:pPr>
        <w:pStyle w:val="22"/>
        <w:spacing w:before="0" w:beforeAutospacing="0" w:after="0" w:afterAutospacing="0" w:line="360" w:lineRule="auto"/>
        <w:rPr>
          <w:rFonts w:asciiTheme="minorEastAsia" w:hAnsiTheme="minorEastAsia" w:eastAsiaTheme="minorEastAsia"/>
          <w:b/>
          <w:bCs/>
          <w:color w:val="000000"/>
          <w:sz w:val="21"/>
          <w:szCs w:val="21"/>
        </w:rPr>
      </w:pPr>
    </w:p>
    <w:p>
      <w:pPr>
        <w:spacing w:line="360" w:lineRule="auto"/>
        <w:rPr>
          <w:rFonts w:eastAsiaTheme="minorEastAsia"/>
          <w:b/>
          <w:color w:val="000000" w:themeColor="text1"/>
          <w:sz w:val="24"/>
        </w:rPr>
      </w:pPr>
      <w:r>
        <w:rPr>
          <w:rFonts w:eastAsiaTheme="minorEastAsia"/>
          <w:b/>
          <w:color w:val="000000" w:themeColor="text1"/>
          <w:sz w:val="24"/>
        </w:rPr>
        <w:t>8.12.4</w:t>
      </w:r>
      <w:r>
        <w:rPr>
          <w:rFonts w:hint="eastAsia" w:eastAsiaTheme="minorEastAsia"/>
          <w:b/>
          <w:color w:val="000000" w:themeColor="text1"/>
          <w:sz w:val="24"/>
        </w:rPr>
        <w:t>期末持有的处于转股期的可转换债券明细</w:t>
      </w:r>
    </w:p>
    <w:p>
      <w:pPr>
        <w:tabs>
          <w:tab w:val="left" w:pos="426"/>
        </w:tabs>
        <w:spacing w:before="29" w:line="288" w:lineRule="auto"/>
        <w:jc w:val="left"/>
        <w:rPr>
          <w:kern w:val="0"/>
          <w:sz w:val="24"/>
        </w:rPr>
      </w:pPr>
      <w:r>
        <w:rPr>
          <w:kern w:val="0"/>
          <w:sz w:val="24"/>
        </w:rPr>
        <w:t>本基金本报告期末未持有处于转股期的可转换债券。</w:t>
      </w:r>
    </w:p>
    <w:p>
      <w:pPr>
        <w:pStyle w:val="22"/>
        <w:spacing w:before="0" w:beforeAutospacing="0" w:after="0" w:afterAutospacing="0" w:line="360" w:lineRule="auto"/>
        <w:rPr>
          <w:rFonts w:asciiTheme="minorEastAsia" w:hAnsiTheme="minorEastAsia" w:eastAsiaTheme="minorEastAsia"/>
          <w:color w:val="000000"/>
          <w:sz w:val="21"/>
          <w:szCs w:val="21"/>
        </w:rPr>
      </w:pPr>
    </w:p>
    <w:p>
      <w:pPr>
        <w:spacing w:line="360" w:lineRule="auto"/>
        <w:rPr>
          <w:rFonts w:eastAsiaTheme="minorEastAsia"/>
          <w:b/>
          <w:color w:val="000000" w:themeColor="text1"/>
          <w:sz w:val="24"/>
        </w:rPr>
      </w:pPr>
      <w:r>
        <w:rPr>
          <w:rFonts w:eastAsiaTheme="minorEastAsia"/>
          <w:b/>
          <w:color w:val="000000" w:themeColor="text1"/>
          <w:sz w:val="24"/>
        </w:rPr>
        <w:t>8.12.5</w:t>
      </w:r>
      <w:r>
        <w:rPr>
          <w:rFonts w:hint="eastAsia" w:eastAsiaTheme="minorEastAsia"/>
          <w:b/>
          <w:color w:val="000000" w:themeColor="text1"/>
          <w:sz w:val="24"/>
        </w:rPr>
        <w:t>期末前十名股票中存在流通受限情况的说明</w:t>
      </w:r>
    </w:p>
    <w:p>
      <w:pPr>
        <w:tabs>
          <w:tab w:val="left" w:pos="426"/>
        </w:tabs>
        <w:spacing w:before="29" w:line="288" w:lineRule="auto"/>
        <w:jc w:val="left"/>
        <w:rPr>
          <w:kern w:val="0"/>
          <w:sz w:val="24"/>
        </w:rPr>
      </w:pPr>
      <w:r>
        <w:rPr>
          <w:kern w:val="0"/>
          <w:sz w:val="24"/>
        </w:rPr>
        <w:t>本基金本报告期末前十名股票中不存在流通受限情况。</w:t>
      </w:r>
    </w:p>
    <w:p>
      <w:pPr>
        <w:autoSpaceDE w:val="0"/>
        <w:autoSpaceDN w:val="0"/>
        <w:adjustRightInd w:val="0"/>
        <w:spacing w:line="360" w:lineRule="auto"/>
        <w:ind w:firstLine="420"/>
        <w:rPr>
          <w:rFonts w:asciiTheme="minorEastAsia" w:hAnsiTheme="minorEastAsia" w:eastAsiaTheme="minorEastAsia"/>
          <w:color w:val="000000"/>
          <w:szCs w:val="21"/>
        </w:rPr>
      </w:pPr>
    </w:p>
    <w:p>
      <w:pPr>
        <w:spacing w:line="360" w:lineRule="auto"/>
        <w:rPr>
          <w:rFonts w:eastAsiaTheme="minorEastAsia"/>
          <w:b/>
          <w:color w:val="000000" w:themeColor="text1"/>
          <w:sz w:val="24"/>
        </w:rPr>
      </w:pPr>
      <w:r>
        <w:rPr>
          <w:rFonts w:eastAsiaTheme="minorEastAsia"/>
          <w:b/>
          <w:color w:val="000000" w:themeColor="text1"/>
          <w:sz w:val="24"/>
        </w:rPr>
        <w:t>8.12.6</w:t>
      </w:r>
      <w:r>
        <w:rPr>
          <w:rFonts w:hint="eastAsia" w:eastAsiaTheme="minorEastAsia"/>
          <w:b/>
          <w:color w:val="000000" w:themeColor="text1"/>
          <w:sz w:val="24"/>
        </w:rPr>
        <w:t>投资组合报告附注的其他文字描述部分</w:t>
      </w:r>
    </w:p>
    <w:p>
      <w:pPr>
        <w:spacing w:before="29" w:line="288" w:lineRule="auto"/>
        <w:rPr>
          <w:color w:val="000000"/>
          <w:sz w:val="24"/>
        </w:rPr>
      </w:pPr>
      <w:r>
        <w:rPr>
          <w:color w:val="000000"/>
          <w:sz w:val="24"/>
        </w:rPr>
        <w:t>由于四舍五入的原因，分项之和与合计项之间可能存在尾差。</w:t>
      </w:r>
    </w:p>
    <w:p>
      <w:pPr>
        <w:spacing w:before="29" w:line="288" w:lineRule="auto"/>
        <w:rPr>
          <w:color w:val="000000"/>
          <w:sz w:val="24"/>
        </w:rPr>
      </w:pPr>
    </w:p>
    <w:p>
      <w:pPr>
        <w:pStyle w:val="2"/>
        <w:keepNext/>
        <w:keepLines/>
        <w:widowControl w:val="0"/>
        <w:spacing w:before="312" w:beforeLines="100" w:after="312" w:afterLines="100" w:line="288" w:lineRule="auto"/>
        <w:jc w:val="center"/>
        <w:rPr>
          <w:b/>
          <w:color w:val="000000"/>
          <w:szCs w:val="24"/>
        </w:rPr>
      </w:pPr>
      <w:bookmarkStart w:id="154" w:name="_Toc361324888"/>
      <w:bookmarkStart w:id="155" w:name="_Toc225500050"/>
      <w:bookmarkStart w:id="156" w:name="_Toc67589790"/>
      <w:r>
        <w:rPr>
          <w:rFonts w:hint="eastAsia"/>
          <w:b/>
          <w:color w:val="000000"/>
          <w:szCs w:val="24"/>
        </w:rPr>
        <w:t>§</w:t>
      </w:r>
      <w:r>
        <w:rPr>
          <w:b/>
          <w:color w:val="000000"/>
          <w:szCs w:val="24"/>
        </w:rPr>
        <w:t>9</w:t>
      </w:r>
      <w:r>
        <w:rPr>
          <w:rFonts w:hint="eastAsia"/>
          <w:b/>
          <w:color w:val="000000"/>
          <w:szCs w:val="24"/>
        </w:rPr>
        <w:t>基金份额持有人信息</w:t>
      </w:r>
      <w:bookmarkEnd w:id="154"/>
      <w:bookmarkEnd w:id="155"/>
      <w:bookmarkEnd w:id="156"/>
    </w:p>
    <w:p>
      <w:pPr>
        <w:pStyle w:val="3"/>
        <w:spacing w:before="29" w:after="0" w:line="288" w:lineRule="auto"/>
        <w:rPr>
          <w:rFonts w:ascii="Times New Roman" w:hAnsi="Times New Roman"/>
          <w:kern w:val="0"/>
          <w:szCs w:val="24"/>
        </w:rPr>
      </w:pPr>
      <w:bookmarkStart w:id="157" w:name="_Toc225500051"/>
      <w:bookmarkStart w:id="158" w:name="_Toc361324889"/>
      <w:bookmarkStart w:id="159" w:name="_Toc67589791"/>
      <w:r>
        <w:rPr>
          <w:rFonts w:ascii="Times New Roman" w:hAnsi="Times New Roman"/>
          <w:kern w:val="0"/>
          <w:szCs w:val="24"/>
        </w:rPr>
        <w:t xml:space="preserve">9.1 </w:t>
      </w:r>
      <w:r>
        <w:rPr>
          <w:rFonts w:hint="eastAsia" w:ascii="Times New Roman" w:hAnsi="Times New Roman"/>
          <w:kern w:val="0"/>
          <w:szCs w:val="24"/>
        </w:rPr>
        <w:t>期末基金份额持有人户数及持有人结构</w:t>
      </w:r>
      <w:bookmarkEnd w:id="157"/>
      <w:bookmarkEnd w:id="158"/>
      <w:bookmarkEnd w:id="159"/>
    </w:p>
    <w:p>
      <w:pPr>
        <w:autoSpaceDE w:val="0"/>
        <w:autoSpaceDN w:val="0"/>
        <w:adjustRightInd w:val="0"/>
        <w:spacing w:before="29" w:line="288" w:lineRule="auto"/>
        <w:ind w:left="15"/>
        <w:jc w:val="right"/>
        <w:rPr>
          <w:color w:val="000000"/>
          <w:sz w:val="24"/>
        </w:rPr>
      </w:pPr>
      <w:r>
        <w:rPr>
          <w:rFonts w:hint="eastAsia"/>
          <w:color w:val="000000"/>
          <w:sz w:val="24"/>
        </w:rPr>
        <w:t>份额单位：份</w:t>
      </w:r>
    </w:p>
    <w:p>
      <w:pPr>
        <w:autoSpaceDE w:val="0"/>
        <w:autoSpaceDN w:val="0"/>
        <w:adjustRightInd w:val="0"/>
        <w:spacing w:line="360" w:lineRule="auto"/>
        <w:jc w:val="left"/>
        <w:rPr>
          <w:rFonts w:asciiTheme="minorEastAsia" w:hAnsiTheme="minorEastAsia" w:eastAsiaTheme="minorEastAsia"/>
          <w:color w:val="000000"/>
          <w:szCs w:val="21"/>
        </w:rPr>
      </w:pPr>
    </w:p>
    <w:tbl>
      <w:tblPr>
        <w:tblStyle w:val="25"/>
        <w:tblW w:w="5000" w:type="pct"/>
        <w:jc w:val="center"/>
        <w:tblLayout w:type="fixed"/>
        <w:tblCellMar>
          <w:top w:w="0" w:type="dxa"/>
          <w:left w:w="108" w:type="dxa"/>
          <w:bottom w:w="0" w:type="dxa"/>
          <w:right w:w="108" w:type="dxa"/>
        </w:tblCellMar>
      </w:tblPr>
      <w:tblGrid>
        <w:gridCol w:w="1976"/>
        <w:gridCol w:w="1748"/>
        <w:gridCol w:w="1691"/>
        <w:gridCol w:w="1088"/>
        <w:gridCol w:w="1728"/>
        <w:gridCol w:w="1055"/>
      </w:tblGrid>
      <w:tr>
        <w:trPr>
          <w:jc w:val="center"/>
        </w:trPr>
        <w:tc>
          <w:tcPr>
            <w:tcW w:w="1976" w:type="dxa"/>
            <w:vMerge w:val="restart"/>
            <w:tcBorders>
              <w:top w:val="single" w:color="000000" w:sz="8" w:space="0"/>
              <w:left w:val="single" w:color="000000" w:sz="8" w:space="0"/>
              <w:right w:val="single" w:color="000000" w:sz="8" w:space="0"/>
            </w:tcBorders>
            <w:vAlign w:val="center"/>
          </w:tcPr>
          <w:p>
            <w:pPr>
              <w:jc w:val="center"/>
            </w:pPr>
            <w:r>
              <w:t>持有人户数(户)</w:t>
            </w:r>
          </w:p>
        </w:tc>
        <w:tc>
          <w:tcPr>
            <w:tcW w:w="1748" w:type="dxa"/>
            <w:vMerge w:val="restart"/>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r>
              <w:rPr>
                <w:rFonts w:hint="eastAsia"/>
                <w:szCs w:val="21"/>
              </w:rPr>
              <w:t>户均持有</w:t>
            </w:r>
            <w:bookmarkStart w:id="207" w:name="_GoBack"/>
            <w:bookmarkEnd w:id="207"/>
            <w:r>
              <w:rPr>
                <w:rFonts w:hint="eastAsia"/>
                <w:szCs w:val="21"/>
              </w:rPr>
              <w:t>的基金份额</w:t>
            </w:r>
          </w:p>
        </w:tc>
        <w:tc>
          <w:tcPr>
            <w:tcW w:w="5562" w:type="dxa"/>
            <w:gridSpan w:val="4"/>
            <w:tcBorders>
              <w:top w:val="single" w:color="000000" w:sz="8" w:space="0"/>
              <w:left w:val="single" w:color="000000" w:sz="8" w:space="0"/>
              <w:bottom w:val="single" w:color="000000" w:sz="8" w:space="0"/>
              <w:right w:val="single" w:color="auto" w:sz="4" w:space="0"/>
            </w:tcBorders>
            <w:vAlign w:val="center"/>
          </w:tcPr>
          <w:p>
            <w:pPr>
              <w:spacing w:line="360" w:lineRule="auto"/>
              <w:jc w:val="center"/>
              <w:rPr>
                <w:szCs w:val="21"/>
              </w:rPr>
            </w:pPr>
            <w:r>
              <w:rPr>
                <w:rFonts w:hint="eastAsia"/>
                <w:szCs w:val="21"/>
              </w:rPr>
              <w:t>持有人结构</w:t>
            </w:r>
          </w:p>
        </w:tc>
      </w:tr>
      <w:tr>
        <w:tblPrEx>
          <w:tblCellMar>
            <w:top w:w="0" w:type="dxa"/>
            <w:left w:w="108" w:type="dxa"/>
            <w:bottom w:w="0" w:type="dxa"/>
            <w:right w:w="108" w:type="dxa"/>
          </w:tblCellMar>
        </w:tblPrEx>
        <w:trPr>
          <w:jc w:val="center"/>
        </w:trPr>
        <w:tc>
          <w:tcPr>
            <w:tcW w:w="1976" w:type="dxa"/>
            <w:vMerge w:val="continue"/>
            <w:tcBorders>
              <w:left w:val="single" w:color="000000" w:sz="8" w:space="0"/>
              <w:right w:val="single" w:color="000000" w:sz="8" w:space="0"/>
            </w:tcBorders>
            <w:vAlign w:val="top"/>
          </w:tcPr>
          <w:p>
            <w:pPr>
              <w:jc w:val="center"/>
            </w:pPr>
          </w:p>
        </w:tc>
        <w:tc>
          <w:tcPr>
            <w:tcW w:w="1748"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p>
        </w:tc>
        <w:tc>
          <w:tcPr>
            <w:tcW w:w="2779" w:type="dxa"/>
            <w:gridSpan w:val="2"/>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r>
              <w:rPr>
                <w:rFonts w:hint="eastAsia"/>
                <w:szCs w:val="21"/>
              </w:rPr>
              <w:t>机构投资者</w:t>
            </w:r>
          </w:p>
        </w:tc>
        <w:tc>
          <w:tcPr>
            <w:tcW w:w="2783" w:type="dxa"/>
            <w:gridSpan w:val="2"/>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r>
              <w:rPr>
                <w:rFonts w:hint="eastAsia"/>
                <w:szCs w:val="21"/>
              </w:rPr>
              <w:t>个人投资者</w:t>
            </w:r>
          </w:p>
        </w:tc>
      </w:tr>
      <w:tr>
        <w:tblPrEx>
          <w:tblCellMar>
            <w:top w:w="0" w:type="dxa"/>
            <w:left w:w="108" w:type="dxa"/>
            <w:bottom w:w="0" w:type="dxa"/>
            <w:right w:w="108" w:type="dxa"/>
          </w:tblCellMar>
        </w:tblPrEx>
        <w:trPr>
          <w:jc w:val="center"/>
        </w:trPr>
        <w:tc>
          <w:tcPr>
            <w:tcW w:w="1976" w:type="dxa"/>
            <w:vMerge w:val="continue"/>
            <w:tcBorders>
              <w:left w:val="single" w:color="000000" w:sz="8" w:space="0"/>
              <w:bottom w:val="single" w:color="000000" w:sz="8" w:space="0"/>
              <w:right w:val="single" w:color="000000" w:sz="8" w:space="0"/>
            </w:tcBorders>
            <w:vAlign w:val="top"/>
          </w:tcPr>
          <w:p>
            <w:pPr>
              <w:jc w:val="center"/>
            </w:pPr>
          </w:p>
        </w:tc>
        <w:tc>
          <w:tcPr>
            <w:tcW w:w="1748"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p>
        </w:tc>
        <w:tc>
          <w:tcPr>
            <w:tcW w:w="1691"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r>
              <w:rPr>
                <w:rFonts w:hint="eastAsia"/>
                <w:szCs w:val="21"/>
              </w:rPr>
              <w:t>持有份额</w:t>
            </w:r>
          </w:p>
        </w:tc>
        <w:tc>
          <w:tcPr>
            <w:tcW w:w="1088"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r>
              <w:rPr>
                <w:rFonts w:hint="eastAsia"/>
                <w:szCs w:val="21"/>
              </w:rPr>
              <w:t>占总份额比例</w:t>
            </w:r>
          </w:p>
        </w:tc>
        <w:tc>
          <w:tcPr>
            <w:tcW w:w="1728"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r>
              <w:rPr>
                <w:rFonts w:hint="eastAsia"/>
                <w:szCs w:val="21"/>
              </w:rPr>
              <w:t>持有份额</w:t>
            </w:r>
          </w:p>
        </w:tc>
        <w:tc>
          <w:tcPr>
            <w:tcW w:w="1055" w:type="dxa"/>
            <w:tcBorders>
              <w:top w:val="single" w:color="000000" w:sz="8" w:space="0"/>
              <w:left w:val="single" w:color="000000" w:sz="8" w:space="0"/>
              <w:bottom w:val="single" w:color="000000" w:sz="8" w:space="0"/>
              <w:right w:val="single" w:color="auto" w:sz="4" w:space="0"/>
            </w:tcBorders>
            <w:vAlign w:val="center"/>
          </w:tcPr>
          <w:p>
            <w:pPr>
              <w:spacing w:line="360" w:lineRule="auto"/>
              <w:jc w:val="center"/>
              <w:rPr>
                <w:szCs w:val="21"/>
              </w:rPr>
            </w:pPr>
            <w:r>
              <w:rPr>
                <w:rFonts w:hint="eastAsia"/>
                <w:szCs w:val="21"/>
              </w:rPr>
              <w:t>占总份额比例</w:t>
            </w:r>
          </w:p>
        </w:tc>
      </w:tr>
      <w:tr>
        <w:tblPrEx>
          <w:tblCellMar>
            <w:top w:w="0" w:type="dxa"/>
            <w:left w:w="108" w:type="dxa"/>
            <w:bottom w:w="0" w:type="dxa"/>
            <w:right w:w="108" w:type="dxa"/>
          </w:tblCellMar>
        </w:tblPrEx>
        <w:trPr>
          <w:jc w:val="center"/>
        </w:trPr>
        <w:tc>
          <w:tcPr>
            <w:tcW w:w="1976" w:type="dxa"/>
            <w:tcBorders>
              <w:top w:val="single" w:color="000000" w:sz="8" w:space="0"/>
              <w:left w:val="single" w:color="000000" w:sz="8" w:space="0"/>
              <w:bottom w:val="single" w:color="000000" w:sz="8" w:space="0"/>
              <w:right w:val="single" w:color="000000" w:sz="8" w:space="0"/>
            </w:tcBorders>
            <w:vAlign w:val="center"/>
          </w:tcPr>
          <w:p>
            <w:pPr>
              <w:jc w:val="right"/>
            </w:pPr>
            <w:r>
              <w:rPr>
                <w:kern w:val="0"/>
                <w:szCs w:val="21"/>
              </w:rPr>
              <w:t>9,851</w:t>
            </w:r>
          </w:p>
        </w:tc>
        <w:tc>
          <w:tcPr>
            <w:tcW w:w="1748" w:type="dxa"/>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kern w:val="0"/>
                <w:szCs w:val="21"/>
              </w:rPr>
            </w:pPr>
            <w:r>
              <w:rPr>
                <w:kern w:val="0"/>
                <w:szCs w:val="21"/>
              </w:rPr>
              <w:t>15,359.28</w:t>
            </w:r>
          </w:p>
        </w:tc>
        <w:tc>
          <w:tcPr>
            <w:tcW w:w="1691" w:type="dxa"/>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kern w:val="0"/>
                <w:szCs w:val="21"/>
              </w:rPr>
            </w:pPr>
            <w:r>
              <w:rPr>
                <w:kern w:val="0"/>
                <w:szCs w:val="21"/>
              </w:rPr>
              <w:t>63,716,000.55</w:t>
            </w:r>
          </w:p>
        </w:tc>
        <w:tc>
          <w:tcPr>
            <w:tcW w:w="1088" w:type="dxa"/>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kern w:val="0"/>
                <w:szCs w:val="21"/>
              </w:rPr>
            </w:pPr>
            <w:r>
              <w:rPr>
                <w:kern w:val="0"/>
                <w:szCs w:val="21"/>
              </w:rPr>
              <w:t>42.11%</w:t>
            </w:r>
          </w:p>
        </w:tc>
        <w:tc>
          <w:tcPr>
            <w:tcW w:w="1728" w:type="dxa"/>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kern w:val="0"/>
                <w:szCs w:val="21"/>
              </w:rPr>
            </w:pPr>
            <w:r>
              <w:rPr>
                <w:kern w:val="0"/>
                <w:szCs w:val="21"/>
              </w:rPr>
              <w:t>87,588,313.75</w:t>
            </w:r>
          </w:p>
        </w:tc>
        <w:tc>
          <w:tcPr>
            <w:tcW w:w="1055" w:type="dxa"/>
            <w:tcBorders>
              <w:top w:val="single" w:color="000000" w:sz="8" w:space="0"/>
              <w:left w:val="single" w:color="000000" w:sz="8" w:space="0"/>
              <w:bottom w:val="single" w:color="000000" w:sz="8" w:space="0"/>
              <w:right w:val="single" w:color="auto" w:sz="4" w:space="0"/>
            </w:tcBorders>
            <w:vAlign w:val="center"/>
          </w:tcPr>
          <w:p>
            <w:pPr>
              <w:spacing w:before="29" w:line="288" w:lineRule="auto"/>
              <w:jc w:val="right"/>
              <w:rPr>
                <w:kern w:val="0"/>
                <w:szCs w:val="21"/>
              </w:rPr>
            </w:pPr>
            <w:r>
              <w:rPr>
                <w:kern w:val="0"/>
                <w:szCs w:val="21"/>
              </w:rPr>
              <w:t>57.89%</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60" w:name="_Toc361324891"/>
      <w:bookmarkStart w:id="161" w:name="_Toc67589792"/>
      <w:r>
        <w:rPr>
          <w:rFonts w:ascii="Times New Roman" w:hAnsi="Times New Roman"/>
          <w:kern w:val="0"/>
          <w:szCs w:val="24"/>
        </w:rPr>
        <w:t>9.2</w:t>
      </w:r>
      <w:r>
        <w:rPr>
          <w:rFonts w:hint="eastAsia" w:ascii="Times New Roman" w:hAnsi="Times New Roman"/>
          <w:kern w:val="0"/>
          <w:szCs w:val="24"/>
        </w:rPr>
        <w:t>期末基金管理人的从业人员持有本基金的情况</w:t>
      </w:r>
      <w:bookmarkEnd w:id="160"/>
      <w:bookmarkEnd w:id="161"/>
    </w:p>
    <w:tbl>
      <w:tblPr>
        <w:tblStyle w:val="26"/>
        <w:tblW w:w="8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164"/>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widowControl/>
              <w:spacing w:before="29" w:line="288" w:lineRule="auto"/>
              <w:jc w:val="center"/>
              <w:rPr>
                <w:color w:val="000000"/>
                <w:kern w:val="0"/>
                <w:sz w:val="24"/>
              </w:rPr>
            </w:pPr>
            <w:r>
              <w:rPr>
                <w:rFonts w:hint="eastAsia"/>
                <w:color w:val="000000"/>
                <w:kern w:val="0"/>
                <w:sz w:val="24"/>
              </w:rPr>
              <w:t>项目</w:t>
            </w:r>
          </w:p>
        </w:tc>
        <w:tc>
          <w:tcPr>
            <w:tcW w:w="3164" w:type="dxa"/>
            <w:vAlign w:val="center"/>
          </w:tcPr>
          <w:p>
            <w:pPr>
              <w:widowControl/>
              <w:spacing w:before="29" w:line="288" w:lineRule="auto"/>
              <w:jc w:val="center"/>
              <w:rPr>
                <w:color w:val="000000"/>
                <w:kern w:val="0"/>
                <w:sz w:val="24"/>
              </w:rPr>
            </w:pPr>
            <w:r>
              <w:rPr>
                <w:rFonts w:hint="eastAsia"/>
                <w:color w:val="000000"/>
                <w:kern w:val="0"/>
                <w:sz w:val="24"/>
              </w:rPr>
              <w:t>持有份额总数（份）</w:t>
            </w:r>
          </w:p>
        </w:tc>
        <w:tc>
          <w:tcPr>
            <w:tcW w:w="2999" w:type="dxa"/>
            <w:vAlign w:val="center"/>
          </w:tcPr>
          <w:p>
            <w:pPr>
              <w:widowControl/>
              <w:spacing w:before="29" w:line="288" w:lineRule="auto"/>
              <w:jc w:val="center"/>
              <w:rPr>
                <w:color w:val="000000"/>
                <w:kern w:val="0"/>
                <w:sz w:val="24"/>
              </w:rPr>
            </w:pPr>
            <w:r>
              <w:rPr>
                <w:rFonts w:hint="eastAsia"/>
                <w:color w:val="000000"/>
                <w:kern w:val="0"/>
                <w:sz w:val="24"/>
              </w:rPr>
              <w:t>占基金总份额比例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widowControl/>
              <w:spacing w:before="29" w:line="288" w:lineRule="auto"/>
              <w:rPr>
                <w:rFonts w:asciiTheme="minorEastAsia" w:hAnsiTheme="minorEastAsia" w:eastAsiaTheme="minorEastAsia"/>
                <w:color w:val="000000"/>
                <w:szCs w:val="21"/>
              </w:rPr>
            </w:pPr>
            <w:r>
              <w:rPr>
                <w:rFonts w:hint="eastAsia"/>
                <w:color w:val="000000"/>
                <w:kern w:val="0"/>
                <w:sz w:val="24"/>
              </w:rPr>
              <w:t>基金管理人所有从业人员持有本基金</w:t>
            </w:r>
          </w:p>
        </w:tc>
        <w:tc>
          <w:tcPr>
            <w:tcW w:w="3164" w:type="dxa"/>
            <w:vAlign w:val="center"/>
          </w:tcPr>
          <w:p>
            <w:pPr>
              <w:spacing w:before="29" w:line="288" w:lineRule="auto"/>
              <w:jc w:val="right"/>
              <w:rPr>
                <w:kern w:val="0"/>
                <w:sz w:val="24"/>
              </w:rPr>
            </w:pPr>
            <w:r>
              <w:rPr>
                <w:kern w:val="0"/>
                <w:sz w:val="24"/>
              </w:rPr>
              <w:t>27,181.94</w:t>
            </w:r>
          </w:p>
        </w:tc>
        <w:tc>
          <w:tcPr>
            <w:tcW w:w="2999" w:type="dxa"/>
            <w:vAlign w:val="center"/>
          </w:tcPr>
          <w:p>
            <w:pPr>
              <w:spacing w:before="29" w:line="288" w:lineRule="auto"/>
              <w:jc w:val="right"/>
              <w:rPr>
                <w:kern w:val="0"/>
                <w:sz w:val="24"/>
              </w:rPr>
            </w:pPr>
            <w:r>
              <w:rPr>
                <w:kern w:val="0"/>
                <w:sz w:val="24"/>
              </w:rPr>
              <w:t>0.02%</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62" w:name="_Toc67589793"/>
      <w:r>
        <w:rPr>
          <w:rFonts w:ascii="Times New Roman" w:hAnsi="Times New Roman"/>
          <w:kern w:val="0"/>
          <w:szCs w:val="24"/>
        </w:rPr>
        <w:t>9.3</w:t>
      </w:r>
      <w:r>
        <w:rPr>
          <w:rFonts w:hint="eastAsia" w:ascii="Times New Roman" w:hAnsi="Times New Roman"/>
          <w:kern w:val="0"/>
          <w:szCs w:val="24"/>
        </w:rPr>
        <w:t>期末基金管理人的从业人员持有本开放式基金份额总量区间的情况</w:t>
      </w:r>
      <w:bookmarkEnd w:id="162"/>
    </w:p>
    <w:tbl>
      <w:tblPr>
        <w:tblStyle w:val="25"/>
        <w:tblW w:w="5096"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219"/>
        <w:gridCol w:w="52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trPr>
        <w:tc>
          <w:tcPr>
            <w:tcW w:w="2229" w:type="pct"/>
            <w:shd w:val="clear" w:color="auto" w:fill="auto"/>
            <w:tcMar>
              <w:top w:w="0" w:type="dxa"/>
              <w:left w:w="108" w:type="dxa"/>
              <w:bottom w:w="0" w:type="dxa"/>
              <w:right w:w="108" w:type="dxa"/>
            </w:tcMar>
            <w:vAlign w:val="center"/>
          </w:tcPr>
          <w:p>
            <w:pPr>
              <w:widowControl/>
              <w:spacing w:before="29" w:line="288" w:lineRule="auto"/>
              <w:jc w:val="center"/>
              <w:rPr>
                <w:color w:val="000000"/>
                <w:kern w:val="0"/>
                <w:sz w:val="24"/>
              </w:rPr>
            </w:pPr>
            <w:r>
              <w:rPr>
                <w:rFonts w:hint="eastAsia"/>
                <w:color w:val="000000"/>
                <w:kern w:val="0"/>
                <w:sz w:val="24"/>
              </w:rPr>
              <w:t>项目</w:t>
            </w:r>
          </w:p>
        </w:tc>
        <w:tc>
          <w:tcPr>
            <w:tcW w:w="2771" w:type="pct"/>
            <w:shd w:val="clear" w:color="auto" w:fill="auto"/>
            <w:tcMar>
              <w:top w:w="0" w:type="dxa"/>
              <w:left w:w="108" w:type="dxa"/>
              <w:bottom w:w="0" w:type="dxa"/>
              <w:right w:w="108" w:type="dxa"/>
            </w:tcMar>
            <w:vAlign w:val="center"/>
          </w:tcPr>
          <w:p>
            <w:pPr>
              <w:widowControl/>
              <w:spacing w:before="29" w:line="288" w:lineRule="auto"/>
              <w:jc w:val="center"/>
              <w:rPr>
                <w:color w:val="000000"/>
                <w:kern w:val="0"/>
                <w:sz w:val="24"/>
              </w:rPr>
            </w:pPr>
            <w:r>
              <w:rPr>
                <w:rFonts w:hint="eastAsia"/>
                <w:color w:val="000000"/>
                <w:kern w:val="0"/>
                <w:sz w:val="24"/>
              </w:rPr>
              <w:t>持有基金份额总量的数量区间（万份）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3" w:hRule="atLeast"/>
        </w:trPr>
        <w:tc>
          <w:tcPr>
            <w:tcW w:w="2229" w:type="pct"/>
            <w:shd w:val="clear" w:color="auto" w:fill="auto"/>
            <w:tcMar>
              <w:top w:w="0" w:type="dxa"/>
              <w:left w:w="108" w:type="dxa"/>
              <w:bottom w:w="0" w:type="dxa"/>
              <w:right w:w="108" w:type="dxa"/>
            </w:tcMar>
            <w:vAlign w:val="center"/>
          </w:tcPr>
          <w:p>
            <w:pPr>
              <w:widowControl/>
              <w:spacing w:before="29" w:line="288" w:lineRule="auto"/>
              <w:rPr>
                <w:color w:val="000000"/>
                <w:kern w:val="0"/>
                <w:sz w:val="24"/>
              </w:rPr>
            </w:pPr>
            <w:r>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tcPr>
          <w:p>
            <w:pPr>
              <w:spacing w:before="29" w:line="288" w:lineRule="auto"/>
              <w:jc w:val="right"/>
              <w:rPr>
                <w:kern w:val="0"/>
                <w:sz w:val="24"/>
              </w:rPr>
            </w:pPr>
            <w:r>
              <w:rPr>
                <w:kern w:val="0"/>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trPr>
        <w:tc>
          <w:tcPr>
            <w:tcW w:w="2229" w:type="pct"/>
            <w:shd w:val="clear" w:color="auto" w:fill="auto"/>
            <w:tcMar>
              <w:top w:w="0" w:type="dxa"/>
              <w:left w:w="108" w:type="dxa"/>
              <w:bottom w:w="0" w:type="dxa"/>
              <w:right w:w="108" w:type="dxa"/>
            </w:tcMar>
            <w:vAlign w:val="center"/>
          </w:tcPr>
          <w:p>
            <w:pPr>
              <w:widowControl/>
              <w:spacing w:before="29" w:line="288" w:lineRule="auto"/>
              <w:rPr>
                <w:color w:val="000000"/>
                <w:kern w:val="0"/>
                <w:sz w:val="24"/>
              </w:rPr>
            </w:pPr>
            <w:r>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tcPr>
          <w:p>
            <w:pPr>
              <w:spacing w:before="29" w:line="288" w:lineRule="auto"/>
              <w:jc w:val="right"/>
              <w:rPr>
                <w:kern w:val="0"/>
                <w:sz w:val="24"/>
              </w:rPr>
            </w:pPr>
            <w:r>
              <w:rPr>
                <w:kern w:val="0"/>
                <w:sz w:val="24"/>
              </w:rPr>
              <w:t>0</w:t>
            </w:r>
          </w:p>
        </w:tc>
      </w:tr>
    </w:tbl>
    <w:p>
      <w:pPr>
        <w:spacing w:line="360" w:lineRule="auto"/>
        <w:rPr>
          <w:rFonts w:ascii="宋体" w:hAnsi="宋体"/>
          <w:color w:val="000000"/>
          <w:szCs w:val="21"/>
        </w:rPr>
      </w:pPr>
    </w:p>
    <w:p>
      <w:pPr>
        <w:pStyle w:val="2"/>
        <w:keepNext/>
        <w:keepLines/>
        <w:widowControl w:val="0"/>
        <w:spacing w:before="312" w:beforeLines="100" w:after="312" w:afterLines="100" w:line="288" w:lineRule="auto"/>
        <w:jc w:val="center"/>
        <w:rPr>
          <w:b/>
          <w:bCs/>
          <w:szCs w:val="24"/>
          <w:lang w:val="en-US"/>
        </w:rPr>
      </w:pPr>
      <w:bookmarkStart w:id="163" w:name="_Toc225500053"/>
      <w:bookmarkStart w:id="164" w:name="_Toc361324892"/>
      <w:bookmarkStart w:id="165" w:name="_Toc67589794"/>
      <w:r>
        <w:rPr>
          <w:rFonts w:hint="eastAsia"/>
          <w:b/>
          <w:bCs/>
          <w:szCs w:val="24"/>
          <w:lang w:val="en-US"/>
        </w:rPr>
        <w:t>§</w:t>
      </w:r>
      <w:r>
        <w:rPr>
          <w:b/>
          <w:bCs/>
          <w:szCs w:val="24"/>
          <w:lang w:val="en-US"/>
        </w:rPr>
        <w:t>10</w:t>
      </w:r>
      <w:r>
        <w:rPr>
          <w:rFonts w:hint="eastAsia"/>
          <w:b/>
          <w:bCs/>
          <w:szCs w:val="24"/>
          <w:lang w:val="en-US"/>
        </w:rPr>
        <w:t>开放式基金份额变动</w:t>
      </w:r>
      <w:bookmarkEnd w:id="163"/>
      <w:bookmarkEnd w:id="164"/>
      <w:bookmarkEnd w:id="165"/>
    </w:p>
    <w:p>
      <w:pPr>
        <w:autoSpaceDE w:val="0"/>
        <w:autoSpaceDN w:val="0"/>
        <w:adjustRightInd w:val="0"/>
        <w:spacing w:before="29" w:line="288" w:lineRule="auto"/>
        <w:ind w:left="15"/>
        <w:jc w:val="right"/>
        <w:rPr>
          <w:color w:val="000000"/>
          <w:sz w:val="24"/>
        </w:rPr>
      </w:pPr>
      <w:r>
        <w:rPr>
          <w:rFonts w:hint="eastAsia"/>
          <w:color w:val="000000"/>
          <w:sz w:val="24"/>
        </w:rPr>
        <w:t>单位：份</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5"/>
        <w:gridCol w:w="5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rFonts w:hint="eastAsia"/>
                <w:color w:val="000000"/>
                <w:kern w:val="0"/>
                <w:sz w:val="24"/>
              </w:rPr>
              <w:t>基金合同生效日(</w:t>
            </w:r>
            <w:r>
              <w:rPr>
                <w:color w:val="000000"/>
                <w:kern w:val="0"/>
                <w:sz w:val="24"/>
              </w:rPr>
              <w:t>2016年5月5日</w:t>
            </w:r>
            <w:r>
              <w:rPr>
                <w:rFonts w:hint="eastAsia"/>
                <w:color w:val="000000"/>
                <w:kern w:val="0"/>
                <w:sz w:val="24"/>
              </w:rPr>
              <w:t>)基金份额总额</w:t>
            </w:r>
          </w:p>
        </w:tc>
        <w:tc>
          <w:tcPr>
            <w:tcW w:w="2881" w:type="pct"/>
          </w:tcPr>
          <w:p>
            <w:pPr>
              <w:spacing w:before="29" w:line="288" w:lineRule="auto"/>
              <w:jc w:val="right"/>
              <w:rPr>
                <w:kern w:val="0"/>
                <w:sz w:val="24"/>
              </w:rPr>
            </w:pPr>
            <w:r>
              <w:rPr>
                <w:kern w:val="0"/>
                <w:sz w:val="24"/>
              </w:rPr>
              <w:t xml:space="preserve">580,877,371.05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rFonts w:hint="eastAsia"/>
                <w:color w:val="000000"/>
                <w:kern w:val="0"/>
                <w:sz w:val="24"/>
              </w:rPr>
              <w:t>本报告期期初基金份额总额</w:t>
            </w:r>
          </w:p>
        </w:tc>
        <w:tc>
          <w:tcPr>
            <w:tcW w:w="2881" w:type="pct"/>
          </w:tcPr>
          <w:p>
            <w:pPr>
              <w:spacing w:before="29" w:line="288" w:lineRule="auto"/>
              <w:jc w:val="right"/>
              <w:rPr>
                <w:kern w:val="0"/>
                <w:sz w:val="24"/>
              </w:rPr>
            </w:pPr>
            <w:r>
              <w:rPr>
                <w:kern w:val="0"/>
                <w:sz w:val="24"/>
              </w:rPr>
              <w:t>181,564,565.22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color w:val="000000"/>
                <w:kern w:val="0"/>
                <w:sz w:val="24"/>
              </w:rPr>
              <w:t>本报告期</w:t>
            </w:r>
            <w:r>
              <w:rPr>
                <w:rFonts w:hint="eastAsia"/>
                <w:color w:val="000000"/>
                <w:kern w:val="0"/>
                <w:sz w:val="24"/>
              </w:rPr>
              <w:t>基金总申购份额</w:t>
            </w:r>
          </w:p>
        </w:tc>
        <w:tc>
          <w:tcPr>
            <w:tcW w:w="2881" w:type="pct"/>
          </w:tcPr>
          <w:p>
            <w:pPr>
              <w:spacing w:before="29" w:line="288" w:lineRule="auto"/>
              <w:jc w:val="right"/>
              <w:rPr>
                <w:kern w:val="0"/>
                <w:sz w:val="24"/>
              </w:rPr>
            </w:pPr>
            <w:r>
              <w:rPr>
                <w:kern w:val="0"/>
                <w:sz w:val="24"/>
              </w:rPr>
              <w:t>144,509,822.99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rFonts w:hint="eastAsia"/>
                <w:color w:val="000000"/>
                <w:kern w:val="0"/>
                <w:sz w:val="24"/>
              </w:rPr>
              <w:t>减：</w:t>
            </w:r>
            <w:r>
              <w:rPr>
                <w:color w:val="000000"/>
                <w:kern w:val="0"/>
                <w:sz w:val="24"/>
              </w:rPr>
              <w:t>本报告期</w:t>
            </w:r>
            <w:r>
              <w:rPr>
                <w:rFonts w:hint="eastAsia"/>
                <w:color w:val="000000"/>
                <w:kern w:val="0"/>
                <w:sz w:val="24"/>
              </w:rPr>
              <w:t>基金总赎回份额</w:t>
            </w:r>
          </w:p>
        </w:tc>
        <w:tc>
          <w:tcPr>
            <w:tcW w:w="2881" w:type="pct"/>
          </w:tcPr>
          <w:p>
            <w:pPr>
              <w:spacing w:before="29" w:line="288" w:lineRule="auto"/>
              <w:jc w:val="right"/>
              <w:rPr>
                <w:kern w:val="0"/>
                <w:sz w:val="24"/>
              </w:rPr>
            </w:pPr>
            <w:r>
              <w:rPr>
                <w:kern w:val="0"/>
                <w:sz w:val="24"/>
              </w:rPr>
              <w:t>174,770,073.91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color w:val="000000"/>
                <w:kern w:val="0"/>
                <w:sz w:val="24"/>
              </w:rPr>
              <w:t>本报告期</w:t>
            </w:r>
            <w:r>
              <w:rPr>
                <w:rFonts w:hint="eastAsia"/>
                <w:color w:val="000000"/>
                <w:kern w:val="0"/>
                <w:sz w:val="24"/>
              </w:rPr>
              <w:t>基金拆分变动份额</w:t>
            </w:r>
          </w:p>
        </w:tc>
        <w:tc>
          <w:tcPr>
            <w:tcW w:w="2881" w:type="pct"/>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rFonts w:hint="eastAsia"/>
                <w:color w:val="000000"/>
                <w:kern w:val="0"/>
                <w:sz w:val="24"/>
              </w:rPr>
              <w:t>本报告期期末基金份额总额</w:t>
            </w:r>
          </w:p>
        </w:tc>
        <w:tc>
          <w:tcPr>
            <w:tcW w:w="2881" w:type="pct"/>
          </w:tcPr>
          <w:p>
            <w:pPr>
              <w:spacing w:before="29" w:line="288" w:lineRule="auto"/>
              <w:jc w:val="right"/>
              <w:rPr>
                <w:kern w:val="0"/>
                <w:sz w:val="24"/>
              </w:rPr>
            </w:pPr>
            <w:r>
              <w:rPr>
                <w:kern w:val="0"/>
                <w:sz w:val="24"/>
              </w:rPr>
              <w:t>151,304,314.30</w:t>
            </w:r>
          </w:p>
        </w:tc>
      </w:tr>
    </w:tbl>
    <w:p>
      <w:pPr>
        <w:tabs>
          <w:tab w:val="left" w:pos="426"/>
        </w:tabs>
        <w:spacing w:before="29" w:line="288" w:lineRule="auto"/>
        <w:jc w:val="left"/>
        <w:rPr>
          <w:kern w:val="0"/>
          <w:sz w:val="24"/>
        </w:rPr>
      </w:pPr>
      <w:r>
        <w:rPr>
          <w:kern w:val="0"/>
          <w:sz w:val="24"/>
        </w:rPr>
        <w:t xml:space="preserve">注：1、如果本报告期间发生转换入、红利再投业务，则总申购份额中包含该业务；    </w:t>
      </w:r>
    </w:p>
    <w:p>
      <w:pPr>
        <w:tabs>
          <w:tab w:val="left" w:pos="426"/>
        </w:tabs>
        <w:spacing w:before="29" w:line="288" w:lineRule="auto"/>
        <w:jc w:val="left"/>
        <w:rPr>
          <w:kern w:val="0"/>
          <w:sz w:val="24"/>
        </w:rPr>
      </w:pPr>
      <w:r>
        <w:rPr>
          <w:kern w:val="0"/>
          <w:sz w:val="24"/>
        </w:rPr>
        <w:t xml:space="preserve">    2、如果本报告期间发生转换出业务，则总赎回份额中包含该业务。</w:t>
      </w:r>
    </w:p>
    <w:p>
      <w:pPr>
        <w:tabs>
          <w:tab w:val="left" w:pos="426"/>
        </w:tabs>
        <w:spacing w:before="29" w:line="288" w:lineRule="auto"/>
        <w:jc w:val="left"/>
        <w:rPr>
          <w:kern w:val="0"/>
          <w:sz w:val="24"/>
        </w:rPr>
      </w:pPr>
    </w:p>
    <w:p>
      <w:pPr>
        <w:pStyle w:val="2"/>
        <w:keepNext/>
        <w:keepLines/>
        <w:widowControl w:val="0"/>
        <w:spacing w:before="312" w:beforeLines="100" w:after="312" w:afterLines="100" w:line="288" w:lineRule="auto"/>
        <w:jc w:val="center"/>
        <w:rPr>
          <w:b/>
          <w:bCs/>
          <w:szCs w:val="24"/>
          <w:lang w:val="en-US"/>
        </w:rPr>
      </w:pPr>
      <w:bookmarkStart w:id="166" w:name="_Toc225500054"/>
      <w:bookmarkStart w:id="167" w:name="_Toc361324893"/>
      <w:bookmarkStart w:id="168" w:name="_Toc67589795"/>
      <w:r>
        <w:rPr>
          <w:rFonts w:hint="eastAsia"/>
          <w:b/>
          <w:bCs/>
          <w:szCs w:val="24"/>
          <w:lang w:val="en-US"/>
        </w:rPr>
        <w:t>§</w:t>
      </w:r>
      <w:r>
        <w:rPr>
          <w:b/>
          <w:bCs/>
          <w:szCs w:val="24"/>
          <w:lang w:val="en-US"/>
        </w:rPr>
        <w:t>11</w:t>
      </w:r>
      <w:r>
        <w:rPr>
          <w:rFonts w:hint="eastAsia"/>
          <w:b/>
          <w:bCs/>
          <w:szCs w:val="24"/>
          <w:lang w:val="en-US"/>
        </w:rPr>
        <w:t>重大事件揭示</w:t>
      </w:r>
      <w:bookmarkEnd w:id="166"/>
      <w:bookmarkEnd w:id="167"/>
      <w:bookmarkEnd w:id="168"/>
    </w:p>
    <w:p/>
    <w:p>
      <w:pPr>
        <w:pStyle w:val="3"/>
        <w:spacing w:before="29" w:after="0" w:line="288" w:lineRule="auto"/>
        <w:rPr>
          <w:rFonts w:ascii="Times New Roman" w:hAnsi="Times New Roman"/>
          <w:kern w:val="0"/>
          <w:szCs w:val="24"/>
        </w:rPr>
      </w:pPr>
      <w:bookmarkStart w:id="169" w:name="_Toc361324894"/>
      <w:bookmarkStart w:id="170" w:name="_Toc67589796"/>
      <w:r>
        <w:rPr>
          <w:rFonts w:ascii="Times New Roman" w:hAnsi="Times New Roman"/>
          <w:kern w:val="0"/>
          <w:szCs w:val="24"/>
        </w:rPr>
        <w:t>11.1</w:t>
      </w:r>
      <w:r>
        <w:rPr>
          <w:rFonts w:hint="eastAsia" w:ascii="Times New Roman" w:hAnsi="Times New Roman"/>
          <w:kern w:val="0"/>
          <w:szCs w:val="24"/>
        </w:rPr>
        <w:t>基金份额持有人大会决议</w:t>
      </w:r>
      <w:bookmarkEnd w:id="169"/>
      <w:bookmarkEnd w:id="170"/>
    </w:p>
    <w:p>
      <w:pPr>
        <w:spacing w:before="29" w:line="288" w:lineRule="auto"/>
        <w:ind w:firstLine="480" w:firstLineChars="200"/>
        <w:rPr>
          <w:color w:val="000000"/>
          <w:sz w:val="24"/>
        </w:rPr>
      </w:pPr>
      <w:r>
        <w:rPr>
          <w:color w:val="000000"/>
          <w:sz w:val="24"/>
        </w:rPr>
        <w:t>本基金本报告期内未召开基金份额持有人大会。</w:t>
      </w:r>
    </w:p>
    <w:p>
      <w:pPr>
        <w:spacing w:line="360" w:lineRule="auto"/>
        <w:ind w:firstLine="420" w:firstLineChars="200"/>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171" w:name="_Toc361324895"/>
      <w:bookmarkStart w:id="172" w:name="_Toc67589797"/>
      <w:r>
        <w:rPr>
          <w:rFonts w:ascii="Times New Roman" w:hAnsi="Times New Roman"/>
          <w:kern w:val="0"/>
          <w:szCs w:val="24"/>
        </w:rPr>
        <w:t xml:space="preserve">11.2 </w:t>
      </w:r>
      <w:r>
        <w:rPr>
          <w:rFonts w:hint="eastAsia" w:ascii="Times New Roman" w:hAnsi="Times New Roman"/>
          <w:kern w:val="0"/>
          <w:szCs w:val="24"/>
        </w:rPr>
        <w:t>基金管理人、基金托管人的专门基金托管部门的重大人事变动</w:t>
      </w:r>
      <w:bookmarkEnd w:id="171"/>
      <w:bookmarkEnd w:id="172"/>
    </w:p>
    <w:p>
      <w:pPr>
        <w:spacing w:before="29" w:line="288" w:lineRule="auto"/>
        <w:ind w:firstLine="480" w:firstLineChars="200"/>
        <w:rPr>
          <w:color w:val="000000"/>
          <w:sz w:val="24"/>
        </w:rPr>
      </w:pPr>
      <w:r>
        <w:rPr>
          <w:color w:val="000000"/>
          <w:sz w:val="24"/>
        </w:rPr>
        <w:t xml:space="preserve">1、基金管理人的重大人事变动：本报告期内，本基金的基金管理人未发生重大人事变动。 </w:t>
      </w:r>
    </w:p>
    <w:p>
      <w:pPr>
        <w:spacing w:before="29" w:line="288" w:lineRule="auto"/>
        <w:ind w:firstLine="480" w:firstLineChars="200"/>
        <w:rPr>
          <w:color w:val="000000"/>
          <w:sz w:val="24"/>
        </w:rPr>
      </w:pPr>
      <w:r>
        <w:rPr>
          <w:color w:val="000000"/>
          <w:sz w:val="24"/>
        </w:rPr>
        <w:t>2、基金托管人的基金托管部门的重大人事变动：本基金托管人的专门基金托管部门本报告期内未发生重大人事变动。</w:t>
      </w:r>
    </w:p>
    <w:p>
      <w:pPr>
        <w:spacing w:line="360" w:lineRule="auto"/>
        <w:ind w:firstLine="420" w:firstLineChars="200"/>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173" w:name="_Toc361324896"/>
      <w:bookmarkStart w:id="174" w:name="_Toc67589798"/>
      <w:r>
        <w:rPr>
          <w:rFonts w:ascii="Times New Roman" w:hAnsi="Times New Roman"/>
          <w:kern w:val="0"/>
          <w:szCs w:val="24"/>
        </w:rPr>
        <w:t xml:space="preserve">11.3 </w:t>
      </w:r>
      <w:r>
        <w:rPr>
          <w:rFonts w:hint="eastAsia" w:ascii="Times New Roman" w:hAnsi="Times New Roman"/>
          <w:kern w:val="0"/>
          <w:szCs w:val="24"/>
        </w:rPr>
        <w:t>涉及基金管理人、基金财产、基金托管业务的诉讼</w:t>
      </w:r>
      <w:bookmarkEnd w:id="173"/>
      <w:bookmarkEnd w:id="174"/>
    </w:p>
    <w:p>
      <w:pPr>
        <w:spacing w:before="29" w:line="288" w:lineRule="auto"/>
        <w:ind w:firstLine="480" w:firstLineChars="200"/>
        <w:rPr>
          <w:color w:val="000000"/>
          <w:sz w:val="24"/>
        </w:rPr>
      </w:pPr>
      <w:r>
        <w:rPr>
          <w:color w:val="000000"/>
          <w:sz w:val="24"/>
        </w:rPr>
        <w:t>本报告期内未发生涉及本基金管理人、基金财产、基金托管业务的诉讼事项。</w:t>
      </w:r>
    </w:p>
    <w:p>
      <w:pPr>
        <w:spacing w:line="360" w:lineRule="auto"/>
        <w:ind w:firstLine="420" w:firstLineChars="200"/>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175" w:name="_Toc361324897"/>
      <w:bookmarkStart w:id="176" w:name="_Toc67589799"/>
      <w:r>
        <w:rPr>
          <w:rFonts w:ascii="Times New Roman" w:hAnsi="Times New Roman"/>
          <w:kern w:val="0"/>
          <w:szCs w:val="24"/>
        </w:rPr>
        <w:t xml:space="preserve">11.4 </w:t>
      </w:r>
      <w:r>
        <w:rPr>
          <w:rFonts w:hint="eastAsia" w:ascii="Times New Roman" w:hAnsi="Times New Roman"/>
          <w:kern w:val="0"/>
          <w:szCs w:val="24"/>
        </w:rPr>
        <w:t>基金投资策略的改变</w:t>
      </w:r>
      <w:bookmarkEnd w:id="175"/>
      <w:bookmarkEnd w:id="176"/>
    </w:p>
    <w:p>
      <w:pPr>
        <w:spacing w:before="29" w:line="288" w:lineRule="auto"/>
        <w:ind w:firstLine="480" w:firstLineChars="200"/>
        <w:rPr>
          <w:color w:val="000000"/>
          <w:sz w:val="24"/>
        </w:rPr>
      </w:pPr>
      <w:r>
        <w:rPr>
          <w:color w:val="000000"/>
          <w:sz w:val="24"/>
        </w:rPr>
        <w:t>本基金本报告期内投资策略未发生改变。</w:t>
      </w:r>
    </w:p>
    <w:p>
      <w:pPr>
        <w:spacing w:line="360" w:lineRule="auto"/>
        <w:ind w:firstLine="420" w:firstLineChars="200"/>
        <w:rPr>
          <w:rFonts w:asciiTheme="minorEastAsia" w:hAnsiTheme="minorEastAsia" w:eastAsiaTheme="minorEastAsia"/>
          <w:szCs w:val="21"/>
        </w:rPr>
      </w:pPr>
    </w:p>
    <w:p>
      <w:pPr>
        <w:pStyle w:val="3"/>
        <w:spacing w:before="0" w:after="0"/>
        <w:rPr>
          <w:rFonts w:ascii="Times New Roman" w:hAnsi="Times New Roman" w:eastAsiaTheme="minorEastAsia"/>
          <w:color w:val="000000" w:themeColor="text1"/>
          <w:kern w:val="0"/>
          <w:szCs w:val="24"/>
        </w:rPr>
      </w:pPr>
      <w:bookmarkStart w:id="177" w:name="_Toc361324898"/>
      <w:bookmarkStart w:id="178" w:name="_Toc409100466"/>
      <w:bookmarkStart w:id="179" w:name="_Toc409100103"/>
      <w:bookmarkStart w:id="180" w:name="_Toc67589800"/>
      <w:r>
        <w:rPr>
          <w:rFonts w:ascii="Times New Roman" w:hAnsi="Times New Roman" w:eastAsiaTheme="minorEastAsia"/>
          <w:color w:val="000000" w:themeColor="text1"/>
          <w:kern w:val="0"/>
          <w:szCs w:val="24"/>
        </w:rPr>
        <w:t>11.</w:t>
      </w:r>
      <w:bookmarkEnd w:id="177"/>
      <w:r>
        <w:rPr>
          <w:rFonts w:ascii="Times New Roman" w:hAnsi="Times New Roman" w:eastAsiaTheme="minorEastAsia"/>
          <w:color w:val="000000" w:themeColor="text1"/>
          <w:kern w:val="0"/>
          <w:szCs w:val="24"/>
        </w:rPr>
        <w:t>5</w:t>
      </w:r>
      <w:r>
        <w:rPr>
          <w:rFonts w:ascii="Times New Roman" w:hAnsi="Times New Roman" w:eastAsiaTheme="minorEastAsia"/>
          <w:color w:val="000000" w:themeColor="text1"/>
          <w:szCs w:val="24"/>
        </w:rPr>
        <w:t>为基金进行审计的会计师事务所情况</w:t>
      </w:r>
      <w:bookmarkEnd w:id="178"/>
      <w:bookmarkEnd w:id="179"/>
      <w:bookmarkEnd w:id="180"/>
    </w:p>
    <w:p>
      <w:pPr>
        <w:spacing w:line="360" w:lineRule="auto"/>
        <w:ind w:firstLine="480" w:firstLineChars="200"/>
        <w:rPr>
          <w:rFonts w:eastAsiaTheme="minorEastAsia"/>
          <w:color w:val="000000" w:themeColor="text1"/>
          <w:sz w:val="24"/>
        </w:rPr>
      </w:pPr>
      <w:bookmarkStart w:id="181" w:name="OLE_LINK3"/>
      <w:r>
        <w:rPr>
          <w:rFonts w:eastAsiaTheme="minorEastAsia"/>
          <w:color w:val="000000" w:themeColor="text1"/>
          <w:sz w:val="24"/>
        </w:rPr>
        <w:t>本报告期内，为本基金提供审计服务的会计师事务所为普华永道中天会计师事务所(特殊普通合伙），本期审计费为50,000.00元。自本基金合同生效以来，本基金未改聘为其审计的会计师事务所。</w:t>
      </w:r>
    </w:p>
    <w:bookmarkEnd w:id="181"/>
    <w:p>
      <w:pPr>
        <w:pStyle w:val="3"/>
        <w:spacing w:before="0" w:after="0"/>
        <w:rPr>
          <w:rFonts w:ascii="Times New Roman" w:hAnsi="Times New Roman" w:eastAsiaTheme="minorEastAsia"/>
          <w:color w:val="000000" w:themeColor="text1"/>
          <w:kern w:val="0"/>
          <w:szCs w:val="24"/>
        </w:rPr>
      </w:pPr>
      <w:bookmarkStart w:id="182" w:name="_Toc409100104"/>
      <w:bookmarkStart w:id="183" w:name="_Toc409100467"/>
      <w:bookmarkStart w:id="184" w:name="_Toc361324899"/>
      <w:bookmarkStart w:id="185" w:name="_Toc67589801"/>
      <w:r>
        <w:rPr>
          <w:rFonts w:ascii="Times New Roman" w:hAnsi="Times New Roman" w:eastAsiaTheme="minorEastAsia"/>
          <w:color w:val="000000" w:themeColor="text1"/>
          <w:kern w:val="0"/>
          <w:szCs w:val="24"/>
        </w:rPr>
        <w:t>11.6 管理人、托管人及其高级管理人员受稽查或处罚等情况</w:t>
      </w:r>
      <w:bookmarkEnd w:id="182"/>
      <w:bookmarkEnd w:id="183"/>
      <w:bookmarkEnd w:id="184"/>
      <w:bookmarkEnd w:id="185"/>
    </w:p>
    <w:p>
      <w:pPr>
        <w:spacing w:line="360" w:lineRule="auto"/>
        <w:ind w:firstLine="480" w:firstLineChars="200"/>
        <w:rPr>
          <w:rFonts w:eastAsiaTheme="minorEastAsia"/>
          <w:color w:val="000000" w:themeColor="text1"/>
          <w:sz w:val="24"/>
        </w:rPr>
      </w:pPr>
      <w:r>
        <w:rPr>
          <w:rFonts w:eastAsiaTheme="minorEastAsia"/>
          <w:color w:val="000000" w:themeColor="text1"/>
          <w:sz w:val="24"/>
        </w:rPr>
        <w:t>1、管理人及其高级管理人员受稽查或处罚等情况</w:t>
      </w:r>
    </w:p>
    <w:p>
      <w:pPr>
        <w:spacing w:line="360" w:lineRule="auto"/>
        <w:ind w:firstLine="480" w:firstLineChars="20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pPr>
        <w:spacing w:line="360" w:lineRule="auto"/>
        <w:ind w:firstLine="480" w:firstLineChars="200"/>
        <w:rPr>
          <w:rFonts w:eastAsiaTheme="minorEastAsia"/>
          <w:color w:val="000000" w:themeColor="text1"/>
          <w:sz w:val="24"/>
        </w:rPr>
      </w:pPr>
      <w:r>
        <w:rPr>
          <w:rFonts w:eastAsiaTheme="minorEastAsia"/>
          <w:color w:val="000000" w:themeColor="text1"/>
          <w:sz w:val="24"/>
        </w:rPr>
        <w:t>2、托管人及其高级管理人员受稽查或处罚等情况</w:t>
      </w:r>
    </w:p>
    <w:p>
      <w:pPr>
        <w:spacing w:line="360" w:lineRule="auto"/>
        <w:ind w:firstLine="480" w:firstLineChars="200"/>
        <w:rPr>
          <w:rFonts w:eastAsiaTheme="minorEastAsia"/>
          <w:color w:val="000000" w:themeColor="text1"/>
          <w:sz w:val="24"/>
        </w:rPr>
      </w:pPr>
      <w:r>
        <w:rPr>
          <w:rFonts w:eastAsiaTheme="minorEastAsia"/>
          <w:color w:val="000000" w:themeColor="text1"/>
          <w:sz w:val="24"/>
        </w:rPr>
        <w:t>基金托管人及其高级管理人员本报告期内未受监管部门稽查或处罚。</w:t>
      </w:r>
    </w:p>
    <w:p>
      <w:pPr>
        <w:pStyle w:val="3"/>
        <w:spacing w:before="0" w:after="0"/>
        <w:rPr>
          <w:rFonts w:ascii="Times New Roman" w:hAnsi="Times New Roman" w:eastAsiaTheme="minorEastAsia"/>
          <w:color w:val="000000" w:themeColor="text1"/>
          <w:kern w:val="0"/>
          <w:szCs w:val="24"/>
        </w:rPr>
      </w:pPr>
      <w:bookmarkStart w:id="186" w:name="_Toc361324900"/>
      <w:bookmarkStart w:id="187" w:name="_Toc409100468"/>
      <w:bookmarkStart w:id="188" w:name="_Toc409100105"/>
      <w:bookmarkStart w:id="189" w:name="_Toc67589802"/>
      <w:r>
        <w:rPr>
          <w:rFonts w:ascii="Times New Roman" w:hAnsi="Times New Roman" w:eastAsiaTheme="minorEastAsia"/>
          <w:color w:val="000000" w:themeColor="text1"/>
          <w:kern w:val="0"/>
          <w:szCs w:val="24"/>
        </w:rPr>
        <w:t>11.7 基金租用证券公司交易单元的有关情况</w:t>
      </w:r>
      <w:bookmarkEnd w:id="186"/>
      <w:bookmarkEnd w:id="187"/>
      <w:bookmarkEnd w:id="188"/>
      <w:bookmarkEnd w:id="189"/>
    </w:p>
    <w:p>
      <w:pPr>
        <w:spacing w:line="360" w:lineRule="auto"/>
        <w:rPr>
          <w:rFonts w:eastAsiaTheme="minorEastAsia"/>
          <w:b/>
          <w:color w:val="000000" w:themeColor="text1"/>
          <w:sz w:val="24"/>
        </w:rPr>
      </w:pPr>
      <w:bookmarkStart w:id="190" w:name="_Toc249760070"/>
      <w:r>
        <w:rPr>
          <w:rFonts w:eastAsiaTheme="minorEastAsia"/>
          <w:b/>
          <w:color w:val="000000" w:themeColor="text1"/>
          <w:sz w:val="24"/>
        </w:rPr>
        <w:t>11.7.1基金租用证券公司交易单元进行股票投资及佣金支付情况</w:t>
      </w:r>
      <w:bookmarkEnd w:id="190"/>
    </w:p>
    <w:p>
      <w:pPr>
        <w:pStyle w:val="4"/>
        <w:spacing w:line="360" w:lineRule="auto"/>
        <w:ind w:firstLine="6240" w:firstLineChars="2600"/>
        <w:jc w:val="right"/>
        <w:rPr>
          <w:rFonts w:eastAsiaTheme="minorEastAsia"/>
          <w:color w:val="000000" w:themeColor="text1"/>
          <w:sz w:val="24"/>
        </w:rPr>
      </w:pPr>
      <w:r>
        <w:rPr>
          <w:rFonts w:eastAsiaTheme="minorEastAsia"/>
          <w:color w:val="000000" w:themeColor="text1"/>
          <w:sz w:val="24"/>
        </w:rPr>
        <w:t>金额单位：人民币元</w:t>
      </w:r>
    </w:p>
    <w:tbl>
      <w:tblPr>
        <w:tblStyle w:val="25"/>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780"/>
        <w:gridCol w:w="1800"/>
        <w:gridCol w:w="1080"/>
        <w:gridCol w:w="1620"/>
        <w:gridCol w:w="108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restart"/>
            <w:vAlign w:val="center"/>
          </w:tcPr>
          <w:p>
            <w:pPr>
              <w:spacing w:line="276" w:lineRule="auto"/>
              <w:jc w:val="center"/>
              <w:rPr>
                <w:rFonts w:eastAsiaTheme="minorEastAsia"/>
                <w:color w:val="000000" w:themeColor="text1"/>
                <w:sz w:val="24"/>
              </w:rPr>
            </w:pPr>
            <w:bookmarkStart w:id="191" w:name="_Toc249760071"/>
            <w:r>
              <w:rPr>
                <w:rFonts w:eastAsiaTheme="minorEastAsia"/>
                <w:color w:val="000000" w:themeColor="text1"/>
                <w:sz w:val="24"/>
              </w:rPr>
              <w:t>券商名称</w:t>
            </w:r>
          </w:p>
        </w:tc>
        <w:tc>
          <w:tcPr>
            <w:tcW w:w="780" w:type="dxa"/>
            <w:vMerge w:val="restart"/>
            <w:vAlign w:val="center"/>
          </w:tcPr>
          <w:p>
            <w:pPr>
              <w:spacing w:line="276" w:lineRule="auto"/>
              <w:jc w:val="center"/>
              <w:rPr>
                <w:rFonts w:eastAsiaTheme="minorEastAsia"/>
                <w:color w:val="000000" w:themeColor="text1"/>
                <w:sz w:val="24"/>
              </w:rPr>
            </w:pPr>
            <w:r>
              <w:rPr>
                <w:rFonts w:eastAsiaTheme="minorEastAsia"/>
                <w:color w:val="000000" w:themeColor="text1"/>
                <w:sz w:val="24"/>
              </w:rPr>
              <w:t>交易单元数量</w:t>
            </w:r>
          </w:p>
        </w:tc>
        <w:tc>
          <w:tcPr>
            <w:tcW w:w="2880" w:type="dxa"/>
            <w:gridSpan w:val="2"/>
            <w:vAlign w:val="center"/>
          </w:tcPr>
          <w:p>
            <w:pPr>
              <w:spacing w:line="276" w:lineRule="auto"/>
              <w:jc w:val="center"/>
              <w:rPr>
                <w:rFonts w:eastAsiaTheme="minorEastAsia"/>
                <w:color w:val="000000" w:themeColor="text1"/>
                <w:sz w:val="24"/>
              </w:rPr>
            </w:pPr>
            <w:r>
              <w:rPr>
                <w:rFonts w:eastAsiaTheme="minorEastAsia"/>
                <w:color w:val="000000" w:themeColor="text1"/>
                <w:sz w:val="24"/>
              </w:rPr>
              <w:t>股票交易</w:t>
            </w:r>
          </w:p>
        </w:tc>
        <w:tc>
          <w:tcPr>
            <w:tcW w:w="2700" w:type="dxa"/>
            <w:gridSpan w:val="2"/>
            <w:vAlign w:val="center"/>
          </w:tcPr>
          <w:p>
            <w:pPr>
              <w:spacing w:line="276" w:lineRule="auto"/>
              <w:jc w:val="center"/>
              <w:rPr>
                <w:rFonts w:eastAsiaTheme="minorEastAsia"/>
                <w:color w:val="000000" w:themeColor="text1"/>
                <w:sz w:val="24"/>
              </w:rPr>
            </w:pPr>
            <w:r>
              <w:rPr>
                <w:rFonts w:eastAsiaTheme="minorEastAsia"/>
                <w:color w:val="000000" w:themeColor="text1"/>
                <w:sz w:val="24"/>
              </w:rPr>
              <w:t>应支付该券商的佣金</w:t>
            </w:r>
          </w:p>
        </w:tc>
        <w:tc>
          <w:tcPr>
            <w:tcW w:w="1080" w:type="dxa"/>
            <w:vMerge w:val="restart"/>
            <w:vAlign w:val="center"/>
          </w:tcPr>
          <w:p>
            <w:pPr>
              <w:spacing w:line="276" w:lineRule="auto"/>
              <w:jc w:val="center"/>
              <w:rPr>
                <w:rFonts w:eastAsiaTheme="minorEastAsia"/>
                <w:color w:val="000000" w:themeColor="text1"/>
                <w:kern w:val="0"/>
                <w:sz w:val="24"/>
              </w:rPr>
            </w:pPr>
            <w:r>
              <w:rPr>
                <w:rFonts w:eastAsiaTheme="minorEastAsia"/>
                <w:color w:val="000000" w:themeColor="text1"/>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vAlign w:val="center"/>
          </w:tcPr>
          <w:p>
            <w:pPr>
              <w:widowControl/>
              <w:spacing w:line="276" w:lineRule="auto"/>
              <w:jc w:val="left"/>
              <w:rPr>
                <w:rFonts w:eastAsiaTheme="minorEastAsia"/>
                <w:color w:val="000000" w:themeColor="text1"/>
                <w:sz w:val="24"/>
              </w:rPr>
            </w:pPr>
          </w:p>
        </w:tc>
        <w:tc>
          <w:tcPr>
            <w:tcW w:w="780" w:type="dxa"/>
            <w:vMerge w:val="continue"/>
            <w:vAlign w:val="center"/>
          </w:tcPr>
          <w:p>
            <w:pPr>
              <w:widowControl/>
              <w:spacing w:line="276" w:lineRule="auto"/>
              <w:jc w:val="left"/>
              <w:rPr>
                <w:rFonts w:eastAsiaTheme="minorEastAsia"/>
                <w:color w:val="000000" w:themeColor="text1"/>
                <w:sz w:val="24"/>
              </w:rPr>
            </w:pPr>
          </w:p>
        </w:tc>
        <w:tc>
          <w:tcPr>
            <w:tcW w:w="180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占当期股票成交总额的比例</w:t>
            </w:r>
          </w:p>
        </w:tc>
        <w:tc>
          <w:tcPr>
            <w:tcW w:w="1620" w:type="dxa"/>
            <w:vAlign w:val="center"/>
          </w:tcPr>
          <w:p>
            <w:pPr>
              <w:spacing w:line="276" w:lineRule="auto"/>
              <w:jc w:val="center"/>
              <w:rPr>
                <w:rFonts w:eastAsiaTheme="minorEastAsia"/>
                <w:color w:val="000000" w:themeColor="text1"/>
                <w:kern w:val="0"/>
                <w:sz w:val="24"/>
              </w:rPr>
            </w:pPr>
            <w:r>
              <w:rPr>
                <w:rFonts w:eastAsiaTheme="minorEastAsia"/>
                <w:color w:val="000000" w:themeColor="text1"/>
                <w:kern w:val="0"/>
                <w:sz w:val="24"/>
              </w:rPr>
              <w:t>佣金</w:t>
            </w:r>
          </w:p>
        </w:tc>
        <w:tc>
          <w:tcPr>
            <w:tcW w:w="108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占当期佣金总量的比例</w:t>
            </w:r>
          </w:p>
        </w:tc>
        <w:tc>
          <w:tcPr>
            <w:tcW w:w="1080" w:type="dxa"/>
            <w:vMerge w:val="continue"/>
            <w:vAlign w:val="center"/>
          </w:tcPr>
          <w:p>
            <w:pPr>
              <w:widowControl/>
              <w:spacing w:line="276" w:lineRule="auto"/>
              <w:jc w:val="left"/>
              <w:rPr>
                <w:rFonts w:eastAsiaTheme="minorEastAsia"/>
                <w:color w:val="000000" w:themeColor="text1"/>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中泰证券股份有限公司</w:t>
            </w:r>
          </w:p>
        </w:tc>
        <w:tc>
          <w:tcPr>
            <w:tcW w:w="780" w:type="dxa"/>
            <w:vAlign w:val="center"/>
          </w:tcPr>
          <w:p>
            <w:pPr>
              <w:jc w:val="right"/>
            </w:pPr>
            <w:r>
              <w:rPr>
                <w:rFonts w:eastAsiaTheme="minorEastAsia"/>
                <w:color w:val="000000" w:themeColor="text1"/>
                <w:sz w:val="24"/>
              </w:rPr>
              <w:t>3</w:t>
            </w:r>
          </w:p>
        </w:tc>
        <w:tc>
          <w:tcPr>
            <w:tcW w:w="1800" w:type="dxa"/>
            <w:vAlign w:val="center"/>
          </w:tcPr>
          <w:p>
            <w:pPr>
              <w:jc w:val="right"/>
            </w:pPr>
            <w:r>
              <w:rPr>
                <w:rFonts w:eastAsiaTheme="minorEastAsia"/>
                <w:color w:val="000000" w:themeColor="text1"/>
                <w:sz w:val="24"/>
              </w:rPr>
              <w:t>85,561,991.63</w:t>
            </w:r>
          </w:p>
        </w:tc>
        <w:tc>
          <w:tcPr>
            <w:tcW w:w="1080" w:type="dxa"/>
            <w:vAlign w:val="center"/>
          </w:tcPr>
          <w:p>
            <w:pPr>
              <w:jc w:val="right"/>
            </w:pPr>
            <w:r>
              <w:rPr>
                <w:rFonts w:eastAsiaTheme="minorEastAsia"/>
                <w:color w:val="000000" w:themeColor="text1"/>
                <w:sz w:val="24"/>
              </w:rPr>
              <w:t>2.60%</w:t>
            </w:r>
          </w:p>
        </w:tc>
        <w:tc>
          <w:tcPr>
            <w:tcW w:w="1620" w:type="dxa"/>
            <w:vAlign w:val="center"/>
          </w:tcPr>
          <w:p>
            <w:pPr>
              <w:jc w:val="right"/>
            </w:pPr>
            <w:r>
              <w:rPr>
                <w:rFonts w:eastAsiaTheme="minorEastAsia"/>
                <w:color w:val="000000" w:themeColor="text1"/>
                <w:sz w:val="24"/>
              </w:rPr>
              <w:t>79,683.86</w:t>
            </w:r>
          </w:p>
        </w:tc>
        <w:tc>
          <w:tcPr>
            <w:tcW w:w="1080" w:type="dxa"/>
            <w:vAlign w:val="center"/>
          </w:tcPr>
          <w:p>
            <w:pPr>
              <w:jc w:val="right"/>
            </w:pPr>
            <w:r>
              <w:rPr>
                <w:rFonts w:eastAsiaTheme="minorEastAsia"/>
                <w:color w:val="000000" w:themeColor="text1"/>
                <w:sz w:val="24"/>
              </w:rPr>
              <w:t>2.60%</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60" w:type="dxa"/>
            <w:vAlign w:val="center"/>
          </w:tcPr>
          <w:p>
            <w:pPr>
              <w:jc w:val="left"/>
            </w:pPr>
            <w:r>
              <w:rPr>
                <w:rFonts w:eastAsiaTheme="minorEastAsia"/>
                <w:color w:val="000000" w:themeColor="text1"/>
                <w:sz w:val="24"/>
              </w:rPr>
              <w:t>野村东方国际证券有限公司</w:t>
            </w:r>
          </w:p>
        </w:tc>
        <w:tc>
          <w:tcPr>
            <w:tcW w:w="780" w:type="dxa"/>
            <w:vAlign w:val="center"/>
          </w:tcPr>
          <w:p>
            <w:pPr>
              <w:jc w:val="right"/>
            </w:pPr>
            <w:r>
              <w:rPr>
                <w:rFonts w:eastAsiaTheme="minorEastAsia"/>
                <w:color w:val="000000" w:themeColor="text1"/>
                <w:sz w:val="24"/>
              </w:rPr>
              <w:t>2</w:t>
            </w:r>
          </w:p>
        </w:tc>
        <w:tc>
          <w:tcPr>
            <w:tcW w:w="1800" w:type="dxa"/>
            <w:vAlign w:val="center"/>
          </w:tcPr>
          <w:p>
            <w:pPr>
              <w:jc w:val="right"/>
            </w:pPr>
            <w:r>
              <w:rPr>
                <w:rFonts w:eastAsiaTheme="minorEastAsia"/>
                <w:color w:val="000000" w:themeColor="text1"/>
                <w:sz w:val="24"/>
              </w:rPr>
              <w:t>53,732,876.21</w:t>
            </w:r>
          </w:p>
        </w:tc>
        <w:tc>
          <w:tcPr>
            <w:tcW w:w="1080" w:type="dxa"/>
            <w:vAlign w:val="center"/>
          </w:tcPr>
          <w:p>
            <w:pPr>
              <w:jc w:val="right"/>
            </w:pPr>
            <w:r>
              <w:rPr>
                <w:rFonts w:eastAsiaTheme="minorEastAsia"/>
                <w:color w:val="000000" w:themeColor="text1"/>
                <w:sz w:val="24"/>
              </w:rPr>
              <w:t>1.63%</w:t>
            </w:r>
          </w:p>
        </w:tc>
        <w:tc>
          <w:tcPr>
            <w:tcW w:w="1620" w:type="dxa"/>
            <w:vAlign w:val="center"/>
          </w:tcPr>
          <w:p>
            <w:pPr>
              <w:jc w:val="right"/>
            </w:pPr>
            <w:r>
              <w:rPr>
                <w:rFonts w:eastAsiaTheme="minorEastAsia"/>
                <w:color w:val="000000" w:themeColor="text1"/>
                <w:sz w:val="24"/>
              </w:rPr>
              <w:t>50,041.54</w:t>
            </w:r>
          </w:p>
        </w:tc>
        <w:tc>
          <w:tcPr>
            <w:tcW w:w="1080" w:type="dxa"/>
            <w:vAlign w:val="center"/>
          </w:tcPr>
          <w:p>
            <w:pPr>
              <w:jc w:val="right"/>
            </w:pPr>
            <w:r>
              <w:rPr>
                <w:rFonts w:eastAsiaTheme="minorEastAsia"/>
                <w:color w:val="000000" w:themeColor="text1"/>
                <w:sz w:val="24"/>
              </w:rPr>
              <w:t>1.63%</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华创证券有限责任公司</w:t>
            </w:r>
          </w:p>
        </w:tc>
        <w:tc>
          <w:tcPr>
            <w:tcW w:w="780" w:type="dxa"/>
            <w:vAlign w:val="center"/>
          </w:tcPr>
          <w:p>
            <w:pPr>
              <w:jc w:val="right"/>
            </w:pPr>
            <w:r>
              <w:rPr>
                <w:rFonts w:eastAsiaTheme="minorEastAsia"/>
                <w:color w:val="000000" w:themeColor="text1"/>
                <w:sz w:val="24"/>
              </w:rPr>
              <w:t>2</w:t>
            </w:r>
          </w:p>
        </w:tc>
        <w:tc>
          <w:tcPr>
            <w:tcW w:w="1800" w:type="dxa"/>
            <w:vAlign w:val="center"/>
          </w:tcPr>
          <w:p>
            <w:pPr>
              <w:jc w:val="right"/>
            </w:pPr>
            <w:r>
              <w:rPr>
                <w:rFonts w:eastAsiaTheme="minorEastAsia"/>
                <w:color w:val="000000" w:themeColor="text1"/>
                <w:sz w:val="24"/>
              </w:rPr>
              <w:t>536,512,626.71</w:t>
            </w:r>
          </w:p>
        </w:tc>
        <w:tc>
          <w:tcPr>
            <w:tcW w:w="1080" w:type="dxa"/>
            <w:vAlign w:val="center"/>
          </w:tcPr>
          <w:p>
            <w:pPr>
              <w:jc w:val="right"/>
            </w:pPr>
            <w:r>
              <w:rPr>
                <w:rFonts w:eastAsiaTheme="minorEastAsia"/>
                <w:color w:val="000000" w:themeColor="text1"/>
                <w:sz w:val="24"/>
              </w:rPr>
              <w:t>16.31%</w:t>
            </w:r>
          </w:p>
        </w:tc>
        <w:tc>
          <w:tcPr>
            <w:tcW w:w="1620" w:type="dxa"/>
            <w:vAlign w:val="center"/>
          </w:tcPr>
          <w:p>
            <w:pPr>
              <w:jc w:val="right"/>
            </w:pPr>
            <w:r>
              <w:rPr>
                <w:rFonts w:eastAsiaTheme="minorEastAsia"/>
                <w:color w:val="000000" w:themeColor="text1"/>
                <w:sz w:val="24"/>
              </w:rPr>
              <w:t>499,654.98</w:t>
            </w:r>
          </w:p>
        </w:tc>
        <w:tc>
          <w:tcPr>
            <w:tcW w:w="1080" w:type="dxa"/>
            <w:vAlign w:val="center"/>
          </w:tcPr>
          <w:p>
            <w:pPr>
              <w:jc w:val="right"/>
            </w:pPr>
            <w:r>
              <w:rPr>
                <w:rFonts w:eastAsiaTheme="minorEastAsia"/>
                <w:color w:val="000000" w:themeColor="text1"/>
                <w:sz w:val="24"/>
              </w:rPr>
              <w:t>16.31%</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太平洋证券股份有限公司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5,299,152.00</w:t>
            </w:r>
          </w:p>
        </w:tc>
        <w:tc>
          <w:tcPr>
            <w:tcW w:w="1080" w:type="dxa"/>
            <w:vAlign w:val="center"/>
          </w:tcPr>
          <w:p>
            <w:pPr>
              <w:jc w:val="right"/>
            </w:pPr>
            <w:r>
              <w:rPr>
                <w:rFonts w:eastAsiaTheme="minorEastAsia"/>
                <w:color w:val="000000" w:themeColor="text1"/>
                <w:sz w:val="24"/>
              </w:rPr>
              <w:t>0.16%</w:t>
            </w:r>
          </w:p>
        </w:tc>
        <w:tc>
          <w:tcPr>
            <w:tcW w:w="1620" w:type="dxa"/>
            <w:vAlign w:val="center"/>
          </w:tcPr>
          <w:p>
            <w:pPr>
              <w:jc w:val="right"/>
            </w:pPr>
            <w:r>
              <w:rPr>
                <w:rFonts w:eastAsiaTheme="minorEastAsia"/>
                <w:color w:val="000000" w:themeColor="text1"/>
                <w:sz w:val="24"/>
              </w:rPr>
              <w:t>4,935.08</w:t>
            </w:r>
          </w:p>
        </w:tc>
        <w:tc>
          <w:tcPr>
            <w:tcW w:w="1080" w:type="dxa"/>
            <w:vAlign w:val="center"/>
          </w:tcPr>
          <w:p>
            <w:pPr>
              <w:jc w:val="right"/>
            </w:pPr>
            <w:r>
              <w:rPr>
                <w:rFonts w:eastAsiaTheme="minorEastAsia"/>
                <w:color w:val="000000" w:themeColor="text1"/>
                <w:sz w:val="24"/>
              </w:rPr>
              <w:t>0.16%</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东吴证券股份有限公司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353,012,378.32</w:t>
            </w:r>
          </w:p>
        </w:tc>
        <w:tc>
          <w:tcPr>
            <w:tcW w:w="1080" w:type="dxa"/>
            <w:vAlign w:val="center"/>
          </w:tcPr>
          <w:p>
            <w:pPr>
              <w:jc w:val="right"/>
            </w:pPr>
            <w:r>
              <w:rPr>
                <w:rFonts w:eastAsiaTheme="minorEastAsia"/>
                <w:color w:val="000000" w:themeColor="text1"/>
                <w:sz w:val="24"/>
              </w:rPr>
              <w:t>10.73%</w:t>
            </w:r>
          </w:p>
        </w:tc>
        <w:tc>
          <w:tcPr>
            <w:tcW w:w="1620" w:type="dxa"/>
            <w:vAlign w:val="center"/>
          </w:tcPr>
          <w:p>
            <w:pPr>
              <w:jc w:val="right"/>
            </w:pPr>
            <w:r>
              <w:rPr>
                <w:rFonts w:eastAsiaTheme="minorEastAsia"/>
                <w:color w:val="000000" w:themeColor="text1"/>
                <w:sz w:val="24"/>
              </w:rPr>
              <w:t>328,760.03</w:t>
            </w:r>
          </w:p>
        </w:tc>
        <w:tc>
          <w:tcPr>
            <w:tcW w:w="1080" w:type="dxa"/>
            <w:vAlign w:val="center"/>
          </w:tcPr>
          <w:p>
            <w:pPr>
              <w:jc w:val="right"/>
            </w:pPr>
            <w:r>
              <w:rPr>
                <w:rFonts w:eastAsiaTheme="minorEastAsia"/>
                <w:color w:val="000000" w:themeColor="text1"/>
                <w:sz w:val="24"/>
              </w:rPr>
              <w:t>10.73%</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60" w:type="dxa"/>
            <w:vAlign w:val="center"/>
          </w:tcPr>
          <w:p>
            <w:pPr>
              <w:jc w:val="left"/>
            </w:pPr>
            <w:r>
              <w:rPr>
                <w:rFonts w:eastAsiaTheme="minorEastAsia"/>
                <w:color w:val="000000" w:themeColor="text1"/>
                <w:sz w:val="24"/>
              </w:rPr>
              <w:t>瑞银证券有限责任公司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32,933,195.72</w:t>
            </w:r>
          </w:p>
        </w:tc>
        <w:tc>
          <w:tcPr>
            <w:tcW w:w="1080" w:type="dxa"/>
            <w:vAlign w:val="center"/>
          </w:tcPr>
          <w:p>
            <w:pPr>
              <w:jc w:val="right"/>
            </w:pPr>
            <w:r>
              <w:rPr>
                <w:rFonts w:eastAsiaTheme="minorEastAsia"/>
                <w:color w:val="000000" w:themeColor="text1"/>
                <w:sz w:val="24"/>
              </w:rPr>
              <w:t>1.00%</w:t>
            </w:r>
          </w:p>
        </w:tc>
        <w:tc>
          <w:tcPr>
            <w:tcW w:w="1620" w:type="dxa"/>
            <w:vAlign w:val="center"/>
          </w:tcPr>
          <w:p>
            <w:pPr>
              <w:jc w:val="right"/>
            </w:pPr>
            <w:r>
              <w:rPr>
                <w:rFonts w:eastAsiaTheme="minorEastAsia"/>
                <w:color w:val="000000" w:themeColor="text1"/>
                <w:sz w:val="24"/>
              </w:rPr>
              <w:t>30,670.55</w:t>
            </w:r>
          </w:p>
        </w:tc>
        <w:tc>
          <w:tcPr>
            <w:tcW w:w="1080" w:type="dxa"/>
            <w:vAlign w:val="center"/>
          </w:tcPr>
          <w:p>
            <w:pPr>
              <w:jc w:val="right"/>
            </w:pPr>
            <w:r>
              <w:rPr>
                <w:rFonts w:eastAsiaTheme="minorEastAsia"/>
                <w:color w:val="000000" w:themeColor="text1"/>
                <w:sz w:val="24"/>
              </w:rPr>
              <w:t>1.00%</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中信证券股份有限公司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324,390,819.61</w:t>
            </w:r>
          </w:p>
        </w:tc>
        <w:tc>
          <w:tcPr>
            <w:tcW w:w="1080" w:type="dxa"/>
            <w:vAlign w:val="center"/>
          </w:tcPr>
          <w:p>
            <w:pPr>
              <w:jc w:val="right"/>
            </w:pPr>
            <w:r>
              <w:rPr>
                <w:rFonts w:eastAsiaTheme="minorEastAsia"/>
                <w:color w:val="000000" w:themeColor="text1"/>
                <w:sz w:val="24"/>
              </w:rPr>
              <w:t>9.86%</w:t>
            </w:r>
          </w:p>
        </w:tc>
        <w:tc>
          <w:tcPr>
            <w:tcW w:w="1620" w:type="dxa"/>
            <w:vAlign w:val="center"/>
          </w:tcPr>
          <w:p>
            <w:pPr>
              <w:jc w:val="right"/>
            </w:pPr>
            <w:r>
              <w:rPr>
                <w:rFonts w:eastAsiaTheme="minorEastAsia"/>
                <w:color w:val="000000" w:themeColor="text1"/>
                <w:sz w:val="24"/>
              </w:rPr>
              <w:t>302,105.36</w:t>
            </w:r>
          </w:p>
        </w:tc>
        <w:tc>
          <w:tcPr>
            <w:tcW w:w="1080" w:type="dxa"/>
            <w:vAlign w:val="center"/>
          </w:tcPr>
          <w:p>
            <w:pPr>
              <w:jc w:val="right"/>
            </w:pPr>
            <w:r>
              <w:rPr>
                <w:rFonts w:eastAsiaTheme="minorEastAsia"/>
                <w:color w:val="000000" w:themeColor="text1"/>
                <w:sz w:val="24"/>
              </w:rPr>
              <w:t>9.86%</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长江证券股份有限公司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288,814,144.06</w:t>
            </w:r>
          </w:p>
        </w:tc>
        <w:tc>
          <w:tcPr>
            <w:tcW w:w="1080" w:type="dxa"/>
            <w:vAlign w:val="center"/>
          </w:tcPr>
          <w:p>
            <w:pPr>
              <w:jc w:val="right"/>
            </w:pPr>
            <w:r>
              <w:rPr>
                <w:rFonts w:eastAsiaTheme="minorEastAsia"/>
                <w:color w:val="000000" w:themeColor="text1"/>
                <w:sz w:val="24"/>
              </w:rPr>
              <w:t>8.78%</w:t>
            </w:r>
          </w:p>
        </w:tc>
        <w:tc>
          <w:tcPr>
            <w:tcW w:w="1620" w:type="dxa"/>
            <w:vAlign w:val="center"/>
          </w:tcPr>
          <w:p>
            <w:pPr>
              <w:jc w:val="right"/>
            </w:pPr>
            <w:r>
              <w:rPr>
                <w:rFonts w:eastAsiaTheme="minorEastAsia"/>
                <w:color w:val="000000" w:themeColor="text1"/>
                <w:sz w:val="24"/>
              </w:rPr>
              <w:t>269,034.63</w:t>
            </w:r>
          </w:p>
        </w:tc>
        <w:tc>
          <w:tcPr>
            <w:tcW w:w="1080" w:type="dxa"/>
            <w:vAlign w:val="center"/>
          </w:tcPr>
          <w:p>
            <w:pPr>
              <w:jc w:val="right"/>
            </w:pPr>
            <w:r>
              <w:rPr>
                <w:rFonts w:eastAsiaTheme="minorEastAsia"/>
                <w:color w:val="000000" w:themeColor="text1"/>
                <w:sz w:val="24"/>
              </w:rPr>
              <w:t>8.78%</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国盛证券有限责任公司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222,894,140.13</w:t>
            </w:r>
          </w:p>
        </w:tc>
        <w:tc>
          <w:tcPr>
            <w:tcW w:w="1080" w:type="dxa"/>
            <w:vAlign w:val="center"/>
          </w:tcPr>
          <w:p>
            <w:pPr>
              <w:jc w:val="right"/>
            </w:pPr>
            <w:r>
              <w:rPr>
                <w:rFonts w:eastAsiaTheme="minorEastAsia"/>
                <w:color w:val="000000" w:themeColor="text1"/>
                <w:sz w:val="24"/>
              </w:rPr>
              <w:t>6.78%</w:t>
            </w:r>
          </w:p>
        </w:tc>
        <w:tc>
          <w:tcPr>
            <w:tcW w:w="1620" w:type="dxa"/>
            <w:vAlign w:val="center"/>
          </w:tcPr>
          <w:p>
            <w:pPr>
              <w:jc w:val="right"/>
            </w:pPr>
            <w:r>
              <w:rPr>
                <w:rFonts w:eastAsiaTheme="minorEastAsia"/>
                <w:color w:val="000000" w:themeColor="text1"/>
                <w:sz w:val="24"/>
              </w:rPr>
              <w:t>207,580.80</w:t>
            </w:r>
          </w:p>
        </w:tc>
        <w:tc>
          <w:tcPr>
            <w:tcW w:w="1080" w:type="dxa"/>
            <w:vAlign w:val="center"/>
          </w:tcPr>
          <w:p>
            <w:pPr>
              <w:jc w:val="right"/>
            </w:pPr>
            <w:r>
              <w:rPr>
                <w:rFonts w:eastAsiaTheme="minorEastAsia"/>
                <w:color w:val="000000" w:themeColor="text1"/>
                <w:sz w:val="24"/>
              </w:rPr>
              <w:t>6.78%</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60" w:type="dxa"/>
            <w:vAlign w:val="center"/>
          </w:tcPr>
          <w:p>
            <w:pPr>
              <w:jc w:val="left"/>
            </w:pPr>
            <w:r>
              <w:rPr>
                <w:rFonts w:eastAsiaTheme="minorEastAsia"/>
                <w:color w:val="000000" w:themeColor="text1"/>
                <w:sz w:val="24"/>
              </w:rPr>
              <w:t>东方财富证券股份有限公司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207,466,477.24</w:t>
            </w:r>
          </w:p>
        </w:tc>
        <w:tc>
          <w:tcPr>
            <w:tcW w:w="1080" w:type="dxa"/>
            <w:vAlign w:val="center"/>
          </w:tcPr>
          <w:p>
            <w:pPr>
              <w:jc w:val="right"/>
            </w:pPr>
            <w:r>
              <w:rPr>
                <w:rFonts w:eastAsiaTheme="minorEastAsia"/>
                <w:color w:val="000000" w:themeColor="text1"/>
                <w:sz w:val="24"/>
              </w:rPr>
              <w:t>6.31%</w:t>
            </w:r>
          </w:p>
        </w:tc>
        <w:tc>
          <w:tcPr>
            <w:tcW w:w="1620" w:type="dxa"/>
            <w:vAlign w:val="center"/>
          </w:tcPr>
          <w:p>
            <w:pPr>
              <w:jc w:val="right"/>
            </w:pPr>
            <w:r>
              <w:rPr>
                <w:rFonts w:eastAsiaTheme="minorEastAsia"/>
                <w:color w:val="000000" w:themeColor="text1"/>
                <w:sz w:val="24"/>
              </w:rPr>
              <w:t>193,211.60</w:t>
            </w:r>
          </w:p>
        </w:tc>
        <w:tc>
          <w:tcPr>
            <w:tcW w:w="1080" w:type="dxa"/>
            <w:vAlign w:val="center"/>
          </w:tcPr>
          <w:p>
            <w:pPr>
              <w:jc w:val="right"/>
            </w:pPr>
            <w:r>
              <w:rPr>
                <w:rFonts w:eastAsiaTheme="minorEastAsia"/>
                <w:color w:val="000000" w:themeColor="text1"/>
                <w:sz w:val="24"/>
              </w:rPr>
              <w:t>6.31%</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东方证券股份有限公司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137,068,436.21</w:t>
            </w:r>
          </w:p>
        </w:tc>
        <w:tc>
          <w:tcPr>
            <w:tcW w:w="1080" w:type="dxa"/>
            <w:vAlign w:val="center"/>
          </w:tcPr>
          <w:p>
            <w:pPr>
              <w:jc w:val="right"/>
            </w:pPr>
            <w:r>
              <w:rPr>
                <w:rFonts w:eastAsiaTheme="minorEastAsia"/>
                <w:color w:val="000000" w:themeColor="text1"/>
                <w:sz w:val="24"/>
              </w:rPr>
              <w:t>4.17%</w:t>
            </w:r>
          </w:p>
        </w:tc>
        <w:tc>
          <w:tcPr>
            <w:tcW w:w="1620" w:type="dxa"/>
            <w:vAlign w:val="center"/>
          </w:tcPr>
          <w:p>
            <w:pPr>
              <w:jc w:val="right"/>
            </w:pPr>
            <w:r>
              <w:rPr>
                <w:rFonts w:eastAsiaTheme="minorEastAsia"/>
                <w:color w:val="000000" w:themeColor="text1"/>
                <w:sz w:val="24"/>
              </w:rPr>
              <w:t>127,652.18</w:t>
            </w:r>
          </w:p>
        </w:tc>
        <w:tc>
          <w:tcPr>
            <w:tcW w:w="1080" w:type="dxa"/>
            <w:vAlign w:val="center"/>
          </w:tcPr>
          <w:p>
            <w:pPr>
              <w:jc w:val="right"/>
            </w:pPr>
            <w:r>
              <w:rPr>
                <w:rFonts w:eastAsiaTheme="minorEastAsia"/>
                <w:color w:val="000000" w:themeColor="text1"/>
                <w:sz w:val="24"/>
              </w:rPr>
              <w:t>4.17%</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广发证券股份有限公司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1,041,219,418.22</w:t>
            </w:r>
          </w:p>
        </w:tc>
        <w:tc>
          <w:tcPr>
            <w:tcW w:w="1080" w:type="dxa"/>
            <w:vAlign w:val="center"/>
          </w:tcPr>
          <w:p>
            <w:pPr>
              <w:jc w:val="right"/>
            </w:pPr>
            <w:r>
              <w:rPr>
                <w:rFonts w:eastAsiaTheme="minorEastAsia"/>
                <w:color w:val="000000" w:themeColor="text1"/>
                <w:sz w:val="24"/>
              </w:rPr>
              <w:t>31.66%</w:t>
            </w:r>
          </w:p>
        </w:tc>
        <w:tc>
          <w:tcPr>
            <w:tcW w:w="1620" w:type="dxa"/>
            <w:vAlign w:val="center"/>
          </w:tcPr>
          <w:p>
            <w:pPr>
              <w:jc w:val="right"/>
            </w:pPr>
            <w:r>
              <w:rPr>
                <w:rFonts w:eastAsiaTheme="minorEastAsia"/>
                <w:color w:val="000000" w:themeColor="text1"/>
                <w:sz w:val="24"/>
              </w:rPr>
              <w:t>969,689.84</w:t>
            </w:r>
          </w:p>
        </w:tc>
        <w:tc>
          <w:tcPr>
            <w:tcW w:w="1080" w:type="dxa"/>
            <w:vAlign w:val="center"/>
          </w:tcPr>
          <w:p>
            <w:pPr>
              <w:jc w:val="right"/>
            </w:pPr>
            <w:r>
              <w:rPr>
                <w:rFonts w:eastAsiaTheme="minorEastAsia"/>
                <w:color w:val="000000" w:themeColor="text1"/>
                <w:sz w:val="24"/>
              </w:rPr>
              <w:t>31.66%</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北京高华证券有限责任公司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62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60" w:type="dxa"/>
            <w:vAlign w:val="center"/>
          </w:tcPr>
          <w:p>
            <w:pPr>
              <w:jc w:val="left"/>
            </w:pPr>
            <w:r>
              <w:rPr>
                <w:rFonts w:eastAsiaTheme="minorEastAsia"/>
                <w:color w:val="000000" w:themeColor="text1"/>
                <w:sz w:val="24"/>
              </w:rPr>
              <w:t>民生证券股份有限公司</w:t>
            </w:r>
          </w:p>
        </w:tc>
        <w:tc>
          <w:tcPr>
            <w:tcW w:w="780" w:type="dxa"/>
            <w:vAlign w:val="center"/>
          </w:tcPr>
          <w:p>
            <w:pPr>
              <w:jc w:val="right"/>
            </w:pPr>
            <w:r>
              <w:rPr>
                <w:rFonts w:eastAsiaTheme="minorEastAsia"/>
                <w:color w:val="000000" w:themeColor="text1"/>
                <w:sz w:val="24"/>
              </w:rPr>
              <w:t>2</w:t>
            </w:r>
          </w:p>
        </w:tc>
        <w:tc>
          <w:tcPr>
            <w:tcW w:w="180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62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080" w:type="dxa"/>
            <w:vAlign w:val="center"/>
          </w:tcPr>
          <w:p>
            <w:pPr>
              <w:jc w:val="left"/>
            </w:pPr>
            <w:r>
              <w:rPr>
                <w:rFonts w:eastAsiaTheme="minorEastAsia"/>
                <w:color w:val="000000" w:themeColor="text1"/>
                <w:sz w:val="24"/>
              </w:rPr>
              <w:t>-</w:t>
            </w:r>
          </w:p>
        </w:tc>
      </w:tr>
    </w:tbl>
    <w:p>
      <w:pPr>
        <w:autoSpaceDE w:val="0"/>
        <w:autoSpaceDN w:val="0"/>
        <w:adjustRightInd w:val="0"/>
        <w:spacing w:line="360" w:lineRule="auto"/>
        <w:ind w:firstLine="480" w:firstLineChars="200"/>
        <w:jc w:val="left"/>
        <w:rPr>
          <w:rFonts w:eastAsiaTheme="minorEastAsia"/>
          <w:color w:val="000000" w:themeColor="text1"/>
          <w:sz w:val="24"/>
        </w:rPr>
      </w:pPr>
      <w:r>
        <w:rPr>
          <w:rFonts w:eastAsiaTheme="minorEastAsia"/>
          <w:color w:val="000000" w:themeColor="text1"/>
          <w:sz w:val="24"/>
        </w:rPr>
        <w:t>注：1、报告期内，本基金新增加交易单元为野村东方国际证券有限公司，其它交易单元未发生变化；</w:t>
      </w:r>
    </w:p>
    <w:p>
      <w:pPr>
        <w:autoSpaceDE w:val="0"/>
        <w:autoSpaceDN w:val="0"/>
        <w:adjustRightInd w:val="0"/>
        <w:spacing w:line="360" w:lineRule="auto"/>
        <w:ind w:firstLine="480" w:firstLineChars="200"/>
        <w:jc w:val="left"/>
        <w:rPr>
          <w:rFonts w:eastAsiaTheme="minorEastAsia"/>
          <w:color w:val="000000" w:themeColor="text1"/>
          <w:sz w:val="24"/>
        </w:rPr>
      </w:pPr>
      <w:r>
        <w:rPr>
          <w:rFonts w:eastAsiaTheme="minorEastAsia"/>
          <w:color w:val="000000" w:themeColor="text1"/>
          <w:sz w:val="24"/>
        </w:rPr>
        <w:t>2、租用证券公司交易单元的选择标准主要包括：券商基本面评价（财务状况、经营状况）、券商研究机构评价（报告质量、及时性和数量）、券商每日信息评价（及时性和有效性）和券商协作表现评价等四个方面；</w:t>
      </w:r>
    </w:p>
    <w:p>
      <w:pPr>
        <w:autoSpaceDE w:val="0"/>
        <w:autoSpaceDN w:val="0"/>
        <w:adjustRightInd w:val="0"/>
        <w:spacing w:line="360" w:lineRule="auto"/>
        <w:ind w:firstLine="480" w:firstLineChars="200"/>
        <w:jc w:val="left"/>
        <w:rPr>
          <w:rFonts w:eastAsiaTheme="minorEastAsia"/>
          <w:color w:val="000000" w:themeColor="text1"/>
          <w:sz w:val="24"/>
        </w:rPr>
      </w:pPr>
      <w:r>
        <w:rPr>
          <w:rFonts w:eastAsiaTheme="minorEastAsia"/>
          <w:color w:val="000000" w:themeColor="text1"/>
          <w:sz w:val="24"/>
        </w:rPr>
        <w:t>3、租用证券公司交易单元的程序：首先根据租用证券公司交易单元的选择标准进行综合评价，然后根据评价选择基金交易单元。研究部提交方案，并上报公司批准。</w:t>
      </w:r>
    </w:p>
    <w:p>
      <w:pPr>
        <w:spacing w:before="312" w:beforeLines="100" w:line="360" w:lineRule="auto"/>
        <w:rPr>
          <w:rFonts w:eastAsiaTheme="minorEastAsia"/>
          <w:b/>
          <w:color w:val="000000" w:themeColor="text1"/>
          <w:sz w:val="24"/>
        </w:rPr>
      </w:pPr>
      <w:r>
        <w:rPr>
          <w:rFonts w:eastAsiaTheme="minorEastAsia"/>
          <w:b/>
          <w:color w:val="000000" w:themeColor="text1"/>
          <w:sz w:val="24"/>
        </w:rPr>
        <w:t>11.7.2 基金租用证券公司交易单元进行其他证券投资的情况</w:t>
      </w:r>
      <w:bookmarkEnd w:id="191"/>
    </w:p>
    <w:p>
      <w:pPr>
        <w:autoSpaceDE w:val="0"/>
        <w:autoSpaceDN w:val="0"/>
        <w:adjustRightInd w:val="0"/>
        <w:spacing w:line="360" w:lineRule="auto"/>
        <w:ind w:firstLine="480" w:firstLineChars="200"/>
        <w:jc w:val="left"/>
        <w:rPr>
          <w:rFonts w:eastAsiaTheme="minorEastAsia"/>
          <w:color w:val="000000" w:themeColor="text1"/>
          <w:sz w:val="24"/>
        </w:rPr>
      </w:pPr>
      <w:r>
        <w:rPr>
          <w:rFonts w:eastAsiaTheme="minorEastAsia"/>
          <w:color w:val="000000" w:themeColor="text1"/>
          <w:sz w:val="24"/>
        </w:rPr>
        <w:t>无。</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92" w:name="_Toc361324901"/>
      <w:bookmarkStart w:id="193" w:name="_Toc67589803"/>
      <w:r>
        <w:rPr>
          <w:rFonts w:ascii="Times New Roman" w:hAnsi="Times New Roman"/>
          <w:kern w:val="0"/>
          <w:szCs w:val="24"/>
        </w:rPr>
        <w:t>11.8</w:t>
      </w:r>
      <w:r>
        <w:rPr>
          <w:rFonts w:hint="eastAsia" w:ascii="Times New Roman" w:hAnsi="Times New Roman"/>
          <w:kern w:val="0"/>
          <w:szCs w:val="24"/>
        </w:rPr>
        <w:t>其他重大事件</w:t>
      </w:r>
      <w:bookmarkEnd w:id="192"/>
      <w:bookmarkEnd w:id="193"/>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4320"/>
        <w:gridCol w:w="2331"/>
        <w:gridCol w:w="1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spacing w:before="29" w:line="288" w:lineRule="auto"/>
              <w:jc w:val="center"/>
              <w:rPr>
                <w:color w:val="000000"/>
                <w:sz w:val="24"/>
              </w:rPr>
            </w:pPr>
            <w:r>
              <w:rPr>
                <w:rFonts w:hint="eastAsia"/>
                <w:color w:val="000000"/>
                <w:sz w:val="24"/>
              </w:rPr>
              <w:t>序号</w:t>
            </w:r>
          </w:p>
        </w:tc>
        <w:tc>
          <w:tcPr>
            <w:tcW w:w="4320" w:type="dxa"/>
            <w:vAlign w:val="center"/>
          </w:tcPr>
          <w:p>
            <w:pPr>
              <w:spacing w:before="29" w:line="288" w:lineRule="auto"/>
              <w:jc w:val="center"/>
              <w:rPr>
                <w:color w:val="000000"/>
                <w:sz w:val="24"/>
              </w:rPr>
            </w:pPr>
            <w:r>
              <w:rPr>
                <w:rFonts w:hint="eastAsia"/>
                <w:color w:val="000000"/>
                <w:sz w:val="24"/>
              </w:rPr>
              <w:t>公告事项</w:t>
            </w:r>
          </w:p>
        </w:tc>
        <w:tc>
          <w:tcPr>
            <w:tcW w:w="2331" w:type="dxa"/>
            <w:vAlign w:val="center"/>
          </w:tcPr>
          <w:p>
            <w:pPr>
              <w:spacing w:before="29" w:line="288" w:lineRule="auto"/>
              <w:jc w:val="center"/>
              <w:rPr>
                <w:color w:val="000000"/>
                <w:sz w:val="24"/>
              </w:rPr>
            </w:pPr>
            <w:r>
              <w:rPr>
                <w:rFonts w:hint="eastAsia"/>
                <w:color w:val="000000"/>
                <w:sz w:val="24"/>
              </w:rPr>
              <w:t>法定披露方式</w:t>
            </w:r>
          </w:p>
        </w:tc>
        <w:tc>
          <w:tcPr>
            <w:tcW w:w="1629" w:type="dxa"/>
            <w:vAlign w:val="center"/>
          </w:tcPr>
          <w:p>
            <w:pPr>
              <w:spacing w:before="29" w:line="288" w:lineRule="auto"/>
              <w:jc w:val="center"/>
              <w:rPr>
                <w:color w:val="000000"/>
                <w:sz w:val="24"/>
              </w:rPr>
            </w:pPr>
            <w:r>
              <w:rPr>
                <w:rFonts w:hint="eastAsia"/>
                <w:color w:val="000000"/>
                <w:sz w:val="24"/>
              </w:rPr>
              <w:t>法定披露日期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w:t>
            </w:r>
          </w:p>
        </w:tc>
        <w:tc>
          <w:tcPr>
            <w:tcW w:w="4320" w:type="dxa"/>
            <w:vAlign w:val="center"/>
          </w:tcPr>
          <w:p>
            <w:pPr>
              <w:jc w:val="left"/>
            </w:pPr>
            <w:r>
              <w:rPr>
                <w:color w:val="000000"/>
                <w:sz w:val="24"/>
              </w:rPr>
              <w:t>交银施罗德基金管理有限公司关于增加阳光人寿保险股份有限公司为旗下基金销售机构的公告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w:t>
            </w:r>
          </w:p>
        </w:tc>
        <w:tc>
          <w:tcPr>
            <w:tcW w:w="4320" w:type="dxa"/>
            <w:vAlign w:val="center"/>
          </w:tcPr>
          <w:p>
            <w:pPr>
              <w:jc w:val="left"/>
            </w:pPr>
            <w:r>
              <w:rPr>
                <w:color w:val="000000"/>
                <w:sz w:val="24"/>
              </w:rPr>
              <w:t>交银施罗德科技创新灵活配置混合型证券投资基金2019年第4季度报告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3</w:t>
            </w:r>
          </w:p>
        </w:tc>
        <w:tc>
          <w:tcPr>
            <w:tcW w:w="4320" w:type="dxa"/>
            <w:vAlign w:val="center"/>
          </w:tcPr>
          <w:p>
            <w:pPr>
              <w:jc w:val="left"/>
            </w:pPr>
            <w:r>
              <w:rPr>
                <w:color w:val="000000"/>
                <w:sz w:val="24"/>
              </w:rPr>
              <w:t>交银施罗德基金管理有限公司关于春节假期调整延期办理有关业务的公告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4</w:t>
            </w:r>
          </w:p>
        </w:tc>
        <w:tc>
          <w:tcPr>
            <w:tcW w:w="4320" w:type="dxa"/>
            <w:vAlign w:val="center"/>
          </w:tcPr>
          <w:p>
            <w:pPr>
              <w:jc w:val="left"/>
            </w:pPr>
            <w:r>
              <w:rPr>
                <w:color w:val="000000"/>
                <w:sz w:val="24"/>
              </w:rPr>
              <w:t>交银施罗德基金管理有限公司关于终止泰诚财富基金销售（大连）有限公司办理相关销售业务的公告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5</w:t>
            </w:r>
          </w:p>
        </w:tc>
        <w:tc>
          <w:tcPr>
            <w:tcW w:w="4320" w:type="dxa"/>
            <w:vAlign w:val="center"/>
          </w:tcPr>
          <w:p>
            <w:pPr>
              <w:jc w:val="left"/>
            </w:pPr>
            <w:r>
              <w:rPr>
                <w:color w:val="000000"/>
                <w:sz w:val="24"/>
              </w:rPr>
              <w:t>交银施罗德科技创新灵活配置混合型证券投资基金2019年年度报告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6</w:t>
            </w:r>
          </w:p>
        </w:tc>
        <w:tc>
          <w:tcPr>
            <w:tcW w:w="4320" w:type="dxa"/>
            <w:vAlign w:val="center"/>
          </w:tcPr>
          <w:p>
            <w:pPr>
              <w:jc w:val="left"/>
            </w:pPr>
            <w:r>
              <w:rPr>
                <w:color w:val="000000"/>
                <w:sz w:val="24"/>
              </w:rPr>
              <w:t>交银施罗德基金管理有限公司关于暂停部分销售机构办理相关销售业务的公告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7</w:t>
            </w:r>
          </w:p>
        </w:tc>
        <w:tc>
          <w:tcPr>
            <w:tcW w:w="4320" w:type="dxa"/>
            <w:vAlign w:val="center"/>
          </w:tcPr>
          <w:p>
            <w:pPr>
              <w:jc w:val="left"/>
            </w:pPr>
            <w:r>
              <w:rPr>
                <w:color w:val="000000"/>
                <w:sz w:val="24"/>
              </w:rPr>
              <w:t>交银施罗德科技创新灵活配置混合型证券投资基金2020年第1季度报告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2020-04-22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8</w:t>
            </w:r>
          </w:p>
        </w:tc>
        <w:tc>
          <w:tcPr>
            <w:tcW w:w="4320" w:type="dxa"/>
            <w:vAlign w:val="center"/>
          </w:tcPr>
          <w:p>
            <w:pPr>
              <w:jc w:val="left"/>
            </w:pPr>
            <w:r>
              <w:rPr>
                <w:color w:val="000000"/>
                <w:sz w:val="24"/>
              </w:rPr>
              <w:t>交银施罗德基金管理有限公司关于旗下部分基金投资非公开发行股票的公告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9</w:t>
            </w:r>
          </w:p>
        </w:tc>
        <w:tc>
          <w:tcPr>
            <w:tcW w:w="4320" w:type="dxa"/>
            <w:vAlign w:val="center"/>
          </w:tcPr>
          <w:p>
            <w:pPr>
              <w:jc w:val="left"/>
            </w:pPr>
            <w:r>
              <w:rPr>
                <w:color w:val="000000"/>
                <w:sz w:val="24"/>
              </w:rPr>
              <w:t>交银施罗德基金管理有限公司关于增加中信证券华南股份有限公司为旗下基金销售机构的公告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10</w:t>
            </w:r>
          </w:p>
        </w:tc>
        <w:tc>
          <w:tcPr>
            <w:tcW w:w="4320" w:type="dxa"/>
            <w:vAlign w:val="center"/>
          </w:tcPr>
          <w:p>
            <w:pPr>
              <w:jc w:val="left"/>
            </w:pPr>
            <w:r>
              <w:rPr>
                <w:color w:val="000000"/>
                <w:sz w:val="24"/>
              </w:rPr>
              <w:t>交银施罗德科技创新灵活配置混合型证券投资基金（更新）招募说明书 (2020年第1号)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11</w:t>
            </w:r>
          </w:p>
        </w:tc>
        <w:tc>
          <w:tcPr>
            <w:tcW w:w="4320" w:type="dxa"/>
            <w:vAlign w:val="center"/>
          </w:tcPr>
          <w:p>
            <w:pPr>
              <w:jc w:val="left"/>
            </w:pPr>
            <w:r>
              <w:rPr>
                <w:color w:val="000000"/>
                <w:sz w:val="24"/>
              </w:rPr>
              <w:t>交银施罗德科技创新灵活配置混合型证券投资基金（更新）招募说明书摘要 (2020年第1号)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12</w:t>
            </w:r>
          </w:p>
        </w:tc>
        <w:tc>
          <w:tcPr>
            <w:tcW w:w="4320" w:type="dxa"/>
            <w:vAlign w:val="center"/>
          </w:tcPr>
          <w:p>
            <w:pPr>
              <w:jc w:val="left"/>
            </w:pPr>
            <w:r>
              <w:rPr>
                <w:color w:val="000000"/>
                <w:sz w:val="24"/>
              </w:rPr>
              <w:t>交银施罗德科技创新灵活配置混合型证券投资基金2020年第2季度报告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13</w:t>
            </w:r>
          </w:p>
        </w:tc>
        <w:tc>
          <w:tcPr>
            <w:tcW w:w="4320" w:type="dxa"/>
            <w:vAlign w:val="center"/>
          </w:tcPr>
          <w:p>
            <w:pPr>
              <w:jc w:val="left"/>
            </w:pPr>
            <w:r>
              <w:rPr>
                <w:color w:val="000000"/>
                <w:sz w:val="24"/>
              </w:rPr>
              <w:t>交银施罗德基金管理有限公司关于增加安信证券股份有限公司为旗下基金销售机构的公告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14</w:t>
            </w:r>
          </w:p>
        </w:tc>
        <w:tc>
          <w:tcPr>
            <w:tcW w:w="4320" w:type="dxa"/>
            <w:vAlign w:val="center"/>
          </w:tcPr>
          <w:p>
            <w:pPr>
              <w:jc w:val="left"/>
            </w:pPr>
            <w:r>
              <w:rPr>
                <w:color w:val="000000"/>
                <w:sz w:val="24"/>
              </w:rPr>
              <w:t>交银施罗德科技创新灵活配置混合型证券投资基金2020年中期报告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2020-08-29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15</w:t>
            </w:r>
          </w:p>
        </w:tc>
        <w:tc>
          <w:tcPr>
            <w:tcW w:w="4320" w:type="dxa"/>
            <w:vAlign w:val="center"/>
          </w:tcPr>
          <w:p>
            <w:pPr>
              <w:jc w:val="left"/>
            </w:pPr>
            <w:r>
              <w:rPr>
                <w:color w:val="000000"/>
                <w:sz w:val="24"/>
              </w:rPr>
              <w:t>交银施罗德科技创新灵活配置混合型证券投资基金基金产品资料概要</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2020-08-31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16</w:t>
            </w:r>
          </w:p>
        </w:tc>
        <w:tc>
          <w:tcPr>
            <w:tcW w:w="4320" w:type="dxa"/>
            <w:vAlign w:val="center"/>
          </w:tcPr>
          <w:p>
            <w:pPr>
              <w:jc w:val="left"/>
            </w:pPr>
            <w:r>
              <w:rPr>
                <w:color w:val="000000"/>
                <w:sz w:val="24"/>
              </w:rPr>
              <w:t>交银施罗德基金管理有限公司关于增加泛华普益基金销售有限公司为旗下基金销售机构的公告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2020-09-07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17</w:t>
            </w:r>
          </w:p>
        </w:tc>
        <w:tc>
          <w:tcPr>
            <w:tcW w:w="4320" w:type="dxa"/>
            <w:vAlign w:val="center"/>
          </w:tcPr>
          <w:p>
            <w:pPr>
              <w:jc w:val="left"/>
            </w:pPr>
            <w:r>
              <w:rPr>
                <w:color w:val="000000"/>
                <w:sz w:val="24"/>
              </w:rPr>
              <w:t>交银施罗德基金管理有限公司关于暂停上海凯石财富基金销售有限公司办理相关销售业务的公告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2020-09-29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18</w:t>
            </w:r>
          </w:p>
        </w:tc>
        <w:tc>
          <w:tcPr>
            <w:tcW w:w="4320" w:type="dxa"/>
            <w:vAlign w:val="center"/>
          </w:tcPr>
          <w:p>
            <w:pPr>
              <w:jc w:val="left"/>
            </w:pPr>
            <w:r>
              <w:rPr>
                <w:color w:val="000000"/>
                <w:sz w:val="24"/>
              </w:rPr>
              <w:t>交银施罗德科技创新灵活配置混合型证券投资基金2020年第3季度报告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19</w:t>
            </w:r>
          </w:p>
        </w:tc>
        <w:tc>
          <w:tcPr>
            <w:tcW w:w="4320" w:type="dxa"/>
            <w:vAlign w:val="center"/>
          </w:tcPr>
          <w:p>
            <w:pPr>
              <w:jc w:val="left"/>
            </w:pPr>
            <w:r>
              <w:rPr>
                <w:color w:val="000000"/>
                <w:sz w:val="24"/>
              </w:rPr>
              <w:t>交银施罗德科技创新灵活配置混合型证券投资基金托管协议</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20</w:t>
            </w:r>
          </w:p>
        </w:tc>
        <w:tc>
          <w:tcPr>
            <w:tcW w:w="4320" w:type="dxa"/>
            <w:vAlign w:val="center"/>
          </w:tcPr>
          <w:p>
            <w:pPr>
              <w:jc w:val="left"/>
            </w:pPr>
            <w:r>
              <w:rPr>
                <w:color w:val="000000"/>
                <w:sz w:val="24"/>
              </w:rPr>
              <w:t>交银施罗德科技创新灵活配置混合型证券投资基金基金产品资料概要更新(2020年第2号)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21</w:t>
            </w:r>
          </w:p>
        </w:tc>
        <w:tc>
          <w:tcPr>
            <w:tcW w:w="4320" w:type="dxa"/>
            <w:vAlign w:val="center"/>
          </w:tcPr>
          <w:p>
            <w:pPr>
              <w:jc w:val="left"/>
            </w:pPr>
            <w:r>
              <w:rPr>
                <w:color w:val="000000"/>
                <w:sz w:val="24"/>
              </w:rPr>
              <w:t>交银施罗德基金管理有限公司关于调整旗下部分基金投资范围并相应修改法律文件的公告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22</w:t>
            </w:r>
          </w:p>
        </w:tc>
        <w:tc>
          <w:tcPr>
            <w:tcW w:w="4320" w:type="dxa"/>
            <w:vAlign w:val="center"/>
          </w:tcPr>
          <w:p>
            <w:pPr>
              <w:jc w:val="left"/>
            </w:pPr>
            <w:r>
              <w:rPr>
                <w:color w:val="000000"/>
                <w:sz w:val="24"/>
              </w:rPr>
              <w:t>交银施罗德科技创新灵活配置混合型证券投资基金基金合同</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23</w:t>
            </w:r>
          </w:p>
        </w:tc>
        <w:tc>
          <w:tcPr>
            <w:tcW w:w="4320" w:type="dxa"/>
            <w:vAlign w:val="center"/>
          </w:tcPr>
          <w:p>
            <w:pPr>
              <w:jc w:val="left"/>
            </w:pPr>
            <w:r>
              <w:rPr>
                <w:color w:val="000000"/>
                <w:sz w:val="24"/>
              </w:rPr>
              <w:t>交银施罗德科技创新灵活配置混合型证券投资基金（更新）招募说明书(2020年第2号)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24</w:t>
            </w:r>
          </w:p>
        </w:tc>
        <w:tc>
          <w:tcPr>
            <w:tcW w:w="4320" w:type="dxa"/>
            <w:vAlign w:val="center"/>
          </w:tcPr>
          <w:p>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2020-12-31</w:t>
            </w:r>
          </w:p>
        </w:tc>
      </w:tr>
    </w:tbl>
    <w:p>
      <w:pPr>
        <w:tabs>
          <w:tab w:val="left" w:pos="426"/>
        </w:tabs>
        <w:spacing w:before="29" w:line="288" w:lineRule="auto"/>
        <w:jc w:val="left"/>
        <w:rPr>
          <w:kern w:val="0"/>
          <w:sz w:val="24"/>
        </w:rPr>
      </w:pPr>
    </w:p>
    <w:p>
      <w:pPr>
        <w:pStyle w:val="2"/>
        <w:keepNext/>
        <w:keepLines/>
        <w:widowControl w:val="0"/>
        <w:spacing w:before="312" w:beforeLines="100" w:after="312" w:afterLines="100" w:line="288" w:lineRule="auto"/>
        <w:jc w:val="center"/>
        <w:rPr>
          <w:b/>
          <w:bCs/>
          <w:color w:val="000000"/>
          <w:szCs w:val="24"/>
        </w:rPr>
      </w:pPr>
      <w:bookmarkStart w:id="194" w:name="_Toc374532345"/>
      <w:bookmarkStart w:id="195" w:name="_Toc67589804"/>
      <w:r>
        <w:rPr>
          <w:rFonts w:hint="eastAsia"/>
          <w:b/>
          <w:bCs/>
          <w:color w:val="000000"/>
          <w:szCs w:val="24"/>
        </w:rPr>
        <w:t>§</w:t>
      </w:r>
      <w:r>
        <w:rPr>
          <w:b/>
          <w:bCs/>
          <w:color w:val="000000"/>
          <w:szCs w:val="24"/>
        </w:rPr>
        <w:t>12  影响投资者决策的其他重要信息</w:t>
      </w:r>
      <w:bookmarkEnd w:id="194"/>
      <w:bookmarkEnd w:id="195"/>
    </w:p>
    <w:p>
      <w:pPr>
        <w:pStyle w:val="3"/>
        <w:spacing w:before="29" w:after="0" w:line="288" w:lineRule="auto"/>
        <w:rPr>
          <w:rFonts w:ascii="Times New Roman" w:hAnsi="Times New Roman"/>
          <w:kern w:val="0"/>
          <w:szCs w:val="24"/>
        </w:rPr>
      </w:pPr>
      <w:bookmarkStart w:id="196" w:name="_Toc67589805"/>
      <w:r>
        <w:rPr>
          <w:rFonts w:ascii="Times New Roman" w:hAnsi="Times New Roman"/>
          <w:kern w:val="0"/>
          <w:szCs w:val="24"/>
        </w:rPr>
        <w:t>12.</w:t>
      </w:r>
      <w:r>
        <w:rPr>
          <w:rFonts w:hint="eastAsia" w:ascii="Times New Roman" w:hAnsi="Times New Roman"/>
          <w:kern w:val="0"/>
          <w:szCs w:val="24"/>
        </w:rPr>
        <w:t>1 报告期内单一投资者持有基金份额比例达到或超过20%的情况</w:t>
      </w:r>
      <w:bookmarkEnd w:id="196"/>
    </w:p>
    <w:tbl>
      <w:tblPr>
        <w:tblStyle w:val="25"/>
        <w:tblW w:w="921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843"/>
        <w:gridCol w:w="851"/>
        <w:gridCol w:w="850"/>
        <w:gridCol w:w="1134"/>
        <w:gridCol w:w="1419"/>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autoSpaceDE w:val="0"/>
              <w:autoSpaceDN w:val="0"/>
              <w:adjustRightInd w:val="0"/>
              <w:jc w:val="center"/>
              <w:rPr>
                <w:rFonts w:ascii="宋体" w:hAnsi="宋体"/>
                <w:b/>
                <w:bCs/>
                <w:color w:val="000000"/>
                <w:kern w:val="0"/>
                <w:sz w:val="24"/>
              </w:rPr>
            </w:pPr>
            <w:r>
              <w:rPr>
                <w:rFonts w:hint="eastAsia" w:ascii="宋体" w:hAnsi="宋体"/>
                <w:color w:val="000000"/>
                <w:kern w:val="0"/>
                <w:sz w:val="24"/>
              </w:rPr>
              <w:t>投资者类别</w:t>
            </w:r>
            <w:r>
              <w:rPr>
                <w:rFonts w:ascii="宋体" w:hAnsi="宋体"/>
                <w:color w:val="000000"/>
                <w:kern w:val="0"/>
                <w:sz w:val="24"/>
              </w:rPr>
              <w:t xml:space="preserve">  </w:t>
            </w:r>
          </w:p>
        </w:tc>
        <w:tc>
          <w:tcPr>
            <w:tcW w:w="5670" w:type="dxa"/>
            <w:gridSpan w:val="5"/>
            <w:vAlign w:val="center"/>
          </w:tcPr>
          <w:p>
            <w:pPr>
              <w:autoSpaceDE w:val="0"/>
              <w:autoSpaceDN w:val="0"/>
              <w:adjustRightInd w:val="0"/>
              <w:jc w:val="center"/>
              <w:rPr>
                <w:rFonts w:ascii="宋体" w:hAnsi="宋体"/>
                <w:b/>
                <w:bCs/>
                <w:color w:val="000000"/>
                <w:kern w:val="0"/>
                <w:sz w:val="24"/>
              </w:rPr>
            </w:pPr>
            <w:r>
              <w:rPr>
                <w:rFonts w:hint="eastAsia" w:ascii="宋体" w:hAnsi="宋体"/>
                <w:color w:val="000000"/>
                <w:kern w:val="0"/>
                <w:sz w:val="24"/>
              </w:rPr>
              <w:t>报告期内持有基金份额变化情况</w:t>
            </w:r>
          </w:p>
        </w:tc>
        <w:tc>
          <w:tcPr>
            <w:tcW w:w="2549" w:type="dxa"/>
            <w:gridSpan w:val="2"/>
            <w:vAlign w:val="center"/>
          </w:tcPr>
          <w:p>
            <w:pPr>
              <w:autoSpaceDE w:val="0"/>
              <w:autoSpaceDN w:val="0"/>
              <w:adjustRightInd w:val="0"/>
              <w:jc w:val="center"/>
              <w:rPr>
                <w:rFonts w:ascii="宋体" w:hAnsi="宋体"/>
                <w:b/>
                <w:bCs/>
                <w:color w:val="000000"/>
                <w:kern w:val="0"/>
                <w:sz w:val="24"/>
              </w:rPr>
            </w:pPr>
            <w:r>
              <w:rPr>
                <w:rFonts w:hint="eastAsia" w:ascii="宋体" w:hAnsi="宋体"/>
                <w:color w:val="000000"/>
                <w:kern w:val="0"/>
                <w:sz w:val="24"/>
              </w:rPr>
              <w:t>报告期末持有基金情况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autoSpaceDE w:val="0"/>
              <w:autoSpaceDN w:val="0"/>
              <w:adjustRightInd w:val="0"/>
              <w:jc w:val="center"/>
              <w:rPr>
                <w:rFonts w:ascii="宋体" w:hAnsi="宋体"/>
                <w:b/>
                <w:bCs/>
                <w:color w:val="000000"/>
                <w:kern w:val="0"/>
                <w:sz w:val="24"/>
              </w:rPr>
            </w:pPr>
          </w:p>
        </w:tc>
        <w:tc>
          <w:tcPr>
            <w:tcW w:w="992" w:type="dxa"/>
            <w:vAlign w:val="center"/>
          </w:tcPr>
          <w:p>
            <w:pPr>
              <w:autoSpaceDE w:val="0"/>
              <w:autoSpaceDN w:val="0"/>
              <w:adjustRightInd w:val="0"/>
              <w:jc w:val="center"/>
              <w:rPr>
                <w:rFonts w:ascii="宋体" w:hAnsi="宋体"/>
                <w:b/>
                <w:bCs/>
                <w:color w:val="000000"/>
                <w:kern w:val="0"/>
                <w:sz w:val="24"/>
              </w:rPr>
            </w:pPr>
            <w:r>
              <w:rPr>
                <w:rFonts w:hint="eastAsia" w:ascii="宋体" w:hAnsi="宋体"/>
                <w:color w:val="000000"/>
                <w:kern w:val="0"/>
                <w:sz w:val="24"/>
              </w:rPr>
              <w:t>序号</w:t>
            </w:r>
          </w:p>
        </w:tc>
        <w:tc>
          <w:tcPr>
            <w:tcW w:w="1843" w:type="dxa"/>
            <w:vAlign w:val="center"/>
          </w:tcPr>
          <w:p>
            <w:pPr>
              <w:autoSpaceDE w:val="0"/>
              <w:autoSpaceDN w:val="0"/>
              <w:adjustRightInd w:val="0"/>
              <w:jc w:val="center"/>
              <w:rPr>
                <w:rFonts w:ascii="宋体" w:hAnsi="宋体"/>
                <w:b/>
                <w:bCs/>
                <w:color w:val="000000"/>
                <w:kern w:val="0"/>
                <w:sz w:val="24"/>
              </w:rPr>
            </w:pPr>
            <w:r>
              <w:rPr>
                <w:rFonts w:hint="eastAsia" w:ascii="宋体" w:hAnsi="宋体"/>
                <w:color w:val="000000"/>
                <w:kern w:val="0"/>
                <w:sz w:val="24"/>
              </w:rPr>
              <w:t>持有基金份额比例达到或者超过20%的时间区间</w:t>
            </w:r>
          </w:p>
        </w:tc>
        <w:tc>
          <w:tcPr>
            <w:tcW w:w="851" w:type="dxa"/>
            <w:vAlign w:val="center"/>
          </w:tcPr>
          <w:p>
            <w:pPr>
              <w:widowControl/>
              <w:jc w:val="center"/>
              <w:rPr>
                <w:rFonts w:ascii="宋体" w:hAnsi="宋体"/>
                <w:b/>
                <w:bCs/>
                <w:color w:val="000000"/>
                <w:kern w:val="0"/>
                <w:sz w:val="24"/>
              </w:rPr>
            </w:pPr>
            <w:r>
              <w:rPr>
                <w:rFonts w:hint="eastAsia" w:ascii="宋体" w:hAnsi="宋体"/>
                <w:color w:val="000000"/>
                <w:kern w:val="0"/>
                <w:sz w:val="24"/>
              </w:rPr>
              <w:t>期初份额</w:t>
            </w:r>
          </w:p>
        </w:tc>
        <w:tc>
          <w:tcPr>
            <w:tcW w:w="850" w:type="dxa"/>
            <w:vAlign w:val="center"/>
          </w:tcPr>
          <w:p>
            <w:pPr>
              <w:widowControl/>
              <w:jc w:val="center"/>
              <w:rPr>
                <w:rFonts w:ascii="宋体" w:hAnsi="宋体"/>
                <w:b/>
                <w:bCs/>
                <w:color w:val="000000"/>
                <w:kern w:val="0"/>
                <w:sz w:val="24"/>
              </w:rPr>
            </w:pPr>
            <w:r>
              <w:rPr>
                <w:rFonts w:hint="eastAsia" w:ascii="宋体" w:hAnsi="宋体"/>
                <w:color w:val="000000"/>
                <w:kern w:val="0"/>
                <w:sz w:val="24"/>
              </w:rPr>
              <w:t>申购份额</w:t>
            </w:r>
          </w:p>
        </w:tc>
        <w:tc>
          <w:tcPr>
            <w:tcW w:w="1134" w:type="dxa"/>
            <w:vAlign w:val="center"/>
          </w:tcPr>
          <w:p>
            <w:pPr>
              <w:widowControl/>
              <w:jc w:val="center"/>
              <w:rPr>
                <w:rFonts w:ascii="宋体" w:hAnsi="宋体"/>
                <w:b/>
                <w:bCs/>
                <w:color w:val="000000"/>
                <w:kern w:val="0"/>
                <w:sz w:val="24"/>
              </w:rPr>
            </w:pPr>
            <w:r>
              <w:rPr>
                <w:rFonts w:hint="eastAsia" w:ascii="宋体" w:hAnsi="宋体"/>
                <w:color w:val="000000"/>
                <w:kern w:val="0"/>
                <w:sz w:val="24"/>
              </w:rPr>
              <w:t>赎回份额</w:t>
            </w:r>
          </w:p>
        </w:tc>
        <w:tc>
          <w:tcPr>
            <w:tcW w:w="1419" w:type="dxa"/>
            <w:vAlign w:val="center"/>
          </w:tcPr>
          <w:p>
            <w:pPr>
              <w:autoSpaceDE w:val="0"/>
              <w:autoSpaceDN w:val="0"/>
              <w:adjustRightInd w:val="0"/>
              <w:jc w:val="center"/>
              <w:rPr>
                <w:rFonts w:ascii="宋体" w:hAnsi="宋体"/>
                <w:b/>
                <w:bCs/>
                <w:color w:val="000000"/>
                <w:kern w:val="0"/>
                <w:sz w:val="24"/>
              </w:rPr>
            </w:pPr>
            <w:r>
              <w:rPr>
                <w:rFonts w:hint="eastAsia" w:ascii="宋体" w:hAnsi="宋体"/>
                <w:color w:val="000000"/>
                <w:kern w:val="0"/>
                <w:sz w:val="24"/>
              </w:rPr>
              <w:t>持有份额</w:t>
            </w:r>
          </w:p>
        </w:tc>
        <w:tc>
          <w:tcPr>
            <w:tcW w:w="1130" w:type="dxa"/>
            <w:vAlign w:val="center"/>
          </w:tcPr>
          <w:p>
            <w:pPr>
              <w:autoSpaceDE w:val="0"/>
              <w:autoSpaceDN w:val="0"/>
              <w:adjustRightInd w:val="0"/>
              <w:jc w:val="center"/>
              <w:rPr>
                <w:rFonts w:ascii="宋体" w:hAnsi="宋体"/>
                <w:b/>
                <w:bCs/>
                <w:color w:val="000000"/>
                <w:kern w:val="0"/>
                <w:sz w:val="24"/>
              </w:rPr>
            </w:pPr>
            <w:r>
              <w:rPr>
                <w:rFonts w:hint="eastAsia" w:ascii="宋体" w:hAnsi="宋体"/>
                <w:color w:val="000000"/>
                <w:kern w:val="0"/>
                <w:sz w:val="24"/>
              </w:rPr>
              <w:t>份额占比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tcPr>
          <w:p>
            <w:pPr>
              <w:rPr>
                <w:sz w:val="24"/>
              </w:rPr>
            </w:pPr>
          </w:p>
          <w:p>
            <w:pPr>
              <w:rPr>
                <w:sz w:val="24"/>
              </w:rPr>
            </w:pPr>
            <w:r>
              <w:rPr>
                <w:rFonts w:hint="eastAsia" w:ascii="宋体" w:hAnsi="宋体"/>
                <w:bCs/>
                <w:color w:val="000000"/>
                <w:kern w:val="0"/>
                <w:sz w:val="24"/>
              </w:rPr>
              <w:t>机构</w:t>
            </w:r>
          </w:p>
        </w:tc>
        <w:tc>
          <w:tcPr>
            <w:tcW w:w="992" w:type="dxa"/>
            <w:vAlign w:val="center"/>
          </w:tcPr>
          <w:p>
            <w:pPr>
              <w:jc w:val="center"/>
              <w:rPr>
                <w:sz w:val="24"/>
              </w:rPr>
            </w:pPr>
            <w:r>
              <w:rPr>
                <w:rFonts w:ascii="宋体" w:hAnsi="宋体"/>
                <w:color w:val="000000"/>
                <w:kern w:val="0"/>
                <w:sz w:val="24"/>
              </w:rPr>
              <w:t>1</w:t>
            </w:r>
          </w:p>
        </w:tc>
        <w:tc>
          <w:tcPr>
            <w:tcW w:w="1843" w:type="dxa"/>
            <w:vAlign w:val="center"/>
          </w:tcPr>
          <w:p>
            <w:pPr>
              <w:jc w:val="center"/>
              <w:rPr>
                <w:sz w:val="24"/>
              </w:rPr>
            </w:pPr>
            <w:r>
              <w:rPr>
                <w:rFonts w:ascii="宋体" w:hAnsi="宋体"/>
                <w:color w:val="000000"/>
                <w:kern w:val="0"/>
                <w:sz w:val="24"/>
              </w:rPr>
              <w:t>2020/1/1-2020/12/31</w:t>
            </w:r>
          </w:p>
        </w:tc>
        <w:tc>
          <w:tcPr>
            <w:tcW w:w="851" w:type="dxa"/>
            <w:vAlign w:val="center"/>
          </w:tcPr>
          <w:p>
            <w:pPr>
              <w:jc w:val="center"/>
              <w:rPr>
                <w:sz w:val="24"/>
              </w:rPr>
            </w:pPr>
            <w:r>
              <w:rPr>
                <w:rFonts w:ascii="宋体" w:hAnsi="宋体"/>
                <w:color w:val="000000"/>
                <w:kern w:val="0"/>
                <w:sz w:val="24"/>
              </w:rPr>
              <w:t>16,419,540.23</w:t>
            </w:r>
          </w:p>
        </w:tc>
        <w:tc>
          <w:tcPr>
            <w:tcW w:w="850" w:type="dxa"/>
            <w:vAlign w:val="center"/>
          </w:tcPr>
          <w:p>
            <w:pPr>
              <w:jc w:val="center"/>
              <w:rPr>
                <w:sz w:val="24"/>
              </w:rPr>
            </w:pPr>
            <w:r>
              <w:rPr>
                <w:rFonts w:ascii="宋体" w:hAnsi="宋体"/>
                <w:color w:val="000000"/>
                <w:kern w:val="0"/>
                <w:sz w:val="24"/>
              </w:rPr>
              <w:t>19,156,449.55</w:t>
            </w:r>
          </w:p>
        </w:tc>
        <w:tc>
          <w:tcPr>
            <w:tcW w:w="1134" w:type="dxa"/>
            <w:vAlign w:val="center"/>
          </w:tcPr>
          <w:p>
            <w:pPr>
              <w:jc w:val="center"/>
              <w:rPr>
                <w:sz w:val="24"/>
              </w:rPr>
            </w:pPr>
            <w:r>
              <w:rPr>
                <w:rFonts w:ascii="宋体" w:hAnsi="宋体"/>
                <w:color w:val="000000"/>
                <w:kern w:val="0"/>
                <w:sz w:val="24"/>
              </w:rPr>
              <w:t>-</w:t>
            </w:r>
          </w:p>
        </w:tc>
        <w:tc>
          <w:tcPr>
            <w:tcW w:w="1419" w:type="dxa"/>
            <w:vAlign w:val="center"/>
          </w:tcPr>
          <w:p>
            <w:pPr>
              <w:jc w:val="center"/>
              <w:rPr>
                <w:sz w:val="24"/>
              </w:rPr>
            </w:pPr>
            <w:r>
              <w:rPr>
                <w:rFonts w:ascii="宋体" w:hAnsi="宋体"/>
                <w:color w:val="000000"/>
                <w:kern w:val="0"/>
                <w:sz w:val="24"/>
              </w:rPr>
              <w:t>35,575,989.78</w:t>
            </w:r>
          </w:p>
        </w:tc>
        <w:tc>
          <w:tcPr>
            <w:tcW w:w="1130" w:type="dxa"/>
            <w:vAlign w:val="center"/>
          </w:tcPr>
          <w:p>
            <w:pPr>
              <w:jc w:val="center"/>
              <w:rPr>
                <w:sz w:val="24"/>
              </w:rPr>
            </w:pPr>
            <w:r>
              <w:rPr>
                <w:rFonts w:ascii="宋体" w:hAnsi="宋体"/>
                <w:color w:val="000000"/>
                <w:kern w:val="0"/>
                <w:sz w:val="24"/>
              </w:rPr>
              <w:t>23.51%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12" w:type="dxa"/>
            <w:gridSpan w:val="8"/>
            <w:vAlign w:val="center"/>
          </w:tcPr>
          <w:p>
            <w:pPr>
              <w:autoSpaceDE w:val="0"/>
              <w:autoSpaceDN w:val="0"/>
              <w:adjustRightInd w:val="0"/>
              <w:jc w:val="center"/>
              <w:rPr>
                <w:rFonts w:ascii="宋体" w:hAnsi="宋体"/>
                <w:kern w:val="0"/>
                <w:sz w:val="24"/>
              </w:rPr>
            </w:pPr>
            <w:r>
              <w:rPr>
                <w:rFonts w:ascii="宋体" w:hAnsi="宋体"/>
                <w:color w:val="000000"/>
                <w:kern w:val="0"/>
                <w:sz w:val="24"/>
              </w:rPr>
              <w:t>产品特有风险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2" w:type="dxa"/>
            <w:gridSpan w:val="8"/>
            <w:vAlign w:val="center"/>
          </w:tcPr>
          <w:p>
            <w:pPr>
              <w:autoSpaceDE w:val="0"/>
              <w:autoSpaceDN w:val="0"/>
              <w:adjustRightInd w:val="0"/>
              <w:jc w:val="left"/>
              <w:rPr>
                <w:rFonts w:ascii="宋体" w:hAnsi="宋体"/>
                <w:kern w:val="0"/>
                <w:sz w:val="24"/>
              </w:rPr>
            </w:pPr>
            <w:r>
              <w:rPr>
                <w:rFonts w:hint="eastAsia" w:ascii="宋体" w:hAnsi="宋体"/>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pPr>
        <w:pStyle w:val="3"/>
        <w:spacing w:before="29" w:after="0" w:line="288" w:lineRule="auto"/>
        <w:rPr>
          <w:rFonts w:ascii="Times New Roman" w:hAnsi="Times New Roman"/>
          <w:kern w:val="0"/>
          <w:szCs w:val="24"/>
        </w:rPr>
      </w:pPr>
      <w:bookmarkStart w:id="197" w:name="_Toc67589806"/>
      <w:r>
        <w:rPr>
          <w:rFonts w:hint="eastAsia" w:ascii="Times New Roman" w:hAnsi="Times New Roman"/>
          <w:kern w:val="0"/>
          <w:szCs w:val="24"/>
        </w:rPr>
        <w:t>12.2 影响投资者决策的其他重要信息</w:t>
      </w:r>
      <w:bookmarkEnd w:id="197"/>
    </w:p>
    <w:p>
      <w:pPr>
        <w:spacing w:line="360" w:lineRule="auto"/>
        <w:ind w:firstLine="480" w:firstLineChars="200"/>
        <w:rPr>
          <w:rFonts w:ascii="宋体" w:hAnsi="宋体"/>
          <w:color w:val="000000"/>
          <w:sz w:val="24"/>
        </w:rPr>
      </w:pPr>
      <w:r>
        <w:rPr>
          <w:rFonts w:ascii="宋体" w:hAnsi="宋体"/>
          <w:color w:val="000000"/>
          <w:sz w:val="24"/>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pPr>
        <w:spacing w:line="360" w:lineRule="auto"/>
        <w:ind w:firstLine="420" w:firstLineChars="200"/>
        <w:rPr>
          <w:rFonts w:asciiTheme="minorEastAsia" w:hAnsiTheme="minorEastAsia" w:eastAsiaTheme="minorEastAsia"/>
          <w:szCs w:val="21"/>
        </w:rPr>
      </w:pPr>
    </w:p>
    <w:p>
      <w:pPr>
        <w:pStyle w:val="2"/>
        <w:keepNext/>
        <w:keepLines/>
        <w:widowControl w:val="0"/>
        <w:spacing w:before="312" w:beforeLines="100" w:after="312" w:afterLines="100" w:line="288" w:lineRule="auto"/>
        <w:jc w:val="center"/>
        <w:rPr>
          <w:b/>
          <w:bCs/>
          <w:color w:val="000000"/>
          <w:szCs w:val="24"/>
        </w:rPr>
      </w:pPr>
      <w:bookmarkStart w:id="198" w:name="_Toc225500055"/>
      <w:bookmarkStart w:id="199" w:name="_Toc361324903"/>
      <w:bookmarkStart w:id="200" w:name="_Toc67589807"/>
      <w:r>
        <w:rPr>
          <w:rFonts w:hint="eastAsia"/>
          <w:b/>
          <w:bCs/>
          <w:color w:val="000000"/>
          <w:szCs w:val="24"/>
        </w:rPr>
        <w:t>§</w:t>
      </w:r>
      <w:r>
        <w:rPr>
          <w:b/>
          <w:bCs/>
          <w:color w:val="000000"/>
          <w:szCs w:val="24"/>
        </w:rPr>
        <w:t>13</w:t>
      </w:r>
      <w:r>
        <w:rPr>
          <w:rFonts w:hint="eastAsia"/>
          <w:b/>
          <w:bCs/>
          <w:color w:val="000000"/>
          <w:szCs w:val="24"/>
        </w:rPr>
        <w:t>备查文件目录</w:t>
      </w:r>
      <w:bookmarkEnd w:id="198"/>
      <w:bookmarkEnd w:id="199"/>
      <w:bookmarkEnd w:id="200"/>
    </w:p>
    <w:p>
      <w:pPr>
        <w:rPr>
          <w:lang w:val="en-GB"/>
        </w:rPr>
      </w:pPr>
    </w:p>
    <w:p>
      <w:pPr>
        <w:pStyle w:val="3"/>
        <w:spacing w:before="29" w:after="0" w:line="288" w:lineRule="auto"/>
        <w:rPr>
          <w:rFonts w:ascii="Times New Roman" w:hAnsi="Times New Roman"/>
          <w:kern w:val="0"/>
          <w:szCs w:val="24"/>
        </w:rPr>
      </w:pPr>
      <w:bookmarkStart w:id="201" w:name="_Toc361324904"/>
      <w:bookmarkStart w:id="202" w:name="_Toc67589808"/>
      <w:r>
        <w:rPr>
          <w:rFonts w:ascii="Times New Roman" w:hAnsi="Times New Roman"/>
          <w:kern w:val="0"/>
          <w:szCs w:val="24"/>
        </w:rPr>
        <w:t xml:space="preserve">13.1 </w:t>
      </w:r>
      <w:r>
        <w:rPr>
          <w:rFonts w:hint="eastAsia" w:ascii="Times New Roman" w:hAnsi="Times New Roman"/>
          <w:kern w:val="0"/>
          <w:szCs w:val="24"/>
        </w:rPr>
        <w:t>备查文件目录</w:t>
      </w:r>
      <w:bookmarkEnd w:id="201"/>
      <w:bookmarkEnd w:id="202"/>
    </w:p>
    <w:p>
      <w:pPr>
        <w:spacing w:before="29" w:line="288" w:lineRule="auto"/>
        <w:rPr>
          <w:color w:val="000000"/>
          <w:sz w:val="24"/>
        </w:rPr>
      </w:pPr>
      <w:r>
        <w:rPr>
          <w:color w:val="000000"/>
          <w:sz w:val="24"/>
        </w:rPr>
        <w:t xml:space="preserve">1、中国证监会准予交银施罗德科技创新灵活配置混合型证券投资基金募集注册的文件； </w:t>
      </w:r>
    </w:p>
    <w:p>
      <w:pPr>
        <w:spacing w:before="29" w:line="288" w:lineRule="auto"/>
        <w:rPr>
          <w:color w:val="000000"/>
          <w:sz w:val="24"/>
        </w:rPr>
      </w:pPr>
      <w:r>
        <w:rPr>
          <w:color w:val="000000"/>
          <w:sz w:val="24"/>
        </w:rPr>
        <w:t xml:space="preserve">2、《交银施罗德科技创新灵活配置混合型证券投资基金基金合同》； </w:t>
      </w:r>
    </w:p>
    <w:p>
      <w:pPr>
        <w:spacing w:before="29" w:line="288" w:lineRule="auto"/>
        <w:rPr>
          <w:color w:val="000000"/>
          <w:sz w:val="24"/>
        </w:rPr>
      </w:pPr>
      <w:r>
        <w:rPr>
          <w:color w:val="000000"/>
          <w:sz w:val="24"/>
        </w:rPr>
        <w:t xml:space="preserve">3、《交银施罗德科技创新灵活配置混合型证券投资基金招募说明书》； </w:t>
      </w:r>
    </w:p>
    <w:p>
      <w:pPr>
        <w:spacing w:before="29" w:line="288" w:lineRule="auto"/>
        <w:rPr>
          <w:color w:val="000000"/>
          <w:sz w:val="24"/>
        </w:rPr>
      </w:pPr>
      <w:r>
        <w:rPr>
          <w:color w:val="000000"/>
          <w:sz w:val="24"/>
        </w:rPr>
        <w:t xml:space="preserve">4、《交银施罗德科技创新灵活配置混合型证券投资基金托管协议》； </w:t>
      </w:r>
    </w:p>
    <w:p>
      <w:pPr>
        <w:spacing w:before="29" w:line="288" w:lineRule="auto"/>
        <w:rPr>
          <w:color w:val="000000"/>
          <w:sz w:val="24"/>
        </w:rPr>
      </w:pPr>
      <w:r>
        <w:rPr>
          <w:color w:val="000000"/>
          <w:sz w:val="24"/>
        </w:rPr>
        <w:t xml:space="preserve">5、关于申请募集注册交银施罗德科技创新灵活配置混合型证券投资基金的法律意见书； </w:t>
      </w:r>
    </w:p>
    <w:p>
      <w:pPr>
        <w:spacing w:before="29" w:line="288" w:lineRule="auto"/>
        <w:rPr>
          <w:color w:val="000000"/>
          <w:sz w:val="24"/>
        </w:rPr>
      </w:pPr>
      <w:r>
        <w:rPr>
          <w:color w:val="000000"/>
          <w:sz w:val="24"/>
        </w:rPr>
        <w:t xml:space="preserve">6、基金管理人业务资格批件、营业执照； </w:t>
      </w:r>
    </w:p>
    <w:p>
      <w:pPr>
        <w:spacing w:before="29" w:line="288" w:lineRule="auto"/>
        <w:rPr>
          <w:color w:val="000000"/>
          <w:sz w:val="24"/>
        </w:rPr>
      </w:pPr>
      <w:r>
        <w:rPr>
          <w:color w:val="000000"/>
          <w:sz w:val="24"/>
        </w:rPr>
        <w:t xml:space="preserve">7、基金托管人业务资格批件、营业执照； </w:t>
      </w:r>
    </w:p>
    <w:p>
      <w:pPr>
        <w:spacing w:before="29" w:line="288" w:lineRule="auto"/>
        <w:rPr>
          <w:color w:val="000000"/>
          <w:sz w:val="24"/>
        </w:rPr>
      </w:pPr>
      <w:r>
        <w:rPr>
          <w:color w:val="000000"/>
          <w:sz w:val="24"/>
        </w:rPr>
        <w:t>8、报告期内交银施罗德科技创新灵活配置混合型证券投资基金在指定报刊上各项公告的原稿。</w:t>
      </w:r>
    </w:p>
    <w:p>
      <w:pPr>
        <w:spacing w:line="360" w:lineRule="auto"/>
        <w:ind w:firstLine="315" w:firstLineChars="15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203" w:name="_Toc361324905"/>
      <w:bookmarkStart w:id="204" w:name="_Toc67589809"/>
      <w:r>
        <w:rPr>
          <w:rFonts w:ascii="Times New Roman" w:hAnsi="Times New Roman"/>
          <w:kern w:val="0"/>
          <w:szCs w:val="24"/>
        </w:rPr>
        <w:t>13.2</w:t>
      </w:r>
      <w:r>
        <w:rPr>
          <w:rFonts w:hint="eastAsia" w:ascii="Times New Roman" w:hAnsi="Times New Roman"/>
          <w:kern w:val="0"/>
          <w:szCs w:val="24"/>
        </w:rPr>
        <w:t>存放地点</w:t>
      </w:r>
      <w:bookmarkEnd w:id="203"/>
      <w:bookmarkEnd w:id="204"/>
    </w:p>
    <w:p>
      <w:pPr>
        <w:spacing w:before="29" w:line="288" w:lineRule="auto"/>
        <w:ind w:firstLine="480" w:firstLineChars="200"/>
        <w:rPr>
          <w:color w:val="000000"/>
          <w:sz w:val="24"/>
        </w:rPr>
      </w:pPr>
      <w:r>
        <w:rPr>
          <w:color w:val="000000"/>
          <w:sz w:val="24"/>
        </w:rPr>
        <w:t>备查文件存放于基金管理人的办公场所。</w:t>
      </w:r>
    </w:p>
    <w:p>
      <w:pPr>
        <w:spacing w:line="360" w:lineRule="auto"/>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205" w:name="_Toc361324906"/>
      <w:bookmarkStart w:id="206" w:name="_Toc67589810"/>
      <w:r>
        <w:rPr>
          <w:rFonts w:ascii="Times New Roman" w:hAnsi="Times New Roman"/>
          <w:kern w:val="0"/>
          <w:szCs w:val="24"/>
        </w:rPr>
        <w:t>13.3</w:t>
      </w:r>
      <w:r>
        <w:rPr>
          <w:rFonts w:hint="eastAsia" w:ascii="Times New Roman" w:hAnsi="Times New Roman"/>
          <w:kern w:val="0"/>
          <w:szCs w:val="24"/>
        </w:rPr>
        <w:t>查阅方式</w:t>
      </w:r>
      <w:bookmarkEnd w:id="205"/>
      <w:bookmarkEnd w:id="206"/>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pPr>
        <w:spacing w:before="29" w:line="288" w:lineRule="auto"/>
        <w:ind w:firstLine="480" w:firstLineChars="200"/>
        <w:rPr>
          <w:color w:val="000000"/>
          <w:sz w:val="24"/>
        </w:rPr>
      </w:pPr>
      <w:r>
        <w:rPr>
          <w:color w:val="000000"/>
          <w:sz w:val="24"/>
        </w:rPr>
        <w:t>投资者对本报告书如有疑问，可咨询本基金管理人交银施罗德基金管理有限公司。本公司客户服务中心电话：400-700-5000（免长途话费），021-61055000，电子邮件：services@jysld.com。</w:t>
      </w: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before="29" w:line="288" w:lineRule="auto"/>
        <w:ind w:firstLine="482" w:firstLineChars="200"/>
        <w:jc w:val="right"/>
        <w:rPr>
          <w:b/>
          <w:color w:val="000000"/>
          <w:sz w:val="24"/>
        </w:rPr>
      </w:pPr>
      <w:r>
        <w:rPr>
          <w:b/>
          <w:color w:val="000000"/>
          <w:sz w:val="24"/>
        </w:rPr>
        <w:t>交银施罗德基金管理有限公司</w:t>
      </w:r>
    </w:p>
    <w:p>
      <w:pPr>
        <w:spacing w:before="29" w:line="288" w:lineRule="auto"/>
        <w:ind w:firstLine="482" w:firstLineChars="200"/>
        <w:jc w:val="right"/>
        <w:rPr>
          <w:b/>
          <w:color w:val="000000"/>
          <w:sz w:val="24"/>
        </w:rPr>
      </w:pPr>
      <w:r>
        <w:rPr>
          <w:b/>
          <w:color w:val="000000"/>
          <w:sz w:val="24"/>
        </w:rPr>
        <w:t>二〇二一年三月三十日</w:t>
      </w:r>
    </w:p>
    <w:p>
      <w:pPr>
        <w:spacing w:line="360" w:lineRule="auto"/>
        <w:rPr>
          <w:rFonts w:asciiTheme="minorEastAsia" w:hAnsiTheme="minorEastAsia" w:eastAsiaTheme="minorEastAsia"/>
          <w:szCs w:val="21"/>
        </w:rPr>
      </w:pPr>
    </w:p>
    <w:sectPr>
      <w:footerReference r:id="rId9" w:type="default"/>
      <w:footerReference r:id="rId10" w:type="even"/>
      <w:pgSz w:w="11906" w:h="16838"/>
      <w:pgMar w:top="1418"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61</w:t>
    </w:r>
    <w:r>
      <w:rPr>
        <w:kern w:val="0"/>
        <w:szCs w:val="21"/>
      </w:rPr>
      <w:fldChar w:fldCharType="end"/>
    </w:r>
    <w:r>
      <w:rPr>
        <w:rFonts w:hint="eastAsia"/>
        <w:kern w:val="0"/>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9"/>
      </w:rPr>
    </w:pPr>
    <w:r>
      <w:rPr>
        <w:rStyle w:val="29"/>
      </w:rPr>
      <w:fldChar w:fldCharType="begin"/>
    </w:r>
    <w:r>
      <w:rPr>
        <w:rStyle w:val="29"/>
      </w:rPr>
      <w:instrText xml:space="preserve">PAGE  </w:instrText>
    </w:r>
    <w:r>
      <w:rPr>
        <w:rStyle w:val="29"/>
      </w:rP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288" w:lineRule="auto"/>
      <w:jc w:val="right"/>
      <w:rPr>
        <w:rFonts w:eastAsiaTheme="minorEastAsia"/>
        <w:sz w:val="24"/>
      </w:rPr>
    </w:pPr>
    <w:r>
      <w:rPr>
        <w:rFonts w:eastAsiaTheme="minorEastAsia"/>
        <w:sz w:val="24"/>
      </w:rPr>
      <w:t>交银施罗德科技创新灵活配置混合型证券投资基金2020年年度报告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printPostScriptOverText/>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10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3E8"/>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28CF"/>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64C"/>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3F70"/>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45"/>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598"/>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D6"/>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2FB8"/>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7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AF2"/>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B769F"/>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13"/>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0E8F"/>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715"/>
    <w:rsid w:val="00FF2C5A"/>
    <w:rsid w:val="00FF3334"/>
    <w:rsid w:val="00FF59BE"/>
    <w:rsid w:val="00FF6ADB"/>
    <w:rsid w:val="00FF6C36"/>
    <w:rsid w:val="00FF70D6"/>
    <w:rsid w:val="00FF7CE7"/>
    <w:rsid w:val="706F7E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0" w:semiHidden="0"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nhideWhenUsed="0" w:uiPriority="99" w:semiHidden="0" w:name="FollowedHyperlink"/>
    <w:lsdException w:qFormat="1" w:unhideWhenUsed="0" w:uiPriority="22" w:semiHidden="0" w:name="Strong" w:locked="1"/>
    <w:lsdException w:qFormat="1" w:unhideWhenUsed="0" w:uiPriority="0" w:semiHidden="0" w:name="Emphasis" w:locked="1"/>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9"/>
    <w:pPr>
      <w:widowControl/>
      <w:jc w:val="left"/>
      <w:outlineLvl w:val="0"/>
    </w:pPr>
    <w:rPr>
      <w:kern w:val="0"/>
      <w:sz w:val="24"/>
      <w:szCs w:val="20"/>
      <w:lang w:val="en-GB"/>
    </w:rPr>
  </w:style>
  <w:style w:type="paragraph" w:styleId="3">
    <w:name w:val="heading 2"/>
    <w:basedOn w:val="1"/>
    <w:next w:val="4"/>
    <w:link w:val="35"/>
    <w:qFormat/>
    <w:uiPriority w:val="99"/>
    <w:pPr>
      <w:keepNext/>
      <w:keepLines/>
      <w:spacing w:before="260" w:after="260" w:line="360" w:lineRule="auto"/>
      <w:outlineLvl w:val="1"/>
    </w:pPr>
    <w:rPr>
      <w:rFonts w:ascii="Arial" w:hAnsi="Arial"/>
      <w:b/>
      <w:bCs/>
      <w:sz w:val="24"/>
      <w:szCs w:val="28"/>
    </w:rPr>
  </w:style>
  <w:style w:type="paragraph" w:styleId="5">
    <w:name w:val="heading 3"/>
    <w:basedOn w:val="1"/>
    <w:next w:val="1"/>
    <w:link w:val="36"/>
    <w:qFormat/>
    <w:uiPriority w:val="99"/>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iPriority w:val="99"/>
    <w:pPr>
      <w:ind w:firstLine="420" w:firstLineChars="200"/>
    </w:pPr>
  </w:style>
  <w:style w:type="paragraph" w:styleId="6">
    <w:name w:val="Document Map"/>
    <w:basedOn w:val="1"/>
    <w:link w:val="66"/>
    <w:semiHidden/>
    <w:qFormat/>
    <w:uiPriority w:val="99"/>
    <w:pPr>
      <w:shd w:val="clear" w:color="auto" w:fill="000080"/>
    </w:pPr>
  </w:style>
  <w:style w:type="paragraph" w:styleId="7">
    <w:name w:val="annotation text"/>
    <w:basedOn w:val="1"/>
    <w:link w:val="63"/>
    <w:semiHidden/>
    <w:qFormat/>
    <w:uiPriority w:val="99"/>
    <w:pPr>
      <w:jc w:val="left"/>
    </w:pPr>
  </w:style>
  <w:style w:type="paragraph" w:styleId="8">
    <w:name w:val="Body Text"/>
    <w:basedOn w:val="1"/>
    <w:link w:val="44"/>
    <w:qFormat/>
    <w:uiPriority w:val="99"/>
    <w:pPr>
      <w:spacing w:after="120"/>
    </w:pPr>
  </w:style>
  <w:style w:type="paragraph" w:styleId="9">
    <w:name w:val="Body Text Indent"/>
    <w:basedOn w:val="1"/>
    <w:link w:val="38"/>
    <w:qFormat/>
    <w:uiPriority w:val="99"/>
    <w:pPr>
      <w:widowControl/>
      <w:spacing w:before="100" w:beforeAutospacing="1" w:after="100" w:afterAutospacing="1"/>
      <w:jc w:val="left"/>
    </w:pPr>
    <w:rPr>
      <w:rFonts w:ascii="Arial Unicode MS" w:hAnsi="Arial Unicode MS" w:cs="Arial Unicode MS"/>
      <w:kern w:val="0"/>
      <w:sz w:val="24"/>
    </w:rPr>
  </w:style>
  <w:style w:type="paragraph" w:styleId="10">
    <w:name w:val="toc 3"/>
    <w:basedOn w:val="1"/>
    <w:next w:val="1"/>
    <w:qFormat/>
    <w:uiPriority w:val="39"/>
    <w:pPr>
      <w:ind w:left="840" w:leftChars="400"/>
    </w:pPr>
  </w:style>
  <w:style w:type="paragraph" w:styleId="11">
    <w:name w:val="Plain Text"/>
    <w:basedOn w:val="1"/>
    <w:link w:val="39"/>
    <w:qFormat/>
    <w:uiPriority w:val="0"/>
    <w:rPr>
      <w:rFonts w:ascii="宋体" w:hAnsi="Courier New"/>
      <w:szCs w:val="21"/>
    </w:rPr>
  </w:style>
  <w:style w:type="paragraph" w:styleId="12">
    <w:name w:val="Date"/>
    <w:basedOn w:val="1"/>
    <w:next w:val="1"/>
    <w:link w:val="45"/>
    <w:qFormat/>
    <w:uiPriority w:val="99"/>
    <w:rPr>
      <w:sz w:val="24"/>
      <w:szCs w:val="20"/>
    </w:rPr>
  </w:style>
  <w:style w:type="paragraph" w:styleId="13">
    <w:name w:val="Body Text Indent 2"/>
    <w:basedOn w:val="1"/>
    <w:link w:val="40"/>
    <w:uiPriority w:val="99"/>
    <w:pPr>
      <w:spacing w:line="560" w:lineRule="exact"/>
      <w:ind w:firstLine="480" w:firstLineChars="200"/>
    </w:pPr>
    <w:rPr>
      <w:rFonts w:ascii="宋体" w:hAnsi="宋体"/>
      <w:color w:val="FF0000"/>
      <w:sz w:val="24"/>
    </w:rPr>
  </w:style>
  <w:style w:type="paragraph" w:styleId="14">
    <w:name w:val="Balloon Text"/>
    <w:basedOn w:val="1"/>
    <w:link w:val="37"/>
    <w:semiHidden/>
    <w:qFormat/>
    <w:uiPriority w:val="99"/>
    <w:rPr>
      <w:sz w:val="18"/>
      <w:szCs w:val="18"/>
    </w:rPr>
  </w:style>
  <w:style w:type="paragraph" w:styleId="15">
    <w:name w:val="footer"/>
    <w:basedOn w:val="1"/>
    <w:link w:val="41"/>
    <w:qFormat/>
    <w:uiPriority w:val="99"/>
    <w:pPr>
      <w:tabs>
        <w:tab w:val="center" w:pos="4153"/>
        <w:tab w:val="right" w:pos="8306"/>
      </w:tabs>
      <w:snapToGrid w:val="0"/>
      <w:jc w:val="left"/>
    </w:pPr>
    <w:rPr>
      <w:sz w:val="18"/>
      <w:szCs w:val="18"/>
    </w:rPr>
  </w:style>
  <w:style w:type="paragraph" w:styleId="16">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9072"/>
      </w:tabs>
    </w:pPr>
  </w:style>
  <w:style w:type="paragraph" w:styleId="18">
    <w:name w:val="List"/>
    <w:basedOn w:val="8"/>
    <w:qFormat/>
    <w:uiPriority w:val="99"/>
    <w:pPr>
      <w:spacing w:after="220" w:line="220" w:lineRule="atLeast"/>
      <w:ind w:left="1440" w:hanging="360"/>
    </w:pPr>
    <w:rPr>
      <w:szCs w:val="20"/>
    </w:rPr>
  </w:style>
  <w:style w:type="paragraph" w:styleId="19">
    <w:name w:val="footnote text"/>
    <w:basedOn w:val="1"/>
    <w:link w:val="68"/>
    <w:uiPriority w:val="0"/>
    <w:pPr>
      <w:snapToGrid w:val="0"/>
      <w:jc w:val="left"/>
    </w:pPr>
    <w:rPr>
      <w:sz w:val="18"/>
      <w:szCs w:val="18"/>
    </w:rPr>
  </w:style>
  <w:style w:type="paragraph" w:styleId="20">
    <w:name w:val="Body Text Indent 3"/>
    <w:basedOn w:val="1"/>
    <w:link w:val="42"/>
    <w:qFormat/>
    <w:uiPriority w:val="99"/>
    <w:pPr>
      <w:spacing w:line="560" w:lineRule="exact"/>
      <w:ind w:firstLine="420" w:firstLineChars="200"/>
    </w:pPr>
    <w:rPr>
      <w:rFonts w:ascii="Arial" w:hAnsi="Arial" w:cs="Arial"/>
      <w:color w:val="FF0000"/>
    </w:rPr>
  </w:style>
  <w:style w:type="paragraph" w:styleId="21">
    <w:name w:val="toc 2"/>
    <w:basedOn w:val="1"/>
    <w:next w:val="1"/>
    <w:qFormat/>
    <w:uiPriority w:val="39"/>
    <w:pPr>
      <w:tabs>
        <w:tab w:val="right" w:leader="dot" w:pos="9072"/>
      </w:tabs>
      <w:ind w:left="420" w:leftChars="200"/>
    </w:pPr>
    <w:rPr>
      <w:kern w:val="0"/>
      <w:szCs w:val="21"/>
    </w:rPr>
  </w:style>
  <w:style w:type="paragraph" w:styleId="22">
    <w:name w:val="Normal (Web)"/>
    <w:basedOn w:val="1"/>
    <w:qFormat/>
    <w:uiPriority w:val="99"/>
    <w:pPr>
      <w:widowControl/>
      <w:spacing w:before="100" w:beforeAutospacing="1" w:after="100" w:afterAutospacing="1"/>
      <w:jc w:val="left"/>
    </w:pPr>
    <w:rPr>
      <w:rFonts w:ascii="宋体" w:hAnsi="宋体"/>
      <w:kern w:val="0"/>
      <w:sz w:val="24"/>
    </w:rPr>
  </w:style>
  <w:style w:type="paragraph" w:styleId="23">
    <w:name w:val="index 1"/>
    <w:basedOn w:val="1"/>
    <w:next w:val="1"/>
    <w:semiHidden/>
    <w:qFormat/>
    <w:uiPriority w:val="99"/>
    <w:pPr>
      <w:jc w:val="right"/>
    </w:pPr>
    <w:rPr>
      <w:color w:val="008000"/>
    </w:rPr>
  </w:style>
  <w:style w:type="paragraph" w:styleId="24">
    <w:name w:val="annotation subject"/>
    <w:basedOn w:val="7"/>
    <w:next w:val="7"/>
    <w:link w:val="64"/>
    <w:semiHidden/>
    <w:qFormat/>
    <w:uiPriority w:val="99"/>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locked/>
    <w:uiPriority w:val="22"/>
    <w:rPr>
      <w:b/>
      <w:bCs/>
    </w:rPr>
  </w:style>
  <w:style w:type="character" w:styleId="29">
    <w:name w:val="page number"/>
    <w:qFormat/>
    <w:uiPriority w:val="99"/>
    <w:rPr>
      <w:rFonts w:cs="Times New Roman"/>
    </w:rPr>
  </w:style>
  <w:style w:type="character" w:styleId="30">
    <w:name w:val="FollowedHyperlink"/>
    <w:uiPriority w:val="99"/>
    <w:rPr>
      <w:rFonts w:cs="Times New Roman"/>
      <w:color w:val="800080"/>
      <w:u w:val="single"/>
    </w:rPr>
  </w:style>
  <w:style w:type="character" w:styleId="31">
    <w:name w:val="Hyperlink"/>
    <w:qFormat/>
    <w:uiPriority w:val="99"/>
    <w:rPr>
      <w:rFonts w:cs="Times New Roman"/>
      <w:color w:val="0000FF"/>
      <w:u w:val="single"/>
    </w:rPr>
  </w:style>
  <w:style w:type="character" w:styleId="32">
    <w:name w:val="annotation reference"/>
    <w:semiHidden/>
    <w:qFormat/>
    <w:uiPriority w:val="99"/>
    <w:rPr>
      <w:rFonts w:cs="Times New Roman"/>
      <w:sz w:val="21"/>
    </w:rPr>
  </w:style>
  <w:style w:type="character" w:styleId="33">
    <w:name w:val="footnote reference"/>
    <w:uiPriority w:val="0"/>
    <w:rPr>
      <w:rFonts w:cs="Times New Roman"/>
      <w:vertAlign w:val="superscript"/>
    </w:rPr>
  </w:style>
  <w:style w:type="character" w:customStyle="1" w:styleId="34">
    <w:name w:val="标题 1 Char"/>
    <w:link w:val="2"/>
    <w:qFormat/>
    <w:locked/>
    <w:uiPriority w:val="99"/>
    <w:rPr>
      <w:rFonts w:cs="Times New Roman"/>
      <w:sz w:val="24"/>
      <w:lang w:val="en-GB"/>
    </w:rPr>
  </w:style>
  <w:style w:type="character" w:customStyle="1" w:styleId="35">
    <w:name w:val="标题 2 Char"/>
    <w:link w:val="3"/>
    <w:qFormat/>
    <w:locked/>
    <w:uiPriority w:val="99"/>
    <w:rPr>
      <w:rFonts w:ascii="Arial" w:hAnsi="Arial"/>
      <w:b/>
      <w:kern w:val="2"/>
      <w:sz w:val="28"/>
    </w:rPr>
  </w:style>
  <w:style w:type="character" w:customStyle="1" w:styleId="36">
    <w:name w:val="标题 3 Char"/>
    <w:link w:val="5"/>
    <w:qFormat/>
    <w:locked/>
    <w:uiPriority w:val="99"/>
    <w:rPr>
      <w:rFonts w:cs="Times New Roman"/>
      <w:b/>
      <w:bCs/>
      <w:kern w:val="2"/>
      <w:sz w:val="32"/>
      <w:szCs w:val="32"/>
    </w:rPr>
  </w:style>
  <w:style w:type="character" w:customStyle="1" w:styleId="37">
    <w:name w:val="批注框文本 Char"/>
    <w:link w:val="14"/>
    <w:semiHidden/>
    <w:locked/>
    <w:uiPriority w:val="99"/>
    <w:rPr>
      <w:rFonts w:cs="Times New Roman"/>
      <w:kern w:val="2"/>
      <w:sz w:val="18"/>
      <w:szCs w:val="18"/>
    </w:rPr>
  </w:style>
  <w:style w:type="character" w:customStyle="1" w:styleId="38">
    <w:name w:val="正文文本缩进 Char"/>
    <w:link w:val="9"/>
    <w:qFormat/>
    <w:locked/>
    <w:uiPriority w:val="99"/>
    <w:rPr>
      <w:rFonts w:ascii="Arial Unicode MS" w:hAnsi="Arial Unicode MS" w:eastAsia="Times New Roman" w:cs="Arial Unicode MS"/>
      <w:sz w:val="24"/>
      <w:szCs w:val="24"/>
    </w:rPr>
  </w:style>
  <w:style w:type="character" w:customStyle="1" w:styleId="39">
    <w:name w:val="纯文本 Char"/>
    <w:link w:val="11"/>
    <w:qFormat/>
    <w:locked/>
    <w:uiPriority w:val="0"/>
    <w:rPr>
      <w:rFonts w:ascii="宋体" w:hAnsi="Courier New"/>
      <w:kern w:val="2"/>
      <w:sz w:val="21"/>
    </w:rPr>
  </w:style>
  <w:style w:type="character" w:customStyle="1" w:styleId="40">
    <w:name w:val="正文文本缩进 2 Char"/>
    <w:link w:val="13"/>
    <w:qFormat/>
    <w:locked/>
    <w:uiPriority w:val="99"/>
    <w:rPr>
      <w:rFonts w:ascii="宋体" w:eastAsia="宋体" w:cs="Times New Roman"/>
      <w:color w:val="FF0000"/>
      <w:kern w:val="2"/>
      <w:sz w:val="24"/>
      <w:szCs w:val="24"/>
    </w:rPr>
  </w:style>
  <w:style w:type="character" w:customStyle="1" w:styleId="41">
    <w:name w:val="页脚 Char"/>
    <w:link w:val="15"/>
    <w:locked/>
    <w:uiPriority w:val="99"/>
    <w:rPr>
      <w:rFonts w:cs="Times New Roman"/>
      <w:kern w:val="2"/>
      <w:sz w:val="18"/>
      <w:szCs w:val="18"/>
    </w:rPr>
  </w:style>
  <w:style w:type="character" w:customStyle="1" w:styleId="42">
    <w:name w:val="正文文本缩进 3 Char"/>
    <w:link w:val="20"/>
    <w:qFormat/>
    <w:locked/>
    <w:uiPriority w:val="99"/>
    <w:rPr>
      <w:rFonts w:ascii="Arial" w:hAnsi="Arial" w:cs="Arial"/>
      <w:color w:val="FF0000"/>
      <w:kern w:val="2"/>
      <w:sz w:val="24"/>
      <w:szCs w:val="24"/>
    </w:rPr>
  </w:style>
  <w:style w:type="character" w:customStyle="1" w:styleId="43">
    <w:name w:val="页眉 Char"/>
    <w:link w:val="16"/>
    <w:qFormat/>
    <w:locked/>
    <w:uiPriority w:val="99"/>
    <w:rPr>
      <w:rFonts w:cs="Times New Roman"/>
      <w:kern w:val="2"/>
      <w:sz w:val="18"/>
      <w:szCs w:val="18"/>
    </w:rPr>
  </w:style>
  <w:style w:type="character" w:customStyle="1" w:styleId="44">
    <w:name w:val="正文文本 Char"/>
    <w:link w:val="8"/>
    <w:qFormat/>
    <w:locked/>
    <w:uiPriority w:val="99"/>
    <w:rPr>
      <w:rFonts w:cs="Times New Roman"/>
      <w:kern w:val="2"/>
      <w:sz w:val="24"/>
      <w:szCs w:val="24"/>
    </w:rPr>
  </w:style>
  <w:style w:type="character" w:customStyle="1" w:styleId="45">
    <w:name w:val="日期 Char"/>
    <w:link w:val="12"/>
    <w:locked/>
    <w:uiPriority w:val="99"/>
    <w:rPr>
      <w:rFonts w:cs="Times New Roman"/>
      <w:kern w:val="2"/>
      <w:sz w:val="24"/>
    </w:rPr>
  </w:style>
  <w:style w:type="character" w:customStyle="1" w:styleId="46">
    <w:name w:val="c1"/>
    <w:qFormat/>
    <w:uiPriority w:val="99"/>
    <w:rPr>
      <w:color w:val="000000"/>
      <w:spacing w:val="300"/>
      <w:sz w:val="18"/>
    </w:rPr>
  </w:style>
  <w:style w:type="paragraph" w:customStyle="1" w:styleId="47">
    <w:name w:val="font5"/>
    <w:basedOn w:val="1"/>
    <w:uiPriority w:val="99"/>
    <w:pPr>
      <w:widowControl/>
      <w:spacing w:before="100" w:beforeAutospacing="1" w:after="100" w:afterAutospacing="1"/>
      <w:jc w:val="left"/>
    </w:pPr>
    <w:rPr>
      <w:rFonts w:ascii="宋体" w:hAnsi="宋体" w:cs="Arial Unicode MS"/>
      <w:kern w:val="0"/>
      <w:sz w:val="18"/>
      <w:szCs w:val="18"/>
    </w:rPr>
  </w:style>
  <w:style w:type="paragraph" w:customStyle="1" w:styleId="48">
    <w:name w:val="xl24"/>
    <w:basedOn w:val="1"/>
    <w:qFormat/>
    <w:uiPriority w:val="99"/>
    <w:pPr>
      <w:widowControl/>
      <w:pBdr>
        <w:top w:val="double" w:color="000000" w:sz="6"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49">
    <w:name w:val="xl25"/>
    <w:basedOn w:val="1"/>
    <w:qFormat/>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left"/>
    </w:pPr>
    <w:rPr>
      <w:rFonts w:ascii="Arial Unicode MS" w:hAnsi="Arial Unicode MS" w:cs="Arial Unicode MS"/>
      <w:b/>
      <w:bCs/>
      <w:color w:val="000000"/>
      <w:kern w:val="0"/>
      <w:sz w:val="24"/>
    </w:rPr>
  </w:style>
  <w:style w:type="paragraph" w:customStyle="1" w:styleId="50">
    <w:name w:val="xl26"/>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51">
    <w:name w:val="xl2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52">
    <w:name w:val="xl28"/>
    <w:basedOn w:val="1"/>
    <w:qFormat/>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53">
    <w:name w:val="xl29"/>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54">
    <w:name w:val="xl3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55">
    <w:name w:val="xl31"/>
    <w:basedOn w:val="1"/>
    <w:qFormat/>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56">
    <w:name w:val="xl32"/>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57">
    <w:name w:val="xl3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58">
    <w:name w:val="xl34"/>
    <w:basedOn w:val="1"/>
    <w:qFormat/>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59">
    <w:name w:val="xl35"/>
    <w:basedOn w:val="1"/>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60">
    <w:name w:val="xl3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61">
    <w:name w:val="xl3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62">
    <w:name w:val="xl38"/>
    <w:basedOn w:val="1"/>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63">
    <w:name w:val="批注文字 Char"/>
    <w:link w:val="7"/>
    <w:semiHidden/>
    <w:locked/>
    <w:uiPriority w:val="99"/>
    <w:rPr>
      <w:rFonts w:cs="Times New Roman"/>
      <w:kern w:val="2"/>
      <w:sz w:val="24"/>
      <w:szCs w:val="24"/>
    </w:rPr>
  </w:style>
  <w:style w:type="character" w:customStyle="1" w:styleId="64">
    <w:name w:val="批注主题 Char"/>
    <w:link w:val="24"/>
    <w:semiHidden/>
    <w:qFormat/>
    <w:locked/>
    <w:uiPriority w:val="99"/>
    <w:rPr>
      <w:rFonts w:cs="Times New Roman"/>
      <w:b/>
      <w:bCs/>
      <w:kern w:val="2"/>
      <w:sz w:val="24"/>
      <w:szCs w:val="24"/>
    </w:rPr>
  </w:style>
  <w:style w:type="paragraph" w:customStyle="1" w:styleId="65">
    <w:name w:val="Char"/>
    <w:basedOn w:val="1"/>
    <w:uiPriority w:val="99"/>
  </w:style>
  <w:style w:type="character" w:customStyle="1" w:styleId="66">
    <w:name w:val="文档结构图 Char"/>
    <w:link w:val="6"/>
    <w:semiHidden/>
    <w:locked/>
    <w:uiPriority w:val="99"/>
    <w:rPr>
      <w:rFonts w:cs="Times New Roman"/>
      <w:kern w:val="2"/>
      <w:sz w:val="24"/>
      <w:szCs w:val="24"/>
      <w:shd w:val="clear" w:color="auto" w:fill="000080"/>
    </w:rPr>
  </w:style>
  <w:style w:type="paragraph" w:customStyle="1" w:styleId="67">
    <w:name w:val="正文 + (符号) 宋体"/>
    <w:basedOn w:val="1"/>
    <w:qFormat/>
    <w:uiPriority w:val="99"/>
    <w:pPr>
      <w:autoSpaceDE w:val="0"/>
      <w:autoSpaceDN w:val="0"/>
      <w:adjustRightInd w:val="0"/>
      <w:ind w:right="1409" w:rightChars="671" w:firstLine="1229" w:firstLineChars="512"/>
      <w:jc w:val="distribute"/>
    </w:pPr>
    <w:rPr>
      <w:sz w:val="24"/>
    </w:rPr>
  </w:style>
  <w:style w:type="character" w:customStyle="1" w:styleId="68">
    <w:name w:val="脚注文本 Char"/>
    <w:link w:val="19"/>
    <w:qFormat/>
    <w:locked/>
    <w:uiPriority w:val="0"/>
    <w:rPr>
      <w:rFonts w:cs="Times New Roman"/>
      <w:kern w:val="2"/>
      <w:sz w:val="18"/>
      <w:szCs w:val="18"/>
    </w:rPr>
  </w:style>
  <w:style w:type="paragraph" w:customStyle="1" w:styleId="69">
    <w:name w:val="Char1"/>
    <w:basedOn w:val="1"/>
    <w:qFormat/>
    <w:uiPriority w:val="99"/>
  </w:style>
  <w:style w:type="paragraph" w:customStyle="1" w:styleId="70">
    <w:name w:val="Char Char Char Char Char Char1 Char Char Char"/>
    <w:basedOn w:val="1"/>
    <w:qFormat/>
    <w:uiPriority w:val="99"/>
    <w:pPr>
      <w:autoSpaceDE w:val="0"/>
      <w:autoSpaceDN w:val="0"/>
      <w:adjustRightInd w:val="0"/>
      <w:jc w:val="left"/>
      <w:textAlignment w:val="baseline"/>
    </w:pPr>
    <w:rPr>
      <w:rFonts w:ascii="宋体"/>
      <w:kern w:val="0"/>
      <w:sz w:val="34"/>
      <w:szCs w:val="20"/>
    </w:rPr>
  </w:style>
  <w:style w:type="paragraph" w:customStyle="1" w:styleId="71">
    <w:name w:val="Char Char Char Char"/>
    <w:basedOn w:val="1"/>
    <w:uiPriority w:val="99"/>
    <w:pPr>
      <w:tabs>
        <w:tab w:val="left" w:pos="840"/>
      </w:tabs>
      <w:adjustRightInd w:val="0"/>
      <w:spacing w:line="360" w:lineRule="atLeast"/>
      <w:ind w:left="840" w:hanging="360"/>
      <w:textAlignment w:val="baseline"/>
    </w:pPr>
    <w:rPr>
      <w:sz w:val="24"/>
    </w:rPr>
  </w:style>
  <w:style w:type="paragraph" w:customStyle="1" w:styleId="72">
    <w:name w:val="Char Char Char Char Char Char1 Char Char Char1"/>
    <w:basedOn w:val="1"/>
    <w:uiPriority w:val="99"/>
    <w:pPr>
      <w:autoSpaceDE w:val="0"/>
      <w:autoSpaceDN w:val="0"/>
      <w:adjustRightInd w:val="0"/>
      <w:jc w:val="left"/>
      <w:textAlignment w:val="baseline"/>
    </w:pPr>
    <w:rPr>
      <w:rFonts w:ascii="宋体"/>
      <w:kern w:val="0"/>
      <w:sz w:val="34"/>
      <w:szCs w:val="20"/>
    </w:rPr>
  </w:style>
  <w:style w:type="paragraph" w:customStyle="1" w:styleId="73">
    <w:name w:val="Default"/>
    <w:uiPriority w:val="99"/>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61161D-370E-497F-A9C1-0155289F2BAF}">
  <ds:schemaRefs/>
</ds:datastoreItem>
</file>

<file path=docProps/app.xml><?xml version="1.0" encoding="utf-8"?>
<Properties xmlns="http://schemas.openxmlformats.org/officeDocument/2006/extended-properties" xmlns:vt="http://schemas.openxmlformats.org/officeDocument/2006/docPropsVTypes">
  <Template>Normal</Template>
  <Pages>61</Pages>
  <Words>8877</Words>
  <Characters>50601</Characters>
  <Lines>421</Lines>
  <Paragraphs>118</Paragraphs>
  <TotalTime>0</TotalTime>
  <ScaleCrop>false</ScaleCrop>
  <LinksUpToDate>false</LinksUpToDate>
  <CharactersWithSpaces>59360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2013-08-07T09:12:00Z</dcterms:created>
  <dc:creator>bonnieliu</dc:creator>
  <cp:lastModifiedBy>hongzhong</cp:lastModifiedBy>
  <cp:lastPrinted>2007-07-19T00:46:00Z</cp:lastPrinted>
  <dcterms:modified xsi:type="dcterms:W3CDTF">2021-03-31T04:10:31Z</dcterms:modified>
  <cp:revision>1517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