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4410E8">
        <w:rPr>
          <w:rFonts w:ascii="Times New Roman" w:hAnsi="Times New Roman"/>
          <w:sz w:val="24"/>
          <w:szCs w:val="24"/>
        </w:rPr>
        <w:t>2</w:t>
      </w:r>
      <w:r w:rsidR="00966BA3">
        <w:rPr>
          <w:rFonts w:ascii="Times New Roman" w:hAnsi="Times New Roman"/>
          <w:sz w:val="24"/>
          <w:szCs w:val="24"/>
        </w:rPr>
        <w:t>8</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966BA3">
        <w:rPr>
          <w:rFonts w:ascii="Times New Roman" w:hAnsi="Times New Roman"/>
          <w:sz w:val="24"/>
          <w:szCs w:val="24"/>
        </w:rPr>
        <w:t>492</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66BA3">
        <w:rPr>
          <w:rFonts w:ascii="Times New Roman" w:hAnsi="Times New Roman"/>
          <w:sz w:val="24"/>
          <w:szCs w:val="24"/>
        </w:rPr>
        <w:t>869</w:t>
      </w:r>
      <w:r w:rsidR="00B7131D">
        <w:rPr>
          <w:rFonts w:ascii="Times New Roman" w:hAnsi="Times New Roman" w:hint="eastAsia"/>
          <w:sz w:val="24"/>
          <w:szCs w:val="24"/>
        </w:rPr>
        <w:t>元的基金份额参考净值，溢价幅度达到</w:t>
      </w:r>
      <w:r w:rsidR="00966BA3">
        <w:rPr>
          <w:rFonts w:ascii="Times New Roman" w:hAnsi="Times New Roman"/>
          <w:sz w:val="24"/>
          <w:szCs w:val="24"/>
        </w:rPr>
        <w:t>71.69</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F43E4A">
        <w:rPr>
          <w:rFonts w:ascii="Times New Roman" w:hAnsi="Times New Roman"/>
          <w:sz w:val="24"/>
          <w:szCs w:val="24"/>
        </w:rPr>
        <w:t>2</w:t>
      </w:r>
      <w:r w:rsidR="00966BA3">
        <w:rPr>
          <w:rFonts w:ascii="Times New Roman" w:hAnsi="Times New Roman"/>
          <w:sz w:val="24"/>
          <w:szCs w:val="24"/>
        </w:rPr>
        <w:t>9</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966BA3">
        <w:rPr>
          <w:rFonts w:ascii="Times New Roman" w:hAnsi="Times New Roman"/>
          <w:sz w:val="24"/>
          <w:szCs w:val="24"/>
        </w:rPr>
        <w:t>498</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966BA3">
        <w:rPr>
          <w:rFonts w:ascii="Times New Roman" w:hAnsi="Times New Roman"/>
          <w:sz w:val="24"/>
          <w:szCs w:val="24"/>
        </w:rPr>
        <w:t>30</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966BA3">
        <w:rPr>
          <w:rFonts w:ascii="Times New Roman" w:hAnsi="Times New Roman"/>
          <w:sz w:val="24"/>
          <w:szCs w:val="24"/>
        </w:rPr>
        <w:t>30</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F43E4A">
        <w:rPr>
          <w:rFonts w:ascii="Times New Roman" w:hAnsi="Times New Roman"/>
          <w:sz w:val="24"/>
          <w:szCs w:val="24"/>
        </w:rPr>
        <w:t>2</w:t>
      </w:r>
      <w:r w:rsidR="00966BA3">
        <w:rPr>
          <w:rFonts w:ascii="Times New Roman" w:hAnsi="Times New Roman"/>
          <w:sz w:val="24"/>
          <w:szCs w:val="24"/>
        </w:rPr>
        <w:t>9</w:t>
      </w:r>
      <w:bookmarkStart w:id="0" w:name="_GoBack"/>
      <w:bookmarkEnd w:id="0"/>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C4774B">
      <w:pPr>
        <w:spacing w:line="360" w:lineRule="auto"/>
        <w:ind w:firstLineChars="200" w:firstLine="480"/>
        <w:rPr>
          <w:rFonts w:ascii="Times New Roman" w:hAnsi="Times New Roman"/>
          <w:sz w:val="24"/>
          <w:szCs w:val="24"/>
        </w:rPr>
      </w:pPr>
      <w:r w:rsidRPr="00C4774B">
        <w:rPr>
          <w:rFonts w:ascii="Times New Roman" w:hAnsi="Times New Roman" w:hint="eastAsia"/>
          <w:sz w:val="24"/>
          <w:szCs w:val="24"/>
        </w:rPr>
        <w:t>五、本基金已于</w:t>
      </w:r>
      <w:r w:rsidRPr="00C4774B">
        <w:rPr>
          <w:rFonts w:ascii="Times New Roman" w:hAnsi="Times New Roman" w:hint="eastAsia"/>
          <w:sz w:val="24"/>
          <w:szCs w:val="24"/>
        </w:rPr>
        <w:t>2020</w:t>
      </w:r>
      <w:r w:rsidRPr="00C4774B">
        <w:rPr>
          <w:rFonts w:ascii="Times New Roman" w:hAnsi="Times New Roman" w:hint="eastAsia"/>
          <w:sz w:val="24"/>
          <w:szCs w:val="24"/>
        </w:rPr>
        <w:t>年</w:t>
      </w:r>
      <w:r w:rsidRPr="00C4774B">
        <w:rPr>
          <w:rFonts w:ascii="Times New Roman" w:hAnsi="Times New Roman" w:hint="eastAsia"/>
          <w:sz w:val="24"/>
          <w:szCs w:val="24"/>
        </w:rPr>
        <w:t>10</w:t>
      </w:r>
      <w:r w:rsidRPr="00C4774B">
        <w:rPr>
          <w:rFonts w:ascii="Times New Roman" w:hAnsi="Times New Roman" w:hint="eastAsia"/>
          <w:sz w:val="24"/>
          <w:szCs w:val="24"/>
        </w:rPr>
        <w:t>月</w:t>
      </w:r>
      <w:r w:rsidRPr="00C4774B">
        <w:rPr>
          <w:rFonts w:ascii="Times New Roman" w:hAnsi="Times New Roman" w:hint="eastAsia"/>
          <w:sz w:val="24"/>
          <w:szCs w:val="24"/>
        </w:rPr>
        <w:t>28</w:t>
      </w:r>
      <w:r w:rsidRPr="00C4774B">
        <w:rPr>
          <w:rFonts w:ascii="Times New Roman" w:hAnsi="Times New Roman" w:hint="eastAsia"/>
          <w:sz w:val="24"/>
          <w:szCs w:val="24"/>
        </w:rPr>
        <w:t>日召开基金份额持有人大会，表决通过了《关于终止交银施罗德中证互联网金融指数分级证券投资基金基金合同有关事项的议案》，敬请投资者留意基金管理人发布的《交银施罗德基金管理有限公司关于交银施罗德中证互联网金融指数分级证券投资基金持有人大会表决结果暨决议生效的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966BA3">
        <w:rPr>
          <w:rFonts w:ascii="Times New Roman" w:hAnsi="Times New Roman" w:hint="eastAsia"/>
          <w:sz w:val="24"/>
          <w:szCs w:val="24"/>
        </w:rPr>
        <w:t>三十</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4C" w:rsidRDefault="00DD694C" w:rsidP="001D68A4">
      <w:r>
        <w:separator/>
      </w:r>
    </w:p>
  </w:endnote>
  <w:endnote w:type="continuationSeparator" w:id="0">
    <w:p w:rsidR="00DD694C" w:rsidRDefault="00DD694C"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4C" w:rsidRDefault="00DD694C" w:rsidP="001D68A4">
      <w:r>
        <w:separator/>
      </w:r>
    </w:p>
  </w:footnote>
  <w:footnote w:type="continuationSeparator" w:id="0">
    <w:p w:rsidR="00DD694C" w:rsidRDefault="00DD694C"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645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66BA3"/>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4774B"/>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694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6C94D-487B-4A15-B3D7-D078536E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78</cp:revision>
  <cp:lastPrinted>2018-04-26T07:51:00Z</cp:lastPrinted>
  <dcterms:created xsi:type="dcterms:W3CDTF">2020-08-05T01:49:00Z</dcterms:created>
  <dcterms:modified xsi:type="dcterms:W3CDTF">2020-10-29T07:27:00Z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