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C20B1" w14:textId="0AC39587" w:rsidR="00896C5A" w:rsidRPr="00E77CC9" w:rsidRDefault="00896C5A" w:rsidP="00E77CC9">
      <w:pPr>
        <w:adjustRightInd w:val="0"/>
        <w:snapToGrid w:val="0"/>
        <w:spacing w:line="360" w:lineRule="auto"/>
        <w:rPr>
          <w:sz w:val="24"/>
        </w:rPr>
      </w:pPr>
      <w:bookmarkStart w:id="0" w:name="TITLE_2d19c3b023184e5d96eda5de63a3f55b"/>
      <w:r>
        <w:t xml:space="preserve"> </w:t>
      </w:r>
      <w:bookmarkStart w:id="1" w:name="CLAUSE_87d0cb4ed6404279bf75d6b87a01fbf3"/>
      <w:bookmarkEnd w:id="0"/>
      <w:r>
        <w:t xml:space="preserve"> </w:t>
      </w:r>
      <w:bookmarkStart w:id="2" w:name="CTS_87d0cb4ed6404279bf75d6b87a01fbf3"/>
      <w:bookmarkEnd w:id="2"/>
    </w:p>
    <w:p w14:paraId="66FFF18B" w14:textId="0C4C04A8" w:rsidR="00896C5A" w:rsidRPr="00456F57" w:rsidRDefault="00AE7235">
      <w:pPr>
        <w:adjustRightInd w:val="0"/>
        <w:snapToGrid w:val="0"/>
        <w:spacing w:line="360" w:lineRule="auto"/>
        <w:jc w:val="center"/>
        <w:rPr>
          <w:rFonts w:cs="Arial"/>
          <w:sz w:val="24"/>
        </w:rPr>
      </w:pPr>
      <w:r w:rsidRPr="00E77CC9">
        <w:rPr>
          <w:noProof/>
          <w:sz w:val="44"/>
        </w:rPr>
        <w:drawing>
          <wp:inline distT="0" distB="0" distL="0" distR="0" wp14:anchorId="1C0965D0" wp14:editId="2F93A758">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3E26287" w14:textId="77777777" w:rsidR="00896C5A" w:rsidRPr="00456F57" w:rsidRDefault="00896C5A">
      <w:pPr>
        <w:adjustRightInd w:val="0"/>
        <w:snapToGrid w:val="0"/>
        <w:spacing w:line="360" w:lineRule="auto"/>
        <w:jc w:val="center"/>
        <w:rPr>
          <w:rFonts w:cs="Arial"/>
          <w:sz w:val="24"/>
        </w:rPr>
      </w:pPr>
    </w:p>
    <w:p w14:paraId="1EEA8047" w14:textId="77777777" w:rsidR="00896C5A" w:rsidRPr="00456F57" w:rsidRDefault="00896C5A">
      <w:pPr>
        <w:adjustRightInd w:val="0"/>
        <w:snapToGrid w:val="0"/>
        <w:spacing w:line="360" w:lineRule="auto"/>
        <w:jc w:val="center"/>
        <w:rPr>
          <w:rFonts w:cs="Arial"/>
          <w:sz w:val="24"/>
        </w:rPr>
      </w:pPr>
    </w:p>
    <w:p w14:paraId="2547F637" w14:textId="77777777" w:rsidR="00707AF7" w:rsidRPr="009D2821" w:rsidRDefault="00D81FEA">
      <w:pPr>
        <w:adjustRightInd w:val="0"/>
        <w:snapToGrid w:val="0"/>
        <w:spacing w:line="360" w:lineRule="auto"/>
        <w:jc w:val="center"/>
        <w:rPr>
          <w:rFonts w:ascii="黑体" w:hAnsi="黑体"/>
          <w:b/>
          <w:sz w:val="44"/>
        </w:rPr>
      </w:pPr>
      <w:r>
        <w:rPr>
          <w:rFonts w:ascii="黑体" w:hAnsi="黑体" w:hint="eastAsia"/>
          <w:b/>
          <w:sz w:val="44"/>
        </w:rPr>
        <w:t>交银施罗德创业板</w:t>
      </w:r>
      <w:r>
        <w:rPr>
          <w:rFonts w:ascii="黑体" w:hAnsi="黑体" w:hint="eastAsia"/>
          <w:b/>
          <w:sz w:val="44"/>
        </w:rPr>
        <w:t>50</w:t>
      </w:r>
      <w:r>
        <w:rPr>
          <w:rFonts w:ascii="黑体" w:hAnsi="黑体" w:hint="eastAsia"/>
          <w:b/>
          <w:sz w:val="44"/>
        </w:rPr>
        <w:t>指数型证券投资基金</w:t>
      </w:r>
    </w:p>
    <w:p w14:paraId="023E57E6" w14:textId="1F60096B" w:rsidR="00896C5A" w:rsidRPr="00E77CC9" w:rsidRDefault="00712663">
      <w:pPr>
        <w:adjustRightInd w:val="0"/>
        <w:snapToGrid w:val="0"/>
        <w:spacing w:line="360" w:lineRule="auto"/>
        <w:jc w:val="center"/>
        <w:rPr>
          <w:rFonts w:ascii="黑体" w:hAnsi="黑体"/>
          <w:b/>
          <w:sz w:val="48"/>
        </w:rPr>
      </w:pPr>
      <w:r w:rsidRPr="009D2821">
        <w:rPr>
          <w:rFonts w:ascii="黑体" w:hAnsi="黑体" w:hint="eastAsia"/>
          <w:b/>
          <w:sz w:val="44"/>
        </w:rPr>
        <w:t>托管协议</w:t>
      </w:r>
    </w:p>
    <w:p w14:paraId="67358FFE" w14:textId="77777777" w:rsidR="00896C5A" w:rsidRPr="00E77CC9" w:rsidRDefault="00896C5A">
      <w:pPr>
        <w:adjustRightInd w:val="0"/>
        <w:snapToGrid w:val="0"/>
        <w:spacing w:line="360" w:lineRule="auto"/>
        <w:jc w:val="center"/>
        <w:rPr>
          <w:rFonts w:ascii="黑体" w:hAnsi="黑体"/>
          <w:b/>
          <w:sz w:val="48"/>
        </w:rPr>
      </w:pPr>
    </w:p>
    <w:p w14:paraId="0CE1E91B" w14:textId="77777777" w:rsidR="00896C5A" w:rsidRPr="00E77CC9" w:rsidRDefault="00896C5A">
      <w:pPr>
        <w:adjustRightInd w:val="0"/>
        <w:snapToGrid w:val="0"/>
        <w:spacing w:line="360" w:lineRule="auto"/>
        <w:jc w:val="center"/>
        <w:rPr>
          <w:rFonts w:ascii="黑体" w:hAnsi="黑体"/>
          <w:b/>
          <w:sz w:val="24"/>
        </w:rPr>
      </w:pPr>
    </w:p>
    <w:p w14:paraId="51B85E84" w14:textId="77777777" w:rsidR="00896C5A" w:rsidRPr="00E77CC9" w:rsidRDefault="00896C5A">
      <w:pPr>
        <w:adjustRightInd w:val="0"/>
        <w:snapToGrid w:val="0"/>
        <w:spacing w:line="360" w:lineRule="auto"/>
        <w:jc w:val="center"/>
        <w:rPr>
          <w:sz w:val="24"/>
        </w:rPr>
      </w:pPr>
    </w:p>
    <w:p w14:paraId="290EC027" w14:textId="77777777" w:rsidR="00896C5A" w:rsidRPr="00E77CC9" w:rsidRDefault="00896C5A">
      <w:pPr>
        <w:adjustRightInd w:val="0"/>
        <w:snapToGrid w:val="0"/>
        <w:spacing w:line="360" w:lineRule="auto"/>
        <w:jc w:val="center"/>
        <w:rPr>
          <w:sz w:val="24"/>
        </w:rPr>
      </w:pPr>
    </w:p>
    <w:p w14:paraId="35EE559C" w14:textId="77777777" w:rsidR="00896C5A" w:rsidRPr="00E77CC9" w:rsidRDefault="00896C5A">
      <w:pPr>
        <w:adjustRightInd w:val="0"/>
        <w:snapToGrid w:val="0"/>
        <w:spacing w:line="360" w:lineRule="auto"/>
        <w:jc w:val="center"/>
        <w:rPr>
          <w:sz w:val="24"/>
        </w:rPr>
      </w:pPr>
    </w:p>
    <w:p w14:paraId="1357196A" w14:textId="77777777" w:rsidR="00896C5A" w:rsidRPr="00E77CC9" w:rsidRDefault="00896C5A">
      <w:pPr>
        <w:adjustRightInd w:val="0"/>
        <w:snapToGrid w:val="0"/>
        <w:spacing w:line="360" w:lineRule="auto"/>
        <w:jc w:val="center"/>
        <w:rPr>
          <w:sz w:val="24"/>
        </w:rPr>
      </w:pPr>
    </w:p>
    <w:p w14:paraId="0F76C5E3" w14:textId="77777777" w:rsidR="00896C5A" w:rsidRPr="00E77CC9" w:rsidRDefault="00896C5A">
      <w:pPr>
        <w:adjustRightInd w:val="0"/>
        <w:snapToGrid w:val="0"/>
        <w:spacing w:line="360" w:lineRule="auto"/>
        <w:jc w:val="center"/>
        <w:rPr>
          <w:sz w:val="24"/>
        </w:rPr>
      </w:pPr>
    </w:p>
    <w:p w14:paraId="5A9248CA" w14:textId="77777777" w:rsidR="00101B49" w:rsidRPr="00E77CC9" w:rsidRDefault="00101B49" w:rsidP="00E77CC9">
      <w:pPr>
        <w:adjustRightInd w:val="0"/>
        <w:snapToGrid w:val="0"/>
        <w:spacing w:line="360" w:lineRule="auto"/>
        <w:rPr>
          <w:sz w:val="24"/>
        </w:rPr>
      </w:pPr>
    </w:p>
    <w:p w14:paraId="38FF577B" w14:textId="77777777" w:rsidR="00896C5A" w:rsidRPr="00E77CC9" w:rsidRDefault="00896C5A">
      <w:pPr>
        <w:adjustRightInd w:val="0"/>
        <w:snapToGrid w:val="0"/>
        <w:spacing w:line="360" w:lineRule="auto"/>
        <w:jc w:val="center"/>
        <w:rPr>
          <w:sz w:val="24"/>
        </w:rPr>
      </w:pPr>
    </w:p>
    <w:p w14:paraId="36CBEB51" w14:textId="77777777" w:rsidR="00896C5A" w:rsidRPr="00E77CC9" w:rsidRDefault="00896C5A">
      <w:pPr>
        <w:adjustRightInd w:val="0"/>
        <w:snapToGrid w:val="0"/>
        <w:spacing w:line="360" w:lineRule="auto"/>
        <w:jc w:val="center"/>
        <w:rPr>
          <w:sz w:val="24"/>
        </w:rPr>
      </w:pPr>
    </w:p>
    <w:p w14:paraId="480F4FE7" w14:textId="77777777" w:rsidR="00101B49" w:rsidRPr="00E77CC9" w:rsidRDefault="00101B49" w:rsidP="00E77CC9">
      <w:pPr>
        <w:adjustRightInd w:val="0"/>
        <w:snapToGrid w:val="0"/>
        <w:spacing w:line="360" w:lineRule="auto"/>
        <w:rPr>
          <w:sz w:val="24"/>
        </w:rPr>
      </w:pPr>
    </w:p>
    <w:p w14:paraId="0E7923B8" w14:textId="2EB180C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585BF24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5A6B7778" w14:textId="77777777" w:rsidR="00101B49" w:rsidRDefault="00101B49" w:rsidP="00E77CC9">
      <w:pPr>
        <w:adjustRightInd w:val="0"/>
        <w:snapToGrid w:val="0"/>
        <w:spacing w:line="360" w:lineRule="auto"/>
        <w:ind w:firstLineChars="1075" w:firstLine="2258"/>
      </w:pPr>
    </w:p>
    <w:p w14:paraId="2DAAD74F" w14:textId="76FEA1B4" w:rsidR="00206B78" w:rsidRDefault="00CB21C1">
      <w:pPr>
        <w:adjustRightInd w:val="0"/>
        <w:snapToGrid w:val="0"/>
        <w:spacing w:line="360" w:lineRule="auto"/>
        <w:jc w:val="center"/>
        <w:rPr>
          <w:rFonts w:ascii="黑体" w:hAnsi="黑体"/>
          <w:sz w:val="30"/>
        </w:rPr>
      </w:pPr>
      <w:bookmarkStart w:id="3" w:name="CTS_39ec1e75e7804ff895f391e358c7f8d2"/>
      <w:bookmarkStart w:id="4" w:name="CLAUSE_39ec1e75e7804ff895f391e358c7f8d2"/>
      <w:bookmarkEnd w:id="1"/>
      <w:bookmarkEnd w:id="3"/>
      <w:r w:rsidRPr="00372795">
        <w:rPr>
          <w:rFonts w:ascii="黑体" w:hAnsi="黑体" w:hint="eastAsia"/>
          <w:sz w:val="30"/>
        </w:rPr>
        <w:t>二零</w:t>
      </w:r>
      <w:r>
        <w:rPr>
          <w:rFonts w:ascii="黑体" w:hAnsi="黑体" w:hint="eastAsia"/>
          <w:sz w:val="30"/>
        </w:rPr>
        <w:t>二零</w:t>
      </w:r>
      <w:r w:rsidRPr="00372795">
        <w:rPr>
          <w:rFonts w:ascii="黑体" w:hAnsi="黑体" w:hint="eastAsia"/>
          <w:sz w:val="30"/>
        </w:rPr>
        <w:t>年</w:t>
      </w:r>
      <w:r w:rsidR="008B3C60">
        <w:rPr>
          <w:rFonts w:ascii="黑体" w:hAnsi="黑体" w:hint="eastAsia"/>
          <w:sz w:val="30"/>
        </w:rPr>
        <w:t>八</w:t>
      </w:r>
      <w:bookmarkStart w:id="5" w:name="_GoBack"/>
      <w:bookmarkEnd w:id="5"/>
      <w:r w:rsidRPr="00372795">
        <w:rPr>
          <w:rFonts w:ascii="黑体" w:hAnsi="黑体" w:hint="eastAsia"/>
          <w:sz w:val="30"/>
        </w:rPr>
        <w:t>月</w:t>
      </w:r>
    </w:p>
    <w:p w14:paraId="0E12BA9C" w14:textId="77777777" w:rsidR="00896C5A" w:rsidRPr="00456F57" w:rsidRDefault="00896C5A">
      <w:pPr>
        <w:adjustRightInd w:val="0"/>
        <w:snapToGrid w:val="0"/>
        <w:spacing w:line="360" w:lineRule="auto"/>
        <w:jc w:val="center"/>
        <w:rPr>
          <w:sz w:val="24"/>
        </w:rPr>
      </w:pPr>
    </w:p>
    <w:p w14:paraId="7F8D9C07" w14:textId="77777777" w:rsidR="00896C5A" w:rsidRDefault="00896C5A">
      <w:pPr>
        <w:adjustRightInd w:val="0"/>
        <w:snapToGrid w:val="0"/>
        <w:spacing w:line="360" w:lineRule="auto"/>
        <w:jc w:val="center"/>
        <w:rPr>
          <w:sz w:val="24"/>
        </w:rPr>
      </w:pPr>
    </w:p>
    <w:p w14:paraId="76A7C2EF" w14:textId="77777777" w:rsidR="00411479" w:rsidRDefault="00411479">
      <w:pPr>
        <w:adjustRightInd w:val="0"/>
        <w:snapToGrid w:val="0"/>
        <w:spacing w:line="360" w:lineRule="auto"/>
        <w:jc w:val="center"/>
        <w:rPr>
          <w:sz w:val="24"/>
        </w:rPr>
      </w:pPr>
    </w:p>
    <w:p w14:paraId="1CEE378C" w14:textId="77777777" w:rsidR="00411479" w:rsidRDefault="00411479">
      <w:pPr>
        <w:adjustRightInd w:val="0"/>
        <w:snapToGrid w:val="0"/>
        <w:spacing w:line="360" w:lineRule="auto"/>
        <w:jc w:val="center"/>
        <w:rPr>
          <w:sz w:val="24"/>
        </w:rPr>
      </w:pPr>
    </w:p>
    <w:p w14:paraId="79D5BEE9" w14:textId="77777777" w:rsidR="00411479" w:rsidRDefault="00411479">
      <w:pPr>
        <w:adjustRightInd w:val="0"/>
        <w:snapToGrid w:val="0"/>
        <w:spacing w:line="360" w:lineRule="auto"/>
        <w:jc w:val="center"/>
        <w:rPr>
          <w:sz w:val="24"/>
        </w:rPr>
      </w:pPr>
    </w:p>
    <w:p w14:paraId="1809F4AC" w14:textId="77777777" w:rsidR="00411479" w:rsidRPr="00456F57" w:rsidRDefault="00411479">
      <w:pPr>
        <w:adjustRightInd w:val="0"/>
        <w:snapToGrid w:val="0"/>
        <w:spacing w:line="360" w:lineRule="auto"/>
        <w:jc w:val="center"/>
        <w:rPr>
          <w:sz w:val="24"/>
        </w:rPr>
      </w:pPr>
    </w:p>
    <w:p w14:paraId="50FC200F" w14:textId="77777777" w:rsidR="00896C5A" w:rsidRPr="00E77CC9" w:rsidRDefault="00896C5A">
      <w:pPr>
        <w:adjustRightInd w:val="0"/>
        <w:snapToGrid w:val="0"/>
        <w:spacing w:line="360" w:lineRule="auto"/>
        <w:rPr>
          <w:sz w:val="24"/>
        </w:rPr>
      </w:pPr>
    </w:p>
    <w:p w14:paraId="7366B46A" w14:textId="77777777"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462445F6" w14:textId="55212473" w:rsidR="00101B49" w:rsidRPr="00E77CC9" w:rsidRDefault="00101B49" w:rsidP="00BA1FCF">
      <w:pPr>
        <w:pStyle w:val="TOC2"/>
        <w:tabs>
          <w:tab w:val="right" w:leader="dot" w:pos="8494"/>
        </w:tabs>
        <w:spacing w:line="360" w:lineRule="auto"/>
        <w:rPr>
          <w:rFonts w:asciiTheme="minorHAnsi" w:hAnsiTheme="minorHAnsi"/>
          <w:noProof/>
        </w:rPr>
      </w:pPr>
      <w:r w:rsidRPr="00E77CC9">
        <w:fldChar w:fldCharType="begin"/>
      </w:r>
      <w:r w:rsidRPr="00E77CC9">
        <w:instrText xml:space="preserve"> TOC \o "1-2" \h \z </w:instrText>
      </w:r>
      <w:r w:rsidRPr="00E77CC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C65000">
          <w:rPr>
            <w:noProof/>
            <w:webHidden/>
          </w:rPr>
          <w:t>4</w:t>
        </w:r>
        <w:r>
          <w:rPr>
            <w:noProof/>
            <w:webHidden/>
          </w:rPr>
          <w:fldChar w:fldCharType="end"/>
        </w:r>
      </w:hyperlink>
    </w:p>
    <w:p w14:paraId="789CC727" w14:textId="0F80C530" w:rsidR="00101B49" w:rsidRPr="00E77CC9" w:rsidRDefault="004C137B" w:rsidP="00BA1FCF">
      <w:pPr>
        <w:pStyle w:val="TOC2"/>
        <w:tabs>
          <w:tab w:val="right" w:leader="dot" w:pos="8494"/>
        </w:tabs>
        <w:spacing w:line="360" w:lineRule="auto"/>
        <w:rPr>
          <w:rFonts w:asciiTheme="minorHAnsi" w:hAnsiTheme="minorHAnsi"/>
          <w:noProof/>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101B49">
          <w:rPr>
            <w:noProof/>
            <w:webHidden/>
          </w:rPr>
          <w:fldChar w:fldCharType="begin"/>
        </w:r>
        <w:r w:rsidR="00CC30EC">
          <w:rPr>
            <w:noProof/>
            <w:webHidden/>
          </w:rPr>
          <w:instrText xml:space="preserve"> PAGEREF _Toc488938611 \h </w:instrText>
        </w:r>
        <w:r w:rsidR="00101B49">
          <w:rPr>
            <w:noProof/>
            <w:webHidden/>
          </w:rPr>
        </w:r>
        <w:r w:rsidR="00101B49">
          <w:rPr>
            <w:noProof/>
            <w:webHidden/>
          </w:rPr>
          <w:fldChar w:fldCharType="separate"/>
        </w:r>
        <w:r w:rsidR="00C65000">
          <w:rPr>
            <w:noProof/>
            <w:webHidden/>
          </w:rPr>
          <w:t>5</w:t>
        </w:r>
        <w:r w:rsidR="00101B49">
          <w:rPr>
            <w:noProof/>
            <w:webHidden/>
          </w:rPr>
          <w:fldChar w:fldCharType="end"/>
        </w:r>
      </w:hyperlink>
    </w:p>
    <w:p w14:paraId="31912CBD" w14:textId="06F0283F" w:rsidR="00101B49" w:rsidRPr="00E77CC9" w:rsidRDefault="004C137B" w:rsidP="00BA1FCF">
      <w:pPr>
        <w:pStyle w:val="TOC2"/>
        <w:tabs>
          <w:tab w:val="right" w:leader="dot" w:pos="8494"/>
        </w:tabs>
        <w:spacing w:line="360" w:lineRule="auto"/>
        <w:rPr>
          <w:rFonts w:asciiTheme="minorHAnsi" w:hAnsiTheme="minorHAnsi"/>
          <w:noProof/>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101B49">
          <w:rPr>
            <w:noProof/>
            <w:webHidden/>
          </w:rPr>
          <w:fldChar w:fldCharType="begin"/>
        </w:r>
        <w:r w:rsidR="00CC30EC">
          <w:rPr>
            <w:noProof/>
            <w:webHidden/>
          </w:rPr>
          <w:instrText xml:space="preserve"> PAGEREF _Toc488938612 \h </w:instrText>
        </w:r>
        <w:r w:rsidR="00101B49">
          <w:rPr>
            <w:noProof/>
            <w:webHidden/>
          </w:rPr>
        </w:r>
        <w:r w:rsidR="00101B49">
          <w:rPr>
            <w:noProof/>
            <w:webHidden/>
          </w:rPr>
          <w:fldChar w:fldCharType="separate"/>
        </w:r>
        <w:r w:rsidR="00C65000">
          <w:rPr>
            <w:noProof/>
            <w:webHidden/>
          </w:rPr>
          <w:t>6</w:t>
        </w:r>
        <w:r w:rsidR="00101B49">
          <w:rPr>
            <w:noProof/>
            <w:webHidden/>
          </w:rPr>
          <w:fldChar w:fldCharType="end"/>
        </w:r>
      </w:hyperlink>
    </w:p>
    <w:p w14:paraId="296E1505" w14:textId="6424C50D" w:rsidR="00101B49" w:rsidRPr="00E77CC9" w:rsidRDefault="004C137B" w:rsidP="00E77CC9">
      <w:pPr>
        <w:pStyle w:val="TOC2"/>
        <w:tabs>
          <w:tab w:val="right" w:leader="dot" w:pos="8494"/>
        </w:tabs>
        <w:spacing w:line="360" w:lineRule="auto"/>
        <w:rPr>
          <w:rFonts w:asciiTheme="minorHAnsi" w:hAnsiTheme="minorHAnsi"/>
          <w:noProof/>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101B49">
          <w:rPr>
            <w:noProof/>
            <w:webHidden/>
          </w:rPr>
          <w:fldChar w:fldCharType="begin"/>
        </w:r>
        <w:r w:rsidR="00CC30EC">
          <w:rPr>
            <w:noProof/>
            <w:webHidden/>
          </w:rPr>
          <w:instrText xml:space="preserve"> PAGEREF _Toc488938613 \h </w:instrText>
        </w:r>
        <w:r w:rsidR="00101B49">
          <w:rPr>
            <w:noProof/>
            <w:webHidden/>
          </w:rPr>
        </w:r>
        <w:r w:rsidR="00101B49">
          <w:rPr>
            <w:noProof/>
            <w:webHidden/>
          </w:rPr>
          <w:fldChar w:fldCharType="separate"/>
        </w:r>
        <w:r w:rsidR="00C65000">
          <w:rPr>
            <w:noProof/>
            <w:webHidden/>
          </w:rPr>
          <w:t>17</w:t>
        </w:r>
        <w:r w:rsidR="00101B49">
          <w:rPr>
            <w:noProof/>
            <w:webHidden/>
          </w:rPr>
          <w:fldChar w:fldCharType="end"/>
        </w:r>
      </w:hyperlink>
    </w:p>
    <w:p w14:paraId="7F2929CB" w14:textId="11AD58C3" w:rsidR="00101B49" w:rsidRPr="00E77CC9" w:rsidRDefault="004C137B" w:rsidP="00E77CC9">
      <w:pPr>
        <w:pStyle w:val="TOC2"/>
        <w:tabs>
          <w:tab w:val="right" w:leader="dot" w:pos="8494"/>
        </w:tabs>
        <w:spacing w:line="360" w:lineRule="auto"/>
        <w:rPr>
          <w:rFonts w:asciiTheme="minorHAnsi" w:hAnsiTheme="minorHAnsi"/>
          <w:noProof/>
        </w:rPr>
      </w:pPr>
      <w:hyperlink w:anchor="_Toc488938614" w:history="1">
        <w:r w:rsidR="00CC30EC" w:rsidRPr="003E701A">
          <w:rPr>
            <w:rStyle w:val="af5"/>
            <w:rFonts w:ascii="宋体" w:hAnsi="宋体" w:hint="eastAsia"/>
            <w:noProof/>
          </w:rPr>
          <w:t>五、基金财产的保</w:t>
        </w:r>
        <w:bookmarkStart w:id="6" w:name="_Hlt433117871"/>
        <w:bookmarkStart w:id="7" w:name="_Hlt433117872"/>
        <w:r w:rsidR="00CC30EC" w:rsidRPr="003E701A">
          <w:rPr>
            <w:rStyle w:val="af5"/>
            <w:rFonts w:ascii="宋体" w:hAnsi="宋体" w:hint="eastAsia"/>
            <w:noProof/>
          </w:rPr>
          <w:t>管</w:t>
        </w:r>
        <w:bookmarkEnd w:id="6"/>
        <w:bookmarkEnd w:id="7"/>
        <w:r w:rsidR="00CC30EC">
          <w:rPr>
            <w:noProof/>
            <w:webHidden/>
          </w:rPr>
          <w:tab/>
        </w:r>
        <w:r w:rsidR="00101B49">
          <w:rPr>
            <w:noProof/>
            <w:webHidden/>
          </w:rPr>
          <w:fldChar w:fldCharType="begin"/>
        </w:r>
        <w:r w:rsidR="00CC30EC">
          <w:rPr>
            <w:noProof/>
            <w:webHidden/>
          </w:rPr>
          <w:instrText xml:space="preserve"> PAGEREF _Toc488938614 \h </w:instrText>
        </w:r>
        <w:r w:rsidR="00101B49">
          <w:rPr>
            <w:noProof/>
            <w:webHidden/>
          </w:rPr>
        </w:r>
        <w:r w:rsidR="00101B49">
          <w:rPr>
            <w:noProof/>
            <w:webHidden/>
          </w:rPr>
          <w:fldChar w:fldCharType="separate"/>
        </w:r>
        <w:r w:rsidR="00C65000">
          <w:rPr>
            <w:noProof/>
            <w:webHidden/>
          </w:rPr>
          <w:t>18</w:t>
        </w:r>
        <w:r w:rsidR="00101B49">
          <w:rPr>
            <w:noProof/>
            <w:webHidden/>
          </w:rPr>
          <w:fldChar w:fldCharType="end"/>
        </w:r>
      </w:hyperlink>
    </w:p>
    <w:p w14:paraId="69354DCD" w14:textId="53F3BCEB" w:rsidR="00101B49" w:rsidRPr="00E77CC9" w:rsidRDefault="004C137B" w:rsidP="00E77CC9">
      <w:pPr>
        <w:pStyle w:val="TOC2"/>
        <w:tabs>
          <w:tab w:val="right" w:leader="dot" w:pos="8494"/>
        </w:tabs>
        <w:spacing w:line="360" w:lineRule="auto"/>
        <w:rPr>
          <w:rFonts w:asciiTheme="minorHAnsi" w:hAnsiTheme="minorHAnsi"/>
          <w:noProof/>
        </w:rPr>
      </w:pPr>
      <w:hyperlink w:anchor="_Toc488938615" w:history="1">
        <w:r w:rsidR="00CC30EC" w:rsidRPr="003E701A">
          <w:rPr>
            <w:rStyle w:val="af5"/>
            <w:rFonts w:ascii="宋体" w:hAnsi="宋体" w:hint="eastAsia"/>
            <w:noProof/>
          </w:rPr>
          <w:t>六、指令的发送、确认及执行</w:t>
        </w:r>
        <w:r w:rsidR="00CC30EC">
          <w:rPr>
            <w:noProof/>
            <w:webHidden/>
          </w:rPr>
          <w:tab/>
        </w:r>
        <w:r w:rsidR="00101B49">
          <w:rPr>
            <w:noProof/>
            <w:webHidden/>
          </w:rPr>
          <w:fldChar w:fldCharType="begin"/>
        </w:r>
        <w:r w:rsidR="00CC30EC">
          <w:rPr>
            <w:noProof/>
            <w:webHidden/>
          </w:rPr>
          <w:instrText xml:space="preserve"> PAGEREF _Toc488938615 \h </w:instrText>
        </w:r>
        <w:r w:rsidR="00101B49">
          <w:rPr>
            <w:noProof/>
            <w:webHidden/>
          </w:rPr>
        </w:r>
        <w:r w:rsidR="00101B49">
          <w:rPr>
            <w:noProof/>
            <w:webHidden/>
          </w:rPr>
          <w:fldChar w:fldCharType="separate"/>
        </w:r>
        <w:r w:rsidR="00C65000">
          <w:rPr>
            <w:noProof/>
            <w:webHidden/>
          </w:rPr>
          <w:t>22</w:t>
        </w:r>
        <w:r w:rsidR="00101B49">
          <w:rPr>
            <w:noProof/>
            <w:webHidden/>
          </w:rPr>
          <w:fldChar w:fldCharType="end"/>
        </w:r>
      </w:hyperlink>
    </w:p>
    <w:p w14:paraId="3CF69175" w14:textId="7D10AA7F" w:rsidR="00101B49" w:rsidRPr="00E77CC9" w:rsidRDefault="004C137B" w:rsidP="00E77CC9">
      <w:pPr>
        <w:pStyle w:val="TOC2"/>
        <w:tabs>
          <w:tab w:val="right" w:leader="dot" w:pos="8494"/>
        </w:tabs>
        <w:spacing w:line="360" w:lineRule="auto"/>
        <w:rPr>
          <w:rFonts w:asciiTheme="minorHAnsi" w:hAnsiTheme="minorHAnsi"/>
          <w:noProof/>
        </w:rPr>
      </w:pPr>
      <w:hyperlink w:anchor="_Toc488938616" w:history="1">
        <w:r w:rsidR="00CC30EC" w:rsidRPr="003E701A">
          <w:rPr>
            <w:rStyle w:val="af5"/>
            <w:rFonts w:ascii="宋体" w:hAnsi="宋体" w:hint="eastAsia"/>
            <w:noProof/>
          </w:rPr>
          <w:t>七、交易及清算交收安排</w:t>
        </w:r>
        <w:r w:rsidR="00CC30EC">
          <w:rPr>
            <w:noProof/>
            <w:webHidden/>
          </w:rPr>
          <w:tab/>
        </w:r>
        <w:r w:rsidR="00101B49">
          <w:rPr>
            <w:noProof/>
            <w:webHidden/>
          </w:rPr>
          <w:fldChar w:fldCharType="begin"/>
        </w:r>
        <w:r w:rsidR="00CC30EC">
          <w:rPr>
            <w:noProof/>
            <w:webHidden/>
          </w:rPr>
          <w:instrText xml:space="preserve"> PAGEREF _Toc488938616 \h </w:instrText>
        </w:r>
        <w:r w:rsidR="00101B49">
          <w:rPr>
            <w:noProof/>
            <w:webHidden/>
          </w:rPr>
        </w:r>
        <w:r w:rsidR="00101B49">
          <w:rPr>
            <w:noProof/>
            <w:webHidden/>
          </w:rPr>
          <w:fldChar w:fldCharType="separate"/>
        </w:r>
        <w:r w:rsidR="00C65000">
          <w:rPr>
            <w:noProof/>
            <w:webHidden/>
          </w:rPr>
          <w:t>27</w:t>
        </w:r>
        <w:r w:rsidR="00101B49">
          <w:rPr>
            <w:noProof/>
            <w:webHidden/>
          </w:rPr>
          <w:fldChar w:fldCharType="end"/>
        </w:r>
      </w:hyperlink>
    </w:p>
    <w:p w14:paraId="5A370321" w14:textId="7B3D09F9" w:rsidR="00101B49" w:rsidRPr="00E77CC9" w:rsidRDefault="004C137B" w:rsidP="00E77CC9">
      <w:pPr>
        <w:pStyle w:val="TOC2"/>
        <w:tabs>
          <w:tab w:val="right" w:leader="dot" w:pos="8494"/>
        </w:tabs>
        <w:spacing w:line="360" w:lineRule="auto"/>
        <w:rPr>
          <w:rFonts w:asciiTheme="minorHAnsi" w:hAnsiTheme="minorHAnsi"/>
          <w:noProof/>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101B49">
          <w:rPr>
            <w:noProof/>
            <w:webHidden/>
          </w:rPr>
          <w:fldChar w:fldCharType="begin"/>
        </w:r>
        <w:r w:rsidR="00CC30EC">
          <w:rPr>
            <w:noProof/>
            <w:webHidden/>
          </w:rPr>
          <w:instrText xml:space="preserve"> PAGEREF _Toc488938617 \h </w:instrText>
        </w:r>
        <w:r w:rsidR="00101B49">
          <w:rPr>
            <w:noProof/>
            <w:webHidden/>
          </w:rPr>
        </w:r>
        <w:r w:rsidR="00101B49">
          <w:rPr>
            <w:noProof/>
            <w:webHidden/>
          </w:rPr>
          <w:fldChar w:fldCharType="separate"/>
        </w:r>
        <w:r w:rsidR="00C65000">
          <w:rPr>
            <w:noProof/>
            <w:webHidden/>
          </w:rPr>
          <w:t>30</w:t>
        </w:r>
        <w:r w:rsidR="00101B49">
          <w:rPr>
            <w:noProof/>
            <w:webHidden/>
          </w:rPr>
          <w:fldChar w:fldCharType="end"/>
        </w:r>
      </w:hyperlink>
    </w:p>
    <w:p w14:paraId="0B7FE9B9" w14:textId="1EA482B8" w:rsidR="00101B49" w:rsidRPr="00E77CC9" w:rsidRDefault="004C137B" w:rsidP="00E77CC9">
      <w:pPr>
        <w:pStyle w:val="TOC2"/>
        <w:tabs>
          <w:tab w:val="right" w:leader="dot" w:pos="8494"/>
        </w:tabs>
        <w:spacing w:line="360" w:lineRule="auto"/>
        <w:rPr>
          <w:rFonts w:asciiTheme="minorHAnsi" w:hAnsiTheme="minorHAnsi"/>
          <w:noProof/>
        </w:rPr>
      </w:pPr>
      <w:hyperlink w:anchor="_Toc488938618" w:history="1">
        <w:r w:rsidR="00CC30EC" w:rsidRPr="003E701A">
          <w:rPr>
            <w:rStyle w:val="af5"/>
            <w:rFonts w:ascii="宋体" w:hAnsi="宋体" w:hint="eastAsia"/>
            <w:noProof/>
          </w:rPr>
          <w:t>九、基金收益分配</w:t>
        </w:r>
        <w:r w:rsidR="00CC30EC">
          <w:rPr>
            <w:noProof/>
            <w:webHidden/>
          </w:rPr>
          <w:tab/>
        </w:r>
        <w:r w:rsidR="00101B49">
          <w:rPr>
            <w:noProof/>
            <w:webHidden/>
          </w:rPr>
          <w:fldChar w:fldCharType="begin"/>
        </w:r>
        <w:r w:rsidR="00CC30EC">
          <w:rPr>
            <w:noProof/>
            <w:webHidden/>
          </w:rPr>
          <w:instrText xml:space="preserve"> PAGEREF _Toc488938618 \h </w:instrText>
        </w:r>
        <w:r w:rsidR="00101B49">
          <w:rPr>
            <w:noProof/>
            <w:webHidden/>
          </w:rPr>
        </w:r>
        <w:r w:rsidR="00101B49">
          <w:rPr>
            <w:noProof/>
            <w:webHidden/>
          </w:rPr>
          <w:fldChar w:fldCharType="separate"/>
        </w:r>
        <w:r w:rsidR="00C65000">
          <w:rPr>
            <w:noProof/>
            <w:webHidden/>
          </w:rPr>
          <w:t>32</w:t>
        </w:r>
        <w:r w:rsidR="00101B49">
          <w:rPr>
            <w:noProof/>
            <w:webHidden/>
          </w:rPr>
          <w:fldChar w:fldCharType="end"/>
        </w:r>
      </w:hyperlink>
    </w:p>
    <w:p w14:paraId="453624CA" w14:textId="6EE4080C" w:rsidR="00101B49" w:rsidRPr="00E77CC9" w:rsidRDefault="004C137B" w:rsidP="00E77CC9">
      <w:pPr>
        <w:pStyle w:val="TOC2"/>
        <w:tabs>
          <w:tab w:val="right" w:leader="dot" w:pos="8494"/>
        </w:tabs>
        <w:spacing w:line="360" w:lineRule="auto"/>
        <w:rPr>
          <w:rFonts w:asciiTheme="minorHAnsi" w:hAnsiTheme="minorHAnsi"/>
          <w:noProof/>
        </w:rPr>
      </w:pPr>
      <w:hyperlink w:anchor="_Toc488938619" w:history="1">
        <w:r w:rsidR="00CC30EC" w:rsidRPr="003E701A">
          <w:rPr>
            <w:rStyle w:val="af5"/>
            <w:rFonts w:ascii="宋体" w:hAnsi="宋体" w:hint="eastAsia"/>
            <w:noProof/>
          </w:rPr>
          <w:t>十、基金信息披露</w:t>
        </w:r>
        <w:r w:rsidR="00CC30EC">
          <w:rPr>
            <w:noProof/>
            <w:webHidden/>
          </w:rPr>
          <w:tab/>
        </w:r>
        <w:r w:rsidR="00101B49">
          <w:rPr>
            <w:noProof/>
            <w:webHidden/>
          </w:rPr>
          <w:fldChar w:fldCharType="begin"/>
        </w:r>
        <w:r w:rsidR="00CC30EC">
          <w:rPr>
            <w:noProof/>
            <w:webHidden/>
          </w:rPr>
          <w:instrText xml:space="preserve"> PAGEREF _Toc488938619 \h </w:instrText>
        </w:r>
        <w:r w:rsidR="00101B49">
          <w:rPr>
            <w:noProof/>
            <w:webHidden/>
          </w:rPr>
        </w:r>
        <w:r w:rsidR="00101B49">
          <w:rPr>
            <w:noProof/>
            <w:webHidden/>
          </w:rPr>
          <w:fldChar w:fldCharType="separate"/>
        </w:r>
        <w:r w:rsidR="00C65000">
          <w:rPr>
            <w:noProof/>
            <w:webHidden/>
          </w:rPr>
          <w:t>33</w:t>
        </w:r>
        <w:r w:rsidR="00101B49">
          <w:rPr>
            <w:noProof/>
            <w:webHidden/>
          </w:rPr>
          <w:fldChar w:fldCharType="end"/>
        </w:r>
      </w:hyperlink>
    </w:p>
    <w:p w14:paraId="492E3745" w14:textId="639F6A8D" w:rsidR="00101B49" w:rsidRPr="00E77CC9" w:rsidRDefault="004C137B" w:rsidP="00E77CC9">
      <w:pPr>
        <w:pStyle w:val="TOC2"/>
        <w:tabs>
          <w:tab w:val="right" w:leader="dot" w:pos="8494"/>
        </w:tabs>
        <w:spacing w:line="360" w:lineRule="auto"/>
        <w:rPr>
          <w:rFonts w:asciiTheme="minorHAnsi" w:hAnsiTheme="minorHAnsi"/>
          <w:noProof/>
        </w:rPr>
      </w:pPr>
      <w:hyperlink w:anchor="_Toc488938620" w:history="1">
        <w:r w:rsidR="00CC30EC" w:rsidRPr="003E701A">
          <w:rPr>
            <w:rStyle w:val="af5"/>
            <w:rFonts w:ascii="宋体" w:hAnsi="宋体" w:hint="eastAsia"/>
            <w:noProof/>
          </w:rPr>
          <w:t>十一、基金费用</w:t>
        </w:r>
        <w:r w:rsidR="00CC30EC">
          <w:rPr>
            <w:noProof/>
            <w:webHidden/>
          </w:rPr>
          <w:tab/>
        </w:r>
        <w:r w:rsidR="00101B49">
          <w:rPr>
            <w:noProof/>
            <w:webHidden/>
          </w:rPr>
          <w:fldChar w:fldCharType="begin"/>
        </w:r>
        <w:r w:rsidR="00CC30EC">
          <w:rPr>
            <w:noProof/>
            <w:webHidden/>
          </w:rPr>
          <w:instrText xml:space="preserve"> PAGEREF _Toc488938620 \h </w:instrText>
        </w:r>
        <w:r w:rsidR="00101B49">
          <w:rPr>
            <w:noProof/>
            <w:webHidden/>
          </w:rPr>
        </w:r>
        <w:r w:rsidR="00101B49">
          <w:rPr>
            <w:noProof/>
            <w:webHidden/>
          </w:rPr>
          <w:fldChar w:fldCharType="separate"/>
        </w:r>
        <w:r w:rsidR="00C65000">
          <w:rPr>
            <w:noProof/>
            <w:webHidden/>
          </w:rPr>
          <w:t>35</w:t>
        </w:r>
        <w:r w:rsidR="00101B49">
          <w:rPr>
            <w:noProof/>
            <w:webHidden/>
          </w:rPr>
          <w:fldChar w:fldCharType="end"/>
        </w:r>
      </w:hyperlink>
    </w:p>
    <w:p w14:paraId="0D0B1C66" w14:textId="0B99CD2D" w:rsidR="00101B49" w:rsidRPr="00E77CC9" w:rsidRDefault="004C137B" w:rsidP="00E77CC9">
      <w:pPr>
        <w:pStyle w:val="TOC2"/>
        <w:tabs>
          <w:tab w:val="right" w:leader="dot" w:pos="8494"/>
        </w:tabs>
        <w:spacing w:line="360" w:lineRule="auto"/>
        <w:rPr>
          <w:rFonts w:asciiTheme="minorHAnsi" w:hAnsiTheme="minorHAnsi"/>
          <w:noProof/>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101B49">
          <w:rPr>
            <w:noProof/>
            <w:webHidden/>
          </w:rPr>
          <w:fldChar w:fldCharType="begin"/>
        </w:r>
        <w:r w:rsidR="00CC30EC">
          <w:rPr>
            <w:noProof/>
            <w:webHidden/>
          </w:rPr>
          <w:instrText xml:space="preserve"> PAGEREF _Toc488938621 \h </w:instrText>
        </w:r>
        <w:r w:rsidR="00101B49">
          <w:rPr>
            <w:noProof/>
            <w:webHidden/>
          </w:rPr>
        </w:r>
        <w:r w:rsidR="00101B49">
          <w:rPr>
            <w:noProof/>
            <w:webHidden/>
          </w:rPr>
          <w:fldChar w:fldCharType="separate"/>
        </w:r>
        <w:r w:rsidR="00C65000">
          <w:rPr>
            <w:noProof/>
            <w:webHidden/>
          </w:rPr>
          <w:t>36</w:t>
        </w:r>
        <w:r w:rsidR="00101B49">
          <w:rPr>
            <w:noProof/>
            <w:webHidden/>
          </w:rPr>
          <w:fldChar w:fldCharType="end"/>
        </w:r>
      </w:hyperlink>
    </w:p>
    <w:p w14:paraId="7E4D2FB8" w14:textId="0D22B016" w:rsidR="00101B49" w:rsidRPr="00E77CC9" w:rsidRDefault="004C137B" w:rsidP="00E77CC9">
      <w:pPr>
        <w:pStyle w:val="TOC2"/>
        <w:tabs>
          <w:tab w:val="right" w:leader="dot" w:pos="8494"/>
        </w:tabs>
        <w:spacing w:line="360" w:lineRule="auto"/>
        <w:rPr>
          <w:rFonts w:asciiTheme="minorHAnsi" w:hAnsiTheme="minorHAnsi"/>
          <w:noProof/>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101B49">
          <w:rPr>
            <w:noProof/>
            <w:webHidden/>
          </w:rPr>
          <w:fldChar w:fldCharType="begin"/>
        </w:r>
        <w:r w:rsidR="00CC30EC">
          <w:rPr>
            <w:noProof/>
            <w:webHidden/>
          </w:rPr>
          <w:instrText xml:space="preserve"> PAGEREF _Toc488938622 \h </w:instrText>
        </w:r>
        <w:r w:rsidR="00101B49">
          <w:rPr>
            <w:noProof/>
            <w:webHidden/>
          </w:rPr>
        </w:r>
        <w:r w:rsidR="00101B49">
          <w:rPr>
            <w:noProof/>
            <w:webHidden/>
          </w:rPr>
          <w:fldChar w:fldCharType="separate"/>
        </w:r>
        <w:r w:rsidR="00C65000">
          <w:rPr>
            <w:noProof/>
            <w:webHidden/>
          </w:rPr>
          <w:t>37</w:t>
        </w:r>
        <w:r w:rsidR="00101B49">
          <w:rPr>
            <w:noProof/>
            <w:webHidden/>
          </w:rPr>
          <w:fldChar w:fldCharType="end"/>
        </w:r>
      </w:hyperlink>
    </w:p>
    <w:p w14:paraId="722CAEA9" w14:textId="22D18BCA" w:rsidR="00101B49" w:rsidRPr="00E77CC9" w:rsidRDefault="004C137B" w:rsidP="00E77CC9">
      <w:pPr>
        <w:pStyle w:val="TOC2"/>
        <w:tabs>
          <w:tab w:val="right" w:leader="dot" w:pos="8494"/>
        </w:tabs>
        <w:spacing w:line="360" w:lineRule="auto"/>
        <w:rPr>
          <w:rFonts w:asciiTheme="minorHAnsi" w:hAnsiTheme="minorHAnsi"/>
          <w:noProof/>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101B49">
          <w:rPr>
            <w:noProof/>
            <w:webHidden/>
          </w:rPr>
          <w:fldChar w:fldCharType="begin"/>
        </w:r>
        <w:r w:rsidR="00CC30EC">
          <w:rPr>
            <w:noProof/>
            <w:webHidden/>
          </w:rPr>
          <w:instrText xml:space="preserve"> PAGEREF _Toc488938623 \h </w:instrText>
        </w:r>
        <w:r w:rsidR="00101B49">
          <w:rPr>
            <w:noProof/>
            <w:webHidden/>
          </w:rPr>
        </w:r>
        <w:r w:rsidR="00101B49">
          <w:rPr>
            <w:noProof/>
            <w:webHidden/>
          </w:rPr>
          <w:fldChar w:fldCharType="separate"/>
        </w:r>
        <w:r w:rsidR="00C65000">
          <w:rPr>
            <w:noProof/>
            <w:webHidden/>
          </w:rPr>
          <w:t>38</w:t>
        </w:r>
        <w:r w:rsidR="00101B49">
          <w:rPr>
            <w:noProof/>
            <w:webHidden/>
          </w:rPr>
          <w:fldChar w:fldCharType="end"/>
        </w:r>
      </w:hyperlink>
    </w:p>
    <w:p w14:paraId="37357D4F" w14:textId="5F381803" w:rsidR="00101B49" w:rsidRPr="00E77CC9" w:rsidRDefault="004C137B" w:rsidP="00E77CC9">
      <w:pPr>
        <w:pStyle w:val="TOC2"/>
        <w:tabs>
          <w:tab w:val="right" w:leader="dot" w:pos="8494"/>
        </w:tabs>
        <w:spacing w:line="360" w:lineRule="auto"/>
        <w:rPr>
          <w:rFonts w:asciiTheme="minorHAnsi" w:hAnsiTheme="minorHAnsi"/>
          <w:noProof/>
        </w:rPr>
      </w:pPr>
      <w:hyperlink w:anchor="_Toc488938624" w:history="1">
        <w:r w:rsidR="00CC30EC" w:rsidRPr="003E701A">
          <w:rPr>
            <w:rStyle w:val="af5"/>
            <w:rFonts w:ascii="宋体" w:hAnsi="宋体" w:hint="eastAsia"/>
            <w:noProof/>
          </w:rPr>
          <w:t>十五、禁止行为</w:t>
        </w:r>
        <w:r w:rsidR="00CC30EC">
          <w:rPr>
            <w:noProof/>
            <w:webHidden/>
          </w:rPr>
          <w:tab/>
        </w:r>
        <w:r w:rsidR="00101B49">
          <w:rPr>
            <w:noProof/>
            <w:webHidden/>
          </w:rPr>
          <w:fldChar w:fldCharType="begin"/>
        </w:r>
        <w:r w:rsidR="00CC30EC">
          <w:rPr>
            <w:noProof/>
            <w:webHidden/>
          </w:rPr>
          <w:instrText xml:space="preserve"> PAGEREF _Toc488938624 \h </w:instrText>
        </w:r>
        <w:r w:rsidR="00101B49">
          <w:rPr>
            <w:noProof/>
            <w:webHidden/>
          </w:rPr>
        </w:r>
        <w:r w:rsidR="00101B49">
          <w:rPr>
            <w:noProof/>
            <w:webHidden/>
          </w:rPr>
          <w:fldChar w:fldCharType="separate"/>
        </w:r>
        <w:r w:rsidR="00C65000">
          <w:rPr>
            <w:noProof/>
            <w:webHidden/>
          </w:rPr>
          <w:t>39</w:t>
        </w:r>
        <w:r w:rsidR="00101B49">
          <w:rPr>
            <w:noProof/>
            <w:webHidden/>
          </w:rPr>
          <w:fldChar w:fldCharType="end"/>
        </w:r>
      </w:hyperlink>
    </w:p>
    <w:p w14:paraId="1A15198A" w14:textId="47D6BDA6" w:rsidR="00101B49" w:rsidRPr="00E77CC9" w:rsidRDefault="004C137B" w:rsidP="00E77CC9">
      <w:pPr>
        <w:pStyle w:val="TOC2"/>
        <w:tabs>
          <w:tab w:val="right" w:leader="dot" w:pos="8494"/>
        </w:tabs>
        <w:spacing w:line="360" w:lineRule="auto"/>
        <w:rPr>
          <w:rFonts w:asciiTheme="minorHAnsi" w:hAnsiTheme="minorHAnsi"/>
          <w:noProof/>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101B49">
          <w:rPr>
            <w:noProof/>
            <w:webHidden/>
          </w:rPr>
          <w:fldChar w:fldCharType="begin"/>
        </w:r>
        <w:r w:rsidR="00CC30EC">
          <w:rPr>
            <w:noProof/>
            <w:webHidden/>
          </w:rPr>
          <w:instrText xml:space="preserve"> PAGEREF _Toc488938625 \h </w:instrText>
        </w:r>
        <w:r w:rsidR="00101B49">
          <w:rPr>
            <w:noProof/>
            <w:webHidden/>
          </w:rPr>
        </w:r>
        <w:r w:rsidR="00101B49">
          <w:rPr>
            <w:noProof/>
            <w:webHidden/>
          </w:rPr>
          <w:fldChar w:fldCharType="separate"/>
        </w:r>
        <w:r w:rsidR="00C65000">
          <w:rPr>
            <w:noProof/>
            <w:webHidden/>
          </w:rPr>
          <w:t>40</w:t>
        </w:r>
        <w:r w:rsidR="00101B49">
          <w:rPr>
            <w:noProof/>
            <w:webHidden/>
          </w:rPr>
          <w:fldChar w:fldCharType="end"/>
        </w:r>
      </w:hyperlink>
    </w:p>
    <w:p w14:paraId="368194CE" w14:textId="18BF0E50" w:rsidR="00101B49" w:rsidRPr="00E77CC9" w:rsidRDefault="004C137B" w:rsidP="00E77CC9">
      <w:pPr>
        <w:pStyle w:val="TOC2"/>
        <w:tabs>
          <w:tab w:val="right" w:leader="dot" w:pos="8494"/>
        </w:tabs>
        <w:spacing w:line="360" w:lineRule="auto"/>
        <w:rPr>
          <w:rFonts w:asciiTheme="minorHAnsi" w:hAnsiTheme="minorHAnsi"/>
          <w:noProof/>
        </w:rPr>
      </w:pPr>
      <w:hyperlink w:anchor="_Toc488938626" w:history="1">
        <w:r w:rsidR="00CC30EC" w:rsidRPr="003E701A">
          <w:rPr>
            <w:rStyle w:val="af5"/>
            <w:rFonts w:ascii="宋体" w:hAnsi="宋体" w:hint="eastAsia"/>
            <w:noProof/>
          </w:rPr>
          <w:t>十七、违约责任</w:t>
        </w:r>
        <w:r w:rsidR="00CC30EC">
          <w:rPr>
            <w:noProof/>
            <w:webHidden/>
          </w:rPr>
          <w:tab/>
        </w:r>
        <w:r w:rsidR="00101B49">
          <w:rPr>
            <w:noProof/>
            <w:webHidden/>
          </w:rPr>
          <w:fldChar w:fldCharType="begin"/>
        </w:r>
        <w:r w:rsidR="00CC30EC">
          <w:rPr>
            <w:noProof/>
            <w:webHidden/>
          </w:rPr>
          <w:instrText xml:space="preserve"> PAGEREF _Toc488938626 \h </w:instrText>
        </w:r>
        <w:r w:rsidR="00101B49">
          <w:rPr>
            <w:noProof/>
            <w:webHidden/>
          </w:rPr>
        </w:r>
        <w:r w:rsidR="00101B49">
          <w:rPr>
            <w:noProof/>
            <w:webHidden/>
          </w:rPr>
          <w:fldChar w:fldCharType="separate"/>
        </w:r>
        <w:r w:rsidR="00C65000">
          <w:rPr>
            <w:noProof/>
            <w:webHidden/>
          </w:rPr>
          <w:t>41</w:t>
        </w:r>
        <w:r w:rsidR="00101B49">
          <w:rPr>
            <w:noProof/>
            <w:webHidden/>
          </w:rPr>
          <w:fldChar w:fldCharType="end"/>
        </w:r>
      </w:hyperlink>
    </w:p>
    <w:p w14:paraId="24367C3A" w14:textId="62F35E1F" w:rsidR="00101B49" w:rsidRPr="00E77CC9" w:rsidRDefault="004C137B" w:rsidP="00E77CC9">
      <w:pPr>
        <w:pStyle w:val="TOC2"/>
        <w:tabs>
          <w:tab w:val="right" w:leader="dot" w:pos="8494"/>
        </w:tabs>
        <w:spacing w:line="360" w:lineRule="auto"/>
        <w:rPr>
          <w:rFonts w:asciiTheme="minorHAnsi" w:hAnsiTheme="minorHAnsi"/>
          <w:noProof/>
        </w:rPr>
      </w:pPr>
      <w:hyperlink w:anchor="_Toc488938627" w:history="1">
        <w:r w:rsidR="00CC30EC" w:rsidRPr="003E701A">
          <w:rPr>
            <w:rStyle w:val="af5"/>
            <w:rFonts w:ascii="宋体" w:hAnsi="宋体" w:hint="eastAsia"/>
            <w:noProof/>
          </w:rPr>
          <w:t>十八、争议解决方式</w:t>
        </w:r>
        <w:r w:rsidR="00CC30EC">
          <w:rPr>
            <w:noProof/>
            <w:webHidden/>
          </w:rPr>
          <w:tab/>
        </w:r>
        <w:r w:rsidR="00101B49">
          <w:rPr>
            <w:noProof/>
            <w:webHidden/>
          </w:rPr>
          <w:fldChar w:fldCharType="begin"/>
        </w:r>
        <w:r w:rsidR="00CC30EC">
          <w:rPr>
            <w:noProof/>
            <w:webHidden/>
          </w:rPr>
          <w:instrText xml:space="preserve"> PAGEREF _Toc488938627 \h </w:instrText>
        </w:r>
        <w:r w:rsidR="00101B49">
          <w:rPr>
            <w:noProof/>
            <w:webHidden/>
          </w:rPr>
        </w:r>
        <w:r w:rsidR="00101B49">
          <w:rPr>
            <w:noProof/>
            <w:webHidden/>
          </w:rPr>
          <w:fldChar w:fldCharType="separate"/>
        </w:r>
        <w:r w:rsidR="00C65000">
          <w:rPr>
            <w:noProof/>
            <w:webHidden/>
          </w:rPr>
          <w:t>42</w:t>
        </w:r>
        <w:r w:rsidR="00101B49">
          <w:rPr>
            <w:noProof/>
            <w:webHidden/>
          </w:rPr>
          <w:fldChar w:fldCharType="end"/>
        </w:r>
      </w:hyperlink>
    </w:p>
    <w:p w14:paraId="59488B4B" w14:textId="0C718B3B" w:rsidR="00101B49" w:rsidRPr="00E77CC9" w:rsidRDefault="004C137B" w:rsidP="00E77CC9">
      <w:pPr>
        <w:pStyle w:val="TOC2"/>
        <w:tabs>
          <w:tab w:val="right" w:leader="dot" w:pos="8494"/>
        </w:tabs>
        <w:spacing w:line="360" w:lineRule="auto"/>
        <w:rPr>
          <w:rFonts w:asciiTheme="minorHAnsi" w:hAnsiTheme="minorHAnsi"/>
          <w:noProof/>
        </w:rPr>
      </w:pPr>
      <w:hyperlink w:anchor="_Toc488938628" w:history="1">
        <w:r w:rsidR="00CC30EC" w:rsidRPr="003E701A">
          <w:rPr>
            <w:rStyle w:val="af5"/>
            <w:rFonts w:ascii="宋体" w:hAnsi="宋体" w:hint="eastAsia"/>
            <w:noProof/>
          </w:rPr>
          <w:t>十九、托管协议的效力</w:t>
        </w:r>
        <w:r w:rsidR="00CC30EC">
          <w:rPr>
            <w:noProof/>
            <w:webHidden/>
          </w:rPr>
          <w:tab/>
        </w:r>
        <w:r w:rsidR="00101B49">
          <w:rPr>
            <w:noProof/>
            <w:webHidden/>
          </w:rPr>
          <w:fldChar w:fldCharType="begin"/>
        </w:r>
        <w:r w:rsidR="00CC30EC">
          <w:rPr>
            <w:noProof/>
            <w:webHidden/>
          </w:rPr>
          <w:instrText xml:space="preserve"> PAGEREF _Toc488938628 \h </w:instrText>
        </w:r>
        <w:r w:rsidR="00101B49">
          <w:rPr>
            <w:noProof/>
            <w:webHidden/>
          </w:rPr>
        </w:r>
        <w:r w:rsidR="00101B49">
          <w:rPr>
            <w:noProof/>
            <w:webHidden/>
          </w:rPr>
          <w:fldChar w:fldCharType="separate"/>
        </w:r>
        <w:r w:rsidR="00C65000">
          <w:rPr>
            <w:noProof/>
            <w:webHidden/>
          </w:rPr>
          <w:t>43</w:t>
        </w:r>
        <w:r w:rsidR="00101B49">
          <w:rPr>
            <w:noProof/>
            <w:webHidden/>
          </w:rPr>
          <w:fldChar w:fldCharType="end"/>
        </w:r>
      </w:hyperlink>
    </w:p>
    <w:p w14:paraId="4F14AE5C" w14:textId="1241F389" w:rsidR="00101B49" w:rsidRPr="00E77CC9" w:rsidRDefault="004C137B" w:rsidP="00E77CC9">
      <w:pPr>
        <w:pStyle w:val="TOC2"/>
        <w:tabs>
          <w:tab w:val="right" w:leader="dot" w:pos="8494"/>
        </w:tabs>
        <w:spacing w:line="360" w:lineRule="auto"/>
        <w:rPr>
          <w:rFonts w:asciiTheme="minorHAnsi" w:hAnsiTheme="minorHAnsi"/>
          <w:noProof/>
        </w:rPr>
      </w:pPr>
      <w:hyperlink w:anchor="_Toc488938629" w:history="1">
        <w:r w:rsidR="00CC30EC" w:rsidRPr="003E701A">
          <w:rPr>
            <w:rStyle w:val="af5"/>
            <w:rFonts w:ascii="宋体" w:hAnsi="宋体" w:hint="eastAsia"/>
            <w:noProof/>
          </w:rPr>
          <w:t>二十、其他事项</w:t>
        </w:r>
        <w:r w:rsidR="00CC30EC">
          <w:rPr>
            <w:noProof/>
            <w:webHidden/>
          </w:rPr>
          <w:tab/>
        </w:r>
        <w:r w:rsidR="00101B49">
          <w:rPr>
            <w:noProof/>
            <w:webHidden/>
          </w:rPr>
          <w:fldChar w:fldCharType="begin"/>
        </w:r>
        <w:r w:rsidR="00CC30EC">
          <w:rPr>
            <w:noProof/>
            <w:webHidden/>
          </w:rPr>
          <w:instrText xml:space="preserve"> PAGEREF _Toc488938629 \h </w:instrText>
        </w:r>
        <w:r w:rsidR="00101B49">
          <w:rPr>
            <w:noProof/>
            <w:webHidden/>
          </w:rPr>
        </w:r>
        <w:r w:rsidR="00101B49">
          <w:rPr>
            <w:noProof/>
            <w:webHidden/>
          </w:rPr>
          <w:fldChar w:fldCharType="separate"/>
        </w:r>
        <w:r w:rsidR="00C65000">
          <w:rPr>
            <w:noProof/>
            <w:webHidden/>
          </w:rPr>
          <w:t>44</w:t>
        </w:r>
        <w:r w:rsidR="00101B49">
          <w:rPr>
            <w:noProof/>
            <w:webHidden/>
          </w:rPr>
          <w:fldChar w:fldCharType="end"/>
        </w:r>
      </w:hyperlink>
    </w:p>
    <w:p w14:paraId="6771F1C3" w14:textId="4E4EC7A8" w:rsidR="00101B49" w:rsidRPr="00E77CC9" w:rsidRDefault="004C137B" w:rsidP="00E77CC9">
      <w:pPr>
        <w:pStyle w:val="TOC2"/>
        <w:tabs>
          <w:tab w:val="right" w:leader="dot" w:pos="8494"/>
        </w:tabs>
        <w:spacing w:line="360" w:lineRule="auto"/>
        <w:rPr>
          <w:rFonts w:asciiTheme="minorHAnsi" w:hAnsiTheme="minorHAnsi"/>
          <w:noProof/>
        </w:rPr>
      </w:pPr>
      <w:hyperlink w:anchor="_Toc488938630" w:history="1">
        <w:r w:rsidR="00CC30EC" w:rsidRPr="003E701A">
          <w:rPr>
            <w:rStyle w:val="af5"/>
            <w:rFonts w:ascii="宋体" w:hAnsi="宋体" w:hint="eastAsia"/>
            <w:noProof/>
          </w:rPr>
          <w:t>二十一、托管协议的签订</w:t>
        </w:r>
        <w:r w:rsidR="00CC30EC">
          <w:rPr>
            <w:noProof/>
            <w:webHidden/>
          </w:rPr>
          <w:tab/>
        </w:r>
        <w:r w:rsidR="00101B49">
          <w:rPr>
            <w:noProof/>
            <w:webHidden/>
          </w:rPr>
          <w:fldChar w:fldCharType="begin"/>
        </w:r>
        <w:r w:rsidR="00CC30EC">
          <w:rPr>
            <w:noProof/>
            <w:webHidden/>
          </w:rPr>
          <w:instrText xml:space="preserve"> PAGEREF _Toc488938630 \h </w:instrText>
        </w:r>
        <w:r w:rsidR="00101B49">
          <w:rPr>
            <w:noProof/>
            <w:webHidden/>
          </w:rPr>
        </w:r>
        <w:r w:rsidR="00101B49">
          <w:rPr>
            <w:noProof/>
            <w:webHidden/>
          </w:rPr>
          <w:fldChar w:fldCharType="separate"/>
        </w:r>
        <w:r w:rsidR="00C65000">
          <w:rPr>
            <w:noProof/>
            <w:webHidden/>
          </w:rPr>
          <w:t>45</w:t>
        </w:r>
        <w:r w:rsidR="00101B49">
          <w:rPr>
            <w:noProof/>
            <w:webHidden/>
          </w:rPr>
          <w:fldChar w:fldCharType="end"/>
        </w:r>
      </w:hyperlink>
    </w:p>
    <w:p w14:paraId="1954A6BA" w14:textId="2B3BD87D" w:rsidR="00101B49" w:rsidRPr="00E77CC9" w:rsidRDefault="004C137B" w:rsidP="00E77CC9">
      <w:pPr>
        <w:pStyle w:val="TOC2"/>
        <w:tabs>
          <w:tab w:val="right" w:leader="dot" w:pos="8494"/>
        </w:tabs>
        <w:spacing w:line="360" w:lineRule="auto"/>
        <w:rPr>
          <w:rFonts w:asciiTheme="minorHAnsi" w:hAnsiTheme="minorHAnsi"/>
          <w:noProof/>
        </w:rPr>
      </w:pPr>
      <w:hyperlink w:anchor="_Toc488938631" w:history="1">
        <w:r w:rsidR="00101B49" w:rsidRPr="00E77CC9">
          <w:rPr>
            <w:rStyle w:val="af5"/>
            <w:rFonts w:ascii="宋体" w:hAnsi="宋体" w:hint="eastAsia"/>
            <w:noProof/>
          </w:rPr>
          <w:t>附件：</w:t>
        </w:r>
        <w:r w:rsidR="00CC30EC" w:rsidRPr="003E701A">
          <w:rPr>
            <w:rStyle w:val="af5"/>
            <w:rFonts w:ascii="宋体" w:hAnsi="宋体" w:hint="eastAsia"/>
            <w:noProof/>
          </w:rPr>
          <w:t>托管银行证券资金结算规定</w:t>
        </w:r>
        <w:r w:rsidR="00CC30EC">
          <w:rPr>
            <w:noProof/>
            <w:webHidden/>
          </w:rPr>
          <w:tab/>
        </w:r>
        <w:r w:rsidR="00101B49">
          <w:rPr>
            <w:noProof/>
            <w:webHidden/>
          </w:rPr>
          <w:fldChar w:fldCharType="begin"/>
        </w:r>
        <w:r w:rsidR="00CC30EC">
          <w:rPr>
            <w:noProof/>
            <w:webHidden/>
          </w:rPr>
          <w:instrText xml:space="preserve"> PAGEREF _Toc488938631 \h </w:instrText>
        </w:r>
        <w:r w:rsidR="00101B49">
          <w:rPr>
            <w:noProof/>
            <w:webHidden/>
          </w:rPr>
        </w:r>
        <w:r w:rsidR="00101B49">
          <w:rPr>
            <w:noProof/>
            <w:webHidden/>
          </w:rPr>
          <w:fldChar w:fldCharType="separate"/>
        </w:r>
        <w:r w:rsidR="00C65000">
          <w:rPr>
            <w:noProof/>
            <w:webHidden/>
          </w:rPr>
          <w:t>46</w:t>
        </w:r>
        <w:r w:rsidR="00101B49">
          <w:rPr>
            <w:noProof/>
            <w:webHidden/>
          </w:rPr>
          <w:fldChar w:fldCharType="end"/>
        </w:r>
      </w:hyperlink>
    </w:p>
    <w:p w14:paraId="5F8CDBB9" w14:textId="77777777" w:rsidR="0038018C" w:rsidRPr="0038018C" w:rsidRDefault="00101B49" w:rsidP="00CC30EC">
      <w:pPr>
        <w:pStyle w:val="TOC2"/>
        <w:tabs>
          <w:tab w:val="right" w:leader="dot" w:pos="8494"/>
        </w:tabs>
        <w:spacing w:line="360" w:lineRule="auto"/>
        <w:rPr>
          <w:noProof/>
        </w:rPr>
      </w:pPr>
      <w:r w:rsidRPr="00E77CC9">
        <w:fldChar w:fldCharType="end"/>
      </w:r>
      <w:r w:rsidR="00CC30EC" w:rsidDel="00CC30EC">
        <w:rPr>
          <w:noProof/>
        </w:rPr>
        <w:t xml:space="preserve"> </w:t>
      </w:r>
    </w:p>
    <w:p w14:paraId="39D64437" w14:textId="77777777" w:rsidR="00101B49" w:rsidRPr="00E77CC9" w:rsidRDefault="00101B49" w:rsidP="00E77CC9">
      <w:pPr>
        <w:pStyle w:val="TOC2"/>
        <w:tabs>
          <w:tab w:val="right" w:leader="dot" w:pos="8494"/>
        </w:tabs>
        <w:spacing w:line="360" w:lineRule="auto"/>
        <w:rPr>
          <w:rFonts w:ascii="宋体" w:hAnsi="宋体"/>
          <w:sz w:val="24"/>
        </w:rPr>
      </w:pPr>
    </w:p>
    <w:p w14:paraId="6C03BD0E" w14:textId="77777777" w:rsidR="00896C5A" w:rsidRPr="00E77CC9" w:rsidRDefault="00101B49">
      <w:pPr>
        <w:spacing w:line="360" w:lineRule="auto"/>
        <w:rPr>
          <w:rFonts w:ascii="宋体" w:hAnsi="宋体"/>
          <w:sz w:val="24"/>
        </w:rPr>
      </w:pPr>
      <w:r w:rsidRPr="00E77CC9">
        <w:rPr>
          <w:rFonts w:ascii="宋体" w:hAnsi="宋体"/>
          <w:sz w:val="24"/>
        </w:rPr>
        <w:br w:type="page"/>
      </w:r>
    </w:p>
    <w:p w14:paraId="6678C270" w14:textId="20CE034E"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D81FEA">
        <w:rPr>
          <w:rFonts w:ascii="宋体" w:hAnsi="宋体" w:cs="Arial" w:hint="eastAsia"/>
          <w:kern w:val="0"/>
          <w:sz w:val="24"/>
        </w:rPr>
        <w:t>交银施罗德创业板50指数型</w:t>
      </w:r>
      <w:r w:rsidRPr="00E77CC9">
        <w:rPr>
          <w:rFonts w:ascii="宋体" w:hAnsi="宋体" w:hint="eastAsia"/>
          <w:kern w:val="0"/>
          <w:sz w:val="24"/>
        </w:rPr>
        <w:t>证券投资基金；</w:t>
      </w:r>
    </w:p>
    <w:p w14:paraId="41C8225F"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35DB6EA1" w14:textId="0F822296"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D81FEA">
        <w:rPr>
          <w:rFonts w:ascii="宋体" w:hAnsi="宋体" w:cs="Arial" w:hint="eastAsia"/>
          <w:kern w:val="0"/>
          <w:sz w:val="24"/>
        </w:rPr>
        <w:t>交银施罗德创业板50指数型</w:t>
      </w:r>
      <w:r w:rsidRPr="00E77CC9">
        <w:rPr>
          <w:rFonts w:ascii="宋体" w:hAnsi="宋体" w:hint="eastAsia"/>
          <w:kern w:val="0"/>
          <w:sz w:val="24"/>
        </w:rPr>
        <w:t>证券投资基金的基金管理人，招商银行股份有限公司拟担任</w:t>
      </w:r>
      <w:r w:rsidR="00D81FEA">
        <w:rPr>
          <w:rFonts w:ascii="宋体" w:hAnsi="宋体" w:cs="Arial" w:hint="eastAsia"/>
          <w:kern w:val="0"/>
          <w:sz w:val="24"/>
        </w:rPr>
        <w:t>交银施罗德创业板50指数型</w:t>
      </w:r>
      <w:r w:rsidRPr="00E77CC9">
        <w:rPr>
          <w:rFonts w:ascii="宋体" w:hAnsi="宋体" w:hint="eastAsia"/>
          <w:kern w:val="0"/>
          <w:sz w:val="24"/>
        </w:rPr>
        <w:t>证券投资基金的基金托管人；</w:t>
      </w:r>
    </w:p>
    <w:p w14:paraId="3E2FE158" w14:textId="0E759250"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为明确</w:t>
      </w:r>
      <w:r w:rsidR="00D81FEA">
        <w:rPr>
          <w:rFonts w:ascii="宋体" w:hAnsi="宋体" w:cs="Arial" w:hint="eastAsia"/>
          <w:kern w:val="0"/>
          <w:sz w:val="24"/>
        </w:rPr>
        <w:t>交银施罗德创业板50指数型</w:t>
      </w:r>
      <w:r w:rsidRPr="00E77CC9">
        <w:rPr>
          <w:rFonts w:ascii="宋体" w:hAnsi="宋体" w:hint="eastAsia"/>
          <w:kern w:val="0"/>
          <w:sz w:val="24"/>
        </w:rPr>
        <w:t>证券投资基金的基金管理人和基金托管人之间的权利义务关系，特制订本托管协议；</w:t>
      </w:r>
    </w:p>
    <w:p w14:paraId="4DE4B20D" w14:textId="693DDF6C" w:rsidR="00101B49" w:rsidRPr="00E77CC9" w:rsidRDefault="00101B49" w:rsidP="00E77CC9">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D81FEA">
        <w:rPr>
          <w:rFonts w:ascii="宋体" w:hAnsi="宋体" w:cs="Arial" w:hint="eastAsia"/>
          <w:kern w:val="0"/>
          <w:sz w:val="24"/>
        </w:rPr>
        <w:t>交银施罗德创业板50指数型证券投资基金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598F88B1" w14:textId="77777777" w:rsidR="00896C5A" w:rsidRPr="00E77CC9" w:rsidRDefault="00896C5A">
      <w:pPr>
        <w:spacing w:line="360" w:lineRule="auto"/>
        <w:rPr>
          <w:rFonts w:ascii="宋体" w:hAnsi="宋体"/>
          <w:sz w:val="24"/>
          <w:lang w:val="en-GB"/>
        </w:rPr>
      </w:pPr>
    </w:p>
    <w:p w14:paraId="727BE4AF"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8" w:name="_Toc348082029"/>
      <w:bookmarkStart w:id="9" w:name="_Toc488938610"/>
      <w:bookmarkStart w:id="10" w:name="_Toc384992691"/>
      <w:r w:rsidRPr="00E77CC9">
        <w:rPr>
          <w:rFonts w:ascii="宋体" w:hAnsi="宋体" w:hint="eastAsia"/>
          <w:sz w:val="24"/>
        </w:rPr>
        <w:lastRenderedPageBreak/>
        <w:t>一、基金托管协议当事人</w:t>
      </w:r>
      <w:bookmarkEnd w:id="8"/>
      <w:bookmarkEnd w:id="9"/>
      <w:bookmarkEnd w:id="10"/>
    </w:p>
    <w:p w14:paraId="16010D7B" w14:textId="05B13118"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（一）基金管理人</w:t>
      </w:r>
    </w:p>
    <w:p w14:paraId="416EDD8F" w14:textId="79B506A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5536816D" w14:textId="7089426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B85070" w:rsidRPr="00513FB3">
        <w:rPr>
          <w:rFonts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271021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30E491E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4BBDA5FA" w14:textId="78FD1436"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459552F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0C9CC4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751F6C4E" w14:textId="1FFD475E"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518AEABD" w14:textId="52A79C6A"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595C3EFB" w14:textId="0328825A"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42E919B8"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存续期间：持续经营</w:t>
      </w:r>
    </w:p>
    <w:p w14:paraId="038C8F53" w14:textId="0563B3B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426310B5" w14:textId="5CF1985E"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（二）基金托管人</w:t>
      </w:r>
    </w:p>
    <w:p w14:paraId="6D84DA6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14:paraId="1CBA80E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39F0B4E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6257D8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5F22523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法定代表人：李建红</w:t>
      </w:r>
    </w:p>
    <w:p w14:paraId="42B9622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5CF8096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基金托管业务批准文号：证监基金字</w:t>
      </w:r>
      <w:r w:rsidRPr="00E77CC9">
        <w:rPr>
          <w:rFonts w:ascii="宋体" w:hAnsi="宋体"/>
          <w:sz w:val="24"/>
        </w:rPr>
        <w:t>[2002]83号</w:t>
      </w:r>
    </w:p>
    <w:p w14:paraId="328E737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DF060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29A148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2B5CEF27"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 w:name="_Toc348082030"/>
      <w:bookmarkStart w:id="12" w:name="_Toc488938611"/>
      <w:bookmarkStart w:id="13" w:name="_Toc384992692"/>
      <w:r w:rsidRPr="00E77CC9">
        <w:rPr>
          <w:rFonts w:ascii="宋体" w:hAnsi="宋体" w:hint="eastAsia"/>
          <w:sz w:val="24"/>
        </w:rPr>
        <w:lastRenderedPageBreak/>
        <w:t>二、基金托管协议的依据、目的和原则</w:t>
      </w:r>
      <w:bookmarkEnd w:id="11"/>
      <w:bookmarkEnd w:id="12"/>
      <w:bookmarkEnd w:id="13"/>
    </w:p>
    <w:p w14:paraId="274F7E5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2FAE9AE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5879A52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4DC282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A18D3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65764D2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067BD7B3" w14:textId="77777777" w:rsidR="00896C5A" w:rsidRPr="00E77CC9" w:rsidRDefault="00896C5A">
      <w:pPr>
        <w:spacing w:line="360" w:lineRule="auto"/>
        <w:rPr>
          <w:rFonts w:ascii="宋体" w:hAnsi="宋体"/>
          <w:sz w:val="24"/>
        </w:rPr>
      </w:pPr>
    </w:p>
    <w:p w14:paraId="580E966A"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 w:name="_Toc348082031"/>
      <w:bookmarkStart w:id="15" w:name="_Toc488938612"/>
      <w:bookmarkStart w:id="16" w:name="_Toc384992693"/>
      <w:r w:rsidRPr="00E77CC9">
        <w:rPr>
          <w:rFonts w:ascii="宋体" w:hAnsi="宋体" w:hint="eastAsia"/>
          <w:sz w:val="24"/>
        </w:rPr>
        <w:lastRenderedPageBreak/>
        <w:t>三、基金托管人对基金管理人的业务监督和核查</w:t>
      </w:r>
      <w:bookmarkEnd w:id="14"/>
      <w:bookmarkEnd w:id="15"/>
      <w:bookmarkEnd w:id="16"/>
    </w:p>
    <w:p w14:paraId="42AD36A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0A176058" w14:textId="77777777" w:rsidR="00101B49" w:rsidRDefault="00101B49" w:rsidP="00E77CC9">
      <w:pPr>
        <w:spacing w:line="360" w:lineRule="auto"/>
        <w:ind w:firstLine="480"/>
        <w:rPr>
          <w:rFonts w:ascii="宋体" w:hAnsi="宋体" w:cs="Arial"/>
          <w:szCs w:val="21"/>
        </w:rPr>
      </w:pPr>
      <w:bookmarkStart w:id="17" w:name="_Hlk494120345"/>
      <w:r w:rsidRPr="00E77CC9">
        <w:rPr>
          <w:rFonts w:ascii="宋体" w:hAnsi="宋体"/>
          <w:sz w:val="24"/>
        </w:rPr>
        <w:t>1.</w:t>
      </w:r>
      <w:r w:rsidRPr="00E77CC9">
        <w:rPr>
          <w:rFonts w:ascii="宋体" w:hAnsi="宋体" w:hint="eastAsia"/>
          <w:sz w:val="24"/>
        </w:rPr>
        <w:t>本基金的投资范围为：</w:t>
      </w:r>
    </w:p>
    <w:p w14:paraId="1AE48D68" w14:textId="4C8C75D1"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w:t>
      </w:r>
      <w:r w:rsidR="005B0A60" w:rsidRPr="005B0A60">
        <w:rPr>
          <w:rFonts w:hint="eastAsia"/>
          <w:bCs/>
          <w:sz w:val="24"/>
        </w:rPr>
        <w:t>创业板</w:t>
      </w:r>
      <w:r w:rsidR="005B0A60" w:rsidRPr="005B0A60">
        <w:rPr>
          <w:rFonts w:hint="eastAsia"/>
          <w:bCs/>
          <w:sz w:val="24"/>
        </w:rPr>
        <w:t>50</w:t>
      </w:r>
      <w:r w:rsidR="005B0A60" w:rsidRPr="005B0A60">
        <w:rPr>
          <w:rFonts w:hint="eastAsia"/>
          <w:bCs/>
          <w:sz w:val="24"/>
        </w:rPr>
        <w:t>指数的成份股及其备选成份股、</w:t>
      </w:r>
      <w:r w:rsidR="00195B9F" w:rsidRPr="00FD72A5">
        <w:rPr>
          <w:rFonts w:hint="eastAsia"/>
          <w:bCs/>
          <w:sz w:val="24"/>
        </w:rPr>
        <w:t>其他股票</w:t>
      </w:r>
      <w:r w:rsidR="00195B9F">
        <w:rPr>
          <w:rFonts w:hint="eastAsia"/>
          <w:bCs/>
          <w:sz w:val="24"/>
        </w:rPr>
        <w:t>（</w:t>
      </w:r>
      <w:r w:rsidR="00195B9F" w:rsidRPr="003C72B2">
        <w:rPr>
          <w:rFonts w:hint="eastAsia"/>
          <w:bCs/>
          <w:sz w:val="24"/>
        </w:rPr>
        <w:t>含中小板、创业板及其他经中国证监会核准上市的股票</w:t>
      </w:r>
      <w:r w:rsidR="00195B9F">
        <w:rPr>
          <w:bCs/>
          <w:sz w:val="24"/>
        </w:rPr>
        <w:t>）</w:t>
      </w:r>
      <w:r w:rsidR="00195B9F">
        <w:rPr>
          <w:rFonts w:hint="eastAsia"/>
          <w:bCs/>
          <w:sz w:val="24"/>
        </w:rPr>
        <w:t>、</w:t>
      </w:r>
      <w:r w:rsidR="005B0A60" w:rsidRPr="005B0A60">
        <w:rPr>
          <w:rFonts w:hint="eastAsia"/>
          <w:bCs/>
          <w:sz w:val="24"/>
        </w:rPr>
        <w:t>债券（含国债、央行票据、金融债券、政府支持债券、政府支持机构债券、地方政府债券、企业债券、公司债券</w:t>
      </w:r>
      <w:r w:rsidR="00195B9F" w:rsidRPr="00195B9F">
        <w:rPr>
          <w:rFonts w:hint="eastAsia"/>
          <w:bCs/>
          <w:sz w:val="24"/>
        </w:rPr>
        <w:t>、</w:t>
      </w:r>
      <w:r w:rsidR="005B0A60" w:rsidRPr="005B0A60">
        <w:rPr>
          <w:rFonts w:hint="eastAsia"/>
          <w:bCs/>
          <w:sz w:val="24"/>
        </w:rPr>
        <w:t>可转换债券（含可分离交易可转换债券</w:t>
      </w:r>
      <w:r w:rsidR="00EA0B13">
        <w:rPr>
          <w:rFonts w:hint="eastAsia"/>
          <w:bCs/>
          <w:sz w:val="24"/>
        </w:rPr>
        <w:t>的纯债部分</w:t>
      </w:r>
      <w:r w:rsidR="005B0A60" w:rsidRPr="005B0A60">
        <w:rPr>
          <w:rFonts w:hint="eastAsia"/>
          <w:bCs/>
          <w:sz w:val="24"/>
        </w:rPr>
        <w:t>）、可交换公司债券、</w:t>
      </w:r>
      <w:r w:rsidR="00EA0B13">
        <w:rPr>
          <w:rFonts w:hint="eastAsia"/>
          <w:bCs/>
          <w:sz w:val="24"/>
        </w:rPr>
        <w:t>公开发行的</w:t>
      </w:r>
      <w:r w:rsidR="005B0A60" w:rsidRPr="005B0A60">
        <w:rPr>
          <w:rFonts w:hint="eastAsia"/>
          <w:bCs/>
          <w:sz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B638DC">
        <w:rPr>
          <w:rFonts w:hint="eastAsia"/>
          <w:bCs/>
          <w:sz w:val="24"/>
        </w:rPr>
        <w:t>。</w:t>
      </w:r>
    </w:p>
    <w:p w14:paraId="4D118747"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347F86FC"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56A75479" w14:textId="2A9D87CE" w:rsidR="008A273A" w:rsidRDefault="008A273A" w:rsidP="008A273A">
      <w:pPr>
        <w:spacing w:line="360" w:lineRule="auto"/>
        <w:ind w:firstLine="480"/>
        <w:rPr>
          <w:bCs/>
          <w:sz w:val="24"/>
        </w:rPr>
      </w:pPr>
      <w:r w:rsidRPr="00610824">
        <w:rPr>
          <w:bCs/>
          <w:sz w:val="24"/>
        </w:rPr>
        <w:t>基金的投资组合比例为</w:t>
      </w:r>
      <w:r>
        <w:rPr>
          <w:rFonts w:hint="eastAsia"/>
          <w:bCs/>
          <w:sz w:val="24"/>
        </w:rPr>
        <w:t>：</w:t>
      </w:r>
      <w:r w:rsidR="005B0A60" w:rsidRPr="005B0A60">
        <w:rPr>
          <w:rFonts w:hint="eastAsia"/>
          <w:bCs/>
          <w:sz w:val="24"/>
        </w:rPr>
        <w:t>本基金投资于创业板</w:t>
      </w:r>
      <w:r w:rsidR="005B0A60" w:rsidRPr="005B0A60">
        <w:rPr>
          <w:rFonts w:hint="eastAsia"/>
          <w:bCs/>
          <w:sz w:val="24"/>
        </w:rPr>
        <w:t>50</w:t>
      </w:r>
      <w:r w:rsidR="005B0A60" w:rsidRPr="005B0A60">
        <w:rPr>
          <w:rFonts w:hint="eastAsia"/>
          <w:bCs/>
          <w:sz w:val="24"/>
        </w:rPr>
        <w:t>指数成份股及其备选成份股的比例不低于基金资产</w:t>
      </w:r>
      <w:r w:rsidR="00C87739">
        <w:rPr>
          <w:rFonts w:hint="eastAsia"/>
          <w:bCs/>
          <w:sz w:val="24"/>
        </w:rPr>
        <w:t>净值</w:t>
      </w:r>
      <w:r w:rsidR="005B0A60" w:rsidRPr="005B0A60">
        <w:rPr>
          <w:rFonts w:hint="eastAsia"/>
          <w:bCs/>
          <w:sz w:val="24"/>
        </w:rPr>
        <w:t>的</w:t>
      </w:r>
      <w:r w:rsidR="00C87739">
        <w:rPr>
          <w:bCs/>
          <w:sz w:val="24"/>
        </w:rPr>
        <w:t>90</w:t>
      </w:r>
      <w:r w:rsidR="005B0A60" w:rsidRPr="005B0A60">
        <w:rPr>
          <w:rFonts w:hint="eastAsia"/>
          <w:bCs/>
          <w:sz w:val="24"/>
        </w:rPr>
        <w:t>%</w:t>
      </w:r>
      <w:r w:rsidR="005B0A60" w:rsidRPr="005B0A60">
        <w:rPr>
          <w:rFonts w:hint="eastAsia"/>
          <w:bCs/>
          <w:sz w:val="24"/>
        </w:rPr>
        <w:t>；每个交易日日终在扣除股指期货合约需缴纳的交易保证金后，本基金保留的现金或者投资于到期日在一年以内的政府债券的比例合计不低于基金资产净值的</w:t>
      </w:r>
      <w:r w:rsidR="005B0A60" w:rsidRPr="005B0A60">
        <w:rPr>
          <w:rFonts w:hint="eastAsia"/>
          <w:bCs/>
          <w:sz w:val="24"/>
        </w:rPr>
        <w:t>5%</w:t>
      </w:r>
      <w:r w:rsidR="005B0A60" w:rsidRPr="005B0A60">
        <w:rPr>
          <w:rFonts w:hint="eastAsia"/>
          <w:bCs/>
          <w:sz w:val="24"/>
        </w:rPr>
        <w:t>，其中现金不包括结算备付金、存出保证金、应收申购款等</w:t>
      </w:r>
      <w:r w:rsidRPr="00610824">
        <w:rPr>
          <w:rFonts w:hint="eastAsia"/>
          <w:bCs/>
          <w:sz w:val="24"/>
        </w:rPr>
        <w:t>。</w:t>
      </w:r>
    </w:p>
    <w:p w14:paraId="6C60924D"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4FD986D6"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716AB1D" w14:textId="468AF368" w:rsidR="00582D4A" w:rsidRPr="00582D4A" w:rsidRDefault="00582D4A" w:rsidP="00582D4A">
      <w:pPr>
        <w:spacing w:line="360" w:lineRule="auto"/>
        <w:ind w:firstLineChars="200" w:firstLine="480"/>
        <w:rPr>
          <w:bCs/>
          <w:sz w:val="24"/>
        </w:rPr>
      </w:pPr>
      <w:r w:rsidRPr="00582D4A">
        <w:rPr>
          <w:rFonts w:hint="eastAsia"/>
          <w:bCs/>
          <w:sz w:val="24"/>
        </w:rPr>
        <w:t>（</w:t>
      </w:r>
      <w:r w:rsidRPr="00582D4A">
        <w:rPr>
          <w:rFonts w:hint="eastAsia"/>
          <w:bCs/>
          <w:sz w:val="24"/>
        </w:rPr>
        <w:t>1</w:t>
      </w:r>
      <w:r w:rsidRPr="00582D4A">
        <w:rPr>
          <w:rFonts w:hint="eastAsia"/>
          <w:bCs/>
          <w:sz w:val="24"/>
        </w:rPr>
        <w:t>）本基金投资于创业板</w:t>
      </w:r>
      <w:r w:rsidRPr="00582D4A">
        <w:rPr>
          <w:rFonts w:hint="eastAsia"/>
          <w:bCs/>
          <w:sz w:val="24"/>
        </w:rPr>
        <w:t>50</w:t>
      </w:r>
      <w:r w:rsidRPr="00582D4A">
        <w:rPr>
          <w:rFonts w:hint="eastAsia"/>
          <w:bCs/>
          <w:sz w:val="24"/>
        </w:rPr>
        <w:t>指数成份股及其备选成份股的比例不低于基金资产</w:t>
      </w:r>
      <w:r w:rsidR="00226DCA">
        <w:rPr>
          <w:rFonts w:hint="eastAsia"/>
          <w:bCs/>
          <w:sz w:val="24"/>
        </w:rPr>
        <w:t>净值</w:t>
      </w:r>
      <w:r w:rsidRPr="00582D4A">
        <w:rPr>
          <w:rFonts w:hint="eastAsia"/>
          <w:bCs/>
          <w:sz w:val="24"/>
        </w:rPr>
        <w:t>的</w:t>
      </w:r>
      <w:r w:rsidR="00226DCA">
        <w:rPr>
          <w:bCs/>
          <w:sz w:val="24"/>
        </w:rPr>
        <w:t>9</w:t>
      </w:r>
      <w:r w:rsidRPr="00582D4A">
        <w:rPr>
          <w:rFonts w:hint="eastAsia"/>
          <w:bCs/>
          <w:sz w:val="24"/>
        </w:rPr>
        <w:t>0%</w:t>
      </w:r>
      <w:r w:rsidRPr="00582D4A">
        <w:rPr>
          <w:rFonts w:hint="eastAsia"/>
          <w:bCs/>
          <w:sz w:val="24"/>
        </w:rPr>
        <w:t>；</w:t>
      </w:r>
    </w:p>
    <w:p w14:paraId="6BAF5C89" w14:textId="77777777" w:rsidR="00582D4A" w:rsidRPr="00582D4A" w:rsidRDefault="00582D4A" w:rsidP="00582D4A">
      <w:pPr>
        <w:spacing w:line="360" w:lineRule="auto"/>
        <w:ind w:firstLineChars="200" w:firstLine="480"/>
        <w:rPr>
          <w:bCs/>
          <w:sz w:val="24"/>
        </w:rPr>
      </w:pPr>
      <w:r w:rsidRPr="00582D4A">
        <w:rPr>
          <w:rFonts w:hint="eastAsia"/>
          <w:bCs/>
          <w:sz w:val="24"/>
        </w:rPr>
        <w:t>（</w:t>
      </w:r>
      <w:r w:rsidRPr="00582D4A">
        <w:rPr>
          <w:rFonts w:hint="eastAsia"/>
          <w:bCs/>
          <w:sz w:val="24"/>
        </w:rPr>
        <w:t>2</w:t>
      </w:r>
      <w:r w:rsidRPr="00582D4A">
        <w:rPr>
          <w:rFonts w:hint="eastAsia"/>
          <w:bCs/>
          <w:sz w:val="24"/>
        </w:rPr>
        <w:t>）每个交易日日终在扣除股指期货合约需缴纳的交易保证金后，本基金保</w:t>
      </w:r>
      <w:r w:rsidRPr="00582D4A">
        <w:rPr>
          <w:rFonts w:hint="eastAsia"/>
          <w:bCs/>
          <w:sz w:val="24"/>
        </w:rPr>
        <w:lastRenderedPageBreak/>
        <w:t>留的现金或者投资于到期日在一年以内的政府债券的比例合计不低于基金资产净值的</w:t>
      </w:r>
      <w:r w:rsidRPr="00582D4A">
        <w:rPr>
          <w:rFonts w:hint="eastAsia"/>
          <w:bCs/>
          <w:sz w:val="24"/>
        </w:rPr>
        <w:t>5%</w:t>
      </w:r>
      <w:r w:rsidRPr="00582D4A">
        <w:rPr>
          <w:rFonts w:hint="eastAsia"/>
          <w:bCs/>
          <w:sz w:val="24"/>
        </w:rPr>
        <w:t>，其中现金不包括结算备付金、存出保证金、应收申购款等；</w:t>
      </w:r>
    </w:p>
    <w:p w14:paraId="3A1721F2" w14:textId="07638E56"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3</w:t>
      </w:r>
      <w:r w:rsidRPr="00582D4A">
        <w:rPr>
          <w:rFonts w:hint="eastAsia"/>
          <w:bCs/>
          <w:sz w:val="24"/>
        </w:rPr>
        <w:t>）本基金投资于同一原始权益人的各类资产支持证券的比例，不得超过基金资产净值的</w:t>
      </w:r>
      <w:r w:rsidRPr="00582D4A">
        <w:rPr>
          <w:rFonts w:hint="eastAsia"/>
          <w:bCs/>
          <w:sz w:val="24"/>
        </w:rPr>
        <w:t>10</w:t>
      </w:r>
      <w:r w:rsidRPr="00582D4A">
        <w:rPr>
          <w:rFonts w:hint="eastAsia"/>
          <w:bCs/>
          <w:sz w:val="24"/>
        </w:rPr>
        <w:t>％；</w:t>
      </w:r>
    </w:p>
    <w:p w14:paraId="247E0C25" w14:textId="115827ED"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4</w:t>
      </w:r>
      <w:r w:rsidRPr="00582D4A">
        <w:rPr>
          <w:rFonts w:hint="eastAsia"/>
          <w:bCs/>
          <w:sz w:val="24"/>
        </w:rPr>
        <w:t>）本基金持有的全部资产支持证券，其市值不得超过基金资产净值的</w:t>
      </w:r>
      <w:r w:rsidRPr="00582D4A">
        <w:rPr>
          <w:rFonts w:hint="eastAsia"/>
          <w:bCs/>
          <w:sz w:val="24"/>
        </w:rPr>
        <w:t>20</w:t>
      </w:r>
      <w:r w:rsidRPr="00582D4A">
        <w:rPr>
          <w:rFonts w:hint="eastAsia"/>
          <w:bCs/>
          <w:sz w:val="24"/>
        </w:rPr>
        <w:t>％；</w:t>
      </w:r>
    </w:p>
    <w:p w14:paraId="12A4A902" w14:textId="7E0068CA"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5</w:t>
      </w:r>
      <w:r w:rsidRPr="00582D4A">
        <w:rPr>
          <w:rFonts w:hint="eastAsia"/>
          <w:bCs/>
          <w:sz w:val="24"/>
        </w:rPr>
        <w:t>）本基金持有的同一（指同一信用级别）资产支持证券的比例，不得超过该资产支持证券规模的</w:t>
      </w:r>
      <w:r w:rsidRPr="00582D4A">
        <w:rPr>
          <w:rFonts w:hint="eastAsia"/>
          <w:bCs/>
          <w:sz w:val="24"/>
        </w:rPr>
        <w:t>10</w:t>
      </w:r>
      <w:r w:rsidRPr="00582D4A">
        <w:rPr>
          <w:rFonts w:hint="eastAsia"/>
          <w:bCs/>
          <w:sz w:val="24"/>
        </w:rPr>
        <w:t>％；</w:t>
      </w:r>
    </w:p>
    <w:p w14:paraId="51F462BB" w14:textId="70C10856"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6</w:t>
      </w:r>
      <w:r w:rsidRPr="00582D4A">
        <w:rPr>
          <w:rFonts w:hint="eastAsia"/>
          <w:bCs/>
          <w:sz w:val="24"/>
        </w:rPr>
        <w:t>）本基金管理人管理的全部基金投资于同一原始权益人的各类资产支持证券，不得超过其各类资产支持证券合计规模的</w:t>
      </w:r>
      <w:r w:rsidRPr="00582D4A">
        <w:rPr>
          <w:rFonts w:hint="eastAsia"/>
          <w:bCs/>
          <w:sz w:val="24"/>
        </w:rPr>
        <w:t>10</w:t>
      </w:r>
      <w:r w:rsidRPr="00582D4A">
        <w:rPr>
          <w:rFonts w:hint="eastAsia"/>
          <w:bCs/>
          <w:sz w:val="24"/>
        </w:rPr>
        <w:t>％；</w:t>
      </w:r>
    </w:p>
    <w:p w14:paraId="277C71D5" w14:textId="4E1BE13F"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7</w:t>
      </w:r>
      <w:r w:rsidRPr="00582D4A">
        <w:rPr>
          <w:rFonts w:hint="eastAsia"/>
          <w:bCs/>
          <w:sz w:val="24"/>
        </w:rPr>
        <w:t>）本基金应投资于信用级别评级为</w:t>
      </w:r>
      <w:r w:rsidRPr="00582D4A">
        <w:rPr>
          <w:rFonts w:hint="eastAsia"/>
          <w:bCs/>
          <w:sz w:val="24"/>
        </w:rPr>
        <w:t>BBB</w:t>
      </w:r>
      <w:r w:rsidRPr="00582D4A">
        <w:rPr>
          <w:rFonts w:hint="eastAsia"/>
          <w:bCs/>
          <w:sz w:val="24"/>
        </w:rPr>
        <w:t>以上（含</w:t>
      </w:r>
      <w:r w:rsidRPr="00582D4A">
        <w:rPr>
          <w:rFonts w:hint="eastAsia"/>
          <w:bCs/>
          <w:sz w:val="24"/>
        </w:rPr>
        <w:t>BBB</w:t>
      </w:r>
      <w:r w:rsidRPr="00582D4A">
        <w:rPr>
          <w:rFonts w:hint="eastAsia"/>
          <w:bCs/>
          <w:sz w:val="24"/>
        </w:rPr>
        <w:t>）的资产支持证券。基金持有资产支持证券期间，如果其信用等级下降、不再符合投资标准，应在评级报告发布之日起</w:t>
      </w:r>
      <w:r w:rsidRPr="00582D4A">
        <w:rPr>
          <w:rFonts w:hint="eastAsia"/>
          <w:bCs/>
          <w:sz w:val="24"/>
        </w:rPr>
        <w:t>3</w:t>
      </w:r>
      <w:r w:rsidRPr="00582D4A">
        <w:rPr>
          <w:rFonts w:hint="eastAsia"/>
          <w:bCs/>
          <w:sz w:val="24"/>
        </w:rPr>
        <w:t>个月内予以全部卖出；</w:t>
      </w:r>
    </w:p>
    <w:p w14:paraId="6C27C04F" w14:textId="09BF966D"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8</w:t>
      </w:r>
      <w:r w:rsidRPr="00582D4A">
        <w:rPr>
          <w:rFonts w:hint="eastAsia"/>
          <w:bCs/>
          <w:sz w:val="24"/>
        </w:rPr>
        <w:t>）基金财产参与股票发行申购，本基金所申报的金额不超过本基金的总资产，本基金所申报的股票数量不超过拟发行股票公司本次发行股票的总量；</w:t>
      </w:r>
    </w:p>
    <w:p w14:paraId="4C097EED" w14:textId="47FFCB5B"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9</w:t>
      </w:r>
      <w:r w:rsidRPr="00582D4A">
        <w:rPr>
          <w:rFonts w:hint="eastAsia"/>
          <w:bCs/>
          <w:sz w:val="24"/>
        </w:rPr>
        <w:t>）本基金进入全国银行间同业市场进行债券回购的资金余额不得超过基金资产净值的</w:t>
      </w:r>
      <w:r w:rsidRPr="00582D4A">
        <w:rPr>
          <w:rFonts w:hint="eastAsia"/>
          <w:bCs/>
          <w:sz w:val="24"/>
        </w:rPr>
        <w:t>40%</w:t>
      </w:r>
      <w:r w:rsidRPr="00582D4A">
        <w:rPr>
          <w:rFonts w:hint="eastAsia"/>
          <w:bCs/>
          <w:sz w:val="24"/>
        </w:rPr>
        <w:t>，进入全国银行间同业市场进行债券回购的最长期限为</w:t>
      </w:r>
      <w:r w:rsidRPr="00582D4A">
        <w:rPr>
          <w:rFonts w:hint="eastAsia"/>
          <w:bCs/>
          <w:sz w:val="24"/>
        </w:rPr>
        <w:t>1</w:t>
      </w:r>
      <w:r w:rsidRPr="00582D4A">
        <w:rPr>
          <w:rFonts w:hint="eastAsia"/>
          <w:bCs/>
          <w:sz w:val="24"/>
        </w:rPr>
        <w:t>年，债券回购到期后不得展期；</w:t>
      </w:r>
    </w:p>
    <w:p w14:paraId="2357170D" w14:textId="3ACE76FE"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10</w:t>
      </w:r>
      <w:r w:rsidRPr="00582D4A">
        <w:rPr>
          <w:rFonts w:hint="eastAsia"/>
          <w:bCs/>
          <w:sz w:val="24"/>
        </w:rPr>
        <w:t>）本基金主动投资于流动性受限资产的市值合计不得超过该基金资产净值的</w:t>
      </w:r>
      <w:r w:rsidRPr="00582D4A">
        <w:rPr>
          <w:rFonts w:hint="eastAsia"/>
          <w:bCs/>
          <w:sz w:val="24"/>
        </w:rPr>
        <w:t>15%</w:t>
      </w:r>
      <w:r w:rsidRPr="00582D4A">
        <w:rPr>
          <w:rFonts w:hint="eastAsia"/>
          <w:bCs/>
          <w:sz w:val="24"/>
        </w:rPr>
        <w:t>；因证券市场波动、上市公司股票停牌、基金规模变动等基金管理人之外的因素致使基金不符合该比例限制的，基金管理人不得主动新增流动性受限资产的投资；</w:t>
      </w:r>
    </w:p>
    <w:p w14:paraId="5F1C161A" w14:textId="2AF59B34"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11</w:t>
      </w:r>
      <w:r w:rsidRPr="00582D4A">
        <w:rPr>
          <w:rFonts w:hint="eastAsia"/>
          <w:bCs/>
          <w:sz w:val="24"/>
        </w:rPr>
        <w:t>）本基金与私募类证券资管产品及中国证监会认定的其他主体为交易对手开展逆回购交易的，可接受质押品的资质要求应当与本基金合同约定的投资范围保持一致；</w:t>
      </w:r>
    </w:p>
    <w:p w14:paraId="5388CF1E" w14:textId="35827BE4" w:rsidR="00582D4A" w:rsidRDefault="00582D4A" w:rsidP="00582D4A">
      <w:pPr>
        <w:spacing w:line="360" w:lineRule="auto"/>
        <w:ind w:firstLineChars="200" w:firstLine="480"/>
        <w:rPr>
          <w:bCs/>
          <w:sz w:val="24"/>
        </w:rPr>
      </w:pPr>
      <w:r w:rsidRPr="00582D4A">
        <w:rPr>
          <w:rFonts w:hint="eastAsia"/>
          <w:bCs/>
          <w:sz w:val="24"/>
        </w:rPr>
        <w:t>（</w:t>
      </w:r>
      <w:r w:rsidR="00167F4F">
        <w:rPr>
          <w:bCs/>
          <w:sz w:val="24"/>
        </w:rPr>
        <w:t>12</w:t>
      </w:r>
      <w:r w:rsidRPr="00582D4A">
        <w:rPr>
          <w:rFonts w:hint="eastAsia"/>
          <w:bCs/>
          <w:sz w:val="24"/>
        </w:rPr>
        <w:t>）本基金资产总值不超过基金资产净值的</w:t>
      </w:r>
      <w:r w:rsidRPr="00582D4A">
        <w:rPr>
          <w:rFonts w:hint="eastAsia"/>
          <w:bCs/>
          <w:sz w:val="24"/>
        </w:rPr>
        <w:t>140%</w:t>
      </w:r>
      <w:r w:rsidRPr="00582D4A">
        <w:rPr>
          <w:rFonts w:hint="eastAsia"/>
          <w:bCs/>
          <w:sz w:val="24"/>
        </w:rPr>
        <w:t>；</w:t>
      </w:r>
    </w:p>
    <w:p w14:paraId="0BDD822C" w14:textId="019AAECA" w:rsidR="00582D4A" w:rsidRPr="00582D4A" w:rsidRDefault="00582D4A" w:rsidP="00582D4A">
      <w:pPr>
        <w:spacing w:line="360" w:lineRule="auto"/>
        <w:ind w:firstLineChars="200" w:firstLine="480"/>
        <w:rPr>
          <w:bCs/>
          <w:sz w:val="24"/>
        </w:rPr>
      </w:pPr>
      <w:r w:rsidRPr="00582D4A">
        <w:rPr>
          <w:rFonts w:hint="eastAsia"/>
          <w:bCs/>
          <w:sz w:val="24"/>
        </w:rPr>
        <w:t>（</w:t>
      </w:r>
      <w:r w:rsidR="00167F4F" w:rsidRPr="00582D4A">
        <w:rPr>
          <w:rFonts w:hint="eastAsia"/>
          <w:bCs/>
          <w:sz w:val="24"/>
        </w:rPr>
        <w:t>1</w:t>
      </w:r>
      <w:r w:rsidR="00167F4F">
        <w:rPr>
          <w:bCs/>
          <w:sz w:val="24"/>
        </w:rPr>
        <w:t>3</w:t>
      </w:r>
      <w:r w:rsidRPr="00582D4A">
        <w:rPr>
          <w:rFonts w:hint="eastAsia"/>
          <w:bCs/>
          <w:sz w:val="24"/>
        </w:rPr>
        <w:t>）本基金参与股指期货交易，则：</w:t>
      </w:r>
    </w:p>
    <w:p w14:paraId="4BD78649" w14:textId="77777777" w:rsidR="00582D4A" w:rsidRPr="00582D4A" w:rsidRDefault="00582D4A" w:rsidP="00582D4A">
      <w:pPr>
        <w:spacing w:line="360" w:lineRule="auto"/>
        <w:ind w:firstLineChars="200" w:firstLine="480"/>
        <w:rPr>
          <w:bCs/>
          <w:sz w:val="24"/>
        </w:rPr>
      </w:pPr>
      <w:r w:rsidRPr="00582D4A">
        <w:rPr>
          <w:rFonts w:hint="eastAsia"/>
          <w:bCs/>
          <w:sz w:val="24"/>
        </w:rPr>
        <w:t>1</w:t>
      </w:r>
      <w:r w:rsidRPr="00582D4A">
        <w:rPr>
          <w:rFonts w:hint="eastAsia"/>
          <w:bCs/>
          <w:sz w:val="24"/>
        </w:rPr>
        <w:t>）本基金在任何交易日日终，持有的买入股指期货合约价值，不得超过基金资产净值的</w:t>
      </w:r>
      <w:r w:rsidRPr="00582D4A">
        <w:rPr>
          <w:rFonts w:hint="eastAsia"/>
          <w:bCs/>
          <w:sz w:val="24"/>
        </w:rPr>
        <w:t>10%</w:t>
      </w:r>
      <w:r w:rsidRPr="00582D4A">
        <w:rPr>
          <w:rFonts w:hint="eastAsia"/>
          <w:bCs/>
          <w:sz w:val="24"/>
        </w:rPr>
        <w:t>；</w:t>
      </w:r>
    </w:p>
    <w:p w14:paraId="2647701E" w14:textId="263024F8" w:rsidR="00582D4A" w:rsidRPr="00582D4A" w:rsidRDefault="00582D4A" w:rsidP="00582D4A">
      <w:pPr>
        <w:spacing w:line="360" w:lineRule="auto"/>
        <w:ind w:firstLineChars="200" w:firstLine="480"/>
        <w:rPr>
          <w:bCs/>
          <w:sz w:val="24"/>
        </w:rPr>
      </w:pPr>
      <w:r w:rsidRPr="00582D4A">
        <w:rPr>
          <w:rFonts w:hint="eastAsia"/>
          <w:bCs/>
          <w:sz w:val="24"/>
        </w:rPr>
        <w:t>2</w:t>
      </w:r>
      <w:r w:rsidRPr="00582D4A">
        <w:rPr>
          <w:rFonts w:hint="eastAsia"/>
          <w:bCs/>
          <w:sz w:val="24"/>
        </w:rPr>
        <w:t>）本基金在任何交易日日终，持有的买入股指期货合约价值与有价证券市值之和，不得超过基金资产净值的</w:t>
      </w:r>
      <w:r w:rsidR="004E3D38">
        <w:rPr>
          <w:rFonts w:hint="eastAsia"/>
          <w:bCs/>
          <w:sz w:val="24"/>
        </w:rPr>
        <w:t>100</w:t>
      </w:r>
      <w:r w:rsidRPr="00582D4A">
        <w:rPr>
          <w:rFonts w:hint="eastAsia"/>
          <w:bCs/>
          <w:sz w:val="24"/>
        </w:rPr>
        <w:t>%</w:t>
      </w:r>
      <w:r w:rsidRPr="00582D4A">
        <w:rPr>
          <w:rFonts w:hint="eastAsia"/>
          <w:bCs/>
          <w:sz w:val="24"/>
        </w:rPr>
        <w:t>。其中，有价证券指股票、债券（不含到期</w:t>
      </w:r>
      <w:r w:rsidRPr="00582D4A">
        <w:rPr>
          <w:rFonts w:hint="eastAsia"/>
          <w:bCs/>
          <w:sz w:val="24"/>
        </w:rPr>
        <w:lastRenderedPageBreak/>
        <w:t>日在一年以内的政府债券）、资产支持证券、买入返售金融资产（不含质押式回购）等；</w:t>
      </w:r>
    </w:p>
    <w:p w14:paraId="1DA50152" w14:textId="77777777" w:rsidR="00582D4A" w:rsidRPr="00582D4A" w:rsidRDefault="00582D4A" w:rsidP="00582D4A">
      <w:pPr>
        <w:spacing w:line="360" w:lineRule="auto"/>
        <w:ind w:firstLineChars="200" w:firstLine="480"/>
        <w:rPr>
          <w:bCs/>
          <w:sz w:val="24"/>
        </w:rPr>
      </w:pPr>
      <w:r w:rsidRPr="00582D4A">
        <w:rPr>
          <w:rFonts w:hint="eastAsia"/>
          <w:bCs/>
          <w:sz w:val="24"/>
        </w:rPr>
        <w:t>3</w:t>
      </w:r>
      <w:r w:rsidRPr="00582D4A">
        <w:rPr>
          <w:rFonts w:hint="eastAsia"/>
          <w:bCs/>
          <w:sz w:val="24"/>
        </w:rPr>
        <w:t>）本基金在任何交易日日终，持有的卖出股指期货合约价值不得超过基金持有的股票总市值的</w:t>
      </w:r>
      <w:r w:rsidRPr="00582D4A">
        <w:rPr>
          <w:rFonts w:hint="eastAsia"/>
          <w:bCs/>
          <w:sz w:val="24"/>
        </w:rPr>
        <w:t>20%</w:t>
      </w:r>
      <w:r w:rsidRPr="00582D4A">
        <w:rPr>
          <w:rFonts w:hint="eastAsia"/>
          <w:bCs/>
          <w:sz w:val="24"/>
        </w:rPr>
        <w:t>；</w:t>
      </w:r>
    </w:p>
    <w:p w14:paraId="5E307922" w14:textId="77777777" w:rsidR="00582D4A" w:rsidRPr="00582D4A" w:rsidRDefault="00582D4A" w:rsidP="00582D4A">
      <w:pPr>
        <w:spacing w:line="360" w:lineRule="auto"/>
        <w:ind w:firstLineChars="200" w:firstLine="480"/>
        <w:rPr>
          <w:bCs/>
          <w:sz w:val="24"/>
        </w:rPr>
      </w:pPr>
      <w:r w:rsidRPr="00582D4A">
        <w:rPr>
          <w:rFonts w:hint="eastAsia"/>
          <w:bCs/>
          <w:sz w:val="24"/>
        </w:rPr>
        <w:t>4</w:t>
      </w:r>
      <w:r w:rsidRPr="00582D4A">
        <w:rPr>
          <w:rFonts w:hint="eastAsia"/>
          <w:bCs/>
          <w:sz w:val="24"/>
        </w:rPr>
        <w:t>）本基金所持有的股票市值和买入、卖出股指期货合约价值，合计（轧差计算）应当符合基金合同关于股票投资比例的有关约定；</w:t>
      </w:r>
    </w:p>
    <w:p w14:paraId="04A3FF19" w14:textId="77777777" w:rsidR="00582D4A" w:rsidRPr="00582D4A" w:rsidRDefault="00582D4A" w:rsidP="00582D4A">
      <w:pPr>
        <w:spacing w:line="360" w:lineRule="auto"/>
        <w:ind w:firstLineChars="200" w:firstLine="480"/>
        <w:rPr>
          <w:bCs/>
          <w:sz w:val="24"/>
        </w:rPr>
      </w:pPr>
      <w:r w:rsidRPr="00582D4A">
        <w:rPr>
          <w:rFonts w:hint="eastAsia"/>
          <w:bCs/>
          <w:sz w:val="24"/>
        </w:rPr>
        <w:t>5</w:t>
      </w:r>
      <w:r w:rsidRPr="00582D4A">
        <w:rPr>
          <w:rFonts w:hint="eastAsia"/>
          <w:bCs/>
          <w:sz w:val="24"/>
        </w:rPr>
        <w:t>）本基金在任何交易日内交易（不包括平仓）的股指期货合约的成交金额不得超过上一交易日基金资产净值的</w:t>
      </w:r>
      <w:r w:rsidRPr="00582D4A">
        <w:rPr>
          <w:rFonts w:hint="eastAsia"/>
          <w:bCs/>
          <w:sz w:val="24"/>
        </w:rPr>
        <w:t>20%</w:t>
      </w:r>
      <w:r w:rsidRPr="00582D4A">
        <w:rPr>
          <w:rFonts w:hint="eastAsia"/>
          <w:bCs/>
          <w:sz w:val="24"/>
        </w:rPr>
        <w:t>；</w:t>
      </w:r>
    </w:p>
    <w:p w14:paraId="227E0B38" w14:textId="4A17358B" w:rsidR="00465799" w:rsidRDefault="00582D4A" w:rsidP="00D9351F">
      <w:pPr>
        <w:spacing w:line="360" w:lineRule="auto"/>
        <w:ind w:firstLineChars="200" w:firstLine="480"/>
        <w:rPr>
          <w:rFonts w:ascii="宋体" w:hAnsi="宋体"/>
          <w:sz w:val="24"/>
        </w:rPr>
      </w:pPr>
      <w:r w:rsidRPr="00582D4A">
        <w:rPr>
          <w:rFonts w:hint="eastAsia"/>
          <w:bCs/>
          <w:sz w:val="24"/>
        </w:rPr>
        <w:t>（</w:t>
      </w:r>
      <w:r w:rsidR="00167F4F" w:rsidRPr="00582D4A">
        <w:rPr>
          <w:rFonts w:hint="eastAsia"/>
          <w:bCs/>
          <w:sz w:val="24"/>
        </w:rPr>
        <w:t>1</w:t>
      </w:r>
      <w:r w:rsidR="00167F4F">
        <w:rPr>
          <w:bCs/>
          <w:sz w:val="24"/>
        </w:rPr>
        <w:t>4</w:t>
      </w:r>
      <w:r w:rsidRPr="00582D4A">
        <w:rPr>
          <w:rFonts w:hint="eastAsia"/>
          <w:bCs/>
          <w:sz w:val="24"/>
        </w:rPr>
        <w:t>）法律法规及中国证监会规定的和《基金合同》约定的其他投资限制。</w:t>
      </w:r>
    </w:p>
    <w:p w14:paraId="5881327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F79F8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3535236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529C58A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53029D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264F91A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5947C2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3C6BC9FF" w14:textId="3B6F2CC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p w14:paraId="0E310FB6" w14:textId="77777777" w:rsidR="00896C5A" w:rsidRPr="00456F57" w:rsidRDefault="002D6BC2" w:rsidP="00431BE1">
      <w:pPr>
        <w:spacing w:line="360" w:lineRule="auto"/>
        <w:ind w:firstLineChars="200" w:firstLine="480"/>
        <w:rPr>
          <w:rFonts w:ascii="宋体" w:hAnsi="宋体" w:cs="Arial"/>
          <w:sz w:val="24"/>
        </w:rPr>
      </w:pPr>
      <w:r w:rsidRPr="00456F57">
        <w:rPr>
          <w:rFonts w:ascii="宋体" w:hAnsi="宋体" w:cs="Arial" w:hint="eastAsia"/>
          <w:sz w:val="24"/>
        </w:rPr>
        <w:t>如法律、行政法规或监管部门取消上述禁止性规定，如适用于本基金，基金管理人在履行适当程序后，本基金可不受上述规定的限制。</w:t>
      </w:r>
    </w:p>
    <w:bookmarkEnd w:id="17"/>
    <w:p w14:paraId="0B3464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基金管理人运用基金财产买卖基金管理人、基金托管人及其控股股东、实际控制人或者与其有其他重大利害关系的公司发行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w:t>
      </w:r>
      <w:r w:rsidR="002D6BC2" w:rsidRPr="00456F57">
        <w:rPr>
          <w:rFonts w:ascii="宋体" w:hAnsi="宋体" w:cs="Arial" w:hint="eastAsia"/>
          <w:sz w:val="24"/>
        </w:rPr>
        <w:t>的</w:t>
      </w:r>
      <w:r w:rsidRPr="00E77CC9">
        <w:rPr>
          <w:rFonts w:ascii="宋体" w:hAnsi="宋体" w:hint="eastAsia"/>
          <w:sz w:val="24"/>
        </w:rPr>
        <w:t>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11A214"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383D75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基金管理人应当自基金合同生效日起</w:t>
      </w:r>
      <w:r w:rsidRPr="00E77CC9">
        <w:rPr>
          <w:rFonts w:ascii="宋体" w:hAnsi="宋体"/>
          <w:sz w:val="24"/>
        </w:rPr>
        <w:t>6个月内使基金的投资组合比例符合</w:t>
      </w:r>
      <w:r w:rsidRPr="00E77CC9">
        <w:rPr>
          <w:rFonts w:ascii="宋体" w:hAnsi="宋体"/>
          <w:sz w:val="24"/>
        </w:rPr>
        <w:lastRenderedPageBreak/>
        <w:t>基金合同的有关约定。</w:t>
      </w:r>
      <w:r w:rsidRPr="00E77CC9">
        <w:rPr>
          <w:rFonts w:ascii="宋体" w:hAnsi="宋体" w:hint="eastAsia"/>
          <w:sz w:val="24"/>
        </w:rPr>
        <w:t>在上述期间内，本基金的投资范围、投资策略应当符合基金合同的约定。</w:t>
      </w:r>
    </w:p>
    <w:p w14:paraId="53EA25F6" w14:textId="20D636F2"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基金托管人</w:t>
      </w:r>
      <w:r w:rsidRPr="00E77CC9">
        <w:rPr>
          <w:rFonts w:ascii="宋体" w:hAnsi="宋体" w:hint="eastAsia"/>
          <w:sz w:val="24"/>
        </w:rPr>
        <w:t>对基金的投资的监督与检查自本基金合同生效之日起开始。</w:t>
      </w:r>
      <w:r w:rsidR="00D9351F">
        <w:rPr>
          <w:sz w:val="24"/>
        </w:rPr>
        <w:t>除上述（</w:t>
      </w:r>
      <w:r w:rsidR="00D9351F">
        <w:rPr>
          <w:sz w:val="24"/>
        </w:rPr>
        <w:t>2</w:t>
      </w:r>
      <w:r w:rsidR="00D9351F">
        <w:rPr>
          <w:sz w:val="24"/>
        </w:rPr>
        <w:t>）、（</w:t>
      </w:r>
      <w:r w:rsidR="00C87739">
        <w:rPr>
          <w:sz w:val="24"/>
        </w:rPr>
        <w:t>7</w:t>
      </w:r>
      <w:r w:rsidR="00D9351F">
        <w:rPr>
          <w:sz w:val="24"/>
        </w:rPr>
        <w:t>）、（</w:t>
      </w:r>
      <w:r w:rsidR="00C87739">
        <w:rPr>
          <w:sz w:val="24"/>
        </w:rPr>
        <w:t>10</w:t>
      </w:r>
      <w:r w:rsidR="00D9351F">
        <w:rPr>
          <w:sz w:val="24"/>
        </w:rPr>
        <w:t>）、（</w:t>
      </w:r>
      <w:r w:rsidR="00C87739">
        <w:rPr>
          <w:sz w:val="24"/>
        </w:rPr>
        <w:t>11</w:t>
      </w:r>
      <w:r w:rsidR="00D9351F">
        <w:rPr>
          <w:sz w:val="24"/>
        </w:rPr>
        <w:t>）情形之外，</w:t>
      </w:r>
      <w:r w:rsidRPr="00E77CC9">
        <w:rPr>
          <w:rFonts w:ascii="宋体" w:hAnsi="宋体" w:hint="eastAsia"/>
          <w:sz w:val="24"/>
        </w:rPr>
        <w:t>因</w:t>
      </w:r>
      <w:r w:rsidR="008A2276" w:rsidRPr="004D4661">
        <w:rPr>
          <w:rFonts w:ascii="宋体" w:hAnsi="宋体" w:hint="eastAsia"/>
          <w:sz w:val="24"/>
        </w:rPr>
        <w:t>证券</w:t>
      </w:r>
      <w:r w:rsidR="00D9351F">
        <w:rPr>
          <w:rFonts w:ascii="宋体" w:hAnsi="宋体" w:hint="eastAsia"/>
          <w:sz w:val="24"/>
        </w:rPr>
        <w:t>、</w:t>
      </w:r>
      <w:r w:rsidR="00D9351F">
        <w:rPr>
          <w:rFonts w:ascii="宋体" w:hAnsi="宋体"/>
          <w:sz w:val="24"/>
        </w:rPr>
        <w:t>期货</w:t>
      </w:r>
      <w:r w:rsidR="008A2276" w:rsidRPr="004D4661">
        <w:rPr>
          <w:rFonts w:ascii="宋体" w:hAnsi="宋体" w:hint="eastAsia"/>
          <w:sz w:val="24"/>
        </w:rPr>
        <w:t>市场</w:t>
      </w:r>
      <w:r w:rsidRPr="00E77CC9">
        <w:rPr>
          <w:rFonts w:ascii="宋体" w:hAnsi="宋体" w:hint="eastAsia"/>
          <w:sz w:val="24"/>
        </w:rPr>
        <w:t>波动、证券发行人合并</w:t>
      </w:r>
      <w:r w:rsidRPr="00E77CC9">
        <w:rPr>
          <w:rFonts w:ascii="宋体" w:hAnsi="宋体"/>
          <w:sz w:val="24"/>
        </w:rPr>
        <w:t>或</w:t>
      </w:r>
      <w:r w:rsidRPr="00E77CC9">
        <w:rPr>
          <w:rFonts w:ascii="宋体" w:hAnsi="宋体" w:hint="eastAsia"/>
          <w:sz w:val="24"/>
        </w:rPr>
        <w:t>基金规模变动</w:t>
      </w:r>
      <w:r w:rsidR="00D9351F">
        <w:rPr>
          <w:rFonts w:hint="eastAsia"/>
          <w:bCs/>
          <w:sz w:val="24"/>
        </w:rPr>
        <w:t>、标的指数成份</w:t>
      </w:r>
      <w:r w:rsidR="00B638DC">
        <w:rPr>
          <w:rFonts w:hint="eastAsia"/>
          <w:bCs/>
          <w:sz w:val="24"/>
        </w:rPr>
        <w:t>股及</w:t>
      </w:r>
      <w:r w:rsidR="00B638DC">
        <w:rPr>
          <w:rFonts w:hint="eastAsia"/>
          <w:bCs/>
          <w:sz w:val="24"/>
        </w:rPr>
        <w:t>/</w:t>
      </w:r>
      <w:r w:rsidR="00B638DC">
        <w:rPr>
          <w:rFonts w:hint="eastAsia"/>
          <w:bCs/>
          <w:sz w:val="24"/>
        </w:rPr>
        <w:t>或权重</w:t>
      </w:r>
      <w:r w:rsidR="00D9351F">
        <w:rPr>
          <w:rFonts w:hint="eastAsia"/>
          <w:bCs/>
          <w:sz w:val="24"/>
        </w:rPr>
        <w:t>调整、标的指数</w:t>
      </w:r>
      <w:r w:rsidR="00B638DC">
        <w:rPr>
          <w:rFonts w:hint="eastAsia"/>
          <w:bCs/>
          <w:sz w:val="24"/>
        </w:rPr>
        <w:t>股</w:t>
      </w:r>
      <w:r w:rsidR="00D9351F" w:rsidRPr="00C145F1">
        <w:rPr>
          <w:rFonts w:hint="eastAsia"/>
          <w:bCs/>
          <w:sz w:val="24"/>
        </w:rPr>
        <w:t>流动性限制</w:t>
      </w:r>
      <w:r w:rsidRPr="00E77CC9">
        <w:rPr>
          <w:rFonts w:ascii="宋体" w:hAnsi="宋体" w:hint="eastAsia"/>
          <w:sz w:val="24"/>
        </w:rPr>
        <w:t>等基金管理人之外的原因</w:t>
      </w:r>
      <w:r w:rsidRPr="00E77CC9">
        <w:rPr>
          <w:rFonts w:ascii="宋体" w:hAnsi="宋体"/>
          <w:sz w:val="24"/>
        </w:rPr>
        <w:t>导致投资</w:t>
      </w:r>
      <w:r w:rsidRPr="00E77CC9">
        <w:rPr>
          <w:rFonts w:ascii="宋体" w:hAnsi="宋体" w:hint="eastAsia"/>
          <w:sz w:val="24"/>
        </w:rPr>
        <w:t>比例不符合</w:t>
      </w:r>
      <w:r w:rsidRPr="00E77CC9">
        <w:rPr>
          <w:rFonts w:ascii="宋体" w:hAnsi="宋体"/>
          <w:sz w:val="24"/>
        </w:rPr>
        <w:t>上述</w:t>
      </w:r>
      <w:r w:rsidRPr="00E77CC9">
        <w:rPr>
          <w:rFonts w:ascii="宋体" w:hAnsi="宋体" w:hint="eastAsia"/>
          <w:sz w:val="24"/>
        </w:rPr>
        <w:t>规定的</w:t>
      </w:r>
      <w:r w:rsidRPr="00E77CC9">
        <w:rPr>
          <w:rFonts w:ascii="宋体" w:hAnsi="宋体"/>
          <w:sz w:val="24"/>
        </w:rPr>
        <w:t>，基金管理人应在10个交易日内进行调整</w:t>
      </w:r>
      <w:r w:rsidR="00754294">
        <w:rPr>
          <w:rFonts w:hint="eastAsia"/>
          <w:bCs/>
          <w:sz w:val="24"/>
        </w:rPr>
        <w:t>，</w:t>
      </w:r>
      <w:r w:rsidR="00754294">
        <w:rPr>
          <w:bCs/>
          <w:sz w:val="24"/>
        </w:rPr>
        <w:t>但中国证监会规定的特殊情形除外</w:t>
      </w:r>
      <w:r w:rsidRPr="00E77CC9">
        <w:rPr>
          <w:rFonts w:ascii="宋体" w:hAnsi="宋体" w:hint="eastAsia"/>
          <w:sz w:val="24"/>
        </w:rPr>
        <w:t>。法律法规另有规定的，从其规定。</w:t>
      </w:r>
    </w:p>
    <w:p w14:paraId="58BF2F06" w14:textId="68FE3485"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6.如果法律法规及监管政策等对基金合同约定的投资禁止行为和投资组合比例限制进行变更的，本基金可相应调整禁止行为和投资比例限制规定。《基金法》及其他有关法律法规或监管部门</w:t>
      </w:r>
      <w:r w:rsidRPr="00E77CC9">
        <w:rPr>
          <w:rFonts w:ascii="宋体" w:hAnsi="宋体" w:hint="eastAsia"/>
          <w:sz w:val="24"/>
        </w:rPr>
        <w:t>取消</w:t>
      </w:r>
      <w:r w:rsidRPr="00E77CC9">
        <w:rPr>
          <w:rFonts w:ascii="宋体" w:hAnsi="宋体"/>
          <w:sz w:val="24"/>
        </w:rPr>
        <w:t>上述限制</w:t>
      </w:r>
      <w:r w:rsidRPr="00E77CC9">
        <w:rPr>
          <w:rFonts w:ascii="宋体" w:hAnsi="宋体" w:hint="eastAsia"/>
          <w:sz w:val="24"/>
        </w:rPr>
        <w:t>的</w:t>
      </w:r>
      <w:r w:rsidRPr="00E77CC9">
        <w:rPr>
          <w:rFonts w:ascii="宋体" w:hAnsi="宋体"/>
          <w:sz w:val="24"/>
        </w:rPr>
        <w:t>，</w:t>
      </w:r>
      <w:r w:rsidRPr="00E77CC9">
        <w:rPr>
          <w:rFonts w:ascii="宋体" w:hAnsi="宋体" w:hint="eastAsia"/>
          <w:sz w:val="24"/>
        </w:rPr>
        <w:t>履行适当程序后，基金不受上述限制</w:t>
      </w:r>
      <w:r w:rsidRPr="00E77CC9">
        <w:rPr>
          <w:rFonts w:ascii="宋体" w:hAnsi="宋体"/>
          <w:sz w:val="24"/>
        </w:rPr>
        <w:t>。</w:t>
      </w:r>
    </w:p>
    <w:p w14:paraId="397BDF2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602CE38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3521EF17" w14:textId="09288051"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71DE038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6D3AE28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0712538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651C2CB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4EBBF2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630FD7E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71DAE2B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7538042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1045A9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1F14D1B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7CBD1D8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7E23ED5F" w14:textId="71CF69B5"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2D6BC2" w:rsidRPr="00456F57">
        <w:rPr>
          <w:rFonts w:ascii="宋体" w:hAnsi="宋体" w:cs="Arial" w:hint="eastAsia"/>
          <w:sz w:val="24"/>
        </w:rPr>
        <w:t>、</w:t>
      </w:r>
      <w:r w:rsidRPr="00E77CC9">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E77CC9">
        <w:rPr>
          <w:rFonts w:ascii="宋体" w:hAnsi="宋体" w:hint="eastAsia"/>
          <w:sz w:val="24"/>
        </w:rPr>
        <w:t>存款证实书或其他有效存款凭证的，基金托管人可向存款分支机构的上级行发出存款余额询证函，存款分支机构及其上级行应予配合。</w:t>
      </w:r>
    </w:p>
    <w:p w14:paraId="435645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w:t>
      </w:r>
      <w:r w:rsidRPr="00E77CC9">
        <w:rPr>
          <w:rFonts w:ascii="宋体" w:hAnsi="宋体" w:hint="eastAsia"/>
          <w:sz w:val="24"/>
        </w:rPr>
        <w:lastRenderedPageBreak/>
        <w:t>金应全部划转到指定的基金托管账户，并在《存款协议书》写明账户名称和账号，未划入指定账户的，由存款银行承担一切责任。</w:t>
      </w:r>
    </w:p>
    <w:p w14:paraId="5FC1BAA5"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2622239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06BCDF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16C6E01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68F22A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1C30394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01123AE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3369744C" w14:textId="3D172D2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F9F680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51674A9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2A499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7FAA7AD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每个工作日，基金管理人应与基金托管人核对各项银行存款投资余额及应计利息。</w:t>
      </w:r>
    </w:p>
    <w:p w14:paraId="4A377721"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4CE2027B"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存款银行应配合基金托管人对存款凭证的询证，并在询证函上加盖存款银行公章寄送至基金托管人指定联系人。</w:t>
      </w:r>
    </w:p>
    <w:p w14:paraId="15860C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528E6FAB" w14:textId="3D2B25E0"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E77CC9">
        <w:rPr>
          <w:rFonts w:ascii="宋体" w:hAnsi="宋体" w:hint="eastAsia"/>
          <w:sz w:val="24"/>
        </w:rPr>
        <w:t>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基金托管人电话询问。存款到期前基金管理人与存款银行确认存款凭证收到并于到期日兑付存款本息事宜。</w:t>
      </w:r>
    </w:p>
    <w:p w14:paraId="3D5ED1F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79AA625F"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188CCEB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269F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4508FB4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049BDFA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6ADEF65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069DFD3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 xml:space="preserve">10 </w:t>
      </w:r>
      <w:r w:rsidRPr="00E77CC9">
        <w:rPr>
          <w:rFonts w:ascii="宋体" w:hAnsi="宋体" w:hint="eastAsia"/>
          <w:sz w:val="24"/>
        </w:rPr>
        <w:t>个工作日内纠正。基金管理人对基金托管人通知的违规事项未能在</w:t>
      </w:r>
      <w:r w:rsidRPr="00E77CC9">
        <w:rPr>
          <w:rFonts w:ascii="宋体" w:hAnsi="宋体"/>
          <w:sz w:val="24"/>
        </w:rPr>
        <w:t xml:space="preserve">10 </w:t>
      </w:r>
      <w:r w:rsidRPr="00E77CC9">
        <w:rPr>
          <w:rFonts w:ascii="宋体" w:hAnsi="宋体" w:hint="eastAsia"/>
          <w:sz w:val="24"/>
        </w:rPr>
        <w:t>个工作日内纠正的，基</w:t>
      </w:r>
      <w:r w:rsidRPr="00E77CC9">
        <w:rPr>
          <w:rFonts w:ascii="宋体" w:hAnsi="宋体" w:hint="eastAsia"/>
          <w:sz w:val="24"/>
        </w:rPr>
        <w:lastRenderedPageBreak/>
        <w:t>金托管人应报告中国证监会。基金托管人发现基金管理人有重大违规行为，应立即报告中国证监会，同时通知基金管理人在</w:t>
      </w:r>
      <w:r w:rsidRPr="00E77CC9">
        <w:rPr>
          <w:rFonts w:ascii="宋体" w:hAnsi="宋体"/>
          <w:sz w:val="24"/>
        </w:rPr>
        <w:t xml:space="preserve">10 </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760800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3个交易日内与基金托管人协商解决。</w:t>
      </w:r>
    </w:p>
    <w:p w14:paraId="2BF78B41" w14:textId="3B58E8E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EA1101">
        <w:rPr>
          <w:rFonts w:ascii="宋体" w:hAnsi="宋体" w:hint="eastAsia"/>
          <w:sz w:val="24"/>
        </w:rPr>
        <w:t>风险防范</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2A618D9" w14:textId="5CEAC5CB"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49142DAC"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6290E74"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lastRenderedPageBreak/>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101C525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29903B36"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基金不得投资有锁定期但锁定期不明确的证券</w:t>
      </w:r>
      <w:r w:rsidR="00852396" w:rsidRPr="00E77CC9">
        <w:rPr>
          <w:rFonts w:ascii="宋体" w:hAnsi="宋体" w:hint="eastAsia"/>
          <w:sz w:val="24"/>
        </w:rPr>
        <w:t>。</w:t>
      </w:r>
    </w:p>
    <w:p w14:paraId="1D3C4B67"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 xml:space="preserve">2. </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D257E85"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2736E77"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71617CE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sidRPr="00E77CC9">
        <w:rPr>
          <w:rFonts w:ascii="宋体" w:hAnsi="宋体" w:hint="eastAsia"/>
          <w:sz w:val="24"/>
        </w:rPr>
        <w:t>于拟执行投资指令前两个工作日将上述信息书面发至基金托管人，保证基金托管人有足够的时间进行审核。</w:t>
      </w:r>
    </w:p>
    <w:p w14:paraId="4401BA8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115DBCC4"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w:t>
      </w:r>
      <w:r w:rsidRPr="00E77CC9">
        <w:rPr>
          <w:rFonts w:ascii="宋体" w:hAnsi="宋体" w:hint="eastAsia"/>
          <w:sz w:val="24"/>
        </w:rPr>
        <w:lastRenderedPageBreak/>
        <w:t>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41F5802" w14:textId="50DEFED5"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 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w:t>
      </w:r>
      <w:r w:rsidR="00060875">
        <w:rPr>
          <w:rFonts w:ascii="宋体" w:hAnsi="宋体" w:hint="eastAsia"/>
          <w:sz w:val="24"/>
        </w:rPr>
        <w:t>规定</w:t>
      </w:r>
      <w:r w:rsidRPr="00E77CC9">
        <w:rPr>
          <w:rFonts w:ascii="宋体" w:hAnsi="宋体"/>
          <w:sz w:val="24"/>
        </w:rPr>
        <w:t>媒介披露所投资非公开发行股票的名称、数量、总成本、账面价值,以及总成本和账面价值占基金资产净值的比例、锁定期等信息。</w:t>
      </w:r>
    </w:p>
    <w:p w14:paraId="51803664" w14:textId="35B2F695"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3EB38939" w14:textId="7674D71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w:t>
      </w:r>
      <w:r w:rsidR="006251A8" w:rsidRPr="00E17759">
        <w:rPr>
          <w:rFonts w:ascii="宋体" w:hAnsi="宋体" w:hint="eastAsia"/>
          <w:sz w:val="24"/>
        </w:rPr>
        <w:t>各类基金份额的</w:t>
      </w:r>
      <w:r w:rsidRPr="00E77CC9">
        <w:rPr>
          <w:rFonts w:ascii="宋体" w:hAnsi="宋体" w:hint="eastAsia"/>
          <w:sz w:val="24"/>
        </w:rPr>
        <w:t>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08A422F5" w14:textId="360CA4D5"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BDDBCEA" w14:textId="3EBD405B"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4A5216B" w14:textId="1B67083D"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w:t>
      </w:r>
      <w:r w:rsidRPr="00E77CC9">
        <w:rPr>
          <w:rFonts w:ascii="宋体" w:hAnsi="宋体" w:hint="eastAsia"/>
          <w:sz w:val="24"/>
        </w:rPr>
        <w:lastRenderedPageBreak/>
        <w:t>以免责。</w:t>
      </w:r>
    </w:p>
    <w:p w14:paraId="6DFFD97D" w14:textId="5AB3DD9B"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0B478587" w14:textId="77777777" w:rsidR="00101B49" w:rsidRPr="00E77CC9" w:rsidRDefault="00101B49">
      <w:pPr>
        <w:pStyle w:val="2"/>
        <w:spacing w:beforeLines="100" w:before="312" w:afterLines="50" w:after="156" w:line="360" w:lineRule="auto"/>
        <w:jc w:val="center"/>
        <w:rPr>
          <w:rFonts w:ascii="宋体" w:hAnsi="宋体"/>
          <w:sz w:val="24"/>
        </w:rPr>
      </w:pPr>
      <w:bookmarkStart w:id="18" w:name="_Toc110830492"/>
      <w:bookmarkStart w:id="19" w:name="_Toc86737929"/>
      <w:bookmarkStart w:id="20" w:name="_Toc110765660"/>
      <w:bookmarkStart w:id="21" w:name="_Toc118972648"/>
      <w:bookmarkStart w:id="22" w:name="_Toc120435783"/>
      <w:bookmarkStart w:id="23" w:name="_Toc86727355"/>
      <w:bookmarkStart w:id="24" w:name="_Toc86726439"/>
      <w:bookmarkStart w:id="25" w:name="_Toc119402710"/>
      <w:bookmarkStart w:id="26" w:name="_Toc108512358"/>
      <w:bookmarkStart w:id="27" w:name="_Toc89163368"/>
      <w:bookmarkStart w:id="28" w:name="_Toc86223242"/>
      <w:bookmarkStart w:id="29" w:name="_Toc118774803"/>
      <w:bookmarkStart w:id="30" w:name="_Toc118212950"/>
      <w:bookmarkStart w:id="31" w:name="_Toc110761796"/>
      <w:bookmarkStart w:id="32" w:name="_Toc86225291"/>
      <w:bookmarkStart w:id="33" w:name="_Toc86649722"/>
      <w:r w:rsidRPr="00E77CC9">
        <w:rPr>
          <w:rFonts w:ascii="宋体" w:hAnsi="宋体"/>
          <w:sz w:val="24"/>
        </w:rPr>
        <w:br w:type="page"/>
      </w:r>
      <w:bookmarkStart w:id="34" w:name="_Toc348082032"/>
      <w:bookmarkStart w:id="35" w:name="_Toc488938613"/>
      <w:bookmarkStart w:id="36" w:name="_Toc384992694"/>
      <w:r w:rsidRPr="00E77CC9">
        <w:rPr>
          <w:rFonts w:ascii="宋体" w:hAnsi="宋体" w:hint="eastAsia"/>
          <w:sz w:val="24"/>
        </w:rPr>
        <w:lastRenderedPageBreak/>
        <w:t>四、基金管理人对基金托管人的业务核查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1DA3BEC" w14:textId="57306CF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w:t>
      </w:r>
      <w:r w:rsidR="006251A8" w:rsidRPr="00B4295D">
        <w:rPr>
          <w:rFonts w:ascii="宋体" w:hAnsi="宋体" w:hint="eastAsia"/>
          <w:sz w:val="24"/>
        </w:rPr>
        <w:t>各类基金份额的</w:t>
      </w:r>
      <w:r w:rsidRPr="00E77CC9">
        <w:rPr>
          <w:rFonts w:ascii="宋体" w:hAnsi="宋体" w:hint="eastAsia"/>
          <w:sz w:val="24"/>
        </w:rPr>
        <w:t>基金资产净值和基金份额净值、根据基金管理人指令办理清算交收、相关信息披露和监督基金投资运作等行为。</w:t>
      </w:r>
    </w:p>
    <w:p w14:paraId="3C39A93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B1CC28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696057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30084B92" w14:textId="77777777" w:rsidR="00896C5A" w:rsidRPr="00E77CC9" w:rsidRDefault="00896C5A">
      <w:pPr>
        <w:spacing w:line="360" w:lineRule="auto"/>
        <w:rPr>
          <w:rFonts w:ascii="宋体" w:hAnsi="宋体"/>
          <w:sz w:val="24"/>
        </w:rPr>
      </w:pPr>
    </w:p>
    <w:p w14:paraId="4947E3A0" w14:textId="77777777" w:rsidR="00101B49" w:rsidRPr="00E77CC9" w:rsidRDefault="00101B49">
      <w:pPr>
        <w:pStyle w:val="2"/>
        <w:spacing w:beforeLines="100" w:before="312" w:afterLines="50" w:after="156" w:line="360" w:lineRule="auto"/>
        <w:jc w:val="center"/>
        <w:rPr>
          <w:rFonts w:ascii="宋体" w:hAnsi="宋体"/>
          <w:sz w:val="24"/>
        </w:rPr>
      </w:pPr>
      <w:bookmarkStart w:id="37" w:name="_Toc108512359"/>
      <w:bookmarkStart w:id="38" w:name="_Toc84234435"/>
      <w:bookmarkStart w:id="39" w:name="_Toc86225292"/>
      <w:bookmarkStart w:id="40" w:name="_Toc110765661"/>
      <w:bookmarkStart w:id="41" w:name="_Toc119402711"/>
      <w:bookmarkStart w:id="42" w:name="_Toc86727356"/>
      <w:bookmarkStart w:id="43" w:name="_Toc84133786"/>
      <w:bookmarkStart w:id="44" w:name="_Toc118774804"/>
      <w:bookmarkStart w:id="45" w:name="_Toc118212951"/>
      <w:bookmarkStart w:id="46" w:name="_Toc120435784"/>
      <w:bookmarkStart w:id="47" w:name="_Toc86649723"/>
      <w:bookmarkStart w:id="48" w:name="_Toc110761797"/>
      <w:bookmarkStart w:id="49" w:name="_Toc86737930"/>
      <w:bookmarkStart w:id="50" w:name="_Toc118972649"/>
      <w:bookmarkStart w:id="51" w:name="_Toc86204789"/>
      <w:bookmarkStart w:id="52" w:name="_Toc84234388"/>
      <w:bookmarkStart w:id="53" w:name="_Toc89163369"/>
      <w:bookmarkStart w:id="54" w:name="_Toc86726440"/>
      <w:bookmarkStart w:id="55" w:name="_Toc110830493"/>
      <w:bookmarkStart w:id="56" w:name="_Toc86223243"/>
      <w:r w:rsidRPr="00E77CC9">
        <w:rPr>
          <w:rFonts w:ascii="宋体" w:hAnsi="宋体"/>
          <w:sz w:val="24"/>
        </w:rPr>
        <w:br w:type="page"/>
      </w:r>
      <w:bookmarkStart w:id="57" w:name="_Toc348082033"/>
      <w:bookmarkStart w:id="58" w:name="_Toc488938614"/>
      <w:bookmarkStart w:id="59" w:name="_Toc384992695"/>
      <w:r w:rsidRPr="00E77CC9">
        <w:rPr>
          <w:rFonts w:ascii="宋体" w:hAnsi="宋体" w:hint="eastAsia"/>
          <w:sz w:val="24"/>
        </w:rPr>
        <w:lastRenderedPageBreak/>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5F444D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6701020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CB6D8C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7DA6F9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09C9E7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21B3516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77475D9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7DD92DE" w14:textId="1099E11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5A58069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E02CF8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4CE0A970" w14:textId="7A5C2D8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61D112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为基金开立的基金资金账户，同时在规定时间内，基金管理人应聘请具有从事证券相关业务资格的会计师事务所进行</w:t>
      </w:r>
      <w:r w:rsidRPr="00E77CC9">
        <w:rPr>
          <w:rFonts w:ascii="宋体" w:hAnsi="宋体" w:hint="eastAsia"/>
          <w:sz w:val="24"/>
        </w:rPr>
        <w:lastRenderedPageBreak/>
        <w:t>验资，出具验资报告。出具的验资报告由参加验资的</w:t>
      </w:r>
      <w:r w:rsidRPr="00E77CC9">
        <w:rPr>
          <w:rFonts w:ascii="宋体" w:hAnsi="宋体"/>
          <w:sz w:val="24"/>
        </w:rPr>
        <w:t>2名或2名以上中国注册会计师签字方为有效。</w:t>
      </w:r>
    </w:p>
    <w:p w14:paraId="2CBE44D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3.若基金募集期限届满，未能达到基金合同生效的条件，由基金管理人按规定办理退款等事宜</w:t>
      </w:r>
      <w:r w:rsidRPr="00E77CC9">
        <w:rPr>
          <w:rFonts w:ascii="宋体" w:hAnsi="宋体" w:hint="eastAsia"/>
          <w:sz w:val="24"/>
        </w:rPr>
        <w:t>。</w:t>
      </w:r>
    </w:p>
    <w:p w14:paraId="1A6384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76EE96D6" w14:textId="7083E7DB"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D81FEA">
        <w:rPr>
          <w:rFonts w:hint="eastAsia"/>
          <w:bCs/>
          <w:sz w:val="24"/>
        </w:rPr>
        <w:t>交银施罗德创业板</w:t>
      </w:r>
      <w:r w:rsidR="00D81FEA">
        <w:rPr>
          <w:rFonts w:hint="eastAsia"/>
          <w:bCs/>
          <w:sz w:val="24"/>
        </w:rPr>
        <w:t>50</w:t>
      </w:r>
      <w:r w:rsidR="00D81FEA">
        <w:rPr>
          <w:rFonts w:hint="eastAsia"/>
          <w:bCs/>
          <w:sz w:val="24"/>
        </w:rPr>
        <w:t>指数型证券投资</w:t>
      </w:r>
      <w:r w:rsidRPr="00E77CC9">
        <w:rPr>
          <w:rFonts w:hint="eastAsia"/>
          <w:sz w:val="24"/>
        </w:rPr>
        <w:t>基金</w:t>
      </w:r>
      <w:r w:rsidRPr="00E77CC9">
        <w:rPr>
          <w:rFonts w:ascii="宋体" w:hAnsi="宋体" w:hint="eastAsia"/>
          <w:sz w:val="24"/>
        </w:rPr>
        <w:t>”，预留印鉴为基金托管人印章。</w:t>
      </w:r>
    </w:p>
    <w:p w14:paraId="3A1D98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C7B396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3E55E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11F7D2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3010C70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EAF9E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025B9784" w14:textId="3DA246C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0ED05B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若无相关规定，则基金托管人比照上述关于账户开立、使用的规定执行。</w:t>
      </w:r>
    </w:p>
    <w:p w14:paraId="6A5292E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7CDAA1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6A8079B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DC97668"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14D05E55"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18BFA199"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0AA71F56"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4869D4E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1F1A41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4D5ADD5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1EA2F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w:t>
      </w:r>
      <w:r w:rsidRPr="00E77CC9">
        <w:rPr>
          <w:rFonts w:ascii="宋体" w:hAnsi="宋体" w:hint="eastAsia"/>
          <w:sz w:val="24"/>
        </w:rPr>
        <w:lastRenderedPageBreak/>
        <w:t>期限为基金合同终止后不少于</w:t>
      </w:r>
      <w:r w:rsidRPr="00E77CC9">
        <w:rPr>
          <w:rFonts w:ascii="宋体" w:hAnsi="宋体"/>
          <w:sz w:val="24"/>
        </w:rPr>
        <w:t>15年。</w:t>
      </w:r>
    </w:p>
    <w:p w14:paraId="00223E4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CBCEA56" w14:textId="77777777" w:rsidR="00896C5A" w:rsidRPr="00E77CC9" w:rsidRDefault="00896C5A">
      <w:pPr>
        <w:spacing w:line="360" w:lineRule="auto"/>
        <w:ind w:firstLine="420"/>
        <w:rPr>
          <w:rFonts w:ascii="宋体" w:hAnsi="宋体"/>
          <w:sz w:val="24"/>
        </w:rPr>
      </w:pPr>
    </w:p>
    <w:p w14:paraId="3676C155" w14:textId="77777777" w:rsidR="00101B49" w:rsidRPr="00E77CC9" w:rsidRDefault="00101B49">
      <w:pPr>
        <w:pStyle w:val="2"/>
        <w:spacing w:beforeLines="100" w:before="312" w:afterLines="50" w:after="156" w:line="360" w:lineRule="auto"/>
        <w:jc w:val="center"/>
        <w:rPr>
          <w:rFonts w:ascii="宋体" w:hAnsi="宋体"/>
          <w:sz w:val="24"/>
        </w:rPr>
      </w:pPr>
      <w:bookmarkStart w:id="60" w:name="_Toc110761798"/>
      <w:bookmarkStart w:id="61" w:name="_Toc118972650"/>
      <w:bookmarkStart w:id="62" w:name="_Toc86726441"/>
      <w:bookmarkStart w:id="63" w:name="_Toc86225293"/>
      <w:bookmarkStart w:id="64" w:name="_Toc86727357"/>
      <w:bookmarkStart w:id="65" w:name="_Toc110830494"/>
      <w:bookmarkStart w:id="66" w:name="_Toc84234389"/>
      <w:bookmarkStart w:id="67" w:name="_Toc86204790"/>
      <w:bookmarkStart w:id="68" w:name="_Toc84133787"/>
      <w:bookmarkStart w:id="69" w:name="_Toc86223244"/>
      <w:bookmarkStart w:id="70" w:name="_Toc110765662"/>
      <w:bookmarkStart w:id="71" w:name="_Toc118212952"/>
      <w:bookmarkStart w:id="72" w:name="_Toc118774805"/>
      <w:bookmarkStart w:id="73" w:name="_Toc84234436"/>
      <w:bookmarkStart w:id="74" w:name="_Toc119402712"/>
      <w:bookmarkStart w:id="75" w:name="_Toc86737931"/>
      <w:bookmarkStart w:id="76" w:name="_Toc86649724"/>
      <w:bookmarkStart w:id="77" w:name="_Toc120435785"/>
      <w:bookmarkStart w:id="78" w:name="_Toc108512360"/>
      <w:bookmarkStart w:id="79" w:name="_Toc89163370"/>
      <w:r w:rsidRPr="00E77CC9">
        <w:rPr>
          <w:rFonts w:ascii="宋体" w:hAnsi="宋体"/>
          <w:sz w:val="24"/>
        </w:rPr>
        <w:br w:type="page"/>
      </w:r>
      <w:bookmarkStart w:id="80" w:name="_Toc348082034"/>
      <w:bookmarkStart w:id="81" w:name="_Toc488938615"/>
      <w:bookmarkStart w:id="82" w:name="_Toc384992696"/>
      <w:r w:rsidRPr="00E77CC9">
        <w:rPr>
          <w:rFonts w:ascii="宋体" w:hAnsi="宋体" w:hint="eastAsia"/>
          <w:sz w:val="24"/>
        </w:rPr>
        <w:lastRenderedPageBreak/>
        <w:t>六、指令的发送、确认及执行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4E3A4D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2C366541"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3DD7301A" w14:textId="77777777" w:rsidR="00896C5A" w:rsidRPr="00E77CC9"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管理人在启用电子指令前应使用传真或其他与基金托管人协商一致的方式向基金托管人发出启用函。启用函应注明启用的业务类型、启用日期等。启用函应加盖基金管理人公司公章。</w:t>
      </w:r>
    </w:p>
    <w:p w14:paraId="035D25D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2781A57D"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33B673F8"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798BB6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FE447C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73A36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5F1142D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343EC2E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66C898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对于期货出入金业务，基金管理人应于交易日期货出入金截止时间前</w:t>
      </w:r>
      <w:r w:rsidRPr="00E77CC9">
        <w:rPr>
          <w:rFonts w:ascii="宋体" w:hAnsi="宋体"/>
          <w:sz w:val="24"/>
        </w:rPr>
        <w:t>2小时将期货</w:t>
      </w:r>
      <w:r w:rsidRPr="00E77CC9">
        <w:rPr>
          <w:rFonts w:ascii="宋体" w:hAnsi="宋体" w:hint="eastAsia"/>
          <w:sz w:val="24"/>
        </w:rPr>
        <w:t>出入金指令发送至基金托管人。</w:t>
      </w:r>
    </w:p>
    <w:p w14:paraId="3899B0E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对于场内业务，首次进行场内交易前基金管理人应与基金托管人确认已完成交易单元和股东代码设置后方可进行。</w:t>
      </w:r>
    </w:p>
    <w:p w14:paraId="7B23967B" w14:textId="1C45003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1F50D85C" w14:textId="77777777"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 xml:space="preserve">15:00 </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 xml:space="preserve">16:00 </w:t>
      </w:r>
      <w:r w:rsidRPr="00E77CC9">
        <w:rPr>
          <w:rFonts w:ascii="宋体" w:hAnsi="宋体" w:hint="eastAsia"/>
          <w:sz w:val="24"/>
        </w:rPr>
        <w:t>前支付至中国证券登记结算有限责任公司指定账户。</w:t>
      </w:r>
    </w:p>
    <w:p w14:paraId="7B88F5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044ABE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7584C65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01BAD620"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发出的出入金指令，通过期货结算银行银期转账系统进行出入金操作。</w:t>
      </w:r>
    </w:p>
    <w:p w14:paraId="77B5324F"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当结算银行银期转账系统出现故障等其他紧急情况时，</w:t>
      </w:r>
      <w:r w:rsidR="00EE227F" w:rsidRPr="00E77CC9">
        <w:rPr>
          <w:rFonts w:ascii="宋体" w:hAnsi="宋体" w:hint="eastAsia"/>
          <w:sz w:val="24"/>
        </w:rPr>
        <w:t>基金管理人</w:t>
      </w:r>
      <w:r w:rsidRPr="00E77CC9">
        <w:rPr>
          <w:rFonts w:ascii="宋体" w:hAnsi="宋体" w:hint="eastAsia"/>
          <w:sz w:val="24"/>
        </w:rPr>
        <w:t>可以使用非银期转账手工出入金</w:t>
      </w:r>
      <w:r w:rsidR="008C0FCB" w:rsidRPr="00E77CC9">
        <w:rPr>
          <w:rFonts w:ascii="宋体" w:hAnsi="宋体" w:hint="eastAsia"/>
          <w:sz w:val="24"/>
        </w:rPr>
        <w:t>。</w:t>
      </w:r>
    </w:p>
    <w:p w14:paraId="7D57F2BD"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非银期转账手工出入金，入金由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w:t>
      </w:r>
      <w:r w:rsidRPr="00E77CC9">
        <w:rPr>
          <w:rFonts w:ascii="宋体" w:hAnsi="宋体" w:hint="eastAsia"/>
          <w:sz w:val="24"/>
        </w:rPr>
        <w:lastRenderedPageBreak/>
        <w:t>通过结算银行的网银系统划往期货公司指定账户后，由</w:t>
      </w:r>
      <w:r w:rsidR="00EE227F" w:rsidRPr="00E77CC9">
        <w:rPr>
          <w:rFonts w:ascii="宋体" w:hAnsi="宋体" w:hint="eastAsia"/>
          <w:sz w:val="24"/>
        </w:rPr>
        <w:t>基金管理人</w:t>
      </w:r>
      <w:r w:rsidRPr="00E77CC9">
        <w:rPr>
          <w:rFonts w:ascii="宋体" w:hAnsi="宋体" w:hint="eastAsia"/>
          <w:sz w:val="24"/>
        </w:rPr>
        <w:t>通知期货公司进行入金操作，出金由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w:t>
      </w:r>
      <w:r w:rsidR="00F74CBB" w:rsidRPr="00E77CC9">
        <w:rPr>
          <w:rFonts w:ascii="宋体" w:hAnsi="宋体" w:hint="eastAsia"/>
          <w:sz w:val="24"/>
        </w:rPr>
        <w:t>基金</w:t>
      </w:r>
      <w:r w:rsidRPr="00E77CC9">
        <w:rPr>
          <w:rFonts w:ascii="宋体" w:hAnsi="宋体" w:hint="eastAsia"/>
          <w:sz w:val="24"/>
        </w:rPr>
        <w:t>托管账户。</w:t>
      </w:r>
    </w:p>
    <w:p w14:paraId="32083F1D"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169F82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在指令未执行的前提下，若基金管理人撤销指令，基金管理人应在原指令上注明“作废”并加盖预留印鉴及被授权人签章后传真给基金托管人，并电话通知基金托管人。</w:t>
      </w:r>
    </w:p>
    <w:p w14:paraId="5961C7FC" w14:textId="77777777" w:rsidR="00101B49" w:rsidRPr="00E77CC9" w:rsidRDefault="00101B49" w:rsidP="00E77CC9">
      <w:pPr>
        <w:pStyle w:val="a9"/>
        <w:spacing w:line="360" w:lineRule="auto"/>
        <w:rPr>
          <w:rFonts w:ascii="宋体" w:hAnsi="宋体"/>
        </w:rPr>
      </w:pPr>
      <w:r w:rsidRPr="00E77CC9">
        <w:rPr>
          <w:rFonts w:ascii="宋体" w:hAnsi="宋体" w:hint="eastAsia"/>
        </w:rPr>
        <w:t>（四）基金管理人发送错误指令的情形和处理程序</w:t>
      </w:r>
    </w:p>
    <w:p w14:paraId="1741E3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55D082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3B391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17CF9AA4" w14:textId="680C7D9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126C51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607BD5B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w:t>
      </w:r>
      <w:r w:rsidRPr="00E77CC9">
        <w:rPr>
          <w:rFonts w:ascii="宋体" w:hAnsi="宋体"/>
          <w:sz w:val="24"/>
        </w:rPr>
        <w:t xml:space="preserve"> </w:t>
      </w:r>
      <w:r w:rsidRPr="00E77CC9">
        <w:rPr>
          <w:rFonts w:ascii="宋体" w:hAnsi="宋体" w:hint="eastAsia"/>
          <w:sz w:val="24"/>
        </w:rPr>
        <w:t>，基金托管人不得无故拒绝或拖延执行，否则应就</w:t>
      </w:r>
      <w:r w:rsidRPr="00E77CC9">
        <w:rPr>
          <w:rFonts w:ascii="宋体" w:hAnsi="宋体" w:hint="eastAsia"/>
          <w:sz w:val="24"/>
        </w:rPr>
        <w:lastRenderedPageBreak/>
        <w:t>基金或基金管理人由此产生的损失负赔偿责任。</w:t>
      </w:r>
    </w:p>
    <w:p w14:paraId="09C31D5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1D491AC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1894F00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24C9FF9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745DECCF"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5252B59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4A0C3299"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50FDF6E4"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39F56477" w14:textId="1E2504A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r w:rsidRPr="00E77CC9">
        <w:rPr>
          <w:rFonts w:ascii="宋体" w:hAnsi="宋体" w:hint="eastAsia"/>
          <w:sz w:val="24"/>
        </w:rPr>
        <w:lastRenderedPageBreak/>
        <w:t>尽形式审核义务执行指令而造成损失的情形除外。</w:t>
      </w:r>
    </w:p>
    <w:p w14:paraId="161C08B1" w14:textId="77777777" w:rsidR="00896C5A" w:rsidRPr="00E77CC9" w:rsidRDefault="00896C5A">
      <w:pPr>
        <w:adjustRightInd w:val="0"/>
        <w:spacing w:line="360" w:lineRule="auto"/>
        <w:contextualSpacing/>
        <w:rPr>
          <w:rFonts w:ascii="宋体" w:hAnsi="宋体"/>
          <w:sz w:val="24"/>
        </w:rPr>
      </w:pPr>
    </w:p>
    <w:p w14:paraId="4C863183" w14:textId="77777777" w:rsidR="00101B49" w:rsidRPr="00E77CC9" w:rsidRDefault="00101B49">
      <w:pPr>
        <w:pStyle w:val="2"/>
        <w:spacing w:beforeLines="100" w:before="312" w:afterLines="50" w:after="156" w:line="360" w:lineRule="auto"/>
        <w:jc w:val="center"/>
        <w:rPr>
          <w:rFonts w:ascii="宋体" w:hAnsi="宋体"/>
          <w:sz w:val="24"/>
        </w:rPr>
      </w:pPr>
      <w:bookmarkStart w:id="83" w:name="_Toc120435786"/>
      <w:bookmarkStart w:id="84" w:name="_Toc119402713"/>
      <w:bookmarkStart w:id="85" w:name="_Toc118972651"/>
      <w:bookmarkStart w:id="86" w:name="_Toc118774806"/>
      <w:bookmarkStart w:id="87" w:name="_Toc118212953"/>
      <w:bookmarkStart w:id="88" w:name="_Toc110830495"/>
      <w:bookmarkStart w:id="89" w:name="_Toc110765663"/>
      <w:bookmarkStart w:id="90" w:name="_Toc110761799"/>
      <w:bookmarkStart w:id="91" w:name="_Toc108512361"/>
      <w:bookmarkStart w:id="92" w:name="_Toc89163371"/>
      <w:bookmarkStart w:id="93" w:name="_Toc86737932"/>
      <w:bookmarkStart w:id="94" w:name="_Toc86727358"/>
      <w:bookmarkStart w:id="95" w:name="_Toc86726442"/>
      <w:bookmarkStart w:id="96" w:name="_Toc86649725"/>
      <w:bookmarkStart w:id="97" w:name="_Toc86225294"/>
      <w:bookmarkStart w:id="98" w:name="_Toc86223245"/>
      <w:bookmarkStart w:id="99" w:name="_Toc86204791"/>
      <w:bookmarkStart w:id="100" w:name="_Toc84234437"/>
      <w:bookmarkStart w:id="101" w:name="_Toc84234390"/>
      <w:bookmarkStart w:id="102" w:name="_Toc84133788"/>
      <w:r w:rsidRPr="00E77CC9">
        <w:rPr>
          <w:rFonts w:ascii="宋体" w:hAnsi="宋体"/>
          <w:sz w:val="24"/>
        </w:rPr>
        <w:br w:type="page"/>
      </w:r>
      <w:bookmarkStart w:id="103" w:name="_Toc348082035"/>
      <w:bookmarkStart w:id="104" w:name="_Toc488938616"/>
      <w:bookmarkStart w:id="105" w:name="_Toc384992697"/>
      <w:r w:rsidRPr="00E77CC9">
        <w:rPr>
          <w:rFonts w:ascii="宋体" w:hAnsi="宋体" w:hint="eastAsia"/>
          <w:sz w:val="24"/>
        </w:rPr>
        <w:lastRenderedPageBreak/>
        <w:t>七、交易及清算交收安排</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32645CE" w14:textId="3F026C3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（一）选择代理证券买卖的证券经营机构</w:t>
      </w:r>
      <w:r w:rsidR="006F0FE2">
        <w:rPr>
          <w:rFonts w:ascii="宋体" w:hAnsi="宋体" w:hint="eastAsia"/>
          <w:sz w:val="24"/>
        </w:rPr>
        <w:t>、期货经纪机构</w:t>
      </w:r>
    </w:p>
    <w:p w14:paraId="7E50DA2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7ECE27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5BD9ECD" w14:textId="60A0CDD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16820068" w14:textId="0C824190"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145658C5" w14:textId="75A644EB"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4F983FE1" w14:textId="11B827A9"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1ED76B10"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lastRenderedPageBreak/>
        <w:t>由于交易结算报告的记载事项出现与实际交易结果和权益不符造成本产品估值计算错误的，应由基金管理人负责向数据发送方追偿，基金托管人不承担责任。</w:t>
      </w:r>
    </w:p>
    <w:p w14:paraId="493313D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478DD0F6" w14:textId="5AFF5A2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69658B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0D72F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14:paraId="0A4C60E8" w14:textId="480A89F8"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14:paraId="2F2E572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15:00前向基金托管人发送前一开放日上述有关数据，并保证相关数据的准确、完整。</w:t>
      </w:r>
    </w:p>
    <w:p w14:paraId="1FD2802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698C5F1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492800C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1EB2472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385F945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5CB38F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2054D6F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w:t>
      </w:r>
      <w:r w:rsidRPr="00E77CC9">
        <w:rPr>
          <w:rFonts w:ascii="宋体" w:hAnsi="宋体" w:hint="eastAsia"/>
          <w:sz w:val="24"/>
        </w:rPr>
        <w:lastRenderedPageBreak/>
        <w:t>按时划付；因基金资金账户没有足够的资金，导致基金托管人不能按时划付，基金托管人不承担责任，责任由基金管理人承担，基金托管人不承担垫款义务。</w:t>
      </w:r>
    </w:p>
    <w:p w14:paraId="71C677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9.资金指令</w:t>
      </w:r>
    </w:p>
    <w:p w14:paraId="65D1FA9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4387A78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4631FD9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06DA82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Pr="00E77CC9">
        <w:rPr>
          <w:rFonts w:ascii="宋体" w:hAnsi="宋体"/>
          <w:sz w:val="24"/>
        </w:rPr>
        <w:t>15:00时之前</w:t>
      </w:r>
      <w:r w:rsidRPr="00E77CC9">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14:paraId="07BE80D5" w14:textId="575BC496" w:rsidR="00101B49" w:rsidRPr="00E77CC9" w:rsidRDefault="00101B49" w:rsidP="00E77CC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32612D3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5117066" w14:textId="15E30A5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w:t>
      </w:r>
      <w:r w:rsidR="00060875">
        <w:rPr>
          <w:rFonts w:ascii="宋体" w:hAnsi="宋体" w:hint="eastAsia"/>
          <w:sz w:val="24"/>
        </w:rPr>
        <w:t>规定</w:t>
      </w:r>
      <w:r w:rsidRPr="00E77CC9">
        <w:rPr>
          <w:rFonts w:ascii="宋体" w:hAnsi="宋体" w:hint="eastAsia"/>
          <w:sz w:val="24"/>
        </w:rPr>
        <w:t>媒介上公告并</w:t>
      </w:r>
      <w:r w:rsidRPr="00E77CC9">
        <w:rPr>
          <w:rFonts w:ascii="宋体" w:hAnsi="宋体"/>
          <w:sz w:val="24"/>
        </w:rPr>
        <w:t>报中国证监会备案</w:t>
      </w:r>
      <w:r w:rsidRPr="00E77CC9">
        <w:rPr>
          <w:rFonts w:ascii="宋体" w:hAnsi="宋体" w:hint="eastAsia"/>
          <w:sz w:val="24"/>
        </w:rPr>
        <w:t>。</w:t>
      </w:r>
    </w:p>
    <w:p w14:paraId="1911E0D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根据指令及时将分红款划往基金清算账户。</w:t>
      </w:r>
    </w:p>
    <w:p w14:paraId="5DEB14C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1E8A2357" w14:textId="77777777" w:rsidR="00896C5A" w:rsidRPr="00E77CC9" w:rsidRDefault="00896C5A">
      <w:pPr>
        <w:spacing w:line="360" w:lineRule="auto"/>
        <w:ind w:firstLine="480"/>
        <w:rPr>
          <w:rFonts w:ascii="宋体" w:hAnsi="宋体"/>
          <w:sz w:val="24"/>
        </w:rPr>
      </w:pPr>
    </w:p>
    <w:p w14:paraId="347A87CA" w14:textId="77777777" w:rsidR="00896C5A" w:rsidRPr="00E77CC9" w:rsidRDefault="00896C5A">
      <w:pPr>
        <w:adjustRightInd w:val="0"/>
        <w:snapToGrid w:val="0"/>
        <w:spacing w:line="360" w:lineRule="auto"/>
        <w:rPr>
          <w:rFonts w:ascii="宋体" w:hAnsi="宋体"/>
          <w:sz w:val="24"/>
        </w:rPr>
      </w:pPr>
    </w:p>
    <w:p w14:paraId="5BB81949"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6" w:name="_Toc348082036"/>
      <w:bookmarkStart w:id="107" w:name="_Toc488938617"/>
      <w:bookmarkStart w:id="108" w:name="_Toc384992698"/>
      <w:r w:rsidRPr="00E77CC9">
        <w:rPr>
          <w:rFonts w:ascii="宋体" w:hAnsi="宋体" w:hint="eastAsia"/>
          <w:sz w:val="24"/>
        </w:rPr>
        <w:lastRenderedPageBreak/>
        <w:t>八、基金资产净值计算、估值和会计核算</w:t>
      </w:r>
      <w:bookmarkEnd w:id="106"/>
      <w:bookmarkEnd w:id="107"/>
      <w:bookmarkEnd w:id="108"/>
    </w:p>
    <w:p w14:paraId="40AEFB9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13F74D5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115EC8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7C4D94D6" w14:textId="769191FE" w:rsidR="00D72C9C" w:rsidRPr="00E77CC9" w:rsidRDefault="009F6F97" w:rsidP="00EA0B13">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101B49" w:rsidRPr="00E77CC9">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101B49" w:rsidRPr="00E77CC9">
        <w:rPr>
          <w:rFonts w:ascii="宋体" w:hAnsi="宋体" w:hint="eastAsia"/>
          <w:sz w:val="24"/>
        </w:rPr>
        <w:t>基金资产净值除以估值日</w:t>
      </w:r>
      <w:r w:rsidR="00537E9D">
        <w:rPr>
          <w:rFonts w:ascii="宋体" w:hAnsi="宋体" w:hint="eastAsia"/>
          <w:sz w:val="24"/>
        </w:rPr>
        <w:t>该类</w:t>
      </w:r>
      <w:r w:rsidR="00101B49" w:rsidRPr="00E77CC9">
        <w:rPr>
          <w:rFonts w:ascii="宋体" w:hAnsi="宋体" w:hint="eastAsia"/>
          <w:sz w:val="24"/>
        </w:rPr>
        <w:t>基金份额总数，基金份额净值的计算，精确到</w:t>
      </w:r>
      <w:r w:rsidR="00101B49" w:rsidRPr="00E77CC9">
        <w:rPr>
          <w:rFonts w:ascii="宋体" w:hAnsi="宋体"/>
          <w:sz w:val="24"/>
        </w:rPr>
        <w:t>0.0001元，小数点后第</w:t>
      </w:r>
      <w:r w:rsidR="00101B49"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00101B49" w:rsidRPr="00E77CC9">
        <w:rPr>
          <w:rFonts w:ascii="宋体" w:hAnsi="宋体" w:hint="eastAsia"/>
          <w:sz w:val="24"/>
        </w:rPr>
        <w:t>国家另有规定的，从其规定。</w:t>
      </w:r>
    </w:p>
    <w:p w14:paraId="4753D6EB" w14:textId="5D0D974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基金管理人每个工作日计算</w:t>
      </w:r>
      <w:r w:rsidR="006251A8" w:rsidRPr="009F2F25">
        <w:rPr>
          <w:rFonts w:ascii="宋体" w:hAnsi="宋体" w:hint="eastAsia"/>
          <w:sz w:val="24"/>
        </w:rPr>
        <w:t>各类基金份额的</w:t>
      </w:r>
      <w:r w:rsidRPr="00E77CC9">
        <w:rPr>
          <w:rFonts w:ascii="宋体" w:hAnsi="宋体" w:hint="eastAsia"/>
          <w:sz w:val="24"/>
        </w:rPr>
        <w:t>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7668D4E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EBC9276" w14:textId="3D0AC5F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w:t>
      </w:r>
      <w:r w:rsidR="006251A8" w:rsidRPr="00E17759">
        <w:rPr>
          <w:rFonts w:ascii="宋体" w:hAnsi="宋体" w:hint="eastAsia"/>
          <w:sz w:val="24"/>
        </w:rPr>
        <w:t>各类基金份额的</w:t>
      </w:r>
      <w:r w:rsidRPr="00E77CC9">
        <w:rPr>
          <w:rFonts w:ascii="宋体" w:hAnsi="宋体" w:hint="eastAsia"/>
          <w:sz w:val="24"/>
        </w:rPr>
        <w:t>基金资产净值、基金份额净值发送基金托管人，经基金托管人复核无误后，由基金管理人对外公布。</w:t>
      </w:r>
    </w:p>
    <w:p w14:paraId="134B8C1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44B06C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5D50F79B"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0637EF4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AE3DE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02EEB2C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1A4E5E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4B85A0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6058D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4B8B9D8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（六）基金财务报表与报告的编制和复核</w:t>
      </w:r>
    </w:p>
    <w:p w14:paraId="4626A9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545360D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1DB6F8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0F66B75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72942A5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392A46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个工作日内完成月度报表的编制及复核；在每个季度结束之日起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Pr="00E77CC9">
        <w:rPr>
          <w:rFonts w:ascii="宋体" w:hAnsi="宋体"/>
          <w:sz w:val="24"/>
        </w:rPr>
        <w:t>60</w:t>
      </w:r>
      <w:r w:rsidRPr="00E77CC9">
        <w:rPr>
          <w:rFonts w:ascii="宋体" w:hAnsi="宋体" w:hint="eastAsia"/>
          <w:sz w:val="24"/>
        </w:rPr>
        <w:t>日内完成基金半年度报告的编制及复核；在每年结束之日起</w:t>
      </w:r>
      <w:r w:rsidRPr="00E77CC9">
        <w:rPr>
          <w:rFonts w:ascii="宋体" w:hAnsi="宋体"/>
          <w:sz w:val="24"/>
        </w:rPr>
        <w:t>90</w:t>
      </w:r>
      <w:r w:rsidRPr="00E77CC9">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25F1647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38A746C7"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p>
    <w:p w14:paraId="04530036" w14:textId="77777777" w:rsidR="00896C5A" w:rsidRPr="00E77CC9" w:rsidRDefault="00896C5A">
      <w:pPr>
        <w:pStyle w:val="a0"/>
        <w:adjustRightInd w:val="0"/>
        <w:snapToGrid w:val="0"/>
        <w:spacing w:line="360" w:lineRule="auto"/>
        <w:ind w:firstLineChars="0" w:firstLine="0"/>
        <w:rPr>
          <w:rFonts w:ascii="宋体" w:hAnsi="宋体"/>
          <w:sz w:val="24"/>
        </w:rPr>
      </w:pPr>
    </w:p>
    <w:p w14:paraId="7F3BC8C4"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9" w:name="_Toc348082037"/>
      <w:bookmarkStart w:id="110" w:name="_Toc488938618"/>
      <w:bookmarkStart w:id="111" w:name="_Toc384992699"/>
      <w:r w:rsidRPr="00E77CC9">
        <w:rPr>
          <w:rFonts w:ascii="宋体" w:hAnsi="宋体" w:hint="eastAsia"/>
          <w:sz w:val="24"/>
        </w:rPr>
        <w:lastRenderedPageBreak/>
        <w:t>九、基金收益分配</w:t>
      </w:r>
      <w:bookmarkEnd w:id="109"/>
      <w:bookmarkEnd w:id="110"/>
      <w:bookmarkEnd w:id="111"/>
    </w:p>
    <w:p w14:paraId="33920D6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0518E830" w14:textId="77777777" w:rsidR="00896C5A" w:rsidRPr="00E77CC9" w:rsidRDefault="00896C5A">
      <w:pPr>
        <w:adjustRightInd w:val="0"/>
        <w:snapToGrid w:val="0"/>
        <w:spacing w:line="360" w:lineRule="auto"/>
        <w:rPr>
          <w:rFonts w:ascii="宋体" w:hAnsi="宋体"/>
          <w:sz w:val="24"/>
        </w:rPr>
      </w:pPr>
    </w:p>
    <w:p w14:paraId="27901CA8"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2" w:name="_Toc348082038"/>
      <w:bookmarkStart w:id="113" w:name="_Toc488938619"/>
      <w:bookmarkStart w:id="114" w:name="_Toc384992700"/>
      <w:r w:rsidRPr="00E77CC9">
        <w:rPr>
          <w:rFonts w:ascii="宋体" w:hAnsi="宋体" w:hint="eastAsia"/>
          <w:sz w:val="24"/>
        </w:rPr>
        <w:lastRenderedPageBreak/>
        <w:t>十、基金信息披露</w:t>
      </w:r>
      <w:bookmarkEnd w:id="112"/>
      <w:bookmarkEnd w:id="113"/>
      <w:bookmarkEnd w:id="114"/>
    </w:p>
    <w:p w14:paraId="5EA81AB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7216D0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042F02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530490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71318AE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14A9F358" w14:textId="7CBCF68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基金的信息披露内容主要包括基金招募说明书、基金合同、托管协议、基金份额发售公告、基金合同生效公告、</w:t>
      </w:r>
      <w:r w:rsidR="001C1B03" w:rsidRPr="00E17759">
        <w:rPr>
          <w:rFonts w:ascii="宋体" w:hAnsi="宋体" w:hint="eastAsia"/>
          <w:sz w:val="24"/>
        </w:rPr>
        <w:t>各类基金份额的</w:t>
      </w:r>
      <w:r w:rsidRPr="00E77CC9">
        <w:rPr>
          <w:rFonts w:ascii="宋体" w:hAnsi="宋体" w:hint="eastAsia"/>
          <w:sz w:val="24"/>
        </w:rPr>
        <w:t>基金资产净值、基金份额净值、基金份额累计净值、基金份额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、基金定期报告（包括基金年度报告、基金半年度报告和基金季度报告）、临时报告、澄清公告、基金份额持有人大会决议、</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Pr="00E77CC9">
        <w:rPr>
          <w:rFonts w:ascii="宋体" w:hAnsi="宋体" w:hint="eastAsia"/>
          <w:sz w:val="24"/>
        </w:rPr>
        <w:t>中国证监会规定的其他信息。基金年度报告需经具有从事证券相关业务资格的会计师事务所审计后，方可披露。</w:t>
      </w:r>
    </w:p>
    <w:p w14:paraId="56E93888" w14:textId="2D02E495"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4C2A90C6" w14:textId="77777777"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4F91B0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638ECA5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77F61E0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37EC223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78E90F5C" w14:textId="420FB69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w:t>
      </w:r>
      <w:r w:rsidR="00060875">
        <w:rPr>
          <w:rFonts w:ascii="宋体" w:hAnsi="宋体" w:hint="eastAsia"/>
          <w:sz w:val="24"/>
        </w:rPr>
        <w:t>规定</w:t>
      </w:r>
      <w:r w:rsidRPr="00E77CC9">
        <w:rPr>
          <w:rFonts w:ascii="宋体" w:hAnsi="宋体" w:hint="eastAsia"/>
          <w:sz w:val="24"/>
        </w:rPr>
        <w:t>媒介公开披露。</w:t>
      </w:r>
    </w:p>
    <w:p w14:paraId="1FFF40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1E69706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E77CC9">
        <w:rPr>
          <w:rFonts w:ascii="宋体" w:hAnsi="宋体" w:hint="eastAsia"/>
          <w:sz w:val="24"/>
        </w:rPr>
        <w:t>致使基金管理人、基金托管人无法准确评估基金资产价值时；</w:t>
      </w:r>
    </w:p>
    <w:p w14:paraId="4E0ADA44" w14:textId="23051882"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1164464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占基金相当比例的投资品种的估值出现重大转变，而基金管理人为保障投资人的利益，决定延迟估值；</w:t>
      </w:r>
    </w:p>
    <w:p w14:paraId="4EE9215B" w14:textId="6B71DEDD" w:rsidR="007A6E8B"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4</w:t>
      </w:r>
      <w:r>
        <w:rPr>
          <w:rFonts w:ascii="宋体" w:hAnsi="宋体" w:hint="eastAsia"/>
          <w:sz w:val="24"/>
        </w:rPr>
        <w:t>)</w:t>
      </w:r>
      <w:r w:rsidR="00101B49" w:rsidRPr="00E77CC9">
        <w:rPr>
          <w:rFonts w:ascii="宋体" w:hAnsi="宋体" w:hint="eastAsia"/>
          <w:sz w:val="24"/>
        </w:rPr>
        <w:t>出现基金管理人认为属于会导致基金管理人不能出售或评估基金资产的紧急事故的任何情况；</w:t>
      </w:r>
    </w:p>
    <w:p w14:paraId="60B17ACC" w14:textId="609C586F" w:rsidR="00896C5A"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5</w:t>
      </w:r>
      <w:r>
        <w:rPr>
          <w:rFonts w:ascii="宋体" w:hAnsi="宋体" w:hint="eastAsia"/>
          <w:sz w:val="24"/>
        </w:rPr>
        <w:t>)</w:t>
      </w:r>
      <w:r w:rsidR="00101B49" w:rsidRPr="00E77CC9">
        <w:rPr>
          <w:rFonts w:ascii="宋体" w:hAnsi="宋体" w:hint="eastAsia"/>
          <w:sz w:val="24"/>
        </w:rPr>
        <w:t>法律法规、基金合同或中国证监会规定的情况。</w:t>
      </w:r>
    </w:p>
    <w:p w14:paraId="13C0BC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641307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49060F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088E75E7" w14:textId="6D6FF27F" w:rsidR="00101B49" w:rsidRDefault="00101B49" w:rsidP="00E77CC9">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7AB6ED77" w14:textId="641EBC0F" w:rsidR="00FB3078" w:rsidRPr="00E77CC9" w:rsidRDefault="00FB3078" w:rsidP="00E77CC9">
      <w:pPr>
        <w:pStyle w:val="a0"/>
        <w:adjustRightInd w:val="0"/>
        <w:snapToGrid w:val="0"/>
        <w:spacing w:line="360" w:lineRule="auto"/>
        <w:ind w:firstLine="480"/>
        <w:rPr>
          <w:rFonts w:ascii="宋体" w:hAnsi="宋体"/>
          <w:sz w:val="24"/>
        </w:rPr>
      </w:pPr>
      <w:r w:rsidRPr="00FB3078">
        <w:rPr>
          <w:rFonts w:ascii="宋体" w:hAnsi="宋体" w:hint="eastAsia"/>
          <w:sz w:val="24"/>
        </w:rPr>
        <w:t>（四）本基金信息披露事项以法律法规及基金合同“第十八部分 基金的信息披露”约定的内容为准。</w:t>
      </w:r>
    </w:p>
    <w:p w14:paraId="31A9D190" w14:textId="7FE668E3" w:rsidR="00101B49" w:rsidRPr="00E77CC9" w:rsidRDefault="00101B49">
      <w:pPr>
        <w:pStyle w:val="2"/>
        <w:spacing w:beforeLines="100" w:before="312" w:afterLines="50" w:after="156" w:line="360" w:lineRule="auto"/>
        <w:jc w:val="center"/>
        <w:rPr>
          <w:rFonts w:ascii="宋体" w:hAnsi="宋体"/>
          <w:sz w:val="24"/>
        </w:rPr>
      </w:pPr>
      <w:bookmarkStart w:id="115" w:name="_Toc348082039"/>
      <w:bookmarkStart w:id="116" w:name="_Toc488938620"/>
      <w:bookmarkStart w:id="117" w:name="_Toc384992701"/>
      <w:r w:rsidRPr="00E77CC9">
        <w:rPr>
          <w:rFonts w:ascii="宋体" w:hAnsi="宋体" w:hint="eastAsia"/>
          <w:sz w:val="24"/>
        </w:rPr>
        <w:lastRenderedPageBreak/>
        <w:t>十一、基金费用</w:t>
      </w:r>
      <w:bookmarkEnd w:id="115"/>
      <w:bookmarkEnd w:id="116"/>
      <w:bookmarkEnd w:id="117"/>
    </w:p>
    <w:p w14:paraId="5AD942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w:t>
      </w:r>
      <w:r w:rsidRPr="00E77CC9">
        <w:rPr>
          <w:rFonts w:hAnsi="宋体" w:hint="eastAsia"/>
          <w:sz w:val="24"/>
        </w:rPr>
        <w:t>金费用按照《基金合同》的约定计提和支付</w:t>
      </w:r>
      <w:r w:rsidRPr="00E77CC9">
        <w:rPr>
          <w:rFonts w:ascii="宋体" w:hAnsi="宋体" w:hint="eastAsia"/>
          <w:color w:val="000000"/>
          <w:sz w:val="24"/>
        </w:rPr>
        <w:t>。</w:t>
      </w:r>
    </w:p>
    <w:p w14:paraId="5BD343A5" w14:textId="77777777" w:rsidR="00101B49" w:rsidRDefault="00380369" w:rsidP="00E77CC9">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8" w:name="_Toc348082040"/>
      <w:bookmarkStart w:id="119" w:name="_Toc488938621"/>
      <w:bookmarkStart w:id="120" w:name="_Toc384992702"/>
      <w:r w:rsidR="00101B49" w:rsidRPr="00E77CC9">
        <w:rPr>
          <w:rFonts w:ascii="宋体" w:hAnsi="宋体" w:hint="eastAsia"/>
          <w:sz w:val="24"/>
        </w:rPr>
        <w:lastRenderedPageBreak/>
        <w:t>十二、基金份额持有人名册的保管</w:t>
      </w:r>
      <w:bookmarkEnd w:id="118"/>
      <w:bookmarkEnd w:id="119"/>
      <w:bookmarkEnd w:id="120"/>
    </w:p>
    <w:p w14:paraId="52D6FF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14:paraId="1D1BC840" w14:textId="68F9879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4DDDF366" w14:textId="77777777" w:rsidR="00101B49" w:rsidRPr="00E77CC9" w:rsidRDefault="00101B49">
      <w:pPr>
        <w:pStyle w:val="2"/>
        <w:spacing w:beforeLines="100" w:before="312" w:afterLines="50" w:after="156" w:line="360" w:lineRule="auto"/>
        <w:ind w:firstLine="480"/>
        <w:jc w:val="center"/>
      </w:pPr>
      <w:r w:rsidRPr="00E77CC9">
        <w:rPr>
          <w:rFonts w:ascii="宋体" w:hAnsi="宋体"/>
          <w:b w:val="0"/>
          <w:sz w:val="24"/>
        </w:rPr>
        <w:br w:type="page"/>
      </w:r>
      <w:bookmarkStart w:id="121" w:name="_Toc348082041"/>
      <w:bookmarkStart w:id="122" w:name="_Toc488938622"/>
      <w:bookmarkStart w:id="123" w:name="_Toc384992703"/>
      <w:r w:rsidRPr="00E77CC9">
        <w:rPr>
          <w:rFonts w:ascii="宋体" w:hAnsi="宋体" w:hint="eastAsia"/>
          <w:sz w:val="24"/>
        </w:rPr>
        <w:lastRenderedPageBreak/>
        <w:t>十三、基金有关文件档案的保存</w:t>
      </w:r>
      <w:bookmarkEnd w:id="121"/>
      <w:bookmarkEnd w:id="122"/>
      <w:bookmarkEnd w:id="123"/>
    </w:p>
    <w:p w14:paraId="56CF7A14"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（一）档案保存</w:t>
      </w:r>
    </w:p>
    <w:p w14:paraId="708B2B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14:paraId="26211B0F"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（二）合同档案的建立</w:t>
      </w:r>
    </w:p>
    <w:p w14:paraId="5F17E0F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321D7D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305A07B1"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（三）变更与协助</w:t>
      </w:r>
    </w:p>
    <w:p w14:paraId="08E5E12E" w14:textId="77777777" w:rsidR="00101B49" w:rsidRPr="00E77CC9" w:rsidRDefault="00101B49" w:rsidP="00E77CC9">
      <w:pPr>
        <w:adjustRightInd w:val="0"/>
        <w:snapToGrid w:val="0"/>
        <w:spacing w:line="360" w:lineRule="auto"/>
        <w:ind w:firstLineChars="200" w:firstLine="480"/>
        <w:rPr>
          <w:rFonts w:ascii="宋体" w:hAnsi="宋体"/>
          <w:b/>
          <w:sz w:val="24"/>
        </w:rPr>
      </w:pPr>
      <w:r w:rsidRPr="00E77CC9">
        <w:rPr>
          <w:rFonts w:ascii="宋体" w:hAnsi="宋体" w:hint="eastAsia"/>
          <w:sz w:val="24"/>
        </w:rPr>
        <w:t>若基金管理人</w:t>
      </w:r>
      <w:r w:rsidRPr="00E77CC9">
        <w:rPr>
          <w:rFonts w:ascii="宋体" w:hAnsi="宋体"/>
          <w:sz w:val="24"/>
        </w:rPr>
        <w:t>/基金托管人发生变更，未变更的一方有义务协助变更后的接任人接收相应文件。</w:t>
      </w:r>
    </w:p>
    <w:p w14:paraId="75FC46F3"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14:paraId="6A3ABCAE" w14:textId="77777777" w:rsidR="00896C5A" w:rsidRPr="00E77CC9" w:rsidRDefault="00896C5A">
      <w:pPr>
        <w:adjustRightInd w:val="0"/>
        <w:snapToGrid w:val="0"/>
        <w:spacing w:line="360" w:lineRule="auto"/>
        <w:rPr>
          <w:rFonts w:ascii="宋体" w:hAnsi="宋体"/>
          <w:sz w:val="24"/>
        </w:rPr>
      </w:pPr>
    </w:p>
    <w:p w14:paraId="6A654855"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4" w:name="_Toc348082042"/>
      <w:bookmarkStart w:id="125" w:name="_Toc488938623"/>
      <w:bookmarkStart w:id="126" w:name="_Toc384992704"/>
      <w:r w:rsidRPr="00E77CC9">
        <w:rPr>
          <w:rFonts w:ascii="宋体" w:hAnsi="宋体" w:hint="eastAsia"/>
          <w:sz w:val="24"/>
        </w:rPr>
        <w:lastRenderedPageBreak/>
        <w:t>十四、基金管理人和基金托管人的更换</w:t>
      </w:r>
      <w:bookmarkEnd w:id="124"/>
      <w:bookmarkEnd w:id="125"/>
      <w:bookmarkEnd w:id="126"/>
    </w:p>
    <w:p w14:paraId="4A94DF03"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基金托管人应给予积极配合，并与新任基金管理人或临时基金管理人核对基金资产总值和基金资产净值。</w:t>
      </w:r>
    </w:p>
    <w:p w14:paraId="4C3C52C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基金管理人应给予积极配合，并与新任基金托管人或临时基金托管人核对基金资产总值和基金资产净值。</w:t>
      </w:r>
    </w:p>
    <w:p w14:paraId="41406A38" w14:textId="77777777" w:rsidR="00896C5A" w:rsidRPr="00E77CC9" w:rsidRDefault="00101B49">
      <w:pPr>
        <w:adjustRightInd w:val="0"/>
        <w:snapToGrid w:val="0"/>
        <w:spacing w:line="360" w:lineRule="auto"/>
        <w:ind w:firstLine="420"/>
        <w:outlineLvl w:val="2"/>
        <w:rPr>
          <w:rFonts w:ascii="宋体" w:hAnsi="宋体"/>
          <w:sz w:val="24"/>
        </w:rPr>
      </w:pPr>
      <w:r w:rsidRPr="00E77CC9">
        <w:rPr>
          <w:rFonts w:ascii="宋体" w:hAnsi="宋体" w:hint="eastAsia"/>
          <w:kern w:val="0"/>
          <w:sz w:val="24"/>
        </w:rPr>
        <w:t>（三）其他事宜见基金合同的相关约定。</w:t>
      </w:r>
    </w:p>
    <w:p w14:paraId="5F37BC96" w14:textId="77777777" w:rsidR="00896C5A" w:rsidRPr="00E77CC9" w:rsidRDefault="00896C5A">
      <w:pPr>
        <w:adjustRightInd w:val="0"/>
        <w:snapToGrid w:val="0"/>
        <w:spacing w:line="360" w:lineRule="auto"/>
        <w:rPr>
          <w:rFonts w:ascii="宋体" w:hAnsi="宋体"/>
          <w:sz w:val="24"/>
        </w:rPr>
      </w:pPr>
    </w:p>
    <w:p w14:paraId="784AA2F3"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7" w:name="_Toc348082043"/>
      <w:bookmarkStart w:id="128" w:name="_Toc488938624"/>
      <w:bookmarkStart w:id="129" w:name="_Toc384992705"/>
      <w:r w:rsidRPr="00E77CC9">
        <w:rPr>
          <w:rFonts w:ascii="宋体" w:hAnsi="宋体" w:hint="eastAsia"/>
          <w:sz w:val="24"/>
        </w:rPr>
        <w:lastRenderedPageBreak/>
        <w:t>十五、禁止行为</w:t>
      </w:r>
      <w:bookmarkEnd w:id="127"/>
      <w:bookmarkEnd w:id="128"/>
      <w:bookmarkEnd w:id="129"/>
    </w:p>
    <w:p w14:paraId="625A4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3CD6AAD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12659C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5F2742E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003E45A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7001DD5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12947699" w14:textId="77777777" w:rsidR="00101B49" w:rsidRPr="00E77CC9" w:rsidRDefault="00101B49" w:rsidP="00E77CC9">
      <w:pPr>
        <w:pStyle w:val="a9"/>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64968B5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7E6C9EE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281938B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6AA1D038"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30" w:name="_Toc348082044"/>
      <w:bookmarkStart w:id="131" w:name="_Toc488938625"/>
      <w:bookmarkStart w:id="132" w:name="_Toc384992706"/>
      <w:r w:rsidRPr="00E77CC9">
        <w:rPr>
          <w:rFonts w:ascii="宋体" w:hAnsi="宋体" w:hint="eastAsia"/>
          <w:sz w:val="24"/>
        </w:rPr>
        <w:lastRenderedPageBreak/>
        <w:t>十六、托管协议的变更、终止与基金财产的清算</w:t>
      </w:r>
      <w:bookmarkEnd w:id="130"/>
      <w:bookmarkEnd w:id="131"/>
      <w:bookmarkEnd w:id="132"/>
    </w:p>
    <w:p w14:paraId="5CBDEB5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CF9E0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19240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16A9D98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0D0B8E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0F60D8E8" w14:textId="47D2BF6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116DF75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42B60A1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5CADCD2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12A41EDF" w14:textId="77777777" w:rsidR="00896C5A" w:rsidRPr="00E77CC9" w:rsidRDefault="00896C5A">
      <w:pPr>
        <w:adjustRightInd w:val="0"/>
        <w:snapToGrid w:val="0"/>
        <w:spacing w:line="360" w:lineRule="auto"/>
        <w:rPr>
          <w:rFonts w:ascii="宋体" w:hAnsi="宋体"/>
          <w:sz w:val="24"/>
        </w:rPr>
      </w:pPr>
    </w:p>
    <w:p w14:paraId="3D41125A"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3" w:name="_Toc348082045"/>
      <w:bookmarkStart w:id="134" w:name="_Toc488938626"/>
      <w:bookmarkStart w:id="135" w:name="_Toc384992707"/>
      <w:r w:rsidRPr="00E77CC9">
        <w:rPr>
          <w:rFonts w:ascii="宋体" w:hAnsi="宋体" w:hint="eastAsia"/>
          <w:sz w:val="24"/>
        </w:rPr>
        <w:lastRenderedPageBreak/>
        <w:t>十七、违约责任</w:t>
      </w:r>
      <w:bookmarkEnd w:id="133"/>
      <w:bookmarkEnd w:id="134"/>
      <w:bookmarkEnd w:id="135"/>
    </w:p>
    <w:p w14:paraId="0469C929"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6956E1CA" w14:textId="60A85264"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Pr="00E77CC9">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Pr="00E77CC9">
        <w:rPr>
          <w:rFonts w:ascii="宋体" w:hAnsi="宋体" w:hint="eastAsia"/>
          <w:sz w:val="24"/>
        </w:rPr>
        <w:t>对</w:t>
      </w:r>
      <w:r w:rsidR="000606F2">
        <w:rPr>
          <w:rFonts w:ascii="宋体" w:hAnsi="宋体" w:hint="eastAsia"/>
          <w:sz w:val="24"/>
        </w:rPr>
        <w:t>损失</w:t>
      </w:r>
      <w:r w:rsidRPr="00E77CC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E77CC9">
        <w:rPr>
          <w:rFonts w:ascii="宋体" w:hAnsi="宋体" w:hint="eastAsia"/>
          <w:sz w:val="24"/>
        </w:rPr>
        <w:t>直接损失</w:t>
      </w:r>
      <w:r w:rsidRPr="00E77CC9">
        <w:rPr>
          <w:rFonts w:ascii="宋体" w:hAnsi="宋体"/>
          <w:sz w:val="24"/>
        </w:rPr>
        <w:t>。</w:t>
      </w:r>
    </w:p>
    <w:p w14:paraId="4520EF8E" w14:textId="346DADE1"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1B92E704" w14:textId="6EB46BA0"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6DB5426B" w14:textId="1A91BFA1"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5DC1E507"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727C1595"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C0A559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13827B6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0FC476A2"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F07ED61" w14:textId="77777777" w:rsidR="00101B49" w:rsidRPr="00E77CC9" w:rsidRDefault="00101B49" w:rsidP="00E77CC9">
      <w:pPr>
        <w:adjustRightInd w:val="0"/>
        <w:snapToGrid w:val="0"/>
        <w:spacing w:line="336" w:lineRule="auto"/>
        <w:ind w:firstLineChars="200" w:firstLine="482"/>
        <w:rPr>
          <w:rFonts w:ascii="宋体" w:hAnsi="宋体"/>
          <w:b/>
          <w:sz w:val="24"/>
        </w:rPr>
      </w:pPr>
    </w:p>
    <w:p w14:paraId="6E2A9BD8" w14:textId="77777777" w:rsidR="00101B49" w:rsidRPr="00E77CC9" w:rsidRDefault="00101B49" w:rsidP="00E77CC9">
      <w:pPr>
        <w:widowControl/>
        <w:spacing w:line="336" w:lineRule="auto"/>
        <w:rPr>
          <w:rFonts w:ascii="宋体" w:hAnsi="宋体"/>
          <w:b/>
          <w:sz w:val="24"/>
        </w:rPr>
      </w:pPr>
      <w:bookmarkStart w:id="136" w:name="_Toc348082046"/>
    </w:p>
    <w:p w14:paraId="4EAF6B4C" w14:textId="77777777" w:rsidR="00101B49" w:rsidRPr="00E77CC9" w:rsidRDefault="00101B49">
      <w:pPr>
        <w:pStyle w:val="2"/>
        <w:spacing w:beforeLines="100" w:before="312" w:afterLines="50" w:after="156" w:line="360" w:lineRule="auto"/>
        <w:jc w:val="center"/>
        <w:rPr>
          <w:rFonts w:ascii="宋体" w:hAnsi="宋体"/>
          <w:sz w:val="24"/>
        </w:rPr>
      </w:pPr>
      <w:bookmarkStart w:id="137" w:name="_Toc488938627"/>
      <w:bookmarkStart w:id="138" w:name="_Toc384992708"/>
      <w:r w:rsidRPr="00E77CC9">
        <w:rPr>
          <w:rFonts w:ascii="宋体" w:hAnsi="宋体" w:hint="eastAsia"/>
          <w:sz w:val="24"/>
        </w:rPr>
        <w:lastRenderedPageBreak/>
        <w:t>十八、争议解决方式</w:t>
      </w:r>
      <w:bookmarkEnd w:id="136"/>
      <w:bookmarkEnd w:id="137"/>
      <w:bookmarkEnd w:id="138"/>
    </w:p>
    <w:p w14:paraId="3AB41E66" w14:textId="347C0C79"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2AFEF61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2338B5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本协议受中华人民共和国法律（不含港澳台立法）管辖。</w:t>
      </w:r>
    </w:p>
    <w:p w14:paraId="5E74C71E" w14:textId="77777777" w:rsidR="00896C5A" w:rsidRPr="00E77CC9" w:rsidRDefault="00896C5A">
      <w:pPr>
        <w:adjustRightInd w:val="0"/>
        <w:snapToGrid w:val="0"/>
        <w:spacing w:line="360" w:lineRule="auto"/>
        <w:rPr>
          <w:rFonts w:ascii="宋体" w:hAnsi="宋体"/>
          <w:sz w:val="24"/>
        </w:rPr>
      </w:pPr>
    </w:p>
    <w:p w14:paraId="4107AD2E"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9" w:name="_Toc348082047"/>
      <w:bookmarkStart w:id="140" w:name="_Toc488938628"/>
      <w:bookmarkStart w:id="141" w:name="_Toc384992709"/>
      <w:r w:rsidRPr="00E77CC9">
        <w:rPr>
          <w:rFonts w:ascii="宋体" w:hAnsi="宋体" w:hint="eastAsia"/>
          <w:sz w:val="24"/>
        </w:rPr>
        <w:lastRenderedPageBreak/>
        <w:t>十九、托管协议的效力</w:t>
      </w:r>
      <w:bookmarkEnd w:id="139"/>
      <w:bookmarkEnd w:id="140"/>
      <w:bookmarkEnd w:id="141"/>
    </w:p>
    <w:p w14:paraId="5E8B8B0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2A61C37E" w14:textId="3E7C5BA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03958FD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1BBC07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1778453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7C032929" w14:textId="77777777" w:rsidR="00896C5A" w:rsidRPr="00E77CC9" w:rsidRDefault="00896C5A">
      <w:pPr>
        <w:adjustRightInd w:val="0"/>
        <w:snapToGrid w:val="0"/>
        <w:spacing w:line="360" w:lineRule="auto"/>
        <w:rPr>
          <w:rFonts w:ascii="宋体" w:hAnsi="宋体"/>
          <w:sz w:val="24"/>
        </w:rPr>
      </w:pPr>
    </w:p>
    <w:p w14:paraId="204F0B39"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2" w:name="_Toc348082048"/>
      <w:bookmarkStart w:id="143" w:name="_Toc488938629"/>
      <w:bookmarkStart w:id="144" w:name="_Toc384992710"/>
      <w:r w:rsidRPr="00E77CC9">
        <w:rPr>
          <w:rFonts w:ascii="宋体" w:hAnsi="宋体" w:hint="eastAsia"/>
          <w:sz w:val="24"/>
        </w:rPr>
        <w:lastRenderedPageBreak/>
        <w:t>二十、其他事项</w:t>
      </w:r>
      <w:bookmarkEnd w:id="142"/>
      <w:bookmarkEnd w:id="143"/>
      <w:bookmarkEnd w:id="144"/>
    </w:p>
    <w:p w14:paraId="136E50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0A24E39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443C7CE9" w14:textId="43D3E92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5F90DB0C" w14:textId="77777777" w:rsidR="00896C5A" w:rsidRPr="00456F57" w:rsidDel="009610E7" w:rsidRDefault="00896C5A">
      <w:pPr>
        <w:adjustRightInd w:val="0"/>
        <w:snapToGrid w:val="0"/>
        <w:spacing w:line="360" w:lineRule="auto"/>
        <w:rPr>
          <w:rFonts w:ascii="宋体" w:hAnsi="宋体"/>
          <w:sz w:val="24"/>
        </w:rPr>
      </w:pPr>
    </w:p>
    <w:p w14:paraId="5330447C"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5" w:name="_Toc348082049"/>
      <w:bookmarkStart w:id="146" w:name="_Toc488938630"/>
      <w:bookmarkStart w:id="147" w:name="_Toc384992711"/>
      <w:r w:rsidRPr="00E77CC9">
        <w:rPr>
          <w:rFonts w:ascii="宋体" w:hAnsi="宋体" w:hint="eastAsia"/>
          <w:sz w:val="24"/>
        </w:rPr>
        <w:lastRenderedPageBreak/>
        <w:t>二十一、托管协议的签订</w:t>
      </w:r>
      <w:bookmarkEnd w:id="145"/>
      <w:bookmarkEnd w:id="146"/>
      <w:bookmarkEnd w:id="147"/>
    </w:p>
    <w:p w14:paraId="7DC01CD0" w14:textId="33A584AB"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E1E5A9D" w14:textId="77777777" w:rsidR="00125DA4" w:rsidRDefault="00125DA4" w:rsidP="00676C5D">
      <w:pPr>
        <w:adjustRightInd w:val="0"/>
        <w:snapToGrid w:val="0"/>
        <w:spacing w:line="360" w:lineRule="auto"/>
        <w:rPr>
          <w:rFonts w:ascii="宋体" w:hAnsi="宋体"/>
          <w:sz w:val="24"/>
        </w:rPr>
      </w:pPr>
    </w:p>
    <w:p w14:paraId="7D870708" w14:textId="77777777" w:rsidR="00125DA4" w:rsidRDefault="00125DA4" w:rsidP="00676C5D">
      <w:pPr>
        <w:adjustRightInd w:val="0"/>
        <w:snapToGrid w:val="0"/>
        <w:spacing w:line="360" w:lineRule="auto"/>
        <w:rPr>
          <w:rFonts w:ascii="宋体" w:hAnsi="宋体"/>
          <w:sz w:val="24"/>
        </w:rPr>
      </w:pPr>
    </w:p>
    <w:p w14:paraId="4025C17B" w14:textId="77777777" w:rsidR="00125DA4" w:rsidRDefault="00125DA4" w:rsidP="00676C5D">
      <w:pPr>
        <w:adjustRightInd w:val="0"/>
        <w:snapToGrid w:val="0"/>
        <w:spacing w:line="360" w:lineRule="auto"/>
        <w:rPr>
          <w:rFonts w:ascii="宋体" w:hAnsi="宋体"/>
          <w:sz w:val="24"/>
        </w:rPr>
      </w:pPr>
    </w:p>
    <w:p w14:paraId="037C6407" w14:textId="77777777" w:rsidR="00125DA4" w:rsidRDefault="00125DA4" w:rsidP="00676C5D">
      <w:pPr>
        <w:adjustRightInd w:val="0"/>
        <w:snapToGrid w:val="0"/>
        <w:spacing w:line="360" w:lineRule="auto"/>
        <w:rPr>
          <w:rFonts w:ascii="宋体" w:hAnsi="宋体"/>
          <w:sz w:val="24"/>
        </w:rPr>
      </w:pPr>
    </w:p>
    <w:p w14:paraId="561619F0" w14:textId="77777777" w:rsidR="00125DA4" w:rsidRDefault="00125DA4" w:rsidP="00676C5D">
      <w:pPr>
        <w:adjustRightInd w:val="0"/>
        <w:snapToGrid w:val="0"/>
        <w:spacing w:line="360" w:lineRule="auto"/>
        <w:rPr>
          <w:rFonts w:ascii="宋体" w:hAnsi="宋体"/>
          <w:sz w:val="24"/>
        </w:rPr>
      </w:pPr>
    </w:p>
    <w:p w14:paraId="28EDEB46" w14:textId="77777777" w:rsidR="00125DA4" w:rsidRDefault="00125DA4" w:rsidP="00676C5D">
      <w:pPr>
        <w:adjustRightInd w:val="0"/>
        <w:snapToGrid w:val="0"/>
        <w:spacing w:line="360" w:lineRule="auto"/>
        <w:rPr>
          <w:rFonts w:ascii="宋体" w:hAnsi="宋体"/>
          <w:sz w:val="24"/>
        </w:rPr>
      </w:pPr>
    </w:p>
    <w:p w14:paraId="4A67A329" w14:textId="77777777" w:rsidR="00125DA4" w:rsidRDefault="00125DA4" w:rsidP="00676C5D">
      <w:pPr>
        <w:adjustRightInd w:val="0"/>
        <w:snapToGrid w:val="0"/>
        <w:spacing w:line="360" w:lineRule="auto"/>
        <w:rPr>
          <w:rFonts w:ascii="宋体" w:hAnsi="宋体"/>
          <w:sz w:val="24"/>
        </w:rPr>
      </w:pPr>
    </w:p>
    <w:p w14:paraId="04EB47B8" w14:textId="77777777" w:rsidR="00125DA4" w:rsidRDefault="00125DA4" w:rsidP="00676C5D">
      <w:pPr>
        <w:adjustRightInd w:val="0"/>
        <w:snapToGrid w:val="0"/>
        <w:spacing w:line="360" w:lineRule="auto"/>
        <w:rPr>
          <w:rFonts w:ascii="宋体" w:hAnsi="宋体"/>
          <w:sz w:val="24"/>
        </w:rPr>
      </w:pPr>
    </w:p>
    <w:p w14:paraId="512B1FEE" w14:textId="77777777" w:rsidR="00125DA4" w:rsidRDefault="00125DA4" w:rsidP="00676C5D">
      <w:pPr>
        <w:adjustRightInd w:val="0"/>
        <w:snapToGrid w:val="0"/>
        <w:spacing w:line="360" w:lineRule="auto"/>
        <w:rPr>
          <w:rFonts w:ascii="宋体" w:hAnsi="宋体"/>
          <w:sz w:val="24"/>
        </w:rPr>
      </w:pPr>
    </w:p>
    <w:p w14:paraId="7E74CF3D" w14:textId="77777777" w:rsidR="00125DA4" w:rsidRDefault="00125DA4" w:rsidP="00676C5D">
      <w:pPr>
        <w:adjustRightInd w:val="0"/>
        <w:snapToGrid w:val="0"/>
        <w:spacing w:line="360" w:lineRule="auto"/>
        <w:rPr>
          <w:rFonts w:ascii="宋体" w:hAnsi="宋体"/>
          <w:sz w:val="24"/>
        </w:rPr>
      </w:pPr>
    </w:p>
    <w:p w14:paraId="623F58EF" w14:textId="77777777" w:rsidR="00125DA4" w:rsidRDefault="00125DA4" w:rsidP="00676C5D">
      <w:pPr>
        <w:adjustRightInd w:val="0"/>
        <w:snapToGrid w:val="0"/>
        <w:spacing w:line="360" w:lineRule="auto"/>
        <w:rPr>
          <w:rFonts w:ascii="宋体" w:hAnsi="宋体"/>
          <w:sz w:val="24"/>
        </w:rPr>
      </w:pPr>
    </w:p>
    <w:p w14:paraId="3343B9BE" w14:textId="77777777" w:rsidR="00125DA4" w:rsidRDefault="00125DA4" w:rsidP="00676C5D">
      <w:pPr>
        <w:adjustRightInd w:val="0"/>
        <w:snapToGrid w:val="0"/>
        <w:spacing w:line="360" w:lineRule="auto"/>
        <w:rPr>
          <w:rFonts w:ascii="宋体" w:hAnsi="宋体"/>
          <w:sz w:val="24"/>
        </w:rPr>
      </w:pPr>
    </w:p>
    <w:p w14:paraId="48397D99" w14:textId="77777777" w:rsidR="00125DA4" w:rsidRDefault="00125DA4" w:rsidP="00676C5D">
      <w:pPr>
        <w:adjustRightInd w:val="0"/>
        <w:snapToGrid w:val="0"/>
        <w:spacing w:line="360" w:lineRule="auto"/>
        <w:rPr>
          <w:rFonts w:ascii="宋体" w:hAnsi="宋体"/>
          <w:sz w:val="24"/>
        </w:rPr>
      </w:pPr>
    </w:p>
    <w:p w14:paraId="60942CAC" w14:textId="77777777" w:rsidR="00125DA4" w:rsidRDefault="00125DA4" w:rsidP="00676C5D">
      <w:pPr>
        <w:adjustRightInd w:val="0"/>
        <w:snapToGrid w:val="0"/>
        <w:spacing w:line="360" w:lineRule="auto"/>
        <w:rPr>
          <w:rFonts w:ascii="宋体" w:hAnsi="宋体"/>
          <w:sz w:val="24"/>
        </w:rPr>
      </w:pPr>
    </w:p>
    <w:p w14:paraId="2F82B760" w14:textId="77777777" w:rsidR="00125DA4" w:rsidRDefault="00125DA4" w:rsidP="00676C5D">
      <w:pPr>
        <w:adjustRightInd w:val="0"/>
        <w:snapToGrid w:val="0"/>
        <w:spacing w:line="360" w:lineRule="auto"/>
        <w:rPr>
          <w:rFonts w:ascii="宋体" w:hAnsi="宋体"/>
          <w:sz w:val="24"/>
        </w:rPr>
      </w:pPr>
    </w:p>
    <w:p w14:paraId="44C19F23" w14:textId="77777777" w:rsidR="00125DA4" w:rsidRDefault="00125DA4" w:rsidP="00676C5D">
      <w:pPr>
        <w:adjustRightInd w:val="0"/>
        <w:snapToGrid w:val="0"/>
        <w:spacing w:line="360" w:lineRule="auto"/>
        <w:rPr>
          <w:rFonts w:ascii="宋体" w:hAnsi="宋体"/>
          <w:sz w:val="24"/>
        </w:rPr>
      </w:pPr>
    </w:p>
    <w:p w14:paraId="5302E392" w14:textId="77777777" w:rsidR="00125DA4" w:rsidRDefault="00125DA4" w:rsidP="00676C5D">
      <w:pPr>
        <w:adjustRightInd w:val="0"/>
        <w:snapToGrid w:val="0"/>
        <w:spacing w:line="360" w:lineRule="auto"/>
        <w:rPr>
          <w:rFonts w:ascii="宋体" w:hAnsi="宋体"/>
          <w:sz w:val="24"/>
        </w:rPr>
      </w:pPr>
    </w:p>
    <w:p w14:paraId="30E13A6C" w14:textId="77777777" w:rsidR="00125DA4" w:rsidRDefault="00125DA4" w:rsidP="00676C5D">
      <w:pPr>
        <w:adjustRightInd w:val="0"/>
        <w:snapToGrid w:val="0"/>
        <w:spacing w:line="360" w:lineRule="auto"/>
        <w:rPr>
          <w:rFonts w:ascii="宋体" w:hAnsi="宋体"/>
          <w:sz w:val="24"/>
        </w:rPr>
      </w:pPr>
    </w:p>
    <w:p w14:paraId="4B8B07AB" w14:textId="77777777" w:rsidR="00125DA4" w:rsidRDefault="00125DA4" w:rsidP="00676C5D">
      <w:pPr>
        <w:adjustRightInd w:val="0"/>
        <w:snapToGrid w:val="0"/>
        <w:spacing w:line="360" w:lineRule="auto"/>
        <w:rPr>
          <w:rFonts w:ascii="宋体" w:hAnsi="宋体"/>
          <w:sz w:val="24"/>
        </w:rPr>
      </w:pPr>
    </w:p>
    <w:p w14:paraId="2FB1FB12" w14:textId="77777777" w:rsidR="00125DA4" w:rsidRDefault="00125DA4" w:rsidP="00676C5D">
      <w:pPr>
        <w:adjustRightInd w:val="0"/>
        <w:snapToGrid w:val="0"/>
        <w:spacing w:line="360" w:lineRule="auto"/>
        <w:rPr>
          <w:rFonts w:ascii="宋体" w:hAnsi="宋体"/>
          <w:sz w:val="24"/>
        </w:rPr>
      </w:pPr>
    </w:p>
    <w:p w14:paraId="59F9B41C" w14:textId="77777777" w:rsidR="00125DA4" w:rsidRDefault="00125DA4" w:rsidP="00676C5D">
      <w:pPr>
        <w:adjustRightInd w:val="0"/>
        <w:snapToGrid w:val="0"/>
        <w:spacing w:line="360" w:lineRule="auto"/>
        <w:rPr>
          <w:rFonts w:ascii="宋体" w:hAnsi="宋体"/>
          <w:sz w:val="24"/>
        </w:rPr>
      </w:pPr>
    </w:p>
    <w:p w14:paraId="5B7F7674" w14:textId="77777777" w:rsidR="00125DA4" w:rsidRDefault="00125DA4" w:rsidP="00676C5D">
      <w:pPr>
        <w:adjustRightInd w:val="0"/>
        <w:snapToGrid w:val="0"/>
        <w:spacing w:line="360" w:lineRule="auto"/>
        <w:rPr>
          <w:rFonts w:ascii="宋体" w:hAnsi="宋体"/>
          <w:sz w:val="24"/>
        </w:rPr>
      </w:pPr>
    </w:p>
    <w:p w14:paraId="43F029A4" w14:textId="77777777" w:rsidR="00125DA4" w:rsidRDefault="00125DA4" w:rsidP="00676C5D">
      <w:pPr>
        <w:adjustRightInd w:val="0"/>
        <w:snapToGrid w:val="0"/>
        <w:spacing w:line="360" w:lineRule="auto"/>
        <w:rPr>
          <w:rFonts w:ascii="宋体" w:hAnsi="宋体"/>
          <w:sz w:val="24"/>
        </w:rPr>
      </w:pPr>
    </w:p>
    <w:p w14:paraId="6F7A48D3" w14:textId="77777777" w:rsidR="00DB301D" w:rsidRPr="00AD2E99" w:rsidRDefault="00DB301D" w:rsidP="000C19BE">
      <w:pPr>
        <w:adjustRightInd w:val="0"/>
        <w:snapToGrid w:val="0"/>
        <w:spacing w:line="360" w:lineRule="auto"/>
        <w:rPr>
          <w:rFonts w:ascii="宋体" w:hAnsi="宋体"/>
          <w:sz w:val="24"/>
        </w:rPr>
      </w:pPr>
    </w:p>
    <w:p w14:paraId="4148B519" w14:textId="77777777" w:rsidR="00101B49" w:rsidRPr="00E77CC9" w:rsidRDefault="00101B49" w:rsidP="00E77CC9">
      <w:pPr>
        <w:widowControl/>
        <w:jc w:val="left"/>
        <w:rPr>
          <w:rFonts w:ascii="宋体" w:hAnsi="宋体"/>
          <w:b/>
          <w:sz w:val="24"/>
        </w:rPr>
      </w:pPr>
      <w:bookmarkStart w:id="148" w:name="_Toc488938631"/>
      <w:bookmarkStart w:id="149" w:name="_Toc384992712"/>
      <w:r w:rsidRPr="00E77CC9">
        <w:rPr>
          <w:rFonts w:ascii="宋体" w:hAnsi="宋体"/>
          <w:sz w:val="24"/>
        </w:rPr>
        <w:br w:type="page"/>
      </w:r>
    </w:p>
    <w:p w14:paraId="1D585008" w14:textId="77777777" w:rsidR="00101B49" w:rsidRPr="00E77CC9" w:rsidRDefault="00101B49" w:rsidP="00E77CC9">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8"/>
      <w:bookmarkEnd w:id="149"/>
    </w:p>
    <w:p w14:paraId="6003157A" w14:textId="77777777" w:rsidR="0038018C" w:rsidRPr="00900BD8" w:rsidRDefault="0038018C" w:rsidP="0038018C">
      <w:pPr>
        <w:ind w:firstLineChars="202" w:firstLine="424"/>
        <w:rPr>
          <w:szCs w:val="21"/>
        </w:rPr>
      </w:pPr>
    </w:p>
    <w:p w14:paraId="715BC99A"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69520271" w14:textId="6FDF70BB"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0A349FAA"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1FDE04D7"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236C7BE8"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13DA37E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59FF489"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5474EE28"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14:paraId="24E14BD3"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14:paraId="7226A894"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w:t>
      </w:r>
      <w:r w:rsidRPr="00900BD8">
        <w:rPr>
          <w:rFonts w:hint="eastAsia"/>
          <w:szCs w:val="21"/>
        </w:rPr>
        <w:lastRenderedPageBreak/>
        <w:t>持有人合法权益的原则，由双方协商处理，并由双方共同承担向第三方追偿的责任。</w:t>
      </w:r>
    </w:p>
    <w:p w14:paraId="501E282E"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2FF854A3" w14:textId="77777777"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14:paraId="64D3C894"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2BC2CE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6B66AA79" w14:textId="77777777"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14:paraId="5CA6CC2E"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05F3F40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7AE578EC"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14:paraId="505CE168"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16402D5F"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w:t>
      </w:r>
      <w:r w:rsidRPr="00900BD8">
        <w:rPr>
          <w:rFonts w:hint="eastAsia"/>
          <w:szCs w:val="21"/>
        </w:rPr>
        <w:lastRenderedPageBreak/>
        <w:t>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37196024"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638A1B9E"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445274BC"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2A551F33"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E9AA545"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2DC31552"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3015A8AE"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49F4F666" w14:textId="77777777" w:rsidR="0038018C" w:rsidRPr="00900BD8" w:rsidRDefault="0038018C" w:rsidP="0038018C">
      <w:pPr>
        <w:spacing w:line="360" w:lineRule="auto"/>
        <w:ind w:firstLineChars="202" w:firstLine="424"/>
        <w:rPr>
          <w:szCs w:val="21"/>
        </w:rPr>
      </w:pPr>
      <w:r w:rsidRPr="00900BD8">
        <w:rPr>
          <w:rFonts w:hint="eastAsia"/>
          <w:szCs w:val="21"/>
        </w:rPr>
        <w:lastRenderedPageBreak/>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559D8311"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16B9FF1E"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14:paraId="787CD080"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6757BDF3"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2C1F126F"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3F12E92B"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5387DCFA"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E35522B"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7E9DEBF2" w14:textId="77777777"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0B71A930"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22745D19" w14:textId="77777777" w:rsidR="0038018C" w:rsidRPr="00900BD8" w:rsidRDefault="0038018C" w:rsidP="0038018C">
      <w:pPr>
        <w:spacing w:line="360" w:lineRule="auto"/>
        <w:ind w:firstLineChars="202" w:firstLine="424"/>
        <w:rPr>
          <w:szCs w:val="21"/>
        </w:rPr>
      </w:pPr>
      <w:r w:rsidRPr="00900BD8">
        <w:rPr>
          <w:rFonts w:hint="eastAsia"/>
          <w:szCs w:val="21"/>
        </w:rPr>
        <w:lastRenderedPageBreak/>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65244692"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3BB43B9C" w14:textId="62492167"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6EBCF67E" w14:textId="722E10D9" w:rsidR="0038018C" w:rsidRPr="00900BD8" w:rsidRDefault="00717FC9" w:rsidP="00717FC9">
      <w:pPr>
        <w:widowControl/>
        <w:jc w:val="left"/>
        <w:rPr>
          <w:szCs w:val="21"/>
        </w:rPr>
      </w:pPr>
      <w:r>
        <w:rPr>
          <w:szCs w:val="21"/>
        </w:rPr>
        <w:br w:type="page"/>
      </w:r>
    </w:p>
    <w:p w14:paraId="0C5FB115" w14:textId="77777777" w:rsidR="0038018C" w:rsidRDefault="0038018C">
      <w:pPr>
        <w:widowControl/>
        <w:jc w:val="left"/>
        <w:rPr>
          <w:rFonts w:ascii="宋体"/>
          <w:szCs w:val="21"/>
        </w:rPr>
      </w:pPr>
    </w:p>
    <w:p w14:paraId="4E192B33" w14:textId="77777777" w:rsidR="00125DA4" w:rsidRPr="00D9157C" w:rsidRDefault="00125DA4" w:rsidP="00125DA4">
      <w:pPr>
        <w:rPr>
          <w:rFonts w:ascii="宋体"/>
          <w:szCs w:val="21"/>
        </w:rPr>
      </w:pPr>
      <w:r w:rsidRPr="00D9157C">
        <w:rPr>
          <w:rFonts w:ascii="宋体" w:hint="eastAsia"/>
          <w:szCs w:val="21"/>
        </w:rPr>
        <w:t>（本页为《</w:t>
      </w:r>
      <w:r w:rsidR="00D81FEA">
        <w:rPr>
          <w:rFonts w:ascii="宋体" w:hint="eastAsia"/>
          <w:b/>
          <w:szCs w:val="21"/>
        </w:rPr>
        <w:t>交银施罗德创业板50指数型证券投资基金</w:t>
      </w:r>
      <w:r w:rsidRPr="00125DA4">
        <w:rPr>
          <w:rFonts w:ascii="宋体" w:hint="eastAsia"/>
          <w:b/>
          <w:szCs w:val="21"/>
        </w:rPr>
        <w:t>托管协议</w:t>
      </w:r>
      <w:r w:rsidRPr="00D9157C">
        <w:rPr>
          <w:rFonts w:ascii="宋体" w:hint="eastAsia"/>
          <w:szCs w:val="21"/>
        </w:rPr>
        <w:t>》签署页，无正文）</w:t>
      </w:r>
    </w:p>
    <w:p w14:paraId="369B22B0"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788E87A3"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0EF65FEB"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1CCA7CD6"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1F23D5A4"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3CC7BB63"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56C9164" w14:textId="3BCED3A5"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41128DA8"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7FD1482F"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1ACB315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0303FE8"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56105955"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14:paraId="4C3FF89B"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4D313BA8"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4CA84B4" w14:textId="54BBA0D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1851E414"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4"/>
    <w:p w14:paraId="18A7A251"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96C5A">
      <w:footerReference w:type="default" r:id="rId45"/>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AC0E1" w14:textId="77777777" w:rsidR="004C137B" w:rsidRDefault="004C137B" w:rsidP="00896C5A">
      <w:r>
        <w:separator/>
      </w:r>
    </w:p>
  </w:endnote>
  <w:endnote w:type="continuationSeparator" w:id="0">
    <w:p w14:paraId="23A741E8" w14:textId="77777777" w:rsidR="004C137B" w:rsidRDefault="004C137B" w:rsidP="00896C5A">
      <w:r>
        <w:continuationSeparator/>
      </w:r>
    </w:p>
  </w:endnote>
  <w:endnote w:type="continuationNotice" w:id="1">
    <w:p w14:paraId="041871D6" w14:textId="77777777" w:rsidR="004C137B" w:rsidRDefault="004C1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264712"/>
      <w:docPartObj>
        <w:docPartGallery w:val="Page Numbers (Bottom of Page)"/>
        <w:docPartUnique/>
      </w:docPartObj>
    </w:sdtPr>
    <w:sdtEndPr/>
    <w:sdtContent>
      <w:p w14:paraId="67E2D1F1" w14:textId="58A68DD5" w:rsidR="00592546" w:rsidRDefault="00592546">
        <w:pPr>
          <w:pStyle w:val="ab"/>
          <w:jc w:val="center"/>
        </w:pPr>
        <w:r>
          <w:fldChar w:fldCharType="begin"/>
        </w:r>
        <w:r>
          <w:instrText>PAGE   \* MERGEFORMAT</w:instrText>
        </w:r>
        <w:r>
          <w:fldChar w:fldCharType="separate"/>
        </w:r>
        <w:r w:rsidR="00FB3078" w:rsidRPr="00FB3078">
          <w:rPr>
            <w:noProof/>
            <w:lang w:val="zh-CN"/>
          </w:rPr>
          <w:t>35</w:t>
        </w:r>
        <w:r>
          <w:fldChar w:fldCharType="end"/>
        </w:r>
      </w:p>
    </w:sdtContent>
  </w:sdt>
  <w:p w14:paraId="4557CB36" w14:textId="77777777" w:rsidR="00592546" w:rsidRDefault="0059254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A01F1" w14:textId="77777777" w:rsidR="004C137B" w:rsidRDefault="004C137B" w:rsidP="00896C5A">
      <w:r>
        <w:separator/>
      </w:r>
    </w:p>
  </w:footnote>
  <w:footnote w:type="continuationSeparator" w:id="0">
    <w:p w14:paraId="04E00852" w14:textId="77777777" w:rsidR="004C137B" w:rsidRDefault="004C137B" w:rsidP="00896C5A">
      <w:r>
        <w:continuationSeparator/>
      </w:r>
    </w:p>
  </w:footnote>
  <w:footnote w:type="continuationNotice" w:id="1">
    <w:p w14:paraId="5B226C64" w14:textId="77777777" w:rsidR="004C137B" w:rsidRDefault="004C13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7E74"/>
    <w:rsid w:val="00001AB6"/>
    <w:rsid w:val="00001E42"/>
    <w:rsid w:val="00002977"/>
    <w:rsid w:val="00003998"/>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606F2"/>
    <w:rsid w:val="00060843"/>
    <w:rsid w:val="00060875"/>
    <w:rsid w:val="000609AF"/>
    <w:rsid w:val="00064E77"/>
    <w:rsid w:val="00065232"/>
    <w:rsid w:val="00066315"/>
    <w:rsid w:val="0006703B"/>
    <w:rsid w:val="0006718A"/>
    <w:rsid w:val="000671F1"/>
    <w:rsid w:val="00067DA7"/>
    <w:rsid w:val="00071723"/>
    <w:rsid w:val="00072176"/>
    <w:rsid w:val="0007281A"/>
    <w:rsid w:val="000740C7"/>
    <w:rsid w:val="00074758"/>
    <w:rsid w:val="00074F42"/>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35CB"/>
    <w:rsid w:val="000E5798"/>
    <w:rsid w:val="000E6573"/>
    <w:rsid w:val="000E6FDC"/>
    <w:rsid w:val="000E7A28"/>
    <w:rsid w:val="000F0652"/>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3191"/>
    <w:rsid w:val="00153CD2"/>
    <w:rsid w:val="0015471A"/>
    <w:rsid w:val="0015665A"/>
    <w:rsid w:val="00156A3F"/>
    <w:rsid w:val="00160684"/>
    <w:rsid w:val="00160700"/>
    <w:rsid w:val="00161DD2"/>
    <w:rsid w:val="00167F4F"/>
    <w:rsid w:val="00170A79"/>
    <w:rsid w:val="00171737"/>
    <w:rsid w:val="00172530"/>
    <w:rsid w:val="0017370E"/>
    <w:rsid w:val="001742D1"/>
    <w:rsid w:val="00174565"/>
    <w:rsid w:val="001748DD"/>
    <w:rsid w:val="00174E51"/>
    <w:rsid w:val="00175369"/>
    <w:rsid w:val="00176684"/>
    <w:rsid w:val="00182D88"/>
    <w:rsid w:val="00183099"/>
    <w:rsid w:val="00185465"/>
    <w:rsid w:val="00185825"/>
    <w:rsid w:val="00185AD1"/>
    <w:rsid w:val="0018653A"/>
    <w:rsid w:val="00187094"/>
    <w:rsid w:val="00190D4F"/>
    <w:rsid w:val="0019194A"/>
    <w:rsid w:val="00192901"/>
    <w:rsid w:val="001945D9"/>
    <w:rsid w:val="00195B9F"/>
    <w:rsid w:val="001961E4"/>
    <w:rsid w:val="00196252"/>
    <w:rsid w:val="00197C29"/>
    <w:rsid w:val="001A27BB"/>
    <w:rsid w:val="001A31BA"/>
    <w:rsid w:val="001A3AFC"/>
    <w:rsid w:val="001A4014"/>
    <w:rsid w:val="001A4100"/>
    <w:rsid w:val="001A5E3B"/>
    <w:rsid w:val="001A63A2"/>
    <w:rsid w:val="001A7996"/>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087"/>
    <w:rsid w:val="00222341"/>
    <w:rsid w:val="002243FC"/>
    <w:rsid w:val="00226DCA"/>
    <w:rsid w:val="002306C9"/>
    <w:rsid w:val="00231B62"/>
    <w:rsid w:val="002330CA"/>
    <w:rsid w:val="002332D3"/>
    <w:rsid w:val="00237AD7"/>
    <w:rsid w:val="0024032B"/>
    <w:rsid w:val="00242261"/>
    <w:rsid w:val="00242885"/>
    <w:rsid w:val="00242944"/>
    <w:rsid w:val="00242E69"/>
    <w:rsid w:val="00246B69"/>
    <w:rsid w:val="00247986"/>
    <w:rsid w:val="00247FC1"/>
    <w:rsid w:val="0026065F"/>
    <w:rsid w:val="002631C1"/>
    <w:rsid w:val="00264C0E"/>
    <w:rsid w:val="00266019"/>
    <w:rsid w:val="00266A06"/>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63B"/>
    <w:rsid w:val="002961C9"/>
    <w:rsid w:val="002962EA"/>
    <w:rsid w:val="0029648D"/>
    <w:rsid w:val="002966BE"/>
    <w:rsid w:val="002A0B4E"/>
    <w:rsid w:val="002A2BDE"/>
    <w:rsid w:val="002A7896"/>
    <w:rsid w:val="002A790E"/>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3026F5"/>
    <w:rsid w:val="00306429"/>
    <w:rsid w:val="003123ED"/>
    <w:rsid w:val="003137F2"/>
    <w:rsid w:val="0031445C"/>
    <w:rsid w:val="003154CF"/>
    <w:rsid w:val="00317638"/>
    <w:rsid w:val="00320987"/>
    <w:rsid w:val="003215E2"/>
    <w:rsid w:val="00322A50"/>
    <w:rsid w:val="00323511"/>
    <w:rsid w:val="0032522B"/>
    <w:rsid w:val="00330931"/>
    <w:rsid w:val="00330FD6"/>
    <w:rsid w:val="00333237"/>
    <w:rsid w:val="00333679"/>
    <w:rsid w:val="003336F7"/>
    <w:rsid w:val="00334F74"/>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703AC"/>
    <w:rsid w:val="00371CDD"/>
    <w:rsid w:val="003726C2"/>
    <w:rsid w:val="00372795"/>
    <w:rsid w:val="00372AA7"/>
    <w:rsid w:val="0037431E"/>
    <w:rsid w:val="00375D08"/>
    <w:rsid w:val="00376451"/>
    <w:rsid w:val="00377AE1"/>
    <w:rsid w:val="0038018C"/>
    <w:rsid w:val="00380369"/>
    <w:rsid w:val="0038158C"/>
    <w:rsid w:val="00383076"/>
    <w:rsid w:val="00390C24"/>
    <w:rsid w:val="003940F0"/>
    <w:rsid w:val="003945E5"/>
    <w:rsid w:val="0039535D"/>
    <w:rsid w:val="0039673F"/>
    <w:rsid w:val="003979A1"/>
    <w:rsid w:val="003A0BC8"/>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277A"/>
    <w:rsid w:val="003E40CE"/>
    <w:rsid w:val="003E43F4"/>
    <w:rsid w:val="003E46C5"/>
    <w:rsid w:val="003E7379"/>
    <w:rsid w:val="003F1846"/>
    <w:rsid w:val="003F784C"/>
    <w:rsid w:val="004008A7"/>
    <w:rsid w:val="004014FA"/>
    <w:rsid w:val="00401C64"/>
    <w:rsid w:val="00403022"/>
    <w:rsid w:val="004038C3"/>
    <w:rsid w:val="00404A81"/>
    <w:rsid w:val="00405405"/>
    <w:rsid w:val="004054AD"/>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82"/>
    <w:rsid w:val="00440E3A"/>
    <w:rsid w:val="0044103D"/>
    <w:rsid w:val="00441241"/>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07C1"/>
    <w:rsid w:val="00491DA6"/>
    <w:rsid w:val="00492BCA"/>
    <w:rsid w:val="00492E8F"/>
    <w:rsid w:val="00493296"/>
    <w:rsid w:val="00493451"/>
    <w:rsid w:val="00493DC8"/>
    <w:rsid w:val="00494817"/>
    <w:rsid w:val="00497C6B"/>
    <w:rsid w:val="004A4931"/>
    <w:rsid w:val="004A77A8"/>
    <w:rsid w:val="004B024C"/>
    <w:rsid w:val="004B0D13"/>
    <w:rsid w:val="004B0ED0"/>
    <w:rsid w:val="004B144E"/>
    <w:rsid w:val="004B27A2"/>
    <w:rsid w:val="004B2B89"/>
    <w:rsid w:val="004B2C2F"/>
    <w:rsid w:val="004B31DB"/>
    <w:rsid w:val="004B6573"/>
    <w:rsid w:val="004B7BBC"/>
    <w:rsid w:val="004B7C6E"/>
    <w:rsid w:val="004C007C"/>
    <w:rsid w:val="004C137B"/>
    <w:rsid w:val="004C1766"/>
    <w:rsid w:val="004C2330"/>
    <w:rsid w:val="004C707D"/>
    <w:rsid w:val="004D0342"/>
    <w:rsid w:val="004D2553"/>
    <w:rsid w:val="004D2A62"/>
    <w:rsid w:val="004D2E26"/>
    <w:rsid w:val="004D2FCF"/>
    <w:rsid w:val="004D4661"/>
    <w:rsid w:val="004D5ACC"/>
    <w:rsid w:val="004E0F7D"/>
    <w:rsid w:val="004E1291"/>
    <w:rsid w:val="004E14CC"/>
    <w:rsid w:val="004E2130"/>
    <w:rsid w:val="004E3D38"/>
    <w:rsid w:val="004E7184"/>
    <w:rsid w:val="004F0A7A"/>
    <w:rsid w:val="004F42C1"/>
    <w:rsid w:val="004F6344"/>
    <w:rsid w:val="005017A2"/>
    <w:rsid w:val="005019AC"/>
    <w:rsid w:val="00503D3F"/>
    <w:rsid w:val="00504AC5"/>
    <w:rsid w:val="00505AC7"/>
    <w:rsid w:val="00506941"/>
    <w:rsid w:val="00511C6C"/>
    <w:rsid w:val="00513B3E"/>
    <w:rsid w:val="005143A9"/>
    <w:rsid w:val="00515D94"/>
    <w:rsid w:val="00520F5E"/>
    <w:rsid w:val="00521B52"/>
    <w:rsid w:val="0052319D"/>
    <w:rsid w:val="00524830"/>
    <w:rsid w:val="005248B6"/>
    <w:rsid w:val="00524BAD"/>
    <w:rsid w:val="00526015"/>
    <w:rsid w:val="00527783"/>
    <w:rsid w:val="00527B02"/>
    <w:rsid w:val="00535763"/>
    <w:rsid w:val="00537E9D"/>
    <w:rsid w:val="00540BE9"/>
    <w:rsid w:val="005451F9"/>
    <w:rsid w:val="005456CF"/>
    <w:rsid w:val="00547C44"/>
    <w:rsid w:val="005502D9"/>
    <w:rsid w:val="00550F23"/>
    <w:rsid w:val="005549E1"/>
    <w:rsid w:val="00556EE6"/>
    <w:rsid w:val="00557A00"/>
    <w:rsid w:val="00557B43"/>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3C50"/>
    <w:rsid w:val="005B4925"/>
    <w:rsid w:val="005B55DF"/>
    <w:rsid w:val="005B6483"/>
    <w:rsid w:val="005B66FD"/>
    <w:rsid w:val="005B685B"/>
    <w:rsid w:val="005B6A9D"/>
    <w:rsid w:val="005B6E41"/>
    <w:rsid w:val="005B77B1"/>
    <w:rsid w:val="005B78AB"/>
    <w:rsid w:val="005C0810"/>
    <w:rsid w:val="005C2546"/>
    <w:rsid w:val="005C3BCB"/>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1DFF"/>
    <w:rsid w:val="00632EEC"/>
    <w:rsid w:val="00636D06"/>
    <w:rsid w:val="00640F20"/>
    <w:rsid w:val="00644B26"/>
    <w:rsid w:val="006475D5"/>
    <w:rsid w:val="006520C3"/>
    <w:rsid w:val="00652128"/>
    <w:rsid w:val="00652650"/>
    <w:rsid w:val="00652DBF"/>
    <w:rsid w:val="006578DB"/>
    <w:rsid w:val="00660A76"/>
    <w:rsid w:val="00660D25"/>
    <w:rsid w:val="00663B13"/>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C3B"/>
    <w:rsid w:val="006975FC"/>
    <w:rsid w:val="00697602"/>
    <w:rsid w:val="006A292D"/>
    <w:rsid w:val="006A2CB1"/>
    <w:rsid w:val="006A4448"/>
    <w:rsid w:val="006B2ACD"/>
    <w:rsid w:val="006B42CE"/>
    <w:rsid w:val="006B61D0"/>
    <w:rsid w:val="006B6A5C"/>
    <w:rsid w:val="006B7B59"/>
    <w:rsid w:val="006C6CD1"/>
    <w:rsid w:val="006C7BF9"/>
    <w:rsid w:val="006C7C04"/>
    <w:rsid w:val="006D1B6A"/>
    <w:rsid w:val="006D2279"/>
    <w:rsid w:val="006D3F83"/>
    <w:rsid w:val="006D5FE6"/>
    <w:rsid w:val="006D62EB"/>
    <w:rsid w:val="006E463B"/>
    <w:rsid w:val="006E4F81"/>
    <w:rsid w:val="006E56FE"/>
    <w:rsid w:val="006E5ECE"/>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24F5"/>
    <w:rsid w:val="00712663"/>
    <w:rsid w:val="007171DE"/>
    <w:rsid w:val="00717934"/>
    <w:rsid w:val="00717FC9"/>
    <w:rsid w:val="00722A46"/>
    <w:rsid w:val="007244D7"/>
    <w:rsid w:val="00727284"/>
    <w:rsid w:val="00731589"/>
    <w:rsid w:val="007328E1"/>
    <w:rsid w:val="00732CE8"/>
    <w:rsid w:val="00734A9B"/>
    <w:rsid w:val="00735EE5"/>
    <w:rsid w:val="0074108A"/>
    <w:rsid w:val="0074155D"/>
    <w:rsid w:val="00741591"/>
    <w:rsid w:val="00746CAE"/>
    <w:rsid w:val="00751B17"/>
    <w:rsid w:val="00752925"/>
    <w:rsid w:val="00754294"/>
    <w:rsid w:val="00755BCE"/>
    <w:rsid w:val="00755BD7"/>
    <w:rsid w:val="0075647E"/>
    <w:rsid w:val="00756BF1"/>
    <w:rsid w:val="00756E58"/>
    <w:rsid w:val="00757919"/>
    <w:rsid w:val="00757EF2"/>
    <w:rsid w:val="0076074D"/>
    <w:rsid w:val="00761E09"/>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1033"/>
    <w:rsid w:val="007C7465"/>
    <w:rsid w:val="007D2175"/>
    <w:rsid w:val="007D3CD7"/>
    <w:rsid w:val="007D4EBE"/>
    <w:rsid w:val="007D5C10"/>
    <w:rsid w:val="007D5E49"/>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04C"/>
    <w:rsid w:val="00875ACE"/>
    <w:rsid w:val="00877385"/>
    <w:rsid w:val="00880D4D"/>
    <w:rsid w:val="00884A40"/>
    <w:rsid w:val="0088517F"/>
    <w:rsid w:val="0088608E"/>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3C60"/>
    <w:rsid w:val="008B4216"/>
    <w:rsid w:val="008C0FCB"/>
    <w:rsid w:val="008C115C"/>
    <w:rsid w:val="008C75C4"/>
    <w:rsid w:val="008D1B5E"/>
    <w:rsid w:val="008D2326"/>
    <w:rsid w:val="008D251D"/>
    <w:rsid w:val="008D3DBB"/>
    <w:rsid w:val="008D4F39"/>
    <w:rsid w:val="008D6E17"/>
    <w:rsid w:val="008E125E"/>
    <w:rsid w:val="008E1EC1"/>
    <w:rsid w:val="008E6C96"/>
    <w:rsid w:val="008F0650"/>
    <w:rsid w:val="008F2631"/>
    <w:rsid w:val="008F2B93"/>
    <w:rsid w:val="008F6378"/>
    <w:rsid w:val="00900BD8"/>
    <w:rsid w:val="00901401"/>
    <w:rsid w:val="00901436"/>
    <w:rsid w:val="00903789"/>
    <w:rsid w:val="009045B4"/>
    <w:rsid w:val="009058D2"/>
    <w:rsid w:val="00906C29"/>
    <w:rsid w:val="00907862"/>
    <w:rsid w:val="0090792E"/>
    <w:rsid w:val="00910249"/>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2D34"/>
    <w:rsid w:val="00953D84"/>
    <w:rsid w:val="00954499"/>
    <w:rsid w:val="00954EED"/>
    <w:rsid w:val="009556C6"/>
    <w:rsid w:val="00955893"/>
    <w:rsid w:val="00957CFA"/>
    <w:rsid w:val="009610E7"/>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566E"/>
    <w:rsid w:val="00985BCB"/>
    <w:rsid w:val="00987B0E"/>
    <w:rsid w:val="0099009F"/>
    <w:rsid w:val="00990BC2"/>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AAE"/>
    <w:rsid w:val="009C4DE8"/>
    <w:rsid w:val="009C5BB6"/>
    <w:rsid w:val="009C6D89"/>
    <w:rsid w:val="009C7626"/>
    <w:rsid w:val="009D2821"/>
    <w:rsid w:val="009D394C"/>
    <w:rsid w:val="009D7312"/>
    <w:rsid w:val="009D78E5"/>
    <w:rsid w:val="009E00E4"/>
    <w:rsid w:val="009E2853"/>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7A6A"/>
    <w:rsid w:val="00A50139"/>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87DD7"/>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97F"/>
    <w:rsid w:val="00AD57B5"/>
    <w:rsid w:val="00AD70A7"/>
    <w:rsid w:val="00AD75A0"/>
    <w:rsid w:val="00AE00E1"/>
    <w:rsid w:val="00AE0A46"/>
    <w:rsid w:val="00AE14EF"/>
    <w:rsid w:val="00AE2549"/>
    <w:rsid w:val="00AE27C3"/>
    <w:rsid w:val="00AE2D7D"/>
    <w:rsid w:val="00AE39C8"/>
    <w:rsid w:val="00AE4C6E"/>
    <w:rsid w:val="00AE5425"/>
    <w:rsid w:val="00AE7235"/>
    <w:rsid w:val="00AE7F08"/>
    <w:rsid w:val="00AE7F6A"/>
    <w:rsid w:val="00AF2353"/>
    <w:rsid w:val="00AF29BA"/>
    <w:rsid w:val="00AF29CE"/>
    <w:rsid w:val="00B0063D"/>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638DC"/>
    <w:rsid w:val="00B7051B"/>
    <w:rsid w:val="00B71C1F"/>
    <w:rsid w:val="00B7337A"/>
    <w:rsid w:val="00B74B7A"/>
    <w:rsid w:val="00B75087"/>
    <w:rsid w:val="00B76A3B"/>
    <w:rsid w:val="00B80807"/>
    <w:rsid w:val="00B811D5"/>
    <w:rsid w:val="00B8320E"/>
    <w:rsid w:val="00B839FC"/>
    <w:rsid w:val="00B83A85"/>
    <w:rsid w:val="00B8449D"/>
    <w:rsid w:val="00B85070"/>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B0623"/>
    <w:rsid w:val="00BB204F"/>
    <w:rsid w:val="00BB7F82"/>
    <w:rsid w:val="00BC005C"/>
    <w:rsid w:val="00BC0F8E"/>
    <w:rsid w:val="00BC1462"/>
    <w:rsid w:val="00BC163C"/>
    <w:rsid w:val="00BC2AB2"/>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79EC"/>
    <w:rsid w:val="00C20E2E"/>
    <w:rsid w:val="00C22902"/>
    <w:rsid w:val="00C242E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2154"/>
    <w:rsid w:val="00C5361F"/>
    <w:rsid w:val="00C55A43"/>
    <w:rsid w:val="00C60E74"/>
    <w:rsid w:val="00C65000"/>
    <w:rsid w:val="00C666E3"/>
    <w:rsid w:val="00C73BD5"/>
    <w:rsid w:val="00C74879"/>
    <w:rsid w:val="00C7566F"/>
    <w:rsid w:val="00C77CA7"/>
    <w:rsid w:val="00C77D41"/>
    <w:rsid w:val="00C8101F"/>
    <w:rsid w:val="00C81E26"/>
    <w:rsid w:val="00C82637"/>
    <w:rsid w:val="00C82765"/>
    <w:rsid w:val="00C8304B"/>
    <w:rsid w:val="00C83466"/>
    <w:rsid w:val="00C861CA"/>
    <w:rsid w:val="00C87739"/>
    <w:rsid w:val="00C928F5"/>
    <w:rsid w:val="00C92F34"/>
    <w:rsid w:val="00C937F0"/>
    <w:rsid w:val="00C94905"/>
    <w:rsid w:val="00CA13E6"/>
    <w:rsid w:val="00CA2396"/>
    <w:rsid w:val="00CA2560"/>
    <w:rsid w:val="00CA47A3"/>
    <w:rsid w:val="00CA65F8"/>
    <w:rsid w:val="00CA6D82"/>
    <w:rsid w:val="00CB174C"/>
    <w:rsid w:val="00CB1D7B"/>
    <w:rsid w:val="00CB21C1"/>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7F18"/>
    <w:rsid w:val="00CD012C"/>
    <w:rsid w:val="00CD15F0"/>
    <w:rsid w:val="00CD4109"/>
    <w:rsid w:val="00CD5FFC"/>
    <w:rsid w:val="00CE276D"/>
    <w:rsid w:val="00CE323B"/>
    <w:rsid w:val="00CE606A"/>
    <w:rsid w:val="00CE6364"/>
    <w:rsid w:val="00CE6D88"/>
    <w:rsid w:val="00CE7CC4"/>
    <w:rsid w:val="00CF070D"/>
    <w:rsid w:val="00CF2675"/>
    <w:rsid w:val="00CF2FDE"/>
    <w:rsid w:val="00CF502F"/>
    <w:rsid w:val="00CF5676"/>
    <w:rsid w:val="00CF6DD7"/>
    <w:rsid w:val="00CF71EE"/>
    <w:rsid w:val="00CF7C44"/>
    <w:rsid w:val="00D02099"/>
    <w:rsid w:val="00D076A4"/>
    <w:rsid w:val="00D10B32"/>
    <w:rsid w:val="00D121DA"/>
    <w:rsid w:val="00D1282F"/>
    <w:rsid w:val="00D12E7D"/>
    <w:rsid w:val="00D13508"/>
    <w:rsid w:val="00D13AC5"/>
    <w:rsid w:val="00D1474B"/>
    <w:rsid w:val="00D16D15"/>
    <w:rsid w:val="00D204A6"/>
    <w:rsid w:val="00D20847"/>
    <w:rsid w:val="00D20F45"/>
    <w:rsid w:val="00D2114E"/>
    <w:rsid w:val="00D219DF"/>
    <w:rsid w:val="00D21EC3"/>
    <w:rsid w:val="00D2395F"/>
    <w:rsid w:val="00D24A96"/>
    <w:rsid w:val="00D25D20"/>
    <w:rsid w:val="00D2621F"/>
    <w:rsid w:val="00D27602"/>
    <w:rsid w:val="00D31995"/>
    <w:rsid w:val="00D34969"/>
    <w:rsid w:val="00D35023"/>
    <w:rsid w:val="00D35600"/>
    <w:rsid w:val="00D362A4"/>
    <w:rsid w:val="00D37F98"/>
    <w:rsid w:val="00D41337"/>
    <w:rsid w:val="00D438F7"/>
    <w:rsid w:val="00D46506"/>
    <w:rsid w:val="00D47B40"/>
    <w:rsid w:val="00D51987"/>
    <w:rsid w:val="00D520A3"/>
    <w:rsid w:val="00D531CD"/>
    <w:rsid w:val="00D55C41"/>
    <w:rsid w:val="00D56ABD"/>
    <w:rsid w:val="00D56DFA"/>
    <w:rsid w:val="00D64D49"/>
    <w:rsid w:val="00D664D8"/>
    <w:rsid w:val="00D66BCC"/>
    <w:rsid w:val="00D72C9C"/>
    <w:rsid w:val="00D748CF"/>
    <w:rsid w:val="00D74CE7"/>
    <w:rsid w:val="00D74DB0"/>
    <w:rsid w:val="00D7640E"/>
    <w:rsid w:val="00D766FD"/>
    <w:rsid w:val="00D76F14"/>
    <w:rsid w:val="00D81BE8"/>
    <w:rsid w:val="00D81FEA"/>
    <w:rsid w:val="00D82E9F"/>
    <w:rsid w:val="00D8566A"/>
    <w:rsid w:val="00D871F7"/>
    <w:rsid w:val="00D879AD"/>
    <w:rsid w:val="00D9351F"/>
    <w:rsid w:val="00D94926"/>
    <w:rsid w:val="00D94A1E"/>
    <w:rsid w:val="00D954A3"/>
    <w:rsid w:val="00D95676"/>
    <w:rsid w:val="00D95DCA"/>
    <w:rsid w:val="00D95EFC"/>
    <w:rsid w:val="00DA31C9"/>
    <w:rsid w:val="00DA3242"/>
    <w:rsid w:val="00DA4514"/>
    <w:rsid w:val="00DA4D85"/>
    <w:rsid w:val="00DA5F3F"/>
    <w:rsid w:val="00DA614E"/>
    <w:rsid w:val="00DB301D"/>
    <w:rsid w:val="00DB3BE4"/>
    <w:rsid w:val="00DB4A78"/>
    <w:rsid w:val="00DB4AE5"/>
    <w:rsid w:val="00DB5BB7"/>
    <w:rsid w:val="00DB7853"/>
    <w:rsid w:val="00DC0097"/>
    <w:rsid w:val="00DC0C3C"/>
    <w:rsid w:val="00DC18DD"/>
    <w:rsid w:val="00DC3796"/>
    <w:rsid w:val="00DC4479"/>
    <w:rsid w:val="00DC6BFE"/>
    <w:rsid w:val="00DC6EC1"/>
    <w:rsid w:val="00DC7D10"/>
    <w:rsid w:val="00DC7E74"/>
    <w:rsid w:val="00DC7F6A"/>
    <w:rsid w:val="00DD0660"/>
    <w:rsid w:val="00DD1A6D"/>
    <w:rsid w:val="00DD25A5"/>
    <w:rsid w:val="00DD363B"/>
    <w:rsid w:val="00DD3AC3"/>
    <w:rsid w:val="00DD568D"/>
    <w:rsid w:val="00DD5B89"/>
    <w:rsid w:val="00DE08B6"/>
    <w:rsid w:val="00DE40EA"/>
    <w:rsid w:val="00DE4F7C"/>
    <w:rsid w:val="00DE521E"/>
    <w:rsid w:val="00DE7719"/>
    <w:rsid w:val="00DE7E91"/>
    <w:rsid w:val="00DF2AB8"/>
    <w:rsid w:val="00DF34B5"/>
    <w:rsid w:val="00DF3717"/>
    <w:rsid w:val="00DF4957"/>
    <w:rsid w:val="00DF75D4"/>
    <w:rsid w:val="00E00308"/>
    <w:rsid w:val="00E008E1"/>
    <w:rsid w:val="00E01A48"/>
    <w:rsid w:val="00E020C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406B"/>
    <w:rsid w:val="00E24640"/>
    <w:rsid w:val="00E24732"/>
    <w:rsid w:val="00E2473B"/>
    <w:rsid w:val="00E25A21"/>
    <w:rsid w:val="00E26B2F"/>
    <w:rsid w:val="00E302B0"/>
    <w:rsid w:val="00E309FF"/>
    <w:rsid w:val="00E31932"/>
    <w:rsid w:val="00E31C1B"/>
    <w:rsid w:val="00E3213F"/>
    <w:rsid w:val="00E3280F"/>
    <w:rsid w:val="00E33ADC"/>
    <w:rsid w:val="00E34149"/>
    <w:rsid w:val="00E36674"/>
    <w:rsid w:val="00E36939"/>
    <w:rsid w:val="00E401CD"/>
    <w:rsid w:val="00E41A40"/>
    <w:rsid w:val="00E42CDA"/>
    <w:rsid w:val="00E43062"/>
    <w:rsid w:val="00E43354"/>
    <w:rsid w:val="00E43A57"/>
    <w:rsid w:val="00E4548E"/>
    <w:rsid w:val="00E47B7D"/>
    <w:rsid w:val="00E51C8F"/>
    <w:rsid w:val="00E578ED"/>
    <w:rsid w:val="00E60BC8"/>
    <w:rsid w:val="00E61E70"/>
    <w:rsid w:val="00E64E60"/>
    <w:rsid w:val="00E65123"/>
    <w:rsid w:val="00E669C2"/>
    <w:rsid w:val="00E678B6"/>
    <w:rsid w:val="00E7380A"/>
    <w:rsid w:val="00E74729"/>
    <w:rsid w:val="00E75929"/>
    <w:rsid w:val="00E76012"/>
    <w:rsid w:val="00E77AEC"/>
    <w:rsid w:val="00E77CC9"/>
    <w:rsid w:val="00E77DD3"/>
    <w:rsid w:val="00E80CAD"/>
    <w:rsid w:val="00E81E20"/>
    <w:rsid w:val="00E83907"/>
    <w:rsid w:val="00E86C77"/>
    <w:rsid w:val="00E870E0"/>
    <w:rsid w:val="00E8764F"/>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0D4"/>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F17"/>
    <w:rsid w:val="00EC1519"/>
    <w:rsid w:val="00EC38EC"/>
    <w:rsid w:val="00EC3A70"/>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7352"/>
    <w:rsid w:val="00F27F44"/>
    <w:rsid w:val="00F30148"/>
    <w:rsid w:val="00F32EB2"/>
    <w:rsid w:val="00F33824"/>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A0E11"/>
    <w:rsid w:val="00FA20C5"/>
    <w:rsid w:val="00FA4754"/>
    <w:rsid w:val="00FA6503"/>
    <w:rsid w:val="00FA7884"/>
    <w:rsid w:val="00FB27EB"/>
    <w:rsid w:val="00FB3078"/>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23A"/>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CCC8"/>
  <w15:docId w15:val="{1333F433-822E-46AA-B7E3-E9306CB9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TOC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TOC5">
    <w:name w:val="toc 5"/>
    <w:basedOn w:val="a"/>
    <w:next w:val="a"/>
    <w:semiHidden/>
    <w:rsid w:val="00B811D5"/>
    <w:pPr>
      <w:ind w:leftChars="800" w:left="1680"/>
    </w:pPr>
  </w:style>
  <w:style w:type="paragraph" w:styleId="TOC3">
    <w:name w:val="toc 3"/>
    <w:basedOn w:val="a"/>
    <w:next w:val="a"/>
    <w:semiHidden/>
    <w:rsid w:val="00B811D5"/>
    <w:pPr>
      <w:ind w:leftChars="400" w:left="840"/>
    </w:pPr>
  </w:style>
  <w:style w:type="paragraph" w:styleId="TOC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sid w:val="00B811D5"/>
  </w:style>
  <w:style w:type="paragraph" w:styleId="TOC4">
    <w:name w:val="toc 4"/>
    <w:basedOn w:val="a"/>
    <w:next w:val="a"/>
    <w:semiHidden/>
    <w:qFormat/>
    <w:rsid w:val="00B811D5"/>
    <w:pPr>
      <w:ind w:leftChars="600" w:left="1260"/>
    </w:pPr>
  </w:style>
  <w:style w:type="paragraph" w:styleId="TOC6">
    <w:name w:val="toc 6"/>
    <w:basedOn w:val="a"/>
    <w:next w:val="a"/>
    <w:semiHidden/>
    <w:rsid w:val="00B811D5"/>
    <w:pPr>
      <w:ind w:leftChars="1000" w:left="2100"/>
    </w:pPr>
  </w:style>
  <w:style w:type="paragraph" w:styleId="3">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TOC2">
    <w:name w:val="toc 2"/>
    <w:basedOn w:val="a"/>
    <w:next w:val="a"/>
    <w:uiPriority w:val="39"/>
    <w:rsid w:val="00B811D5"/>
    <w:pPr>
      <w:ind w:leftChars="200" w:left="420"/>
    </w:pPr>
  </w:style>
  <w:style w:type="paragraph" w:styleId="TOC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0098-352B-4E09-969F-40C2E9A0A5B9}">
  <ds:schemaRefs>
    <ds:schemaRef ds:uri="http://schemas.openxmlformats.org/officeDocument/2006/bibliography"/>
  </ds:schemaRefs>
</ds:datastoreItem>
</file>

<file path=customXml/itemProps10.xml><?xml version="1.0" encoding="utf-8"?>
<ds:datastoreItem xmlns:ds="http://schemas.openxmlformats.org/officeDocument/2006/customXml" ds:itemID="{7713BCE2-CA43-4CD2-AA56-E82ACB7589AF}">
  <ds:schemaRefs>
    <ds:schemaRef ds:uri="http://schemas.openxmlformats.org/officeDocument/2006/bibliography"/>
  </ds:schemaRefs>
</ds:datastoreItem>
</file>

<file path=customXml/itemProps11.xml><?xml version="1.0" encoding="utf-8"?>
<ds:datastoreItem xmlns:ds="http://schemas.openxmlformats.org/officeDocument/2006/customXml" ds:itemID="{C10525EE-7C5B-4AB1-A033-BFDFCE489DD5}">
  <ds:schemaRefs>
    <ds:schemaRef ds:uri="http://schemas.openxmlformats.org/officeDocument/2006/bibliography"/>
  </ds:schemaRefs>
</ds:datastoreItem>
</file>

<file path=customXml/itemProps12.xml><?xml version="1.0" encoding="utf-8"?>
<ds:datastoreItem xmlns:ds="http://schemas.openxmlformats.org/officeDocument/2006/customXml" ds:itemID="{1B573A6D-C1B3-4018-9D64-25FDA2F4B65C}">
  <ds:schemaRefs>
    <ds:schemaRef ds:uri="http://schemas.openxmlformats.org/officeDocument/2006/bibliography"/>
  </ds:schemaRefs>
</ds:datastoreItem>
</file>

<file path=customXml/itemProps13.xml><?xml version="1.0" encoding="utf-8"?>
<ds:datastoreItem xmlns:ds="http://schemas.openxmlformats.org/officeDocument/2006/customXml" ds:itemID="{8B05F20B-DE8B-4960-B18A-BEE42C61C51F}">
  <ds:schemaRefs>
    <ds:schemaRef ds:uri="http://schemas.openxmlformats.org/officeDocument/2006/bibliography"/>
  </ds:schemaRefs>
</ds:datastoreItem>
</file>

<file path=customXml/itemProps14.xml><?xml version="1.0" encoding="utf-8"?>
<ds:datastoreItem xmlns:ds="http://schemas.openxmlformats.org/officeDocument/2006/customXml" ds:itemID="{87AB7654-754C-447D-860C-7E9AB28CCBCD}">
  <ds:schemaRefs>
    <ds:schemaRef ds:uri="http://schemas.openxmlformats.org/officeDocument/2006/bibliography"/>
  </ds:schemaRefs>
</ds:datastoreItem>
</file>

<file path=customXml/itemProps15.xml><?xml version="1.0" encoding="utf-8"?>
<ds:datastoreItem xmlns:ds="http://schemas.openxmlformats.org/officeDocument/2006/customXml" ds:itemID="{08E08BD7-19A6-490F-A3D0-75167ECD0C85}">
  <ds:schemaRefs>
    <ds:schemaRef ds:uri="http://schemas.openxmlformats.org/officeDocument/2006/bibliography"/>
  </ds:schemaRefs>
</ds:datastoreItem>
</file>

<file path=customXml/itemProps16.xml><?xml version="1.0" encoding="utf-8"?>
<ds:datastoreItem xmlns:ds="http://schemas.openxmlformats.org/officeDocument/2006/customXml" ds:itemID="{3173C2EE-5340-47BF-93F5-AB2D1B383136}">
  <ds:schemaRefs>
    <ds:schemaRef ds:uri="http://schemas.openxmlformats.org/officeDocument/2006/bibliography"/>
  </ds:schemaRefs>
</ds:datastoreItem>
</file>

<file path=customXml/itemProps17.xml><?xml version="1.0" encoding="utf-8"?>
<ds:datastoreItem xmlns:ds="http://schemas.openxmlformats.org/officeDocument/2006/customXml" ds:itemID="{532288AA-AC87-445A-B4B2-854754A8AE02}">
  <ds:schemaRefs>
    <ds:schemaRef ds:uri="http://schemas.openxmlformats.org/officeDocument/2006/bibliography"/>
  </ds:schemaRefs>
</ds:datastoreItem>
</file>

<file path=customXml/itemProps18.xml><?xml version="1.0" encoding="utf-8"?>
<ds:datastoreItem xmlns:ds="http://schemas.openxmlformats.org/officeDocument/2006/customXml" ds:itemID="{1000257C-C13C-4022-91F0-A97FA5AAC7E7}">
  <ds:schemaRefs>
    <ds:schemaRef ds:uri="http://schemas.openxmlformats.org/officeDocument/2006/bibliography"/>
  </ds:schemaRefs>
</ds:datastoreItem>
</file>

<file path=customXml/itemProps19.xml><?xml version="1.0" encoding="utf-8"?>
<ds:datastoreItem xmlns:ds="http://schemas.openxmlformats.org/officeDocument/2006/customXml" ds:itemID="{B8693C24-2989-4D0D-9EF6-0019AD1BBB7E}">
  <ds:schemaRefs>
    <ds:schemaRef ds:uri="http://schemas.openxmlformats.org/officeDocument/2006/bibliography"/>
  </ds:schemaRefs>
</ds:datastoreItem>
</file>

<file path=customXml/itemProps2.xml><?xml version="1.0" encoding="utf-8"?>
<ds:datastoreItem xmlns:ds="http://schemas.openxmlformats.org/officeDocument/2006/customXml" ds:itemID="{54D3737C-E173-4D58-BF25-7B5C0210F003}">
  <ds:schemaRefs>
    <ds:schemaRef ds:uri="http://schemas.openxmlformats.org/officeDocument/2006/bibliography"/>
  </ds:schemaRefs>
</ds:datastoreItem>
</file>

<file path=customXml/itemProps20.xml><?xml version="1.0" encoding="utf-8"?>
<ds:datastoreItem xmlns:ds="http://schemas.openxmlformats.org/officeDocument/2006/customXml" ds:itemID="{874DCC84-A9A1-417C-973A-F00A38522B45}">
  <ds:schemaRefs>
    <ds:schemaRef ds:uri="http://schemas.openxmlformats.org/officeDocument/2006/bibliography"/>
  </ds:schemaRefs>
</ds:datastoreItem>
</file>

<file path=customXml/itemProps21.xml><?xml version="1.0" encoding="utf-8"?>
<ds:datastoreItem xmlns:ds="http://schemas.openxmlformats.org/officeDocument/2006/customXml" ds:itemID="{DE749AAA-E753-4A03-BA03-29A52727106D}">
  <ds:schemaRefs>
    <ds:schemaRef ds:uri="http://schemas.openxmlformats.org/officeDocument/2006/bibliography"/>
  </ds:schemaRefs>
</ds:datastoreItem>
</file>

<file path=customXml/itemProps22.xml><?xml version="1.0" encoding="utf-8"?>
<ds:datastoreItem xmlns:ds="http://schemas.openxmlformats.org/officeDocument/2006/customXml" ds:itemID="{1DF2369E-C7F3-4566-AEFD-8D447A3BA488}">
  <ds:schemaRefs>
    <ds:schemaRef ds:uri="http://schemas.openxmlformats.org/officeDocument/2006/bibliography"/>
  </ds:schemaRefs>
</ds:datastoreItem>
</file>

<file path=customXml/itemProps23.xml><?xml version="1.0" encoding="utf-8"?>
<ds:datastoreItem xmlns:ds="http://schemas.openxmlformats.org/officeDocument/2006/customXml" ds:itemID="{3C883AFF-CDEF-4E2F-8581-AAB34CCB0087}">
  <ds:schemaRefs>
    <ds:schemaRef ds:uri="http://schemas.openxmlformats.org/officeDocument/2006/bibliography"/>
  </ds:schemaRefs>
</ds:datastoreItem>
</file>

<file path=customXml/itemProps24.xml><?xml version="1.0" encoding="utf-8"?>
<ds:datastoreItem xmlns:ds="http://schemas.openxmlformats.org/officeDocument/2006/customXml" ds:itemID="{11FC887F-69DA-452E-9B31-E85AC9E3E370}">
  <ds:schemaRefs>
    <ds:schemaRef ds:uri="http://schemas.openxmlformats.org/officeDocument/2006/bibliography"/>
  </ds:schemaRefs>
</ds:datastoreItem>
</file>

<file path=customXml/itemProps25.xml><?xml version="1.0" encoding="utf-8"?>
<ds:datastoreItem xmlns:ds="http://schemas.openxmlformats.org/officeDocument/2006/customXml" ds:itemID="{469CFC83-ACAC-4CB3-AFC8-A9E2420AB5CC}">
  <ds:schemaRefs>
    <ds:schemaRef ds:uri="http://schemas.openxmlformats.org/officeDocument/2006/bibliography"/>
  </ds:schemaRefs>
</ds:datastoreItem>
</file>

<file path=customXml/itemProps26.xml><?xml version="1.0" encoding="utf-8"?>
<ds:datastoreItem xmlns:ds="http://schemas.openxmlformats.org/officeDocument/2006/customXml" ds:itemID="{0FAC56E2-6568-4BC0-93E6-6D66B1F48BEF}">
  <ds:schemaRefs>
    <ds:schemaRef ds:uri="http://schemas.openxmlformats.org/officeDocument/2006/bibliography"/>
  </ds:schemaRefs>
</ds:datastoreItem>
</file>

<file path=customXml/itemProps27.xml><?xml version="1.0" encoding="utf-8"?>
<ds:datastoreItem xmlns:ds="http://schemas.openxmlformats.org/officeDocument/2006/customXml" ds:itemID="{9992B5E4-909D-4DF1-8D42-8ABE43F55D21}">
  <ds:schemaRefs>
    <ds:schemaRef ds:uri="http://schemas.openxmlformats.org/officeDocument/2006/bibliography"/>
  </ds:schemaRefs>
</ds:datastoreItem>
</file>

<file path=customXml/itemProps28.xml><?xml version="1.0" encoding="utf-8"?>
<ds:datastoreItem xmlns:ds="http://schemas.openxmlformats.org/officeDocument/2006/customXml" ds:itemID="{EC7648DB-3F11-4452-B8A1-034D514ADF9A}">
  <ds:schemaRefs>
    <ds:schemaRef ds:uri="http://schemas.openxmlformats.org/officeDocument/2006/bibliography"/>
  </ds:schemaRefs>
</ds:datastoreItem>
</file>

<file path=customXml/itemProps29.xml><?xml version="1.0" encoding="utf-8"?>
<ds:datastoreItem xmlns:ds="http://schemas.openxmlformats.org/officeDocument/2006/customXml" ds:itemID="{8DD9DE14-AE35-46A4-8701-494DE5073502}">
  <ds:schemaRefs>
    <ds:schemaRef ds:uri="http://schemas.openxmlformats.org/officeDocument/2006/bibliography"/>
  </ds:schemaRefs>
</ds:datastoreItem>
</file>

<file path=customXml/itemProps3.xml><?xml version="1.0" encoding="utf-8"?>
<ds:datastoreItem xmlns:ds="http://schemas.openxmlformats.org/officeDocument/2006/customXml" ds:itemID="{8BA5C3A4-C6A6-4F7C-9262-91DA50663B6B}">
  <ds:schemaRefs>
    <ds:schemaRef ds:uri="http://schemas.openxmlformats.org/officeDocument/2006/bibliography"/>
  </ds:schemaRefs>
</ds:datastoreItem>
</file>

<file path=customXml/itemProps30.xml><?xml version="1.0" encoding="utf-8"?>
<ds:datastoreItem xmlns:ds="http://schemas.openxmlformats.org/officeDocument/2006/customXml" ds:itemID="{1EEB1BF7-7048-4068-9F57-CBF393B58D2E}">
  <ds:schemaRefs>
    <ds:schemaRef ds:uri="http://schemas.openxmlformats.org/officeDocument/2006/bibliography"/>
  </ds:schemaRefs>
</ds:datastoreItem>
</file>

<file path=customXml/itemProps3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2.xml><?xml version="1.0" encoding="utf-8"?>
<ds:datastoreItem xmlns:ds="http://schemas.openxmlformats.org/officeDocument/2006/customXml" ds:itemID="{F68D0C92-2691-4D41-AE38-F61456436DB3}">
  <ds:schemaRefs>
    <ds:schemaRef ds:uri="http://schemas.openxmlformats.org/officeDocument/2006/bibliography"/>
  </ds:schemaRefs>
</ds:datastoreItem>
</file>

<file path=customXml/itemProps33.xml><?xml version="1.0" encoding="utf-8"?>
<ds:datastoreItem xmlns:ds="http://schemas.openxmlformats.org/officeDocument/2006/customXml" ds:itemID="{996C248B-4C4D-4748-AD50-2FFE22AC6E6C}">
  <ds:schemaRefs>
    <ds:schemaRef ds:uri="http://schemas.openxmlformats.org/officeDocument/2006/bibliography"/>
  </ds:schemaRefs>
</ds:datastoreItem>
</file>

<file path=customXml/itemProps34.xml><?xml version="1.0" encoding="utf-8"?>
<ds:datastoreItem xmlns:ds="http://schemas.openxmlformats.org/officeDocument/2006/customXml" ds:itemID="{26D907F5-BFB0-4256-BC6F-FA6DE5B4E796}">
  <ds:schemaRefs>
    <ds:schemaRef ds:uri="http://schemas.openxmlformats.org/officeDocument/2006/bibliography"/>
  </ds:schemaRefs>
</ds:datastoreItem>
</file>

<file path=customXml/itemProps35.xml><?xml version="1.0" encoding="utf-8"?>
<ds:datastoreItem xmlns:ds="http://schemas.openxmlformats.org/officeDocument/2006/customXml" ds:itemID="{49E440AC-A8D7-4166-9223-8C7F75304714}">
  <ds:schemaRefs>
    <ds:schemaRef ds:uri="http://schemas.openxmlformats.org/officeDocument/2006/bibliography"/>
  </ds:schemaRefs>
</ds:datastoreItem>
</file>

<file path=customXml/itemProps36.xml><?xml version="1.0" encoding="utf-8"?>
<ds:datastoreItem xmlns:ds="http://schemas.openxmlformats.org/officeDocument/2006/customXml" ds:itemID="{C5EEF944-D644-4C7C-8041-C4272CDB52EB}">
  <ds:schemaRefs>
    <ds:schemaRef ds:uri="http://schemas.openxmlformats.org/officeDocument/2006/bibliography"/>
  </ds:schemaRefs>
</ds:datastoreItem>
</file>

<file path=customXml/itemProps37.xml><?xml version="1.0" encoding="utf-8"?>
<ds:datastoreItem xmlns:ds="http://schemas.openxmlformats.org/officeDocument/2006/customXml" ds:itemID="{83553290-78DD-4A17-AF88-1390887F522E}">
  <ds:schemaRefs>
    <ds:schemaRef ds:uri="http://schemas.openxmlformats.org/officeDocument/2006/bibliography"/>
  </ds:schemaRefs>
</ds:datastoreItem>
</file>

<file path=customXml/itemProps4.xml><?xml version="1.0" encoding="utf-8"?>
<ds:datastoreItem xmlns:ds="http://schemas.openxmlformats.org/officeDocument/2006/customXml" ds:itemID="{D3B4C077-FBC9-45C0-8942-B777A35E296A}">
  <ds:schemaRefs>
    <ds:schemaRef ds:uri="http://schemas.openxmlformats.org/officeDocument/2006/bibliography"/>
  </ds:schemaRefs>
</ds:datastoreItem>
</file>

<file path=customXml/itemProps5.xml><?xml version="1.0" encoding="utf-8"?>
<ds:datastoreItem xmlns:ds="http://schemas.openxmlformats.org/officeDocument/2006/customXml" ds:itemID="{F250BA98-7A11-41E4-83DB-04FF7DD2FBB5}">
  <ds:schemaRefs>
    <ds:schemaRef ds:uri="http://schemas.openxmlformats.org/officeDocument/2006/bibliography"/>
  </ds:schemaRefs>
</ds:datastoreItem>
</file>

<file path=customXml/itemProps6.xml><?xml version="1.0" encoding="utf-8"?>
<ds:datastoreItem xmlns:ds="http://schemas.openxmlformats.org/officeDocument/2006/customXml" ds:itemID="{A9508C40-71FA-45F2-96F0-E9725E3662F3}">
  <ds:schemaRefs>
    <ds:schemaRef ds:uri="http://schemas.openxmlformats.org/officeDocument/2006/bibliography"/>
  </ds:schemaRefs>
</ds:datastoreItem>
</file>

<file path=customXml/itemProps7.xml><?xml version="1.0" encoding="utf-8"?>
<ds:datastoreItem xmlns:ds="http://schemas.openxmlformats.org/officeDocument/2006/customXml" ds:itemID="{8E83ABEA-D396-448E-AC23-96999979100E}">
  <ds:schemaRefs>
    <ds:schemaRef ds:uri="http://schemas.openxmlformats.org/officeDocument/2006/bibliography"/>
  </ds:schemaRefs>
</ds:datastoreItem>
</file>

<file path=customXml/itemProps8.xml><?xml version="1.0" encoding="utf-8"?>
<ds:datastoreItem xmlns:ds="http://schemas.openxmlformats.org/officeDocument/2006/customXml" ds:itemID="{B7DD6C32-F230-4C6B-8F61-8C9FFE0883A7}">
  <ds:schemaRefs>
    <ds:schemaRef ds:uri="http://schemas.openxmlformats.org/officeDocument/2006/bibliography"/>
  </ds:schemaRefs>
</ds:datastoreItem>
</file>

<file path=customXml/itemProps9.xml><?xml version="1.0" encoding="utf-8"?>
<ds:datastoreItem xmlns:ds="http://schemas.openxmlformats.org/officeDocument/2006/customXml" ds:itemID="{027F8AFA-DC8C-4150-8BFB-AB051CD4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51</Pages>
  <Words>4712</Words>
  <Characters>26859</Characters>
  <Application>Microsoft Office Word</Application>
  <DocSecurity>0</DocSecurity>
  <Lines>223</Lines>
  <Paragraphs>63</Paragraphs>
  <ScaleCrop>false</ScaleCrop>
  <Company/>
  <LinksUpToDate>false</LinksUpToDate>
  <CharactersWithSpaces>31508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41</cp:revision>
  <cp:lastPrinted>2019-04-15T02:06:00Z</cp:lastPrinted>
  <dcterms:created xsi:type="dcterms:W3CDTF">2019-01-16T06:43:00Z</dcterms:created>
  <dcterms:modified xsi:type="dcterms:W3CDTF">2020-07-31T02:56:00Z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2d19c3b023184e5d96eda5de63a3f55b</vt:lpwstr>
  </property>
  <property fmtid="{D5CDD505-2E9C-101B-9397-08002B2CF9AE}" pid="4" name="verificationId">
    <vt:lpwstr>b95b9b8a511b5603</vt:lpwstr>
  </property>
</Properties>
</file>