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070317" w:rsidR="00070317" w:rsidRDefault="00070317" w:rsidRPr="002A51E8">
      <w:pPr>
        <w:widowControl/>
        <w:jc w:val="center"/>
        <w:rPr>
          <w:rFonts w:asciiTheme="minorEastAsia" w:cs="宋体" w:eastAsiaTheme="minorEastAsia" w:hAnsiTheme="minorEastAsia"/>
          <w:b/>
          <w:kern w:val="0"/>
          <w:sz w:val="30"/>
          <w:szCs w:val="30"/>
        </w:rPr>
      </w:pPr>
      <w:r w:rsidRPr="002A51E8">
        <w:rPr>
          <w:rFonts w:asciiTheme="minorEastAsia" w:cs="宋体" w:eastAsiaTheme="minorEastAsia" w:hAnsiTheme="minorEastAsia" w:hint="eastAsia"/>
          <w:b/>
          <w:kern w:val="0"/>
          <w:sz w:val="30"/>
          <w:szCs w:val="30"/>
        </w:rPr>
        <w:t>交银施罗德基金管理有限公司关于增聘交银施罗德数据产业灵活配置混合型证券投资基金基金经理的公告</w:t>
      </w:r>
    </w:p>
    <w:p w:rsidP="00070317" w:rsidR="00070317" w:rsidRDefault="00070317" w:rsidRPr="0000418A">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bCs/>
          <w:sz w:val="24"/>
          <w:szCs w:val="24"/>
        </w:rPr>
        <w:t/>
      </w:r>
      <w:r w:rsidRPr="0000418A">
        <w:rPr>
          <w:rFonts w:asciiTheme="minorEastAsia" w:cs="宋体" w:eastAsiaTheme="minorEastAsia" w:hAnsiTheme="minorEastAsia" w:hint="eastAsia"/>
          <w:bCs/>
          <w:sz w:val="24"/>
          <w:szCs w:val="24"/>
        </w:rPr>
        <w:t/>
      </w:r>
      <w:r w:rsidRPr="0000418A">
        <w:rPr>
          <w:rFonts w:asciiTheme="minorEastAsia" w:cs="宋体" w:eastAsiaTheme="minorEastAsia" w:hAnsiTheme="minorEastAsia"/>
          <w:bCs/>
          <w:sz w:val="24"/>
          <w:szCs w:val="24"/>
        </w:rPr>
        <w:t>2019年5月14日</w:t>
      </w:r>
    </w:p>
    <w:p w:rsidP="00070317" w:rsidR="00070317" w:rsidRDefault="00070317" w:rsidRPr="0000418A">
      <w:pPr>
        <w:spacing w:line="560" w:lineRule="exact"/>
        <w:jc w:val="center"/>
        <w:rPr>
          <w:rFonts w:asciiTheme="minorEastAsia" w:eastAsiaTheme="minorEastAsia" w:hAnsiTheme="minorEastAsia"/>
          <w:color w:val="000000"/>
          <w:sz w:val="24"/>
          <w:szCs w:val="24"/>
        </w:rPr>
      </w:pPr>
    </w:p>
    <w:p w:rsidP="00070317" w:rsidR="00070317" w:rsidRDefault="006163B1" w:rsidRPr="0000418A">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交银施罗德数据产业灵活配置混合型证券投资基金</w:t>
            </w:r>
          </w:p>
        </w:tc>
      </w:tr>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交银数据产业灵活配置混合</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type="dxa" w:w="5286"/>
            <w:vAlign w:val="center"/>
          </w:tcPr>
          <w:p w:rsidP="0053712A" w:rsidR="00A63D9B" w:rsidRDefault="00A63D9B"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519773</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type="dxa" w:w="5286"/>
            <w:vAlign w:val="center"/>
          </w:tcPr>
          <w:p w:rsidP="0053712A" w:rsidR="00A63D9B" w:rsidRDefault="00547962"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sz w:val="24"/>
                <w:szCs w:val="24"/>
              </w:rPr>
              <w:t/>
            </w:r>
            <w:r w:rsidR="006113F1" w:rsidRPr="0000418A">
              <w:rPr>
                <w:rFonts w:asciiTheme="minorEastAsia" w:eastAsiaTheme="minorEastAsia" w:hAnsiTheme="minorEastAsia" w:hint="eastAsia"/>
                <w:sz w:val="24"/>
                <w:szCs w:val="24"/>
              </w:rPr>
              <w:t/>
            </w:r>
            <w:r w:rsidR="00A63D9B" w:rsidRPr="0000418A">
              <w:rPr>
                <w:rFonts w:asciiTheme="minorEastAsia" w:eastAsiaTheme="minorEastAsia" w:hAnsiTheme="minorEastAsia"/>
                <w:sz w:val="24"/>
                <w:szCs w:val="24"/>
              </w:rPr>
              <w:t>增聘基金经理</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新任基金经理姓名</w:t>
            </w:r>
          </w:p>
        </w:tc>
        <w:tc>
          <w:tcPr>
            <w:vAlign w:val="center"/>
          </w:tcPr>
          <w:p>
            <w:pPr>
              <w:jc w:val="left"/>
            </w:pPr>
            <w:r>
              <w:rPr>
                <w:rFonts w:asciiTheme="minorEastAsia" w:eastAsiaTheme="minorEastAsia" w:hAnsiTheme="minorEastAsia"/>
                <w:sz w:val="24"/>
                <w:szCs w:val="24"/>
              </w:rPr>
              <w:t>田彧龙</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共同管理本基金的其他基金经理姓名</w:t>
            </w:r>
          </w:p>
        </w:tc>
        <w:tc>
          <w:tcPr>
            <w:vAlign w:val="center"/>
          </w:tcPr>
          <w:p>
            <w:pPr>
              <w:jc w:val="left"/>
            </w:pPr>
            <w:r>
              <w:rPr>
                <w:rFonts w:asciiTheme="minorEastAsia" w:eastAsiaTheme="minorEastAsia" w:hAnsiTheme="minorEastAsia"/>
                <w:sz w:val="24"/>
                <w:szCs w:val="24"/>
              </w:rPr>
              <w:t>芮晨</w:t>
            </w:r>
          </w:p>
        </w:tc>
      </w:tr>
    </w:tbl>
    <w:p w:rsidP="00070317" w:rsidR="00070317" w:rsidRDefault="006163B1" w:rsidRPr="0000418A">
      <w:pPr>
        <w:pStyle w:val="2"/>
        <w:spacing w:line="560" w:lineRule="exact"/>
        <w:rPr>
          <w:rFonts w:asciiTheme="minorEastAsia" w:eastAsiaTheme="minorEastAsia" w:hAnsiTheme="minorEastAsia"/>
          <w:bCs w:val="0"/>
          <w:color w:val="000000"/>
          <w:sz w:val="24"/>
          <w:szCs w:val="24"/>
        </w:rPr>
      </w:pPr>
      <w:bookmarkStart w:id="2" w:name="_Toc275961409"/>
      <w:r w:rsidRPr="0000418A">
        <w:rPr>
          <w:rFonts w:asciiTheme="minorEastAsia" w:eastAsiaTheme="minorEastAsia" w:hAnsiTheme="minorEastAsia" w:hint="eastAsia"/>
          <w:bCs w:val="0"/>
          <w:color w:val="000000"/>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2"/>
    </w:p>
    <w:tbl>
      <w:tblPr>
        <w:tblW w:w="9648" w:type="dxa"/>
        <w:tblBorders>
          <w:top w:val="single"/>
          <w:left w:val="single"/>
          <w:bottom w:val="single"/>
          <w:right w:val="single"/>
          <w:insideH w:val="single"/>
          <w:insideV w:val="single"/>
        </w:tblBorders>
      </w:tblPr>
      <w:tr w:rsidR="00042A21" w:rsidRPr="0000418A" w:rsidTr="007179FB">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r w:rsidRPr="0000418A">
              <w:rPr>
                <w:rFonts w:asciiTheme="minorEastAsia" w:eastAsiaTheme="minorEastAsia" w:hAnsiTheme="minorEastAsia" w:hint="eastAsia"/>
                <w:color w:val="000000"/>
                <w:sz w:val="24"/>
                <w:szCs w:val="24"/>
              </w:rPr>
              <w:t/>
            </w:r>
          </w:p>
        </w:tc>
        <w:tc>
          <w:tcPr>
            <w:tcW w:type="dxa" w:w="5291"/>
            <w:gridSpan w:val="4"/>
          </w:tcPr>
          <w:p w:rsidP="00EB10D5" w:rsidR="00042A21" w:rsidRDefault="00042A21"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田彧龙</w:t>
            </w:r>
          </w:p>
        </w:tc>
      </w:tr>
      <w:tr w:rsidR="00070317" w:rsidRPr="0000418A" w:rsidTr="007179FB">
        <w:trPr>
          <w:jc w:val="center"/>
        </w:trPr>
        <w:tc>
          <w:tcPr>
            <w:tcW w:type="dxa" w:w="4357"/>
          </w:tcPr>
          <w:p w:rsidP="00E857A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0053712A" w:rsidRPr="0000418A">
              <w:rPr>
                <w:rFonts w:asciiTheme="minorEastAsia" w:eastAsiaTheme="minorEastAsia" w:hAnsiTheme="minorEastAsia"/>
                <w:sz w:val="24"/>
                <w:szCs w:val="24"/>
              </w:rPr>
              <w:t/>
            </w:r>
            <w:r w:rsidRPr="0000418A">
              <w:rPr>
                <w:rFonts w:asciiTheme="minorEastAsia" w:eastAsiaTheme="minorEastAsia" w:hAnsiTheme="minorEastAsia"/>
                <w:sz w:val="24"/>
                <w:szCs w:val="24"/>
              </w:rPr>
              <w:t>2019年5月14日</w:t>
            </w:r>
          </w:p>
        </w:tc>
      </w:tr>
      <w:tr w:rsidR="00070317" w:rsidRPr="0000418A" w:rsidTr="007179FB">
        <w:trPr>
          <w:jc w:val="center"/>
        </w:trPr>
        <w:tc>
          <w:tcPr>
            <w:tcW w:type="dxa" w:w="4357"/>
          </w:tcPr>
          <w:p w:rsidP="007239D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w:t>
            </w:r>
          </w:p>
        </w:tc>
      </w:tr>
      <w:tr w:rsidR="00070317" w:rsidRPr="0000418A" w:rsidTr="007179FB">
        <w:trPr>
          <w:jc w:val="center"/>
        </w:trPr>
        <w:tc>
          <w:tcPr>
            <w:tcW w:type="dxa" w:w="4357"/>
          </w:tcPr>
          <w:p w:rsidP="00E857A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w:t>
            </w:r>
          </w:p>
        </w:tc>
      </w:tr>
      <w:tr w:rsidR="00070317" w:rsidRPr="0000418A" w:rsidTr="007179FB">
        <w:trPr>
          <w:jc w:val="center"/>
        </w:trPr>
        <w:tc>
          <w:tcPr>
            <w:tcW w:type="dxa" w:w="4357"/>
          </w:tcPr>
          <w:p w:rsidP="00E857A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过往从业经历</w:t>
            </w:r>
          </w:p>
        </w:tc>
        <w:tc>
          <w:tcPr>
            <w:tcW w:type="dxa" w:w="5291"/>
            <w:gridSpan w:val="4"/>
          </w:tcPr>
          <w:p w:rsidP="007239D8" w:rsidR="00070317" w:rsidRDefault="00E857A8"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上海交通大学金融学硕士，浙江大学光电信息工程学学士。5年证券投资行业从业经验。2014年7月加入交银施罗德基金管理有限公司，担任行业分析师。</w:t>
            </w:r>
          </w:p>
        </w:tc>
      </w:tr>
      <w:tr w:rsidR="00042A21" w:rsidRPr="0000418A" w:rsidTr="00EB10D5">
        <w:trPr>
          <w:jc w:val="center"/>
        </w:trPr>
        <w:tc>
          <w:tcPr>
            <w:tcW w:type="dxa" w:w="4357"/>
            <w:vMerge w:val="restart"/>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其中：管理过公募基金的名称及期间</w:t>
            </w:r>
          </w:p>
        </w:tc>
        <w:tc>
          <w:tcPr>
            <w:tcW w:type="dxa" w:w="1559"/>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type="dxa" w:w="1212"/>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type="dxa" w:w="1260"/>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type="dxa" w:w="1260"/>
            <w:vAlign w:val="center"/>
          </w:tcPr>
          <w:p w:rsidP="00EB10D5" w:rsidR="00042A21" w:rsidRDefault="00042A21" w:rsidRPr="0000418A">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tr>
        <w:trPr>
          <w:jc w:val="center"/>
        </w:trPr>
        <w:tc>
          <w:tcPr>
            <w:vMerge/>
          </w:tcPr>
          <w:p/>
        </w:tc>
        <w:tc>
          <w:tcPr>
            <w:vAlign w:val="center"/>
          </w:tcPr>
          <w:p>
            <w:pPr>
              <w:jc w:val="center"/>
            </w:pPr>
            <w:r>
              <w:rPr>
                <w:rFonts w:asciiTheme="minorEastAsia" w:eastAsiaTheme="minorEastAsia" w:hAnsiTheme="minorEastAsia"/>
                <w:color w:val="000000"/>
                <w:sz w:val="24"/>
                <w:szCs w:val="24"/>
              </w:rPr>
              <w:t>-</w:t>
            </w:r>
          </w:p>
        </w:tc>
        <w:tc>
          <w:tcPr>
            <w:vAlign w:val="center"/>
          </w:tcPr>
          <w:p>
            <w:pPr>
              <w:jc w:val="center"/>
            </w:pPr>
            <w:r>
              <w:rPr>
                <w:rFonts w:asciiTheme="minorEastAsia" w:eastAsiaTheme="minorEastAsia" w:hAnsiTheme="minorEastAsia"/>
                <w:color w:val="000000"/>
                <w:sz w:val="24"/>
                <w:szCs w:val="24"/>
              </w:rPr>
              <w:t>-</w:t>
            </w:r>
          </w:p>
        </w:tc>
        <w:tc>
          <w:tcPr>
            <w:vAlign w:val="center"/>
          </w:tcPr>
          <w:p>
            <w:pPr>
              <w:jc w:val="center"/>
            </w:pPr>
            <w:r>
              <w:rPr>
                <w:rFonts w:asciiTheme="minorEastAsia" w:eastAsiaTheme="minorEastAsia" w:hAnsiTheme="minorEastAsia"/>
                <w:color w:val="000000"/>
                <w:sz w:val="24"/>
                <w:szCs w:val="24"/>
              </w:rPr>
              <w:t>-</w:t>
            </w:r>
          </w:p>
        </w:tc>
        <w:tc>
          <w:tcPr>
            <w:vAlign w:val="center"/>
          </w:tcPr>
          <w:p>
            <w:pPr>
              <w:jc w:val="center"/>
            </w:pPr>
            <w:r>
              <w:rPr>
                <w:rFonts w:asciiTheme="minorEastAsia" w:eastAsiaTheme="minorEastAsia" w:hAnsiTheme="minorEastAsia"/>
                <w:color w:val="000000"/>
                <w:sz w:val="24"/>
                <w:szCs w:val="24"/>
              </w:rPr>
              <w:t>-</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r w:rsidRPr="0000418A">
              <w:rPr>
                <w:rFonts w:asciiTheme="minorEastAsia" w:eastAsiaTheme="minorEastAsia" w:hAnsiTheme="minorEastAsia" w:hint="eastAsia"/>
                <w:color w:val="000000"/>
                <w:sz w:val="24"/>
                <w:szCs w:val="24"/>
              </w:rPr>
              <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否</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是</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取得的其他相关从业资格</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中国</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研究生、硕士</w:t>
            </w:r>
          </w:p>
        </w:tc>
      </w:tr>
      <w:tr w:rsidR="00042A21" w:rsidRPr="0000418A" w:rsidTr="00EB10D5">
        <w:trPr>
          <w:jc w:val="center"/>
        </w:trPr>
        <w:tc>
          <w:tcPr>
            <w:tcW w:type="dxa" w:w="4357"/>
          </w:tcPr>
          <w:p w:rsidP="00EB10D5" w:rsidR="00042A21" w:rsidRDefault="00042A21"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type="dxa" w:w="5291"/>
            <w:gridSpan w:val="4"/>
          </w:tcPr>
          <w:p w:rsidP="00EB10D5" w:rsidR="00042A21" w:rsidRDefault="00042A21" w:rsidRPr="0000418A">
            <w:pPr>
              <w:spacing w:line="560" w:lineRule="exact"/>
              <w:rPr>
                <w:rFonts w:asciiTheme="minorEastAsia" w:cs="宋体" w:eastAsiaTheme="minorEastAsia" w:hAnsiTheme="minorEastAsia"/>
                <w:color w:val="000000"/>
                <w:sz w:val="24"/>
                <w:szCs w:val="24"/>
              </w:rPr>
            </w:pPr>
            <w:r w:rsidRPr="0000418A">
              <w:rPr>
                <w:rFonts w:asciiTheme="minorEastAsia" w:cs="宋体" w:eastAsiaTheme="minorEastAsia" w:hAnsiTheme="minorEastAsia"/>
                <w:color w:val="000000"/>
                <w:sz w:val="24"/>
                <w:szCs w:val="24"/>
              </w:rPr>
              <w:t>是</w:t>
            </w:r>
          </w:p>
        </w:tc>
      </w:tr>
    </w:tbl>
    <w:p w:rsidP="00070317" w:rsidR="00070317" w:rsidRDefault="0070712F" w:rsidRPr="0000418A">
      <w:pPr>
        <w:pStyle w:val="2"/>
        <w:spacing w:line="560" w:lineRule="exact"/>
        <w:rPr>
          <w:rFonts w:asciiTheme="minorEastAsia" w:eastAsiaTheme="minorEastAsia" w:hAnsiTheme="minorEastAsia"/>
          <w:bCs w:val="0"/>
          <w:color w:val="000000"/>
          <w:sz w:val="24"/>
          <w:szCs w:val="24"/>
        </w:rPr>
      </w:pPr>
      <w:bookmarkStart w:id="4"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4"/>
    </w:p>
    <w:p>
      <w:pPr>
        <w:spacing w:line="360" w:lineRule="auto"/>
        <w:ind w:firstLine="480" w:firstLineChars="20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因工作需要，经交银施罗德基金管理有限公司领导办公会议审议通过，增聘田彧龙先生担任交银施罗德数据产业灵活配置混合型证券投资基金基金经理。自本公告日起，交银施罗德数据产业灵活配置混合型证券投资基金由芮晨先生和田彧龙先生共同管理。上述事项已在中国证券投资基金业协会完成注册手续。</w:t>
      </w:r>
    </w:p>
    <w:p w:rsidP="00207AA8" w:rsidR="00070317" w:rsidRDefault="0070712F" w:rsidRPr="0000418A">
      <w:pPr>
        <w:spacing w:line="360" w:lineRule="auto"/>
        <w:ind w:firstLine="480" w:firstLineChars="20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特此公告。</w:t>
      </w:r>
    </w:p>
    <w:sectPr w:rsidR="00070317" w:rsidRPr="0000418A" w:rsidSect="00111BD0">
      <w:pgSz w:h="16838" w:w="11906"/>
      <w:pgMar w:bottom="1440" w:footer="992" w:gutter="0" w:header="851" w:left="1800" w:right="180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95C" w:rsidRDefault="00D0195C" w:rsidP="00070317">
      <w:r>
        <w:separator/>
      </w:r>
    </w:p>
  </w:endnote>
  <w:endnote w:type="continuationSeparator" w:id="1">
    <w:p w:rsidR="00D0195C" w:rsidRDefault="00D0195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0" w:type="separator">
    <w:p w:rsidP="00070317" w:rsidR="00D0195C" w:rsidRDefault="00D0195C">
      <w:r>
        <w:separator/>
      </w:r>
    </w:p>
  </w:footnote>
  <w:footnote w:id="1" w:type="continuationSeparator">
    <w:p w:rsidP="00070317" w:rsidR="00D0195C" w:rsidRDefault="00D0195C">
      <w:r>
        <w:continuationSeparator/>
      </w:r>
    </w:p>
  </w:footnote>
</w:footnotes>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spidmax="8194" v:ext="edi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317"/>
    <w:rsid w:val="0000418A"/>
    <w:rsid w:val="000071CE"/>
    <w:rsid w:val="00027F77"/>
    <w:rsid w:val="00041353"/>
    <w:rsid w:val="00042A21"/>
    <w:rsid w:val="00070317"/>
    <w:rsid w:val="00111BD0"/>
    <w:rsid w:val="00191AD9"/>
    <w:rsid w:val="001E4357"/>
    <w:rsid w:val="001F622D"/>
    <w:rsid w:val="00207AA8"/>
    <w:rsid w:val="002A51E8"/>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A61621"/>
    <w:rsid w:val="00A63D9B"/>
    <w:rsid w:val="00A66507"/>
    <w:rsid w:val="00B03319"/>
    <w:rsid w:val="00B27750"/>
    <w:rsid w:val="00BE716F"/>
    <w:rsid w:val="00BE7AA2"/>
    <w:rsid w:val="00D0195C"/>
    <w:rsid w:val="00D047E3"/>
    <w:rsid w:val="00D21C32"/>
    <w:rsid w:val="00D31E6D"/>
    <w:rsid w:val="00D60C9F"/>
    <w:rsid w:val="00D64B1C"/>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8194"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kern w:val="2"/>
        <w:sz w:val="21"/>
        <w:szCs w:val="22"/>
        <w:lang w:bidi="ar-SA" w:eastAsia="zh-CN"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070317"/>
    <w:pPr>
      <w:widowControl w:val="0"/>
      <w:jc w:val="both"/>
    </w:pPr>
    <w:rPr>
      <w:rFonts w:ascii="Times New Roman" w:cs="Times New Roman" w:eastAsia="方正仿宋简体" w:hAnsi="Times New Roman"/>
      <w:sz w:val="32"/>
      <w:szCs w:val="20"/>
    </w:rPr>
  </w:style>
  <w:style w:styleId="1" w:type="paragraph">
    <w:name w:val="heading 1"/>
    <w:basedOn w:val="a"/>
    <w:next w:val="a"/>
    <w:link w:val="1Char"/>
    <w:qFormat/>
    <w:rsid w:val="00070317"/>
    <w:pPr>
      <w:keepNext/>
      <w:keepLines/>
      <w:spacing w:after="330" w:before="340" w:line="578" w:lineRule="auto"/>
      <w:outlineLvl w:val="0"/>
    </w:pPr>
    <w:rPr>
      <w:rFonts w:eastAsia="宋体"/>
      <w:b/>
      <w:bCs/>
      <w:kern w:val="44"/>
      <w:sz w:val="44"/>
      <w:szCs w:val="44"/>
    </w:rPr>
  </w:style>
  <w:style w:styleId="2" w:type="paragraph">
    <w:name w:val="heading 2"/>
    <w:basedOn w:val="a"/>
    <w:next w:val="a"/>
    <w:link w:val="2Char"/>
    <w:qFormat/>
    <w:rsid w:val="00070317"/>
    <w:pPr>
      <w:keepNext/>
      <w:keepLines/>
      <w:spacing w:after="260" w:before="260" w:line="416" w:lineRule="auto"/>
      <w:outlineLvl w:val="1"/>
    </w:pPr>
    <w:rPr>
      <w:rFonts w:ascii="Arial" w:eastAsia="黑体" w:hAnsi="Arial"/>
      <w:b/>
      <w:bCs/>
      <w:szCs w:val="32"/>
    </w:rPr>
  </w:style>
  <w:style w:default="1" w:styleId="a0" w:type="character">
    <w:name w:val="Default Paragraph Font"/>
    <w:uiPriority w:val="1"/>
    <w:semiHidden/>
    <w:unhideWhenUsed/>
  </w:style>
  <w:style w:default="1" w:styleId="a1" w:type="table">
    <w:name w:val="Normal Table"/>
    <w:uiPriority w:val="99"/>
    <w:semiHidden/>
    <w:unhideWhenUsed/>
    <w:qFormat/>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1Char" w:type="character">
    <w:name w:val="标题 1 Char"/>
    <w:basedOn w:val="a0"/>
    <w:link w:val="1"/>
    <w:rsid w:val="00070317"/>
    <w:rPr>
      <w:rFonts w:ascii="Times New Roman" w:cs="Times New Roman" w:eastAsia="宋体" w:hAnsi="Times New Roman"/>
      <w:b/>
      <w:bCs/>
      <w:kern w:val="44"/>
      <w:sz w:val="44"/>
      <w:szCs w:val="44"/>
    </w:rPr>
  </w:style>
  <w:style w:customStyle="1" w:styleId="2Char" w:type="character">
    <w:name w:val="标题 2 Char"/>
    <w:basedOn w:val="a0"/>
    <w:link w:val="2"/>
    <w:rsid w:val="00070317"/>
    <w:rPr>
      <w:rFonts w:ascii="Arial" w:cs="Times New Roman" w:eastAsia="黑体" w:hAnsi="Arial"/>
      <w:b/>
      <w:bCs/>
      <w:sz w:val="32"/>
      <w:szCs w:val="32"/>
    </w:rPr>
  </w:style>
  <w:style w:styleId="a3" w:type="character">
    <w:name w:val="footnote reference"/>
    <w:basedOn w:val="a0"/>
    <w:rsid w:val="00070317"/>
    <w:rPr>
      <w:vertAlign w:val="superscript"/>
    </w:rPr>
  </w:style>
  <w:style w:styleId="a4" w:type="paragraph">
    <w:name w:val="footnote text"/>
    <w:basedOn w:val="a"/>
    <w:link w:val="Char"/>
    <w:rsid w:val="00070317"/>
    <w:pPr>
      <w:snapToGrid w:val="0"/>
      <w:jc w:val="left"/>
    </w:pPr>
    <w:rPr>
      <w:rFonts w:eastAsia="宋体"/>
      <w:sz w:val="18"/>
    </w:rPr>
  </w:style>
  <w:style w:customStyle="1" w:styleId="Char" w:type="character">
    <w:name w:val="脚注文本 Char"/>
    <w:basedOn w:val="a0"/>
    <w:link w:val="a4"/>
    <w:rsid w:val="00070317"/>
    <w:rPr>
      <w:rFonts w:ascii="Times New Roman" w:cs="Times New Roman" w:eastAsia="宋体" w:hAnsi="Times New Roman"/>
      <w:sz w:val="18"/>
      <w:szCs w:val="20"/>
    </w:rPr>
  </w:style>
  <w:style w:styleId="a5" w:type="paragraph">
    <w:name w:val="Document Map"/>
    <w:basedOn w:val="a"/>
    <w:link w:val="Char0"/>
    <w:uiPriority w:val="99"/>
    <w:semiHidden/>
    <w:unhideWhenUsed/>
    <w:rsid w:val="00070317"/>
    <w:rPr>
      <w:rFonts w:ascii="宋体" w:eastAsia="宋体"/>
      <w:sz w:val="18"/>
      <w:szCs w:val="18"/>
    </w:rPr>
  </w:style>
  <w:style w:customStyle="1" w:styleId="Char0" w:type="character">
    <w:name w:val="文档结构图 Char"/>
    <w:basedOn w:val="a0"/>
    <w:link w:val="a5"/>
    <w:uiPriority w:val="99"/>
    <w:semiHidden/>
    <w:rsid w:val="00070317"/>
    <w:rPr>
      <w:rFonts w:ascii="宋体" w:cs="Times New Roman" w:eastAsia="宋体" w:hAnsi="Times New Roman"/>
      <w:sz w:val="18"/>
      <w:szCs w:val="18"/>
    </w:rPr>
  </w:style>
  <w:style w:styleId="a6" w:type="paragraph">
    <w:name w:val="header"/>
    <w:basedOn w:val="a"/>
    <w:link w:val="Char1"/>
    <w:uiPriority w:val="99"/>
    <w:unhideWhenUsed/>
    <w:rsid w:val="00566B55"/>
    <w:pPr>
      <w:pBdr>
        <w:bottom w:color="auto" w:space="1" w:sz="6" w:val="single"/>
      </w:pBdr>
      <w:tabs>
        <w:tab w:pos="4153" w:val="center"/>
        <w:tab w:pos="8306" w:val="right"/>
      </w:tabs>
      <w:snapToGrid w:val="0"/>
      <w:jc w:val="center"/>
    </w:pPr>
    <w:rPr>
      <w:sz w:val="18"/>
      <w:szCs w:val="18"/>
    </w:rPr>
  </w:style>
  <w:style w:customStyle="1" w:styleId="Char1" w:type="character">
    <w:name w:val="页眉 Char"/>
    <w:basedOn w:val="a0"/>
    <w:link w:val="a6"/>
    <w:uiPriority w:val="99"/>
    <w:rsid w:val="00566B55"/>
    <w:rPr>
      <w:rFonts w:ascii="Times New Roman" w:cs="Times New Roman" w:eastAsia="方正仿宋简体" w:hAnsi="Times New Roman"/>
      <w:sz w:val="18"/>
      <w:szCs w:val="18"/>
    </w:rPr>
  </w:style>
  <w:style w:styleId="a7" w:type="paragraph">
    <w:name w:val="footer"/>
    <w:basedOn w:val="a"/>
    <w:link w:val="Char2"/>
    <w:uiPriority w:val="99"/>
    <w:unhideWhenUsed/>
    <w:rsid w:val="00566B55"/>
    <w:pPr>
      <w:tabs>
        <w:tab w:pos="4153" w:val="center"/>
        <w:tab w:pos="8306" w:val="right"/>
      </w:tabs>
      <w:snapToGrid w:val="0"/>
      <w:jc w:val="left"/>
    </w:pPr>
    <w:rPr>
      <w:sz w:val="18"/>
      <w:szCs w:val="18"/>
    </w:rPr>
  </w:style>
  <w:style w:customStyle="1" w:styleId="Char2" w:type="character">
    <w:name w:val="页脚 Char"/>
    <w:basedOn w:val="a0"/>
    <w:link w:val="a7"/>
    <w:uiPriority w:val="99"/>
    <w:rsid w:val="00566B55"/>
    <w:rPr>
      <w:rFonts w:ascii="Times New Roman" w:cs="Times New Roman" w:eastAsia="方正仿宋简体" w:hAnsi="Times New Roman"/>
      <w:sz w:val="18"/>
      <w:szCs w:val="18"/>
    </w:rPr>
  </w:style>
  <w:style w:styleId="a8" w:type="paragraph">
    <w:name w:val="Balloon Text"/>
    <w:basedOn w:val="a"/>
    <w:link w:val="Char3"/>
    <w:uiPriority w:val="99"/>
    <w:semiHidden/>
    <w:unhideWhenUsed/>
    <w:rsid w:val="00BE716F"/>
    <w:rPr>
      <w:sz w:val="18"/>
      <w:szCs w:val="18"/>
    </w:rPr>
  </w:style>
  <w:style w:customStyle="1" w:styleId="Char3" w:type="character">
    <w:name w:val="批注框文本 Char"/>
    <w:basedOn w:val="a0"/>
    <w:link w:val="a8"/>
    <w:uiPriority w:val="99"/>
    <w:semiHidden/>
    <w:rsid w:val="00BE716F"/>
    <w:rPr>
      <w:rFonts w:ascii="Times New Roman" w:cs="Times New Roman" w:eastAsia="方正仿宋简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 Id="rId8" Target="stylesWithEffects.xml" Type="http://schemas.microsoft.com/office/2007/relationships/stylesWithEffects"/>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409</Words>
  <Characters>2333</Characters>
  <Application>Microsoft Office Word</Application>
  <DocSecurity>0</DocSecurity>
  <Lines>19</Lines>
  <Paragraphs>5</Paragraphs>
  <ScaleCrop>false</ScaleCrop>
  <Company>微软中国</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2013-07-24T01:28:00Z</dcterms:created>
  <dc:creator>User</dc:creator>
  <cp:lastModifiedBy>YlmF</cp:lastModifiedBy>
  <dcterms:modified xsi:type="dcterms:W3CDTF">2014-12-17T05:17:00Z</dcterms:modified>
  <cp:revision>39</cp:revision>
</cp:coreProperties>
</file>