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388D3"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r w:rsidRPr="00246CB5">
        <w:rPr>
          <w:rFonts w:ascii="Times New Roman" w:eastAsia="宋体" w:hAnsi="Times New Roman" w:cs="Times New Roman"/>
          <w:b/>
          <w:kern w:val="0"/>
          <w:sz w:val="30"/>
          <w:szCs w:val="30"/>
        </w:rPr>
        <w:t>交银施罗德基金管理有限公司关于交银施罗德</w:t>
      </w:r>
      <w:r w:rsidR="00D35B39">
        <w:rPr>
          <w:rFonts w:ascii="Times New Roman" w:eastAsia="宋体" w:hAnsi="Times New Roman" w:cs="Times New Roman"/>
          <w:b/>
          <w:kern w:val="0"/>
          <w:sz w:val="30"/>
          <w:szCs w:val="30"/>
        </w:rPr>
        <w:t>中证互联网金融</w:t>
      </w:r>
      <w:r w:rsidRPr="00246CB5">
        <w:rPr>
          <w:rFonts w:ascii="Times New Roman" w:eastAsia="宋体" w:hAnsi="Times New Roman" w:cs="Times New Roman"/>
          <w:b/>
          <w:kern w:val="0"/>
          <w:sz w:val="30"/>
          <w:szCs w:val="30"/>
        </w:rPr>
        <w:t>指数分级证券投资基金</w:t>
      </w:r>
      <w:r w:rsidR="00297EA0" w:rsidRPr="00246CB5">
        <w:rPr>
          <w:rFonts w:ascii="Times New Roman" w:eastAsia="宋体" w:hAnsi="Times New Roman" w:cs="Times New Roman"/>
          <w:b/>
          <w:kern w:val="0"/>
          <w:sz w:val="30"/>
          <w:szCs w:val="30"/>
        </w:rPr>
        <w:t>之</w:t>
      </w:r>
      <w:r w:rsidR="00D35B39">
        <w:rPr>
          <w:rFonts w:ascii="Times New Roman" w:eastAsia="宋体" w:hAnsi="Times New Roman" w:cs="Times New Roman" w:hint="eastAsia"/>
          <w:b/>
          <w:kern w:val="0"/>
          <w:sz w:val="30"/>
          <w:szCs w:val="30"/>
        </w:rPr>
        <w:t>交银互联网金融</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p w14:paraId="4D84E450" w14:textId="77777777" w:rsidR="00E105D5" w:rsidRPr="00721403" w:rsidRDefault="00595BA6" w:rsidP="00DB35A9">
      <w:pPr>
        <w:spacing w:line="360" w:lineRule="auto"/>
        <w:ind w:firstLineChars="200" w:firstLine="480"/>
        <w:rPr>
          <w:rFonts w:ascii="Times New Roman" w:eastAsia="宋体" w:hAnsi="Times New Roman" w:cs="Times New Roman"/>
          <w:sz w:val="24"/>
          <w:szCs w:val="24"/>
        </w:rPr>
      </w:pPr>
      <w:r w:rsidRPr="00721403">
        <w:rPr>
          <w:rFonts w:ascii="Times New Roman" w:eastAsia="宋体" w:hAnsi="Times New Roman" w:cs="Times New Roman"/>
          <w:sz w:val="24"/>
          <w:szCs w:val="24"/>
        </w:rPr>
        <w:t>根据《</w:t>
      </w:r>
      <w:r w:rsidR="00DB35A9" w:rsidRPr="00721403">
        <w:rPr>
          <w:rFonts w:ascii="Times New Roman" w:hAnsi="Times New Roman" w:cs="Times New Roman"/>
          <w:sz w:val="24"/>
          <w:szCs w:val="24"/>
        </w:rPr>
        <w:t>交银施罗德</w:t>
      </w:r>
      <w:r w:rsidR="00D35B39" w:rsidRPr="00721403">
        <w:rPr>
          <w:rFonts w:ascii="Times New Roman" w:hAnsi="Times New Roman" w:cs="Times New Roman"/>
          <w:sz w:val="24"/>
          <w:szCs w:val="24"/>
        </w:rPr>
        <w:t>中证互联网金融</w:t>
      </w:r>
      <w:r w:rsidR="00DB35A9" w:rsidRPr="00721403">
        <w:rPr>
          <w:rFonts w:ascii="Times New Roman" w:hAnsi="Times New Roman" w:cs="Times New Roman"/>
          <w:sz w:val="24"/>
          <w:szCs w:val="24"/>
        </w:rPr>
        <w:t>指数分级证券投资基金基金合同</w:t>
      </w:r>
      <w:r w:rsidRPr="00721403">
        <w:rPr>
          <w:rFonts w:ascii="Times New Roman" w:eastAsia="宋体" w:hAnsi="Times New Roman" w:cs="Times New Roman"/>
          <w:sz w:val="24"/>
          <w:szCs w:val="24"/>
        </w:rPr>
        <w:t>》中关于</w:t>
      </w:r>
      <w:r w:rsidR="00DB35A9" w:rsidRPr="00721403">
        <w:rPr>
          <w:rFonts w:ascii="Times New Roman" w:eastAsia="宋体" w:hAnsi="Times New Roman" w:cs="Times New Roman"/>
          <w:sz w:val="24"/>
          <w:szCs w:val="24"/>
        </w:rPr>
        <w:t>交银</w:t>
      </w:r>
      <w:r w:rsidR="00A44A18" w:rsidRPr="00721403">
        <w:rPr>
          <w:rFonts w:ascii="Times New Roman" w:eastAsia="宋体" w:hAnsi="Times New Roman" w:cs="Times New Roman"/>
          <w:sz w:val="24"/>
          <w:szCs w:val="24"/>
        </w:rPr>
        <w:t>施罗德</w:t>
      </w:r>
      <w:r w:rsidR="00D35B39" w:rsidRPr="00721403">
        <w:rPr>
          <w:rFonts w:ascii="Times New Roman" w:eastAsia="宋体" w:hAnsi="Times New Roman" w:cs="Times New Roman"/>
          <w:sz w:val="24"/>
          <w:szCs w:val="24"/>
        </w:rPr>
        <w:t>中证互联网金融</w:t>
      </w:r>
      <w:r w:rsidR="00DB35A9" w:rsidRPr="00721403">
        <w:rPr>
          <w:rFonts w:ascii="Times New Roman" w:eastAsia="宋体" w:hAnsi="Times New Roman" w:cs="Times New Roman"/>
          <w:sz w:val="24"/>
          <w:szCs w:val="24"/>
        </w:rPr>
        <w:t>指数</w:t>
      </w:r>
      <w:r w:rsidRPr="00721403">
        <w:rPr>
          <w:rFonts w:ascii="Times New Roman" w:eastAsia="宋体" w:hAnsi="Times New Roman" w:cs="Times New Roman"/>
          <w:sz w:val="24"/>
          <w:szCs w:val="24"/>
        </w:rPr>
        <w:t>分级证券投资基金（以下简称</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本基金</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）之</w:t>
      </w:r>
      <w:r w:rsidR="00D35B39" w:rsidRPr="00721403">
        <w:rPr>
          <w:rFonts w:ascii="Times New Roman" w:eastAsia="宋体" w:hAnsi="Times New Roman" w:cs="Times New Roman"/>
          <w:sz w:val="24"/>
          <w:szCs w:val="24"/>
        </w:rPr>
        <w:t>交银互联网金融</w:t>
      </w:r>
      <w:r w:rsidRPr="00721403">
        <w:rPr>
          <w:rFonts w:ascii="Times New Roman" w:eastAsia="宋体" w:hAnsi="Times New Roman" w:cs="Times New Roman"/>
          <w:sz w:val="24"/>
          <w:szCs w:val="24"/>
        </w:rPr>
        <w:t xml:space="preserve">A </w:t>
      </w:r>
      <w:r w:rsidRPr="00721403">
        <w:rPr>
          <w:rFonts w:ascii="Times New Roman" w:eastAsia="宋体" w:hAnsi="Times New Roman" w:cs="Times New Roman"/>
          <w:sz w:val="24"/>
          <w:szCs w:val="24"/>
        </w:rPr>
        <w:t>份额（</w:t>
      </w:r>
      <w:r w:rsidR="00DB35A9" w:rsidRPr="00721403">
        <w:rPr>
          <w:rFonts w:ascii="Times New Roman" w:hAnsi="Times New Roman" w:cs="Times New Roman"/>
          <w:sz w:val="24"/>
          <w:szCs w:val="24"/>
        </w:rPr>
        <w:t>基金代码：</w:t>
      </w:r>
      <w:r w:rsidR="00DB35A9" w:rsidRPr="00721403">
        <w:rPr>
          <w:rFonts w:ascii="Times New Roman" w:hAnsi="Times New Roman" w:cs="Times New Roman"/>
          <w:sz w:val="24"/>
          <w:szCs w:val="24"/>
        </w:rPr>
        <w:t>150</w:t>
      </w:r>
      <w:r w:rsidR="00D35B39" w:rsidRPr="00721403">
        <w:rPr>
          <w:rFonts w:ascii="Times New Roman" w:hAnsi="Times New Roman" w:cs="Times New Roman"/>
          <w:sz w:val="24"/>
          <w:szCs w:val="24"/>
        </w:rPr>
        <w:t>3</w:t>
      </w:r>
      <w:r w:rsidR="00DB35A9" w:rsidRPr="00721403">
        <w:rPr>
          <w:rFonts w:ascii="Times New Roman" w:hAnsi="Times New Roman" w:cs="Times New Roman"/>
          <w:sz w:val="24"/>
          <w:szCs w:val="24"/>
        </w:rPr>
        <w:t>17</w:t>
      </w:r>
      <w:r w:rsidR="00DB35A9" w:rsidRPr="00721403">
        <w:rPr>
          <w:rFonts w:ascii="Times New Roman" w:hAnsi="Times New Roman" w:cs="Times New Roman"/>
          <w:sz w:val="24"/>
          <w:szCs w:val="24"/>
        </w:rPr>
        <w:t>，场内简称</w:t>
      </w:r>
      <w:r w:rsidR="00DB35A9" w:rsidRPr="00721403">
        <w:rPr>
          <w:rFonts w:ascii="Times New Roman" w:hAnsi="Times New Roman" w:cs="Times New Roman"/>
          <w:sz w:val="24"/>
          <w:szCs w:val="24"/>
        </w:rPr>
        <w:t>“</w:t>
      </w:r>
      <w:r w:rsidR="00D35B39" w:rsidRPr="00721403">
        <w:rPr>
          <w:rFonts w:ascii="Times New Roman" w:hAnsi="Times New Roman" w:cs="Times New Roman"/>
          <w:sz w:val="24"/>
          <w:szCs w:val="24"/>
        </w:rPr>
        <w:t>E</w:t>
      </w:r>
      <w:r w:rsidR="00D35B39" w:rsidRPr="00721403">
        <w:rPr>
          <w:rFonts w:ascii="Times New Roman" w:hAnsi="Times New Roman" w:cs="Times New Roman"/>
          <w:sz w:val="24"/>
          <w:szCs w:val="24"/>
        </w:rPr>
        <w:t>金融</w:t>
      </w:r>
      <w:r w:rsidR="00D35B39" w:rsidRPr="00721403">
        <w:rPr>
          <w:rFonts w:ascii="Times New Roman" w:hAnsi="Times New Roman" w:cs="Times New Roman"/>
          <w:sz w:val="24"/>
          <w:szCs w:val="24"/>
        </w:rPr>
        <w:t>A</w:t>
      </w:r>
      <w:r w:rsidR="00DB35A9" w:rsidRPr="00721403">
        <w:rPr>
          <w:rFonts w:ascii="Times New Roman" w:hAnsi="Times New Roman" w:cs="Times New Roman"/>
          <w:sz w:val="24"/>
          <w:szCs w:val="24"/>
        </w:rPr>
        <w:t>”</w:t>
      </w:r>
      <w:r w:rsidRPr="00721403">
        <w:rPr>
          <w:rFonts w:ascii="Times New Roman" w:hAnsi="Times New Roman" w:cs="Times New Roman"/>
          <w:sz w:val="24"/>
          <w:szCs w:val="24"/>
        </w:rPr>
        <w:t>）约</w:t>
      </w:r>
      <w:r w:rsidRPr="00721403">
        <w:rPr>
          <w:rFonts w:ascii="Times New Roman" w:eastAsia="宋体" w:hAnsi="Times New Roman" w:cs="Times New Roman"/>
          <w:sz w:val="24"/>
          <w:szCs w:val="24"/>
        </w:rPr>
        <w:t>定年基准收</w:t>
      </w:r>
      <w:bookmarkStart w:id="0" w:name="_GoBack"/>
      <w:bookmarkEnd w:id="0"/>
      <w:r w:rsidRPr="00721403">
        <w:rPr>
          <w:rFonts w:ascii="Times New Roman" w:eastAsia="宋体" w:hAnsi="Times New Roman" w:cs="Times New Roman"/>
          <w:sz w:val="24"/>
          <w:szCs w:val="24"/>
        </w:rPr>
        <w:t>益率的相关规定：</w:t>
      </w:r>
    </w:p>
    <w:p w14:paraId="7E37ACD9" w14:textId="77777777" w:rsidR="00B71550" w:rsidRPr="00721403" w:rsidRDefault="00D35B39" w:rsidP="00C22BF1">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交银互联网金融</w:t>
      </w:r>
      <w:r w:rsidR="002A3041" w:rsidRPr="00721403">
        <w:rPr>
          <w:rFonts w:ascii="Times New Roman" w:hAnsi="Times New Roman" w:cs="Times New Roman"/>
          <w:bCs/>
          <w:sz w:val="24"/>
          <w:szCs w:val="24"/>
        </w:rPr>
        <w:t>A</w:t>
      </w:r>
      <w:r w:rsidR="002A3041" w:rsidRPr="00721403">
        <w:rPr>
          <w:rFonts w:ascii="Times New Roman" w:hAnsi="Times New Roman" w:cs="Times New Roman"/>
          <w:bCs/>
          <w:sz w:val="24"/>
          <w:szCs w:val="24"/>
        </w:rPr>
        <w:t>份额约定年基准收益率为</w:t>
      </w:r>
      <w:r w:rsidR="00C22BF1" w:rsidRPr="00721403">
        <w:rPr>
          <w:rFonts w:ascii="Times New Roman" w:hAnsi="Times New Roman" w:cs="Times New Roman"/>
          <w:bCs/>
          <w:sz w:val="24"/>
          <w:szCs w:val="24"/>
        </w:rPr>
        <w:t>“</w:t>
      </w:r>
      <w:r w:rsidR="00C22BF1" w:rsidRPr="00721403">
        <w:rPr>
          <w:rFonts w:ascii="Times New Roman" w:hAnsi="Times New Roman" w:cs="Times New Roman"/>
          <w:bCs/>
          <w:sz w:val="24"/>
          <w:szCs w:val="24"/>
        </w:rPr>
        <w:t>同期中国人民银行公布的金融机构人民币一年期定期存款利率（税后）</w:t>
      </w:r>
      <w:r w:rsidR="00C22BF1" w:rsidRPr="00721403">
        <w:rPr>
          <w:rFonts w:ascii="Times New Roman" w:hAnsi="Times New Roman" w:cs="Times New Roman"/>
          <w:bCs/>
          <w:sz w:val="24"/>
          <w:szCs w:val="24"/>
        </w:rPr>
        <w:t>+4%”</w:t>
      </w:r>
      <w:r w:rsidR="00C22BF1" w:rsidRPr="00721403">
        <w:rPr>
          <w:rFonts w:ascii="Times New Roman" w:hAnsi="Times New Roman" w:cs="Times New Roman"/>
          <w:bCs/>
          <w:sz w:val="24"/>
          <w:szCs w:val="24"/>
        </w:rPr>
        <w:t>，同期中国人民银行公布的金融机构人民币一年期定期存款利率（税后）以最近一次进行定期份额折算的基准日次日中国人民银行公布的金融机构人民币一年期存款基准利率（税后）为准。交银互联网金融</w:t>
      </w:r>
      <w:r w:rsidR="00792E5E" w:rsidRPr="00721403">
        <w:rPr>
          <w:rFonts w:ascii="Times New Roman" w:hAnsi="Times New Roman" w:cs="Times New Roman"/>
          <w:bCs/>
          <w:sz w:val="24"/>
          <w:szCs w:val="24"/>
        </w:rPr>
        <w:t>A</w:t>
      </w:r>
      <w:r w:rsidR="00792E5E" w:rsidRPr="00721403">
        <w:rPr>
          <w:rFonts w:ascii="Times New Roman" w:hAnsi="Times New Roman" w:cs="Times New Roman"/>
          <w:bCs/>
          <w:sz w:val="24"/>
          <w:szCs w:val="24"/>
        </w:rPr>
        <w:t>份额约定</w:t>
      </w:r>
      <w:r w:rsidR="002A3041" w:rsidRPr="00721403">
        <w:rPr>
          <w:rFonts w:ascii="Times New Roman" w:hAnsi="Times New Roman" w:cs="Times New Roman"/>
          <w:bCs/>
          <w:sz w:val="24"/>
          <w:szCs w:val="24"/>
        </w:rPr>
        <w:t>年基准收益均以</w:t>
      </w:r>
      <w:r w:rsidR="002A3041" w:rsidRPr="00721403">
        <w:rPr>
          <w:rFonts w:ascii="Times New Roman" w:hAnsi="Times New Roman" w:cs="Times New Roman"/>
          <w:bCs/>
          <w:sz w:val="24"/>
          <w:szCs w:val="24"/>
        </w:rPr>
        <w:t>1.00</w:t>
      </w:r>
      <w:r w:rsidR="002A3041" w:rsidRPr="00721403">
        <w:rPr>
          <w:rFonts w:ascii="Times New Roman" w:hAnsi="Times New Roman" w:cs="Times New Roman"/>
          <w:bCs/>
          <w:sz w:val="24"/>
          <w:szCs w:val="24"/>
        </w:rPr>
        <w:t>元为基准进行计算</w:t>
      </w:r>
      <w:r w:rsidR="00B71550" w:rsidRPr="00721403">
        <w:rPr>
          <w:rFonts w:ascii="Times New Roman" w:hAnsi="Times New Roman" w:cs="Times New Roman"/>
          <w:bCs/>
          <w:sz w:val="24"/>
          <w:szCs w:val="24"/>
        </w:rPr>
        <w:t>。</w:t>
      </w:r>
    </w:p>
    <w:p w14:paraId="38EEEE3A" w14:textId="0FBC4C6D" w:rsidR="00A33618" w:rsidRPr="00721403" w:rsidRDefault="00A33618" w:rsidP="00DB35A9">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鉴于</w:t>
      </w:r>
      <w:r w:rsidR="00217C98">
        <w:rPr>
          <w:rFonts w:ascii="Times New Roman" w:hAnsi="Times New Roman" w:cs="Times New Roman"/>
          <w:bCs/>
          <w:sz w:val="24"/>
          <w:szCs w:val="24"/>
        </w:rPr>
        <w:t>2019</w:t>
      </w:r>
      <w:r w:rsidRPr="00721403">
        <w:rPr>
          <w:rFonts w:ascii="Times New Roman" w:hAnsi="Times New Roman" w:cs="Times New Roman"/>
          <w:bCs/>
          <w:sz w:val="24"/>
          <w:szCs w:val="24"/>
        </w:rPr>
        <w:t>年</w:t>
      </w:r>
      <w:r w:rsidRPr="00721403">
        <w:rPr>
          <w:rFonts w:ascii="Times New Roman" w:hAnsi="Times New Roman" w:cs="Times New Roman"/>
          <w:bCs/>
          <w:sz w:val="24"/>
          <w:szCs w:val="24"/>
        </w:rPr>
        <w:t>1</w:t>
      </w:r>
      <w:r w:rsidRPr="00721403">
        <w:rPr>
          <w:rFonts w:ascii="Times New Roman" w:hAnsi="Times New Roman" w:cs="Times New Roman"/>
          <w:bCs/>
          <w:sz w:val="24"/>
          <w:szCs w:val="24"/>
        </w:rPr>
        <w:t>月</w:t>
      </w:r>
      <w:r w:rsidR="001F7685">
        <w:rPr>
          <w:rFonts w:ascii="Times New Roman" w:hAnsi="Times New Roman" w:cs="Times New Roman"/>
          <w:bCs/>
          <w:sz w:val="24"/>
          <w:szCs w:val="24"/>
        </w:rPr>
        <w:t>3</w:t>
      </w:r>
      <w:r w:rsidRPr="00721403">
        <w:rPr>
          <w:rFonts w:ascii="Times New Roman" w:hAnsi="Times New Roman" w:cs="Times New Roman"/>
          <w:bCs/>
          <w:sz w:val="24"/>
          <w:szCs w:val="24"/>
        </w:rPr>
        <w:t>日中国人民银行公布</w:t>
      </w:r>
      <w:r w:rsidR="004103B2" w:rsidRPr="00721403">
        <w:rPr>
          <w:rFonts w:ascii="Times New Roman" w:hAnsi="Times New Roman" w:cs="Times New Roman"/>
          <w:bCs/>
          <w:sz w:val="24"/>
          <w:szCs w:val="24"/>
        </w:rPr>
        <w:t>并执行</w:t>
      </w:r>
      <w:r w:rsidRPr="00721403">
        <w:rPr>
          <w:rFonts w:ascii="Times New Roman" w:hAnsi="Times New Roman" w:cs="Times New Roman"/>
          <w:bCs/>
          <w:sz w:val="24"/>
          <w:szCs w:val="24"/>
        </w:rPr>
        <w:t>的金融机构人民币一年期存款基准利率</w:t>
      </w:r>
      <w:r w:rsidR="004103B2" w:rsidRPr="00721403">
        <w:rPr>
          <w:rFonts w:ascii="Times New Roman" w:hAnsi="Times New Roman" w:cs="Times New Roman"/>
          <w:bCs/>
          <w:sz w:val="24"/>
          <w:szCs w:val="24"/>
        </w:rPr>
        <w:t>（税后）</w:t>
      </w:r>
      <w:r w:rsidRPr="00721403">
        <w:rPr>
          <w:rFonts w:ascii="Times New Roman" w:hAnsi="Times New Roman" w:cs="Times New Roman"/>
          <w:bCs/>
          <w:sz w:val="24"/>
          <w:szCs w:val="24"/>
        </w:rPr>
        <w:t>为</w:t>
      </w:r>
      <w:r w:rsidR="00430D63" w:rsidRPr="00721403">
        <w:rPr>
          <w:rFonts w:ascii="Times New Roman" w:hAnsi="Times New Roman" w:cs="Times New Roman"/>
          <w:bCs/>
          <w:sz w:val="24"/>
          <w:szCs w:val="24"/>
        </w:rPr>
        <w:t>1.5</w:t>
      </w:r>
      <w:r w:rsidR="004103B2" w:rsidRPr="00721403">
        <w:rPr>
          <w:rFonts w:ascii="Times New Roman" w:hAnsi="Times New Roman" w:cs="Times New Roman"/>
          <w:bCs/>
          <w:sz w:val="24"/>
          <w:szCs w:val="24"/>
        </w:rPr>
        <w:t>%</w:t>
      </w:r>
      <w:r w:rsidRPr="00721403">
        <w:rPr>
          <w:rFonts w:ascii="Times New Roman" w:hAnsi="Times New Roman" w:cs="Times New Roman"/>
          <w:bCs/>
          <w:sz w:val="24"/>
          <w:szCs w:val="24"/>
        </w:rPr>
        <w:t>，因此</w:t>
      </w:r>
      <w:r w:rsidR="00217C98">
        <w:rPr>
          <w:rFonts w:ascii="Times New Roman" w:hAnsi="Times New Roman" w:cs="Times New Roman"/>
          <w:bCs/>
          <w:sz w:val="24"/>
          <w:szCs w:val="24"/>
        </w:rPr>
        <w:t>2019</w:t>
      </w:r>
      <w:r w:rsidR="004103B2" w:rsidRPr="00721403">
        <w:rPr>
          <w:rFonts w:ascii="Times New Roman" w:hAnsi="Times New Roman" w:cs="Times New Roman"/>
          <w:bCs/>
          <w:sz w:val="24"/>
          <w:szCs w:val="24"/>
        </w:rPr>
        <w:t>年</w:t>
      </w:r>
      <w:r w:rsidR="004103B2" w:rsidRPr="00721403">
        <w:rPr>
          <w:rFonts w:ascii="Times New Roman" w:hAnsi="Times New Roman" w:cs="Times New Roman"/>
          <w:bCs/>
          <w:sz w:val="24"/>
          <w:szCs w:val="24"/>
        </w:rPr>
        <w:t>1</w:t>
      </w:r>
      <w:r w:rsidR="004103B2" w:rsidRPr="00721403">
        <w:rPr>
          <w:rFonts w:ascii="Times New Roman" w:hAnsi="Times New Roman" w:cs="Times New Roman"/>
          <w:bCs/>
          <w:sz w:val="24"/>
          <w:szCs w:val="24"/>
        </w:rPr>
        <w:t>月</w:t>
      </w:r>
      <w:r w:rsidR="001F7685">
        <w:rPr>
          <w:rFonts w:ascii="Times New Roman" w:hAnsi="Times New Roman" w:cs="Times New Roman"/>
          <w:bCs/>
          <w:sz w:val="24"/>
          <w:szCs w:val="24"/>
        </w:rPr>
        <w:t>3</w:t>
      </w:r>
      <w:r w:rsidR="004103B2" w:rsidRPr="00721403">
        <w:rPr>
          <w:rFonts w:ascii="Times New Roman" w:hAnsi="Times New Roman" w:cs="Times New Roman"/>
          <w:bCs/>
          <w:sz w:val="24"/>
          <w:szCs w:val="24"/>
        </w:rPr>
        <w:t>日起（含该日）至下一个定期份额折算基准日（含该日）期间，</w:t>
      </w:r>
      <w:r w:rsidR="00D35B39" w:rsidRPr="00721403">
        <w:rPr>
          <w:rFonts w:ascii="Times New Roman" w:hAnsi="Times New Roman" w:cs="Times New Roman"/>
          <w:bCs/>
          <w:sz w:val="24"/>
          <w:szCs w:val="24"/>
        </w:rPr>
        <w:t>交银互联网金融</w:t>
      </w:r>
      <w:r w:rsidR="00F51A60" w:rsidRPr="00721403">
        <w:rPr>
          <w:rFonts w:ascii="Times New Roman" w:hAnsi="Times New Roman" w:cs="Times New Roman"/>
          <w:bCs/>
          <w:sz w:val="24"/>
          <w:szCs w:val="24"/>
        </w:rPr>
        <w:t>A</w:t>
      </w:r>
      <w:r w:rsidR="00F51A60" w:rsidRPr="00721403">
        <w:rPr>
          <w:rFonts w:ascii="Times New Roman" w:hAnsi="Times New Roman" w:cs="Times New Roman"/>
          <w:bCs/>
          <w:sz w:val="24"/>
          <w:szCs w:val="24"/>
        </w:rPr>
        <w:t>份额</w:t>
      </w:r>
      <w:r w:rsidR="004103B2" w:rsidRPr="00721403">
        <w:rPr>
          <w:rFonts w:ascii="Times New Roman" w:hAnsi="Times New Roman" w:cs="Times New Roman"/>
          <w:bCs/>
          <w:sz w:val="24"/>
          <w:szCs w:val="24"/>
        </w:rPr>
        <w:t>适用的</w:t>
      </w:r>
      <w:r w:rsidR="00F51A60" w:rsidRPr="00721403">
        <w:rPr>
          <w:rFonts w:ascii="Times New Roman" w:hAnsi="Times New Roman" w:cs="Times New Roman"/>
          <w:bCs/>
          <w:sz w:val="24"/>
          <w:szCs w:val="24"/>
        </w:rPr>
        <w:t>约定年基准收益率为</w:t>
      </w:r>
      <w:r w:rsidR="00430D63" w:rsidRPr="00721403">
        <w:rPr>
          <w:rFonts w:ascii="Times New Roman" w:hAnsi="Times New Roman" w:cs="Times New Roman"/>
          <w:bCs/>
          <w:sz w:val="24"/>
          <w:szCs w:val="24"/>
        </w:rPr>
        <w:t>5.5</w:t>
      </w:r>
      <w:r w:rsidR="004103B2"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430D63" w:rsidRPr="00721403">
        <w:rPr>
          <w:rFonts w:ascii="Times New Roman" w:hAnsi="Times New Roman" w:cs="Times New Roman"/>
          <w:bCs/>
          <w:sz w:val="24"/>
          <w:szCs w:val="24"/>
        </w:rPr>
        <w:t>1.5</w:t>
      </w:r>
      <w:r w:rsidR="00D9281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D35B39" w:rsidRPr="00721403">
        <w:rPr>
          <w:rFonts w:ascii="Times New Roman" w:hAnsi="Times New Roman" w:cs="Times New Roman"/>
          <w:bCs/>
          <w:sz w:val="24"/>
          <w:szCs w:val="24"/>
        </w:rPr>
        <w:t>4</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p>
    <w:p w14:paraId="41360867" w14:textId="5516DBE5" w:rsidR="00595BA6" w:rsidRPr="00721403" w:rsidRDefault="0038364B" w:rsidP="00DB35A9">
      <w:pPr>
        <w:spacing w:line="360" w:lineRule="auto"/>
        <w:ind w:firstLineChars="200" w:firstLine="480"/>
        <w:rPr>
          <w:rFonts w:ascii="Times New Roman" w:hAnsi="Times New Roman" w:cs="Times New Roman"/>
          <w:sz w:val="24"/>
          <w:szCs w:val="24"/>
        </w:rPr>
      </w:pPr>
      <w:r w:rsidRPr="00721403">
        <w:rPr>
          <w:rFonts w:ascii="Times New Roman" w:hAnsi="Times New Roman" w:cs="Times New Roman"/>
          <w:sz w:val="24"/>
          <w:szCs w:val="24"/>
        </w:rPr>
        <w:t>投资者可以通过本基金管理人网站（</w:t>
      </w:r>
      <w:r w:rsidRPr="00721403">
        <w:rPr>
          <w:rFonts w:ascii="Times New Roman" w:hAnsi="Times New Roman" w:cs="Times New Roman"/>
          <w:sz w:val="24"/>
          <w:szCs w:val="24"/>
        </w:rPr>
        <w:t>www.fund001.com</w:t>
      </w:r>
      <w:r w:rsidRPr="00721403">
        <w:rPr>
          <w:rFonts w:ascii="Times New Roman" w:hAnsi="Times New Roman" w:cs="Times New Roman"/>
          <w:sz w:val="24"/>
          <w:szCs w:val="24"/>
        </w:rPr>
        <w:t>）或客户服务电话</w:t>
      </w:r>
      <w:r w:rsidRPr="00721403">
        <w:rPr>
          <w:rFonts w:ascii="Times New Roman" w:hAnsi="Times New Roman" w:cs="Times New Roman"/>
          <w:sz w:val="24"/>
          <w:szCs w:val="24"/>
        </w:rPr>
        <w:t>400-700-5000</w:t>
      </w:r>
      <w:r w:rsidRPr="00721403">
        <w:rPr>
          <w:rFonts w:ascii="Times New Roman" w:hAnsi="Times New Roman" w:cs="Times New Roman"/>
          <w:sz w:val="24"/>
          <w:szCs w:val="24"/>
        </w:rPr>
        <w:t>（免长途话费），</w:t>
      </w:r>
      <w:r w:rsidRPr="00721403">
        <w:rPr>
          <w:rFonts w:ascii="Times New Roman" w:hAnsi="Times New Roman" w:cs="Times New Roman"/>
          <w:sz w:val="24"/>
          <w:szCs w:val="24"/>
        </w:rPr>
        <w:t>021-61055000</w:t>
      </w:r>
      <w:r w:rsidRPr="00721403">
        <w:rPr>
          <w:rFonts w:ascii="Times New Roman" w:hAnsi="Times New Roman" w:cs="Times New Roman"/>
          <w:sz w:val="24"/>
          <w:szCs w:val="24"/>
        </w:rPr>
        <w:t>咨询有关详情。</w:t>
      </w:r>
    </w:p>
    <w:p w14:paraId="50ED2F62"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63FA5E2"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42CB9C6D"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份额具有与标的指数、以及标的指数所代表的股票市场相似的风险收益特征；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w:t>
      </w:r>
      <w:r w:rsidRPr="00246CB5">
        <w:rPr>
          <w:rFonts w:ascii="Times New Roman" w:hAnsi="Times New Roman" w:cs="Times New Roman"/>
          <w:color w:val="000000"/>
          <w:sz w:val="24"/>
          <w:szCs w:val="20"/>
        </w:rPr>
        <w:lastRenderedPageBreak/>
        <w:t>端损失情况下，</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183CECD3"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74560B5A"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23FE7E7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7545B3E7"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E13929E"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1FEC67E1" w14:textId="5CA5A7B2" w:rsidR="005558F5" w:rsidRDefault="00217C98">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二〇一</w:t>
      </w:r>
      <w:r>
        <w:rPr>
          <w:rFonts w:ascii="Times New Roman" w:hAnsi="Times New Roman" w:cs="Times New Roman" w:hint="eastAsia"/>
          <w:sz w:val="24"/>
        </w:rPr>
        <w:t>九</w:t>
      </w:r>
      <w:r w:rsidRPr="00246CB5">
        <w:rPr>
          <w:rFonts w:ascii="Times New Roman" w:hAnsi="Times New Roman" w:cs="Times New Roman"/>
          <w:sz w:val="24"/>
        </w:rPr>
        <w:t>年一月</w:t>
      </w:r>
      <w:r>
        <w:rPr>
          <w:rFonts w:ascii="Times New Roman" w:hAnsi="Times New Roman" w:cs="Times New Roman" w:hint="eastAsia"/>
          <w:sz w:val="24"/>
        </w:rPr>
        <w:t>四</w:t>
      </w:r>
      <w:r w:rsidRPr="00246CB5">
        <w:rPr>
          <w:rFonts w:ascii="Times New Roman" w:hAnsi="Times New Roman" w:cs="Times New Roman"/>
          <w:sz w:val="24"/>
        </w:rPr>
        <w:t>日</w:t>
      </w:r>
    </w:p>
    <w:p w14:paraId="4B59EA38"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D961" w14:textId="77777777" w:rsidR="005A6899" w:rsidRDefault="005A6899" w:rsidP="005B331A">
      <w:r>
        <w:separator/>
      </w:r>
    </w:p>
  </w:endnote>
  <w:endnote w:type="continuationSeparator" w:id="0">
    <w:p w14:paraId="1678F93C" w14:textId="77777777" w:rsidR="005A6899" w:rsidRDefault="005A6899"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F603D" w14:textId="77777777" w:rsidR="005A6899" w:rsidRDefault="005A6899" w:rsidP="005B331A">
      <w:r>
        <w:separator/>
      </w:r>
    </w:p>
  </w:footnote>
  <w:footnote w:type="continuationSeparator" w:id="0">
    <w:p w14:paraId="3DF71B5E" w14:textId="77777777" w:rsidR="005A6899" w:rsidRDefault="005A6899"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2CC4"/>
    <w:rsid w:val="0017077E"/>
    <w:rsid w:val="001A7B4B"/>
    <w:rsid w:val="001F7685"/>
    <w:rsid w:val="00217C98"/>
    <w:rsid w:val="00246CB5"/>
    <w:rsid w:val="00274434"/>
    <w:rsid w:val="00297EA0"/>
    <w:rsid w:val="002A3041"/>
    <w:rsid w:val="0038364B"/>
    <w:rsid w:val="003A41F3"/>
    <w:rsid w:val="003A5F3E"/>
    <w:rsid w:val="003F6675"/>
    <w:rsid w:val="003F6D9F"/>
    <w:rsid w:val="004103B2"/>
    <w:rsid w:val="00430D63"/>
    <w:rsid w:val="004656E2"/>
    <w:rsid w:val="00470E4B"/>
    <w:rsid w:val="0049206E"/>
    <w:rsid w:val="00520020"/>
    <w:rsid w:val="005402F7"/>
    <w:rsid w:val="005437AA"/>
    <w:rsid w:val="005558F5"/>
    <w:rsid w:val="00593722"/>
    <w:rsid w:val="00595BA6"/>
    <w:rsid w:val="005A6899"/>
    <w:rsid w:val="005B331A"/>
    <w:rsid w:val="005E18F9"/>
    <w:rsid w:val="006134FE"/>
    <w:rsid w:val="00644B11"/>
    <w:rsid w:val="00684647"/>
    <w:rsid w:val="006A706F"/>
    <w:rsid w:val="006B17AB"/>
    <w:rsid w:val="006F2028"/>
    <w:rsid w:val="00707B16"/>
    <w:rsid w:val="00721403"/>
    <w:rsid w:val="00736D69"/>
    <w:rsid w:val="00745B1B"/>
    <w:rsid w:val="0075598B"/>
    <w:rsid w:val="00792E5E"/>
    <w:rsid w:val="007C734B"/>
    <w:rsid w:val="007D37A2"/>
    <w:rsid w:val="00816262"/>
    <w:rsid w:val="00832B6F"/>
    <w:rsid w:val="00890FA5"/>
    <w:rsid w:val="0090519D"/>
    <w:rsid w:val="00936BE8"/>
    <w:rsid w:val="009521DF"/>
    <w:rsid w:val="00961AF1"/>
    <w:rsid w:val="009F3410"/>
    <w:rsid w:val="00A10056"/>
    <w:rsid w:val="00A33618"/>
    <w:rsid w:val="00A44090"/>
    <w:rsid w:val="00A44A18"/>
    <w:rsid w:val="00A67AB4"/>
    <w:rsid w:val="00AF194D"/>
    <w:rsid w:val="00B24C0F"/>
    <w:rsid w:val="00B36185"/>
    <w:rsid w:val="00B71550"/>
    <w:rsid w:val="00BA376B"/>
    <w:rsid w:val="00BC302E"/>
    <w:rsid w:val="00C209B6"/>
    <w:rsid w:val="00C22BF1"/>
    <w:rsid w:val="00C36C33"/>
    <w:rsid w:val="00C77A29"/>
    <w:rsid w:val="00CA295C"/>
    <w:rsid w:val="00CE6369"/>
    <w:rsid w:val="00D35B39"/>
    <w:rsid w:val="00D92810"/>
    <w:rsid w:val="00DB35A9"/>
    <w:rsid w:val="00DD1A05"/>
    <w:rsid w:val="00DD7C40"/>
    <w:rsid w:val="00E105D5"/>
    <w:rsid w:val="00E155C1"/>
    <w:rsid w:val="00E21C44"/>
    <w:rsid w:val="00E623A6"/>
    <w:rsid w:val="00EA2BF4"/>
    <w:rsid w:val="00ED0D4F"/>
    <w:rsid w:val="00F51A60"/>
    <w:rsid w:val="00F61A26"/>
    <w:rsid w:val="00F83A01"/>
    <w:rsid w:val="00FA1D09"/>
    <w:rsid w:val="00FC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0808D"/>
  <w15:docId w15:val="{E2F1B1FD-B87B-466C-B674-67D8C19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semiHidden/>
    <w:unhideWhenUsed/>
    <w:rsid w:val="00816262"/>
    <w:pPr>
      <w:jc w:val="left"/>
    </w:pPr>
  </w:style>
  <w:style w:type="character" w:customStyle="1" w:styleId="Char1">
    <w:name w:val="批注文字 Char"/>
    <w:basedOn w:val="a0"/>
    <w:link w:val="a6"/>
    <w:uiPriority w:val="99"/>
    <w:semiHidden/>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C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陈可桢</cp:lastModifiedBy>
  <cp:revision>56</cp:revision>
  <dcterms:created xsi:type="dcterms:W3CDTF">2015-11-09T06:09:00Z</dcterms:created>
  <dcterms:modified xsi:type="dcterms:W3CDTF">2019-01-03T05:24:00Z</dcterms:modified>
</cp:coreProperties>
</file>