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1,002,777,987.35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1,000,233,467.32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2,544,520.03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11,622,310.57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23,662.38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24,885,840.89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18,671.65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1,081,844,152.69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2,766,927.47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1.087</w:t>
            </w:r>
          </w:p>
        </w:tc>
      </w:tr>
    </w:tbl>
    <w:p w:rsidR="000C4E5D" w:rsidRDefault="00683E2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C4E5D">
        <w:trPr>
          <w:jc w:val="center"/>
        </w:trPr>
        <w:tc>
          <w:tcPr>
            <w:tcW w:w="1266" w:type="dxa"/>
            <w:vAlign w:val="center"/>
          </w:tcPr>
          <w:p w:rsidR="000C4E5D" w:rsidRDefault="00683E2A">
            <w:pPr>
              <w:jc w:val="left"/>
            </w:pPr>
            <w:r>
              <w:rPr>
                <w:color w:val="000000"/>
                <w:sz w:val="24"/>
              </w:rPr>
              <w:lastRenderedPageBreak/>
              <w:t>过去三个月</w:t>
            </w:r>
          </w:p>
        </w:tc>
        <w:tc>
          <w:tcPr>
            <w:tcW w:w="1267" w:type="dxa"/>
            <w:vAlign w:val="center"/>
          </w:tcPr>
          <w:p w:rsidR="000C4E5D" w:rsidRDefault="00683E2A">
            <w:pPr>
              <w:jc w:val="center"/>
            </w:pPr>
            <w:r>
              <w:rPr>
                <w:color w:val="000000"/>
                <w:sz w:val="24"/>
              </w:rPr>
              <w:t>2.37%</w:t>
            </w:r>
          </w:p>
        </w:tc>
        <w:tc>
          <w:tcPr>
            <w:tcW w:w="1267" w:type="dxa"/>
            <w:vAlign w:val="center"/>
          </w:tcPr>
          <w:p w:rsidR="000C4E5D" w:rsidRDefault="00683E2A">
            <w:pPr>
              <w:jc w:val="center"/>
            </w:pPr>
            <w:r>
              <w:rPr>
                <w:color w:val="000000"/>
                <w:sz w:val="24"/>
              </w:rPr>
              <w:t>0.07%</w:t>
            </w:r>
          </w:p>
        </w:tc>
        <w:tc>
          <w:tcPr>
            <w:tcW w:w="1267" w:type="dxa"/>
            <w:vAlign w:val="center"/>
          </w:tcPr>
          <w:p w:rsidR="000C4E5D" w:rsidRDefault="00683E2A">
            <w:pPr>
              <w:jc w:val="center"/>
            </w:pPr>
            <w:r>
              <w:rPr>
                <w:color w:val="000000"/>
                <w:sz w:val="24"/>
              </w:rPr>
              <w:t>0.57%</w:t>
            </w:r>
          </w:p>
        </w:tc>
        <w:tc>
          <w:tcPr>
            <w:tcW w:w="1267" w:type="dxa"/>
            <w:vAlign w:val="center"/>
          </w:tcPr>
          <w:p w:rsidR="000C4E5D" w:rsidRDefault="00683E2A">
            <w:pPr>
              <w:jc w:val="center"/>
            </w:pPr>
            <w:r>
              <w:rPr>
                <w:color w:val="000000"/>
                <w:sz w:val="24"/>
              </w:rPr>
              <w:t>0.07</w:t>
            </w:r>
            <w:r>
              <w:rPr>
                <w:color w:val="000000"/>
                <w:sz w:val="24"/>
              </w:rPr>
              <w:t>%</w:t>
            </w:r>
          </w:p>
        </w:tc>
        <w:tc>
          <w:tcPr>
            <w:tcW w:w="1267" w:type="dxa"/>
            <w:vAlign w:val="center"/>
          </w:tcPr>
          <w:p w:rsidR="000C4E5D" w:rsidRDefault="00683E2A">
            <w:pPr>
              <w:jc w:val="center"/>
            </w:pPr>
            <w:r>
              <w:rPr>
                <w:color w:val="000000"/>
                <w:sz w:val="24"/>
              </w:rPr>
              <w:t>1.80%</w:t>
            </w:r>
          </w:p>
        </w:tc>
        <w:tc>
          <w:tcPr>
            <w:tcW w:w="1267" w:type="dxa"/>
            <w:vAlign w:val="center"/>
          </w:tcPr>
          <w:p w:rsidR="000C4E5D" w:rsidRDefault="00683E2A">
            <w:pPr>
              <w:jc w:val="center"/>
            </w:pPr>
            <w:r>
              <w:rPr>
                <w:color w:val="000000"/>
                <w:sz w:val="24"/>
              </w:rPr>
              <w:t>0.00</w:t>
            </w:r>
            <w:r>
              <w:rPr>
                <w:color w:val="000000"/>
                <w:sz w:val="24"/>
              </w:rPr>
              <w:t>%</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C4E5D">
        <w:trPr>
          <w:jc w:val="center"/>
        </w:trPr>
        <w:tc>
          <w:tcPr>
            <w:tcW w:w="1266" w:type="dxa"/>
            <w:vAlign w:val="center"/>
          </w:tcPr>
          <w:p w:rsidR="000C4E5D" w:rsidRDefault="00683E2A">
            <w:pPr>
              <w:jc w:val="left"/>
            </w:pPr>
            <w:r>
              <w:rPr>
                <w:color w:val="000000"/>
                <w:sz w:val="24"/>
              </w:rPr>
              <w:t>过去三个月</w:t>
            </w:r>
          </w:p>
        </w:tc>
        <w:tc>
          <w:tcPr>
            <w:tcW w:w="1267" w:type="dxa"/>
            <w:vAlign w:val="center"/>
          </w:tcPr>
          <w:p w:rsidR="000C4E5D" w:rsidRDefault="00683E2A">
            <w:pPr>
              <w:jc w:val="center"/>
            </w:pPr>
            <w:r>
              <w:rPr>
                <w:color w:val="000000"/>
                <w:sz w:val="24"/>
              </w:rPr>
              <w:t>2.16%</w:t>
            </w:r>
          </w:p>
        </w:tc>
        <w:tc>
          <w:tcPr>
            <w:tcW w:w="1267" w:type="dxa"/>
            <w:vAlign w:val="center"/>
          </w:tcPr>
          <w:p w:rsidR="000C4E5D" w:rsidRDefault="00683E2A">
            <w:pPr>
              <w:jc w:val="center"/>
            </w:pPr>
            <w:r>
              <w:rPr>
                <w:color w:val="000000"/>
                <w:sz w:val="24"/>
              </w:rPr>
              <w:t>0.07%</w:t>
            </w:r>
          </w:p>
        </w:tc>
        <w:tc>
          <w:tcPr>
            <w:tcW w:w="1267" w:type="dxa"/>
            <w:vAlign w:val="center"/>
          </w:tcPr>
          <w:p w:rsidR="000C4E5D" w:rsidRDefault="00683E2A">
            <w:pPr>
              <w:jc w:val="center"/>
            </w:pPr>
            <w:r>
              <w:rPr>
                <w:color w:val="000000"/>
                <w:sz w:val="24"/>
              </w:rPr>
              <w:t>0.57%</w:t>
            </w:r>
          </w:p>
        </w:tc>
        <w:tc>
          <w:tcPr>
            <w:tcW w:w="1267" w:type="dxa"/>
            <w:vAlign w:val="center"/>
          </w:tcPr>
          <w:p w:rsidR="000C4E5D" w:rsidRDefault="00683E2A">
            <w:pPr>
              <w:jc w:val="center"/>
            </w:pPr>
            <w:r>
              <w:rPr>
                <w:color w:val="000000"/>
                <w:sz w:val="24"/>
              </w:rPr>
              <w:t>0.07</w:t>
            </w:r>
            <w:r>
              <w:rPr>
                <w:color w:val="000000"/>
                <w:sz w:val="24"/>
              </w:rPr>
              <w:t>%</w:t>
            </w:r>
          </w:p>
        </w:tc>
        <w:tc>
          <w:tcPr>
            <w:tcW w:w="1267" w:type="dxa"/>
            <w:vAlign w:val="center"/>
          </w:tcPr>
          <w:p w:rsidR="000C4E5D" w:rsidRDefault="00683E2A">
            <w:pPr>
              <w:jc w:val="center"/>
            </w:pPr>
            <w:r>
              <w:rPr>
                <w:color w:val="000000"/>
                <w:sz w:val="24"/>
              </w:rPr>
              <w:t>1.59%</w:t>
            </w:r>
          </w:p>
        </w:tc>
        <w:tc>
          <w:tcPr>
            <w:tcW w:w="1267" w:type="dxa"/>
            <w:vAlign w:val="center"/>
          </w:tcPr>
          <w:p w:rsidR="000C4E5D" w:rsidRDefault="00683E2A">
            <w:pPr>
              <w:jc w:val="center"/>
            </w:pPr>
            <w:r>
              <w:rPr>
                <w:color w:val="000000"/>
                <w:sz w:val="24"/>
              </w:rPr>
              <w:t>0.00</w:t>
            </w:r>
            <w:bookmarkStart w:id="0" w:name="_GoBack"/>
            <w:bookmarkEnd w:id="0"/>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C4E5D">
        <w:trPr>
          <w:jc w:val="center"/>
        </w:trPr>
        <w:tc>
          <w:tcPr>
            <w:tcW w:w="946" w:type="dxa"/>
            <w:vAlign w:val="center"/>
          </w:tcPr>
          <w:p w:rsidR="000C4E5D" w:rsidRDefault="00683E2A">
            <w:pPr>
              <w:jc w:val="center"/>
            </w:pPr>
            <w:r>
              <w:rPr>
                <w:color w:val="000000"/>
                <w:sz w:val="24"/>
              </w:rPr>
              <w:t>连端清</w:t>
            </w:r>
          </w:p>
        </w:tc>
        <w:tc>
          <w:tcPr>
            <w:tcW w:w="924" w:type="dxa"/>
            <w:vAlign w:val="center"/>
          </w:tcPr>
          <w:p w:rsidR="000C4E5D" w:rsidRDefault="00683E2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0C4E5D" w:rsidRDefault="00683E2A">
            <w:pPr>
              <w:jc w:val="center"/>
            </w:pPr>
            <w:r>
              <w:rPr>
                <w:color w:val="000000"/>
                <w:sz w:val="24"/>
              </w:rPr>
              <w:t>2017-03-31</w:t>
            </w:r>
          </w:p>
        </w:tc>
        <w:tc>
          <w:tcPr>
            <w:tcW w:w="1300" w:type="dxa"/>
            <w:vAlign w:val="center"/>
          </w:tcPr>
          <w:p w:rsidR="000C4E5D" w:rsidRDefault="00683E2A">
            <w:pPr>
              <w:jc w:val="center"/>
            </w:pPr>
            <w:r>
              <w:rPr>
                <w:color w:val="000000"/>
                <w:sz w:val="24"/>
              </w:rPr>
              <w:t>-</w:t>
            </w:r>
          </w:p>
        </w:tc>
        <w:tc>
          <w:tcPr>
            <w:tcW w:w="1245" w:type="dxa"/>
            <w:vAlign w:val="center"/>
          </w:tcPr>
          <w:p w:rsidR="000C4E5D" w:rsidRDefault="00683E2A">
            <w:pPr>
              <w:jc w:val="center"/>
            </w:pPr>
            <w:r>
              <w:rPr>
                <w:color w:val="000000"/>
                <w:sz w:val="24"/>
              </w:rPr>
              <w:t>5</w:t>
            </w:r>
            <w:r>
              <w:rPr>
                <w:color w:val="000000"/>
                <w:sz w:val="24"/>
              </w:rPr>
              <w:t>年</w:t>
            </w:r>
          </w:p>
        </w:tc>
        <w:tc>
          <w:tcPr>
            <w:tcW w:w="3251" w:type="dxa"/>
            <w:vAlign w:val="center"/>
          </w:tcPr>
          <w:p w:rsidR="000C4E5D" w:rsidRDefault="00683E2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C4E5D" w:rsidRDefault="00683E2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C4E5D" w:rsidRDefault="00683E2A">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C4E5D" w:rsidRDefault="00683E2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4E5D" w:rsidRDefault="00683E2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0C4E5D" w:rsidRDefault="00683E2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C4E5D" w:rsidRDefault="00683E2A">
      <w:pPr>
        <w:spacing w:before="29" w:line="288" w:lineRule="auto"/>
        <w:ind w:firstLineChars="200" w:firstLine="480"/>
        <w:rPr>
          <w:color w:val="000000"/>
          <w:sz w:val="24"/>
        </w:rPr>
      </w:pPr>
      <w:r>
        <w:rPr>
          <w:color w:val="000000"/>
          <w:sz w:val="24"/>
        </w:rPr>
        <w:t>2018</w:t>
      </w:r>
      <w:r>
        <w:rPr>
          <w:color w:val="000000"/>
          <w:sz w:val="24"/>
        </w:rPr>
        <w:t>年三季度，国内经济延续稳中放缓态势，同时通胀压力有所上升，中美贸易战进一步扩大，国内经济政策稳字当头。国内制造业景气度仍保持高位扩张但已呈现减弱势头。制造业</w:t>
      </w:r>
      <w:r>
        <w:rPr>
          <w:color w:val="000000"/>
          <w:sz w:val="24"/>
        </w:rPr>
        <w:t>FAI</w:t>
      </w:r>
      <w:r>
        <w:rPr>
          <w:color w:val="000000"/>
          <w:sz w:val="24"/>
        </w:rPr>
        <w:t>同比增速继续提高，房地产投资仍保</w:t>
      </w:r>
      <w:r>
        <w:rPr>
          <w:color w:val="000000"/>
          <w:sz w:val="24"/>
        </w:rPr>
        <w:t>持较高增速，但基建投资增速继续下滑，导致固定资产投资持续下行。</w:t>
      </w:r>
      <w:r>
        <w:rPr>
          <w:color w:val="000000"/>
          <w:sz w:val="24"/>
        </w:rPr>
        <w:t>9</w:t>
      </w:r>
      <w:r>
        <w:rPr>
          <w:color w:val="000000"/>
          <w:sz w:val="24"/>
        </w:rPr>
        <w:t>月</w:t>
      </w:r>
      <w:r>
        <w:rPr>
          <w:color w:val="000000"/>
          <w:sz w:val="24"/>
        </w:rPr>
        <w:t>24</w:t>
      </w:r>
      <w:r>
        <w:rPr>
          <w:color w:val="000000"/>
          <w:sz w:val="24"/>
        </w:rPr>
        <w:t>日美国对</w:t>
      </w:r>
      <w:r>
        <w:rPr>
          <w:color w:val="000000"/>
          <w:sz w:val="24"/>
        </w:rPr>
        <w:t>2000</w:t>
      </w:r>
      <w:r>
        <w:rPr>
          <w:color w:val="000000"/>
          <w:sz w:val="24"/>
        </w:rPr>
        <w:t>亿美元输美中国商品加征关税，中美贸易战升级，负面影响在加大。三季度中采</w:t>
      </w:r>
      <w:r>
        <w:rPr>
          <w:color w:val="000000"/>
          <w:sz w:val="24"/>
        </w:rPr>
        <w:t>PMI</w:t>
      </w:r>
      <w:r>
        <w:rPr>
          <w:color w:val="000000"/>
          <w:sz w:val="24"/>
        </w:rPr>
        <w:t>分项指标新出口订单不断下滑，且九月份下滑幅度扩大。物价方面，三季度受灾害及原油价格攀升等问题影响，</w:t>
      </w:r>
      <w:r>
        <w:rPr>
          <w:color w:val="000000"/>
          <w:sz w:val="24"/>
        </w:rPr>
        <w:t>CPI</w:t>
      </w:r>
      <w:r>
        <w:rPr>
          <w:color w:val="000000"/>
          <w:sz w:val="24"/>
        </w:rPr>
        <w:t>再次回升至</w:t>
      </w:r>
      <w:r>
        <w:rPr>
          <w:color w:val="000000"/>
          <w:sz w:val="24"/>
        </w:rPr>
        <w:t>2%</w:t>
      </w:r>
      <w:r>
        <w:rPr>
          <w:color w:val="000000"/>
          <w:sz w:val="24"/>
        </w:rPr>
        <w:t>以上且短期内仍有上升压力。货币政策上，三季度央行维持中性偏松的货币政策，央行主要通过公开市场逆回购与</w:t>
      </w:r>
      <w:r>
        <w:rPr>
          <w:color w:val="000000"/>
          <w:sz w:val="24"/>
        </w:rPr>
        <w:t>MLF</w:t>
      </w:r>
      <w:r>
        <w:rPr>
          <w:color w:val="000000"/>
          <w:sz w:val="24"/>
        </w:rPr>
        <w:t>操作净投放</w:t>
      </w:r>
      <w:r>
        <w:rPr>
          <w:color w:val="000000"/>
          <w:sz w:val="24"/>
        </w:rPr>
        <w:t>4925</w:t>
      </w:r>
      <w:r>
        <w:rPr>
          <w:color w:val="000000"/>
          <w:sz w:val="24"/>
        </w:rPr>
        <w:t>亿元，以维持货币市场资金面宽松。但是，短期内央行进一步宽松的空间受到人民币贬值压力及货币政策传导机制阻塞等问</w:t>
      </w:r>
      <w:r>
        <w:rPr>
          <w:color w:val="000000"/>
          <w:sz w:val="24"/>
        </w:rPr>
        <w:t>题制约，八月下旬至九月上旬曾一度暂停逆回购操作。</w:t>
      </w:r>
    </w:p>
    <w:p w:rsidR="000C4E5D" w:rsidRDefault="00683E2A">
      <w:pPr>
        <w:spacing w:before="29" w:line="288" w:lineRule="auto"/>
        <w:ind w:firstLineChars="200" w:firstLine="480"/>
        <w:rPr>
          <w:color w:val="000000"/>
          <w:sz w:val="24"/>
        </w:rPr>
      </w:pPr>
      <w:r>
        <w:rPr>
          <w:color w:val="000000"/>
          <w:sz w:val="24"/>
        </w:rPr>
        <w:t>资金面上，三季度货币市场流动性整体上非常宽裕，银行间市场</w:t>
      </w:r>
      <w:r>
        <w:rPr>
          <w:color w:val="000000"/>
          <w:sz w:val="24"/>
        </w:rPr>
        <w:t>R001</w:t>
      </w:r>
      <w:r>
        <w:rPr>
          <w:color w:val="000000"/>
          <w:sz w:val="24"/>
        </w:rPr>
        <w:t>曾在八月上旬一度降至</w:t>
      </w:r>
      <w:r>
        <w:rPr>
          <w:color w:val="000000"/>
          <w:sz w:val="24"/>
        </w:rPr>
        <w:t>1.5%</w:t>
      </w:r>
      <w:r>
        <w:rPr>
          <w:color w:val="000000"/>
          <w:sz w:val="24"/>
        </w:rPr>
        <w:t>以下，随后有所回调，但依然处于较低水平，九月底</w:t>
      </w:r>
      <w:r>
        <w:rPr>
          <w:color w:val="000000"/>
          <w:sz w:val="24"/>
        </w:rPr>
        <w:t>R001</w:t>
      </w:r>
      <w:r>
        <w:rPr>
          <w:color w:val="000000"/>
          <w:sz w:val="24"/>
        </w:rPr>
        <w:t>较六月底下降</w:t>
      </w:r>
      <w:r>
        <w:rPr>
          <w:color w:val="000000"/>
          <w:sz w:val="24"/>
        </w:rPr>
        <w:t>45</w:t>
      </w:r>
      <w:r>
        <w:rPr>
          <w:color w:val="000000"/>
          <w:sz w:val="24"/>
        </w:rPr>
        <w:t>个</w:t>
      </w:r>
      <w:r>
        <w:rPr>
          <w:color w:val="000000"/>
          <w:sz w:val="24"/>
        </w:rPr>
        <w:t>BP</w:t>
      </w:r>
      <w:r>
        <w:rPr>
          <w:color w:val="000000"/>
          <w:sz w:val="24"/>
        </w:rPr>
        <w:t>以上。三季度同业存款存单利率全线大幅下行，八月上旬同业存单利率降至历史最低位，股份制行三个月同业存单利率降至</w:t>
      </w:r>
      <w:r>
        <w:rPr>
          <w:color w:val="000000"/>
          <w:sz w:val="24"/>
        </w:rPr>
        <w:t>1.9%</w:t>
      </w:r>
      <w:r>
        <w:rPr>
          <w:color w:val="000000"/>
          <w:sz w:val="24"/>
        </w:rPr>
        <w:t>，尽管后续有所回升，但基本上处于</w:t>
      </w:r>
      <w:r>
        <w:rPr>
          <w:color w:val="000000"/>
          <w:sz w:val="24"/>
        </w:rPr>
        <w:t>3%</w:t>
      </w:r>
      <w:r>
        <w:rPr>
          <w:color w:val="000000"/>
          <w:sz w:val="24"/>
        </w:rPr>
        <w:t>以下较低位置。同业存款市场需求低迷，价格比存单更差。三季度债市整体上经历了大幅上涨再回调的波澜壮阔行情，受流动性宽松及经济悲观预期影响债市先大</w:t>
      </w:r>
      <w:r>
        <w:rPr>
          <w:color w:val="000000"/>
          <w:sz w:val="24"/>
        </w:rPr>
        <w:t>幅上涨，之后受流动性宽松边际暂停及</w:t>
      </w:r>
      <w:r>
        <w:rPr>
          <w:color w:val="000000"/>
          <w:sz w:val="24"/>
        </w:rPr>
        <w:t>CPI</w:t>
      </w:r>
      <w:r>
        <w:rPr>
          <w:color w:val="000000"/>
          <w:sz w:val="24"/>
        </w:rPr>
        <w:t>上涨压力凸现等利空因素影响，八月中旬开始债市持续回调，及至九月下旬长端利率债再次回暖。</w:t>
      </w:r>
    </w:p>
    <w:p w:rsidR="000C4E5D" w:rsidRDefault="00683E2A">
      <w:pPr>
        <w:spacing w:before="29" w:line="288" w:lineRule="auto"/>
        <w:ind w:firstLineChars="200" w:firstLine="480"/>
        <w:rPr>
          <w:color w:val="000000"/>
          <w:sz w:val="24"/>
        </w:rPr>
      </w:pPr>
      <w:r>
        <w:rPr>
          <w:color w:val="000000"/>
          <w:sz w:val="24"/>
        </w:rPr>
        <w:t>基金操作方面，报告期内本基金把握市场走势，调整组合杠杆与持仓债券，管控信用风险，为持有人创造稳健的回报。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年四季度，考虑中美贸易战升级，宽裕货币向信贷传导的机制仍待疏通，以及地方政府债务融资约束加强等问题，我们预计经济下行压力可能加大。但七月底中央政治局会议已提出</w:t>
      </w:r>
      <w:r w:rsidRPr="007F52FA">
        <w:rPr>
          <w:color w:val="000000"/>
          <w:sz w:val="24"/>
        </w:rPr>
        <w:t>“</w:t>
      </w:r>
      <w:r w:rsidRPr="007F52FA">
        <w:rPr>
          <w:color w:val="000000"/>
          <w:sz w:val="24"/>
        </w:rPr>
        <w:t>要保持社会经济大局稳定</w:t>
      </w:r>
      <w:r w:rsidRPr="007F52FA">
        <w:rPr>
          <w:color w:val="000000"/>
          <w:sz w:val="24"/>
        </w:rPr>
        <w:t>”</w:t>
      </w:r>
      <w:r w:rsidRPr="007F52FA">
        <w:rPr>
          <w:color w:val="000000"/>
          <w:sz w:val="24"/>
        </w:rPr>
        <w:t>，</w:t>
      </w:r>
      <w:r w:rsidRPr="007F52FA">
        <w:rPr>
          <w:color w:val="000000"/>
          <w:sz w:val="24"/>
        </w:rPr>
        <w:t>“</w:t>
      </w:r>
      <w:r w:rsidRPr="007F52FA">
        <w:rPr>
          <w:color w:val="000000"/>
          <w:sz w:val="24"/>
        </w:rPr>
        <w:t>要做好稳就业、稳金融、稳外贸、稳外资、稳投资、稳预期工作</w:t>
      </w:r>
      <w:r w:rsidRPr="007F52FA">
        <w:rPr>
          <w:color w:val="000000"/>
          <w:sz w:val="24"/>
        </w:rPr>
        <w:t>”</w:t>
      </w:r>
      <w:r w:rsidRPr="007F52FA">
        <w:rPr>
          <w:color w:val="000000"/>
          <w:sz w:val="24"/>
        </w:rPr>
        <w:t>的要求，经济政策托底工作可能进一步加强，我们预计四季度国内经济延续稳中放缓的概率较大，</w:t>
      </w:r>
      <w:r w:rsidRPr="007F52FA">
        <w:rPr>
          <w:color w:val="000000"/>
          <w:sz w:val="24"/>
        </w:rPr>
        <w:t>CPI</w:t>
      </w:r>
      <w:r w:rsidRPr="007F52FA">
        <w:rPr>
          <w:color w:val="000000"/>
          <w:sz w:val="24"/>
        </w:rPr>
        <w:t>短期内仍有上行压力。央行短期内仍可能坚持中性偏松的货币政策。我们将密切关注中美贸易战升级对四季度经济走势的影响。组合管理方面，本基金将努力研判宏观经济走势，密切跟踪央行货币政策操作与监管政策动态，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1,443,803,000.00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1,443,803,000.00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1,754,154.96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33,092,580.98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1,478,649,735.94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135,299,500.00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135,299,500.00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737,146,500.00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526,425,000.00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48.54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1,443,803,000.00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133.12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C4E5D">
        <w:trPr>
          <w:jc w:val="center"/>
        </w:trPr>
        <w:tc>
          <w:tcPr>
            <w:tcW w:w="1075" w:type="dxa"/>
            <w:vAlign w:val="center"/>
          </w:tcPr>
          <w:p w:rsidR="000C4E5D" w:rsidRDefault="00683E2A">
            <w:pPr>
              <w:jc w:val="center"/>
            </w:pPr>
            <w:r>
              <w:rPr>
                <w:color w:val="000000"/>
                <w:sz w:val="24"/>
              </w:rPr>
              <w:t>1</w:t>
            </w:r>
          </w:p>
        </w:tc>
        <w:tc>
          <w:tcPr>
            <w:tcW w:w="1533" w:type="dxa"/>
            <w:vAlign w:val="center"/>
          </w:tcPr>
          <w:p w:rsidR="000C4E5D" w:rsidRDefault="00683E2A">
            <w:pPr>
              <w:jc w:val="center"/>
            </w:pPr>
            <w:r>
              <w:rPr>
                <w:color w:val="000000"/>
                <w:sz w:val="24"/>
              </w:rPr>
              <w:t>111712304</w:t>
            </w:r>
          </w:p>
        </w:tc>
        <w:tc>
          <w:tcPr>
            <w:tcW w:w="1533" w:type="dxa"/>
            <w:vAlign w:val="center"/>
          </w:tcPr>
          <w:p w:rsidR="000C4E5D" w:rsidRDefault="00683E2A">
            <w:pPr>
              <w:jc w:val="center"/>
            </w:pPr>
            <w:r>
              <w:rPr>
                <w:color w:val="000000"/>
                <w:sz w:val="24"/>
              </w:rPr>
              <w:t>17</w:t>
            </w:r>
            <w:r>
              <w:rPr>
                <w:color w:val="000000"/>
                <w:sz w:val="24"/>
              </w:rPr>
              <w:t>北京银行</w:t>
            </w:r>
            <w:r>
              <w:rPr>
                <w:color w:val="000000"/>
                <w:sz w:val="24"/>
              </w:rPr>
              <w:t>CD304</w:t>
            </w:r>
          </w:p>
        </w:tc>
        <w:tc>
          <w:tcPr>
            <w:tcW w:w="1394" w:type="dxa"/>
            <w:vAlign w:val="center"/>
          </w:tcPr>
          <w:p w:rsidR="000C4E5D" w:rsidRDefault="00683E2A">
            <w:pPr>
              <w:jc w:val="right"/>
            </w:pPr>
            <w:r>
              <w:rPr>
                <w:color w:val="000000"/>
                <w:sz w:val="24"/>
              </w:rPr>
              <w:t>1,000,000</w:t>
            </w:r>
          </w:p>
        </w:tc>
        <w:tc>
          <w:tcPr>
            <w:tcW w:w="1944" w:type="dxa"/>
            <w:vAlign w:val="center"/>
          </w:tcPr>
          <w:p w:rsidR="000C4E5D" w:rsidRDefault="00683E2A">
            <w:pPr>
              <w:jc w:val="right"/>
            </w:pPr>
            <w:r>
              <w:rPr>
                <w:color w:val="000000"/>
                <w:sz w:val="24"/>
              </w:rPr>
              <w:t>95,620,000.00</w:t>
            </w:r>
          </w:p>
        </w:tc>
        <w:tc>
          <w:tcPr>
            <w:tcW w:w="1389" w:type="dxa"/>
            <w:vAlign w:val="center"/>
          </w:tcPr>
          <w:p w:rsidR="000C4E5D" w:rsidRDefault="00683E2A">
            <w:pPr>
              <w:jc w:val="right"/>
            </w:pPr>
            <w:r>
              <w:rPr>
                <w:color w:val="000000"/>
                <w:sz w:val="24"/>
              </w:rPr>
              <w:t>8.82</w:t>
            </w:r>
          </w:p>
        </w:tc>
      </w:tr>
      <w:tr w:rsidR="000C4E5D">
        <w:trPr>
          <w:jc w:val="center"/>
        </w:trPr>
        <w:tc>
          <w:tcPr>
            <w:tcW w:w="1075" w:type="dxa"/>
            <w:vAlign w:val="center"/>
          </w:tcPr>
          <w:p w:rsidR="000C4E5D" w:rsidRDefault="00683E2A">
            <w:pPr>
              <w:jc w:val="center"/>
            </w:pPr>
            <w:r>
              <w:rPr>
                <w:color w:val="000000"/>
                <w:sz w:val="24"/>
              </w:rPr>
              <w:t>2</w:t>
            </w:r>
          </w:p>
        </w:tc>
        <w:tc>
          <w:tcPr>
            <w:tcW w:w="1533" w:type="dxa"/>
            <w:vAlign w:val="center"/>
          </w:tcPr>
          <w:p w:rsidR="000C4E5D" w:rsidRDefault="00683E2A">
            <w:pPr>
              <w:jc w:val="center"/>
            </w:pPr>
            <w:r>
              <w:rPr>
                <w:color w:val="000000"/>
                <w:sz w:val="24"/>
              </w:rPr>
              <w:t>101761002</w:t>
            </w:r>
          </w:p>
        </w:tc>
        <w:tc>
          <w:tcPr>
            <w:tcW w:w="1533" w:type="dxa"/>
            <w:vAlign w:val="center"/>
          </w:tcPr>
          <w:p w:rsidR="000C4E5D" w:rsidRDefault="00683E2A">
            <w:pPr>
              <w:jc w:val="center"/>
            </w:pPr>
            <w:r>
              <w:rPr>
                <w:color w:val="000000"/>
                <w:sz w:val="24"/>
              </w:rPr>
              <w:t>17</w:t>
            </w:r>
            <w:r>
              <w:rPr>
                <w:color w:val="000000"/>
                <w:sz w:val="24"/>
              </w:rPr>
              <w:t>光大集团</w:t>
            </w:r>
            <w:r>
              <w:rPr>
                <w:color w:val="000000"/>
                <w:sz w:val="24"/>
              </w:rPr>
              <w:t>MTN001</w:t>
            </w:r>
          </w:p>
        </w:tc>
        <w:tc>
          <w:tcPr>
            <w:tcW w:w="1394" w:type="dxa"/>
            <w:vAlign w:val="center"/>
          </w:tcPr>
          <w:p w:rsidR="000C4E5D" w:rsidRDefault="00683E2A">
            <w:pPr>
              <w:jc w:val="right"/>
            </w:pPr>
            <w:r>
              <w:rPr>
                <w:color w:val="000000"/>
                <w:sz w:val="24"/>
              </w:rPr>
              <w:t>800,000</w:t>
            </w:r>
          </w:p>
        </w:tc>
        <w:tc>
          <w:tcPr>
            <w:tcW w:w="1944" w:type="dxa"/>
            <w:vAlign w:val="center"/>
          </w:tcPr>
          <w:p w:rsidR="000C4E5D" w:rsidRDefault="00683E2A">
            <w:pPr>
              <w:jc w:val="right"/>
            </w:pPr>
            <w:r>
              <w:rPr>
                <w:color w:val="000000"/>
                <w:sz w:val="24"/>
              </w:rPr>
              <w:t>81,000,000.00</w:t>
            </w:r>
          </w:p>
        </w:tc>
        <w:tc>
          <w:tcPr>
            <w:tcW w:w="1389" w:type="dxa"/>
            <w:vAlign w:val="center"/>
          </w:tcPr>
          <w:p w:rsidR="000C4E5D" w:rsidRDefault="00683E2A">
            <w:pPr>
              <w:jc w:val="right"/>
            </w:pPr>
            <w:r>
              <w:rPr>
                <w:color w:val="000000"/>
                <w:sz w:val="24"/>
              </w:rPr>
              <w:t>7.47</w:t>
            </w:r>
          </w:p>
        </w:tc>
      </w:tr>
      <w:tr w:rsidR="000C4E5D">
        <w:trPr>
          <w:jc w:val="center"/>
        </w:trPr>
        <w:tc>
          <w:tcPr>
            <w:tcW w:w="1075" w:type="dxa"/>
            <w:vAlign w:val="center"/>
          </w:tcPr>
          <w:p w:rsidR="000C4E5D" w:rsidRDefault="00683E2A">
            <w:pPr>
              <w:jc w:val="center"/>
            </w:pPr>
            <w:r>
              <w:rPr>
                <w:color w:val="000000"/>
                <w:sz w:val="24"/>
              </w:rPr>
              <w:t>3</w:t>
            </w:r>
          </w:p>
        </w:tc>
        <w:tc>
          <w:tcPr>
            <w:tcW w:w="1533" w:type="dxa"/>
            <w:vAlign w:val="center"/>
          </w:tcPr>
          <w:p w:rsidR="000C4E5D" w:rsidRDefault="00683E2A">
            <w:pPr>
              <w:jc w:val="center"/>
            </w:pPr>
            <w:r>
              <w:rPr>
                <w:color w:val="000000"/>
                <w:sz w:val="24"/>
              </w:rPr>
              <w:t>111819091</w:t>
            </w:r>
          </w:p>
        </w:tc>
        <w:tc>
          <w:tcPr>
            <w:tcW w:w="1533" w:type="dxa"/>
            <w:vAlign w:val="center"/>
          </w:tcPr>
          <w:p w:rsidR="000C4E5D" w:rsidRDefault="00683E2A">
            <w:pPr>
              <w:jc w:val="center"/>
            </w:pPr>
            <w:r>
              <w:rPr>
                <w:color w:val="000000"/>
                <w:sz w:val="24"/>
              </w:rPr>
              <w:t>18</w:t>
            </w:r>
            <w:r>
              <w:rPr>
                <w:color w:val="000000"/>
                <w:sz w:val="24"/>
              </w:rPr>
              <w:t>恒丰银行</w:t>
            </w:r>
            <w:r>
              <w:rPr>
                <w:color w:val="000000"/>
                <w:sz w:val="24"/>
              </w:rPr>
              <w:t>CD091</w:t>
            </w:r>
          </w:p>
        </w:tc>
        <w:tc>
          <w:tcPr>
            <w:tcW w:w="1394" w:type="dxa"/>
            <w:vAlign w:val="center"/>
          </w:tcPr>
          <w:p w:rsidR="000C4E5D" w:rsidRDefault="00683E2A">
            <w:pPr>
              <w:jc w:val="right"/>
            </w:pPr>
            <w:r>
              <w:rPr>
                <w:color w:val="000000"/>
                <w:sz w:val="24"/>
              </w:rPr>
              <w:t>700,000</w:t>
            </w:r>
          </w:p>
        </w:tc>
        <w:tc>
          <w:tcPr>
            <w:tcW w:w="1944" w:type="dxa"/>
            <w:vAlign w:val="center"/>
          </w:tcPr>
          <w:p w:rsidR="000C4E5D" w:rsidRDefault="00683E2A">
            <w:pPr>
              <w:jc w:val="right"/>
            </w:pPr>
            <w:r>
              <w:rPr>
                <w:color w:val="000000"/>
                <w:sz w:val="24"/>
              </w:rPr>
              <w:t>67,032,000.00</w:t>
            </w:r>
          </w:p>
        </w:tc>
        <w:tc>
          <w:tcPr>
            <w:tcW w:w="1389" w:type="dxa"/>
            <w:vAlign w:val="center"/>
          </w:tcPr>
          <w:p w:rsidR="000C4E5D" w:rsidRDefault="00683E2A">
            <w:pPr>
              <w:jc w:val="right"/>
            </w:pPr>
            <w:r>
              <w:rPr>
                <w:color w:val="000000"/>
                <w:sz w:val="24"/>
              </w:rPr>
              <w:t>6.18</w:t>
            </w:r>
          </w:p>
        </w:tc>
      </w:tr>
      <w:tr w:rsidR="000C4E5D">
        <w:trPr>
          <w:jc w:val="center"/>
        </w:trPr>
        <w:tc>
          <w:tcPr>
            <w:tcW w:w="1075" w:type="dxa"/>
            <w:vAlign w:val="center"/>
          </w:tcPr>
          <w:p w:rsidR="000C4E5D" w:rsidRDefault="00683E2A">
            <w:pPr>
              <w:jc w:val="center"/>
            </w:pPr>
            <w:r>
              <w:rPr>
                <w:color w:val="000000"/>
                <w:sz w:val="24"/>
              </w:rPr>
              <w:t>4</w:t>
            </w:r>
          </w:p>
        </w:tc>
        <w:tc>
          <w:tcPr>
            <w:tcW w:w="1533" w:type="dxa"/>
            <w:vAlign w:val="center"/>
          </w:tcPr>
          <w:p w:rsidR="000C4E5D" w:rsidRDefault="00683E2A">
            <w:pPr>
              <w:jc w:val="center"/>
            </w:pPr>
            <w:r>
              <w:rPr>
                <w:color w:val="000000"/>
                <w:sz w:val="24"/>
              </w:rPr>
              <w:t>101564026</w:t>
            </w:r>
          </w:p>
        </w:tc>
        <w:tc>
          <w:tcPr>
            <w:tcW w:w="1533" w:type="dxa"/>
            <w:vAlign w:val="center"/>
          </w:tcPr>
          <w:p w:rsidR="000C4E5D" w:rsidRDefault="00683E2A">
            <w:pPr>
              <w:jc w:val="center"/>
            </w:pPr>
            <w:r>
              <w:rPr>
                <w:color w:val="000000"/>
                <w:sz w:val="24"/>
              </w:rPr>
              <w:t>15</w:t>
            </w:r>
            <w:r>
              <w:rPr>
                <w:color w:val="000000"/>
                <w:sz w:val="24"/>
              </w:rPr>
              <w:t>赣水投</w:t>
            </w:r>
            <w:r>
              <w:rPr>
                <w:color w:val="000000"/>
                <w:sz w:val="24"/>
              </w:rPr>
              <w:t>MTN001</w:t>
            </w:r>
          </w:p>
        </w:tc>
        <w:tc>
          <w:tcPr>
            <w:tcW w:w="1394" w:type="dxa"/>
            <w:vAlign w:val="center"/>
          </w:tcPr>
          <w:p w:rsidR="000C4E5D" w:rsidRDefault="00683E2A">
            <w:pPr>
              <w:jc w:val="right"/>
            </w:pPr>
            <w:r>
              <w:rPr>
                <w:color w:val="000000"/>
                <w:sz w:val="24"/>
              </w:rPr>
              <w:t>600,000</w:t>
            </w:r>
          </w:p>
        </w:tc>
        <w:tc>
          <w:tcPr>
            <w:tcW w:w="1944" w:type="dxa"/>
            <w:vAlign w:val="center"/>
          </w:tcPr>
          <w:p w:rsidR="000C4E5D" w:rsidRDefault="00683E2A">
            <w:pPr>
              <w:jc w:val="right"/>
            </w:pPr>
            <w:r>
              <w:rPr>
                <w:color w:val="000000"/>
                <w:sz w:val="24"/>
              </w:rPr>
              <w:t>61,248,000.00</w:t>
            </w:r>
          </w:p>
        </w:tc>
        <w:tc>
          <w:tcPr>
            <w:tcW w:w="1389" w:type="dxa"/>
            <w:vAlign w:val="center"/>
          </w:tcPr>
          <w:p w:rsidR="000C4E5D" w:rsidRDefault="00683E2A">
            <w:pPr>
              <w:jc w:val="right"/>
            </w:pPr>
            <w:r>
              <w:rPr>
                <w:color w:val="000000"/>
                <w:sz w:val="24"/>
              </w:rPr>
              <w:t>5.65</w:t>
            </w:r>
          </w:p>
        </w:tc>
      </w:tr>
      <w:tr w:rsidR="000C4E5D">
        <w:trPr>
          <w:jc w:val="center"/>
        </w:trPr>
        <w:tc>
          <w:tcPr>
            <w:tcW w:w="1075" w:type="dxa"/>
            <w:vAlign w:val="center"/>
          </w:tcPr>
          <w:p w:rsidR="000C4E5D" w:rsidRDefault="00683E2A">
            <w:pPr>
              <w:jc w:val="center"/>
            </w:pPr>
            <w:r>
              <w:rPr>
                <w:color w:val="000000"/>
                <w:sz w:val="24"/>
              </w:rPr>
              <w:t>5</w:t>
            </w:r>
          </w:p>
        </w:tc>
        <w:tc>
          <w:tcPr>
            <w:tcW w:w="1533" w:type="dxa"/>
            <w:vAlign w:val="center"/>
          </w:tcPr>
          <w:p w:rsidR="000C4E5D" w:rsidRDefault="00683E2A">
            <w:pPr>
              <w:jc w:val="center"/>
            </w:pPr>
            <w:r>
              <w:rPr>
                <w:color w:val="000000"/>
                <w:sz w:val="24"/>
              </w:rPr>
              <w:t>180404</w:t>
            </w:r>
          </w:p>
        </w:tc>
        <w:tc>
          <w:tcPr>
            <w:tcW w:w="1533" w:type="dxa"/>
            <w:vAlign w:val="center"/>
          </w:tcPr>
          <w:p w:rsidR="000C4E5D" w:rsidRDefault="00683E2A">
            <w:pPr>
              <w:jc w:val="center"/>
            </w:pPr>
            <w:r>
              <w:rPr>
                <w:color w:val="000000"/>
                <w:sz w:val="24"/>
              </w:rPr>
              <w:t>18</w:t>
            </w:r>
            <w:r>
              <w:rPr>
                <w:color w:val="000000"/>
                <w:sz w:val="24"/>
              </w:rPr>
              <w:t>农发</w:t>
            </w:r>
            <w:r>
              <w:rPr>
                <w:color w:val="000000"/>
                <w:sz w:val="24"/>
              </w:rPr>
              <w:t>04</w:t>
            </w:r>
          </w:p>
        </w:tc>
        <w:tc>
          <w:tcPr>
            <w:tcW w:w="1394" w:type="dxa"/>
            <w:vAlign w:val="center"/>
          </w:tcPr>
          <w:p w:rsidR="000C4E5D" w:rsidRDefault="00683E2A">
            <w:pPr>
              <w:jc w:val="right"/>
            </w:pPr>
            <w:r>
              <w:rPr>
                <w:color w:val="000000"/>
                <w:sz w:val="24"/>
              </w:rPr>
              <w:t>550,000</w:t>
            </w:r>
          </w:p>
        </w:tc>
        <w:tc>
          <w:tcPr>
            <w:tcW w:w="1944" w:type="dxa"/>
            <w:vAlign w:val="center"/>
          </w:tcPr>
          <w:p w:rsidR="000C4E5D" w:rsidRDefault="00683E2A">
            <w:pPr>
              <w:jc w:val="right"/>
            </w:pPr>
            <w:r>
              <w:rPr>
                <w:color w:val="000000"/>
                <w:sz w:val="24"/>
              </w:rPr>
              <w:t>55,269,500.00</w:t>
            </w:r>
          </w:p>
        </w:tc>
        <w:tc>
          <w:tcPr>
            <w:tcW w:w="1389" w:type="dxa"/>
            <w:vAlign w:val="center"/>
          </w:tcPr>
          <w:p w:rsidR="000C4E5D" w:rsidRDefault="00683E2A">
            <w:pPr>
              <w:jc w:val="right"/>
            </w:pPr>
            <w:r>
              <w:rPr>
                <w:color w:val="000000"/>
                <w:sz w:val="24"/>
              </w:rPr>
              <w:t>5.10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33,036,226.50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56,354.48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33,092,580.98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997,188,831.47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31,829.21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3,937,137.58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4,914,585.76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892,501.73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2,401,894.94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1,000,233,467.32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2,544,520.03</w:t>
            </w:r>
          </w:p>
        </w:tc>
      </w:tr>
    </w:tbl>
    <w:p w:rsidR="000C4E5D" w:rsidRDefault="00683E2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C4E5D">
        <w:tc>
          <w:tcPr>
            <w:tcW w:w="992" w:type="dxa"/>
            <w:vMerge w:val="restart"/>
          </w:tcPr>
          <w:p w:rsidR="000C4E5D" w:rsidRDefault="000C4E5D"/>
          <w:p w:rsidR="000C4E5D" w:rsidRDefault="00683E2A">
            <w:r>
              <w:rPr>
                <w:rFonts w:ascii="宋体" w:hAnsi="宋体" w:hint="eastAsia"/>
                <w:bCs/>
                <w:color w:val="000000"/>
                <w:kern w:val="0"/>
                <w:szCs w:val="21"/>
              </w:rPr>
              <w:t>机构</w:t>
            </w:r>
          </w:p>
        </w:tc>
        <w:tc>
          <w:tcPr>
            <w:tcW w:w="991" w:type="dxa"/>
            <w:vAlign w:val="center"/>
          </w:tcPr>
          <w:p w:rsidR="000C4E5D" w:rsidRDefault="00683E2A">
            <w:pPr>
              <w:jc w:val="center"/>
            </w:pPr>
            <w:r>
              <w:rPr>
                <w:rFonts w:ascii="宋体" w:hAnsi="宋体" w:hint="eastAsia"/>
                <w:color w:val="000000"/>
                <w:kern w:val="0"/>
                <w:szCs w:val="21"/>
              </w:rPr>
              <w:t>1</w:t>
            </w:r>
          </w:p>
        </w:tc>
        <w:tc>
          <w:tcPr>
            <w:tcW w:w="1843" w:type="dxa"/>
            <w:vAlign w:val="center"/>
          </w:tcPr>
          <w:p w:rsidR="000C4E5D" w:rsidRDefault="00683E2A">
            <w:pPr>
              <w:jc w:val="center"/>
            </w:pPr>
            <w:r>
              <w:rPr>
                <w:rFonts w:ascii="宋体" w:hAnsi="宋体" w:hint="eastAsia"/>
                <w:color w:val="000000"/>
                <w:kern w:val="0"/>
                <w:szCs w:val="21"/>
              </w:rPr>
              <w:t>2018/7/1-2018/9/30</w:t>
            </w:r>
          </w:p>
        </w:tc>
        <w:tc>
          <w:tcPr>
            <w:tcW w:w="851" w:type="dxa"/>
            <w:vAlign w:val="center"/>
          </w:tcPr>
          <w:p w:rsidR="000C4E5D" w:rsidRDefault="00683E2A">
            <w:pPr>
              <w:jc w:val="center"/>
            </w:pPr>
            <w:r>
              <w:rPr>
                <w:rFonts w:ascii="宋体" w:hAnsi="宋体" w:hint="eastAsia"/>
                <w:color w:val="000000"/>
                <w:kern w:val="0"/>
                <w:szCs w:val="21"/>
              </w:rPr>
              <w:t>996,820,252.99</w:t>
            </w:r>
          </w:p>
        </w:tc>
        <w:tc>
          <w:tcPr>
            <w:tcW w:w="850" w:type="dxa"/>
            <w:vAlign w:val="center"/>
          </w:tcPr>
          <w:p w:rsidR="000C4E5D" w:rsidRDefault="00683E2A">
            <w:pPr>
              <w:jc w:val="center"/>
            </w:pPr>
            <w:r>
              <w:rPr>
                <w:rFonts w:ascii="宋体" w:hAnsi="宋体" w:hint="eastAsia"/>
                <w:color w:val="000000"/>
                <w:kern w:val="0"/>
                <w:szCs w:val="21"/>
              </w:rPr>
              <w:t>-</w:t>
            </w:r>
          </w:p>
        </w:tc>
        <w:tc>
          <w:tcPr>
            <w:tcW w:w="1134" w:type="dxa"/>
            <w:vAlign w:val="center"/>
          </w:tcPr>
          <w:p w:rsidR="000C4E5D" w:rsidRDefault="00683E2A">
            <w:pPr>
              <w:jc w:val="center"/>
            </w:pPr>
            <w:r>
              <w:rPr>
                <w:rFonts w:ascii="宋体" w:hAnsi="宋体" w:hint="eastAsia"/>
                <w:color w:val="000000"/>
                <w:kern w:val="0"/>
                <w:szCs w:val="21"/>
              </w:rPr>
              <w:t>-</w:t>
            </w:r>
          </w:p>
        </w:tc>
        <w:tc>
          <w:tcPr>
            <w:tcW w:w="1419" w:type="dxa"/>
            <w:vAlign w:val="center"/>
          </w:tcPr>
          <w:p w:rsidR="000C4E5D" w:rsidRDefault="00683E2A">
            <w:pPr>
              <w:jc w:val="center"/>
            </w:pPr>
            <w:r>
              <w:rPr>
                <w:rFonts w:ascii="宋体" w:hAnsi="宋体" w:hint="eastAsia"/>
                <w:color w:val="000000"/>
                <w:kern w:val="0"/>
                <w:szCs w:val="21"/>
              </w:rPr>
              <w:t>996,820,252.99</w:t>
            </w:r>
          </w:p>
        </w:tc>
        <w:tc>
          <w:tcPr>
            <w:tcW w:w="1130" w:type="dxa"/>
            <w:vAlign w:val="center"/>
          </w:tcPr>
          <w:p w:rsidR="000C4E5D" w:rsidRDefault="00683E2A">
            <w:pPr>
              <w:jc w:val="center"/>
            </w:pPr>
            <w:r>
              <w:rPr>
                <w:rFonts w:ascii="宋体" w:hAnsi="宋体" w:hint="eastAsia"/>
                <w:color w:val="000000"/>
                <w:kern w:val="0"/>
                <w:szCs w:val="21"/>
              </w:rPr>
              <w:t>99.41%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0C4E5D" w:rsidRDefault="00683E2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w:t>
      </w:r>
      <w:r>
        <w:rPr>
          <w:rFonts w:eastAsiaTheme="minorEastAsia"/>
          <w:color w:val="000000"/>
          <w:sz w:val="24"/>
        </w:rPr>
        <w:t>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83E2A">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83E2A">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4E5D"/>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3E2A"/>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8A45F915-3623-48F6-90E5-3CB14C3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E08C6-C2DD-42D7-A93F-8870D35E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14</Pages>
  <Words>1144</Words>
  <Characters>6521</Characters>
  <Application>Microsoft Office Word</Application>
  <DocSecurity>0</DocSecurity>
  <Lines>54</Lines>
  <Paragraphs>15</Paragraphs>
  <ScaleCrop>false</ScaleCrop>
  <Company>TRT. Ltd. Co.</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378</cp:revision>
  <cp:lastPrinted>2007-07-19T00:46:00Z</cp:lastPrinted>
  <dcterms:created xsi:type="dcterms:W3CDTF">2014-01-17T06:19:00Z</dcterms:created>
  <dcterms:modified xsi:type="dcterms:W3CDTF">2018-10-17T06:39:00Z</dcterms:modified>
</cp:coreProperties>
</file>