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交银施罗德优选回报灵活配置混合型证券投资基金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二〇一八年十月二十六日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3047DD" w:rsidRDefault="00BC684C">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3047DD" w:rsidRDefault="00BC684C">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25</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3047DD" w:rsidRDefault="00BC684C">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3047DD" w:rsidRDefault="00BC684C">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3047DD" w:rsidRDefault="00BC684C">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交银优选回报灵活配置混合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694,251,414.37</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本基金在控制风险并保持基金资产良好的流动性的前提下，力争为投资者提供长期稳健的投资回报。</w:t>
            </w:r>
            <w:r w:rsidRPr="007F52FA">
              <w:rPr>
                <w:color w:val="000000"/>
                <w:kern w:val="0"/>
                <w:sz w:val="24"/>
              </w:rPr>
              <w:t xml:space="preserve">  </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w:t>
            </w:r>
            <w:r w:rsidRPr="007F52FA">
              <w:rPr>
                <w:color w:val="000000"/>
                <w:kern w:val="0"/>
                <w:sz w:val="24"/>
              </w:rPr>
              <w:lastRenderedPageBreak/>
              <w:t>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交银优选回报灵活配置混合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交银优选回报灵活配置混合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519768</w:t>
            </w:r>
          </w:p>
        </w:tc>
        <w:tc>
          <w:tcPr>
            <w:tcW w:w="3048" w:type="dxa"/>
            <w:vAlign w:val="center"/>
          </w:tcPr>
          <w:p w:rsidR="00C23B30" w:rsidRPr="000E4C40" w:rsidRDefault="00C23B30" w:rsidP="00A52A9E">
            <w:pPr>
              <w:spacing w:before="29" w:line="288" w:lineRule="auto"/>
              <w:jc w:val="left"/>
              <w:rPr>
                <w:sz w:val="24"/>
              </w:rPr>
            </w:pPr>
            <w:r w:rsidRPr="000E4C40">
              <w:rPr>
                <w:sz w:val="24"/>
              </w:rPr>
              <w:t>519769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694,083,418.09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167,996.28</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交银优选回报灵活配置混合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交银优选回报灵活配置混合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3,961,861.38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788.84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10,382,257.78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2,254.75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0.0150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0.0144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739,989,953.60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178,197.09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1.066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1.061</w:t>
            </w:r>
          </w:p>
        </w:tc>
      </w:tr>
    </w:tbl>
    <w:p w:rsidR="003047DD" w:rsidRDefault="00BC684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交银优选回报灵活配置混合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047DD">
        <w:trPr>
          <w:jc w:val="center"/>
        </w:trPr>
        <w:tc>
          <w:tcPr>
            <w:tcW w:w="1266" w:type="dxa"/>
            <w:vAlign w:val="center"/>
          </w:tcPr>
          <w:p w:rsidR="003047DD" w:rsidRDefault="00BC684C">
            <w:pPr>
              <w:jc w:val="left"/>
            </w:pPr>
            <w:r>
              <w:rPr>
                <w:color w:val="000000"/>
                <w:sz w:val="24"/>
              </w:rPr>
              <w:t>过去三个月</w:t>
            </w:r>
          </w:p>
        </w:tc>
        <w:tc>
          <w:tcPr>
            <w:tcW w:w="1267" w:type="dxa"/>
            <w:vAlign w:val="center"/>
          </w:tcPr>
          <w:p w:rsidR="003047DD" w:rsidRDefault="00BC684C">
            <w:pPr>
              <w:jc w:val="center"/>
            </w:pPr>
            <w:r>
              <w:rPr>
                <w:color w:val="000000"/>
                <w:sz w:val="24"/>
              </w:rPr>
              <w:t>1.43%</w:t>
            </w:r>
          </w:p>
        </w:tc>
        <w:tc>
          <w:tcPr>
            <w:tcW w:w="1267" w:type="dxa"/>
            <w:vAlign w:val="center"/>
          </w:tcPr>
          <w:p w:rsidR="003047DD" w:rsidRDefault="00BC684C">
            <w:pPr>
              <w:jc w:val="center"/>
            </w:pPr>
            <w:r>
              <w:rPr>
                <w:color w:val="000000"/>
                <w:sz w:val="24"/>
              </w:rPr>
              <w:t>0.13%</w:t>
            </w:r>
          </w:p>
        </w:tc>
        <w:tc>
          <w:tcPr>
            <w:tcW w:w="1267" w:type="dxa"/>
            <w:vAlign w:val="center"/>
          </w:tcPr>
          <w:p w:rsidR="003047DD" w:rsidRDefault="00BC684C">
            <w:pPr>
              <w:jc w:val="center"/>
            </w:pPr>
            <w:r>
              <w:rPr>
                <w:color w:val="000000"/>
                <w:sz w:val="24"/>
              </w:rPr>
              <w:t>-</w:t>
            </w:r>
            <w:r>
              <w:rPr>
                <w:color w:val="000000"/>
                <w:sz w:val="24"/>
              </w:rPr>
              <w:t>0.60%</w:t>
            </w:r>
          </w:p>
        </w:tc>
        <w:tc>
          <w:tcPr>
            <w:tcW w:w="1267" w:type="dxa"/>
            <w:vAlign w:val="center"/>
          </w:tcPr>
          <w:p w:rsidR="003047DD" w:rsidRDefault="00BC684C">
            <w:pPr>
              <w:jc w:val="center"/>
            </w:pPr>
            <w:r>
              <w:rPr>
                <w:color w:val="000000"/>
                <w:sz w:val="24"/>
              </w:rPr>
              <w:t>0.67%</w:t>
            </w:r>
          </w:p>
        </w:tc>
        <w:tc>
          <w:tcPr>
            <w:tcW w:w="1267" w:type="dxa"/>
            <w:vAlign w:val="center"/>
          </w:tcPr>
          <w:p w:rsidR="003047DD" w:rsidRDefault="00BC684C">
            <w:pPr>
              <w:jc w:val="center"/>
            </w:pPr>
            <w:r>
              <w:rPr>
                <w:color w:val="000000"/>
                <w:sz w:val="24"/>
              </w:rPr>
              <w:t>2.03%</w:t>
            </w:r>
          </w:p>
        </w:tc>
        <w:tc>
          <w:tcPr>
            <w:tcW w:w="1267" w:type="dxa"/>
            <w:vAlign w:val="center"/>
          </w:tcPr>
          <w:p w:rsidR="003047DD" w:rsidRDefault="00BC684C">
            <w:pPr>
              <w:jc w:val="center"/>
            </w:pPr>
            <w:r>
              <w:rPr>
                <w:color w:val="000000"/>
                <w:sz w:val="24"/>
              </w:rPr>
              <w:t>-0.54%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交银优选回报灵活配置混合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w:t>
            </w:r>
            <w:bookmarkStart w:id="0" w:name="_GoBack"/>
            <w:bookmarkEnd w:id="0"/>
            <w:r w:rsidRPr="007F52FA">
              <w:rPr>
                <w:color w:val="000000"/>
                <w:sz w:val="24"/>
              </w:rPr>
              <w:t>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047DD">
        <w:trPr>
          <w:jc w:val="center"/>
        </w:trPr>
        <w:tc>
          <w:tcPr>
            <w:tcW w:w="1266" w:type="dxa"/>
            <w:vAlign w:val="center"/>
          </w:tcPr>
          <w:p w:rsidR="003047DD" w:rsidRDefault="00BC684C">
            <w:pPr>
              <w:jc w:val="left"/>
            </w:pPr>
            <w:r>
              <w:rPr>
                <w:color w:val="000000"/>
                <w:sz w:val="24"/>
              </w:rPr>
              <w:t>过去三个月</w:t>
            </w:r>
          </w:p>
        </w:tc>
        <w:tc>
          <w:tcPr>
            <w:tcW w:w="1267" w:type="dxa"/>
            <w:vAlign w:val="center"/>
          </w:tcPr>
          <w:p w:rsidR="003047DD" w:rsidRDefault="00BC684C">
            <w:pPr>
              <w:jc w:val="center"/>
            </w:pPr>
            <w:r>
              <w:rPr>
                <w:color w:val="000000"/>
                <w:sz w:val="24"/>
              </w:rPr>
              <w:t>1.43%</w:t>
            </w:r>
          </w:p>
        </w:tc>
        <w:tc>
          <w:tcPr>
            <w:tcW w:w="1267" w:type="dxa"/>
            <w:vAlign w:val="center"/>
          </w:tcPr>
          <w:p w:rsidR="003047DD" w:rsidRDefault="00BC684C">
            <w:pPr>
              <w:jc w:val="center"/>
            </w:pPr>
            <w:r>
              <w:rPr>
                <w:color w:val="000000"/>
                <w:sz w:val="24"/>
              </w:rPr>
              <w:t>0.13%</w:t>
            </w:r>
          </w:p>
        </w:tc>
        <w:tc>
          <w:tcPr>
            <w:tcW w:w="1267" w:type="dxa"/>
            <w:vAlign w:val="center"/>
          </w:tcPr>
          <w:p w:rsidR="003047DD" w:rsidRDefault="00BC684C">
            <w:pPr>
              <w:jc w:val="center"/>
            </w:pPr>
            <w:r>
              <w:rPr>
                <w:color w:val="000000"/>
                <w:sz w:val="24"/>
              </w:rPr>
              <w:t>-</w:t>
            </w:r>
            <w:r>
              <w:rPr>
                <w:color w:val="000000"/>
                <w:sz w:val="24"/>
              </w:rPr>
              <w:t>0.60%</w:t>
            </w:r>
          </w:p>
        </w:tc>
        <w:tc>
          <w:tcPr>
            <w:tcW w:w="1267" w:type="dxa"/>
            <w:vAlign w:val="center"/>
          </w:tcPr>
          <w:p w:rsidR="003047DD" w:rsidRDefault="00BC684C">
            <w:pPr>
              <w:jc w:val="center"/>
            </w:pPr>
            <w:r>
              <w:rPr>
                <w:color w:val="000000"/>
                <w:sz w:val="24"/>
              </w:rPr>
              <w:t>0.67%</w:t>
            </w:r>
          </w:p>
        </w:tc>
        <w:tc>
          <w:tcPr>
            <w:tcW w:w="1267" w:type="dxa"/>
            <w:vAlign w:val="center"/>
          </w:tcPr>
          <w:p w:rsidR="003047DD" w:rsidRDefault="00BC684C">
            <w:pPr>
              <w:jc w:val="center"/>
            </w:pPr>
            <w:r>
              <w:rPr>
                <w:color w:val="000000"/>
                <w:sz w:val="24"/>
              </w:rPr>
              <w:t>2.03%</w:t>
            </w:r>
          </w:p>
        </w:tc>
        <w:tc>
          <w:tcPr>
            <w:tcW w:w="1267" w:type="dxa"/>
            <w:vAlign w:val="center"/>
          </w:tcPr>
          <w:p w:rsidR="003047DD" w:rsidRDefault="00BC684C">
            <w:pPr>
              <w:jc w:val="center"/>
            </w:pPr>
            <w:r>
              <w:rPr>
                <w:color w:val="000000"/>
                <w:sz w:val="24"/>
              </w:rPr>
              <w:t>-0.54%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交银施罗德优选回报灵活配置混合型证券投资基金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交银优选回报灵活配置混合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交银优选回报灵活配置混合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3047DD">
        <w:trPr>
          <w:jc w:val="center"/>
        </w:trPr>
        <w:tc>
          <w:tcPr>
            <w:tcW w:w="946" w:type="dxa"/>
            <w:vAlign w:val="center"/>
          </w:tcPr>
          <w:p w:rsidR="003047DD" w:rsidRDefault="00BC684C">
            <w:pPr>
              <w:jc w:val="center"/>
            </w:pPr>
            <w:r>
              <w:rPr>
                <w:color w:val="000000"/>
                <w:sz w:val="24"/>
              </w:rPr>
              <w:t>李娜</w:t>
            </w:r>
          </w:p>
        </w:tc>
        <w:tc>
          <w:tcPr>
            <w:tcW w:w="924" w:type="dxa"/>
            <w:vAlign w:val="center"/>
          </w:tcPr>
          <w:p w:rsidR="003047DD" w:rsidRDefault="00BC684C">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裕祥纯债债券的基金经理</w:t>
            </w:r>
          </w:p>
        </w:tc>
        <w:tc>
          <w:tcPr>
            <w:tcW w:w="1202" w:type="dxa"/>
            <w:vAlign w:val="center"/>
          </w:tcPr>
          <w:p w:rsidR="003047DD" w:rsidRDefault="00BC684C">
            <w:pPr>
              <w:jc w:val="center"/>
            </w:pPr>
            <w:r>
              <w:rPr>
                <w:color w:val="000000"/>
                <w:sz w:val="24"/>
              </w:rPr>
              <w:t>2016-04-22</w:t>
            </w:r>
          </w:p>
        </w:tc>
        <w:tc>
          <w:tcPr>
            <w:tcW w:w="1300" w:type="dxa"/>
            <w:vAlign w:val="center"/>
          </w:tcPr>
          <w:p w:rsidR="003047DD" w:rsidRDefault="00BC684C">
            <w:pPr>
              <w:jc w:val="center"/>
            </w:pPr>
            <w:r>
              <w:rPr>
                <w:color w:val="000000"/>
                <w:sz w:val="24"/>
              </w:rPr>
              <w:t>-</w:t>
            </w:r>
          </w:p>
        </w:tc>
        <w:tc>
          <w:tcPr>
            <w:tcW w:w="1245" w:type="dxa"/>
            <w:vAlign w:val="center"/>
          </w:tcPr>
          <w:p w:rsidR="003047DD" w:rsidRDefault="00BC684C">
            <w:pPr>
              <w:jc w:val="center"/>
            </w:pPr>
            <w:r>
              <w:rPr>
                <w:color w:val="000000"/>
                <w:sz w:val="24"/>
              </w:rPr>
              <w:t>8</w:t>
            </w:r>
            <w:r>
              <w:rPr>
                <w:color w:val="000000"/>
                <w:sz w:val="24"/>
              </w:rPr>
              <w:t>年</w:t>
            </w:r>
          </w:p>
        </w:tc>
        <w:tc>
          <w:tcPr>
            <w:tcW w:w="3251" w:type="dxa"/>
            <w:vAlign w:val="center"/>
          </w:tcPr>
          <w:p w:rsidR="003047DD" w:rsidRDefault="00BC684C">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3047DD" w:rsidRDefault="00BC684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w:t>
      </w:r>
      <w:r>
        <w:rPr>
          <w:color w:val="000000"/>
          <w:sz w:val="24"/>
        </w:rPr>
        <w:t>有资产组合，包括证券投资基金和特定客户资产管理专户均严格遵循制度进行公平交易。</w:t>
      </w:r>
    </w:p>
    <w:p w:rsidR="003047DD" w:rsidRDefault="00BC684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047DD" w:rsidRDefault="00BC684C">
      <w:pPr>
        <w:spacing w:before="29" w:line="288" w:lineRule="auto"/>
        <w:ind w:firstLineChars="200" w:firstLine="480"/>
        <w:rPr>
          <w:color w:val="000000"/>
          <w:sz w:val="24"/>
        </w:rPr>
      </w:pPr>
      <w:r>
        <w:rPr>
          <w:color w:val="000000"/>
          <w:sz w:val="24"/>
        </w:rPr>
        <w:t>公司中央交易室和风险管理部进行日常投资交易</w:t>
      </w:r>
      <w:r>
        <w:rPr>
          <w:color w:val="000000"/>
          <w:sz w:val="24"/>
        </w:rPr>
        <w:t>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3047DD" w:rsidRDefault="00BC684C">
      <w:pPr>
        <w:spacing w:before="29" w:line="288" w:lineRule="auto"/>
        <w:ind w:firstLineChars="200" w:firstLine="480"/>
        <w:rPr>
          <w:color w:val="000000"/>
          <w:sz w:val="24"/>
        </w:rPr>
      </w:pPr>
      <w:r>
        <w:rPr>
          <w:color w:val="000000"/>
          <w:sz w:val="24"/>
        </w:rPr>
        <w:t>本报告期内，国内经济增速呈现稳中放缓态势，通胀预期有所上行，从而压制了固定收益类资产的进一步表现。同时，中美贸易摩擦影响进一步深化，全球风险偏好回落，权益类资产继续回调。国内制造业增速稳中放缓，房地产投资在政策悲观的预期氛围内继续保持增长韧性，但基建投资增速下滑，整体固定资产投资呈现下行。通胀方面，受天气灾害和猪瘟疫情等影响，食品价格攀升，</w:t>
      </w:r>
      <w:r>
        <w:rPr>
          <w:color w:val="000000"/>
          <w:sz w:val="24"/>
        </w:rPr>
        <w:t>CPI</w:t>
      </w:r>
      <w:r>
        <w:rPr>
          <w:color w:val="000000"/>
          <w:sz w:val="24"/>
        </w:rPr>
        <w:t>也再次回到</w:t>
      </w:r>
      <w:r>
        <w:rPr>
          <w:color w:val="000000"/>
          <w:sz w:val="24"/>
        </w:rPr>
        <w:t>2%</w:t>
      </w:r>
      <w:r>
        <w:rPr>
          <w:color w:val="000000"/>
          <w:sz w:val="24"/>
        </w:rPr>
        <w:t>以上</w:t>
      </w:r>
      <w:r>
        <w:rPr>
          <w:color w:val="000000"/>
          <w:sz w:val="24"/>
        </w:rPr>
        <w:t>,</w:t>
      </w:r>
      <w:r>
        <w:rPr>
          <w:color w:val="000000"/>
          <w:sz w:val="24"/>
        </w:rPr>
        <w:t>同时国际原油价格突破新高，叠加人民币贬值预期，输入性通胀预期不断增强，市场陷入</w:t>
      </w:r>
      <w:r>
        <w:rPr>
          <w:color w:val="000000"/>
          <w:sz w:val="24"/>
        </w:rPr>
        <w:t>“</w:t>
      </w:r>
      <w:r>
        <w:rPr>
          <w:color w:val="000000"/>
          <w:sz w:val="24"/>
        </w:rPr>
        <w:t>滞涨</w:t>
      </w:r>
      <w:r>
        <w:rPr>
          <w:color w:val="000000"/>
          <w:sz w:val="24"/>
        </w:rPr>
        <w:t>”</w:t>
      </w:r>
      <w:r>
        <w:rPr>
          <w:color w:val="000000"/>
          <w:sz w:val="24"/>
        </w:rPr>
        <w:t>的担忧之中。货币政策方面，央行在美联储加息和贸易摩擦的背景</w:t>
      </w:r>
      <w:r>
        <w:rPr>
          <w:color w:val="000000"/>
          <w:sz w:val="24"/>
        </w:rPr>
        <w:t>下坚持稳健中性的货币政策，同期债券收益率先下后上，呈现宽幅震荡，其中经济增长预期放缓、通胀预期抬升、中美贸易摩擦导致的风险偏好变化、宽信用政策传导效果等因素成为债券市场收益率变动的主要原因。报告期内，上证综指和创业板指分别下行</w:t>
      </w:r>
      <w:r>
        <w:rPr>
          <w:color w:val="000000"/>
          <w:sz w:val="24"/>
        </w:rPr>
        <w:t>0.92%</w:t>
      </w:r>
      <w:r>
        <w:rPr>
          <w:color w:val="000000"/>
          <w:sz w:val="24"/>
        </w:rPr>
        <w:t>和</w:t>
      </w:r>
      <w:r>
        <w:rPr>
          <w:color w:val="000000"/>
          <w:sz w:val="24"/>
        </w:rPr>
        <w:t>12.16%</w:t>
      </w:r>
      <w:r>
        <w:rPr>
          <w:color w:val="000000"/>
          <w:sz w:val="24"/>
        </w:rPr>
        <w:t>，</w:t>
      </w:r>
      <w:r>
        <w:rPr>
          <w:color w:val="000000"/>
          <w:sz w:val="24"/>
        </w:rPr>
        <w:t>10</w:t>
      </w:r>
      <w:r>
        <w:rPr>
          <w:color w:val="000000"/>
          <w:sz w:val="24"/>
        </w:rPr>
        <w:t>年期国债收益率上行</w:t>
      </w:r>
      <w:r>
        <w:rPr>
          <w:color w:val="000000"/>
          <w:sz w:val="24"/>
        </w:rPr>
        <w:t>13BP</w:t>
      </w:r>
      <w:r>
        <w:rPr>
          <w:color w:val="000000"/>
          <w:sz w:val="24"/>
        </w:rPr>
        <w:t>至</w:t>
      </w:r>
      <w:r>
        <w:rPr>
          <w:color w:val="000000"/>
          <w:sz w:val="24"/>
        </w:rPr>
        <w:t>3.61%</w:t>
      </w:r>
      <w:r>
        <w:rPr>
          <w:color w:val="000000"/>
          <w:sz w:val="24"/>
        </w:rPr>
        <w:t>，</w:t>
      </w:r>
      <w:r>
        <w:rPr>
          <w:color w:val="000000"/>
          <w:sz w:val="24"/>
        </w:rPr>
        <w:t>10</w:t>
      </w:r>
      <w:r>
        <w:rPr>
          <w:color w:val="000000"/>
          <w:sz w:val="24"/>
        </w:rPr>
        <w:t>年期国开债收益率小幅下行</w:t>
      </w:r>
      <w:r>
        <w:rPr>
          <w:color w:val="000000"/>
          <w:sz w:val="24"/>
        </w:rPr>
        <w:t>5BP</w:t>
      </w:r>
      <w:r>
        <w:rPr>
          <w:color w:val="000000"/>
          <w:sz w:val="24"/>
        </w:rPr>
        <w:t>至</w:t>
      </w:r>
      <w:r>
        <w:rPr>
          <w:color w:val="000000"/>
          <w:sz w:val="24"/>
        </w:rPr>
        <w:t>4.20%</w:t>
      </w:r>
      <w:r>
        <w:rPr>
          <w:color w:val="000000"/>
          <w:sz w:val="24"/>
        </w:rPr>
        <w:t>。</w:t>
      </w:r>
    </w:p>
    <w:p w:rsidR="003047DD" w:rsidRDefault="00BC684C">
      <w:pPr>
        <w:spacing w:before="29" w:line="288" w:lineRule="auto"/>
        <w:ind w:firstLineChars="200" w:firstLine="480"/>
        <w:rPr>
          <w:color w:val="000000"/>
          <w:sz w:val="24"/>
        </w:rPr>
      </w:pPr>
      <w:r>
        <w:rPr>
          <w:color w:val="000000"/>
          <w:sz w:val="24"/>
        </w:rPr>
        <w:t>策略层面，本基金重点关注中短久期信用债的配置价值，保持适度久期，同时保持组合流动性。积极关注新股发行动态，进行权益一级市场投资，同时也关注二级市场的投资机会，从各方面</w:t>
      </w:r>
      <w:r>
        <w:rPr>
          <w:color w:val="000000"/>
          <w:sz w:val="24"/>
        </w:rPr>
        <w:t>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年四季度，</w:t>
      </w:r>
      <w:r w:rsidRPr="007F52FA">
        <w:rPr>
          <w:color w:val="000000"/>
          <w:sz w:val="24"/>
        </w:rPr>
        <w:t>“</w:t>
      </w:r>
      <w:r w:rsidRPr="007F52FA">
        <w:rPr>
          <w:color w:val="000000"/>
          <w:sz w:val="24"/>
        </w:rPr>
        <w:t>滞涨</w:t>
      </w:r>
      <w:r w:rsidRPr="007F52FA">
        <w:rPr>
          <w:color w:val="000000"/>
          <w:sz w:val="24"/>
        </w:rPr>
        <w:t>”</w:t>
      </w:r>
      <w:r w:rsidRPr="007F52FA">
        <w:rPr>
          <w:color w:val="000000"/>
          <w:sz w:val="24"/>
        </w:rPr>
        <w:t>格局在三季度末的显现需要保持观察，在货币政策结构性宽松的变化下，长端债券虽然获得了基本面和政策面的支持，但行情的纵深仍需继续重点观察宽信用政策进一步发力的路径、中美基本面背离下的政策相机抉择、国际油价等因素对于通胀预期的进一步影响。此外，我们还将密切关注低评级信用债违约风险的演化及相对应信用利差的变化。股票方面，力争继续保持稳健、审慎投资，积极关注一级市场动态。债券方面，在保持组合流动性的前提下关注交易窗口，把握适度久期，同时特别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60,840,080.85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7.47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60,840,080.85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7.47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735,240,800.00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90.28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735,240,800.00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90.28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1,800,000.00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0.22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4,208,263.96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0.52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12,266,780.64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814,355,925.45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31,103,650.70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4.20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1,702,430.15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2,050,000.00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25,984,000.00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3.51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60,840,080.85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8.22</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3047DD">
        <w:trPr>
          <w:jc w:val="center"/>
        </w:trPr>
        <w:tc>
          <w:tcPr>
            <w:tcW w:w="850" w:type="dxa"/>
            <w:vAlign w:val="center"/>
          </w:tcPr>
          <w:p w:rsidR="003047DD" w:rsidRDefault="00BC684C">
            <w:pPr>
              <w:jc w:val="center"/>
            </w:pPr>
            <w:r>
              <w:rPr>
                <w:color w:val="000000"/>
                <w:sz w:val="24"/>
              </w:rPr>
              <w:t>1</w:t>
            </w:r>
          </w:p>
        </w:tc>
        <w:tc>
          <w:tcPr>
            <w:tcW w:w="1327" w:type="dxa"/>
            <w:vAlign w:val="center"/>
          </w:tcPr>
          <w:p w:rsidR="003047DD" w:rsidRDefault="00BC684C">
            <w:pPr>
              <w:jc w:val="center"/>
            </w:pPr>
            <w:r>
              <w:rPr>
                <w:color w:val="000000"/>
                <w:sz w:val="24"/>
              </w:rPr>
              <w:t>601939</w:t>
            </w:r>
          </w:p>
        </w:tc>
        <w:tc>
          <w:tcPr>
            <w:tcW w:w="1769" w:type="dxa"/>
            <w:vAlign w:val="center"/>
          </w:tcPr>
          <w:p w:rsidR="003047DD" w:rsidRDefault="00BC684C">
            <w:pPr>
              <w:jc w:val="center"/>
            </w:pPr>
            <w:r>
              <w:rPr>
                <w:color w:val="000000"/>
                <w:sz w:val="24"/>
              </w:rPr>
              <w:t>建设银行</w:t>
            </w:r>
          </w:p>
        </w:tc>
        <w:tc>
          <w:tcPr>
            <w:tcW w:w="1327" w:type="dxa"/>
            <w:vAlign w:val="center"/>
          </w:tcPr>
          <w:p w:rsidR="003047DD" w:rsidRDefault="00BC684C">
            <w:pPr>
              <w:jc w:val="right"/>
            </w:pPr>
            <w:r>
              <w:rPr>
                <w:color w:val="000000"/>
                <w:sz w:val="24"/>
              </w:rPr>
              <w:t>1,300,000</w:t>
            </w:r>
          </w:p>
        </w:tc>
        <w:tc>
          <w:tcPr>
            <w:tcW w:w="1915" w:type="dxa"/>
            <w:vAlign w:val="center"/>
          </w:tcPr>
          <w:p w:rsidR="003047DD" w:rsidRDefault="00BC684C">
            <w:pPr>
              <w:jc w:val="right"/>
            </w:pPr>
            <w:r>
              <w:rPr>
                <w:color w:val="000000"/>
                <w:sz w:val="24"/>
              </w:rPr>
              <w:t>9,412,000.00</w:t>
            </w:r>
          </w:p>
        </w:tc>
        <w:tc>
          <w:tcPr>
            <w:tcW w:w="1680" w:type="dxa"/>
            <w:vAlign w:val="center"/>
          </w:tcPr>
          <w:p w:rsidR="003047DD" w:rsidRDefault="00BC684C">
            <w:pPr>
              <w:jc w:val="right"/>
            </w:pPr>
            <w:r>
              <w:rPr>
                <w:color w:val="000000"/>
                <w:sz w:val="24"/>
              </w:rPr>
              <w:t>1.27</w:t>
            </w:r>
          </w:p>
        </w:tc>
      </w:tr>
      <w:tr w:rsidR="003047DD">
        <w:trPr>
          <w:jc w:val="center"/>
        </w:trPr>
        <w:tc>
          <w:tcPr>
            <w:tcW w:w="850" w:type="dxa"/>
            <w:vAlign w:val="center"/>
          </w:tcPr>
          <w:p w:rsidR="003047DD" w:rsidRDefault="00BC684C">
            <w:pPr>
              <w:jc w:val="center"/>
            </w:pPr>
            <w:r>
              <w:rPr>
                <w:color w:val="000000"/>
                <w:sz w:val="24"/>
              </w:rPr>
              <w:t>2</w:t>
            </w:r>
          </w:p>
        </w:tc>
        <w:tc>
          <w:tcPr>
            <w:tcW w:w="1327" w:type="dxa"/>
            <w:vAlign w:val="center"/>
          </w:tcPr>
          <w:p w:rsidR="003047DD" w:rsidRDefault="00BC684C">
            <w:pPr>
              <w:jc w:val="center"/>
            </w:pPr>
            <w:r>
              <w:rPr>
                <w:color w:val="000000"/>
                <w:sz w:val="24"/>
              </w:rPr>
              <w:t>601398</w:t>
            </w:r>
          </w:p>
        </w:tc>
        <w:tc>
          <w:tcPr>
            <w:tcW w:w="1769" w:type="dxa"/>
            <w:vAlign w:val="center"/>
          </w:tcPr>
          <w:p w:rsidR="003047DD" w:rsidRDefault="00BC684C">
            <w:pPr>
              <w:jc w:val="center"/>
            </w:pPr>
            <w:r>
              <w:rPr>
                <w:color w:val="000000"/>
                <w:sz w:val="24"/>
              </w:rPr>
              <w:t>工商银行</w:t>
            </w:r>
          </w:p>
        </w:tc>
        <w:tc>
          <w:tcPr>
            <w:tcW w:w="1327" w:type="dxa"/>
            <w:vAlign w:val="center"/>
          </w:tcPr>
          <w:p w:rsidR="003047DD" w:rsidRDefault="00BC684C">
            <w:pPr>
              <w:jc w:val="right"/>
            </w:pPr>
            <w:r>
              <w:rPr>
                <w:color w:val="000000"/>
                <w:sz w:val="24"/>
              </w:rPr>
              <w:t>1,600,000</w:t>
            </w:r>
          </w:p>
        </w:tc>
        <w:tc>
          <w:tcPr>
            <w:tcW w:w="1915" w:type="dxa"/>
            <w:vAlign w:val="center"/>
          </w:tcPr>
          <w:p w:rsidR="003047DD" w:rsidRDefault="00BC684C">
            <w:pPr>
              <w:jc w:val="right"/>
            </w:pPr>
            <w:r>
              <w:rPr>
                <w:color w:val="000000"/>
                <w:sz w:val="24"/>
              </w:rPr>
              <w:t>9,232,000.00</w:t>
            </w:r>
          </w:p>
        </w:tc>
        <w:tc>
          <w:tcPr>
            <w:tcW w:w="1680" w:type="dxa"/>
            <w:vAlign w:val="center"/>
          </w:tcPr>
          <w:p w:rsidR="003047DD" w:rsidRDefault="00BC684C">
            <w:pPr>
              <w:jc w:val="right"/>
            </w:pPr>
            <w:r>
              <w:rPr>
                <w:color w:val="000000"/>
                <w:sz w:val="24"/>
              </w:rPr>
              <w:t>1.25</w:t>
            </w:r>
          </w:p>
        </w:tc>
      </w:tr>
      <w:tr w:rsidR="003047DD">
        <w:trPr>
          <w:jc w:val="center"/>
        </w:trPr>
        <w:tc>
          <w:tcPr>
            <w:tcW w:w="850" w:type="dxa"/>
            <w:vAlign w:val="center"/>
          </w:tcPr>
          <w:p w:rsidR="003047DD" w:rsidRDefault="00BC684C">
            <w:pPr>
              <w:jc w:val="center"/>
            </w:pPr>
            <w:r>
              <w:rPr>
                <w:color w:val="000000"/>
                <w:sz w:val="24"/>
              </w:rPr>
              <w:t>3</w:t>
            </w:r>
          </w:p>
        </w:tc>
        <w:tc>
          <w:tcPr>
            <w:tcW w:w="1327" w:type="dxa"/>
            <w:vAlign w:val="center"/>
          </w:tcPr>
          <w:p w:rsidR="003047DD" w:rsidRDefault="00BC684C">
            <w:pPr>
              <w:jc w:val="center"/>
            </w:pPr>
            <w:r>
              <w:rPr>
                <w:color w:val="000000"/>
                <w:sz w:val="24"/>
              </w:rPr>
              <w:t>600276</w:t>
            </w:r>
          </w:p>
        </w:tc>
        <w:tc>
          <w:tcPr>
            <w:tcW w:w="1769" w:type="dxa"/>
            <w:vAlign w:val="center"/>
          </w:tcPr>
          <w:p w:rsidR="003047DD" w:rsidRDefault="00BC684C">
            <w:pPr>
              <w:jc w:val="center"/>
            </w:pPr>
            <w:r>
              <w:rPr>
                <w:color w:val="000000"/>
                <w:sz w:val="24"/>
              </w:rPr>
              <w:t>恒瑞医药</w:t>
            </w:r>
          </w:p>
        </w:tc>
        <w:tc>
          <w:tcPr>
            <w:tcW w:w="1327" w:type="dxa"/>
            <w:vAlign w:val="center"/>
          </w:tcPr>
          <w:p w:rsidR="003047DD" w:rsidRDefault="00BC684C">
            <w:pPr>
              <w:jc w:val="right"/>
            </w:pPr>
            <w:r>
              <w:rPr>
                <w:color w:val="000000"/>
                <w:sz w:val="24"/>
              </w:rPr>
              <w:t>103,961</w:t>
            </w:r>
          </w:p>
        </w:tc>
        <w:tc>
          <w:tcPr>
            <w:tcW w:w="1915" w:type="dxa"/>
            <w:vAlign w:val="center"/>
          </w:tcPr>
          <w:p w:rsidR="003047DD" w:rsidRDefault="00BC684C">
            <w:pPr>
              <w:jc w:val="right"/>
            </w:pPr>
            <w:r>
              <w:rPr>
                <w:color w:val="000000"/>
                <w:sz w:val="24"/>
              </w:rPr>
              <w:t>6,601,523.50</w:t>
            </w:r>
          </w:p>
        </w:tc>
        <w:tc>
          <w:tcPr>
            <w:tcW w:w="1680" w:type="dxa"/>
            <w:vAlign w:val="center"/>
          </w:tcPr>
          <w:p w:rsidR="003047DD" w:rsidRDefault="00BC684C">
            <w:pPr>
              <w:jc w:val="right"/>
            </w:pPr>
            <w:r>
              <w:rPr>
                <w:color w:val="000000"/>
                <w:sz w:val="24"/>
              </w:rPr>
              <w:t>0.89</w:t>
            </w:r>
          </w:p>
        </w:tc>
      </w:tr>
      <w:tr w:rsidR="003047DD">
        <w:trPr>
          <w:jc w:val="center"/>
        </w:trPr>
        <w:tc>
          <w:tcPr>
            <w:tcW w:w="850" w:type="dxa"/>
            <w:vAlign w:val="center"/>
          </w:tcPr>
          <w:p w:rsidR="003047DD" w:rsidRDefault="00BC684C">
            <w:pPr>
              <w:jc w:val="center"/>
            </w:pPr>
            <w:r>
              <w:rPr>
                <w:color w:val="000000"/>
                <w:sz w:val="24"/>
              </w:rPr>
              <w:t>4</w:t>
            </w:r>
          </w:p>
        </w:tc>
        <w:tc>
          <w:tcPr>
            <w:tcW w:w="1327" w:type="dxa"/>
            <w:vAlign w:val="center"/>
          </w:tcPr>
          <w:p w:rsidR="003047DD" w:rsidRDefault="00BC684C">
            <w:pPr>
              <w:jc w:val="center"/>
            </w:pPr>
            <w:r>
              <w:rPr>
                <w:color w:val="000000"/>
                <w:sz w:val="24"/>
              </w:rPr>
              <w:t>600887</w:t>
            </w:r>
          </w:p>
        </w:tc>
        <w:tc>
          <w:tcPr>
            <w:tcW w:w="1769" w:type="dxa"/>
            <w:vAlign w:val="center"/>
          </w:tcPr>
          <w:p w:rsidR="003047DD" w:rsidRDefault="00BC684C">
            <w:pPr>
              <w:jc w:val="center"/>
            </w:pPr>
            <w:r>
              <w:rPr>
                <w:color w:val="000000"/>
                <w:sz w:val="24"/>
              </w:rPr>
              <w:t>伊利股份</w:t>
            </w:r>
          </w:p>
        </w:tc>
        <w:tc>
          <w:tcPr>
            <w:tcW w:w="1327" w:type="dxa"/>
            <w:vAlign w:val="center"/>
          </w:tcPr>
          <w:p w:rsidR="003047DD" w:rsidRDefault="00BC684C">
            <w:pPr>
              <w:jc w:val="right"/>
            </w:pPr>
            <w:r>
              <w:rPr>
                <w:color w:val="000000"/>
                <w:sz w:val="24"/>
              </w:rPr>
              <w:t>250,000</w:t>
            </w:r>
          </w:p>
        </w:tc>
        <w:tc>
          <w:tcPr>
            <w:tcW w:w="1915" w:type="dxa"/>
            <w:vAlign w:val="center"/>
          </w:tcPr>
          <w:p w:rsidR="003047DD" w:rsidRDefault="00BC684C">
            <w:pPr>
              <w:jc w:val="right"/>
            </w:pPr>
            <w:r>
              <w:rPr>
                <w:color w:val="000000"/>
                <w:sz w:val="24"/>
              </w:rPr>
              <w:t>6,420,000.00</w:t>
            </w:r>
          </w:p>
        </w:tc>
        <w:tc>
          <w:tcPr>
            <w:tcW w:w="1680" w:type="dxa"/>
            <w:vAlign w:val="center"/>
          </w:tcPr>
          <w:p w:rsidR="003047DD" w:rsidRDefault="00BC684C">
            <w:pPr>
              <w:jc w:val="right"/>
            </w:pPr>
            <w:r>
              <w:rPr>
                <w:color w:val="000000"/>
                <w:sz w:val="24"/>
              </w:rPr>
              <w:t>0.87</w:t>
            </w:r>
          </w:p>
        </w:tc>
      </w:tr>
      <w:tr w:rsidR="003047DD">
        <w:trPr>
          <w:jc w:val="center"/>
        </w:trPr>
        <w:tc>
          <w:tcPr>
            <w:tcW w:w="850" w:type="dxa"/>
            <w:vAlign w:val="center"/>
          </w:tcPr>
          <w:p w:rsidR="003047DD" w:rsidRDefault="00BC684C">
            <w:pPr>
              <w:jc w:val="center"/>
            </w:pPr>
            <w:r>
              <w:rPr>
                <w:color w:val="000000"/>
                <w:sz w:val="24"/>
              </w:rPr>
              <w:t>5</w:t>
            </w:r>
          </w:p>
        </w:tc>
        <w:tc>
          <w:tcPr>
            <w:tcW w:w="1327" w:type="dxa"/>
            <w:vAlign w:val="center"/>
          </w:tcPr>
          <w:p w:rsidR="003047DD" w:rsidRDefault="00BC684C">
            <w:pPr>
              <w:jc w:val="center"/>
            </w:pPr>
            <w:r>
              <w:rPr>
                <w:color w:val="000000"/>
                <w:sz w:val="24"/>
              </w:rPr>
              <w:t>600519</w:t>
            </w:r>
          </w:p>
        </w:tc>
        <w:tc>
          <w:tcPr>
            <w:tcW w:w="1769" w:type="dxa"/>
            <w:vAlign w:val="center"/>
          </w:tcPr>
          <w:p w:rsidR="003047DD" w:rsidRDefault="00BC684C">
            <w:pPr>
              <w:jc w:val="center"/>
            </w:pPr>
            <w:r>
              <w:rPr>
                <w:color w:val="000000"/>
                <w:sz w:val="24"/>
              </w:rPr>
              <w:t>贵州茅台</w:t>
            </w:r>
          </w:p>
        </w:tc>
        <w:tc>
          <w:tcPr>
            <w:tcW w:w="1327" w:type="dxa"/>
            <w:vAlign w:val="center"/>
          </w:tcPr>
          <w:p w:rsidR="003047DD" w:rsidRDefault="00BC684C">
            <w:pPr>
              <w:jc w:val="right"/>
            </w:pPr>
            <w:r>
              <w:rPr>
                <w:color w:val="000000"/>
                <w:sz w:val="24"/>
              </w:rPr>
              <w:t>8,000</w:t>
            </w:r>
          </w:p>
        </w:tc>
        <w:tc>
          <w:tcPr>
            <w:tcW w:w="1915" w:type="dxa"/>
            <w:vAlign w:val="center"/>
          </w:tcPr>
          <w:p w:rsidR="003047DD" w:rsidRDefault="00BC684C">
            <w:pPr>
              <w:jc w:val="right"/>
            </w:pPr>
            <w:r>
              <w:rPr>
                <w:color w:val="000000"/>
                <w:sz w:val="24"/>
              </w:rPr>
              <w:t>5,840,000.00</w:t>
            </w:r>
          </w:p>
        </w:tc>
        <w:tc>
          <w:tcPr>
            <w:tcW w:w="1680" w:type="dxa"/>
            <w:vAlign w:val="center"/>
          </w:tcPr>
          <w:p w:rsidR="003047DD" w:rsidRDefault="00BC684C">
            <w:pPr>
              <w:jc w:val="right"/>
            </w:pPr>
            <w:r>
              <w:rPr>
                <w:color w:val="000000"/>
                <w:sz w:val="24"/>
              </w:rPr>
              <w:t>0.79</w:t>
            </w:r>
          </w:p>
        </w:tc>
      </w:tr>
      <w:tr w:rsidR="003047DD">
        <w:trPr>
          <w:jc w:val="center"/>
        </w:trPr>
        <w:tc>
          <w:tcPr>
            <w:tcW w:w="850" w:type="dxa"/>
            <w:vAlign w:val="center"/>
          </w:tcPr>
          <w:p w:rsidR="003047DD" w:rsidRDefault="00BC684C">
            <w:pPr>
              <w:jc w:val="center"/>
            </w:pPr>
            <w:r>
              <w:rPr>
                <w:color w:val="000000"/>
                <w:sz w:val="24"/>
              </w:rPr>
              <w:t>6</w:t>
            </w:r>
          </w:p>
        </w:tc>
        <w:tc>
          <w:tcPr>
            <w:tcW w:w="1327" w:type="dxa"/>
            <w:vAlign w:val="center"/>
          </w:tcPr>
          <w:p w:rsidR="003047DD" w:rsidRDefault="00BC684C">
            <w:pPr>
              <w:jc w:val="center"/>
            </w:pPr>
            <w:r>
              <w:rPr>
                <w:color w:val="000000"/>
                <w:sz w:val="24"/>
              </w:rPr>
              <w:t>601318</w:t>
            </w:r>
          </w:p>
        </w:tc>
        <w:tc>
          <w:tcPr>
            <w:tcW w:w="1769" w:type="dxa"/>
            <w:vAlign w:val="center"/>
          </w:tcPr>
          <w:p w:rsidR="003047DD" w:rsidRDefault="00BC684C">
            <w:pPr>
              <w:jc w:val="center"/>
            </w:pPr>
            <w:r>
              <w:rPr>
                <w:color w:val="000000"/>
                <w:sz w:val="24"/>
              </w:rPr>
              <w:t>中国平安</w:t>
            </w:r>
          </w:p>
        </w:tc>
        <w:tc>
          <w:tcPr>
            <w:tcW w:w="1327" w:type="dxa"/>
            <w:vAlign w:val="center"/>
          </w:tcPr>
          <w:p w:rsidR="003047DD" w:rsidRDefault="00BC684C">
            <w:pPr>
              <w:jc w:val="right"/>
            </w:pPr>
            <w:r>
              <w:rPr>
                <w:color w:val="000000"/>
                <w:sz w:val="24"/>
              </w:rPr>
              <w:t>80,000</w:t>
            </w:r>
          </w:p>
        </w:tc>
        <w:tc>
          <w:tcPr>
            <w:tcW w:w="1915" w:type="dxa"/>
            <w:vAlign w:val="center"/>
          </w:tcPr>
          <w:p w:rsidR="003047DD" w:rsidRDefault="00BC684C">
            <w:pPr>
              <w:jc w:val="right"/>
            </w:pPr>
            <w:r>
              <w:rPr>
                <w:color w:val="000000"/>
                <w:sz w:val="24"/>
              </w:rPr>
              <w:t>5,480,000.00</w:t>
            </w:r>
          </w:p>
        </w:tc>
        <w:tc>
          <w:tcPr>
            <w:tcW w:w="1680" w:type="dxa"/>
            <w:vAlign w:val="center"/>
          </w:tcPr>
          <w:p w:rsidR="003047DD" w:rsidRDefault="00BC684C">
            <w:pPr>
              <w:jc w:val="right"/>
            </w:pPr>
            <w:r>
              <w:rPr>
                <w:color w:val="000000"/>
                <w:sz w:val="24"/>
              </w:rPr>
              <w:t>0.74</w:t>
            </w:r>
          </w:p>
        </w:tc>
      </w:tr>
      <w:tr w:rsidR="003047DD">
        <w:trPr>
          <w:jc w:val="center"/>
        </w:trPr>
        <w:tc>
          <w:tcPr>
            <w:tcW w:w="850" w:type="dxa"/>
            <w:vAlign w:val="center"/>
          </w:tcPr>
          <w:p w:rsidR="003047DD" w:rsidRDefault="00BC684C">
            <w:pPr>
              <w:jc w:val="center"/>
            </w:pPr>
            <w:r>
              <w:rPr>
                <w:color w:val="000000"/>
                <w:sz w:val="24"/>
              </w:rPr>
              <w:t>7</w:t>
            </w:r>
          </w:p>
        </w:tc>
        <w:tc>
          <w:tcPr>
            <w:tcW w:w="1327" w:type="dxa"/>
            <w:vAlign w:val="center"/>
          </w:tcPr>
          <w:p w:rsidR="003047DD" w:rsidRDefault="00BC684C">
            <w:pPr>
              <w:jc w:val="center"/>
            </w:pPr>
            <w:r>
              <w:rPr>
                <w:color w:val="000000"/>
                <w:sz w:val="24"/>
              </w:rPr>
              <w:t>600056</w:t>
            </w:r>
          </w:p>
        </w:tc>
        <w:tc>
          <w:tcPr>
            <w:tcW w:w="1769" w:type="dxa"/>
            <w:vAlign w:val="center"/>
          </w:tcPr>
          <w:p w:rsidR="003047DD" w:rsidRDefault="00BC684C">
            <w:pPr>
              <w:jc w:val="center"/>
            </w:pPr>
            <w:r>
              <w:rPr>
                <w:color w:val="000000"/>
                <w:sz w:val="24"/>
              </w:rPr>
              <w:t>中国医药</w:t>
            </w:r>
          </w:p>
        </w:tc>
        <w:tc>
          <w:tcPr>
            <w:tcW w:w="1327" w:type="dxa"/>
            <w:vAlign w:val="center"/>
          </w:tcPr>
          <w:p w:rsidR="003047DD" w:rsidRDefault="00BC684C">
            <w:pPr>
              <w:jc w:val="right"/>
            </w:pPr>
            <w:r>
              <w:rPr>
                <w:color w:val="000000"/>
                <w:sz w:val="24"/>
              </w:rPr>
              <w:t>250,000</w:t>
            </w:r>
          </w:p>
        </w:tc>
        <w:tc>
          <w:tcPr>
            <w:tcW w:w="1915" w:type="dxa"/>
            <w:vAlign w:val="center"/>
          </w:tcPr>
          <w:p w:rsidR="003047DD" w:rsidRDefault="00BC684C">
            <w:pPr>
              <w:jc w:val="right"/>
            </w:pPr>
            <w:r>
              <w:rPr>
                <w:color w:val="000000"/>
                <w:sz w:val="24"/>
              </w:rPr>
              <w:t>4,205,000.00</w:t>
            </w:r>
          </w:p>
        </w:tc>
        <w:tc>
          <w:tcPr>
            <w:tcW w:w="1680" w:type="dxa"/>
            <w:vAlign w:val="center"/>
          </w:tcPr>
          <w:p w:rsidR="003047DD" w:rsidRDefault="00BC684C">
            <w:pPr>
              <w:jc w:val="right"/>
            </w:pPr>
            <w:r>
              <w:rPr>
                <w:color w:val="000000"/>
                <w:sz w:val="24"/>
              </w:rPr>
              <w:t>0.57</w:t>
            </w:r>
          </w:p>
        </w:tc>
      </w:tr>
      <w:tr w:rsidR="003047DD">
        <w:trPr>
          <w:jc w:val="center"/>
        </w:trPr>
        <w:tc>
          <w:tcPr>
            <w:tcW w:w="850" w:type="dxa"/>
            <w:vAlign w:val="center"/>
          </w:tcPr>
          <w:p w:rsidR="003047DD" w:rsidRDefault="00BC684C">
            <w:pPr>
              <w:jc w:val="center"/>
            </w:pPr>
            <w:r>
              <w:rPr>
                <w:color w:val="000000"/>
                <w:sz w:val="24"/>
              </w:rPr>
              <w:t>8</w:t>
            </w:r>
          </w:p>
        </w:tc>
        <w:tc>
          <w:tcPr>
            <w:tcW w:w="1327" w:type="dxa"/>
            <w:vAlign w:val="center"/>
          </w:tcPr>
          <w:p w:rsidR="003047DD" w:rsidRDefault="00BC684C">
            <w:pPr>
              <w:jc w:val="center"/>
            </w:pPr>
            <w:r>
              <w:rPr>
                <w:color w:val="000000"/>
                <w:sz w:val="24"/>
              </w:rPr>
              <w:t>600329</w:t>
            </w:r>
          </w:p>
        </w:tc>
        <w:tc>
          <w:tcPr>
            <w:tcW w:w="1769" w:type="dxa"/>
            <w:vAlign w:val="center"/>
          </w:tcPr>
          <w:p w:rsidR="003047DD" w:rsidRDefault="00BC684C">
            <w:pPr>
              <w:jc w:val="center"/>
            </w:pPr>
            <w:r>
              <w:rPr>
                <w:color w:val="000000"/>
                <w:sz w:val="24"/>
              </w:rPr>
              <w:t>中新药业</w:t>
            </w:r>
          </w:p>
        </w:tc>
        <w:tc>
          <w:tcPr>
            <w:tcW w:w="1327" w:type="dxa"/>
            <w:vAlign w:val="center"/>
          </w:tcPr>
          <w:p w:rsidR="003047DD" w:rsidRDefault="00BC684C">
            <w:pPr>
              <w:jc w:val="right"/>
            </w:pPr>
            <w:r>
              <w:rPr>
                <w:color w:val="000000"/>
                <w:sz w:val="24"/>
              </w:rPr>
              <w:t>150,000</w:t>
            </w:r>
          </w:p>
        </w:tc>
        <w:tc>
          <w:tcPr>
            <w:tcW w:w="1915" w:type="dxa"/>
            <w:vAlign w:val="center"/>
          </w:tcPr>
          <w:p w:rsidR="003047DD" w:rsidRDefault="00BC684C">
            <w:pPr>
              <w:jc w:val="right"/>
            </w:pPr>
            <w:r>
              <w:rPr>
                <w:color w:val="000000"/>
                <w:sz w:val="24"/>
              </w:rPr>
              <w:t>2,295,000.00</w:t>
            </w:r>
          </w:p>
        </w:tc>
        <w:tc>
          <w:tcPr>
            <w:tcW w:w="1680" w:type="dxa"/>
            <w:vAlign w:val="center"/>
          </w:tcPr>
          <w:p w:rsidR="003047DD" w:rsidRDefault="00BC684C">
            <w:pPr>
              <w:jc w:val="right"/>
            </w:pPr>
            <w:r>
              <w:rPr>
                <w:color w:val="000000"/>
                <w:sz w:val="24"/>
              </w:rPr>
              <w:t>0.31</w:t>
            </w:r>
          </w:p>
        </w:tc>
      </w:tr>
      <w:tr w:rsidR="003047DD">
        <w:trPr>
          <w:jc w:val="center"/>
        </w:trPr>
        <w:tc>
          <w:tcPr>
            <w:tcW w:w="850" w:type="dxa"/>
            <w:vAlign w:val="center"/>
          </w:tcPr>
          <w:p w:rsidR="003047DD" w:rsidRDefault="00BC684C">
            <w:pPr>
              <w:jc w:val="center"/>
            </w:pPr>
            <w:r>
              <w:rPr>
                <w:color w:val="000000"/>
                <w:sz w:val="24"/>
              </w:rPr>
              <w:t>9</w:t>
            </w:r>
          </w:p>
        </w:tc>
        <w:tc>
          <w:tcPr>
            <w:tcW w:w="1327" w:type="dxa"/>
            <w:vAlign w:val="center"/>
          </w:tcPr>
          <w:p w:rsidR="003047DD" w:rsidRDefault="00BC684C">
            <w:pPr>
              <w:jc w:val="center"/>
            </w:pPr>
            <w:r>
              <w:rPr>
                <w:color w:val="000000"/>
                <w:sz w:val="24"/>
              </w:rPr>
              <w:t>601607</w:t>
            </w:r>
          </w:p>
        </w:tc>
        <w:tc>
          <w:tcPr>
            <w:tcW w:w="1769" w:type="dxa"/>
            <w:vAlign w:val="center"/>
          </w:tcPr>
          <w:p w:rsidR="003047DD" w:rsidRDefault="00BC684C">
            <w:pPr>
              <w:jc w:val="center"/>
            </w:pPr>
            <w:r>
              <w:rPr>
                <w:color w:val="000000"/>
                <w:sz w:val="24"/>
              </w:rPr>
              <w:t>上海医药</w:t>
            </w:r>
          </w:p>
        </w:tc>
        <w:tc>
          <w:tcPr>
            <w:tcW w:w="1327" w:type="dxa"/>
            <w:vAlign w:val="center"/>
          </w:tcPr>
          <w:p w:rsidR="003047DD" w:rsidRDefault="00BC684C">
            <w:pPr>
              <w:jc w:val="right"/>
            </w:pPr>
            <w:r>
              <w:rPr>
                <w:color w:val="000000"/>
                <w:sz w:val="24"/>
              </w:rPr>
              <w:t>100,000</w:t>
            </w:r>
          </w:p>
        </w:tc>
        <w:tc>
          <w:tcPr>
            <w:tcW w:w="1915" w:type="dxa"/>
            <w:vAlign w:val="center"/>
          </w:tcPr>
          <w:p w:rsidR="003047DD" w:rsidRDefault="00BC684C">
            <w:pPr>
              <w:jc w:val="right"/>
            </w:pPr>
            <w:r>
              <w:rPr>
                <w:color w:val="000000"/>
                <w:sz w:val="24"/>
              </w:rPr>
              <w:t>2,050,000.00</w:t>
            </w:r>
          </w:p>
        </w:tc>
        <w:tc>
          <w:tcPr>
            <w:tcW w:w="1680" w:type="dxa"/>
            <w:vAlign w:val="center"/>
          </w:tcPr>
          <w:p w:rsidR="003047DD" w:rsidRDefault="00BC684C">
            <w:pPr>
              <w:jc w:val="right"/>
            </w:pPr>
            <w:r>
              <w:rPr>
                <w:color w:val="000000"/>
                <w:sz w:val="24"/>
              </w:rPr>
              <w:t>0.28</w:t>
            </w:r>
          </w:p>
        </w:tc>
      </w:tr>
      <w:tr w:rsidR="003047DD">
        <w:trPr>
          <w:jc w:val="center"/>
        </w:trPr>
        <w:tc>
          <w:tcPr>
            <w:tcW w:w="850" w:type="dxa"/>
            <w:vAlign w:val="center"/>
          </w:tcPr>
          <w:p w:rsidR="003047DD" w:rsidRDefault="00BC684C">
            <w:pPr>
              <w:jc w:val="center"/>
            </w:pPr>
            <w:r>
              <w:rPr>
                <w:color w:val="000000"/>
                <w:sz w:val="24"/>
              </w:rPr>
              <w:t>10</w:t>
            </w:r>
          </w:p>
        </w:tc>
        <w:tc>
          <w:tcPr>
            <w:tcW w:w="1327" w:type="dxa"/>
            <w:vAlign w:val="center"/>
          </w:tcPr>
          <w:p w:rsidR="003047DD" w:rsidRDefault="00BC684C">
            <w:pPr>
              <w:jc w:val="center"/>
            </w:pPr>
            <w:r>
              <w:rPr>
                <w:color w:val="000000"/>
                <w:sz w:val="24"/>
              </w:rPr>
              <w:t>601988</w:t>
            </w:r>
          </w:p>
        </w:tc>
        <w:tc>
          <w:tcPr>
            <w:tcW w:w="1769" w:type="dxa"/>
            <w:vAlign w:val="center"/>
          </w:tcPr>
          <w:p w:rsidR="003047DD" w:rsidRDefault="00BC684C">
            <w:pPr>
              <w:jc w:val="center"/>
            </w:pPr>
            <w:r>
              <w:rPr>
                <w:color w:val="000000"/>
                <w:sz w:val="24"/>
              </w:rPr>
              <w:t>中国银行</w:t>
            </w:r>
          </w:p>
        </w:tc>
        <w:tc>
          <w:tcPr>
            <w:tcW w:w="1327" w:type="dxa"/>
            <w:vAlign w:val="center"/>
          </w:tcPr>
          <w:p w:rsidR="003047DD" w:rsidRDefault="00BC684C">
            <w:pPr>
              <w:jc w:val="right"/>
            </w:pPr>
            <w:r>
              <w:rPr>
                <w:color w:val="000000"/>
                <w:sz w:val="24"/>
              </w:rPr>
              <w:t>500,000</w:t>
            </w:r>
          </w:p>
        </w:tc>
        <w:tc>
          <w:tcPr>
            <w:tcW w:w="1915" w:type="dxa"/>
            <w:vAlign w:val="center"/>
          </w:tcPr>
          <w:p w:rsidR="003047DD" w:rsidRDefault="00BC684C">
            <w:pPr>
              <w:jc w:val="right"/>
            </w:pPr>
            <w:r>
              <w:rPr>
                <w:color w:val="000000"/>
                <w:sz w:val="24"/>
              </w:rPr>
              <w:t>1,860,000.00</w:t>
            </w:r>
          </w:p>
        </w:tc>
        <w:tc>
          <w:tcPr>
            <w:tcW w:w="1680" w:type="dxa"/>
            <w:vAlign w:val="center"/>
          </w:tcPr>
          <w:p w:rsidR="003047DD" w:rsidRDefault="00BC684C">
            <w:pPr>
              <w:jc w:val="right"/>
            </w:pPr>
            <w:r>
              <w:rPr>
                <w:color w:val="000000"/>
                <w:sz w:val="24"/>
              </w:rPr>
              <w:t>0.25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189,517,000.00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25.60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189,517,000.00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25.60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191,756,800.00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25.91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19,968,000.00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2.70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333,999,000.00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45.12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735,240,800.00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99.33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3047DD">
        <w:trPr>
          <w:jc w:val="center"/>
        </w:trPr>
        <w:tc>
          <w:tcPr>
            <w:tcW w:w="1075" w:type="dxa"/>
            <w:vAlign w:val="center"/>
          </w:tcPr>
          <w:p w:rsidR="003047DD" w:rsidRDefault="00BC684C">
            <w:pPr>
              <w:jc w:val="center"/>
            </w:pPr>
            <w:r>
              <w:rPr>
                <w:color w:val="000000"/>
                <w:sz w:val="24"/>
              </w:rPr>
              <w:t>1</w:t>
            </w:r>
          </w:p>
        </w:tc>
        <w:tc>
          <w:tcPr>
            <w:tcW w:w="1533" w:type="dxa"/>
            <w:vAlign w:val="center"/>
          </w:tcPr>
          <w:p w:rsidR="003047DD" w:rsidRDefault="00BC684C">
            <w:pPr>
              <w:jc w:val="center"/>
            </w:pPr>
            <w:r>
              <w:rPr>
                <w:color w:val="000000"/>
                <w:sz w:val="24"/>
              </w:rPr>
              <w:t>180210</w:t>
            </w:r>
          </w:p>
        </w:tc>
        <w:tc>
          <w:tcPr>
            <w:tcW w:w="1533" w:type="dxa"/>
            <w:vAlign w:val="center"/>
          </w:tcPr>
          <w:p w:rsidR="003047DD" w:rsidRDefault="00BC684C">
            <w:pPr>
              <w:jc w:val="center"/>
            </w:pPr>
            <w:r>
              <w:rPr>
                <w:color w:val="000000"/>
                <w:sz w:val="24"/>
              </w:rPr>
              <w:t>18</w:t>
            </w:r>
            <w:r>
              <w:rPr>
                <w:color w:val="000000"/>
                <w:sz w:val="24"/>
              </w:rPr>
              <w:t>国开</w:t>
            </w:r>
            <w:r>
              <w:rPr>
                <w:color w:val="000000"/>
                <w:sz w:val="24"/>
              </w:rPr>
              <w:t>10</w:t>
            </w:r>
          </w:p>
        </w:tc>
        <w:tc>
          <w:tcPr>
            <w:tcW w:w="1394" w:type="dxa"/>
            <w:vAlign w:val="center"/>
          </w:tcPr>
          <w:p w:rsidR="003047DD" w:rsidRDefault="00BC684C">
            <w:pPr>
              <w:jc w:val="right"/>
            </w:pPr>
            <w:r>
              <w:rPr>
                <w:color w:val="000000"/>
                <w:sz w:val="24"/>
              </w:rPr>
              <w:t>700,000</w:t>
            </w:r>
          </w:p>
        </w:tc>
        <w:tc>
          <w:tcPr>
            <w:tcW w:w="1944" w:type="dxa"/>
            <w:vAlign w:val="center"/>
          </w:tcPr>
          <w:p w:rsidR="003047DD" w:rsidRDefault="00BC684C">
            <w:pPr>
              <w:jc w:val="right"/>
            </w:pPr>
            <w:r>
              <w:rPr>
                <w:color w:val="000000"/>
                <w:sz w:val="24"/>
              </w:rPr>
              <w:t>69,111,000.00</w:t>
            </w:r>
          </w:p>
        </w:tc>
        <w:tc>
          <w:tcPr>
            <w:tcW w:w="1389" w:type="dxa"/>
            <w:vAlign w:val="center"/>
          </w:tcPr>
          <w:p w:rsidR="003047DD" w:rsidRDefault="00BC684C">
            <w:pPr>
              <w:jc w:val="right"/>
            </w:pPr>
            <w:r>
              <w:rPr>
                <w:color w:val="000000"/>
                <w:sz w:val="24"/>
              </w:rPr>
              <w:t>9.34</w:t>
            </w:r>
          </w:p>
        </w:tc>
      </w:tr>
      <w:tr w:rsidR="003047DD">
        <w:trPr>
          <w:jc w:val="center"/>
        </w:trPr>
        <w:tc>
          <w:tcPr>
            <w:tcW w:w="1075" w:type="dxa"/>
            <w:vAlign w:val="center"/>
          </w:tcPr>
          <w:p w:rsidR="003047DD" w:rsidRDefault="00BC684C">
            <w:pPr>
              <w:jc w:val="center"/>
            </w:pPr>
            <w:r>
              <w:rPr>
                <w:color w:val="000000"/>
                <w:sz w:val="24"/>
              </w:rPr>
              <w:t>2</w:t>
            </w:r>
          </w:p>
        </w:tc>
        <w:tc>
          <w:tcPr>
            <w:tcW w:w="1533" w:type="dxa"/>
            <w:vAlign w:val="center"/>
          </w:tcPr>
          <w:p w:rsidR="003047DD" w:rsidRDefault="00BC684C">
            <w:pPr>
              <w:jc w:val="center"/>
            </w:pPr>
            <w:r>
              <w:rPr>
                <w:color w:val="000000"/>
                <w:sz w:val="24"/>
              </w:rPr>
              <w:t>180208</w:t>
            </w:r>
          </w:p>
        </w:tc>
        <w:tc>
          <w:tcPr>
            <w:tcW w:w="1533" w:type="dxa"/>
            <w:vAlign w:val="center"/>
          </w:tcPr>
          <w:p w:rsidR="003047DD" w:rsidRDefault="00BC684C">
            <w:pPr>
              <w:jc w:val="center"/>
            </w:pPr>
            <w:r>
              <w:rPr>
                <w:color w:val="000000"/>
                <w:sz w:val="24"/>
              </w:rPr>
              <w:t>18</w:t>
            </w:r>
            <w:r>
              <w:rPr>
                <w:color w:val="000000"/>
                <w:sz w:val="24"/>
              </w:rPr>
              <w:t>国开</w:t>
            </w:r>
            <w:r>
              <w:rPr>
                <w:color w:val="000000"/>
                <w:sz w:val="24"/>
              </w:rPr>
              <w:t>08</w:t>
            </w:r>
          </w:p>
        </w:tc>
        <w:tc>
          <w:tcPr>
            <w:tcW w:w="1394" w:type="dxa"/>
            <w:vAlign w:val="center"/>
          </w:tcPr>
          <w:p w:rsidR="003047DD" w:rsidRDefault="00BC684C">
            <w:pPr>
              <w:jc w:val="right"/>
            </w:pPr>
            <w:r>
              <w:rPr>
                <w:color w:val="000000"/>
                <w:sz w:val="24"/>
              </w:rPr>
              <w:t>600,000</w:t>
            </w:r>
          </w:p>
        </w:tc>
        <w:tc>
          <w:tcPr>
            <w:tcW w:w="1944" w:type="dxa"/>
            <w:vAlign w:val="center"/>
          </w:tcPr>
          <w:p w:rsidR="003047DD" w:rsidRDefault="00BC684C">
            <w:pPr>
              <w:jc w:val="right"/>
            </w:pPr>
            <w:r>
              <w:rPr>
                <w:color w:val="000000"/>
                <w:sz w:val="24"/>
              </w:rPr>
              <w:t>60,618,000.00</w:t>
            </w:r>
          </w:p>
        </w:tc>
        <w:tc>
          <w:tcPr>
            <w:tcW w:w="1389" w:type="dxa"/>
            <w:vAlign w:val="center"/>
          </w:tcPr>
          <w:p w:rsidR="003047DD" w:rsidRDefault="00BC684C">
            <w:pPr>
              <w:jc w:val="right"/>
            </w:pPr>
            <w:r>
              <w:rPr>
                <w:color w:val="000000"/>
                <w:sz w:val="24"/>
              </w:rPr>
              <w:t>8.19</w:t>
            </w:r>
          </w:p>
        </w:tc>
      </w:tr>
      <w:tr w:rsidR="003047DD">
        <w:trPr>
          <w:jc w:val="center"/>
        </w:trPr>
        <w:tc>
          <w:tcPr>
            <w:tcW w:w="1075" w:type="dxa"/>
            <w:vAlign w:val="center"/>
          </w:tcPr>
          <w:p w:rsidR="003047DD" w:rsidRDefault="00BC684C">
            <w:pPr>
              <w:jc w:val="center"/>
            </w:pPr>
            <w:r>
              <w:rPr>
                <w:color w:val="000000"/>
                <w:sz w:val="24"/>
              </w:rPr>
              <w:t>3</w:t>
            </w:r>
          </w:p>
        </w:tc>
        <w:tc>
          <w:tcPr>
            <w:tcW w:w="1533" w:type="dxa"/>
            <w:vAlign w:val="center"/>
          </w:tcPr>
          <w:p w:rsidR="003047DD" w:rsidRDefault="00BC684C">
            <w:pPr>
              <w:jc w:val="center"/>
            </w:pPr>
            <w:r>
              <w:rPr>
                <w:color w:val="000000"/>
                <w:sz w:val="24"/>
              </w:rPr>
              <w:t>018005</w:t>
            </w:r>
          </w:p>
        </w:tc>
        <w:tc>
          <w:tcPr>
            <w:tcW w:w="1533" w:type="dxa"/>
            <w:vAlign w:val="center"/>
          </w:tcPr>
          <w:p w:rsidR="003047DD" w:rsidRDefault="00BC684C">
            <w:pPr>
              <w:jc w:val="center"/>
            </w:pPr>
            <w:r>
              <w:rPr>
                <w:color w:val="000000"/>
                <w:sz w:val="24"/>
              </w:rPr>
              <w:t>国开</w:t>
            </w:r>
            <w:r>
              <w:rPr>
                <w:color w:val="000000"/>
                <w:sz w:val="24"/>
              </w:rPr>
              <w:t>1701</w:t>
            </w:r>
          </w:p>
        </w:tc>
        <w:tc>
          <w:tcPr>
            <w:tcW w:w="1394" w:type="dxa"/>
            <w:vAlign w:val="center"/>
          </w:tcPr>
          <w:p w:rsidR="003047DD" w:rsidRDefault="00BC684C">
            <w:pPr>
              <w:jc w:val="right"/>
            </w:pPr>
            <w:r>
              <w:rPr>
                <w:color w:val="000000"/>
                <w:sz w:val="24"/>
              </w:rPr>
              <w:t>400,000</w:t>
            </w:r>
          </w:p>
        </w:tc>
        <w:tc>
          <w:tcPr>
            <w:tcW w:w="1944" w:type="dxa"/>
            <w:vAlign w:val="center"/>
          </w:tcPr>
          <w:p w:rsidR="003047DD" w:rsidRDefault="00BC684C">
            <w:pPr>
              <w:jc w:val="right"/>
            </w:pPr>
            <w:r>
              <w:rPr>
                <w:color w:val="000000"/>
                <w:sz w:val="24"/>
              </w:rPr>
              <w:t>40,240,000.00</w:t>
            </w:r>
          </w:p>
        </w:tc>
        <w:tc>
          <w:tcPr>
            <w:tcW w:w="1389" w:type="dxa"/>
            <w:vAlign w:val="center"/>
          </w:tcPr>
          <w:p w:rsidR="003047DD" w:rsidRDefault="00BC684C">
            <w:pPr>
              <w:jc w:val="right"/>
            </w:pPr>
            <w:r>
              <w:rPr>
                <w:color w:val="000000"/>
                <w:sz w:val="24"/>
              </w:rPr>
              <w:t>5.44</w:t>
            </w:r>
          </w:p>
        </w:tc>
      </w:tr>
      <w:tr w:rsidR="003047DD">
        <w:trPr>
          <w:jc w:val="center"/>
        </w:trPr>
        <w:tc>
          <w:tcPr>
            <w:tcW w:w="1075" w:type="dxa"/>
            <w:vAlign w:val="center"/>
          </w:tcPr>
          <w:p w:rsidR="003047DD" w:rsidRDefault="00BC684C">
            <w:pPr>
              <w:jc w:val="center"/>
            </w:pPr>
            <w:r>
              <w:rPr>
                <w:color w:val="000000"/>
                <w:sz w:val="24"/>
              </w:rPr>
              <w:t>4</w:t>
            </w:r>
          </w:p>
        </w:tc>
        <w:tc>
          <w:tcPr>
            <w:tcW w:w="1533" w:type="dxa"/>
            <w:vAlign w:val="center"/>
          </w:tcPr>
          <w:p w:rsidR="003047DD" w:rsidRDefault="00BC684C">
            <w:pPr>
              <w:jc w:val="center"/>
            </w:pPr>
            <w:r>
              <w:rPr>
                <w:color w:val="000000"/>
                <w:sz w:val="24"/>
              </w:rPr>
              <w:t>101753037</w:t>
            </w:r>
          </w:p>
        </w:tc>
        <w:tc>
          <w:tcPr>
            <w:tcW w:w="1533" w:type="dxa"/>
            <w:vAlign w:val="center"/>
          </w:tcPr>
          <w:p w:rsidR="003047DD" w:rsidRDefault="00BC684C">
            <w:pPr>
              <w:jc w:val="center"/>
            </w:pPr>
            <w:r>
              <w:rPr>
                <w:color w:val="000000"/>
                <w:sz w:val="24"/>
              </w:rPr>
              <w:t>17</w:t>
            </w:r>
            <w:r>
              <w:rPr>
                <w:color w:val="000000"/>
                <w:sz w:val="24"/>
              </w:rPr>
              <w:t>苏国信</w:t>
            </w:r>
            <w:r>
              <w:rPr>
                <w:color w:val="000000"/>
                <w:sz w:val="24"/>
              </w:rPr>
              <w:t>MTN002</w:t>
            </w:r>
          </w:p>
        </w:tc>
        <w:tc>
          <w:tcPr>
            <w:tcW w:w="1394" w:type="dxa"/>
            <w:vAlign w:val="center"/>
          </w:tcPr>
          <w:p w:rsidR="003047DD" w:rsidRDefault="00BC684C">
            <w:pPr>
              <w:jc w:val="right"/>
            </w:pPr>
            <w:r>
              <w:rPr>
                <w:color w:val="000000"/>
                <w:sz w:val="24"/>
              </w:rPr>
              <w:t>300,000</w:t>
            </w:r>
          </w:p>
        </w:tc>
        <w:tc>
          <w:tcPr>
            <w:tcW w:w="1944" w:type="dxa"/>
            <w:vAlign w:val="center"/>
          </w:tcPr>
          <w:p w:rsidR="003047DD" w:rsidRDefault="00BC684C">
            <w:pPr>
              <w:jc w:val="right"/>
            </w:pPr>
            <w:r>
              <w:rPr>
                <w:color w:val="000000"/>
                <w:sz w:val="24"/>
              </w:rPr>
              <w:t>30,777,000.00</w:t>
            </w:r>
          </w:p>
        </w:tc>
        <w:tc>
          <w:tcPr>
            <w:tcW w:w="1389" w:type="dxa"/>
            <w:vAlign w:val="center"/>
          </w:tcPr>
          <w:p w:rsidR="003047DD" w:rsidRDefault="00BC684C">
            <w:pPr>
              <w:jc w:val="right"/>
            </w:pPr>
            <w:r>
              <w:rPr>
                <w:color w:val="000000"/>
                <w:sz w:val="24"/>
              </w:rPr>
              <w:t>4.16</w:t>
            </w:r>
          </w:p>
        </w:tc>
      </w:tr>
      <w:tr w:rsidR="003047DD">
        <w:trPr>
          <w:jc w:val="center"/>
        </w:trPr>
        <w:tc>
          <w:tcPr>
            <w:tcW w:w="1075" w:type="dxa"/>
            <w:vAlign w:val="center"/>
          </w:tcPr>
          <w:p w:rsidR="003047DD" w:rsidRDefault="00BC684C">
            <w:pPr>
              <w:jc w:val="center"/>
            </w:pPr>
            <w:r>
              <w:rPr>
                <w:color w:val="000000"/>
                <w:sz w:val="24"/>
              </w:rPr>
              <w:t>5</w:t>
            </w:r>
          </w:p>
        </w:tc>
        <w:tc>
          <w:tcPr>
            <w:tcW w:w="1533" w:type="dxa"/>
            <w:vAlign w:val="center"/>
          </w:tcPr>
          <w:p w:rsidR="003047DD" w:rsidRDefault="00BC684C">
            <w:pPr>
              <w:jc w:val="center"/>
            </w:pPr>
            <w:r>
              <w:rPr>
                <w:color w:val="000000"/>
                <w:sz w:val="24"/>
              </w:rPr>
              <w:t>101559005</w:t>
            </w:r>
          </w:p>
        </w:tc>
        <w:tc>
          <w:tcPr>
            <w:tcW w:w="1533" w:type="dxa"/>
            <w:vAlign w:val="center"/>
          </w:tcPr>
          <w:p w:rsidR="003047DD" w:rsidRDefault="00BC684C">
            <w:pPr>
              <w:jc w:val="center"/>
            </w:pPr>
            <w:r>
              <w:rPr>
                <w:color w:val="000000"/>
                <w:sz w:val="24"/>
              </w:rPr>
              <w:t>15</w:t>
            </w:r>
            <w:r>
              <w:rPr>
                <w:color w:val="000000"/>
                <w:sz w:val="24"/>
              </w:rPr>
              <w:t>苏国资</w:t>
            </w:r>
            <w:r>
              <w:rPr>
                <w:color w:val="000000"/>
                <w:sz w:val="24"/>
              </w:rPr>
              <w:t>MTN001</w:t>
            </w:r>
          </w:p>
        </w:tc>
        <w:tc>
          <w:tcPr>
            <w:tcW w:w="1394" w:type="dxa"/>
            <w:vAlign w:val="center"/>
          </w:tcPr>
          <w:p w:rsidR="003047DD" w:rsidRDefault="00BC684C">
            <w:pPr>
              <w:jc w:val="right"/>
            </w:pPr>
            <w:r>
              <w:rPr>
                <w:color w:val="000000"/>
                <w:sz w:val="24"/>
              </w:rPr>
              <w:t>300,000</w:t>
            </w:r>
          </w:p>
        </w:tc>
        <w:tc>
          <w:tcPr>
            <w:tcW w:w="1944" w:type="dxa"/>
            <w:vAlign w:val="center"/>
          </w:tcPr>
          <w:p w:rsidR="003047DD" w:rsidRDefault="00BC684C">
            <w:pPr>
              <w:jc w:val="right"/>
            </w:pPr>
            <w:r>
              <w:rPr>
                <w:color w:val="000000"/>
                <w:sz w:val="24"/>
              </w:rPr>
              <w:t>30,549,000.00</w:t>
            </w:r>
          </w:p>
        </w:tc>
        <w:tc>
          <w:tcPr>
            <w:tcW w:w="1389" w:type="dxa"/>
            <w:vAlign w:val="center"/>
          </w:tcPr>
          <w:p w:rsidR="003047DD" w:rsidRDefault="00BC684C">
            <w:pPr>
              <w:jc w:val="right"/>
            </w:pPr>
            <w:r>
              <w:rPr>
                <w:color w:val="000000"/>
                <w:sz w:val="24"/>
              </w:rPr>
              <w:t>4.13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11,865.16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12,254,915.48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12,266,780.64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交银优选回报灵活配置混合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交银优选回报灵活配置混合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694,082,069.72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135,845.60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3,039.85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32,922.18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1,691.48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771.50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694,083,418.09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167,996.28</w:t>
            </w:r>
          </w:p>
        </w:tc>
      </w:tr>
    </w:tbl>
    <w:p w:rsidR="003047DD" w:rsidRDefault="00BC684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3047DD">
        <w:tc>
          <w:tcPr>
            <w:tcW w:w="992" w:type="dxa"/>
            <w:vMerge w:val="restart"/>
          </w:tcPr>
          <w:p w:rsidR="003047DD" w:rsidRDefault="003047DD"/>
          <w:p w:rsidR="003047DD" w:rsidRDefault="00BC684C">
            <w:r>
              <w:rPr>
                <w:rFonts w:ascii="宋体" w:hAnsi="宋体" w:hint="eastAsia"/>
                <w:bCs/>
                <w:color w:val="000000"/>
                <w:kern w:val="0"/>
                <w:szCs w:val="21"/>
              </w:rPr>
              <w:t>机构</w:t>
            </w:r>
          </w:p>
        </w:tc>
        <w:tc>
          <w:tcPr>
            <w:tcW w:w="991" w:type="dxa"/>
            <w:vAlign w:val="center"/>
          </w:tcPr>
          <w:p w:rsidR="003047DD" w:rsidRDefault="00BC684C">
            <w:pPr>
              <w:jc w:val="center"/>
            </w:pPr>
            <w:r>
              <w:rPr>
                <w:rFonts w:ascii="宋体" w:hAnsi="宋体" w:hint="eastAsia"/>
                <w:color w:val="000000"/>
                <w:kern w:val="0"/>
                <w:szCs w:val="21"/>
              </w:rPr>
              <w:t>1</w:t>
            </w:r>
          </w:p>
        </w:tc>
        <w:tc>
          <w:tcPr>
            <w:tcW w:w="1843" w:type="dxa"/>
            <w:vAlign w:val="center"/>
          </w:tcPr>
          <w:p w:rsidR="003047DD" w:rsidRDefault="00BC684C">
            <w:pPr>
              <w:jc w:val="center"/>
            </w:pPr>
            <w:r>
              <w:rPr>
                <w:rFonts w:ascii="宋体" w:hAnsi="宋体" w:hint="eastAsia"/>
                <w:color w:val="000000"/>
                <w:kern w:val="0"/>
                <w:szCs w:val="21"/>
              </w:rPr>
              <w:t>2018/7/1-2018/9/30</w:t>
            </w:r>
          </w:p>
        </w:tc>
        <w:tc>
          <w:tcPr>
            <w:tcW w:w="851" w:type="dxa"/>
            <w:vAlign w:val="center"/>
          </w:tcPr>
          <w:p w:rsidR="003047DD" w:rsidRDefault="00BC684C">
            <w:pPr>
              <w:jc w:val="center"/>
            </w:pPr>
            <w:r>
              <w:rPr>
                <w:rFonts w:ascii="宋体" w:hAnsi="宋体" w:hint="eastAsia"/>
                <w:color w:val="000000"/>
                <w:kern w:val="0"/>
                <w:szCs w:val="21"/>
              </w:rPr>
              <w:t>500,044,000.00</w:t>
            </w:r>
          </w:p>
        </w:tc>
        <w:tc>
          <w:tcPr>
            <w:tcW w:w="850" w:type="dxa"/>
            <w:vAlign w:val="center"/>
          </w:tcPr>
          <w:p w:rsidR="003047DD" w:rsidRDefault="00BC684C">
            <w:pPr>
              <w:jc w:val="center"/>
            </w:pPr>
            <w:r>
              <w:rPr>
                <w:rFonts w:ascii="宋体" w:hAnsi="宋体" w:hint="eastAsia"/>
                <w:color w:val="000000"/>
                <w:kern w:val="0"/>
                <w:szCs w:val="21"/>
              </w:rPr>
              <w:t>-</w:t>
            </w:r>
          </w:p>
        </w:tc>
        <w:tc>
          <w:tcPr>
            <w:tcW w:w="1134" w:type="dxa"/>
            <w:vAlign w:val="center"/>
          </w:tcPr>
          <w:p w:rsidR="003047DD" w:rsidRDefault="00BC684C">
            <w:pPr>
              <w:jc w:val="center"/>
            </w:pPr>
            <w:r>
              <w:rPr>
                <w:rFonts w:ascii="宋体" w:hAnsi="宋体" w:hint="eastAsia"/>
                <w:color w:val="000000"/>
                <w:kern w:val="0"/>
                <w:szCs w:val="21"/>
              </w:rPr>
              <w:t>-</w:t>
            </w:r>
          </w:p>
        </w:tc>
        <w:tc>
          <w:tcPr>
            <w:tcW w:w="1419" w:type="dxa"/>
            <w:vAlign w:val="center"/>
          </w:tcPr>
          <w:p w:rsidR="003047DD" w:rsidRDefault="00BC684C">
            <w:pPr>
              <w:jc w:val="center"/>
            </w:pPr>
            <w:r>
              <w:rPr>
                <w:rFonts w:ascii="宋体" w:hAnsi="宋体" w:hint="eastAsia"/>
                <w:color w:val="000000"/>
                <w:kern w:val="0"/>
                <w:szCs w:val="21"/>
              </w:rPr>
              <w:t>500,044,000.00</w:t>
            </w:r>
          </w:p>
        </w:tc>
        <w:tc>
          <w:tcPr>
            <w:tcW w:w="1130" w:type="dxa"/>
            <w:vAlign w:val="center"/>
          </w:tcPr>
          <w:p w:rsidR="003047DD" w:rsidRDefault="00BC684C">
            <w:pPr>
              <w:jc w:val="center"/>
            </w:pPr>
            <w:r>
              <w:rPr>
                <w:rFonts w:ascii="宋体" w:hAnsi="宋体" w:hint="eastAsia"/>
                <w:color w:val="000000"/>
                <w:kern w:val="0"/>
                <w:szCs w:val="21"/>
              </w:rPr>
              <w:t>72.03%</w:t>
            </w:r>
          </w:p>
        </w:tc>
      </w:tr>
      <w:tr w:rsidR="003047DD">
        <w:tc>
          <w:tcPr>
            <w:tcW w:w="992" w:type="dxa"/>
            <w:vMerge/>
          </w:tcPr>
          <w:p w:rsidR="003047DD" w:rsidRDefault="003047DD"/>
        </w:tc>
        <w:tc>
          <w:tcPr>
            <w:tcW w:w="991" w:type="dxa"/>
            <w:vAlign w:val="center"/>
          </w:tcPr>
          <w:p w:rsidR="003047DD" w:rsidRDefault="00BC684C">
            <w:pPr>
              <w:jc w:val="center"/>
            </w:pPr>
            <w:r>
              <w:rPr>
                <w:rFonts w:ascii="宋体" w:hAnsi="宋体" w:hint="eastAsia"/>
                <w:color w:val="000000"/>
                <w:kern w:val="0"/>
                <w:szCs w:val="21"/>
              </w:rPr>
              <w:t>2</w:t>
            </w:r>
          </w:p>
        </w:tc>
        <w:tc>
          <w:tcPr>
            <w:tcW w:w="1843" w:type="dxa"/>
            <w:vAlign w:val="center"/>
          </w:tcPr>
          <w:p w:rsidR="003047DD" w:rsidRDefault="00BC684C">
            <w:pPr>
              <w:jc w:val="center"/>
            </w:pPr>
            <w:r>
              <w:rPr>
                <w:rFonts w:ascii="宋体" w:hAnsi="宋体" w:hint="eastAsia"/>
                <w:color w:val="000000"/>
                <w:kern w:val="0"/>
                <w:szCs w:val="21"/>
              </w:rPr>
              <w:t>2018/7/1-2018/9/30</w:t>
            </w:r>
          </w:p>
        </w:tc>
        <w:tc>
          <w:tcPr>
            <w:tcW w:w="851" w:type="dxa"/>
            <w:vAlign w:val="center"/>
          </w:tcPr>
          <w:p w:rsidR="003047DD" w:rsidRDefault="00BC684C">
            <w:pPr>
              <w:jc w:val="center"/>
            </w:pPr>
            <w:r>
              <w:rPr>
                <w:rFonts w:ascii="宋体" w:hAnsi="宋体" w:hint="eastAsia"/>
                <w:color w:val="000000"/>
                <w:kern w:val="0"/>
                <w:szCs w:val="21"/>
              </w:rPr>
              <w:t>193,985,451.02</w:t>
            </w:r>
          </w:p>
        </w:tc>
        <w:tc>
          <w:tcPr>
            <w:tcW w:w="850" w:type="dxa"/>
            <w:vAlign w:val="center"/>
          </w:tcPr>
          <w:p w:rsidR="003047DD" w:rsidRDefault="00BC684C">
            <w:pPr>
              <w:jc w:val="center"/>
            </w:pPr>
            <w:r>
              <w:rPr>
                <w:rFonts w:ascii="宋体" w:hAnsi="宋体" w:hint="eastAsia"/>
                <w:color w:val="000000"/>
                <w:kern w:val="0"/>
                <w:szCs w:val="21"/>
              </w:rPr>
              <w:t>-</w:t>
            </w:r>
          </w:p>
        </w:tc>
        <w:tc>
          <w:tcPr>
            <w:tcW w:w="1134" w:type="dxa"/>
            <w:vAlign w:val="center"/>
          </w:tcPr>
          <w:p w:rsidR="003047DD" w:rsidRDefault="00BC684C">
            <w:pPr>
              <w:jc w:val="center"/>
            </w:pPr>
            <w:r>
              <w:rPr>
                <w:rFonts w:ascii="宋体" w:hAnsi="宋体" w:hint="eastAsia"/>
                <w:color w:val="000000"/>
                <w:kern w:val="0"/>
                <w:szCs w:val="21"/>
              </w:rPr>
              <w:t>-</w:t>
            </w:r>
          </w:p>
        </w:tc>
        <w:tc>
          <w:tcPr>
            <w:tcW w:w="1419" w:type="dxa"/>
            <w:vAlign w:val="center"/>
          </w:tcPr>
          <w:p w:rsidR="003047DD" w:rsidRDefault="00BC684C">
            <w:pPr>
              <w:jc w:val="center"/>
            </w:pPr>
            <w:r>
              <w:rPr>
                <w:rFonts w:ascii="宋体" w:hAnsi="宋体" w:hint="eastAsia"/>
                <w:color w:val="000000"/>
                <w:kern w:val="0"/>
                <w:szCs w:val="21"/>
              </w:rPr>
              <w:t>193,985,451.02</w:t>
            </w:r>
          </w:p>
        </w:tc>
        <w:tc>
          <w:tcPr>
            <w:tcW w:w="1130" w:type="dxa"/>
            <w:vAlign w:val="center"/>
          </w:tcPr>
          <w:p w:rsidR="003047DD" w:rsidRDefault="00BC684C">
            <w:pPr>
              <w:jc w:val="center"/>
            </w:pPr>
            <w:r>
              <w:rPr>
                <w:rFonts w:ascii="宋体" w:hAnsi="宋体" w:hint="eastAsia"/>
                <w:color w:val="000000"/>
                <w:kern w:val="0"/>
                <w:szCs w:val="21"/>
              </w:rPr>
              <w:t>27.94%</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3047DD" w:rsidRDefault="00BC684C">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、中国证监会准予交银施罗德优选回报灵活配置混合型证券投资基金募集注册的文件；</w:t>
      </w:r>
      <w:r>
        <w:rPr>
          <w:rFonts w:eastAsiaTheme="minorEastAsia"/>
          <w:color w:val="000000"/>
          <w:sz w:val="24"/>
        </w:rPr>
        <w:t xml:space="preserve"> </w:t>
      </w:r>
    </w:p>
    <w:p w:rsidR="003047DD" w:rsidRDefault="00BC684C">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、《交银施罗德优选回报灵活配置混合型证券投资基金基金合同》；</w:t>
      </w:r>
      <w:r>
        <w:rPr>
          <w:rFonts w:eastAsiaTheme="minorEastAsia"/>
          <w:color w:val="000000"/>
          <w:sz w:val="24"/>
        </w:rPr>
        <w:t xml:space="preserve"> </w:t>
      </w:r>
    </w:p>
    <w:p w:rsidR="003047DD" w:rsidRDefault="00BC684C">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、《交银施罗德优选回报灵活配置混合型证券投资基金招募说明书》；</w:t>
      </w:r>
      <w:r>
        <w:rPr>
          <w:rFonts w:eastAsiaTheme="minorEastAsia"/>
          <w:color w:val="000000"/>
          <w:sz w:val="24"/>
        </w:rPr>
        <w:t xml:space="preserve"> </w:t>
      </w:r>
    </w:p>
    <w:p w:rsidR="003047DD" w:rsidRDefault="00BC684C">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、《交银施罗德优选回报灵活配置混合型证券投资基金托管协议》；</w:t>
      </w:r>
      <w:r>
        <w:rPr>
          <w:rFonts w:eastAsiaTheme="minorEastAsia"/>
          <w:color w:val="000000"/>
          <w:sz w:val="24"/>
        </w:rPr>
        <w:t xml:space="preserve"> </w:t>
      </w:r>
    </w:p>
    <w:p w:rsidR="003047DD" w:rsidRDefault="00BC684C">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、关于申请募集注册交银施罗德优选回报灵活配置混合型证券投资基金的法律意见书；</w:t>
      </w:r>
      <w:r>
        <w:rPr>
          <w:rFonts w:eastAsiaTheme="minorEastAsia"/>
          <w:color w:val="000000"/>
          <w:sz w:val="24"/>
        </w:rPr>
        <w:t xml:space="preserve"> </w:t>
      </w:r>
    </w:p>
    <w:p w:rsidR="003047DD" w:rsidRDefault="00BC684C">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3047DD" w:rsidRDefault="00BC684C">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、报告期内交银施罗德优选回报灵活配置混合型证券投资基金在指定报刊上各项公告的原稿。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3047DD" w:rsidRDefault="00BC684C">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BC684C">
      <w:rPr>
        <w:noProof/>
        <w:kern w:val="0"/>
        <w:szCs w:val="21"/>
      </w:rPr>
      <w:t>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BC684C">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1E" w:rsidRDefault="001B5A1E">
      <w:r>
        <w:separator/>
      </w:r>
    </w:p>
  </w:footnote>
  <w:footnote w:type="continuationSeparator" w:id="0">
    <w:p w:rsidR="001B5A1E" w:rsidRDefault="001B5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交银施罗德优选回报灵活配置混合型证券投资基金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47D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684C"/>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509767E3-F6D5-4520-A955-08A90A7C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CCEA9-B235-41D9-95F5-4DAE9DDDC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209</TotalTime>
  <Pages>15</Pages>
  <Words>1244</Words>
  <Characters>7097</Characters>
  <Application>Microsoft Office Word</Application>
  <DocSecurity>0</DocSecurity>
  <Lines>59</Lines>
  <Paragraphs>16</Paragraphs>
  <ScaleCrop>false</ScaleCrop>
  <Company>TRT. Ltd. Co.</Company>
  <LinksUpToDate>false</LinksUpToDate>
  <CharactersWithSpaces>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378</cp:revision>
  <cp:lastPrinted>2007-07-19T00:46:00Z</cp:lastPrinted>
  <dcterms:created xsi:type="dcterms:W3CDTF">2014-01-17T06:19:00Z</dcterms:created>
  <dcterms:modified xsi:type="dcterms:W3CDTF">2018-10-23T05:27:00Z</dcterms:modified>
</cp:coreProperties>
</file>