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proofErr w:type="gramStart"/>
      <w:r w:rsidRPr="0081286B">
        <w:rPr>
          <w:b/>
          <w:sz w:val="36"/>
          <w:szCs w:val="36"/>
        </w:rPr>
        <w:t>交银施罗</w:t>
      </w:r>
      <w:proofErr w:type="gramEnd"/>
      <w:r w:rsidRPr="0081286B">
        <w:rPr>
          <w:b/>
          <w:sz w:val="36"/>
          <w:szCs w:val="36"/>
        </w:rPr>
        <w:t>德荣鑫保本混合型证券投资基金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8431C" w:rsidRDefault="005228C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8431C" w:rsidRDefault="005228C4">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8431C" w:rsidRDefault="005228C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8431C" w:rsidRDefault="005228C4">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B8431C" w:rsidRDefault="005228C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570,379,695.46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本基金通过运用投资组合保险技术，有效控制本金损失的风险，在追求保本周期到期时本金安全的基础上，力争实现基金资产的稳定增值。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）原理，动态调整固定收益类资产与权益类资产在基金组合中的投资比例，以确保本基金在保本周期到期时的本金安全，并实现基金资产在保本基础上的保值增值目的。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本基金是一只保本混合型基金，在证券投资基金中属于低风险品种。其风险和预期收益低于股票型基金和非保本的混合型基金，高于货币市场基金和债券型基</w:t>
            </w:r>
            <w:r w:rsidRPr="00414345">
              <w:rPr>
                <w:color w:val="000000"/>
                <w:kern w:val="0"/>
                <w:sz w:val="24"/>
                <w:szCs w:val="24"/>
              </w:rPr>
              <w:lastRenderedPageBreak/>
              <w:t>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F1241" w:rsidRPr="00414345" w:rsidTr="001F124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1F1241" w:rsidRPr="00414345" w:rsidTr="001F12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6,157,311.33</w:t>
            </w:r>
          </w:p>
        </w:tc>
      </w:tr>
      <w:tr w:rsidR="001F1241" w:rsidRPr="00414345" w:rsidTr="001F12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9,180,115.38</w:t>
            </w:r>
          </w:p>
        </w:tc>
      </w:tr>
      <w:tr w:rsidR="001F1241" w:rsidRPr="00414345" w:rsidTr="001F12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0.0159</w:t>
            </w:r>
          </w:p>
        </w:tc>
      </w:tr>
      <w:tr w:rsidR="001F1241" w:rsidRPr="00414345" w:rsidTr="001F12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607,218,597.58</w:t>
            </w:r>
          </w:p>
        </w:tc>
      </w:tr>
      <w:tr w:rsidR="001F1241" w:rsidRPr="00414345" w:rsidTr="001F124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1.065</w:t>
            </w:r>
          </w:p>
        </w:tc>
      </w:tr>
    </w:tbl>
    <w:p w:rsidR="00B8431C" w:rsidRDefault="005228C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8431C">
        <w:trPr>
          <w:jc w:val="center"/>
        </w:trPr>
        <w:tc>
          <w:tcPr>
            <w:tcW w:w="1701" w:type="dxa"/>
            <w:vAlign w:val="center"/>
          </w:tcPr>
          <w:p w:rsidR="00B8431C" w:rsidRDefault="005228C4">
            <w:pPr>
              <w:jc w:val="left"/>
            </w:pPr>
            <w:r>
              <w:rPr>
                <w:color w:val="000000"/>
                <w:sz w:val="24"/>
                <w:szCs w:val="24"/>
              </w:rPr>
              <w:t>过去三个月</w:t>
            </w:r>
          </w:p>
        </w:tc>
        <w:tc>
          <w:tcPr>
            <w:tcW w:w="1045" w:type="dxa"/>
            <w:vAlign w:val="center"/>
          </w:tcPr>
          <w:p w:rsidR="00B8431C" w:rsidRDefault="005228C4">
            <w:pPr>
              <w:jc w:val="center"/>
            </w:pPr>
            <w:r>
              <w:rPr>
                <w:color w:val="000000"/>
                <w:sz w:val="24"/>
                <w:szCs w:val="24"/>
              </w:rPr>
              <w:t>1.53%</w:t>
            </w:r>
          </w:p>
        </w:tc>
        <w:tc>
          <w:tcPr>
            <w:tcW w:w="1344" w:type="dxa"/>
            <w:vAlign w:val="center"/>
          </w:tcPr>
          <w:p w:rsidR="00B8431C" w:rsidRDefault="005228C4">
            <w:pPr>
              <w:jc w:val="center"/>
            </w:pPr>
            <w:r>
              <w:rPr>
                <w:color w:val="000000"/>
                <w:sz w:val="24"/>
                <w:szCs w:val="24"/>
              </w:rPr>
              <w:t>0.07%</w:t>
            </w:r>
          </w:p>
        </w:tc>
        <w:tc>
          <w:tcPr>
            <w:tcW w:w="1194" w:type="dxa"/>
            <w:vAlign w:val="center"/>
          </w:tcPr>
          <w:p w:rsidR="00B8431C" w:rsidRDefault="005228C4">
            <w:pPr>
              <w:jc w:val="center"/>
            </w:pPr>
            <w:r>
              <w:rPr>
                <w:color w:val="000000"/>
                <w:sz w:val="24"/>
                <w:szCs w:val="24"/>
              </w:rPr>
              <w:t>0.70%</w:t>
            </w:r>
          </w:p>
        </w:tc>
        <w:tc>
          <w:tcPr>
            <w:tcW w:w="1492" w:type="dxa"/>
            <w:vAlign w:val="center"/>
          </w:tcPr>
          <w:p w:rsidR="00B8431C" w:rsidRDefault="005228C4">
            <w:pPr>
              <w:jc w:val="center"/>
            </w:pPr>
            <w:r>
              <w:rPr>
                <w:color w:val="000000"/>
                <w:sz w:val="24"/>
                <w:szCs w:val="24"/>
              </w:rPr>
              <w:t>0.01%</w:t>
            </w:r>
          </w:p>
        </w:tc>
        <w:tc>
          <w:tcPr>
            <w:tcW w:w="1194" w:type="dxa"/>
            <w:vAlign w:val="center"/>
          </w:tcPr>
          <w:p w:rsidR="00B8431C" w:rsidRDefault="005228C4">
            <w:pPr>
              <w:jc w:val="center"/>
            </w:pPr>
            <w:r>
              <w:rPr>
                <w:color w:val="000000"/>
                <w:sz w:val="24"/>
                <w:szCs w:val="24"/>
              </w:rPr>
              <w:t>0.83%</w:t>
            </w:r>
          </w:p>
        </w:tc>
        <w:tc>
          <w:tcPr>
            <w:tcW w:w="898" w:type="dxa"/>
            <w:vAlign w:val="center"/>
          </w:tcPr>
          <w:p w:rsidR="00B8431C" w:rsidRDefault="005228C4">
            <w:pPr>
              <w:jc w:val="center"/>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8431C">
        <w:trPr>
          <w:jc w:val="center"/>
        </w:trPr>
        <w:tc>
          <w:tcPr>
            <w:tcW w:w="846" w:type="dxa"/>
            <w:vAlign w:val="center"/>
          </w:tcPr>
          <w:p w:rsidR="00B8431C" w:rsidRDefault="005228C4">
            <w:pPr>
              <w:jc w:val="center"/>
            </w:pPr>
            <w:proofErr w:type="gramStart"/>
            <w:r>
              <w:rPr>
                <w:color w:val="000000"/>
                <w:sz w:val="24"/>
                <w:szCs w:val="24"/>
              </w:rPr>
              <w:t>于海颖</w:t>
            </w:r>
            <w:proofErr w:type="gramEnd"/>
          </w:p>
        </w:tc>
        <w:tc>
          <w:tcPr>
            <w:tcW w:w="845" w:type="dxa"/>
            <w:vAlign w:val="center"/>
          </w:tcPr>
          <w:p w:rsidR="00B8431C" w:rsidRDefault="005228C4">
            <w:pPr>
              <w:jc w:val="center"/>
            </w:pPr>
            <w:r>
              <w:rPr>
                <w:color w:val="000000"/>
                <w:sz w:val="24"/>
                <w:szCs w:val="24"/>
              </w:rPr>
              <w:t>交银增利债券、交</w:t>
            </w:r>
            <w:proofErr w:type="gramStart"/>
            <w:r>
              <w:rPr>
                <w:color w:val="000000"/>
                <w:sz w:val="24"/>
                <w:szCs w:val="24"/>
              </w:rPr>
              <w:t>银纯债</w:t>
            </w:r>
            <w:proofErr w:type="gramEnd"/>
            <w:r>
              <w:rPr>
                <w:color w:val="000000"/>
                <w:sz w:val="24"/>
                <w:szCs w:val="24"/>
              </w:rPr>
              <w:t>债券发起、交银荣祥保本混合、交银定期支付月月丰债券、交</w:t>
            </w:r>
            <w:proofErr w:type="gramStart"/>
            <w:r>
              <w:rPr>
                <w:color w:val="000000"/>
                <w:sz w:val="24"/>
                <w:szCs w:val="24"/>
              </w:rPr>
              <w:t>银增强</w:t>
            </w:r>
            <w:proofErr w:type="gramEnd"/>
            <w:r>
              <w:rPr>
                <w:color w:val="000000"/>
                <w:sz w:val="24"/>
                <w:szCs w:val="24"/>
              </w:rPr>
              <w:t>收益债券、交银强化回报债券、交银丰盈收益债券、交银荣鑫保本混合、交银增利增强债券、交银丰晟收益债券、交银</w:t>
            </w:r>
            <w:proofErr w:type="gramStart"/>
            <w:r>
              <w:rPr>
                <w:color w:val="000000"/>
                <w:sz w:val="24"/>
                <w:szCs w:val="24"/>
              </w:rPr>
              <w:t>裕如纯债债券</w:t>
            </w:r>
            <w:proofErr w:type="gramEnd"/>
            <w:r>
              <w:rPr>
                <w:color w:val="000000"/>
                <w:sz w:val="24"/>
                <w:szCs w:val="24"/>
              </w:rPr>
              <w:t>的基金经理，公司固定收益（公募）投资总监</w:t>
            </w:r>
          </w:p>
        </w:tc>
        <w:tc>
          <w:tcPr>
            <w:tcW w:w="1549" w:type="dxa"/>
            <w:vAlign w:val="center"/>
          </w:tcPr>
          <w:p w:rsidR="00B8431C" w:rsidRDefault="005228C4">
            <w:pPr>
              <w:jc w:val="center"/>
            </w:pPr>
            <w:r>
              <w:rPr>
                <w:color w:val="000000"/>
                <w:sz w:val="24"/>
                <w:szCs w:val="24"/>
              </w:rPr>
              <w:t>2017-06-10</w:t>
            </w:r>
          </w:p>
        </w:tc>
        <w:tc>
          <w:tcPr>
            <w:tcW w:w="1548" w:type="dxa"/>
            <w:vAlign w:val="center"/>
          </w:tcPr>
          <w:p w:rsidR="00B8431C" w:rsidRDefault="005228C4">
            <w:pPr>
              <w:jc w:val="center"/>
            </w:pPr>
            <w:r>
              <w:rPr>
                <w:color w:val="000000"/>
                <w:sz w:val="24"/>
                <w:szCs w:val="24"/>
              </w:rPr>
              <w:t>-</w:t>
            </w:r>
          </w:p>
        </w:tc>
        <w:tc>
          <w:tcPr>
            <w:tcW w:w="1407" w:type="dxa"/>
            <w:vAlign w:val="center"/>
          </w:tcPr>
          <w:p w:rsidR="00B8431C" w:rsidRDefault="005228C4">
            <w:pPr>
              <w:jc w:val="center"/>
            </w:pPr>
            <w:r>
              <w:rPr>
                <w:color w:val="000000"/>
                <w:sz w:val="24"/>
                <w:szCs w:val="24"/>
              </w:rPr>
              <w:t>12</w:t>
            </w:r>
            <w:r>
              <w:rPr>
                <w:color w:val="000000"/>
                <w:sz w:val="24"/>
                <w:szCs w:val="24"/>
              </w:rPr>
              <w:t>年</w:t>
            </w:r>
          </w:p>
        </w:tc>
        <w:tc>
          <w:tcPr>
            <w:tcW w:w="2673" w:type="dxa"/>
            <w:vAlign w:val="center"/>
          </w:tcPr>
          <w:p w:rsidR="00B8431C" w:rsidRDefault="005228C4">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szCs w:val="24"/>
              </w:rPr>
              <w:t>矿证券</w:t>
            </w:r>
            <w:proofErr w:type="gramEnd"/>
            <w:r>
              <w:rPr>
                <w:color w:val="000000"/>
                <w:sz w:val="24"/>
                <w:szCs w:val="24"/>
              </w:rPr>
              <w:t>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w:t>
            </w:r>
            <w:proofErr w:type="gramStart"/>
            <w:r>
              <w:rPr>
                <w:color w:val="000000"/>
                <w:sz w:val="24"/>
                <w:szCs w:val="24"/>
              </w:rPr>
              <w:t>信货</w:t>
            </w:r>
            <w:proofErr w:type="gramEnd"/>
            <w:r>
              <w:rPr>
                <w:color w:val="000000"/>
                <w:sz w:val="24"/>
                <w:szCs w:val="24"/>
              </w:rPr>
              <w:t>币市场</w:t>
            </w:r>
            <w:proofErr w:type="gramStart"/>
            <w:r>
              <w:rPr>
                <w:color w:val="000000"/>
                <w:sz w:val="24"/>
                <w:szCs w:val="24"/>
              </w:rPr>
              <w:t>基金基金</w:t>
            </w:r>
            <w:proofErr w:type="gramEnd"/>
            <w:r>
              <w:rPr>
                <w:color w:val="000000"/>
                <w:sz w:val="24"/>
                <w:szCs w:val="24"/>
              </w:rPr>
              <w:t>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proofErr w:type="gramStart"/>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w:t>
            </w:r>
            <w:proofErr w:type="gramEnd"/>
            <w:r>
              <w:rPr>
                <w:color w:val="000000"/>
                <w:sz w:val="24"/>
                <w:szCs w:val="24"/>
              </w:rPr>
              <w:t>保本混合型证券投资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proofErr w:type="gramStart"/>
            <w:r>
              <w:rPr>
                <w:color w:val="000000"/>
                <w:sz w:val="24"/>
                <w:szCs w:val="24"/>
              </w:rPr>
              <w:t>20</w:t>
            </w:r>
            <w:r>
              <w:rPr>
                <w:color w:val="000000"/>
                <w:sz w:val="24"/>
                <w:szCs w:val="24"/>
              </w:rPr>
              <w:t>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w:t>
            </w:r>
            <w:proofErr w:type="gramEnd"/>
            <w:r>
              <w:rPr>
                <w:color w:val="000000"/>
                <w:sz w:val="24"/>
                <w:szCs w:val="24"/>
              </w:rPr>
              <w:t>货币市场证券投资</w:t>
            </w:r>
            <w:proofErr w:type="gramStart"/>
            <w:r>
              <w:rPr>
                <w:color w:val="000000"/>
                <w:sz w:val="24"/>
                <w:szCs w:val="24"/>
              </w:rPr>
              <w:t>基金基金</w:t>
            </w:r>
            <w:proofErr w:type="gramEnd"/>
            <w:r>
              <w:rPr>
                <w:color w:val="000000"/>
                <w:sz w:val="24"/>
                <w:szCs w:val="24"/>
              </w:rPr>
              <w:t>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w:t>
            </w:r>
            <w:proofErr w:type="gramStart"/>
            <w:r>
              <w:rPr>
                <w:color w:val="000000"/>
                <w:sz w:val="24"/>
                <w:szCs w:val="24"/>
              </w:rPr>
              <w:t>任银华纯债</w:t>
            </w:r>
            <w:proofErr w:type="gramEnd"/>
            <w:r>
              <w:rPr>
                <w:color w:val="000000"/>
                <w:sz w:val="24"/>
                <w:szCs w:val="24"/>
              </w:rPr>
              <w:t>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w:t>
            </w:r>
            <w:proofErr w:type="gramStart"/>
            <w:r>
              <w:rPr>
                <w:color w:val="000000"/>
                <w:sz w:val="24"/>
                <w:szCs w:val="24"/>
              </w:rPr>
              <w:t>任银华交易</w:t>
            </w:r>
            <w:proofErr w:type="gramEnd"/>
            <w:r>
              <w:rPr>
                <w:color w:val="000000"/>
                <w:sz w:val="24"/>
                <w:szCs w:val="24"/>
              </w:rPr>
              <w:t>型货币市场</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信用四季红债券型证券投资</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信用季季红债券型证券投资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w:t>
            </w:r>
            <w:r>
              <w:rPr>
                <w:color w:val="000000"/>
                <w:sz w:val="24"/>
                <w:szCs w:val="24"/>
              </w:rPr>
              <w:t>有限公司。</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日担任交银施罗德丰硕收益债券型证券投资基金的基金经理。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8431C" w:rsidRDefault="005228C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8431C" w:rsidRDefault="005228C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w:t>
      </w:r>
      <w:r>
        <w:rPr>
          <w:color w:val="000000"/>
          <w:sz w:val="24"/>
          <w:szCs w:val="24"/>
        </w:rPr>
        <w:t>格优先、比例分配</w:t>
      </w:r>
      <w:r>
        <w:rPr>
          <w:color w:val="000000"/>
          <w:sz w:val="24"/>
          <w:szCs w:val="24"/>
        </w:rPr>
        <w:t>”</w:t>
      </w:r>
      <w:r>
        <w:rPr>
          <w:color w:val="000000"/>
          <w:sz w:val="24"/>
          <w:szCs w:val="24"/>
        </w:rPr>
        <w:t>的原则按事前独立确定的投资方案对交易结果进行分配。</w:t>
      </w:r>
    </w:p>
    <w:p w:rsidR="00B8431C" w:rsidRDefault="005228C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8431C" w:rsidRDefault="005228C4">
      <w:pPr>
        <w:spacing w:before="29" w:line="288" w:lineRule="auto"/>
        <w:ind w:firstLineChars="200" w:firstLine="480"/>
        <w:rPr>
          <w:color w:val="000000"/>
          <w:sz w:val="24"/>
          <w:szCs w:val="24"/>
        </w:rPr>
      </w:pPr>
      <w:r>
        <w:rPr>
          <w:color w:val="000000"/>
          <w:sz w:val="24"/>
          <w:szCs w:val="24"/>
        </w:rPr>
        <w:t>2018</w:t>
      </w:r>
      <w:r>
        <w:rPr>
          <w:color w:val="000000"/>
          <w:sz w:val="24"/>
          <w:szCs w:val="24"/>
        </w:rPr>
        <w:t>年三季度利率债收益率呈现震荡后上行的趋势，信用</w:t>
      </w:r>
      <w:proofErr w:type="gramStart"/>
      <w:r>
        <w:rPr>
          <w:color w:val="000000"/>
          <w:sz w:val="24"/>
          <w:szCs w:val="24"/>
        </w:rPr>
        <w:t>债收益率先下</w:t>
      </w:r>
      <w:proofErr w:type="gramEnd"/>
      <w:r>
        <w:rPr>
          <w:color w:val="000000"/>
          <w:sz w:val="24"/>
          <w:szCs w:val="24"/>
        </w:rPr>
        <w:t>后上，曲线期限利差走扩，信用利差收窄。七月中上旬，债券收益率延续了上半年以来的下行趋势，</w:t>
      </w:r>
      <w:r>
        <w:rPr>
          <w:color w:val="000000"/>
          <w:sz w:val="24"/>
          <w:szCs w:val="24"/>
        </w:rPr>
        <w:t>10</w:t>
      </w:r>
      <w:r>
        <w:rPr>
          <w:color w:val="000000"/>
          <w:sz w:val="24"/>
          <w:szCs w:val="24"/>
        </w:rPr>
        <w:t>年国开收益率最低下行至</w:t>
      </w:r>
      <w:r>
        <w:rPr>
          <w:color w:val="000000"/>
          <w:sz w:val="24"/>
          <w:szCs w:val="24"/>
        </w:rPr>
        <w:t>4.08%</w:t>
      </w:r>
      <w:r>
        <w:rPr>
          <w:color w:val="000000"/>
          <w:sz w:val="24"/>
          <w:szCs w:val="24"/>
        </w:rPr>
        <w:t>，</w:t>
      </w:r>
      <w:r>
        <w:rPr>
          <w:color w:val="000000"/>
          <w:sz w:val="24"/>
          <w:szCs w:val="24"/>
        </w:rPr>
        <w:t>10</w:t>
      </w:r>
      <w:r>
        <w:rPr>
          <w:color w:val="000000"/>
          <w:sz w:val="24"/>
          <w:szCs w:val="24"/>
        </w:rPr>
        <w:t>年国债收益率最低下行至</w:t>
      </w:r>
      <w:r>
        <w:rPr>
          <w:color w:val="000000"/>
          <w:sz w:val="24"/>
          <w:szCs w:val="24"/>
        </w:rPr>
        <w:t>3.44%</w:t>
      </w:r>
      <w:r>
        <w:rPr>
          <w:color w:val="000000"/>
          <w:sz w:val="24"/>
          <w:szCs w:val="24"/>
        </w:rPr>
        <w:t>。七月中下旬以来密集出台了一系列旨在</w:t>
      </w:r>
      <w:proofErr w:type="gramStart"/>
      <w:r>
        <w:rPr>
          <w:color w:val="000000"/>
          <w:sz w:val="24"/>
          <w:szCs w:val="24"/>
        </w:rPr>
        <w:t>稳增长</w:t>
      </w:r>
      <w:proofErr w:type="gramEnd"/>
      <w:r>
        <w:rPr>
          <w:color w:val="000000"/>
          <w:sz w:val="24"/>
          <w:szCs w:val="24"/>
        </w:rPr>
        <w:t>的政策，随着这一系列政策文件的陆续出台，债市关注的主逻辑从</w:t>
      </w:r>
      <w:r>
        <w:rPr>
          <w:color w:val="000000"/>
          <w:sz w:val="24"/>
          <w:szCs w:val="24"/>
        </w:rPr>
        <w:t>“</w:t>
      </w:r>
      <w:r>
        <w:rPr>
          <w:color w:val="000000"/>
          <w:sz w:val="24"/>
          <w:szCs w:val="24"/>
        </w:rPr>
        <w:t>宽货币紧信用</w:t>
      </w:r>
      <w:r>
        <w:rPr>
          <w:color w:val="000000"/>
          <w:sz w:val="24"/>
          <w:szCs w:val="24"/>
        </w:rPr>
        <w:t>”</w:t>
      </w:r>
      <w:r>
        <w:rPr>
          <w:color w:val="000000"/>
          <w:sz w:val="24"/>
          <w:szCs w:val="24"/>
        </w:rPr>
        <w:t>向</w:t>
      </w:r>
      <w:r>
        <w:rPr>
          <w:color w:val="000000"/>
          <w:sz w:val="24"/>
          <w:szCs w:val="24"/>
        </w:rPr>
        <w:t>“</w:t>
      </w:r>
      <w:r>
        <w:rPr>
          <w:color w:val="000000"/>
          <w:sz w:val="24"/>
          <w:szCs w:val="24"/>
        </w:rPr>
        <w:t>宽货币宽信用</w:t>
      </w:r>
      <w:r>
        <w:rPr>
          <w:color w:val="000000"/>
          <w:sz w:val="24"/>
          <w:szCs w:val="24"/>
        </w:rPr>
        <w:t>”</w:t>
      </w:r>
      <w:r>
        <w:rPr>
          <w:color w:val="000000"/>
          <w:sz w:val="24"/>
          <w:szCs w:val="24"/>
        </w:rPr>
        <w:t>转变，利率债收益率震荡上行，而信用债收益率明显下行，特别是在资金价格宽松的背景下，八月初市场收益率水平到了年内最低水平。而进入九月后，由于非洲猪瘟、房</w:t>
      </w:r>
      <w:r>
        <w:rPr>
          <w:color w:val="000000"/>
          <w:sz w:val="24"/>
          <w:szCs w:val="24"/>
        </w:rPr>
        <w:t>租上涨等一系列因素的影响，市场对于通胀的预期逐渐抬升，经济类滞胀的逻辑不断演绎，同时加上地方债供给放量、央行连续多日暂停公开市场操作等因素的叠加，引起了市场对货币政策收紧以应对美联储加息的担忧，利率债和信用债收益率均继续上行。</w:t>
      </w:r>
    </w:p>
    <w:p w:rsidR="00B8431C" w:rsidRDefault="005228C4">
      <w:pPr>
        <w:spacing w:before="29" w:line="288" w:lineRule="auto"/>
        <w:ind w:firstLineChars="200" w:firstLine="480"/>
        <w:rPr>
          <w:color w:val="000000"/>
          <w:sz w:val="24"/>
          <w:szCs w:val="24"/>
        </w:rPr>
      </w:pPr>
      <w:r>
        <w:rPr>
          <w:color w:val="000000"/>
          <w:sz w:val="24"/>
          <w:szCs w:val="24"/>
        </w:rPr>
        <w:t>权益市场方面，在避险情绪及经济走弱预期影响下，三季度市场表现低迷，上证综指下跌</w:t>
      </w:r>
      <w:r>
        <w:rPr>
          <w:color w:val="000000"/>
          <w:sz w:val="24"/>
          <w:szCs w:val="24"/>
        </w:rPr>
        <w:t>0.92%</w:t>
      </w:r>
      <w:r>
        <w:rPr>
          <w:color w:val="000000"/>
          <w:sz w:val="24"/>
          <w:szCs w:val="24"/>
        </w:rPr>
        <w:t>，创业板指下跌</w:t>
      </w:r>
      <w:r>
        <w:rPr>
          <w:color w:val="000000"/>
          <w:sz w:val="24"/>
          <w:szCs w:val="24"/>
        </w:rPr>
        <w:t>12.16%</w:t>
      </w:r>
      <w:r>
        <w:rPr>
          <w:color w:val="000000"/>
          <w:sz w:val="24"/>
          <w:szCs w:val="24"/>
        </w:rPr>
        <w:t>。行业层面，银行保险作为防御性板块，有较好的相对收益和绝对收益，石化板块受油价景气度影响，表现也较为突出，建筑、军工、钢铁阶段性有较好表现，消费板块受景气影响表现较弱。</w:t>
      </w:r>
    </w:p>
    <w:p w:rsidR="00B8431C" w:rsidRDefault="005228C4">
      <w:pPr>
        <w:spacing w:before="29" w:line="288" w:lineRule="auto"/>
        <w:ind w:firstLineChars="200" w:firstLine="480"/>
        <w:rPr>
          <w:color w:val="000000"/>
          <w:sz w:val="24"/>
          <w:szCs w:val="24"/>
        </w:rPr>
      </w:pPr>
      <w:r>
        <w:rPr>
          <w:color w:val="000000"/>
          <w:sz w:val="24"/>
          <w:szCs w:val="24"/>
        </w:rPr>
        <w:t>本报告期内，本基金在</w:t>
      </w:r>
      <w:r>
        <w:rPr>
          <w:color w:val="000000"/>
          <w:sz w:val="24"/>
          <w:szCs w:val="24"/>
        </w:rPr>
        <w:t>CPPI</w:t>
      </w:r>
      <w:r>
        <w:rPr>
          <w:color w:val="000000"/>
          <w:sz w:val="24"/>
          <w:szCs w:val="24"/>
        </w:rPr>
        <w:t>策略的基础上，积极积累组合安全垫，控制组合回撤。三季度，考虑到流动性宽松较为确定，组合继续采用杠杆策略，并择机将部分</w:t>
      </w:r>
      <w:proofErr w:type="gramStart"/>
      <w:r>
        <w:rPr>
          <w:color w:val="000000"/>
          <w:sz w:val="24"/>
          <w:szCs w:val="24"/>
        </w:rPr>
        <w:t>短久期资产</w:t>
      </w:r>
      <w:proofErr w:type="gramEnd"/>
      <w:r>
        <w:rPr>
          <w:color w:val="000000"/>
          <w:sz w:val="24"/>
          <w:szCs w:val="24"/>
        </w:rPr>
        <w:t>置换为保本周期范围内稍长久期的高收益优质资产，以提升组合静态收益。权益方面，考虑到海外市场的不确定性，组合清空了转债</w:t>
      </w:r>
      <w:proofErr w:type="gramStart"/>
      <w:r>
        <w:rPr>
          <w:color w:val="000000"/>
          <w:sz w:val="24"/>
          <w:szCs w:val="24"/>
        </w:rPr>
        <w:t>仓位</w:t>
      </w:r>
      <w:proofErr w:type="gramEnd"/>
      <w:r>
        <w:rPr>
          <w:color w:val="000000"/>
          <w:sz w:val="24"/>
          <w:szCs w:val="24"/>
        </w:rPr>
        <w:t>。</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w:t>
      </w:r>
      <w:proofErr w:type="gramStart"/>
      <w:r w:rsidRPr="00414345">
        <w:rPr>
          <w:color w:val="000000"/>
          <w:sz w:val="24"/>
          <w:szCs w:val="24"/>
        </w:rPr>
        <w:t>前期社融总额</w:t>
      </w:r>
      <w:proofErr w:type="gramEnd"/>
      <w:r w:rsidRPr="00414345">
        <w:rPr>
          <w:color w:val="000000"/>
          <w:sz w:val="24"/>
          <w:szCs w:val="24"/>
        </w:rPr>
        <w:t>增速的下滑影响已经逐步在中</w:t>
      </w:r>
      <w:proofErr w:type="gramStart"/>
      <w:r w:rsidRPr="00414345">
        <w:rPr>
          <w:color w:val="000000"/>
          <w:sz w:val="24"/>
          <w:szCs w:val="24"/>
        </w:rPr>
        <w:t>观消费</w:t>
      </w:r>
      <w:proofErr w:type="gramEnd"/>
      <w:r w:rsidRPr="00414345">
        <w:rPr>
          <w:color w:val="000000"/>
          <w:sz w:val="24"/>
          <w:szCs w:val="24"/>
        </w:rPr>
        <w:t>数据得以体现，随着地产销售的走低，叠加中美贸易争端对净出口的负面影响，总需求弱势格局延续。我们维持对债市谨慎乐观的观点，不过也需</w:t>
      </w:r>
      <w:proofErr w:type="gramStart"/>
      <w:r w:rsidRPr="00414345">
        <w:rPr>
          <w:color w:val="000000"/>
          <w:sz w:val="24"/>
          <w:szCs w:val="24"/>
        </w:rPr>
        <w:t>关注社融表外</w:t>
      </w:r>
      <w:proofErr w:type="gramEnd"/>
      <w:r w:rsidRPr="00414345">
        <w:rPr>
          <w:color w:val="000000"/>
          <w:sz w:val="24"/>
          <w:szCs w:val="24"/>
        </w:rPr>
        <w:t>数据的改善情况，以及油价和食品价格上行对明年通胀的可能冲击。考虑到流动性相对宽松的格局未变，保本组合延续采用杠杆策略，并根据市场情况，动态调整保本</w:t>
      </w:r>
      <w:proofErr w:type="gramStart"/>
      <w:r w:rsidRPr="00414345">
        <w:rPr>
          <w:color w:val="000000"/>
          <w:sz w:val="24"/>
          <w:szCs w:val="24"/>
        </w:rPr>
        <w:t>期允许</w:t>
      </w:r>
      <w:proofErr w:type="gramEnd"/>
      <w:r w:rsidRPr="00414345">
        <w:rPr>
          <w:color w:val="000000"/>
          <w:sz w:val="24"/>
          <w:szCs w:val="24"/>
        </w:rPr>
        <w:t>范围内的资产久期，以期提高组合静态收益。权益方面，组合目前维持转债和权益资产零</w:t>
      </w:r>
      <w:proofErr w:type="gramStart"/>
      <w:r w:rsidRPr="00414345">
        <w:rPr>
          <w:color w:val="000000"/>
          <w:sz w:val="24"/>
          <w:szCs w:val="24"/>
        </w:rPr>
        <w:t>仓位</w:t>
      </w:r>
      <w:proofErr w:type="gramEnd"/>
      <w:r w:rsidRPr="00414345">
        <w:rPr>
          <w:color w:val="000000"/>
          <w:sz w:val="24"/>
          <w:szCs w:val="24"/>
        </w:rPr>
        <w:t>，以观望为主，谨慎参与市场反弹。</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919,721,325.00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96.41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919,721,325.00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96.41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11,831,283.69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22,380,152.64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953,932,761.33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30,683,000.00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30,683,000.00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153,533,325.00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20,119,000.00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3.31</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121,208,000.00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19.96</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594,178,000.00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97.85</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919,721,325.00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151.46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8431C">
        <w:trPr>
          <w:jc w:val="center"/>
        </w:trPr>
        <w:tc>
          <w:tcPr>
            <w:tcW w:w="850" w:type="dxa"/>
            <w:vAlign w:val="center"/>
          </w:tcPr>
          <w:p w:rsidR="00B8431C" w:rsidRDefault="005228C4">
            <w:pPr>
              <w:jc w:val="center"/>
            </w:pPr>
            <w:r>
              <w:rPr>
                <w:color w:val="000000"/>
                <w:sz w:val="24"/>
                <w:szCs w:val="24"/>
              </w:rPr>
              <w:t>1</w:t>
            </w:r>
          </w:p>
        </w:tc>
        <w:tc>
          <w:tcPr>
            <w:tcW w:w="1475" w:type="dxa"/>
            <w:vAlign w:val="center"/>
          </w:tcPr>
          <w:p w:rsidR="00B8431C" w:rsidRDefault="005228C4">
            <w:pPr>
              <w:jc w:val="center"/>
            </w:pPr>
            <w:r>
              <w:rPr>
                <w:color w:val="000000"/>
                <w:sz w:val="24"/>
                <w:szCs w:val="24"/>
              </w:rPr>
              <w:t>111814038</w:t>
            </w:r>
          </w:p>
        </w:tc>
        <w:tc>
          <w:tcPr>
            <w:tcW w:w="1769" w:type="dxa"/>
            <w:vAlign w:val="center"/>
          </w:tcPr>
          <w:p w:rsidR="00B8431C" w:rsidRDefault="005228C4">
            <w:pPr>
              <w:jc w:val="center"/>
            </w:pPr>
            <w:r>
              <w:rPr>
                <w:color w:val="000000"/>
                <w:sz w:val="24"/>
                <w:szCs w:val="24"/>
              </w:rPr>
              <w:t>18</w:t>
            </w:r>
            <w:r>
              <w:rPr>
                <w:color w:val="000000"/>
                <w:sz w:val="24"/>
                <w:szCs w:val="24"/>
              </w:rPr>
              <w:t>江苏银行</w:t>
            </w:r>
            <w:r>
              <w:rPr>
                <w:color w:val="000000"/>
                <w:sz w:val="24"/>
                <w:szCs w:val="24"/>
              </w:rPr>
              <w:t>CD038</w:t>
            </w:r>
          </w:p>
        </w:tc>
        <w:tc>
          <w:tcPr>
            <w:tcW w:w="1387" w:type="dxa"/>
            <w:vAlign w:val="center"/>
          </w:tcPr>
          <w:p w:rsidR="00B8431C" w:rsidRDefault="005228C4">
            <w:pPr>
              <w:jc w:val="right"/>
            </w:pPr>
            <w:r>
              <w:rPr>
                <w:color w:val="000000"/>
                <w:sz w:val="24"/>
                <w:szCs w:val="24"/>
              </w:rPr>
              <w:t>1,000,000</w:t>
            </w:r>
          </w:p>
        </w:tc>
        <w:tc>
          <w:tcPr>
            <w:tcW w:w="2150" w:type="dxa"/>
            <w:vAlign w:val="center"/>
          </w:tcPr>
          <w:p w:rsidR="00B8431C" w:rsidRDefault="005228C4">
            <w:pPr>
              <w:jc w:val="right"/>
            </w:pPr>
            <w:r>
              <w:rPr>
                <w:color w:val="000000"/>
                <w:sz w:val="24"/>
                <w:szCs w:val="24"/>
              </w:rPr>
              <w:t>95,860,000.00</w:t>
            </w:r>
          </w:p>
        </w:tc>
        <w:tc>
          <w:tcPr>
            <w:tcW w:w="1237" w:type="dxa"/>
            <w:vAlign w:val="center"/>
          </w:tcPr>
          <w:p w:rsidR="00B8431C" w:rsidRDefault="005228C4">
            <w:pPr>
              <w:jc w:val="right"/>
            </w:pPr>
            <w:r>
              <w:rPr>
                <w:color w:val="000000"/>
                <w:sz w:val="24"/>
                <w:szCs w:val="24"/>
              </w:rPr>
              <w:t>15.79</w:t>
            </w:r>
          </w:p>
        </w:tc>
      </w:tr>
      <w:tr w:rsidR="00B8431C">
        <w:trPr>
          <w:jc w:val="center"/>
        </w:trPr>
        <w:tc>
          <w:tcPr>
            <w:tcW w:w="850" w:type="dxa"/>
            <w:vAlign w:val="center"/>
          </w:tcPr>
          <w:p w:rsidR="00B8431C" w:rsidRDefault="005228C4">
            <w:pPr>
              <w:jc w:val="center"/>
            </w:pPr>
            <w:r>
              <w:rPr>
                <w:color w:val="000000"/>
                <w:sz w:val="24"/>
                <w:szCs w:val="24"/>
              </w:rPr>
              <w:t>2</w:t>
            </w:r>
          </w:p>
        </w:tc>
        <w:tc>
          <w:tcPr>
            <w:tcW w:w="1475" w:type="dxa"/>
            <w:vAlign w:val="center"/>
          </w:tcPr>
          <w:p w:rsidR="00B8431C" w:rsidRDefault="005228C4">
            <w:pPr>
              <w:jc w:val="center"/>
            </w:pPr>
            <w:r>
              <w:rPr>
                <w:color w:val="000000"/>
                <w:sz w:val="24"/>
                <w:szCs w:val="24"/>
              </w:rPr>
              <w:t>111892819</w:t>
            </w:r>
          </w:p>
        </w:tc>
        <w:tc>
          <w:tcPr>
            <w:tcW w:w="1769" w:type="dxa"/>
            <w:vAlign w:val="center"/>
          </w:tcPr>
          <w:p w:rsidR="00B8431C" w:rsidRDefault="005228C4">
            <w:pPr>
              <w:jc w:val="center"/>
            </w:pPr>
            <w:r>
              <w:rPr>
                <w:color w:val="000000"/>
                <w:sz w:val="24"/>
                <w:szCs w:val="24"/>
              </w:rPr>
              <w:t>18</w:t>
            </w:r>
            <w:r>
              <w:rPr>
                <w:color w:val="000000"/>
                <w:sz w:val="24"/>
                <w:szCs w:val="24"/>
              </w:rPr>
              <w:t>徽商银行</w:t>
            </w:r>
            <w:r>
              <w:rPr>
                <w:color w:val="000000"/>
                <w:sz w:val="24"/>
                <w:szCs w:val="24"/>
              </w:rPr>
              <w:t>CD033</w:t>
            </w:r>
          </w:p>
        </w:tc>
        <w:tc>
          <w:tcPr>
            <w:tcW w:w="1387" w:type="dxa"/>
            <w:vAlign w:val="center"/>
          </w:tcPr>
          <w:p w:rsidR="00B8431C" w:rsidRDefault="005228C4">
            <w:pPr>
              <w:jc w:val="right"/>
            </w:pPr>
            <w:r>
              <w:rPr>
                <w:color w:val="000000"/>
                <w:sz w:val="24"/>
                <w:szCs w:val="24"/>
              </w:rPr>
              <w:t>1,000,000</w:t>
            </w:r>
          </w:p>
        </w:tc>
        <w:tc>
          <w:tcPr>
            <w:tcW w:w="2150" w:type="dxa"/>
            <w:vAlign w:val="center"/>
          </w:tcPr>
          <w:p w:rsidR="00B8431C" w:rsidRDefault="005228C4">
            <w:pPr>
              <w:jc w:val="right"/>
            </w:pPr>
            <w:r>
              <w:rPr>
                <w:color w:val="000000"/>
                <w:sz w:val="24"/>
                <w:szCs w:val="24"/>
              </w:rPr>
              <w:t>95,830,000.00</w:t>
            </w:r>
          </w:p>
        </w:tc>
        <w:tc>
          <w:tcPr>
            <w:tcW w:w="1237" w:type="dxa"/>
            <w:vAlign w:val="center"/>
          </w:tcPr>
          <w:p w:rsidR="00B8431C" w:rsidRDefault="005228C4">
            <w:pPr>
              <w:jc w:val="right"/>
            </w:pPr>
            <w:r>
              <w:rPr>
                <w:color w:val="000000"/>
                <w:sz w:val="24"/>
                <w:szCs w:val="24"/>
              </w:rPr>
              <w:t>15.78</w:t>
            </w:r>
          </w:p>
        </w:tc>
      </w:tr>
      <w:tr w:rsidR="00B8431C">
        <w:trPr>
          <w:jc w:val="center"/>
        </w:trPr>
        <w:tc>
          <w:tcPr>
            <w:tcW w:w="850" w:type="dxa"/>
            <w:vAlign w:val="center"/>
          </w:tcPr>
          <w:p w:rsidR="00B8431C" w:rsidRDefault="005228C4">
            <w:pPr>
              <w:jc w:val="center"/>
            </w:pPr>
            <w:r>
              <w:rPr>
                <w:color w:val="000000"/>
                <w:sz w:val="24"/>
                <w:szCs w:val="24"/>
              </w:rPr>
              <w:t>3</w:t>
            </w:r>
          </w:p>
        </w:tc>
        <w:tc>
          <w:tcPr>
            <w:tcW w:w="1475" w:type="dxa"/>
            <w:vAlign w:val="center"/>
          </w:tcPr>
          <w:p w:rsidR="00B8431C" w:rsidRDefault="005228C4">
            <w:pPr>
              <w:jc w:val="center"/>
            </w:pPr>
            <w:r>
              <w:rPr>
                <w:color w:val="000000"/>
                <w:sz w:val="24"/>
                <w:szCs w:val="24"/>
              </w:rPr>
              <w:t>111892919</w:t>
            </w:r>
          </w:p>
        </w:tc>
        <w:tc>
          <w:tcPr>
            <w:tcW w:w="1769" w:type="dxa"/>
            <w:vAlign w:val="center"/>
          </w:tcPr>
          <w:p w:rsidR="00B8431C" w:rsidRDefault="005228C4">
            <w:pPr>
              <w:jc w:val="center"/>
            </w:pPr>
            <w:r>
              <w:rPr>
                <w:color w:val="000000"/>
                <w:sz w:val="24"/>
                <w:szCs w:val="24"/>
              </w:rPr>
              <w:t>18</w:t>
            </w:r>
            <w:r>
              <w:rPr>
                <w:color w:val="000000"/>
                <w:sz w:val="24"/>
                <w:szCs w:val="24"/>
              </w:rPr>
              <w:t>杭州银行</w:t>
            </w:r>
            <w:r>
              <w:rPr>
                <w:color w:val="000000"/>
                <w:sz w:val="24"/>
                <w:szCs w:val="24"/>
              </w:rPr>
              <w:t>CD009</w:t>
            </w:r>
          </w:p>
        </w:tc>
        <w:tc>
          <w:tcPr>
            <w:tcW w:w="1387" w:type="dxa"/>
            <w:vAlign w:val="center"/>
          </w:tcPr>
          <w:p w:rsidR="00B8431C" w:rsidRDefault="005228C4">
            <w:pPr>
              <w:jc w:val="right"/>
            </w:pPr>
            <w:r>
              <w:rPr>
                <w:color w:val="000000"/>
                <w:sz w:val="24"/>
                <w:szCs w:val="24"/>
              </w:rPr>
              <w:t>1,000,000</w:t>
            </w:r>
          </w:p>
        </w:tc>
        <w:tc>
          <w:tcPr>
            <w:tcW w:w="2150" w:type="dxa"/>
            <w:vAlign w:val="center"/>
          </w:tcPr>
          <w:p w:rsidR="00B8431C" w:rsidRDefault="005228C4">
            <w:pPr>
              <w:jc w:val="right"/>
            </w:pPr>
            <w:r>
              <w:rPr>
                <w:color w:val="000000"/>
                <w:sz w:val="24"/>
                <w:szCs w:val="24"/>
              </w:rPr>
              <w:t>95,820,000.00</w:t>
            </w:r>
          </w:p>
        </w:tc>
        <w:tc>
          <w:tcPr>
            <w:tcW w:w="1237" w:type="dxa"/>
            <w:vAlign w:val="center"/>
          </w:tcPr>
          <w:p w:rsidR="00B8431C" w:rsidRDefault="005228C4">
            <w:pPr>
              <w:jc w:val="right"/>
            </w:pPr>
            <w:r>
              <w:rPr>
                <w:color w:val="000000"/>
                <w:sz w:val="24"/>
                <w:szCs w:val="24"/>
              </w:rPr>
              <w:t>15.78</w:t>
            </w:r>
          </w:p>
        </w:tc>
      </w:tr>
      <w:tr w:rsidR="00B8431C">
        <w:trPr>
          <w:jc w:val="center"/>
        </w:trPr>
        <w:tc>
          <w:tcPr>
            <w:tcW w:w="850" w:type="dxa"/>
            <w:vAlign w:val="center"/>
          </w:tcPr>
          <w:p w:rsidR="00B8431C" w:rsidRDefault="005228C4">
            <w:pPr>
              <w:jc w:val="center"/>
            </w:pPr>
            <w:r>
              <w:rPr>
                <w:color w:val="000000"/>
                <w:sz w:val="24"/>
                <w:szCs w:val="24"/>
              </w:rPr>
              <w:t>4</w:t>
            </w:r>
          </w:p>
        </w:tc>
        <w:tc>
          <w:tcPr>
            <w:tcW w:w="1475" w:type="dxa"/>
            <w:vAlign w:val="center"/>
          </w:tcPr>
          <w:p w:rsidR="00B8431C" w:rsidRDefault="005228C4">
            <w:pPr>
              <w:jc w:val="center"/>
            </w:pPr>
            <w:r>
              <w:rPr>
                <w:color w:val="000000"/>
                <w:sz w:val="24"/>
                <w:szCs w:val="24"/>
              </w:rPr>
              <w:t>111892033</w:t>
            </w:r>
          </w:p>
        </w:tc>
        <w:tc>
          <w:tcPr>
            <w:tcW w:w="1769" w:type="dxa"/>
            <w:vAlign w:val="center"/>
          </w:tcPr>
          <w:p w:rsidR="00B8431C" w:rsidRDefault="005228C4">
            <w:pPr>
              <w:jc w:val="center"/>
            </w:pPr>
            <w:r>
              <w:rPr>
                <w:color w:val="000000"/>
                <w:sz w:val="24"/>
                <w:szCs w:val="24"/>
              </w:rPr>
              <w:t>18</w:t>
            </w:r>
            <w:r>
              <w:rPr>
                <w:color w:val="000000"/>
                <w:sz w:val="24"/>
                <w:szCs w:val="24"/>
              </w:rPr>
              <w:t>宁波银行</w:t>
            </w:r>
            <w:r>
              <w:rPr>
                <w:color w:val="000000"/>
                <w:sz w:val="24"/>
                <w:szCs w:val="24"/>
              </w:rPr>
              <w:t>CD032</w:t>
            </w:r>
          </w:p>
        </w:tc>
        <w:tc>
          <w:tcPr>
            <w:tcW w:w="1387" w:type="dxa"/>
            <w:vAlign w:val="center"/>
          </w:tcPr>
          <w:p w:rsidR="00B8431C" w:rsidRDefault="005228C4">
            <w:pPr>
              <w:jc w:val="right"/>
            </w:pPr>
            <w:r>
              <w:rPr>
                <w:color w:val="000000"/>
                <w:sz w:val="24"/>
                <w:szCs w:val="24"/>
              </w:rPr>
              <w:t>1,000,000</w:t>
            </w:r>
          </w:p>
        </w:tc>
        <w:tc>
          <w:tcPr>
            <w:tcW w:w="2150" w:type="dxa"/>
            <w:vAlign w:val="center"/>
          </w:tcPr>
          <w:p w:rsidR="00B8431C" w:rsidRDefault="005228C4">
            <w:pPr>
              <w:jc w:val="right"/>
            </w:pPr>
            <w:r>
              <w:rPr>
                <w:color w:val="000000"/>
                <w:sz w:val="24"/>
                <w:szCs w:val="24"/>
              </w:rPr>
              <w:t>95,800,000.00</w:t>
            </w:r>
          </w:p>
        </w:tc>
        <w:tc>
          <w:tcPr>
            <w:tcW w:w="1237" w:type="dxa"/>
            <w:vAlign w:val="center"/>
          </w:tcPr>
          <w:p w:rsidR="00B8431C" w:rsidRDefault="005228C4">
            <w:pPr>
              <w:jc w:val="right"/>
            </w:pPr>
            <w:r>
              <w:rPr>
                <w:color w:val="000000"/>
                <w:sz w:val="24"/>
                <w:szCs w:val="24"/>
              </w:rPr>
              <w:t>15.78</w:t>
            </w:r>
          </w:p>
        </w:tc>
      </w:tr>
      <w:tr w:rsidR="00B8431C">
        <w:trPr>
          <w:jc w:val="center"/>
        </w:trPr>
        <w:tc>
          <w:tcPr>
            <w:tcW w:w="850" w:type="dxa"/>
            <w:vAlign w:val="center"/>
          </w:tcPr>
          <w:p w:rsidR="00B8431C" w:rsidRDefault="005228C4">
            <w:pPr>
              <w:jc w:val="center"/>
            </w:pPr>
            <w:r>
              <w:rPr>
                <w:color w:val="000000"/>
                <w:sz w:val="24"/>
                <w:szCs w:val="24"/>
              </w:rPr>
              <w:t>5</w:t>
            </w:r>
          </w:p>
        </w:tc>
        <w:tc>
          <w:tcPr>
            <w:tcW w:w="1475" w:type="dxa"/>
            <w:vAlign w:val="center"/>
          </w:tcPr>
          <w:p w:rsidR="00B8431C" w:rsidRDefault="005228C4">
            <w:pPr>
              <w:jc w:val="center"/>
            </w:pPr>
            <w:r>
              <w:rPr>
                <w:color w:val="000000"/>
                <w:sz w:val="24"/>
                <w:szCs w:val="24"/>
              </w:rPr>
              <w:t>136133</w:t>
            </w:r>
          </w:p>
        </w:tc>
        <w:tc>
          <w:tcPr>
            <w:tcW w:w="1769" w:type="dxa"/>
            <w:vAlign w:val="center"/>
          </w:tcPr>
          <w:p w:rsidR="00B8431C" w:rsidRDefault="005228C4">
            <w:pPr>
              <w:jc w:val="center"/>
            </w:pPr>
            <w:r>
              <w:rPr>
                <w:color w:val="000000"/>
                <w:sz w:val="24"/>
                <w:szCs w:val="24"/>
              </w:rPr>
              <w:t>16</w:t>
            </w:r>
            <w:r>
              <w:rPr>
                <w:color w:val="000000"/>
                <w:sz w:val="24"/>
                <w:szCs w:val="24"/>
              </w:rPr>
              <w:t>国电</w:t>
            </w:r>
            <w:r>
              <w:rPr>
                <w:color w:val="000000"/>
                <w:sz w:val="24"/>
                <w:szCs w:val="24"/>
              </w:rPr>
              <w:t>01</w:t>
            </w:r>
          </w:p>
        </w:tc>
        <w:tc>
          <w:tcPr>
            <w:tcW w:w="1387" w:type="dxa"/>
            <w:vAlign w:val="center"/>
          </w:tcPr>
          <w:p w:rsidR="00B8431C" w:rsidRDefault="005228C4">
            <w:pPr>
              <w:jc w:val="right"/>
            </w:pPr>
            <w:r>
              <w:rPr>
                <w:color w:val="000000"/>
                <w:sz w:val="24"/>
                <w:szCs w:val="24"/>
              </w:rPr>
              <w:t>530,000</w:t>
            </w:r>
          </w:p>
        </w:tc>
        <w:tc>
          <w:tcPr>
            <w:tcW w:w="2150" w:type="dxa"/>
            <w:vAlign w:val="center"/>
          </w:tcPr>
          <w:p w:rsidR="00B8431C" w:rsidRDefault="005228C4">
            <w:pPr>
              <w:jc w:val="right"/>
            </w:pPr>
            <w:r>
              <w:rPr>
                <w:color w:val="000000"/>
                <w:sz w:val="24"/>
                <w:szCs w:val="24"/>
              </w:rPr>
              <w:t>52,899,300.00</w:t>
            </w:r>
          </w:p>
        </w:tc>
        <w:tc>
          <w:tcPr>
            <w:tcW w:w="1237" w:type="dxa"/>
            <w:vAlign w:val="center"/>
          </w:tcPr>
          <w:p w:rsidR="00B8431C" w:rsidRDefault="005228C4">
            <w:pPr>
              <w:jc w:val="right"/>
            </w:pPr>
            <w:r>
              <w:rPr>
                <w:color w:val="000000"/>
                <w:sz w:val="24"/>
                <w:szCs w:val="24"/>
              </w:rPr>
              <w:t>8.71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18</w:t>
      </w:r>
      <w:r w:rsidRPr="00BE5388">
        <w:rPr>
          <w:bCs/>
          <w:color w:val="000000"/>
          <w:kern w:val="0"/>
          <w:sz w:val="24"/>
          <w:szCs w:val="24"/>
        </w:rPr>
        <w:t>南京银行</w:t>
      </w:r>
      <w:r w:rsidRPr="00BE5388">
        <w:rPr>
          <w:bCs/>
          <w:color w:val="000000"/>
          <w:kern w:val="0"/>
          <w:sz w:val="24"/>
          <w:szCs w:val="24"/>
        </w:rPr>
        <w:t>CD027</w:t>
      </w:r>
      <w:r w:rsidRPr="00BE5388">
        <w:rPr>
          <w:bCs/>
          <w:color w:val="000000"/>
          <w:kern w:val="0"/>
          <w:sz w:val="24"/>
          <w:szCs w:val="24"/>
        </w:rPr>
        <w:t>（证券代码：</w:t>
      </w:r>
      <w:r w:rsidRPr="00BE5388">
        <w:rPr>
          <w:bCs/>
          <w:color w:val="000000"/>
          <w:kern w:val="0"/>
          <w:sz w:val="24"/>
          <w:szCs w:val="24"/>
        </w:rPr>
        <w:t>111892301</w:t>
      </w:r>
      <w:r w:rsidRPr="00BE5388">
        <w:rPr>
          <w:bCs/>
          <w:color w:val="000000"/>
          <w:kern w:val="0"/>
          <w:sz w:val="24"/>
          <w:szCs w:val="24"/>
        </w:rPr>
        <w:t>）外，未出现被监管部门立案调查，或在报告编制日前一年内受到公开谴责、处罚的情形。</w:t>
      </w:r>
    </w:p>
    <w:p w:rsidR="00B8431C" w:rsidRDefault="005228C4">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18</w:t>
      </w:r>
      <w:r>
        <w:rPr>
          <w:bCs/>
          <w:color w:val="000000"/>
          <w:kern w:val="0"/>
          <w:sz w:val="24"/>
          <w:szCs w:val="24"/>
        </w:rPr>
        <w:t>南京银行</w:t>
      </w:r>
      <w:r>
        <w:rPr>
          <w:bCs/>
          <w:color w:val="000000"/>
          <w:kern w:val="0"/>
          <w:sz w:val="24"/>
          <w:szCs w:val="24"/>
        </w:rPr>
        <w:t>CD027</w:t>
      </w:r>
      <w:r>
        <w:rPr>
          <w:bCs/>
          <w:color w:val="000000"/>
          <w:kern w:val="0"/>
          <w:sz w:val="24"/>
          <w:szCs w:val="24"/>
        </w:rPr>
        <w:t>（证券代码：</w:t>
      </w:r>
      <w:r>
        <w:rPr>
          <w:bCs/>
          <w:color w:val="000000"/>
          <w:kern w:val="0"/>
          <w:sz w:val="24"/>
          <w:szCs w:val="24"/>
        </w:rPr>
        <w:t>111892301</w:t>
      </w:r>
      <w:r>
        <w:rPr>
          <w:bCs/>
          <w:color w:val="000000"/>
          <w:kern w:val="0"/>
          <w:sz w:val="24"/>
          <w:szCs w:val="24"/>
        </w:rPr>
        <w:t>）的发行主体南京银行于</w:t>
      </w:r>
      <w:r>
        <w:rPr>
          <w:bCs/>
          <w:color w:val="000000"/>
          <w:kern w:val="0"/>
          <w:sz w:val="24"/>
          <w:szCs w:val="24"/>
        </w:rPr>
        <w:t>2018</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30</w:t>
      </w:r>
      <w:r>
        <w:rPr>
          <w:bCs/>
          <w:color w:val="000000"/>
          <w:kern w:val="0"/>
          <w:sz w:val="24"/>
          <w:szCs w:val="24"/>
        </w:rPr>
        <w:t>日公告，公司收到中国银行业监督管理委员会江苏监管局行政处罚决定书（苏银</w:t>
      </w:r>
      <w:proofErr w:type="gramStart"/>
      <w:r>
        <w:rPr>
          <w:bCs/>
          <w:color w:val="000000"/>
          <w:kern w:val="0"/>
          <w:sz w:val="24"/>
          <w:szCs w:val="24"/>
        </w:rPr>
        <w:t>监罚决</w:t>
      </w:r>
      <w:proofErr w:type="gramEnd"/>
      <w:r>
        <w:rPr>
          <w:bCs/>
          <w:color w:val="000000"/>
          <w:kern w:val="0"/>
          <w:sz w:val="24"/>
          <w:szCs w:val="24"/>
        </w:rPr>
        <w:t>字【</w:t>
      </w:r>
      <w:r>
        <w:rPr>
          <w:bCs/>
          <w:color w:val="000000"/>
          <w:kern w:val="0"/>
          <w:sz w:val="24"/>
          <w:szCs w:val="24"/>
        </w:rPr>
        <w:t>2018</w:t>
      </w:r>
      <w:r>
        <w:rPr>
          <w:bCs/>
          <w:color w:val="000000"/>
          <w:kern w:val="0"/>
          <w:sz w:val="24"/>
          <w:szCs w:val="24"/>
        </w:rPr>
        <w:t>】</w:t>
      </w:r>
      <w:r>
        <w:rPr>
          <w:bCs/>
          <w:color w:val="000000"/>
          <w:kern w:val="0"/>
          <w:sz w:val="24"/>
          <w:szCs w:val="24"/>
        </w:rPr>
        <w:t>1</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B8431C" w:rsidRDefault="005228C4">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w:t>
      </w:r>
      <w:proofErr w:type="gramStart"/>
      <w:r>
        <w:rPr>
          <w:bCs/>
          <w:color w:val="000000"/>
          <w:kern w:val="0"/>
          <w:sz w:val="24"/>
          <w:szCs w:val="24"/>
        </w:rPr>
        <w:t>个券</w:t>
      </w:r>
      <w:proofErr w:type="gramEnd"/>
      <w:r>
        <w:rPr>
          <w:bCs/>
          <w:color w:val="000000"/>
          <w:kern w:val="0"/>
          <w:sz w:val="24"/>
          <w:szCs w:val="24"/>
        </w:rPr>
        <w:t>的投资有严格的投资决策流程控制。本基金在对该证券的投资也严格执行投资决策流程。在对该证券的选择上，严格执行公司</w:t>
      </w:r>
      <w:proofErr w:type="gramStart"/>
      <w:r>
        <w:rPr>
          <w:bCs/>
          <w:color w:val="000000"/>
          <w:kern w:val="0"/>
          <w:sz w:val="24"/>
          <w:szCs w:val="24"/>
        </w:rPr>
        <w:t>个券</w:t>
      </w:r>
      <w:proofErr w:type="gramEnd"/>
      <w:r>
        <w:rPr>
          <w:bCs/>
          <w:color w:val="000000"/>
          <w:kern w:val="0"/>
          <w:sz w:val="24"/>
          <w:szCs w:val="24"/>
        </w:rPr>
        <w:t>审核流程。在对该证券的</w:t>
      </w:r>
      <w:r>
        <w:rPr>
          <w:bCs/>
          <w:color w:val="000000"/>
          <w:kern w:val="0"/>
          <w:sz w:val="24"/>
          <w:szCs w:val="24"/>
        </w:rPr>
        <w:t>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7,457.84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22,371,179.68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1,515.12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22,380,152.64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bookmarkStart w:id="0" w:name="_GoBack"/>
      <w:bookmarkEnd w:id="0"/>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584,864,035.98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145,645.14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14,629,985.66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570,379,695.46</w:t>
            </w:r>
          </w:p>
        </w:tc>
      </w:tr>
    </w:tbl>
    <w:p w:rsidR="00B8431C" w:rsidRDefault="005228C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B8431C">
        <w:tc>
          <w:tcPr>
            <w:tcW w:w="993" w:type="dxa"/>
            <w:vMerge w:val="restart"/>
          </w:tcPr>
          <w:p w:rsidR="00B8431C" w:rsidRDefault="00B8431C"/>
          <w:p w:rsidR="00B8431C" w:rsidRDefault="005228C4">
            <w:r>
              <w:rPr>
                <w:rFonts w:ascii="宋体" w:hAnsi="宋体" w:hint="eastAsia"/>
                <w:bCs/>
                <w:color w:val="000000"/>
                <w:kern w:val="0"/>
              </w:rPr>
              <w:t>机构</w:t>
            </w:r>
          </w:p>
        </w:tc>
        <w:tc>
          <w:tcPr>
            <w:tcW w:w="992" w:type="dxa"/>
            <w:vAlign w:val="center"/>
          </w:tcPr>
          <w:p w:rsidR="00B8431C" w:rsidRDefault="005228C4">
            <w:pPr>
              <w:jc w:val="center"/>
            </w:pPr>
            <w:r>
              <w:rPr>
                <w:rFonts w:ascii="宋体" w:hAnsi="宋体"/>
                <w:color w:val="000000"/>
                <w:kern w:val="0"/>
              </w:rPr>
              <w:t>1</w:t>
            </w:r>
          </w:p>
        </w:tc>
        <w:tc>
          <w:tcPr>
            <w:tcW w:w="1843" w:type="dxa"/>
            <w:vAlign w:val="center"/>
          </w:tcPr>
          <w:p w:rsidR="00B8431C" w:rsidRDefault="005228C4">
            <w:pPr>
              <w:jc w:val="center"/>
            </w:pPr>
            <w:r>
              <w:rPr>
                <w:rFonts w:ascii="宋体" w:hAnsi="宋体"/>
                <w:color w:val="000000"/>
                <w:kern w:val="0"/>
              </w:rPr>
              <w:t>2018/7/1-2018/9/30</w:t>
            </w:r>
          </w:p>
        </w:tc>
        <w:tc>
          <w:tcPr>
            <w:tcW w:w="851" w:type="dxa"/>
            <w:vAlign w:val="center"/>
          </w:tcPr>
          <w:p w:rsidR="00B8431C" w:rsidRDefault="005228C4">
            <w:pPr>
              <w:jc w:val="center"/>
            </w:pPr>
            <w:r>
              <w:rPr>
                <w:rFonts w:ascii="宋体" w:hAnsi="宋体"/>
                <w:color w:val="000000"/>
                <w:kern w:val="0"/>
              </w:rPr>
              <w:t>200,017,000.00</w:t>
            </w:r>
          </w:p>
        </w:tc>
        <w:tc>
          <w:tcPr>
            <w:tcW w:w="850" w:type="dxa"/>
            <w:vAlign w:val="center"/>
          </w:tcPr>
          <w:p w:rsidR="00B8431C" w:rsidRDefault="005228C4">
            <w:pPr>
              <w:jc w:val="center"/>
            </w:pPr>
            <w:r>
              <w:rPr>
                <w:rFonts w:ascii="宋体" w:hAnsi="宋体"/>
                <w:color w:val="000000"/>
                <w:kern w:val="0"/>
              </w:rPr>
              <w:t>-</w:t>
            </w:r>
          </w:p>
        </w:tc>
        <w:tc>
          <w:tcPr>
            <w:tcW w:w="1134" w:type="dxa"/>
            <w:vAlign w:val="center"/>
          </w:tcPr>
          <w:p w:rsidR="00B8431C" w:rsidRDefault="005228C4">
            <w:pPr>
              <w:jc w:val="center"/>
            </w:pPr>
            <w:r>
              <w:rPr>
                <w:rFonts w:ascii="宋体" w:hAnsi="宋体"/>
                <w:color w:val="000000"/>
                <w:kern w:val="0"/>
              </w:rPr>
              <w:t>-</w:t>
            </w:r>
          </w:p>
        </w:tc>
        <w:tc>
          <w:tcPr>
            <w:tcW w:w="1419" w:type="dxa"/>
            <w:vAlign w:val="center"/>
          </w:tcPr>
          <w:p w:rsidR="00B8431C" w:rsidRDefault="005228C4">
            <w:pPr>
              <w:jc w:val="center"/>
            </w:pPr>
            <w:r>
              <w:rPr>
                <w:rFonts w:ascii="宋体" w:hAnsi="宋体"/>
                <w:color w:val="000000"/>
                <w:kern w:val="0"/>
              </w:rPr>
              <w:t>200,017,000.00</w:t>
            </w:r>
          </w:p>
        </w:tc>
        <w:tc>
          <w:tcPr>
            <w:tcW w:w="1130" w:type="dxa"/>
            <w:vAlign w:val="center"/>
          </w:tcPr>
          <w:p w:rsidR="00B8431C" w:rsidRDefault="005228C4">
            <w:pPr>
              <w:jc w:val="center"/>
            </w:pPr>
            <w:r>
              <w:rPr>
                <w:rFonts w:ascii="宋体" w:hAnsi="宋体"/>
                <w:color w:val="000000"/>
                <w:kern w:val="0"/>
              </w:rPr>
              <w:t>35.07%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8431C" w:rsidRDefault="005228C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、中国证监会准予交银施罗德荣鑫保本混合型证券投资基金募集注册的文件；</w:t>
      </w:r>
      <w:r>
        <w:rPr>
          <w:color w:val="000000"/>
          <w:sz w:val="24"/>
          <w:szCs w:val="24"/>
        </w:rPr>
        <w:t xml:space="preserve"> </w:t>
      </w:r>
    </w:p>
    <w:p w:rsidR="00B8431C" w:rsidRDefault="005228C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、《交银施罗德荣鑫保本混合型证券投资基金基金合同》；</w:t>
      </w:r>
      <w:r>
        <w:rPr>
          <w:color w:val="000000"/>
          <w:sz w:val="24"/>
          <w:szCs w:val="24"/>
        </w:rPr>
        <w:t xml:space="preserve"> </w:t>
      </w:r>
    </w:p>
    <w:p w:rsidR="00B8431C" w:rsidRDefault="005228C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、《交银施罗德荣鑫保本混合型证券投资基金招募说明书》；</w:t>
      </w:r>
      <w:r>
        <w:rPr>
          <w:color w:val="000000"/>
          <w:sz w:val="24"/>
          <w:szCs w:val="24"/>
        </w:rPr>
        <w:t xml:space="preserve"> </w:t>
      </w:r>
    </w:p>
    <w:p w:rsidR="00B8431C" w:rsidRDefault="005228C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、《交银施罗德荣鑫保本混合型证券投资基金托管协议》；</w:t>
      </w:r>
      <w:r>
        <w:rPr>
          <w:color w:val="000000"/>
          <w:sz w:val="24"/>
          <w:szCs w:val="24"/>
        </w:rPr>
        <w:t xml:space="preserve"> </w:t>
      </w:r>
    </w:p>
    <w:p w:rsidR="00B8431C" w:rsidRDefault="005228C4">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、关于申请募集注册交银施罗德荣鑫保本混合型证券投资基金的法律意见书；</w:t>
      </w:r>
      <w:r>
        <w:rPr>
          <w:color w:val="000000"/>
          <w:sz w:val="24"/>
          <w:szCs w:val="24"/>
        </w:rPr>
        <w:t xml:space="preserve"> </w:t>
      </w:r>
    </w:p>
    <w:p w:rsidR="00B8431C" w:rsidRDefault="005228C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8431C" w:rsidRDefault="005228C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B8431C" w:rsidRDefault="005228C4">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、报告期内交银施罗德荣鑫保本混合型证券投资基金在指定报刊上各项公告的原稿。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8431C" w:rsidRDefault="005228C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228C4">
      <w:rPr>
        <w:noProof/>
        <w:kern w:val="0"/>
        <w:szCs w:val="21"/>
      </w:rPr>
      <w:t>13</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5228C4">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交银施罗德荣鑫保本混合型证券投资基金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1241"/>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28C4"/>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431C"/>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0522F2D-BEA3-404F-87CD-2063FE8C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BCC5-A202-4256-BC2F-0C6287A0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13</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汪亚中</cp:lastModifiedBy>
  <cp:revision>580</cp:revision>
  <dcterms:created xsi:type="dcterms:W3CDTF">2012-10-16T06:07:00Z</dcterms:created>
  <dcterms:modified xsi:type="dcterms:W3CDTF">2018-10-18T07:59:00Z</dcterms:modified>
</cp:coreProperties>
</file>