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0500C" w:rsidRDefault="003E5BE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0500C" w:rsidRDefault="003E5BE4">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0500C" w:rsidRDefault="003E5BE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0500C" w:rsidRDefault="003E5BE4">
      <w:pPr>
        <w:spacing w:before="29" w:line="288" w:lineRule="auto"/>
        <w:ind w:firstLineChars="200" w:firstLine="480"/>
        <w:rPr>
          <w:color w:val="000000"/>
          <w:sz w:val="24"/>
          <w:szCs w:val="24"/>
        </w:rPr>
      </w:pPr>
      <w:r>
        <w:rPr>
          <w:color w:val="000000"/>
          <w:sz w:val="24"/>
          <w:szCs w:val="24"/>
        </w:rPr>
        <w:t>基金的过往业绩并不代表其未来表现。投资有</w:t>
      </w:r>
      <w:r>
        <w:rPr>
          <w:color w:val="000000"/>
          <w:sz w:val="24"/>
          <w:szCs w:val="24"/>
        </w:rPr>
        <w:t>风险，投资者在作出投资决策前应仔细阅读本基金的招募说明书。</w:t>
      </w:r>
      <w:r>
        <w:rPr>
          <w:color w:val="000000"/>
          <w:sz w:val="24"/>
          <w:szCs w:val="24"/>
        </w:rPr>
        <w:t xml:space="preserve"> </w:t>
      </w:r>
    </w:p>
    <w:p w:rsidR="0080500C" w:rsidRDefault="003E5BE4">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69,075,238.58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中证综合</w:t>
            </w:r>
            <w:r w:rsidRPr="00414345">
              <w:rPr>
                <w:color w:val="000000"/>
                <w:kern w:val="0"/>
                <w:sz w:val="24"/>
                <w:szCs w:val="24"/>
              </w:rPr>
              <w:lastRenderedPageBreak/>
              <w:t>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本基金是一只混合型基金，以成长型股票为主要投资对象，其风险和预期收益高于债券型基金和货币市场基金，低于股票型基金。属于承担较高风险、预期收益较高的证券投资基金品种。</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31672" w:rsidRPr="00414345" w:rsidTr="00A3167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A31672" w:rsidRPr="00414345" w:rsidTr="00A3167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-6,455,161.30</w:t>
            </w:r>
          </w:p>
        </w:tc>
      </w:tr>
      <w:tr w:rsidR="00A31672" w:rsidRPr="00414345" w:rsidTr="00A3167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-2,745,008.59</w:t>
            </w:r>
          </w:p>
        </w:tc>
      </w:tr>
      <w:tr w:rsidR="00A31672" w:rsidRPr="00414345" w:rsidTr="00A3167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-0.0395</w:t>
            </w:r>
          </w:p>
        </w:tc>
      </w:tr>
      <w:tr w:rsidR="00A31672" w:rsidRPr="00414345" w:rsidTr="00A3167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57,274,796.31</w:t>
            </w:r>
          </w:p>
        </w:tc>
      </w:tr>
      <w:tr w:rsidR="00A31672" w:rsidRPr="00414345" w:rsidTr="00A3167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0.829</w:t>
            </w:r>
          </w:p>
        </w:tc>
      </w:tr>
    </w:tbl>
    <w:p w:rsidR="0080500C" w:rsidRDefault="003E5BE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0500C">
        <w:trPr>
          <w:jc w:val="center"/>
        </w:trPr>
        <w:tc>
          <w:tcPr>
            <w:tcW w:w="1701" w:type="dxa"/>
            <w:vAlign w:val="center"/>
          </w:tcPr>
          <w:p w:rsidR="0080500C" w:rsidRDefault="003E5BE4">
            <w:pPr>
              <w:jc w:val="left"/>
            </w:pPr>
            <w:r>
              <w:rPr>
                <w:color w:val="000000"/>
                <w:sz w:val="24"/>
                <w:szCs w:val="24"/>
              </w:rPr>
              <w:t>过去三个月</w:t>
            </w:r>
          </w:p>
        </w:tc>
        <w:tc>
          <w:tcPr>
            <w:tcW w:w="1045" w:type="dxa"/>
            <w:vAlign w:val="center"/>
          </w:tcPr>
          <w:p w:rsidR="0080500C" w:rsidRDefault="003E5BE4">
            <w:pPr>
              <w:jc w:val="center"/>
            </w:pPr>
            <w:r>
              <w:rPr>
                <w:color w:val="000000"/>
                <w:sz w:val="24"/>
                <w:szCs w:val="24"/>
              </w:rPr>
              <w:t>-4.60%</w:t>
            </w:r>
          </w:p>
        </w:tc>
        <w:tc>
          <w:tcPr>
            <w:tcW w:w="1344" w:type="dxa"/>
            <w:vAlign w:val="center"/>
          </w:tcPr>
          <w:p w:rsidR="0080500C" w:rsidRDefault="003E5BE4">
            <w:pPr>
              <w:jc w:val="center"/>
            </w:pPr>
            <w:r>
              <w:rPr>
                <w:color w:val="000000"/>
                <w:sz w:val="24"/>
                <w:szCs w:val="24"/>
              </w:rPr>
              <w:t>1.68%</w:t>
            </w:r>
          </w:p>
        </w:tc>
        <w:tc>
          <w:tcPr>
            <w:tcW w:w="1194" w:type="dxa"/>
            <w:vAlign w:val="center"/>
          </w:tcPr>
          <w:p w:rsidR="0080500C" w:rsidRDefault="003E5BE4">
            <w:pPr>
              <w:jc w:val="center"/>
            </w:pPr>
            <w:r>
              <w:rPr>
                <w:color w:val="000000"/>
                <w:sz w:val="24"/>
                <w:szCs w:val="24"/>
              </w:rPr>
              <w:t>-6.28%</w:t>
            </w:r>
          </w:p>
        </w:tc>
        <w:tc>
          <w:tcPr>
            <w:tcW w:w="1492" w:type="dxa"/>
            <w:vAlign w:val="center"/>
          </w:tcPr>
          <w:p w:rsidR="0080500C" w:rsidRDefault="003E5BE4">
            <w:pPr>
              <w:jc w:val="center"/>
            </w:pPr>
            <w:r>
              <w:rPr>
                <w:color w:val="000000"/>
                <w:sz w:val="24"/>
                <w:szCs w:val="24"/>
              </w:rPr>
              <w:t>1.08%</w:t>
            </w:r>
          </w:p>
        </w:tc>
        <w:tc>
          <w:tcPr>
            <w:tcW w:w="1194" w:type="dxa"/>
            <w:vAlign w:val="center"/>
          </w:tcPr>
          <w:p w:rsidR="0080500C" w:rsidRDefault="003E5BE4">
            <w:pPr>
              <w:jc w:val="center"/>
            </w:pPr>
            <w:r>
              <w:rPr>
                <w:color w:val="000000"/>
                <w:sz w:val="24"/>
                <w:szCs w:val="24"/>
              </w:rPr>
              <w:t>1.68%</w:t>
            </w:r>
          </w:p>
        </w:tc>
        <w:tc>
          <w:tcPr>
            <w:tcW w:w="898" w:type="dxa"/>
            <w:vAlign w:val="center"/>
          </w:tcPr>
          <w:p w:rsidR="0080500C" w:rsidRDefault="003E5BE4">
            <w:pPr>
              <w:jc w:val="center"/>
            </w:pPr>
            <w:r>
              <w:rPr>
                <w:color w:val="000000"/>
                <w:sz w:val="24"/>
                <w:szCs w:val="24"/>
              </w:rPr>
              <w:t>0.60%</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w:t>
      </w:r>
      <w:r w:rsidRPr="00414345">
        <w:rPr>
          <w:color w:val="000000"/>
          <w:sz w:val="24"/>
          <w:szCs w:val="24"/>
        </w:rPr>
        <w:lastRenderedPageBreak/>
        <w:t>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w:t>
      </w:r>
      <w:r w:rsidRPr="00414345">
        <w:rPr>
          <w:color w:val="000000"/>
          <w:sz w:val="24"/>
          <w:szCs w:val="24"/>
        </w:rPr>
        <w:t>30</w:t>
      </w:r>
      <w:r w:rsidRPr="00414345">
        <w:rPr>
          <w:color w:val="000000"/>
          <w:sz w:val="24"/>
          <w:szCs w:val="24"/>
        </w:rPr>
        <w:t>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0500C">
        <w:trPr>
          <w:jc w:val="center"/>
        </w:trPr>
        <w:tc>
          <w:tcPr>
            <w:tcW w:w="846" w:type="dxa"/>
            <w:vAlign w:val="center"/>
          </w:tcPr>
          <w:p w:rsidR="0080500C" w:rsidRDefault="003E5BE4">
            <w:pPr>
              <w:jc w:val="center"/>
            </w:pPr>
            <w:r>
              <w:rPr>
                <w:color w:val="000000"/>
                <w:sz w:val="24"/>
                <w:szCs w:val="24"/>
              </w:rPr>
              <w:t>王少成</w:t>
            </w:r>
          </w:p>
        </w:tc>
        <w:tc>
          <w:tcPr>
            <w:tcW w:w="845" w:type="dxa"/>
            <w:vAlign w:val="center"/>
          </w:tcPr>
          <w:p w:rsidR="0080500C" w:rsidRDefault="003E5BE4">
            <w:pPr>
              <w:jc w:val="center"/>
            </w:pPr>
            <w:r>
              <w:rPr>
                <w:color w:val="000000"/>
                <w:sz w:val="24"/>
                <w:szCs w:val="24"/>
              </w:rPr>
              <w:t>交银成长混合、交银蓝筹</w:t>
            </w:r>
            <w:r>
              <w:rPr>
                <w:color w:val="000000"/>
                <w:sz w:val="24"/>
                <w:szCs w:val="24"/>
              </w:rPr>
              <w:lastRenderedPageBreak/>
              <w:t>混合、交银成长</w:t>
            </w:r>
            <w:r>
              <w:rPr>
                <w:color w:val="000000"/>
                <w:sz w:val="24"/>
                <w:szCs w:val="24"/>
              </w:rPr>
              <w:t>30</w:t>
            </w:r>
            <w:r>
              <w:rPr>
                <w:color w:val="000000"/>
                <w:sz w:val="24"/>
                <w:szCs w:val="24"/>
              </w:rPr>
              <w:t>混合、交银恒益灵活配置混合的基金经理，公司权益投资总监</w:t>
            </w:r>
          </w:p>
        </w:tc>
        <w:tc>
          <w:tcPr>
            <w:tcW w:w="1549" w:type="dxa"/>
            <w:vAlign w:val="center"/>
          </w:tcPr>
          <w:p w:rsidR="0080500C" w:rsidRDefault="003E5BE4">
            <w:pPr>
              <w:jc w:val="center"/>
            </w:pPr>
            <w:r>
              <w:rPr>
                <w:color w:val="000000"/>
                <w:sz w:val="24"/>
                <w:szCs w:val="24"/>
              </w:rPr>
              <w:lastRenderedPageBreak/>
              <w:t>2013-07-02</w:t>
            </w:r>
          </w:p>
        </w:tc>
        <w:tc>
          <w:tcPr>
            <w:tcW w:w="1548" w:type="dxa"/>
            <w:vAlign w:val="center"/>
          </w:tcPr>
          <w:p w:rsidR="0080500C" w:rsidRDefault="003E5BE4">
            <w:pPr>
              <w:jc w:val="center"/>
            </w:pPr>
            <w:r>
              <w:rPr>
                <w:color w:val="000000"/>
                <w:sz w:val="24"/>
                <w:szCs w:val="24"/>
              </w:rPr>
              <w:t>-</w:t>
            </w:r>
          </w:p>
        </w:tc>
        <w:tc>
          <w:tcPr>
            <w:tcW w:w="1407" w:type="dxa"/>
            <w:vAlign w:val="center"/>
          </w:tcPr>
          <w:p w:rsidR="0080500C" w:rsidRDefault="003E5BE4">
            <w:pPr>
              <w:jc w:val="center"/>
            </w:pPr>
            <w:r>
              <w:rPr>
                <w:color w:val="000000"/>
                <w:sz w:val="24"/>
                <w:szCs w:val="24"/>
              </w:rPr>
              <w:t>14</w:t>
            </w:r>
            <w:r>
              <w:rPr>
                <w:color w:val="000000"/>
                <w:sz w:val="24"/>
                <w:szCs w:val="24"/>
              </w:rPr>
              <w:t>年</w:t>
            </w:r>
          </w:p>
        </w:tc>
        <w:tc>
          <w:tcPr>
            <w:tcW w:w="2673" w:type="dxa"/>
            <w:vAlign w:val="center"/>
          </w:tcPr>
          <w:p w:rsidR="0080500C" w:rsidRDefault="003E5BE4">
            <w:r>
              <w:rPr>
                <w:color w:val="000000"/>
                <w:sz w:val="24"/>
                <w:szCs w:val="24"/>
              </w:rPr>
              <w:t>王少成先生，复旦大学硕士学历。历任上海融昌资产管理公司研究员，中原证券投资经理，信诚基金管理有限公司</w:t>
            </w:r>
            <w:r>
              <w:rPr>
                <w:color w:val="000000"/>
                <w:sz w:val="24"/>
                <w:szCs w:val="24"/>
              </w:rPr>
              <w:lastRenderedPageBreak/>
              <w:t>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w:t>
            </w:r>
            <w:r>
              <w:rPr>
                <w:color w:val="000000"/>
                <w:sz w:val="24"/>
                <w:szCs w:val="24"/>
              </w:rPr>
              <w:t>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5</w:t>
            </w:r>
            <w:r>
              <w:rPr>
                <w:color w:val="000000"/>
                <w:sz w:val="24"/>
                <w:szCs w:val="24"/>
              </w:rPr>
              <w:t>月</w:t>
            </w:r>
            <w:r>
              <w:rPr>
                <w:color w:val="000000"/>
                <w:sz w:val="24"/>
                <w:szCs w:val="24"/>
              </w:rPr>
              <w:t>15</w:t>
            </w:r>
            <w:r>
              <w:rPr>
                <w:color w:val="000000"/>
                <w:sz w:val="24"/>
                <w:szCs w:val="24"/>
              </w:rPr>
              <w:t>日担任交银施罗德荣和保本混合型证券投资基金的基金经理，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7</w:t>
            </w:r>
            <w:r>
              <w:rPr>
                <w:color w:val="000000"/>
                <w:sz w:val="24"/>
                <w:szCs w:val="24"/>
              </w:rPr>
              <w:t>日担任交银施罗德策略回报灵活配置混合型证券投资基金的基金经理。</w:t>
            </w:r>
          </w:p>
        </w:tc>
      </w:tr>
      <w:tr w:rsidR="0080500C">
        <w:trPr>
          <w:jc w:val="center"/>
        </w:trPr>
        <w:tc>
          <w:tcPr>
            <w:tcW w:w="846" w:type="dxa"/>
            <w:vAlign w:val="center"/>
          </w:tcPr>
          <w:p w:rsidR="0080500C" w:rsidRDefault="003E5BE4">
            <w:pPr>
              <w:jc w:val="center"/>
            </w:pPr>
            <w:r>
              <w:rPr>
                <w:color w:val="000000"/>
                <w:sz w:val="24"/>
                <w:szCs w:val="24"/>
              </w:rPr>
              <w:lastRenderedPageBreak/>
              <w:t>郭斐</w:t>
            </w:r>
          </w:p>
        </w:tc>
        <w:tc>
          <w:tcPr>
            <w:tcW w:w="845" w:type="dxa"/>
            <w:vAlign w:val="center"/>
          </w:tcPr>
          <w:p w:rsidR="0080500C" w:rsidRDefault="003E5BE4">
            <w:pPr>
              <w:jc w:val="center"/>
            </w:pPr>
            <w:r>
              <w:rPr>
                <w:color w:val="000000"/>
                <w:sz w:val="24"/>
                <w:szCs w:val="24"/>
              </w:rPr>
              <w:t>交银成长</w:t>
            </w:r>
            <w:r>
              <w:rPr>
                <w:color w:val="000000"/>
                <w:sz w:val="24"/>
                <w:szCs w:val="24"/>
              </w:rPr>
              <w:t>30</w:t>
            </w:r>
            <w:r>
              <w:rPr>
                <w:color w:val="000000"/>
                <w:sz w:val="24"/>
                <w:szCs w:val="24"/>
              </w:rPr>
              <w:t>混合、交银经</w:t>
            </w:r>
            <w:r>
              <w:rPr>
                <w:color w:val="000000"/>
                <w:sz w:val="24"/>
                <w:szCs w:val="24"/>
              </w:rPr>
              <w:lastRenderedPageBreak/>
              <w:t>济新动力混合的基金经理</w:t>
            </w:r>
          </w:p>
        </w:tc>
        <w:tc>
          <w:tcPr>
            <w:tcW w:w="1549" w:type="dxa"/>
            <w:vAlign w:val="center"/>
          </w:tcPr>
          <w:p w:rsidR="0080500C" w:rsidRDefault="003E5BE4">
            <w:pPr>
              <w:jc w:val="center"/>
            </w:pPr>
            <w:r>
              <w:rPr>
                <w:color w:val="000000"/>
                <w:sz w:val="24"/>
                <w:szCs w:val="24"/>
              </w:rPr>
              <w:lastRenderedPageBreak/>
              <w:t>2017-09-26</w:t>
            </w:r>
          </w:p>
        </w:tc>
        <w:tc>
          <w:tcPr>
            <w:tcW w:w="1548" w:type="dxa"/>
            <w:vAlign w:val="center"/>
          </w:tcPr>
          <w:p w:rsidR="0080500C" w:rsidRDefault="003E5BE4">
            <w:pPr>
              <w:jc w:val="center"/>
            </w:pPr>
            <w:r>
              <w:rPr>
                <w:color w:val="000000"/>
                <w:sz w:val="24"/>
                <w:szCs w:val="24"/>
              </w:rPr>
              <w:t>-</w:t>
            </w:r>
          </w:p>
        </w:tc>
        <w:tc>
          <w:tcPr>
            <w:tcW w:w="1407" w:type="dxa"/>
            <w:vAlign w:val="center"/>
          </w:tcPr>
          <w:p w:rsidR="0080500C" w:rsidRDefault="003E5BE4">
            <w:pPr>
              <w:jc w:val="center"/>
            </w:pPr>
            <w:r>
              <w:rPr>
                <w:color w:val="000000"/>
                <w:sz w:val="24"/>
                <w:szCs w:val="24"/>
              </w:rPr>
              <w:t>9</w:t>
            </w:r>
            <w:r>
              <w:rPr>
                <w:color w:val="000000"/>
                <w:sz w:val="24"/>
                <w:szCs w:val="24"/>
              </w:rPr>
              <w:t>年</w:t>
            </w:r>
          </w:p>
        </w:tc>
        <w:tc>
          <w:tcPr>
            <w:tcW w:w="2673" w:type="dxa"/>
            <w:vAlign w:val="center"/>
          </w:tcPr>
          <w:p w:rsidR="0080500C" w:rsidRDefault="003E5BE4">
            <w:r>
              <w:rPr>
                <w:color w:val="000000"/>
                <w:sz w:val="24"/>
                <w:szCs w:val="24"/>
              </w:rPr>
              <w:t>郭斐先生，</w:t>
            </w:r>
            <w:r>
              <w:rPr>
                <w:color w:val="000000"/>
                <w:sz w:val="24"/>
                <w:szCs w:val="24"/>
              </w:rPr>
              <w:t>复旦大学经济学本科。</w:t>
            </w:r>
            <w:r>
              <w:rPr>
                <w:color w:val="000000"/>
                <w:sz w:val="24"/>
                <w:szCs w:val="24"/>
              </w:rPr>
              <w:t>2009</w:t>
            </w:r>
            <w:r>
              <w:rPr>
                <w:color w:val="000000"/>
                <w:sz w:val="24"/>
                <w:szCs w:val="24"/>
              </w:rPr>
              <w:t>年</w:t>
            </w:r>
            <w:r>
              <w:rPr>
                <w:color w:val="000000"/>
                <w:sz w:val="24"/>
                <w:szCs w:val="24"/>
              </w:rPr>
              <w:t>8</w:t>
            </w:r>
            <w:r>
              <w:rPr>
                <w:color w:val="000000"/>
                <w:sz w:val="24"/>
                <w:szCs w:val="24"/>
              </w:rPr>
              <w:t>月至</w:t>
            </w:r>
            <w:r>
              <w:rPr>
                <w:color w:val="000000"/>
                <w:sz w:val="24"/>
                <w:szCs w:val="24"/>
              </w:rPr>
              <w:t>2014</w:t>
            </w:r>
            <w:r>
              <w:rPr>
                <w:color w:val="000000"/>
                <w:sz w:val="24"/>
                <w:szCs w:val="24"/>
              </w:rPr>
              <w:t>年</w:t>
            </w:r>
            <w:r>
              <w:rPr>
                <w:color w:val="000000"/>
                <w:sz w:val="24"/>
                <w:szCs w:val="24"/>
              </w:rPr>
              <w:t>3</w:t>
            </w:r>
            <w:r>
              <w:rPr>
                <w:color w:val="000000"/>
                <w:sz w:val="24"/>
                <w:szCs w:val="24"/>
              </w:rPr>
              <w:t>月于高盛（亚洲）有限责任公司</w:t>
            </w:r>
            <w:r>
              <w:rPr>
                <w:color w:val="000000"/>
                <w:sz w:val="24"/>
                <w:szCs w:val="24"/>
              </w:rPr>
              <w:t>/</w:t>
            </w:r>
            <w:r>
              <w:rPr>
                <w:color w:val="000000"/>
                <w:sz w:val="24"/>
                <w:szCs w:val="24"/>
              </w:rPr>
              <w:t>高华证券公司任职。</w:t>
            </w:r>
            <w:r>
              <w:rPr>
                <w:color w:val="000000"/>
                <w:sz w:val="24"/>
                <w:szCs w:val="24"/>
              </w:rPr>
              <w:lastRenderedPageBreak/>
              <w:t>2014</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0500C" w:rsidRDefault="003E5BE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0500C" w:rsidRDefault="003E5BE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0500C" w:rsidRDefault="003E5BE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80500C" w:rsidRDefault="003E5BE4">
      <w:pPr>
        <w:spacing w:before="29" w:line="288" w:lineRule="auto"/>
        <w:ind w:firstLineChars="200" w:firstLine="480"/>
        <w:rPr>
          <w:color w:val="000000"/>
          <w:sz w:val="24"/>
          <w:szCs w:val="24"/>
        </w:rPr>
      </w:pPr>
      <w:r>
        <w:rPr>
          <w:color w:val="000000"/>
          <w:sz w:val="24"/>
          <w:szCs w:val="24"/>
        </w:rPr>
        <w:t>2018</w:t>
      </w:r>
      <w:r>
        <w:rPr>
          <w:color w:val="000000"/>
          <w:sz w:val="24"/>
          <w:szCs w:val="24"/>
        </w:rPr>
        <w:t>年三季度，</w:t>
      </w:r>
      <w:r>
        <w:rPr>
          <w:color w:val="000000"/>
          <w:sz w:val="24"/>
          <w:szCs w:val="24"/>
        </w:rPr>
        <w:t>A</w:t>
      </w:r>
      <w:r>
        <w:rPr>
          <w:color w:val="000000"/>
          <w:sz w:val="24"/>
          <w:szCs w:val="24"/>
        </w:rPr>
        <w:t>股市场再创年内新低。国内经济基本面的进一步回落，叠加中美摩擦的持续深化，共同构成了市场回落的主因。同时我们看到，美债利率的再度走高，使得新兴市场风险资产的弱势雪上加霜。</w:t>
      </w:r>
    </w:p>
    <w:p w:rsidR="0080500C" w:rsidRDefault="003E5BE4">
      <w:pPr>
        <w:spacing w:before="29" w:line="288" w:lineRule="auto"/>
        <w:ind w:firstLineChars="200" w:firstLine="480"/>
        <w:rPr>
          <w:color w:val="000000"/>
          <w:sz w:val="24"/>
          <w:szCs w:val="24"/>
        </w:rPr>
      </w:pPr>
      <w:r>
        <w:rPr>
          <w:color w:val="000000"/>
          <w:sz w:val="24"/>
          <w:szCs w:val="24"/>
        </w:rPr>
        <w:t>报告期内，本基金降低仓位，重点配置了先进制造、科技硬件、医药、新能源汽车等领域的成长股及以地产为代表的逆周期蓝筹品种。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四季度，我们认为市场将继续弱势磨底。在市场对中美摩擦以及经济回落的预期已比较悲观的情况下，市场的方向将取决于国内改革的力度以及无风险利率上行压力之间的角力。我们看好一批经历充分调整、估值具备吸引力的优质成长股将有相对较好的表现。同时，以地产为代表的逆周期蓝筹品种已反映相当悲观的市场预期，具备一定配置价值。本基金在三季度已优化持仓结构的基础上，将持续挖掘行业成长空间广阔、具备核心竞争力的公司，把握合适的配置窗口，力争为投资人获得持续稳定的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47,050,352.92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81.62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47,050,352.92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81.62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2,984,700.00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2,984,700.00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7,573,564.57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13.14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39,218.00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57,647,835.49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28,758,280.07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919,494.18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3,463,498.32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12,080,215.55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1,828,864.80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47,050,352.92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82.15</w:t>
            </w:r>
          </w:p>
        </w:tc>
      </w:tr>
    </w:tbl>
    <w:p w:rsidR="00A31672" w:rsidRDefault="00A31672"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0500C">
        <w:trPr>
          <w:jc w:val="center"/>
        </w:trPr>
        <w:tc>
          <w:tcPr>
            <w:tcW w:w="855" w:type="dxa"/>
            <w:vAlign w:val="center"/>
          </w:tcPr>
          <w:p w:rsidR="0080500C" w:rsidRDefault="003E5BE4">
            <w:pPr>
              <w:jc w:val="center"/>
            </w:pPr>
            <w:r>
              <w:rPr>
                <w:color w:val="000000"/>
                <w:sz w:val="24"/>
                <w:szCs w:val="24"/>
              </w:rPr>
              <w:t>1</w:t>
            </w:r>
          </w:p>
        </w:tc>
        <w:tc>
          <w:tcPr>
            <w:tcW w:w="1334" w:type="dxa"/>
            <w:vAlign w:val="center"/>
          </w:tcPr>
          <w:p w:rsidR="0080500C" w:rsidRDefault="003E5BE4">
            <w:pPr>
              <w:jc w:val="center"/>
            </w:pPr>
            <w:r>
              <w:rPr>
                <w:color w:val="000000"/>
                <w:sz w:val="24"/>
                <w:szCs w:val="24"/>
              </w:rPr>
              <w:t>600048</w:t>
            </w:r>
          </w:p>
        </w:tc>
        <w:tc>
          <w:tcPr>
            <w:tcW w:w="1777" w:type="dxa"/>
            <w:vAlign w:val="center"/>
          </w:tcPr>
          <w:p w:rsidR="0080500C" w:rsidRDefault="003E5BE4">
            <w:pPr>
              <w:jc w:val="center"/>
            </w:pPr>
            <w:r>
              <w:rPr>
                <w:color w:val="000000"/>
                <w:sz w:val="24"/>
                <w:szCs w:val="24"/>
              </w:rPr>
              <w:t>保利地产</w:t>
            </w:r>
          </w:p>
        </w:tc>
        <w:tc>
          <w:tcPr>
            <w:tcW w:w="1334" w:type="dxa"/>
            <w:vAlign w:val="center"/>
          </w:tcPr>
          <w:p w:rsidR="0080500C" w:rsidRDefault="003E5BE4">
            <w:pPr>
              <w:jc w:val="right"/>
            </w:pPr>
            <w:r>
              <w:rPr>
                <w:color w:val="000000"/>
                <w:sz w:val="24"/>
                <w:szCs w:val="24"/>
              </w:rPr>
              <w:t>428,761</w:t>
            </w:r>
          </w:p>
        </w:tc>
        <w:tc>
          <w:tcPr>
            <w:tcW w:w="1924" w:type="dxa"/>
            <w:vAlign w:val="center"/>
          </w:tcPr>
          <w:p w:rsidR="0080500C" w:rsidRDefault="003E5BE4">
            <w:pPr>
              <w:jc w:val="right"/>
            </w:pPr>
            <w:r>
              <w:rPr>
                <w:color w:val="000000"/>
                <w:sz w:val="24"/>
                <w:szCs w:val="24"/>
              </w:rPr>
              <w:t>5,218,021.37</w:t>
            </w:r>
          </w:p>
        </w:tc>
        <w:tc>
          <w:tcPr>
            <w:tcW w:w="1644" w:type="dxa"/>
            <w:vAlign w:val="center"/>
          </w:tcPr>
          <w:p w:rsidR="0080500C" w:rsidRDefault="003E5BE4">
            <w:pPr>
              <w:jc w:val="right"/>
            </w:pPr>
            <w:r>
              <w:rPr>
                <w:color w:val="000000"/>
                <w:sz w:val="24"/>
                <w:szCs w:val="24"/>
              </w:rPr>
              <w:t>9.11</w:t>
            </w:r>
          </w:p>
        </w:tc>
      </w:tr>
      <w:tr w:rsidR="0080500C">
        <w:trPr>
          <w:jc w:val="center"/>
        </w:trPr>
        <w:tc>
          <w:tcPr>
            <w:tcW w:w="855" w:type="dxa"/>
            <w:vAlign w:val="center"/>
          </w:tcPr>
          <w:p w:rsidR="0080500C" w:rsidRDefault="003E5BE4">
            <w:pPr>
              <w:jc w:val="center"/>
            </w:pPr>
            <w:r>
              <w:rPr>
                <w:color w:val="000000"/>
                <w:sz w:val="24"/>
                <w:szCs w:val="24"/>
              </w:rPr>
              <w:t>2</w:t>
            </w:r>
          </w:p>
        </w:tc>
        <w:tc>
          <w:tcPr>
            <w:tcW w:w="1334" w:type="dxa"/>
            <w:vAlign w:val="center"/>
          </w:tcPr>
          <w:p w:rsidR="0080500C" w:rsidRDefault="003E5BE4">
            <w:pPr>
              <w:jc w:val="center"/>
            </w:pPr>
            <w:r>
              <w:rPr>
                <w:color w:val="000000"/>
                <w:sz w:val="24"/>
                <w:szCs w:val="24"/>
              </w:rPr>
              <w:t>601155</w:t>
            </w:r>
          </w:p>
        </w:tc>
        <w:tc>
          <w:tcPr>
            <w:tcW w:w="1777" w:type="dxa"/>
            <w:vAlign w:val="center"/>
          </w:tcPr>
          <w:p w:rsidR="0080500C" w:rsidRDefault="003E5BE4">
            <w:pPr>
              <w:jc w:val="center"/>
            </w:pPr>
            <w:r>
              <w:rPr>
                <w:color w:val="000000"/>
                <w:sz w:val="24"/>
                <w:szCs w:val="24"/>
              </w:rPr>
              <w:t>新城控股</w:t>
            </w:r>
          </w:p>
        </w:tc>
        <w:tc>
          <w:tcPr>
            <w:tcW w:w="1334" w:type="dxa"/>
            <w:vAlign w:val="center"/>
          </w:tcPr>
          <w:p w:rsidR="0080500C" w:rsidRDefault="003E5BE4">
            <w:pPr>
              <w:jc w:val="right"/>
            </w:pPr>
            <w:r>
              <w:rPr>
                <w:color w:val="000000"/>
                <w:sz w:val="24"/>
                <w:szCs w:val="24"/>
              </w:rPr>
              <w:t>191,222</w:t>
            </w:r>
          </w:p>
        </w:tc>
        <w:tc>
          <w:tcPr>
            <w:tcW w:w="1924" w:type="dxa"/>
            <w:vAlign w:val="center"/>
          </w:tcPr>
          <w:p w:rsidR="0080500C" w:rsidRDefault="003E5BE4">
            <w:pPr>
              <w:jc w:val="right"/>
            </w:pPr>
            <w:r>
              <w:rPr>
                <w:color w:val="000000"/>
                <w:sz w:val="24"/>
                <w:szCs w:val="24"/>
              </w:rPr>
              <w:t>5,008,104.18</w:t>
            </w:r>
          </w:p>
        </w:tc>
        <w:tc>
          <w:tcPr>
            <w:tcW w:w="1644" w:type="dxa"/>
            <w:vAlign w:val="center"/>
          </w:tcPr>
          <w:p w:rsidR="0080500C" w:rsidRDefault="003E5BE4">
            <w:pPr>
              <w:jc w:val="right"/>
            </w:pPr>
            <w:r>
              <w:rPr>
                <w:color w:val="000000"/>
                <w:sz w:val="24"/>
                <w:szCs w:val="24"/>
              </w:rPr>
              <w:t>8.74</w:t>
            </w:r>
          </w:p>
        </w:tc>
      </w:tr>
      <w:tr w:rsidR="0080500C">
        <w:trPr>
          <w:jc w:val="center"/>
        </w:trPr>
        <w:tc>
          <w:tcPr>
            <w:tcW w:w="855" w:type="dxa"/>
            <w:vAlign w:val="center"/>
          </w:tcPr>
          <w:p w:rsidR="0080500C" w:rsidRDefault="003E5BE4">
            <w:pPr>
              <w:jc w:val="center"/>
            </w:pPr>
            <w:r>
              <w:rPr>
                <w:color w:val="000000"/>
                <w:sz w:val="24"/>
                <w:szCs w:val="24"/>
              </w:rPr>
              <w:t>3</w:t>
            </w:r>
          </w:p>
        </w:tc>
        <w:tc>
          <w:tcPr>
            <w:tcW w:w="1334" w:type="dxa"/>
            <w:vAlign w:val="center"/>
          </w:tcPr>
          <w:p w:rsidR="0080500C" w:rsidRDefault="003E5BE4">
            <w:pPr>
              <w:jc w:val="center"/>
            </w:pPr>
            <w:r>
              <w:rPr>
                <w:color w:val="000000"/>
                <w:sz w:val="24"/>
                <w:szCs w:val="24"/>
              </w:rPr>
              <w:t>601231</w:t>
            </w:r>
          </w:p>
        </w:tc>
        <w:tc>
          <w:tcPr>
            <w:tcW w:w="1777" w:type="dxa"/>
            <w:vAlign w:val="center"/>
          </w:tcPr>
          <w:p w:rsidR="0080500C" w:rsidRDefault="003E5BE4">
            <w:pPr>
              <w:jc w:val="center"/>
            </w:pPr>
            <w:r>
              <w:rPr>
                <w:color w:val="000000"/>
                <w:sz w:val="24"/>
                <w:szCs w:val="24"/>
              </w:rPr>
              <w:t>环旭电子</w:t>
            </w:r>
          </w:p>
        </w:tc>
        <w:tc>
          <w:tcPr>
            <w:tcW w:w="1334" w:type="dxa"/>
            <w:vAlign w:val="center"/>
          </w:tcPr>
          <w:p w:rsidR="0080500C" w:rsidRDefault="003E5BE4">
            <w:pPr>
              <w:jc w:val="right"/>
            </w:pPr>
            <w:r>
              <w:rPr>
                <w:color w:val="000000"/>
                <w:sz w:val="24"/>
                <w:szCs w:val="24"/>
              </w:rPr>
              <w:t>434,600</w:t>
            </w:r>
          </w:p>
        </w:tc>
        <w:tc>
          <w:tcPr>
            <w:tcW w:w="1924" w:type="dxa"/>
            <w:vAlign w:val="center"/>
          </w:tcPr>
          <w:p w:rsidR="0080500C" w:rsidRDefault="003E5BE4">
            <w:pPr>
              <w:jc w:val="right"/>
            </w:pPr>
            <w:r>
              <w:rPr>
                <w:color w:val="000000"/>
                <w:sz w:val="24"/>
                <w:szCs w:val="24"/>
              </w:rPr>
              <w:t>4,172,160.00</w:t>
            </w:r>
          </w:p>
        </w:tc>
        <w:tc>
          <w:tcPr>
            <w:tcW w:w="1644" w:type="dxa"/>
            <w:vAlign w:val="center"/>
          </w:tcPr>
          <w:p w:rsidR="0080500C" w:rsidRDefault="003E5BE4">
            <w:pPr>
              <w:jc w:val="right"/>
            </w:pPr>
            <w:r>
              <w:rPr>
                <w:color w:val="000000"/>
                <w:sz w:val="24"/>
                <w:szCs w:val="24"/>
              </w:rPr>
              <w:t>7.28</w:t>
            </w:r>
          </w:p>
        </w:tc>
      </w:tr>
      <w:tr w:rsidR="0080500C">
        <w:trPr>
          <w:jc w:val="center"/>
        </w:trPr>
        <w:tc>
          <w:tcPr>
            <w:tcW w:w="855" w:type="dxa"/>
            <w:vAlign w:val="center"/>
          </w:tcPr>
          <w:p w:rsidR="0080500C" w:rsidRDefault="003E5BE4">
            <w:pPr>
              <w:jc w:val="center"/>
            </w:pPr>
            <w:r>
              <w:rPr>
                <w:color w:val="000000"/>
                <w:sz w:val="24"/>
                <w:szCs w:val="24"/>
              </w:rPr>
              <w:t>4</w:t>
            </w:r>
          </w:p>
        </w:tc>
        <w:tc>
          <w:tcPr>
            <w:tcW w:w="1334" w:type="dxa"/>
            <w:vAlign w:val="center"/>
          </w:tcPr>
          <w:p w:rsidR="0080500C" w:rsidRDefault="003E5BE4">
            <w:pPr>
              <w:jc w:val="center"/>
            </w:pPr>
            <w:r>
              <w:rPr>
                <w:color w:val="000000"/>
                <w:sz w:val="24"/>
                <w:szCs w:val="24"/>
              </w:rPr>
              <w:t>601100</w:t>
            </w:r>
          </w:p>
        </w:tc>
        <w:tc>
          <w:tcPr>
            <w:tcW w:w="1777" w:type="dxa"/>
            <w:vAlign w:val="center"/>
          </w:tcPr>
          <w:p w:rsidR="0080500C" w:rsidRDefault="003E5BE4">
            <w:pPr>
              <w:jc w:val="center"/>
            </w:pPr>
            <w:r>
              <w:rPr>
                <w:color w:val="000000"/>
                <w:sz w:val="24"/>
                <w:szCs w:val="24"/>
              </w:rPr>
              <w:t>恒立液压</w:t>
            </w:r>
          </w:p>
        </w:tc>
        <w:tc>
          <w:tcPr>
            <w:tcW w:w="1334" w:type="dxa"/>
            <w:vAlign w:val="center"/>
          </w:tcPr>
          <w:p w:rsidR="0080500C" w:rsidRDefault="003E5BE4">
            <w:pPr>
              <w:jc w:val="right"/>
            </w:pPr>
            <w:r>
              <w:rPr>
                <w:color w:val="000000"/>
                <w:sz w:val="24"/>
                <w:szCs w:val="24"/>
              </w:rPr>
              <w:t>184,983</w:t>
            </w:r>
          </w:p>
        </w:tc>
        <w:tc>
          <w:tcPr>
            <w:tcW w:w="1924" w:type="dxa"/>
            <w:vAlign w:val="center"/>
          </w:tcPr>
          <w:p w:rsidR="0080500C" w:rsidRDefault="003E5BE4">
            <w:pPr>
              <w:jc w:val="right"/>
            </w:pPr>
            <w:r>
              <w:rPr>
                <w:color w:val="000000"/>
                <w:sz w:val="24"/>
                <w:szCs w:val="24"/>
              </w:rPr>
              <w:t>4,130,670.39</w:t>
            </w:r>
          </w:p>
        </w:tc>
        <w:tc>
          <w:tcPr>
            <w:tcW w:w="1644" w:type="dxa"/>
            <w:vAlign w:val="center"/>
          </w:tcPr>
          <w:p w:rsidR="0080500C" w:rsidRDefault="003E5BE4">
            <w:pPr>
              <w:jc w:val="right"/>
            </w:pPr>
            <w:r>
              <w:rPr>
                <w:color w:val="000000"/>
                <w:sz w:val="24"/>
                <w:szCs w:val="24"/>
              </w:rPr>
              <w:t>7.21</w:t>
            </w:r>
          </w:p>
        </w:tc>
      </w:tr>
      <w:tr w:rsidR="0080500C">
        <w:trPr>
          <w:jc w:val="center"/>
        </w:trPr>
        <w:tc>
          <w:tcPr>
            <w:tcW w:w="855" w:type="dxa"/>
            <w:vAlign w:val="center"/>
          </w:tcPr>
          <w:p w:rsidR="0080500C" w:rsidRDefault="003E5BE4">
            <w:pPr>
              <w:jc w:val="center"/>
            </w:pPr>
            <w:r>
              <w:rPr>
                <w:color w:val="000000"/>
                <w:sz w:val="24"/>
                <w:szCs w:val="24"/>
              </w:rPr>
              <w:t>5</w:t>
            </w:r>
          </w:p>
        </w:tc>
        <w:tc>
          <w:tcPr>
            <w:tcW w:w="1334" w:type="dxa"/>
            <w:vAlign w:val="center"/>
          </w:tcPr>
          <w:p w:rsidR="0080500C" w:rsidRDefault="003E5BE4">
            <w:pPr>
              <w:jc w:val="center"/>
            </w:pPr>
            <w:r>
              <w:rPr>
                <w:color w:val="000000"/>
                <w:sz w:val="24"/>
                <w:szCs w:val="24"/>
              </w:rPr>
              <w:t>000661</w:t>
            </w:r>
          </w:p>
        </w:tc>
        <w:tc>
          <w:tcPr>
            <w:tcW w:w="1777" w:type="dxa"/>
            <w:vAlign w:val="center"/>
          </w:tcPr>
          <w:p w:rsidR="0080500C" w:rsidRDefault="003E5BE4">
            <w:pPr>
              <w:jc w:val="center"/>
            </w:pPr>
            <w:r>
              <w:rPr>
                <w:color w:val="000000"/>
                <w:sz w:val="24"/>
                <w:szCs w:val="24"/>
              </w:rPr>
              <w:t>长春高新</w:t>
            </w:r>
          </w:p>
        </w:tc>
        <w:tc>
          <w:tcPr>
            <w:tcW w:w="1334" w:type="dxa"/>
            <w:vAlign w:val="center"/>
          </w:tcPr>
          <w:p w:rsidR="0080500C" w:rsidRDefault="003E5BE4">
            <w:pPr>
              <w:jc w:val="right"/>
            </w:pPr>
            <w:r>
              <w:rPr>
                <w:color w:val="000000"/>
                <w:sz w:val="24"/>
                <w:szCs w:val="24"/>
              </w:rPr>
              <w:t>12,100</w:t>
            </w:r>
          </w:p>
        </w:tc>
        <w:tc>
          <w:tcPr>
            <w:tcW w:w="1924" w:type="dxa"/>
            <w:vAlign w:val="center"/>
          </w:tcPr>
          <w:p w:rsidR="0080500C" w:rsidRDefault="003E5BE4">
            <w:pPr>
              <w:jc w:val="right"/>
            </w:pPr>
            <w:r>
              <w:rPr>
                <w:color w:val="000000"/>
                <w:sz w:val="24"/>
                <w:szCs w:val="24"/>
              </w:rPr>
              <w:t>2,867,700.00</w:t>
            </w:r>
          </w:p>
        </w:tc>
        <w:tc>
          <w:tcPr>
            <w:tcW w:w="1644" w:type="dxa"/>
            <w:vAlign w:val="center"/>
          </w:tcPr>
          <w:p w:rsidR="0080500C" w:rsidRDefault="003E5BE4">
            <w:pPr>
              <w:jc w:val="right"/>
            </w:pPr>
            <w:r>
              <w:rPr>
                <w:color w:val="000000"/>
                <w:sz w:val="24"/>
                <w:szCs w:val="24"/>
              </w:rPr>
              <w:t>5.01</w:t>
            </w:r>
          </w:p>
        </w:tc>
      </w:tr>
      <w:tr w:rsidR="0080500C">
        <w:trPr>
          <w:jc w:val="center"/>
        </w:trPr>
        <w:tc>
          <w:tcPr>
            <w:tcW w:w="855" w:type="dxa"/>
            <w:vAlign w:val="center"/>
          </w:tcPr>
          <w:p w:rsidR="0080500C" w:rsidRDefault="003E5BE4">
            <w:pPr>
              <w:jc w:val="center"/>
            </w:pPr>
            <w:r>
              <w:rPr>
                <w:color w:val="000000"/>
                <w:sz w:val="24"/>
                <w:szCs w:val="24"/>
              </w:rPr>
              <w:t>6</w:t>
            </w:r>
          </w:p>
        </w:tc>
        <w:tc>
          <w:tcPr>
            <w:tcW w:w="1334" w:type="dxa"/>
            <w:vAlign w:val="center"/>
          </w:tcPr>
          <w:p w:rsidR="0080500C" w:rsidRDefault="003E5BE4">
            <w:pPr>
              <w:jc w:val="center"/>
            </w:pPr>
            <w:r>
              <w:rPr>
                <w:color w:val="000000"/>
                <w:sz w:val="24"/>
                <w:szCs w:val="24"/>
              </w:rPr>
              <w:t>603160</w:t>
            </w:r>
          </w:p>
        </w:tc>
        <w:tc>
          <w:tcPr>
            <w:tcW w:w="1777" w:type="dxa"/>
            <w:vAlign w:val="center"/>
          </w:tcPr>
          <w:p w:rsidR="0080500C" w:rsidRDefault="003E5BE4">
            <w:pPr>
              <w:jc w:val="center"/>
            </w:pPr>
            <w:r>
              <w:rPr>
                <w:color w:val="000000"/>
                <w:sz w:val="24"/>
                <w:szCs w:val="24"/>
              </w:rPr>
              <w:t>汇顶科技</w:t>
            </w:r>
          </w:p>
        </w:tc>
        <w:tc>
          <w:tcPr>
            <w:tcW w:w="1334" w:type="dxa"/>
            <w:vAlign w:val="center"/>
          </w:tcPr>
          <w:p w:rsidR="0080500C" w:rsidRDefault="003E5BE4">
            <w:pPr>
              <w:jc w:val="right"/>
            </w:pPr>
            <w:r>
              <w:rPr>
                <w:color w:val="000000"/>
                <w:sz w:val="24"/>
                <w:szCs w:val="24"/>
              </w:rPr>
              <w:t>32,773</w:t>
            </w:r>
          </w:p>
        </w:tc>
        <w:tc>
          <w:tcPr>
            <w:tcW w:w="1924" w:type="dxa"/>
            <w:vAlign w:val="center"/>
          </w:tcPr>
          <w:p w:rsidR="0080500C" w:rsidRDefault="003E5BE4">
            <w:pPr>
              <w:jc w:val="right"/>
            </w:pPr>
            <w:r>
              <w:rPr>
                <w:color w:val="000000"/>
                <w:sz w:val="24"/>
                <w:szCs w:val="24"/>
              </w:rPr>
              <w:t>2,625,117.30</w:t>
            </w:r>
          </w:p>
        </w:tc>
        <w:tc>
          <w:tcPr>
            <w:tcW w:w="1644" w:type="dxa"/>
            <w:vAlign w:val="center"/>
          </w:tcPr>
          <w:p w:rsidR="0080500C" w:rsidRDefault="003E5BE4">
            <w:pPr>
              <w:jc w:val="right"/>
            </w:pPr>
            <w:r>
              <w:rPr>
                <w:color w:val="000000"/>
                <w:sz w:val="24"/>
                <w:szCs w:val="24"/>
              </w:rPr>
              <w:t>4.58</w:t>
            </w:r>
          </w:p>
        </w:tc>
      </w:tr>
      <w:tr w:rsidR="0080500C">
        <w:trPr>
          <w:jc w:val="center"/>
        </w:trPr>
        <w:tc>
          <w:tcPr>
            <w:tcW w:w="855" w:type="dxa"/>
            <w:vAlign w:val="center"/>
          </w:tcPr>
          <w:p w:rsidR="0080500C" w:rsidRDefault="003E5BE4">
            <w:pPr>
              <w:jc w:val="center"/>
            </w:pPr>
            <w:r>
              <w:rPr>
                <w:color w:val="000000"/>
                <w:sz w:val="24"/>
                <w:szCs w:val="24"/>
              </w:rPr>
              <w:t>7</w:t>
            </w:r>
          </w:p>
        </w:tc>
        <w:tc>
          <w:tcPr>
            <w:tcW w:w="1334" w:type="dxa"/>
            <w:vAlign w:val="center"/>
          </w:tcPr>
          <w:p w:rsidR="0080500C" w:rsidRDefault="003E5BE4">
            <w:pPr>
              <w:jc w:val="center"/>
            </w:pPr>
            <w:r>
              <w:rPr>
                <w:color w:val="000000"/>
                <w:sz w:val="24"/>
                <w:szCs w:val="24"/>
              </w:rPr>
              <w:t>300602</w:t>
            </w:r>
          </w:p>
        </w:tc>
        <w:tc>
          <w:tcPr>
            <w:tcW w:w="1777" w:type="dxa"/>
            <w:vAlign w:val="center"/>
          </w:tcPr>
          <w:p w:rsidR="0080500C" w:rsidRDefault="003E5BE4">
            <w:pPr>
              <w:jc w:val="center"/>
            </w:pPr>
            <w:r>
              <w:rPr>
                <w:color w:val="000000"/>
                <w:sz w:val="24"/>
                <w:szCs w:val="24"/>
              </w:rPr>
              <w:t>飞荣达</w:t>
            </w:r>
          </w:p>
        </w:tc>
        <w:tc>
          <w:tcPr>
            <w:tcW w:w="1334" w:type="dxa"/>
            <w:vAlign w:val="center"/>
          </w:tcPr>
          <w:p w:rsidR="0080500C" w:rsidRDefault="003E5BE4">
            <w:pPr>
              <w:jc w:val="right"/>
            </w:pPr>
            <w:r>
              <w:rPr>
                <w:color w:val="000000"/>
                <w:sz w:val="24"/>
                <w:szCs w:val="24"/>
              </w:rPr>
              <w:t>66,784</w:t>
            </w:r>
          </w:p>
        </w:tc>
        <w:tc>
          <w:tcPr>
            <w:tcW w:w="1924" w:type="dxa"/>
            <w:vAlign w:val="center"/>
          </w:tcPr>
          <w:p w:rsidR="0080500C" w:rsidRDefault="003E5BE4">
            <w:pPr>
              <w:jc w:val="right"/>
            </w:pPr>
            <w:r>
              <w:rPr>
                <w:color w:val="000000"/>
                <w:sz w:val="24"/>
                <w:szCs w:val="24"/>
              </w:rPr>
              <w:t>2,494,382.40</w:t>
            </w:r>
          </w:p>
        </w:tc>
        <w:tc>
          <w:tcPr>
            <w:tcW w:w="1644" w:type="dxa"/>
            <w:vAlign w:val="center"/>
          </w:tcPr>
          <w:p w:rsidR="0080500C" w:rsidRDefault="003E5BE4">
            <w:pPr>
              <w:jc w:val="right"/>
            </w:pPr>
            <w:r>
              <w:rPr>
                <w:color w:val="000000"/>
                <w:sz w:val="24"/>
                <w:szCs w:val="24"/>
              </w:rPr>
              <w:t>4.36</w:t>
            </w:r>
          </w:p>
        </w:tc>
      </w:tr>
      <w:tr w:rsidR="0080500C">
        <w:trPr>
          <w:jc w:val="center"/>
        </w:trPr>
        <w:tc>
          <w:tcPr>
            <w:tcW w:w="855" w:type="dxa"/>
            <w:vAlign w:val="center"/>
          </w:tcPr>
          <w:p w:rsidR="0080500C" w:rsidRDefault="003E5BE4">
            <w:pPr>
              <w:jc w:val="center"/>
            </w:pPr>
            <w:r>
              <w:rPr>
                <w:color w:val="000000"/>
                <w:sz w:val="24"/>
                <w:szCs w:val="24"/>
              </w:rPr>
              <w:t>8</w:t>
            </w:r>
          </w:p>
        </w:tc>
        <w:tc>
          <w:tcPr>
            <w:tcW w:w="1334" w:type="dxa"/>
            <w:vAlign w:val="center"/>
          </w:tcPr>
          <w:p w:rsidR="0080500C" w:rsidRDefault="003E5BE4">
            <w:pPr>
              <w:jc w:val="center"/>
            </w:pPr>
            <w:r>
              <w:rPr>
                <w:color w:val="000000"/>
                <w:sz w:val="24"/>
                <w:szCs w:val="24"/>
              </w:rPr>
              <w:t>002463</w:t>
            </w:r>
          </w:p>
        </w:tc>
        <w:tc>
          <w:tcPr>
            <w:tcW w:w="1777" w:type="dxa"/>
            <w:vAlign w:val="center"/>
          </w:tcPr>
          <w:p w:rsidR="0080500C" w:rsidRDefault="003E5BE4">
            <w:pPr>
              <w:jc w:val="center"/>
            </w:pPr>
            <w:r>
              <w:rPr>
                <w:color w:val="000000"/>
                <w:sz w:val="24"/>
                <w:szCs w:val="24"/>
              </w:rPr>
              <w:t>沪电股份</w:t>
            </w:r>
          </w:p>
        </w:tc>
        <w:tc>
          <w:tcPr>
            <w:tcW w:w="1334" w:type="dxa"/>
            <w:vAlign w:val="center"/>
          </w:tcPr>
          <w:p w:rsidR="0080500C" w:rsidRDefault="003E5BE4">
            <w:pPr>
              <w:jc w:val="right"/>
            </w:pPr>
            <w:r>
              <w:rPr>
                <w:color w:val="000000"/>
                <w:sz w:val="24"/>
                <w:szCs w:val="24"/>
              </w:rPr>
              <w:t>381,550</w:t>
            </w:r>
          </w:p>
        </w:tc>
        <w:tc>
          <w:tcPr>
            <w:tcW w:w="1924" w:type="dxa"/>
            <w:vAlign w:val="center"/>
          </w:tcPr>
          <w:p w:rsidR="0080500C" w:rsidRDefault="003E5BE4">
            <w:pPr>
              <w:jc w:val="right"/>
            </w:pPr>
            <w:r>
              <w:rPr>
                <w:color w:val="000000"/>
                <w:sz w:val="24"/>
                <w:szCs w:val="24"/>
              </w:rPr>
              <w:t>2,460,997.50</w:t>
            </w:r>
          </w:p>
        </w:tc>
        <w:tc>
          <w:tcPr>
            <w:tcW w:w="1644" w:type="dxa"/>
            <w:vAlign w:val="center"/>
          </w:tcPr>
          <w:p w:rsidR="0080500C" w:rsidRDefault="003E5BE4">
            <w:pPr>
              <w:jc w:val="right"/>
            </w:pPr>
            <w:r>
              <w:rPr>
                <w:color w:val="000000"/>
                <w:sz w:val="24"/>
                <w:szCs w:val="24"/>
              </w:rPr>
              <w:t>4.30</w:t>
            </w:r>
          </w:p>
        </w:tc>
      </w:tr>
      <w:tr w:rsidR="0080500C">
        <w:trPr>
          <w:jc w:val="center"/>
        </w:trPr>
        <w:tc>
          <w:tcPr>
            <w:tcW w:w="855" w:type="dxa"/>
            <w:vAlign w:val="center"/>
          </w:tcPr>
          <w:p w:rsidR="0080500C" w:rsidRDefault="003E5BE4">
            <w:pPr>
              <w:jc w:val="center"/>
            </w:pPr>
            <w:r>
              <w:rPr>
                <w:color w:val="000000"/>
                <w:sz w:val="24"/>
                <w:szCs w:val="24"/>
              </w:rPr>
              <w:t>9</w:t>
            </w:r>
          </w:p>
        </w:tc>
        <w:tc>
          <w:tcPr>
            <w:tcW w:w="1334" w:type="dxa"/>
            <w:vAlign w:val="center"/>
          </w:tcPr>
          <w:p w:rsidR="0080500C" w:rsidRDefault="003E5BE4">
            <w:pPr>
              <w:jc w:val="center"/>
            </w:pPr>
            <w:r>
              <w:rPr>
                <w:color w:val="000000"/>
                <w:sz w:val="24"/>
                <w:szCs w:val="24"/>
              </w:rPr>
              <w:t>300014</w:t>
            </w:r>
          </w:p>
        </w:tc>
        <w:tc>
          <w:tcPr>
            <w:tcW w:w="1777" w:type="dxa"/>
            <w:vAlign w:val="center"/>
          </w:tcPr>
          <w:p w:rsidR="0080500C" w:rsidRDefault="003E5BE4">
            <w:pPr>
              <w:jc w:val="center"/>
            </w:pPr>
            <w:r>
              <w:rPr>
                <w:color w:val="000000"/>
                <w:sz w:val="24"/>
                <w:szCs w:val="24"/>
              </w:rPr>
              <w:t>亿纬锂能</w:t>
            </w:r>
          </w:p>
        </w:tc>
        <w:tc>
          <w:tcPr>
            <w:tcW w:w="1334" w:type="dxa"/>
            <w:vAlign w:val="center"/>
          </w:tcPr>
          <w:p w:rsidR="0080500C" w:rsidRDefault="003E5BE4">
            <w:pPr>
              <w:jc w:val="right"/>
            </w:pPr>
            <w:r>
              <w:rPr>
                <w:color w:val="000000"/>
                <w:sz w:val="24"/>
                <w:szCs w:val="24"/>
              </w:rPr>
              <w:t>171,712</w:t>
            </w:r>
          </w:p>
        </w:tc>
        <w:tc>
          <w:tcPr>
            <w:tcW w:w="1924" w:type="dxa"/>
            <w:vAlign w:val="center"/>
          </w:tcPr>
          <w:p w:rsidR="0080500C" w:rsidRDefault="003E5BE4">
            <w:pPr>
              <w:jc w:val="right"/>
            </w:pPr>
            <w:r>
              <w:rPr>
                <w:color w:val="000000"/>
                <w:sz w:val="24"/>
                <w:szCs w:val="24"/>
              </w:rPr>
              <w:t>2,438,310.40</w:t>
            </w:r>
          </w:p>
        </w:tc>
        <w:tc>
          <w:tcPr>
            <w:tcW w:w="1644" w:type="dxa"/>
            <w:vAlign w:val="center"/>
          </w:tcPr>
          <w:p w:rsidR="0080500C" w:rsidRDefault="003E5BE4">
            <w:pPr>
              <w:jc w:val="right"/>
            </w:pPr>
            <w:r>
              <w:rPr>
                <w:color w:val="000000"/>
                <w:sz w:val="24"/>
                <w:szCs w:val="24"/>
              </w:rPr>
              <w:t>4.26</w:t>
            </w:r>
          </w:p>
        </w:tc>
      </w:tr>
      <w:tr w:rsidR="0080500C">
        <w:trPr>
          <w:jc w:val="center"/>
        </w:trPr>
        <w:tc>
          <w:tcPr>
            <w:tcW w:w="855" w:type="dxa"/>
            <w:vAlign w:val="center"/>
          </w:tcPr>
          <w:p w:rsidR="0080500C" w:rsidRDefault="003E5BE4">
            <w:pPr>
              <w:jc w:val="center"/>
            </w:pPr>
            <w:r>
              <w:rPr>
                <w:color w:val="000000"/>
                <w:sz w:val="24"/>
                <w:szCs w:val="24"/>
              </w:rPr>
              <w:t>10</w:t>
            </w:r>
          </w:p>
        </w:tc>
        <w:tc>
          <w:tcPr>
            <w:tcW w:w="1334" w:type="dxa"/>
            <w:vAlign w:val="center"/>
          </w:tcPr>
          <w:p w:rsidR="0080500C" w:rsidRDefault="003E5BE4">
            <w:pPr>
              <w:jc w:val="center"/>
            </w:pPr>
            <w:r>
              <w:rPr>
                <w:color w:val="000000"/>
                <w:sz w:val="24"/>
                <w:szCs w:val="24"/>
              </w:rPr>
              <w:t>300146</w:t>
            </w:r>
          </w:p>
        </w:tc>
        <w:tc>
          <w:tcPr>
            <w:tcW w:w="1777" w:type="dxa"/>
            <w:vAlign w:val="center"/>
          </w:tcPr>
          <w:p w:rsidR="0080500C" w:rsidRDefault="003E5BE4">
            <w:pPr>
              <w:jc w:val="center"/>
            </w:pPr>
            <w:r>
              <w:rPr>
                <w:color w:val="000000"/>
                <w:sz w:val="24"/>
                <w:szCs w:val="24"/>
              </w:rPr>
              <w:t>汤臣倍健</w:t>
            </w:r>
          </w:p>
        </w:tc>
        <w:tc>
          <w:tcPr>
            <w:tcW w:w="1334" w:type="dxa"/>
            <w:vAlign w:val="center"/>
          </w:tcPr>
          <w:p w:rsidR="0080500C" w:rsidRDefault="003E5BE4">
            <w:pPr>
              <w:jc w:val="right"/>
            </w:pPr>
            <w:r>
              <w:rPr>
                <w:color w:val="000000"/>
                <w:sz w:val="24"/>
                <w:szCs w:val="24"/>
              </w:rPr>
              <w:t>115,100</w:t>
            </w:r>
          </w:p>
        </w:tc>
        <w:tc>
          <w:tcPr>
            <w:tcW w:w="1924" w:type="dxa"/>
            <w:vAlign w:val="center"/>
          </w:tcPr>
          <w:p w:rsidR="0080500C" w:rsidRDefault="003E5BE4">
            <w:pPr>
              <w:jc w:val="right"/>
            </w:pPr>
            <w:r>
              <w:rPr>
                <w:color w:val="000000"/>
                <w:sz w:val="24"/>
                <w:szCs w:val="24"/>
              </w:rPr>
              <w:t>2,359,550.00</w:t>
            </w:r>
          </w:p>
        </w:tc>
        <w:tc>
          <w:tcPr>
            <w:tcW w:w="1644" w:type="dxa"/>
            <w:vAlign w:val="center"/>
          </w:tcPr>
          <w:p w:rsidR="0080500C" w:rsidRDefault="003E5BE4">
            <w:pPr>
              <w:jc w:val="right"/>
            </w:pPr>
            <w:r>
              <w:rPr>
                <w:color w:val="000000"/>
                <w:sz w:val="24"/>
                <w:szCs w:val="24"/>
              </w:rPr>
              <w:t>4.12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2,984,700.00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lastRenderedPageBreak/>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2,984,700.00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0500C">
        <w:trPr>
          <w:jc w:val="center"/>
        </w:trPr>
        <w:tc>
          <w:tcPr>
            <w:tcW w:w="850" w:type="dxa"/>
            <w:vAlign w:val="center"/>
          </w:tcPr>
          <w:p w:rsidR="0080500C" w:rsidRDefault="003E5BE4">
            <w:pPr>
              <w:jc w:val="center"/>
            </w:pPr>
            <w:r>
              <w:rPr>
                <w:color w:val="000000"/>
                <w:sz w:val="24"/>
                <w:szCs w:val="24"/>
              </w:rPr>
              <w:t>1</w:t>
            </w:r>
          </w:p>
        </w:tc>
        <w:tc>
          <w:tcPr>
            <w:tcW w:w="1475" w:type="dxa"/>
            <w:vAlign w:val="center"/>
          </w:tcPr>
          <w:p w:rsidR="0080500C" w:rsidRDefault="003E5BE4">
            <w:pPr>
              <w:jc w:val="center"/>
            </w:pPr>
            <w:r>
              <w:rPr>
                <w:color w:val="000000"/>
                <w:sz w:val="24"/>
                <w:szCs w:val="24"/>
              </w:rPr>
              <w:t>189937</w:t>
            </w:r>
          </w:p>
        </w:tc>
        <w:tc>
          <w:tcPr>
            <w:tcW w:w="1769" w:type="dxa"/>
            <w:vAlign w:val="center"/>
          </w:tcPr>
          <w:p w:rsidR="0080500C" w:rsidRDefault="003E5BE4">
            <w:pPr>
              <w:jc w:val="center"/>
            </w:pPr>
            <w:r>
              <w:rPr>
                <w:color w:val="000000"/>
                <w:sz w:val="24"/>
                <w:szCs w:val="24"/>
              </w:rPr>
              <w:t>18</w:t>
            </w:r>
            <w:r>
              <w:rPr>
                <w:color w:val="000000"/>
                <w:sz w:val="24"/>
                <w:szCs w:val="24"/>
              </w:rPr>
              <w:t>贴现国债</w:t>
            </w:r>
            <w:r>
              <w:rPr>
                <w:color w:val="000000"/>
                <w:sz w:val="24"/>
                <w:szCs w:val="24"/>
              </w:rPr>
              <w:t>37</w:t>
            </w:r>
          </w:p>
        </w:tc>
        <w:tc>
          <w:tcPr>
            <w:tcW w:w="1387" w:type="dxa"/>
            <w:vAlign w:val="center"/>
          </w:tcPr>
          <w:p w:rsidR="0080500C" w:rsidRDefault="003E5BE4">
            <w:pPr>
              <w:jc w:val="right"/>
            </w:pPr>
            <w:r>
              <w:rPr>
                <w:color w:val="000000"/>
                <w:sz w:val="24"/>
                <w:szCs w:val="24"/>
              </w:rPr>
              <w:t>30,000</w:t>
            </w:r>
          </w:p>
        </w:tc>
        <w:tc>
          <w:tcPr>
            <w:tcW w:w="2150" w:type="dxa"/>
            <w:vAlign w:val="center"/>
          </w:tcPr>
          <w:p w:rsidR="0080500C" w:rsidRDefault="003E5BE4">
            <w:pPr>
              <w:jc w:val="right"/>
            </w:pPr>
            <w:r>
              <w:rPr>
                <w:color w:val="000000"/>
                <w:sz w:val="24"/>
                <w:szCs w:val="24"/>
              </w:rPr>
              <w:t>2,984,700.00</w:t>
            </w:r>
          </w:p>
        </w:tc>
        <w:tc>
          <w:tcPr>
            <w:tcW w:w="1237" w:type="dxa"/>
            <w:vAlign w:val="center"/>
          </w:tcPr>
          <w:p w:rsidR="0080500C" w:rsidRDefault="003E5BE4">
            <w:pPr>
              <w:jc w:val="right"/>
            </w:pPr>
            <w:r>
              <w:rPr>
                <w:color w:val="000000"/>
                <w:sz w:val="24"/>
                <w:szCs w:val="24"/>
              </w:rPr>
              <w:t>5.21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23,769.95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9,448.49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5,999.56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39,218.00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69,720,420.84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2,226,710.19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2,871,892.45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69,075,238.58</w:t>
            </w:r>
          </w:p>
        </w:tc>
      </w:tr>
    </w:tbl>
    <w:p w:rsidR="0080500C" w:rsidRDefault="003E5BE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A3167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bookmarkStart w:id="0" w:name="_GoBack"/>
      <w:r w:rsidRPr="00A31672">
        <w:rPr>
          <w:rFonts w:asciiTheme="minorEastAsia" w:eastAsiaTheme="minorEastAsia" w:hAnsiTheme="minorEastAsia" w:hint="eastAsia"/>
          <w:color w:val="000000" w:themeColor="text1"/>
          <w:kern w:val="0"/>
          <w:sz w:val="24"/>
          <w:szCs w:val="24"/>
        </w:rPr>
        <w:t>9</w:t>
      </w:r>
      <w:r w:rsidRPr="00A31672">
        <w:rPr>
          <w:rFonts w:asciiTheme="minorEastAsia" w:eastAsiaTheme="minorEastAsia" w:hAnsiTheme="minorEastAsia"/>
          <w:color w:val="000000" w:themeColor="text1"/>
          <w:kern w:val="0"/>
          <w:sz w:val="24"/>
          <w:szCs w:val="24"/>
        </w:rPr>
        <w:t xml:space="preserve">  </w:t>
      </w:r>
      <w:r w:rsidRPr="00A31672">
        <w:rPr>
          <w:rFonts w:asciiTheme="minorEastAsia" w:eastAsiaTheme="minorEastAsia" w:hAnsiTheme="minorEastAsia" w:hint="eastAsia"/>
          <w:color w:val="000000" w:themeColor="text1"/>
          <w:kern w:val="0"/>
          <w:sz w:val="24"/>
          <w:szCs w:val="24"/>
        </w:rPr>
        <w:t>影响投资者决策的其他重要信息</w:t>
      </w:r>
    </w:p>
    <w:p w:rsidR="003C50AD" w:rsidRPr="00A31672" w:rsidRDefault="003C50AD" w:rsidP="003C50AD">
      <w:pPr>
        <w:autoSpaceDE w:val="0"/>
        <w:autoSpaceDN w:val="0"/>
        <w:adjustRightInd w:val="0"/>
        <w:spacing w:line="360" w:lineRule="auto"/>
        <w:jc w:val="left"/>
        <w:rPr>
          <w:rFonts w:ascii="宋体" w:hAnsi="宋体"/>
          <w:b/>
          <w:bCs/>
          <w:color w:val="000000"/>
          <w:kern w:val="0"/>
          <w:sz w:val="24"/>
          <w:szCs w:val="24"/>
        </w:rPr>
      </w:pPr>
      <w:r w:rsidRPr="00A31672">
        <w:rPr>
          <w:rFonts w:ascii="宋体" w:hAnsi="宋体"/>
          <w:b/>
          <w:bCs/>
          <w:color w:val="000000"/>
          <w:kern w:val="0"/>
          <w:sz w:val="24"/>
          <w:szCs w:val="24"/>
        </w:rPr>
        <w:t>9.</w:t>
      </w:r>
      <w:r w:rsidRPr="00A31672">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A31672" w:rsidTr="00424D30">
        <w:tc>
          <w:tcPr>
            <w:tcW w:w="993" w:type="dxa"/>
            <w:vMerge w:val="restart"/>
            <w:vAlign w:val="center"/>
          </w:tcPr>
          <w:p w:rsidR="003C50AD" w:rsidRPr="00A31672" w:rsidRDefault="003C50AD" w:rsidP="00424D30">
            <w:pPr>
              <w:autoSpaceDE w:val="0"/>
              <w:autoSpaceDN w:val="0"/>
              <w:adjustRightInd w:val="0"/>
              <w:jc w:val="center"/>
              <w:rPr>
                <w:rFonts w:ascii="宋体" w:hAnsi="宋体"/>
                <w:b/>
                <w:bCs/>
                <w:color w:val="000000"/>
                <w:kern w:val="0"/>
                <w:sz w:val="24"/>
                <w:szCs w:val="24"/>
              </w:rPr>
            </w:pPr>
            <w:r w:rsidRPr="00A31672">
              <w:rPr>
                <w:rFonts w:ascii="宋体" w:hAnsi="宋体" w:hint="eastAsia"/>
                <w:color w:val="000000"/>
                <w:kern w:val="0"/>
                <w:sz w:val="24"/>
                <w:szCs w:val="24"/>
              </w:rPr>
              <w:t>投资者类别</w:t>
            </w:r>
            <w:r w:rsidRPr="00A31672">
              <w:rPr>
                <w:rFonts w:ascii="宋体" w:hAnsi="宋体"/>
                <w:color w:val="000000"/>
                <w:kern w:val="0"/>
                <w:sz w:val="24"/>
                <w:szCs w:val="24"/>
              </w:rPr>
              <w:t xml:space="preserve">  </w:t>
            </w:r>
          </w:p>
        </w:tc>
        <w:tc>
          <w:tcPr>
            <w:tcW w:w="5670" w:type="dxa"/>
            <w:gridSpan w:val="5"/>
            <w:vAlign w:val="center"/>
          </w:tcPr>
          <w:p w:rsidR="003C50AD" w:rsidRPr="00A31672" w:rsidRDefault="003C50AD" w:rsidP="00424D30">
            <w:pPr>
              <w:autoSpaceDE w:val="0"/>
              <w:autoSpaceDN w:val="0"/>
              <w:adjustRightInd w:val="0"/>
              <w:jc w:val="center"/>
              <w:rPr>
                <w:rFonts w:ascii="宋体" w:hAnsi="宋体"/>
                <w:b/>
                <w:bCs/>
                <w:color w:val="000000"/>
                <w:kern w:val="0"/>
                <w:sz w:val="24"/>
                <w:szCs w:val="24"/>
              </w:rPr>
            </w:pPr>
            <w:r w:rsidRPr="00A31672">
              <w:rPr>
                <w:rFonts w:ascii="宋体" w:hAnsi="宋体" w:hint="eastAsia"/>
                <w:color w:val="000000"/>
                <w:kern w:val="0"/>
                <w:sz w:val="24"/>
                <w:szCs w:val="24"/>
              </w:rPr>
              <w:t>报告期内持有基金份额变化情况</w:t>
            </w:r>
          </w:p>
        </w:tc>
        <w:tc>
          <w:tcPr>
            <w:tcW w:w="2549" w:type="dxa"/>
            <w:gridSpan w:val="2"/>
            <w:vAlign w:val="center"/>
          </w:tcPr>
          <w:p w:rsidR="003C50AD" w:rsidRPr="00A31672" w:rsidRDefault="003C50AD" w:rsidP="00424D30">
            <w:pPr>
              <w:autoSpaceDE w:val="0"/>
              <w:autoSpaceDN w:val="0"/>
              <w:adjustRightInd w:val="0"/>
              <w:jc w:val="center"/>
              <w:rPr>
                <w:rFonts w:ascii="宋体" w:hAnsi="宋体"/>
                <w:b/>
                <w:bCs/>
                <w:color w:val="000000"/>
                <w:kern w:val="0"/>
                <w:sz w:val="24"/>
                <w:szCs w:val="24"/>
              </w:rPr>
            </w:pPr>
            <w:r w:rsidRPr="00A31672">
              <w:rPr>
                <w:rFonts w:ascii="宋体" w:hAnsi="宋体" w:hint="eastAsia"/>
                <w:color w:val="000000"/>
                <w:kern w:val="0"/>
                <w:sz w:val="24"/>
                <w:szCs w:val="24"/>
              </w:rPr>
              <w:t>报告期末持有基金情况</w:t>
            </w:r>
          </w:p>
        </w:tc>
      </w:tr>
      <w:tr w:rsidR="003C50AD" w:rsidRPr="00A31672" w:rsidTr="00424D30">
        <w:tc>
          <w:tcPr>
            <w:tcW w:w="993" w:type="dxa"/>
            <w:vMerge/>
            <w:vAlign w:val="center"/>
          </w:tcPr>
          <w:p w:rsidR="003C50AD" w:rsidRPr="00A31672" w:rsidRDefault="003C50AD" w:rsidP="00424D30">
            <w:pPr>
              <w:autoSpaceDE w:val="0"/>
              <w:autoSpaceDN w:val="0"/>
              <w:adjustRightInd w:val="0"/>
              <w:jc w:val="center"/>
              <w:rPr>
                <w:rFonts w:ascii="宋体" w:hAnsi="宋体"/>
                <w:b/>
                <w:bCs/>
                <w:color w:val="000000"/>
                <w:kern w:val="0"/>
                <w:sz w:val="24"/>
                <w:szCs w:val="24"/>
              </w:rPr>
            </w:pPr>
          </w:p>
        </w:tc>
        <w:tc>
          <w:tcPr>
            <w:tcW w:w="992" w:type="dxa"/>
            <w:vAlign w:val="center"/>
          </w:tcPr>
          <w:p w:rsidR="003C50AD" w:rsidRPr="00A31672" w:rsidRDefault="003C50AD" w:rsidP="00424D30">
            <w:pPr>
              <w:autoSpaceDE w:val="0"/>
              <w:autoSpaceDN w:val="0"/>
              <w:adjustRightInd w:val="0"/>
              <w:jc w:val="center"/>
              <w:rPr>
                <w:rFonts w:ascii="宋体" w:hAnsi="宋体"/>
                <w:b/>
                <w:bCs/>
                <w:color w:val="000000"/>
                <w:kern w:val="0"/>
                <w:sz w:val="24"/>
                <w:szCs w:val="24"/>
              </w:rPr>
            </w:pPr>
            <w:r w:rsidRPr="00A31672">
              <w:rPr>
                <w:rFonts w:ascii="宋体" w:hAnsi="宋体" w:hint="eastAsia"/>
                <w:color w:val="000000"/>
                <w:kern w:val="0"/>
                <w:sz w:val="24"/>
                <w:szCs w:val="24"/>
              </w:rPr>
              <w:t>序号</w:t>
            </w:r>
          </w:p>
        </w:tc>
        <w:tc>
          <w:tcPr>
            <w:tcW w:w="1843" w:type="dxa"/>
            <w:vAlign w:val="center"/>
          </w:tcPr>
          <w:p w:rsidR="003C50AD" w:rsidRPr="00A31672" w:rsidRDefault="003C50AD" w:rsidP="00424D30">
            <w:pPr>
              <w:autoSpaceDE w:val="0"/>
              <w:autoSpaceDN w:val="0"/>
              <w:adjustRightInd w:val="0"/>
              <w:jc w:val="center"/>
              <w:rPr>
                <w:rFonts w:ascii="宋体" w:hAnsi="宋体"/>
                <w:b/>
                <w:bCs/>
                <w:color w:val="000000"/>
                <w:kern w:val="0"/>
                <w:sz w:val="24"/>
                <w:szCs w:val="24"/>
              </w:rPr>
            </w:pPr>
            <w:r w:rsidRPr="00A31672">
              <w:rPr>
                <w:rFonts w:ascii="宋体" w:hAnsi="宋体" w:hint="eastAsia"/>
                <w:color w:val="000000"/>
                <w:kern w:val="0"/>
                <w:sz w:val="24"/>
                <w:szCs w:val="24"/>
              </w:rPr>
              <w:t>持有基金份额比例达到或者超过20%的时间区间</w:t>
            </w:r>
          </w:p>
        </w:tc>
        <w:tc>
          <w:tcPr>
            <w:tcW w:w="851" w:type="dxa"/>
            <w:vAlign w:val="center"/>
          </w:tcPr>
          <w:p w:rsidR="003C50AD" w:rsidRPr="00A31672" w:rsidRDefault="003C50AD" w:rsidP="00424D30">
            <w:pPr>
              <w:widowControl/>
              <w:jc w:val="center"/>
              <w:rPr>
                <w:rFonts w:ascii="宋体" w:hAnsi="宋体"/>
                <w:b/>
                <w:bCs/>
                <w:color w:val="000000"/>
                <w:kern w:val="0"/>
                <w:sz w:val="24"/>
                <w:szCs w:val="24"/>
              </w:rPr>
            </w:pPr>
            <w:r w:rsidRPr="00A31672">
              <w:rPr>
                <w:rFonts w:ascii="宋体" w:hAnsi="宋体" w:hint="eastAsia"/>
                <w:color w:val="000000"/>
                <w:kern w:val="0"/>
                <w:sz w:val="24"/>
                <w:szCs w:val="24"/>
              </w:rPr>
              <w:t>期初份额</w:t>
            </w:r>
          </w:p>
        </w:tc>
        <w:tc>
          <w:tcPr>
            <w:tcW w:w="850" w:type="dxa"/>
            <w:vAlign w:val="center"/>
          </w:tcPr>
          <w:p w:rsidR="003C50AD" w:rsidRPr="00A31672" w:rsidRDefault="003C50AD" w:rsidP="00424D30">
            <w:pPr>
              <w:widowControl/>
              <w:jc w:val="center"/>
              <w:rPr>
                <w:rFonts w:ascii="宋体" w:hAnsi="宋体"/>
                <w:b/>
                <w:bCs/>
                <w:color w:val="000000"/>
                <w:kern w:val="0"/>
                <w:sz w:val="24"/>
                <w:szCs w:val="24"/>
              </w:rPr>
            </w:pPr>
            <w:r w:rsidRPr="00A31672">
              <w:rPr>
                <w:rFonts w:ascii="宋体" w:hAnsi="宋体" w:hint="eastAsia"/>
                <w:color w:val="000000"/>
                <w:kern w:val="0"/>
                <w:sz w:val="24"/>
                <w:szCs w:val="24"/>
              </w:rPr>
              <w:t>申购份额</w:t>
            </w:r>
          </w:p>
        </w:tc>
        <w:tc>
          <w:tcPr>
            <w:tcW w:w="1134" w:type="dxa"/>
            <w:vAlign w:val="center"/>
          </w:tcPr>
          <w:p w:rsidR="003C50AD" w:rsidRPr="00A31672" w:rsidRDefault="003C50AD" w:rsidP="00424D30">
            <w:pPr>
              <w:widowControl/>
              <w:jc w:val="center"/>
              <w:rPr>
                <w:rFonts w:ascii="宋体" w:hAnsi="宋体"/>
                <w:b/>
                <w:bCs/>
                <w:color w:val="000000"/>
                <w:kern w:val="0"/>
                <w:sz w:val="24"/>
                <w:szCs w:val="24"/>
              </w:rPr>
            </w:pPr>
            <w:r w:rsidRPr="00A31672">
              <w:rPr>
                <w:rFonts w:ascii="宋体" w:hAnsi="宋体" w:hint="eastAsia"/>
                <w:color w:val="000000"/>
                <w:kern w:val="0"/>
                <w:sz w:val="24"/>
                <w:szCs w:val="24"/>
              </w:rPr>
              <w:t>赎回份额</w:t>
            </w:r>
          </w:p>
        </w:tc>
        <w:tc>
          <w:tcPr>
            <w:tcW w:w="1419" w:type="dxa"/>
            <w:vAlign w:val="center"/>
          </w:tcPr>
          <w:p w:rsidR="003C50AD" w:rsidRPr="00A31672" w:rsidRDefault="003C50AD" w:rsidP="00424D30">
            <w:pPr>
              <w:autoSpaceDE w:val="0"/>
              <w:autoSpaceDN w:val="0"/>
              <w:adjustRightInd w:val="0"/>
              <w:jc w:val="center"/>
              <w:rPr>
                <w:rFonts w:ascii="宋体" w:hAnsi="宋体"/>
                <w:b/>
                <w:bCs/>
                <w:color w:val="000000"/>
                <w:kern w:val="0"/>
                <w:sz w:val="24"/>
                <w:szCs w:val="24"/>
              </w:rPr>
            </w:pPr>
            <w:r w:rsidRPr="00A31672">
              <w:rPr>
                <w:rFonts w:ascii="宋体" w:hAnsi="宋体" w:hint="eastAsia"/>
                <w:color w:val="000000"/>
                <w:kern w:val="0"/>
                <w:sz w:val="24"/>
                <w:szCs w:val="24"/>
              </w:rPr>
              <w:t>持有份额</w:t>
            </w:r>
          </w:p>
        </w:tc>
        <w:tc>
          <w:tcPr>
            <w:tcW w:w="1130" w:type="dxa"/>
            <w:vAlign w:val="center"/>
          </w:tcPr>
          <w:p w:rsidR="003C50AD" w:rsidRPr="00A31672" w:rsidRDefault="003C50AD" w:rsidP="00424D30">
            <w:pPr>
              <w:autoSpaceDE w:val="0"/>
              <w:autoSpaceDN w:val="0"/>
              <w:adjustRightInd w:val="0"/>
              <w:jc w:val="center"/>
              <w:rPr>
                <w:rFonts w:ascii="宋体" w:hAnsi="宋体"/>
                <w:b/>
                <w:bCs/>
                <w:color w:val="000000"/>
                <w:kern w:val="0"/>
                <w:sz w:val="24"/>
                <w:szCs w:val="24"/>
              </w:rPr>
            </w:pPr>
            <w:r w:rsidRPr="00A31672">
              <w:rPr>
                <w:rFonts w:ascii="宋体" w:hAnsi="宋体" w:hint="eastAsia"/>
                <w:color w:val="000000"/>
                <w:kern w:val="0"/>
                <w:sz w:val="24"/>
                <w:szCs w:val="24"/>
              </w:rPr>
              <w:t>份额占比</w:t>
            </w:r>
          </w:p>
        </w:tc>
      </w:tr>
      <w:tr w:rsidR="0080500C" w:rsidRPr="00A31672">
        <w:tc>
          <w:tcPr>
            <w:tcW w:w="993" w:type="dxa"/>
            <w:vMerge w:val="restart"/>
          </w:tcPr>
          <w:p w:rsidR="0080500C" w:rsidRPr="00A31672" w:rsidRDefault="0080500C">
            <w:pPr>
              <w:rPr>
                <w:sz w:val="24"/>
                <w:szCs w:val="24"/>
              </w:rPr>
            </w:pPr>
          </w:p>
          <w:p w:rsidR="0080500C" w:rsidRPr="00A31672" w:rsidRDefault="003E5BE4">
            <w:pPr>
              <w:rPr>
                <w:sz w:val="24"/>
                <w:szCs w:val="24"/>
              </w:rPr>
            </w:pPr>
            <w:r w:rsidRPr="00A31672">
              <w:rPr>
                <w:rFonts w:ascii="宋体" w:hAnsi="宋体" w:hint="eastAsia"/>
                <w:bCs/>
                <w:color w:val="000000"/>
                <w:kern w:val="0"/>
                <w:sz w:val="24"/>
                <w:szCs w:val="24"/>
              </w:rPr>
              <w:t>机构</w:t>
            </w:r>
          </w:p>
        </w:tc>
        <w:tc>
          <w:tcPr>
            <w:tcW w:w="992" w:type="dxa"/>
            <w:vAlign w:val="center"/>
          </w:tcPr>
          <w:p w:rsidR="0080500C" w:rsidRPr="00A31672" w:rsidRDefault="003E5BE4">
            <w:pPr>
              <w:jc w:val="center"/>
              <w:rPr>
                <w:sz w:val="24"/>
                <w:szCs w:val="24"/>
              </w:rPr>
            </w:pPr>
            <w:r w:rsidRPr="00A31672">
              <w:rPr>
                <w:rFonts w:ascii="宋体" w:hAnsi="宋体"/>
                <w:color w:val="000000"/>
                <w:kern w:val="0"/>
                <w:sz w:val="24"/>
                <w:szCs w:val="24"/>
              </w:rPr>
              <w:t>1</w:t>
            </w:r>
          </w:p>
        </w:tc>
        <w:tc>
          <w:tcPr>
            <w:tcW w:w="1843" w:type="dxa"/>
            <w:vAlign w:val="center"/>
          </w:tcPr>
          <w:p w:rsidR="0080500C" w:rsidRPr="00A31672" w:rsidRDefault="003E5BE4">
            <w:pPr>
              <w:jc w:val="center"/>
              <w:rPr>
                <w:sz w:val="24"/>
                <w:szCs w:val="24"/>
              </w:rPr>
            </w:pPr>
            <w:r w:rsidRPr="00A31672">
              <w:rPr>
                <w:rFonts w:ascii="宋体" w:hAnsi="宋体"/>
                <w:color w:val="000000"/>
                <w:kern w:val="0"/>
                <w:sz w:val="24"/>
                <w:szCs w:val="24"/>
              </w:rPr>
              <w:t>2018/7/1-2018/9/30</w:t>
            </w:r>
          </w:p>
        </w:tc>
        <w:tc>
          <w:tcPr>
            <w:tcW w:w="851" w:type="dxa"/>
            <w:vAlign w:val="center"/>
          </w:tcPr>
          <w:p w:rsidR="0080500C" w:rsidRPr="00A31672" w:rsidRDefault="003E5BE4">
            <w:pPr>
              <w:jc w:val="center"/>
              <w:rPr>
                <w:sz w:val="24"/>
                <w:szCs w:val="24"/>
              </w:rPr>
            </w:pPr>
            <w:r w:rsidRPr="00A31672">
              <w:rPr>
                <w:rFonts w:ascii="宋体" w:hAnsi="宋体"/>
                <w:color w:val="000000"/>
                <w:kern w:val="0"/>
                <w:sz w:val="24"/>
                <w:szCs w:val="24"/>
              </w:rPr>
              <w:t>17,538,461.54</w:t>
            </w:r>
          </w:p>
        </w:tc>
        <w:tc>
          <w:tcPr>
            <w:tcW w:w="850" w:type="dxa"/>
            <w:vAlign w:val="center"/>
          </w:tcPr>
          <w:p w:rsidR="0080500C" w:rsidRPr="00A31672" w:rsidRDefault="003E5BE4">
            <w:pPr>
              <w:jc w:val="center"/>
              <w:rPr>
                <w:sz w:val="24"/>
                <w:szCs w:val="24"/>
              </w:rPr>
            </w:pPr>
            <w:r w:rsidRPr="00A31672">
              <w:rPr>
                <w:rFonts w:ascii="宋体" w:hAnsi="宋体"/>
                <w:color w:val="000000"/>
                <w:kern w:val="0"/>
                <w:sz w:val="24"/>
                <w:szCs w:val="24"/>
              </w:rPr>
              <w:t>-</w:t>
            </w:r>
          </w:p>
        </w:tc>
        <w:tc>
          <w:tcPr>
            <w:tcW w:w="1134" w:type="dxa"/>
            <w:vAlign w:val="center"/>
          </w:tcPr>
          <w:p w:rsidR="0080500C" w:rsidRPr="00A31672" w:rsidRDefault="003E5BE4">
            <w:pPr>
              <w:jc w:val="center"/>
              <w:rPr>
                <w:sz w:val="24"/>
                <w:szCs w:val="24"/>
              </w:rPr>
            </w:pPr>
            <w:r w:rsidRPr="00A31672">
              <w:rPr>
                <w:rFonts w:ascii="宋体" w:hAnsi="宋体"/>
                <w:color w:val="000000"/>
                <w:kern w:val="0"/>
                <w:sz w:val="24"/>
                <w:szCs w:val="24"/>
              </w:rPr>
              <w:t>-</w:t>
            </w:r>
          </w:p>
        </w:tc>
        <w:tc>
          <w:tcPr>
            <w:tcW w:w="1419" w:type="dxa"/>
            <w:vAlign w:val="center"/>
          </w:tcPr>
          <w:p w:rsidR="0080500C" w:rsidRPr="00A31672" w:rsidRDefault="003E5BE4">
            <w:pPr>
              <w:jc w:val="center"/>
              <w:rPr>
                <w:sz w:val="24"/>
                <w:szCs w:val="24"/>
              </w:rPr>
            </w:pPr>
            <w:r w:rsidRPr="00A31672">
              <w:rPr>
                <w:rFonts w:ascii="宋体" w:hAnsi="宋体"/>
                <w:color w:val="000000"/>
                <w:kern w:val="0"/>
                <w:sz w:val="24"/>
                <w:szCs w:val="24"/>
              </w:rPr>
              <w:t>17,538,461.54</w:t>
            </w:r>
          </w:p>
        </w:tc>
        <w:tc>
          <w:tcPr>
            <w:tcW w:w="1130" w:type="dxa"/>
            <w:vAlign w:val="center"/>
          </w:tcPr>
          <w:p w:rsidR="0080500C" w:rsidRPr="00A31672" w:rsidRDefault="003E5BE4">
            <w:pPr>
              <w:jc w:val="center"/>
              <w:rPr>
                <w:sz w:val="24"/>
                <w:szCs w:val="24"/>
              </w:rPr>
            </w:pPr>
            <w:r w:rsidRPr="00A31672">
              <w:rPr>
                <w:rFonts w:ascii="宋体" w:hAnsi="宋体"/>
                <w:color w:val="000000"/>
                <w:kern w:val="0"/>
                <w:sz w:val="24"/>
                <w:szCs w:val="24"/>
              </w:rPr>
              <w:t>25.39%</w:t>
            </w:r>
          </w:p>
        </w:tc>
      </w:tr>
      <w:tr w:rsidR="003C50AD" w:rsidRPr="00A31672" w:rsidTr="00424D30">
        <w:tc>
          <w:tcPr>
            <w:tcW w:w="9212" w:type="dxa"/>
            <w:gridSpan w:val="8"/>
            <w:vAlign w:val="center"/>
          </w:tcPr>
          <w:p w:rsidR="003C50AD" w:rsidRPr="00A31672" w:rsidRDefault="003C50AD" w:rsidP="00424D30">
            <w:pPr>
              <w:autoSpaceDE w:val="0"/>
              <w:autoSpaceDN w:val="0"/>
              <w:adjustRightInd w:val="0"/>
              <w:jc w:val="center"/>
              <w:rPr>
                <w:rFonts w:ascii="宋体" w:hAnsi="宋体"/>
                <w:kern w:val="0"/>
                <w:sz w:val="24"/>
                <w:szCs w:val="24"/>
              </w:rPr>
            </w:pPr>
            <w:r w:rsidRPr="00A31672">
              <w:rPr>
                <w:rFonts w:ascii="宋体" w:hAnsi="宋体"/>
                <w:color w:val="000000"/>
                <w:kern w:val="0"/>
                <w:sz w:val="24"/>
                <w:szCs w:val="24"/>
              </w:rPr>
              <w:t>产品特有风险</w:t>
            </w:r>
          </w:p>
        </w:tc>
      </w:tr>
      <w:tr w:rsidR="003C50AD" w:rsidRPr="00A31672" w:rsidTr="00424D30">
        <w:tc>
          <w:tcPr>
            <w:tcW w:w="9212" w:type="dxa"/>
            <w:gridSpan w:val="8"/>
            <w:vAlign w:val="center"/>
          </w:tcPr>
          <w:p w:rsidR="003C50AD" w:rsidRPr="00A31672" w:rsidRDefault="003C50AD" w:rsidP="00424D30">
            <w:pPr>
              <w:autoSpaceDE w:val="0"/>
              <w:autoSpaceDN w:val="0"/>
              <w:adjustRightInd w:val="0"/>
              <w:jc w:val="left"/>
              <w:rPr>
                <w:rFonts w:ascii="宋体" w:hAnsi="宋体"/>
                <w:kern w:val="0"/>
                <w:sz w:val="24"/>
                <w:szCs w:val="24"/>
              </w:rPr>
            </w:pPr>
            <w:r w:rsidRPr="00A31672">
              <w:rPr>
                <w:rFonts w:ascii="宋体" w:hAnsi="宋体" w:hint="eastAsia"/>
                <w:kern w:val="0"/>
                <w:sz w:val="24"/>
                <w:szCs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bookmarkEnd w:id="0"/>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0500C" w:rsidRDefault="003E5BE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80500C" w:rsidRDefault="003E5BE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混合型证券投资基金基金合同》；</w:t>
      </w:r>
      <w:r>
        <w:rPr>
          <w:color w:val="000000"/>
          <w:sz w:val="24"/>
          <w:szCs w:val="24"/>
        </w:rPr>
        <w:t xml:space="preserve"> </w:t>
      </w:r>
    </w:p>
    <w:p w:rsidR="0080500C" w:rsidRDefault="003E5BE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混合型证券投资基金招募说明书》；</w:t>
      </w:r>
      <w:r>
        <w:rPr>
          <w:color w:val="000000"/>
          <w:sz w:val="24"/>
          <w:szCs w:val="24"/>
        </w:rPr>
        <w:t xml:space="preserve"> </w:t>
      </w:r>
    </w:p>
    <w:p w:rsidR="0080500C" w:rsidRDefault="003E5BE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混合型证券投资基金托管协议》；</w:t>
      </w:r>
      <w:r>
        <w:rPr>
          <w:color w:val="000000"/>
          <w:sz w:val="24"/>
          <w:szCs w:val="24"/>
        </w:rPr>
        <w:t xml:space="preserve"> </w:t>
      </w:r>
    </w:p>
    <w:p w:rsidR="0080500C" w:rsidRDefault="003E5BE4">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rsidR="0080500C" w:rsidRDefault="003E5BE4">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80500C" w:rsidRDefault="003E5BE4">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0500C" w:rsidRDefault="003E5BE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BE4" w:rsidRDefault="003E5BE4" w:rsidP="00876D65">
      <w:r>
        <w:separator/>
      </w:r>
    </w:p>
  </w:endnote>
  <w:endnote w:type="continuationSeparator" w:id="0">
    <w:p w:rsidR="003E5BE4" w:rsidRDefault="003E5BE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31672">
      <w:rPr>
        <w:noProof/>
        <w:kern w:val="0"/>
        <w:szCs w:val="21"/>
      </w:rPr>
      <w:t>13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31672">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BE4" w:rsidRDefault="003E5BE4" w:rsidP="00876D65">
      <w:r>
        <w:separator/>
      </w:r>
    </w:p>
  </w:footnote>
  <w:footnote w:type="continuationSeparator" w:id="0">
    <w:p w:rsidR="003E5BE4" w:rsidRDefault="003E5BE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交银施罗德成长</w:t>
    </w:r>
    <w:r w:rsidRPr="003E676C">
      <w:rPr>
        <w:sz w:val="24"/>
        <w:szCs w:val="24"/>
      </w:rPr>
      <w:t>30</w:t>
    </w:r>
    <w:r w:rsidRPr="003E676C">
      <w:rPr>
        <w:sz w:val="24"/>
        <w:szCs w:val="24"/>
      </w:rPr>
      <w:t>混合型证券投资基金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5BE4"/>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00C"/>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1672"/>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9B6961-4638-41BF-A478-471EB4AB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8D73D-9BF4-4CD1-AA00-7B9A2FBC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13</Pages>
  <Words>1139</Words>
  <Characters>6493</Characters>
  <Application>Microsoft Office Word</Application>
  <DocSecurity>0</DocSecurity>
  <Lines>54</Lines>
  <Paragraphs>15</Paragraphs>
  <ScaleCrop>false</ScaleCrop>
  <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579</cp:revision>
  <dcterms:created xsi:type="dcterms:W3CDTF">2012-10-16T06:07:00Z</dcterms:created>
  <dcterms:modified xsi:type="dcterms:W3CDTF">2018-10-22T05:33:00Z</dcterms:modified>
</cp:coreProperties>
</file>