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951BA" w:rsidRDefault="003E754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951BA" w:rsidRDefault="003E754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951BA" w:rsidRDefault="003E754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951BA" w:rsidRDefault="003E754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951BA" w:rsidRDefault="003E754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316,126,908.09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00833" w:rsidRPr="00414345" w:rsidTr="0020083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00833" w:rsidRPr="00414345" w:rsidTr="002008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1,858,407.30</w:t>
            </w:r>
          </w:p>
        </w:tc>
      </w:tr>
      <w:tr w:rsidR="00200833" w:rsidRPr="00414345" w:rsidTr="002008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3,956,053.07</w:t>
            </w:r>
          </w:p>
        </w:tc>
      </w:tr>
      <w:tr w:rsidR="00200833" w:rsidRPr="00414345" w:rsidTr="002008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0.0252</w:t>
            </w:r>
          </w:p>
        </w:tc>
      </w:tr>
      <w:tr w:rsidR="00200833" w:rsidRPr="00414345" w:rsidTr="002008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437,411,334.30</w:t>
            </w:r>
          </w:p>
        </w:tc>
      </w:tr>
      <w:tr w:rsidR="00200833" w:rsidRPr="00414345" w:rsidTr="0020083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1.384</w:t>
            </w:r>
          </w:p>
        </w:tc>
      </w:tr>
    </w:tbl>
    <w:p w:rsidR="00C951BA" w:rsidRDefault="003E754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951BA">
        <w:trPr>
          <w:jc w:val="center"/>
        </w:trPr>
        <w:tc>
          <w:tcPr>
            <w:tcW w:w="1701" w:type="dxa"/>
            <w:vAlign w:val="center"/>
          </w:tcPr>
          <w:p w:rsidR="00C951BA" w:rsidRDefault="003E754C">
            <w:pPr>
              <w:jc w:val="left"/>
            </w:pPr>
            <w:r>
              <w:rPr>
                <w:color w:val="000000"/>
                <w:sz w:val="24"/>
                <w:szCs w:val="24"/>
              </w:rPr>
              <w:t>过去三个月</w:t>
            </w:r>
          </w:p>
        </w:tc>
        <w:tc>
          <w:tcPr>
            <w:tcW w:w="1045" w:type="dxa"/>
            <w:vAlign w:val="center"/>
          </w:tcPr>
          <w:p w:rsidR="00C951BA" w:rsidRDefault="003E754C">
            <w:pPr>
              <w:jc w:val="center"/>
            </w:pPr>
            <w:r>
              <w:rPr>
                <w:color w:val="000000"/>
                <w:sz w:val="24"/>
                <w:szCs w:val="24"/>
              </w:rPr>
              <w:t>1.70%</w:t>
            </w:r>
          </w:p>
        </w:tc>
        <w:tc>
          <w:tcPr>
            <w:tcW w:w="1344" w:type="dxa"/>
            <w:vAlign w:val="center"/>
          </w:tcPr>
          <w:p w:rsidR="00C951BA" w:rsidRDefault="003E754C">
            <w:pPr>
              <w:jc w:val="center"/>
            </w:pPr>
            <w:r>
              <w:rPr>
                <w:color w:val="000000"/>
                <w:sz w:val="24"/>
                <w:szCs w:val="24"/>
              </w:rPr>
              <w:t>0.07%</w:t>
            </w:r>
          </w:p>
        </w:tc>
        <w:tc>
          <w:tcPr>
            <w:tcW w:w="1194" w:type="dxa"/>
            <w:vAlign w:val="center"/>
          </w:tcPr>
          <w:p w:rsidR="00C951BA" w:rsidRDefault="003E754C">
            <w:pPr>
              <w:jc w:val="center"/>
            </w:pPr>
            <w:r>
              <w:rPr>
                <w:color w:val="000000"/>
                <w:sz w:val="24"/>
                <w:szCs w:val="24"/>
              </w:rPr>
              <w:t>0.64%</w:t>
            </w:r>
          </w:p>
        </w:tc>
        <w:tc>
          <w:tcPr>
            <w:tcW w:w="1492" w:type="dxa"/>
            <w:vAlign w:val="center"/>
          </w:tcPr>
          <w:p w:rsidR="00C951BA" w:rsidRDefault="003E754C">
            <w:pPr>
              <w:jc w:val="center"/>
            </w:pPr>
            <w:r>
              <w:rPr>
                <w:color w:val="000000"/>
                <w:sz w:val="24"/>
                <w:szCs w:val="24"/>
              </w:rPr>
              <w:t>0.06%</w:t>
            </w:r>
          </w:p>
        </w:tc>
        <w:tc>
          <w:tcPr>
            <w:tcW w:w="1194" w:type="dxa"/>
            <w:vAlign w:val="center"/>
          </w:tcPr>
          <w:p w:rsidR="00C951BA" w:rsidRDefault="003E754C">
            <w:pPr>
              <w:jc w:val="center"/>
            </w:pPr>
            <w:r>
              <w:rPr>
                <w:color w:val="000000"/>
                <w:sz w:val="24"/>
                <w:szCs w:val="24"/>
              </w:rPr>
              <w:t>1.06%</w:t>
            </w:r>
          </w:p>
        </w:tc>
        <w:tc>
          <w:tcPr>
            <w:tcW w:w="898" w:type="dxa"/>
            <w:vAlign w:val="center"/>
          </w:tcPr>
          <w:p w:rsidR="00C951BA" w:rsidRDefault="003E754C">
            <w:pPr>
              <w:jc w:val="center"/>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951BA">
        <w:trPr>
          <w:jc w:val="center"/>
        </w:trPr>
        <w:tc>
          <w:tcPr>
            <w:tcW w:w="846" w:type="dxa"/>
            <w:vAlign w:val="center"/>
          </w:tcPr>
          <w:p w:rsidR="00C951BA" w:rsidRDefault="003E754C">
            <w:pPr>
              <w:jc w:val="center"/>
            </w:pPr>
            <w:r>
              <w:rPr>
                <w:color w:val="000000"/>
                <w:sz w:val="24"/>
                <w:szCs w:val="24"/>
              </w:rPr>
              <w:t>唐赟</w:t>
            </w:r>
          </w:p>
        </w:tc>
        <w:tc>
          <w:tcPr>
            <w:tcW w:w="845" w:type="dxa"/>
            <w:vAlign w:val="center"/>
          </w:tcPr>
          <w:p w:rsidR="00C951BA" w:rsidRDefault="003E754C">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、交银双利债券、交银双轮动债券、交银裕通纯债债券、交银安心收益债券的基金经理</w:t>
            </w:r>
          </w:p>
        </w:tc>
        <w:tc>
          <w:tcPr>
            <w:tcW w:w="1549" w:type="dxa"/>
            <w:vAlign w:val="center"/>
          </w:tcPr>
          <w:p w:rsidR="00C951BA" w:rsidRDefault="003E754C">
            <w:pPr>
              <w:jc w:val="center"/>
            </w:pPr>
            <w:r>
              <w:rPr>
                <w:color w:val="000000"/>
                <w:sz w:val="24"/>
                <w:szCs w:val="24"/>
              </w:rPr>
              <w:t>2015-08-04</w:t>
            </w:r>
          </w:p>
        </w:tc>
        <w:tc>
          <w:tcPr>
            <w:tcW w:w="1548" w:type="dxa"/>
            <w:vAlign w:val="center"/>
          </w:tcPr>
          <w:p w:rsidR="00C951BA" w:rsidRDefault="003E754C">
            <w:pPr>
              <w:jc w:val="center"/>
            </w:pPr>
            <w:r>
              <w:rPr>
                <w:color w:val="000000"/>
                <w:sz w:val="24"/>
                <w:szCs w:val="24"/>
              </w:rPr>
              <w:t>-</w:t>
            </w:r>
          </w:p>
        </w:tc>
        <w:tc>
          <w:tcPr>
            <w:tcW w:w="1407" w:type="dxa"/>
            <w:vAlign w:val="center"/>
          </w:tcPr>
          <w:p w:rsidR="00C951BA" w:rsidRDefault="006A5B01">
            <w:pPr>
              <w:jc w:val="center"/>
            </w:pPr>
            <w:r>
              <w:rPr>
                <w:color w:val="000000"/>
                <w:sz w:val="24"/>
                <w:szCs w:val="24"/>
              </w:rPr>
              <w:t>8</w:t>
            </w:r>
            <w:bookmarkStart w:id="0" w:name="_GoBack"/>
            <w:bookmarkEnd w:id="0"/>
            <w:r w:rsidR="003E754C">
              <w:rPr>
                <w:color w:val="000000"/>
                <w:sz w:val="24"/>
                <w:szCs w:val="24"/>
              </w:rPr>
              <w:t>年</w:t>
            </w:r>
          </w:p>
        </w:tc>
        <w:tc>
          <w:tcPr>
            <w:tcW w:w="2673" w:type="dxa"/>
            <w:vAlign w:val="center"/>
          </w:tcPr>
          <w:p w:rsidR="00C951BA" w:rsidRDefault="003E754C">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1</w:t>
            </w:r>
            <w:r>
              <w:rPr>
                <w:color w:val="000000"/>
                <w:sz w:val="24"/>
                <w:szCs w:val="24"/>
              </w:rPr>
              <w:t>日担任转型前的交银施罗德荣和保本混合型证券投资基金的基金经理。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951BA" w:rsidRDefault="003E754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951BA" w:rsidRDefault="003E754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951BA" w:rsidRDefault="003E754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951BA" w:rsidRDefault="003E754C">
      <w:pPr>
        <w:spacing w:before="29" w:line="288" w:lineRule="auto"/>
        <w:ind w:firstLineChars="200" w:firstLine="480"/>
        <w:rPr>
          <w:color w:val="000000"/>
          <w:sz w:val="24"/>
          <w:szCs w:val="24"/>
        </w:rPr>
      </w:pPr>
      <w:r>
        <w:rPr>
          <w:color w:val="000000"/>
          <w:sz w:val="24"/>
          <w:szCs w:val="24"/>
        </w:rPr>
        <w:t>三季度伊始，在央行定向降准落地、大规模投放流动性使得资金面极度宽松的背景下，回购利率中枢一度下行至</w:t>
      </w:r>
      <w:r>
        <w:rPr>
          <w:color w:val="000000"/>
          <w:sz w:val="24"/>
          <w:szCs w:val="24"/>
        </w:rPr>
        <w:t>2017</w:t>
      </w:r>
      <w:r>
        <w:rPr>
          <w:color w:val="000000"/>
          <w:sz w:val="24"/>
          <w:szCs w:val="24"/>
        </w:rPr>
        <w:t>年以来的新低点，同业存单利率中枢也发生断崖式下行，带动债券市场收益率在七月继续下行。进入八月，利空因素逐渐增多，国常会和政治局会议发出对积极的财政政策、减税降费、扩大内需的表态之后，宏观经济政策开始调整，去杠杆从</w:t>
      </w:r>
      <w:r>
        <w:rPr>
          <w:color w:val="000000"/>
          <w:sz w:val="24"/>
          <w:szCs w:val="24"/>
        </w:rPr>
        <w:t>“</w:t>
      </w:r>
      <w:r>
        <w:rPr>
          <w:color w:val="000000"/>
          <w:sz w:val="24"/>
          <w:szCs w:val="24"/>
        </w:rPr>
        <w:t>宽货币</w:t>
      </w:r>
      <w:r>
        <w:rPr>
          <w:color w:val="000000"/>
          <w:sz w:val="24"/>
          <w:szCs w:val="24"/>
        </w:rPr>
        <w:t>+</w:t>
      </w:r>
      <w:r>
        <w:rPr>
          <w:color w:val="000000"/>
          <w:sz w:val="24"/>
          <w:szCs w:val="24"/>
        </w:rPr>
        <w:t>紧信用</w:t>
      </w:r>
      <w:r>
        <w:rPr>
          <w:color w:val="000000"/>
          <w:sz w:val="24"/>
          <w:szCs w:val="24"/>
        </w:rPr>
        <w:t>”</w:t>
      </w:r>
      <w:r>
        <w:rPr>
          <w:color w:val="000000"/>
          <w:sz w:val="24"/>
          <w:szCs w:val="24"/>
        </w:rPr>
        <w:t>的组合逐渐向</w:t>
      </w:r>
      <w:r>
        <w:rPr>
          <w:color w:val="000000"/>
          <w:sz w:val="24"/>
          <w:szCs w:val="24"/>
        </w:rPr>
        <w:t>“</w:t>
      </w:r>
      <w:r>
        <w:rPr>
          <w:color w:val="000000"/>
          <w:sz w:val="24"/>
          <w:szCs w:val="24"/>
        </w:rPr>
        <w:t>宽货币</w:t>
      </w:r>
      <w:r>
        <w:rPr>
          <w:color w:val="000000"/>
          <w:sz w:val="24"/>
          <w:szCs w:val="24"/>
        </w:rPr>
        <w:t>+</w:t>
      </w:r>
      <w:r>
        <w:rPr>
          <w:color w:val="000000"/>
          <w:sz w:val="24"/>
          <w:szCs w:val="24"/>
        </w:rPr>
        <w:t>宽信用</w:t>
      </w:r>
      <w:r>
        <w:rPr>
          <w:color w:val="000000"/>
          <w:sz w:val="24"/>
          <w:szCs w:val="24"/>
        </w:rPr>
        <w:t>”</w:t>
      </w:r>
      <w:r>
        <w:rPr>
          <w:color w:val="000000"/>
          <w:sz w:val="24"/>
          <w:szCs w:val="24"/>
        </w:rPr>
        <w:t>调整。八月和九月，地方债供给大幅放量、市场对通胀回暖的预期提升、进出口数据表现坚挺等多个空方因素的出现，导致债券市场回调，收益率震荡上行。</w:t>
      </w:r>
    </w:p>
    <w:p w:rsidR="00C951BA" w:rsidRDefault="003E754C">
      <w:pPr>
        <w:spacing w:before="29" w:line="288" w:lineRule="auto"/>
        <w:ind w:firstLineChars="200" w:firstLine="480"/>
        <w:rPr>
          <w:color w:val="000000"/>
          <w:sz w:val="24"/>
          <w:szCs w:val="24"/>
        </w:rPr>
      </w:pPr>
      <w:r>
        <w:rPr>
          <w:color w:val="000000"/>
          <w:sz w:val="24"/>
          <w:szCs w:val="24"/>
        </w:rPr>
        <w:t>报告期内，基于对资金面维持大体宽松、信用利差有收窄空间，同时收益率下行阶段性见底的判断，本基金在维持债券底仓整体久期的同时，对底仓的结构做出部分调整，提升静态收益率和杠杆套息利差，择机进行长久期利率债的波段操作。同时，基于对权益市场较为谨慎的看法，控制组合的转债仓位，选择少量优质券种进行波段操作为组合增强收益。</w:t>
      </w:r>
    </w:p>
    <w:p w:rsidR="00C951BA" w:rsidRDefault="003E754C">
      <w:pPr>
        <w:spacing w:before="29" w:line="288" w:lineRule="auto"/>
        <w:ind w:firstLineChars="200" w:firstLine="480"/>
        <w:rPr>
          <w:color w:val="000000"/>
          <w:sz w:val="24"/>
          <w:szCs w:val="24"/>
        </w:rPr>
      </w:pPr>
      <w:r>
        <w:rPr>
          <w:color w:val="000000"/>
          <w:sz w:val="24"/>
          <w:szCs w:val="24"/>
        </w:rPr>
        <w:t>展望四季度，我们判断债市可能在震荡中保持下行。一方面，在去杠杆不断深入的背景下，经济下行风险仍然较高，货币政策整体偏宽松的总基调不会发生根本性改变，而宽信用财政政策的效果有待检验。虽然前期信用紧缩导致的企业资金链断裂风险现在已经引起各方面的重视，财政政策开始发力，但是在各类融资渠道收紧、银行资本金又较为不足的情况下，九月份国内信用风险仍不断发酵，新增数起债券违约事件，四季度的信用重新扩张道路仍漫长且艰难。另一方面，货币政策受到的外部环境牵制在不断增强，美联储加息和缩表的按计划推进，导致全球流动性收紧，新兴市场危机涌现，而中美贸易摩擦带来的汇率贬值压力经过三季度的释放之后，当前人民币对一篮子货币的汇率水平较低，未来继续贬值的空间收窄。以上因素将对央行的货币和汇率政策形成一定掣肘。整体上，我们认为四季度固定资产投资难见起色，国内经济基本面大概率疲软，叠加地方债供给压力减小，均对债券市场形成利好，但是外部市场环境对货币政策的牵制可能会导致收益率出现阶段性波动。在操作策略上，我们或将保持当前中性偏高的组合久期，以中高等级的信用债为底仓，严格把控信用风险，并择机进行利率债的波段操作，以期增强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可转债方面，四季度我们认为转债缺乏系统性的机会，我们将在控制转债仓位的前提下，关注新兴行业转债个券，灵活操作尽力为组合增强收益。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484,093,205.01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97.44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484,093,205.01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97.44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0.20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2,404,403.70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0.48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9,308,165.25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496,805,773.96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22,793,200.00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22,793,200.00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150,478,000.00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34.40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40,052,000.00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9.16</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252,193,000.00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57.66</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18,577,005.01</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4.25</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484,093,205.01</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110.67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951BA">
        <w:trPr>
          <w:jc w:val="center"/>
        </w:trPr>
        <w:tc>
          <w:tcPr>
            <w:tcW w:w="850" w:type="dxa"/>
            <w:vAlign w:val="center"/>
          </w:tcPr>
          <w:p w:rsidR="00C951BA" w:rsidRDefault="003E754C">
            <w:pPr>
              <w:jc w:val="center"/>
            </w:pPr>
            <w:r>
              <w:rPr>
                <w:color w:val="000000"/>
                <w:sz w:val="24"/>
                <w:szCs w:val="24"/>
              </w:rPr>
              <w:t>1</w:t>
            </w:r>
          </w:p>
        </w:tc>
        <w:tc>
          <w:tcPr>
            <w:tcW w:w="1475" w:type="dxa"/>
            <w:vAlign w:val="center"/>
          </w:tcPr>
          <w:p w:rsidR="00C951BA" w:rsidRDefault="003E754C">
            <w:pPr>
              <w:jc w:val="center"/>
            </w:pPr>
            <w:r>
              <w:rPr>
                <w:color w:val="000000"/>
                <w:sz w:val="24"/>
                <w:szCs w:val="24"/>
              </w:rPr>
              <w:t>101800983</w:t>
            </w:r>
          </w:p>
        </w:tc>
        <w:tc>
          <w:tcPr>
            <w:tcW w:w="1769" w:type="dxa"/>
            <w:vAlign w:val="center"/>
          </w:tcPr>
          <w:p w:rsidR="00C951BA" w:rsidRDefault="003E754C">
            <w:pPr>
              <w:jc w:val="center"/>
            </w:pPr>
            <w:r>
              <w:rPr>
                <w:color w:val="000000"/>
                <w:sz w:val="24"/>
                <w:szCs w:val="24"/>
              </w:rPr>
              <w:t>18</w:t>
            </w:r>
            <w:r>
              <w:rPr>
                <w:color w:val="000000"/>
                <w:sz w:val="24"/>
                <w:szCs w:val="24"/>
              </w:rPr>
              <w:t>海淀国资</w:t>
            </w:r>
            <w:r>
              <w:rPr>
                <w:color w:val="000000"/>
                <w:sz w:val="24"/>
                <w:szCs w:val="24"/>
              </w:rPr>
              <w:t>MTN001</w:t>
            </w:r>
          </w:p>
        </w:tc>
        <w:tc>
          <w:tcPr>
            <w:tcW w:w="1387" w:type="dxa"/>
            <w:vAlign w:val="center"/>
          </w:tcPr>
          <w:p w:rsidR="00C951BA" w:rsidRDefault="003E754C">
            <w:pPr>
              <w:jc w:val="right"/>
            </w:pPr>
            <w:r>
              <w:rPr>
                <w:color w:val="000000"/>
                <w:sz w:val="24"/>
                <w:szCs w:val="24"/>
              </w:rPr>
              <w:t>300,000</w:t>
            </w:r>
          </w:p>
        </w:tc>
        <w:tc>
          <w:tcPr>
            <w:tcW w:w="2150" w:type="dxa"/>
            <w:vAlign w:val="center"/>
          </w:tcPr>
          <w:p w:rsidR="00C951BA" w:rsidRDefault="003E754C">
            <w:pPr>
              <w:jc w:val="right"/>
            </w:pPr>
            <w:r>
              <w:rPr>
                <w:color w:val="000000"/>
                <w:sz w:val="24"/>
                <w:szCs w:val="24"/>
              </w:rPr>
              <w:t>30,168,000.00</w:t>
            </w:r>
          </w:p>
        </w:tc>
        <w:tc>
          <w:tcPr>
            <w:tcW w:w="1237" w:type="dxa"/>
            <w:vAlign w:val="center"/>
          </w:tcPr>
          <w:p w:rsidR="00C951BA" w:rsidRDefault="003E754C">
            <w:pPr>
              <w:jc w:val="right"/>
            </w:pPr>
            <w:r>
              <w:rPr>
                <w:color w:val="000000"/>
                <w:sz w:val="24"/>
                <w:szCs w:val="24"/>
              </w:rPr>
              <w:t>6.90</w:t>
            </w:r>
          </w:p>
        </w:tc>
      </w:tr>
      <w:tr w:rsidR="00C951BA">
        <w:trPr>
          <w:jc w:val="center"/>
        </w:trPr>
        <w:tc>
          <w:tcPr>
            <w:tcW w:w="850" w:type="dxa"/>
            <w:vAlign w:val="center"/>
          </w:tcPr>
          <w:p w:rsidR="00C951BA" w:rsidRDefault="003E754C">
            <w:pPr>
              <w:jc w:val="center"/>
            </w:pPr>
            <w:r>
              <w:rPr>
                <w:color w:val="000000"/>
                <w:sz w:val="24"/>
                <w:szCs w:val="24"/>
              </w:rPr>
              <w:t>2</w:t>
            </w:r>
          </w:p>
        </w:tc>
        <w:tc>
          <w:tcPr>
            <w:tcW w:w="1475" w:type="dxa"/>
            <w:vAlign w:val="center"/>
          </w:tcPr>
          <w:p w:rsidR="00C951BA" w:rsidRDefault="003E754C">
            <w:pPr>
              <w:jc w:val="center"/>
            </w:pPr>
            <w:r>
              <w:rPr>
                <w:color w:val="000000"/>
                <w:sz w:val="24"/>
                <w:szCs w:val="24"/>
              </w:rPr>
              <w:t>101800160</w:t>
            </w:r>
          </w:p>
        </w:tc>
        <w:tc>
          <w:tcPr>
            <w:tcW w:w="1769" w:type="dxa"/>
            <w:vAlign w:val="center"/>
          </w:tcPr>
          <w:p w:rsidR="00C951BA" w:rsidRDefault="003E754C">
            <w:pPr>
              <w:jc w:val="center"/>
            </w:pPr>
            <w:r>
              <w:rPr>
                <w:color w:val="000000"/>
                <w:sz w:val="24"/>
                <w:szCs w:val="24"/>
              </w:rPr>
              <w:t>18</w:t>
            </w:r>
            <w:r>
              <w:rPr>
                <w:color w:val="000000"/>
                <w:sz w:val="24"/>
                <w:szCs w:val="24"/>
              </w:rPr>
              <w:t>港兴港投</w:t>
            </w:r>
            <w:r>
              <w:rPr>
                <w:color w:val="000000"/>
                <w:sz w:val="24"/>
                <w:szCs w:val="24"/>
              </w:rPr>
              <w:t>MTN001</w:t>
            </w:r>
          </w:p>
        </w:tc>
        <w:tc>
          <w:tcPr>
            <w:tcW w:w="1387" w:type="dxa"/>
            <w:vAlign w:val="center"/>
          </w:tcPr>
          <w:p w:rsidR="00C951BA" w:rsidRDefault="003E754C">
            <w:pPr>
              <w:jc w:val="right"/>
            </w:pPr>
            <w:r>
              <w:rPr>
                <w:color w:val="000000"/>
                <w:sz w:val="24"/>
                <w:szCs w:val="24"/>
              </w:rPr>
              <w:t>200,000</w:t>
            </w:r>
          </w:p>
        </w:tc>
        <w:tc>
          <w:tcPr>
            <w:tcW w:w="2150" w:type="dxa"/>
            <w:vAlign w:val="center"/>
          </w:tcPr>
          <w:p w:rsidR="00C951BA" w:rsidRDefault="003E754C">
            <w:pPr>
              <w:jc w:val="right"/>
            </w:pPr>
            <w:r>
              <w:rPr>
                <w:color w:val="000000"/>
                <w:sz w:val="24"/>
                <w:szCs w:val="24"/>
              </w:rPr>
              <w:t>20,608,000.00</w:t>
            </w:r>
          </w:p>
        </w:tc>
        <w:tc>
          <w:tcPr>
            <w:tcW w:w="1237" w:type="dxa"/>
            <w:vAlign w:val="center"/>
          </w:tcPr>
          <w:p w:rsidR="00C951BA" w:rsidRDefault="003E754C">
            <w:pPr>
              <w:jc w:val="right"/>
            </w:pPr>
            <w:r>
              <w:rPr>
                <w:color w:val="000000"/>
                <w:sz w:val="24"/>
                <w:szCs w:val="24"/>
              </w:rPr>
              <w:t>4.71</w:t>
            </w:r>
          </w:p>
        </w:tc>
      </w:tr>
      <w:tr w:rsidR="00C951BA">
        <w:trPr>
          <w:jc w:val="center"/>
        </w:trPr>
        <w:tc>
          <w:tcPr>
            <w:tcW w:w="850" w:type="dxa"/>
            <w:vAlign w:val="center"/>
          </w:tcPr>
          <w:p w:rsidR="00C951BA" w:rsidRDefault="003E754C">
            <w:pPr>
              <w:jc w:val="center"/>
            </w:pPr>
            <w:r>
              <w:rPr>
                <w:color w:val="000000"/>
                <w:sz w:val="24"/>
                <w:szCs w:val="24"/>
              </w:rPr>
              <w:t>3</w:t>
            </w:r>
          </w:p>
        </w:tc>
        <w:tc>
          <w:tcPr>
            <w:tcW w:w="1475" w:type="dxa"/>
            <w:vAlign w:val="center"/>
          </w:tcPr>
          <w:p w:rsidR="00C951BA" w:rsidRDefault="003E754C">
            <w:pPr>
              <w:jc w:val="center"/>
            </w:pPr>
            <w:r>
              <w:rPr>
                <w:color w:val="000000"/>
                <w:sz w:val="24"/>
                <w:szCs w:val="24"/>
              </w:rPr>
              <w:t>101800667</w:t>
            </w:r>
          </w:p>
        </w:tc>
        <w:tc>
          <w:tcPr>
            <w:tcW w:w="1769" w:type="dxa"/>
            <w:vAlign w:val="center"/>
          </w:tcPr>
          <w:p w:rsidR="00C951BA" w:rsidRDefault="003E754C">
            <w:pPr>
              <w:jc w:val="center"/>
            </w:pPr>
            <w:r>
              <w:rPr>
                <w:color w:val="000000"/>
                <w:sz w:val="24"/>
                <w:szCs w:val="24"/>
              </w:rPr>
              <w:t>18</w:t>
            </w:r>
            <w:r>
              <w:rPr>
                <w:color w:val="000000"/>
                <w:sz w:val="24"/>
                <w:szCs w:val="24"/>
              </w:rPr>
              <w:t>豫交投</w:t>
            </w:r>
            <w:r>
              <w:rPr>
                <w:color w:val="000000"/>
                <w:sz w:val="24"/>
                <w:szCs w:val="24"/>
              </w:rPr>
              <w:t>MTN001</w:t>
            </w:r>
          </w:p>
        </w:tc>
        <w:tc>
          <w:tcPr>
            <w:tcW w:w="1387" w:type="dxa"/>
            <w:vAlign w:val="center"/>
          </w:tcPr>
          <w:p w:rsidR="00C951BA" w:rsidRDefault="003E754C">
            <w:pPr>
              <w:jc w:val="right"/>
            </w:pPr>
            <w:r>
              <w:rPr>
                <w:color w:val="000000"/>
                <w:sz w:val="24"/>
                <w:szCs w:val="24"/>
              </w:rPr>
              <w:t>200,000</w:t>
            </w:r>
          </w:p>
        </w:tc>
        <w:tc>
          <w:tcPr>
            <w:tcW w:w="2150" w:type="dxa"/>
            <w:vAlign w:val="center"/>
          </w:tcPr>
          <w:p w:rsidR="00C951BA" w:rsidRDefault="003E754C">
            <w:pPr>
              <w:jc w:val="right"/>
            </w:pPr>
            <w:r>
              <w:rPr>
                <w:color w:val="000000"/>
                <w:sz w:val="24"/>
                <w:szCs w:val="24"/>
              </w:rPr>
              <w:t>20,530,000.00</w:t>
            </w:r>
          </w:p>
        </w:tc>
        <w:tc>
          <w:tcPr>
            <w:tcW w:w="1237" w:type="dxa"/>
            <w:vAlign w:val="center"/>
          </w:tcPr>
          <w:p w:rsidR="00C951BA" w:rsidRDefault="003E754C">
            <w:pPr>
              <w:jc w:val="right"/>
            </w:pPr>
            <w:r>
              <w:rPr>
                <w:color w:val="000000"/>
                <w:sz w:val="24"/>
                <w:szCs w:val="24"/>
              </w:rPr>
              <w:t>4.69</w:t>
            </w:r>
          </w:p>
        </w:tc>
      </w:tr>
      <w:tr w:rsidR="00C951BA">
        <w:trPr>
          <w:jc w:val="center"/>
        </w:trPr>
        <w:tc>
          <w:tcPr>
            <w:tcW w:w="850" w:type="dxa"/>
            <w:vAlign w:val="center"/>
          </w:tcPr>
          <w:p w:rsidR="00C951BA" w:rsidRDefault="003E754C">
            <w:pPr>
              <w:jc w:val="center"/>
            </w:pPr>
            <w:r>
              <w:rPr>
                <w:color w:val="000000"/>
                <w:sz w:val="24"/>
                <w:szCs w:val="24"/>
              </w:rPr>
              <w:t>4</w:t>
            </w:r>
          </w:p>
        </w:tc>
        <w:tc>
          <w:tcPr>
            <w:tcW w:w="1475" w:type="dxa"/>
            <w:vAlign w:val="center"/>
          </w:tcPr>
          <w:p w:rsidR="00C951BA" w:rsidRDefault="003E754C">
            <w:pPr>
              <w:jc w:val="center"/>
            </w:pPr>
            <w:r>
              <w:rPr>
                <w:color w:val="000000"/>
                <w:sz w:val="24"/>
                <w:szCs w:val="24"/>
              </w:rPr>
              <w:t>101800359</w:t>
            </w:r>
          </w:p>
        </w:tc>
        <w:tc>
          <w:tcPr>
            <w:tcW w:w="1769" w:type="dxa"/>
            <w:vAlign w:val="center"/>
          </w:tcPr>
          <w:p w:rsidR="00C951BA" w:rsidRDefault="003E754C">
            <w:pPr>
              <w:jc w:val="center"/>
            </w:pPr>
            <w:r>
              <w:rPr>
                <w:color w:val="000000"/>
                <w:sz w:val="24"/>
                <w:szCs w:val="24"/>
              </w:rPr>
              <w:t>18</w:t>
            </w:r>
            <w:r>
              <w:rPr>
                <w:color w:val="000000"/>
                <w:sz w:val="24"/>
                <w:szCs w:val="24"/>
              </w:rPr>
              <w:t>皖交控</w:t>
            </w:r>
            <w:r>
              <w:rPr>
                <w:color w:val="000000"/>
                <w:sz w:val="24"/>
                <w:szCs w:val="24"/>
              </w:rPr>
              <w:t>MTN001</w:t>
            </w:r>
          </w:p>
        </w:tc>
        <w:tc>
          <w:tcPr>
            <w:tcW w:w="1387" w:type="dxa"/>
            <w:vAlign w:val="center"/>
          </w:tcPr>
          <w:p w:rsidR="00C951BA" w:rsidRDefault="003E754C">
            <w:pPr>
              <w:jc w:val="right"/>
            </w:pPr>
            <w:r>
              <w:rPr>
                <w:color w:val="000000"/>
                <w:sz w:val="24"/>
                <w:szCs w:val="24"/>
              </w:rPr>
              <w:t>200,000</w:t>
            </w:r>
          </w:p>
        </w:tc>
        <w:tc>
          <w:tcPr>
            <w:tcW w:w="2150" w:type="dxa"/>
            <w:vAlign w:val="center"/>
          </w:tcPr>
          <w:p w:rsidR="00C951BA" w:rsidRDefault="003E754C">
            <w:pPr>
              <w:jc w:val="right"/>
            </w:pPr>
            <w:r>
              <w:rPr>
                <w:color w:val="000000"/>
                <w:sz w:val="24"/>
                <w:szCs w:val="24"/>
              </w:rPr>
              <w:t>20,294,000.00</w:t>
            </w:r>
          </w:p>
        </w:tc>
        <w:tc>
          <w:tcPr>
            <w:tcW w:w="1237" w:type="dxa"/>
            <w:vAlign w:val="center"/>
          </w:tcPr>
          <w:p w:rsidR="00C951BA" w:rsidRDefault="003E754C">
            <w:pPr>
              <w:jc w:val="right"/>
            </w:pPr>
            <w:r>
              <w:rPr>
                <w:color w:val="000000"/>
                <w:sz w:val="24"/>
                <w:szCs w:val="24"/>
              </w:rPr>
              <w:t>4.64</w:t>
            </w:r>
          </w:p>
        </w:tc>
      </w:tr>
      <w:tr w:rsidR="00C951BA">
        <w:trPr>
          <w:jc w:val="center"/>
        </w:trPr>
        <w:tc>
          <w:tcPr>
            <w:tcW w:w="850" w:type="dxa"/>
            <w:vAlign w:val="center"/>
          </w:tcPr>
          <w:p w:rsidR="00C951BA" w:rsidRDefault="003E754C">
            <w:pPr>
              <w:jc w:val="center"/>
            </w:pPr>
            <w:r>
              <w:rPr>
                <w:color w:val="000000"/>
                <w:sz w:val="24"/>
                <w:szCs w:val="24"/>
              </w:rPr>
              <w:t>5</w:t>
            </w:r>
          </w:p>
        </w:tc>
        <w:tc>
          <w:tcPr>
            <w:tcW w:w="1475" w:type="dxa"/>
            <w:vAlign w:val="center"/>
          </w:tcPr>
          <w:p w:rsidR="00C951BA" w:rsidRDefault="003E754C">
            <w:pPr>
              <w:jc w:val="center"/>
            </w:pPr>
            <w:r>
              <w:rPr>
                <w:color w:val="000000"/>
                <w:sz w:val="24"/>
                <w:szCs w:val="24"/>
              </w:rPr>
              <w:t>101761021</w:t>
            </w:r>
          </w:p>
        </w:tc>
        <w:tc>
          <w:tcPr>
            <w:tcW w:w="1769" w:type="dxa"/>
            <w:vAlign w:val="center"/>
          </w:tcPr>
          <w:p w:rsidR="00C951BA" w:rsidRDefault="003E754C">
            <w:pPr>
              <w:jc w:val="center"/>
            </w:pPr>
            <w:r>
              <w:rPr>
                <w:color w:val="000000"/>
                <w:sz w:val="24"/>
                <w:szCs w:val="24"/>
              </w:rPr>
              <w:t>17</w:t>
            </w:r>
            <w:r>
              <w:rPr>
                <w:color w:val="000000"/>
                <w:sz w:val="24"/>
                <w:szCs w:val="24"/>
              </w:rPr>
              <w:t>拱墅经投</w:t>
            </w:r>
            <w:r>
              <w:rPr>
                <w:color w:val="000000"/>
                <w:sz w:val="24"/>
                <w:szCs w:val="24"/>
              </w:rPr>
              <w:t>MTN001</w:t>
            </w:r>
          </w:p>
        </w:tc>
        <w:tc>
          <w:tcPr>
            <w:tcW w:w="1387" w:type="dxa"/>
            <w:vAlign w:val="center"/>
          </w:tcPr>
          <w:p w:rsidR="00C951BA" w:rsidRDefault="003E754C">
            <w:pPr>
              <w:jc w:val="right"/>
            </w:pPr>
            <w:r>
              <w:rPr>
                <w:color w:val="000000"/>
                <w:sz w:val="24"/>
                <w:szCs w:val="24"/>
              </w:rPr>
              <w:t>200,000</w:t>
            </w:r>
          </w:p>
        </w:tc>
        <w:tc>
          <w:tcPr>
            <w:tcW w:w="2150" w:type="dxa"/>
            <w:vAlign w:val="center"/>
          </w:tcPr>
          <w:p w:rsidR="00C951BA" w:rsidRDefault="003E754C">
            <w:pPr>
              <w:jc w:val="right"/>
            </w:pPr>
            <w:r>
              <w:rPr>
                <w:color w:val="000000"/>
                <w:sz w:val="24"/>
                <w:szCs w:val="24"/>
              </w:rPr>
              <w:t>20,192,000.00</w:t>
            </w:r>
          </w:p>
        </w:tc>
        <w:tc>
          <w:tcPr>
            <w:tcW w:w="1237" w:type="dxa"/>
            <w:vAlign w:val="center"/>
          </w:tcPr>
          <w:p w:rsidR="00C951BA" w:rsidRDefault="003E754C">
            <w:pPr>
              <w:jc w:val="right"/>
            </w:pPr>
            <w:r>
              <w:rPr>
                <w:color w:val="000000"/>
                <w:sz w:val="24"/>
                <w:szCs w:val="24"/>
              </w:rPr>
              <w:t>4.62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21,335.14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3,438,274.38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5,848,070.15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485.58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9,308,165.25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C951BA">
        <w:trPr>
          <w:jc w:val="center"/>
        </w:trPr>
        <w:tc>
          <w:tcPr>
            <w:tcW w:w="1883" w:type="dxa"/>
            <w:vAlign w:val="center"/>
          </w:tcPr>
          <w:p w:rsidR="00C951BA" w:rsidRDefault="003E754C">
            <w:pPr>
              <w:jc w:val="center"/>
            </w:pPr>
            <w:r>
              <w:rPr>
                <w:color w:val="000000"/>
                <w:sz w:val="24"/>
                <w:szCs w:val="24"/>
              </w:rPr>
              <w:t>1</w:t>
            </w:r>
          </w:p>
        </w:tc>
        <w:tc>
          <w:tcPr>
            <w:tcW w:w="1801" w:type="dxa"/>
            <w:vAlign w:val="center"/>
          </w:tcPr>
          <w:p w:rsidR="00C951BA" w:rsidRDefault="003E754C">
            <w:pPr>
              <w:jc w:val="center"/>
            </w:pPr>
            <w:r>
              <w:rPr>
                <w:color w:val="000000"/>
                <w:sz w:val="24"/>
                <w:szCs w:val="24"/>
              </w:rPr>
              <w:t>113011</w:t>
            </w:r>
          </w:p>
        </w:tc>
        <w:tc>
          <w:tcPr>
            <w:tcW w:w="1727" w:type="dxa"/>
            <w:vAlign w:val="center"/>
          </w:tcPr>
          <w:p w:rsidR="00C951BA" w:rsidRDefault="003E754C">
            <w:pPr>
              <w:jc w:val="center"/>
            </w:pPr>
            <w:r>
              <w:rPr>
                <w:color w:val="000000"/>
                <w:sz w:val="24"/>
                <w:szCs w:val="24"/>
              </w:rPr>
              <w:t>光大转债</w:t>
            </w:r>
          </w:p>
        </w:tc>
        <w:tc>
          <w:tcPr>
            <w:tcW w:w="1768" w:type="dxa"/>
            <w:vAlign w:val="center"/>
          </w:tcPr>
          <w:p w:rsidR="00C951BA" w:rsidRDefault="003E754C">
            <w:pPr>
              <w:jc w:val="right"/>
            </w:pPr>
            <w:r>
              <w:rPr>
                <w:color w:val="000000"/>
                <w:sz w:val="24"/>
                <w:szCs w:val="24"/>
              </w:rPr>
              <w:t>5,418,000.00</w:t>
            </w:r>
          </w:p>
        </w:tc>
        <w:tc>
          <w:tcPr>
            <w:tcW w:w="1689" w:type="dxa"/>
            <w:vAlign w:val="center"/>
          </w:tcPr>
          <w:p w:rsidR="00C951BA" w:rsidRDefault="003E754C">
            <w:pPr>
              <w:jc w:val="right"/>
            </w:pPr>
            <w:r>
              <w:rPr>
                <w:color w:val="000000"/>
                <w:sz w:val="24"/>
                <w:szCs w:val="24"/>
              </w:rPr>
              <w:t>1.24</w:t>
            </w:r>
          </w:p>
        </w:tc>
      </w:tr>
      <w:tr w:rsidR="00C951BA">
        <w:trPr>
          <w:jc w:val="center"/>
        </w:trPr>
        <w:tc>
          <w:tcPr>
            <w:tcW w:w="1883" w:type="dxa"/>
            <w:vAlign w:val="center"/>
          </w:tcPr>
          <w:p w:rsidR="00C951BA" w:rsidRDefault="003E754C">
            <w:pPr>
              <w:jc w:val="center"/>
            </w:pPr>
            <w:r>
              <w:rPr>
                <w:color w:val="000000"/>
                <w:sz w:val="24"/>
                <w:szCs w:val="24"/>
              </w:rPr>
              <w:t>2</w:t>
            </w:r>
          </w:p>
        </w:tc>
        <w:tc>
          <w:tcPr>
            <w:tcW w:w="1801" w:type="dxa"/>
            <w:vAlign w:val="center"/>
          </w:tcPr>
          <w:p w:rsidR="00C951BA" w:rsidRDefault="003E754C">
            <w:pPr>
              <w:jc w:val="center"/>
            </w:pPr>
            <w:r>
              <w:rPr>
                <w:color w:val="000000"/>
                <w:sz w:val="24"/>
                <w:szCs w:val="24"/>
              </w:rPr>
              <w:t>128024</w:t>
            </w:r>
          </w:p>
        </w:tc>
        <w:tc>
          <w:tcPr>
            <w:tcW w:w="1727" w:type="dxa"/>
            <w:vAlign w:val="center"/>
          </w:tcPr>
          <w:p w:rsidR="00C951BA" w:rsidRDefault="003E754C">
            <w:pPr>
              <w:jc w:val="center"/>
            </w:pPr>
            <w:r>
              <w:rPr>
                <w:color w:val="000000"/>
                <w:sz w:val="24"/>
                <w:szCs w:val="24"/>
              </w:rPr>
              <w:t>宁行转债</w:t>
            </w:r>
          </w:p>
        </w:tc>
        <w:tc>
          <w:tcPr>
            <w:tcW w:w="1768" w:type="dxa"/>
            <w:vAlign w:val="center"/>
          </w:tcPr>
          <w:p w:rsidR="00C951BA" w:rsidRDefault="003E754C">
            <w:pPr>
              <w:jc w:val="right"/>
            </w:pPr>
            <w:r>
              <w:rPr>
                <w:color w:val="000000"/>
                <w:sz w:val="24"/>
                <w:szCs w:val="24"/>
              </w:rPr>
              <w:t>4,542,005.01</w:t>
            </w:r>
          </w:p>
        </w:tc>
        <w:tc>
          <w:tcPr>
            <w:tcW w:w="1689" w:type="dxa"/>
            <w:vAlign w:val="center"/>
          </w:tcPr>
          <w:p w:rsidR="00C951BA" w:rsidRDefault="003E754C">
            <w:pPr>
              <w:jc w:val="right"/>
            </w:pPr>
            <w:r>
              <w:rPr>
                <w:color w:val="000000"/>
                <w:sz w:val="24"/>
                <w:szCs w:val="24"/>
              </w:rPr>
              <w:t>1.04</w:t>
            </w:r>
          </w:p>
        </w:tc>
      </w:tr>
      <w:tr w:rsidR="00C951BA">
        <w:trPr>
          <w:jc w:val="center"/>
        </w:trPr>
        <w:tc>
          <w:tcPr>
            <w:tcW w:w="1883" w:type="dxa"/>
            <w:vAlign w:val="center"/>
          </w:tcPr>
          <w:p w:rsidR="00C951BA" w:rsidRDefault="003E754C">
            <w:pPr>
              <w:jc w:val="center"/>
            </w:pPr>
            <w:r>
              <w:rPr>
                <w:color w:val="000000"/>
                <w:sz w:val="24"/>
                <w:szCs w:val="24"/>
              </w:rPr>
              <w:t>3</w:t>
            </w:r>
          </w:p>
        </w:tc>
        <w:tc>
          <w:tcPr>
            <w:tcW w:w="1801" w:type="dxa"/>
            <w:vAlign w:val="center"/>
          </w:tcPr>
          <w:p w:rsidR="00C951BA" w:rsidRDefault="003E754C">
            <w:pPr>
              <w:jc w:val="center"/>
            </w:pPr>
            <w:r>
              <w:rPr>
                <w:color w:val="000000"/>
                <w:sz w:val="24"/>
                <w:szCs w:val="24"/>
              </w:rPr>
              <w:t>110042</w:t>
            </w:r>
          </w:p>
        </w:tc>
        <w:tc>
          <w:tcPr>
            <w:tcW w:w="1727" w:type="dxa"/>
            <w:vAlign w:val="center"/>
          </w:tcPr>
          <w:p w:rsidR="00C951BA" w:rsidRDefault="003E754C">
            <w:pPr>
              <w:jc w:val="center"/>
            </w:pPr>
            <w:r>
              <w:rPr>
                <w:color w:val="000000"/>
                <w:sz w:val="24"/>
                <w:szCs w:val="24"/>
              </w:rPr>
              <w:t>航电转债</w:t>
            </w:r>
          </w:p>
        </w:tc>
        <w:tc>
          <w:tcPr>
            <w:tcW w:w="1768" w:type="dxa"/>
            <w:vAlign w:val="center"/>
          </w:tcPr>
          <w:p w:rsidR="00C951BA" w:rsidRDefault="003E754C">
            <w:pPr>
              <w:jc w:val="right"/>
            </w:pPr>
            <w:r>
              <w:rPr>
                <w:color w:val="000000"/>
                <w:sz w:val="24"/>
                <w:szCs w:val="24"/>
              </w:rPr>
              <w:t>2,224,000.00</w:t>
            </w:r>
          </w:p>
        </w:tc>
        <w:tc>
          <w:tcPr>
            <w:tcW w:w="1689" w:type="dxa"/>
            <w:vAlign w:val="center"/>
          </w:tcPr>
          <w:p w:rsidR="00C951BA" w:rsidRDefault="003E754C">
            <w:pPr>
              <w:jc w:val="right"/>
            </w:pPr>
            <w:r>
              <w:rPr>
                <w:color w:val="000000"/>
                <w:sz w:val="24"/>
                <w:szCs w:val="24"/>
              </w:rPr>
              <w:t>0.51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134,397,717.83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193,116,149.56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11,386,959.30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316,126,908.09</w:t>
            </w:r>
          </w:p>
        </w:tc>
      </w:tr>
    </w:tbl>
    <w:p w:rsidR="00C951BA" w:rsidRDefault="003E754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3,192,272.50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76,720,948.97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24.27</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C951BA">
        <w:trPr>
          <w:jc w:val="center"/>
        </w:trPr>
        <w:tc>
          <w:tcPr>
            <w:tcW w:w="1032" w:type="dxa"/>
            <w:vAlign w:val="center"/>
          </w:tcPr>
          <w:p w:rsidR="00C951BA" w:rsidRDefault="003E754C">
            <w:pPr>
              <w:jc w:val="center"/>
            </w:pPr>
            <w:r>
              <w:rPr>
                <w:color w:val="000000"/>
                <w:sz w:val="24"/>
              </w:rPr>
              <w:t>-</w:t>
            </w:r>
          </w:p>
        </w:tc>
        <w:tc>
          <w:tcPr>
            <w:tcW w:w="1776" w:type="dxa"/>
            <w:vAlign w:val="center"/>
          </w:tcPr>
          <w:p w:rsidR="00C951BA" w:rsidRDefault="003E754C">
            <w:pPr>
              <w:jc w:val="center"/>
            </w:pPr>
            <w:r>
              <w:rPr>
                <w:color w:val="000000"/>
                <w:sz w:val="24"/>
              </w:rPr>
              <w:t>红利再投</w:t>
            </w:r>
          </w:p>
        </w:tc>
        <w:tc>
          <w:tcPr>
            <w:tcW w:w="1317" w:type="dxa"/>
            <w:vAlign w:val="center"/>
          </w:tcPr>
          <w:p w:rsidR="00C951BA" w:rsidRDefault="003E754C">
            <w:pPr>
              <w:jc w:val="center"/>
            </w:pPr>
            <w:r>
              <w:rPr>
                <w:color w:val="000000"/>
                <w:sz w:val="24"/>
              </w:rPr>
              <w:t>2018-09-27</w:t>
            </w:r>
          </w:p>
        </w:tc>
        <w:tc>
          <w:tcPr>
            <w:tcW w:w="1633" w:type="dxa"/>
            <w:vAlign w:val="center"/>
          </w:tcPr>
          <w:p w:rsidR="00C951BA" w:rsidRDefault="003E754C">
            <w:pPr>
              <w:jc w:val="right"/>
            </w:pPr>
            <w:r>
              <w:rPr>
                <w:color w:val="000000"/>
                <w:sz w:val="24"/>
              </w:rPr>
              <w:t>3,192,272.50</w:t>
            </w:r>
          </w:p>
        </w:tc>
        <w:tc>
          <w:tcPr>
            <w:tcW w:w="1767" w:type="dxa"/>
            <w:vAlign w:val="center"/>
          </w:tcPr>
          <w:p w:rsidR="00C951BA" w:rsidRDefault="003E754C">
            <w:pPr>
              <w:jc w:val="right"/>
            </w:pPr>
            <w:r>
              <w:rPr>
                <w:color w:val="000000"/>
                <w:sz w:val="24"/>
              </w:rPr>
              <w:t>4,411,720.59</w:t>
            </w:r>
          </w:p>
        </w:tc>
        <w:tc>
          <w:tcPr>
            <w:tcW w:w="1343" w:type="dxa"/>
            <w:vAlign w:val="center"/>
          </w:tcPr>
          <w:p w:rsidR="00C951BA" w:rsidRDefault="003E754C">
            <w:pPr>
              <w:jc w:val="center"/>
            </w:pPr>
            <w:r>
              <w:rPr>
                <w:color w:val="000000"/>
                <w:sz w:val="24"/>
              </w:rPr>
              <w:t>-</w:t>
            </w:r>
          </w:p>
        </w:tc>
      </w:tr>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70"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3,192,272.50</w:t>
            </w:r>
          </w:p>
        </w:tc>
        <w:tc>
          <w:tcPr>
            <w:tcW w:w="1842"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4,411,720.59</w:t>
            </w:r>
          </w:p>
        </w:tc>
        <w:tc>
          <w:tcPr>
            <w:tcW w:w="1397"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C951BA">
        <w:tc>
          <w:tcPr>
            <w:tcW w:w="993" w:type="dxa"/>
            <w:vMerge w:val="restart"/>
          </w:tcPr>
          <w:p w:rsidR="00C951BA" w:rsidRDefault="00C951BA"/>
          <w:p w:rsidR="00C951BA" w:rsidRDefault="003E754C">
            <w:r>
              <w:rPr>
                <w:rFonts w:ascii="宋体" w:hAnsi="宋体" w:hint="eastAsia"/>
                <w:bCs/>
                <w:color w:val="000000"/>
                <w:kern w:val="0"/>
              </w:rPr>
              <w:t>机构</w:t>
            </w:r>
          </w:p>
        </w:tc>
        <w:tc>
          <w:tcPr>
            <w:tcW w:w="992" w:type="dxa"/>
            <w:vAlign w:val="center"/>
          </w:tcPr>
          <w:p w:rsidR="00C951BA" w:rsidRDefault="003E754C">
            <w:pPr>
              <w:jc w:val="center"/>
            </w:pPr>
            <w:r>
              <w:rPr>
                <w:rFonts w:ascii="宋体" w:hAnsi="宋体"/>
                <w:color w:val="000000"/>
                <w:kern w:val="0"/>
              </w:rPr>
              <w:t>1</w:t>
            </w:r>
          </w:p>
        </w:tc>
        <w:tc>
          <w:tcPr>
            <w:tcW w:w="1843" w:type="dxa"/>
            <w:vAlign w:val="center"/>
          </w:tcPr>
          <w:p w:rsidR="00C951BA" w:rsidRDefault="003E754C">
            <w:pPr>
              <w:jc w:val="center"/>
            </w:pPr>
            <w:r>
              <w:rPr>
                <w:rFonts w:ascii="宋体" w:hAnsi="宋体"/>
                <w:color w:val="000000"/>
                <w:kern w:val="0"/>
              </w:rPr>
              <w:t>2018/7/1-2018/9/30</w:t>
            </w:r>
          </w:p>
        </w:tc>
        <w:tc>
          <w:tcPr>
            <w:tcW w:w="851" w:type="dxa"/>
            <w:vAlign w:val="center"/>
          </w:tcPr>
          <w:p w:rsidR="00C951BA" w:rsidRDefault="003E754C">
            <w:pPr>
              <w:jc w:val="center"/>
            </w:pPr>
            <w:r>
              <w:rPr>
                <w:rFonts w:ascii="宋体" w:hAnsi="宋体"/>
                <w:color w:val="000000"/>
                <w:kern w:val="0"/>
              </w:rPr>
              <w:t>-</w:t>
            </w:r>
          </w:p>
        </w:tc>
        <w:tc>
          <w:tcPr>
            <w:tcW w:w="850" w:type="dxa"/>
            <w:vAlign w:val="center"/>
          </w:tcPr>
          <w:p w:rsidR="00C951BA" w:rsidRDefault="003E754C">
            <w:pPr>
              <w:jc w:val="center"/>
            </w:pPr>
            <w:r>
              <w:rPr>
                <w:rFonts w:ascii="宋体" w:hAnsi="宋体"/>
                <w:color w:val="000000"/>
                <w:kern w:val="0"/>
              </w:rPr>
              <w:t>69,443,055.56</w:t>
            </w:r>
          </w:p>
        </w:tc>
        <w:tc>
          <w:tcPr>
            <w:tcW w:w="1134" w:type="dxa"/>
            <w:vAlign w:val="center"/>
          </w:tcPr>
          <w:p w:rsidR="00C951BA" w:rsidRDefault="003E754C">
            <w:pPr>
              <w:jc w:val="center"/>
            </w:pPr>
            <w:r>
              <w:rPr>
                <w:rFonts w:ascii="宋体" w:hAnsi="宋体"/>
                <w:color w:val="000000"/>
                <w:kern w:val="0"/>
              </w:rPr>
              <w:t>-</w:t>
            </w:r>
          </w:p>
        </w:tc>
        <w:tc>
          <w:tcPr>
            <w:tcW w:w="1419" w:type="dxa"/>
            <w:vAlign w:val="center"/>
          </w:tcPr>
          <w:p w:rsidR="00C951BA" w:rsidRDefault="003E754C">
            <w:pPr>
              <w:jc w:val="center"/>
            </w:pPr>
            <w:r>
              <w:rPr>
                <w:rFonts w:ascii="宋体" w:hAnsi="宋体"/>
                <w:color w:val="000000"/>
                <w:kern w:val="0"/>
              </w:rPr>
              <w:t>69,443,055.56</w:t>
            </w:r>
          </w:p>
        </w:tc>
        <w:tc>
          <w:tcPr>
            <w:tcW w:w="1130" w:type="dxa"/>
            <w:vAlign w:val="center"/>
          </w:tcPr>
          <w:p w:rsidR="00C951BA" w:rsidRDefault="003E754C">
            <w:pPr>
              <w:jc w:val="center"/>
            </w:pPr>
            <w:r>
              <w:rPr>
                <w:rFonts w:ascii="宋体" w:hAnsi="宋体"/>
                <w:color w:val="000000"/>
                <w:kern w:val="0"/>
              </w:rPr>
              <w:t>21.97%</w:t>
            </w:r>
          </w:p>
        </w:tc>
      </w:tr>
      <w:tr w:rsidR="00C951BA">
        <w:tc>
          <w:tcPr>
            <w:tcW w:w="993" w:type="dxa"/>
            <w:vMerge/>
          </w:tcPr>
          <w:p w:rsidR="00C951BA" w:rsidRDefault="00C951BA"/>
        </w:tc>
        <w:tc>
          <w:tcPr>
            <w:tcW w:w="992" w:type="dxa"/>
            <w:vAlign w:val="center"/>
          </w:tcPr>
          <w:p w:rsidR="00C951BA" w:rsidRDefault="003E754C">
            <w:pPr>
              <w:jc w:val="center"/>
            </w:pPr>
            <w:r>
              <w:rPr>
                <w:rFonts w:ascii="宋体" w:hAnsi="宋体"/>
                <w:color w:val="000000"/>
                <w:kern w:val="0"/>
              </w:rPr>
              <w:t>2</w:t>
            </w:r>
          </w:p>
        </w:tc>
        <w:tc>
          <w:tcPr>
            <w:tcW w:w="1843" w:type="dxa"/>
            <w:vAlign w:val="center"/>
          </w:tcPr>
          <w:p w:rsidR="00C951BA" w:rsidRDefault="003E754C">
            <w:pPr>
              <w:jc w:val="center"/>
            </w:pPr>
            <w:r>
              <w:rPr>
                <w:rFonts w:ascii="宋体" w:hAnsi="宋体"/>
                <w:color w:val="000000"/>
                <w:kern w:val="0"/>
              </w:rPr>
              <w:t>2018/7/1-2018/9/30</w:t>
            </w:r>
          </w:p>
        </w:tc>
        <w:tc>
          <w:tcPr>
            <w:tcW w:w="851" w:type="dxa"/>
            <w:vAlign w:val="center"/>
          </w:tcPr>
          <w:p w:rsidR="00C951BA" w:rsidRDefault="003E754C">
            <w:pPr>
              <w:jc w:val="center"/>
            </w:pPr>
            <w:r>
              <w:rPr>
                <w:rFonts w:ascii="宋体" w:hAnsi="宋体"/>
                <w:color w:val="000000"/>
                <w:kern w:val="0"/>
              </w:rPr>
              <w:t>73,528,676.47</w:t>
            </w:r>
          </w:p>
        </w:tc>
        <w:tc>
          <w:tcPr>
            <w:tcW w:w="850" w:type="dxa"/>
            <w:vAlign w:val="center"/>
          </w:tcPr>
          <w:p w:rsidR="00C951BA" w:rsidRDefault="003E754C">
            <w:pPr>
              <w:jc w:val="center"/>
            </w:pPr>
            <w:r>
              <w:rPr>
                <w:rFonts w:ascii="宋体" w:hAnsi="宋体"/>
                <w:color w:val="000000"/>
                <w:kern w:val="0"/>
              </w:rPr>
              <w:t>3,192,272.50</w:t>
            </w:r>
          </w:p>
        </w:tc>
        <w:tc>
          <w:tcPr>
            <w:tcW w:w="1134" w:type="dxa"/>
            <w:vAlign w:val="center"/>
          </w:tcPr>
          <w:p w:rsidR="00C951BA" w:rsidRDefault="003E754C">
            <w:pPr>
              <w:jc w:val="center"/>
            </w:pPr>
            <w:r>
              <w:rPr>
                <w:rFonts w:ascii="宋体" w:hAnsi="宋体"/>
                <w:color w:val="000000"/>
                <w:kern w:val="0"/>
              </w:rPr>
              <w:t>-</w:t>
            </w:r>
          </w:p>
        </w:tc>
        <w:tc>
          <w:tcPr>
            <w:tcW w:w="1419" w:type="dxa"/>
            <w:vAlign w:val="center"/>
          </w:tcPr>
          <w:p w:rsidR="00C951BA" w:rsidRDefault="003E754C">
            <w:pPr>
              <w:jc w:val="center"/>
            </w:pPr>
            <w:r>
              <w:rPr>
                <w:rFonts w:ascii="宋体" w:hAnsi="宋体"/>
                <w:color w:val="000000"/>
                <w:kern w:val="0"/>
              </w:rPr>
              <w:t>76,720,948.97</w:t>
            </w:r>
          </w:p>
        </w:tc>
        <w:tc>
          <w:tcPr>
            <w:tcW w:w="1130" w:type="dxa"/>
            <w:vAlign w:val="center"/>
          </w:tcPr>
          <w:p w:rsidR="00C951BA" w:rsidRDefault="003E754C">
            <w:pPr>
              <w:jc w:val="center"/>
            </w:pPr>
            <w:r>
              <w:rPr>
                <w:rFonts w:ascii="宋体" w:hAnsi="宋体"/>
                <w:color w:val="000000"/>
                <w:kern w:val="0"/>
              </w:rPr>
              <w:t>24.27%</w:t>
            </w:r>
          </w:p>
        </w:tc>
      </w:tr>
      <w:tr w:rsidR="00C951BA">
        <w:tc>
          <w:tcPr>
            <w:tcW w:w="993" w:type="dxa"/>
            <w:vMerge/>
          </w:tcPr>
          <w:p w:rsidR="00C951BA" w:rsidRDefault="00C951BA"/>
        </w:tc>
        <w:tc>
          <w:tcPr>
            <w:tcW w:w="992" w:type="dxa"/>
            <w:vAlign w:val="center"/>
          </w:tcPr>
          <w:p w:rsidR="00C951BA" w:rsidRDefault="003E754C">
            <w:pPr>
              <w:jc w:val="center"/>
            </w:pPr>
            <w:r>
              <w:rPr>
                <w:rFonts w:ascii="宋体" w:hAnsi="宋体"/>
                <w:color w:val="000000"/>
                <w:kern w:val="0"/>
              </w:rPr>
              <w:t>3</w:t>
            </w:r>
          </w:p>
        </w:tc>
        <w:tc>
          <w:tcPr>
            <w:tcW w:w="1843" w:type="dxa"/>
            <w:vAlign w:val="center"/>
          </w:tcPr>
          <w:p w:rsidR="00C951BA" w:rsidRDefault="003E754C">
            <w:pPr>
              <w:jc w:val="center"/>
            </w:pPr>
            <w:r>
              <w:rPr>
                <w:rFonts w:ascii="宋体" w:hAnsi="宋体"/>
                <w:color w:val="000000"/>
                <w:kern w:val="0"/>
              </w:rPr>
              <w:t>2018/7/1-2018/9/30</w:t>
            </w:r>
          </w:p>
        </w:tc>
        <w:tc>
          <w:tcPr>
            <w:tcW w:w="851" w:type="dxa"/>
            <w:vAlign w:val="center"/>
          </w:tcPr>
          <w:p w:rsidR="00C951BA" w:rsidRDefault="003E754C">
            <w:pPr>
              <w:jc w:val="center"/>
            </w:pPr>
            <w:r>
              <w:rPr>
                <w:rFonts w:ascii="宋体" w:hAnsi="宋体"/>
                <w:color w:val="000000"/>
                <w:kern w:val="0"/>
              </w:rPr>
              <w:t>-</w:t>
            </w:r>
          </w:p>
        </w:tc>
        <w:tc>
          <w:tcPr>
            <w:tcW w:w="850" w:type="dxa"/>
            <w:vAlign w:val="center"/>
          </w:tcPr>
          <w:p w:rsidR="00C951BA" w:rsidRDefault="003E754C">
            <w:pPr>
              <w:jc w:val="center"/>
            </w:pPr>
            <w:r>
              <w:rPr>
                <w:rFonts w:ascii="宋体" w:hAnsi="宋体"/>
                <w:color w:val="000000"/>
                <w:kern w:val="0"/>
              </w:rPr>
              <w:t>69,467,184.49</w:t>
            </w:r>
          </w:p>
        </w:tc>
        <w:tc>
          <w:tcPr>
            <w:tcW w:w="1134" w:type="dxa"/>
            <w:vAlign w:val="center"/>
          </w:tcPr>
          <w:p w:rsidR="00C951BA" w:rsidRDefault="003E754C">
            <w:pPr>
              <w:jc w:val="center"/>
            </w:pPr>
            <w:r>
              <w:rPr>
                <w:rFonts w:ascii="宋体" w:hAnsi="宋体"/>
                <w:color w:val="000000"/>
                <w:kern w:val="0"/>
              </w:rPr>
              <w:t>-</w:t>
            </w:r>
          </w:p>
        </w:tc>
        <w:tc>
          <w:tcPr>
            <w:tcW w:w="1419" w:type="dxa"/>
            <w:vAlign w:val="center"/>
          </w:tcPr>
          <w:p w:rsidR="00C951BA" w:rsidRDefault="003E754C">
            <w:pPr>
              <w:jc w:val="center"/>
            </w:pPr>
            <w:r>
              <w:rPr>
                <w:rFonts w:ascii="宋体" w:hAnsi="宋体"/>
                <w:color w:val="000000"/>
                <w:kern w:val="0"/>
              </w:rPr>
              <w:t>69,467,184.49</w:t>
            </w:r>
          </w:p>
        </w:tc>
        <w:tc>
          <w:tcPr>
            <w:tcW w:w="1130" w:type="dxa"/>
            <w:vAlign w:val="center"/>
          </w:tcPr>
          <w:p w:rsidR="00C951BA" w:rsidRDefault="003E754C">
            <w:pPr>
              <w:jc w:val="center"/>
            </w:pPr>
            <w:r>
              <w:rPr>
                <w:rFonts w:ascii="宋体" w:hAnsi="宋体"/>
                <w:color w:val="000000"/>
                <w:kern w:val="0"/>
              </w:rPr>
              <w:t>21.97%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951BA" w:rsidRDefault="003E754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C951BA" w:rsidRDefault="003E754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C951BA" w:rsidRDefault="003E754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C951BA" w:rsidRDefault="003E754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C951BA" w:rsidRDefault="003E754C">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C951BA" w:rsidRDefault="003E754C">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C951BA" w:rsidRDefault="003E754C">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951BA" w:rsidRDefault="003E754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54C" w:rsidRDefault="003E754C" w:rsidP="00876D65">
      <w:r>
        <w:separator/>
      </w:r>
    </w:p>
  </w:endnote>
  <w:endnote w:type="continuationSeparator" w:id="0">
    <w:p w:rsidR="003E754C" w:rsidRDefault="003E754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A5B01">
      <w:rPr>
        <w:noProof/>
        <w:kern w:val="0"/>
        <w:szCs w:val="21"/>
      </w:rPr>
      <w:t>4</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A5B01">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54C" w:rsidRDefault="003E754C" w:rsidP="00876D65">
      <w:r>
        <w:separator/>
      </w:r>
    </w:p>
  </w:footnote>
  <w:footnote w:type="continuationSeparator" w:id="0">
    <w:p w:rsidR="003E754C" w:rsidRDefault="003E754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交银施罗德信用添利债券证券投资基金（</w:t>
    </w:r>
    <w:r w:rsidRPr="003E676C">
      <w:rPr>
        <w:sz w:val="24"/>
        <w:szCs w:val="24"/>
      </w:rPr>
      <w:t>LOF</w:t>
    </w:r>
    <w:r w:rsidRPr="003E676C">
      <w:rPr>
        <w:sz w:val="24"/>
        <w:szCs w:val="24"/>
      </w:rPr>
      <w:t>）</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833"/>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E754C"/>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B01"/>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51BA"/>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D99CB8-03EB-4221-A16B-9E7AD954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49DA-BA85-491A-BFAF-50513148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13</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581</cp:revision>
  <dcterms:created xsi:type="dcterms:W3CDTF">2012-10-16T06:07:00Z</dcterms:created>
  <dcterms:modified xsi:type="dcterms:W3CDTF">2018-10-23T01:41:00Z</dcterms:modified>
</cp:coreProperties>
</file>