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二〇一八年十月二十六日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C22F38" w:rsidRDefault="00741EE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22F38" w:rsidRDefault="00741EE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22F38" w:rsidRDefault="00741EE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22F38" w:rsidRDefault="00741EE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22F38" w:rsidRDefault="00741EE6">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366,524,362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41EE6" w:rsidRPr="0036023B" w:rsidTr="00741EE6">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741EE6" w:rsidRPr="0036023B" w:rsidTr="00741EE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5,109,270.11</w:t>
            </w:r>
          </w:p>
        </w:tc>
      </w:tr>
      <w:tr w:rsidR="00741EE6" w:rsidRPr="0036023B" w:rsidTr="00741EE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21,709,727.10</w:t>
            </w:r>
          </w:p>
        </w:tc>
      </w:tr>
      <w:tr w:rsidR="00741EE6" w:rsidRPr="0036023B" w:rsidTr="00741EE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0.0591</w:t>
            </w:r>
          </w:p>
        </w:tc>
      </w:tr>
      <w:tr w:rsidR="00741EE6" w:rsidRPr="0036023B" w:rsidTr="00741EE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399,879,984.62</w:t>
            </w:r>
          </w:p>
        </w:tc>
      </w:tr>
      <w:tr w:rsidR="00741EE6" w:rsidRPr="0036023B" w:rsidTr="00741EE6">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1.091</w:t>
            </w:r>
          </w:p>
        </w:tc>
      </w:tr>
    </w:tbl>
    <w:p w:rsidR="00C22F38" w:rsidRDefault="00741EE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C22F38">
        <w:trPr>
          <w:jc w:val="center"/>
        </w:trPr>
        <w:tc>
          <w:tcPr>
            <w:tcW w:w="1469" w:type="dxa"/>
            <w:vAlign w:val="center"/>
          </w:tcPr>
          <w:p w:rsidR="00C22F38" w:rsidRDefault="00741EE6">
            <w:pPr>
              <w:jc w:val="left"/>
            </w:pPr>
            <w:r>
              <w:rPr>
                <w:color w:val="000000"/>
                <w:sz w:val="24"/>
              </w:rPr>
              <w:t>过去三个月</w:t>
            </w:r>
          </w:p>
        </w:tc>
        <w:tc>
          <w:tcPr>
            <w:tcW w:w="1150" w:type="dxa"/>
            <w:vAlign w:val="center"/>
          </w:tcPr>
          <w:p w:rsidR="00C22F38" w:rsidRDefault="00741EE6">
            <w:pPr>
              <w:jc w:val="center"/>
            </w:pPr>
            <w:r>
              <w:rPr>
                <w:color w:val="000000"/>
                <w:sz w:val="24"/>
              </w:rPr>
              <w:t>5.72%</w:t>
            </w:r>
          </w:p>
        </w:tc>
        <w:tc>
          <w:tcPr>
            <w:tcW w:w="1223" w:type="dxa"/>
            <w:vAlign w:val="center"/>
          </w:tcPr>
          <w:p w:rsidR="00C22F38" w:rsidRDefault="00741EE6">
            <w:pPr>
              <w:jc w:val="center"/>
            </w:pPr>
            <w:r>
              <w:rPr>
                <w:color w:val="000000"/>
                <w:sz w:val="24"/>
              </w:rPr>
              <w:t>1.33%</w:t>
            </w:r>
          </w:p>
        </w:tc>
        <w:tc>
          <w:tcPr>
            <w:tcW w:w="1244" w:type="dxa"/>
            <w:vAlign w:val="center"/>
          </w:tcPr>
          <w:p w:rsidR="00C22F38" w:rsidRDefault="00741EE6">
            <w:pPr>
              <w:jc w:val="center"/>
            </w:pPr>
            <w:r>
              <w:rPr>
                <w:color w:val="000000"/>
                <w:sz w:val="24"/>
              </w:rPr>
              <w:t>4.31%</w:t>
            </w:r>
          </w:p>
        </w:tc>
        <w:tc>
          <w:tcPr>
            <w:tcW w:w="1251" w:type="dxa"/>
            <w:vAlign w:val="center"/>
          </w:tcPr>
          <w:p w:rsidR="00C22F38" w:rsidRDefault="00741EE6">
            <w:pPr>
              <w:jc w:val="center"/>
            </w:pPr>
            <w:r>
              <w:rPr>
                <w:color w:val="000000"/>
                <w:sz w:val="24"/>
              </w:rPr>
              <w:t>1.34%</w:t>
            </w:r>
          </w:p>
        </w:tc>
        <w:tc>
          <w:tcPr>
            <w:tcW w:w="1263" w:type="dxa"/>
            <w:vAlign w:val="center"/>
          </w:tcPr>
          <w:p w:rsidR="00C22F38" w:rsidRDefault="00741EE6">
            <w:pPr>
              <w:jc w:val="center"/>
            </w:pPr>
            <w:r>
              <w:rPr>
                <w:color w:val="000000"/>
                <w:sz w:val="24"/>
              </w:rPr>
              <w:t>1.41%</w:t>
            </w:r>
          </w:p>
        </w:tc>
        <w:tc>
          <w:tcPr>
            <w:tcW w:w="1268" w:type="dxa"/>
            <w:vAlign w:val="center"/>
          </w:tcPr>
          <w:p w:rsidR="00C22F38" w:rsidRDefault="00741EE6">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C22F38">
        <w:trPr>
          <w:jc w:val="center"/>
        </w:trPr>
        <w:tc>
          <w:tcPr>
            <w:tcW w:w="846" w:type="dxa"/>
            <w:vAlign w:val="center"/>
          </w:tcPr>
          <w:p w:rsidR="00C22F38" w:rsidRDefault="00741EE6">
            <w:pPr>
              <w:jc w:val="center"/>
            </w:pPr>
            <w:r>
              <w:rPr>
                <w:color w:val="000000"/>
                <w:sz w:val="24"/>
              </w:rPr>
              <w:t>蔡铮</w:t>
            </w:r>
          </w:p>
        </w:tc>
        <w:tc>
          <w:tcPr>
            <w:tcW w:w="845" w:type="dxa"/>
            <w:vAlign w:val="center"/>
          </w:tcPr>
          <w:p w:rsidR="00C22F38" w:rsidRDefault="00741EE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w:t>
            </w:r>
            <w:r>
              <w:rPr>
                <w:color w:val="000000"/>
                <w:sz w:val="24"/>
              </w:rPr>
              <w:lastRenderedPageBreak/>
              <w:t>副总监兼多元资产管理副总监</w:t>
            </w:r>
          </w:p>
        </w:tc>
        <w:tc>
          <w:tcPr>
            <w:tcW w:w="1549" w:type="dxa"/>
            <w:vAlign w:val="center"/>
          </w:tcPr>
          <w:p w:rsidR="00C22F38" w:rsidRDefault="00741EE6">
            <w:pPr>
              <w:jc w:val="center"/>
            </w:pPr>
            <w:r>
              <w:rPr>
                <w:color w:val="000000"/>
                <w:sz w:val="24"/>
              </w:rPr>
              <w:lastRenderedPageBreak/>
              <w:t>2012-12-27</w:t>
            </w:r>
          </w:p>
        </w:tc>
        <w:tc>
          <w:tcPr>
            <w:tcW w:w="1548" w:type="dxa"/>
            <w:vAlign w:val="center"/>
          </w:tcPr>
          <w:p w:rsidR="00C22F38" w:rsidRDefault="00741EE6">
            <w:pPr>
              <w:jc w:val="center"/>
            </w:pPr>
            <w:r>
              <w:rPr>
                <w:color w:val="000000"/>
                <w:sz w:val="24"/>
              </w:rPr>
              <w:t>-</w:t>
            </w:r>
          </w:p>
        </w:tc>
        <w:tc>
          <w:tcPr>
            <w:tcW w:w="1407" w:type="dxa"/>
            <w:vAlign w:val="center"/>
          </w:tcPr>
          <w:p w:rsidR="00C22F38" w:rsidRDefault="00741EE6">
            <w:pPr>
              <w:jc w:val="center"/>
            </w:pPr>
            <w:r>
              <w:rPr>
                <w:color w:val="000000"/>
                <w:sz w:val="24"/>
              </w:rPr>
              <w:t>9</w:t>
            </w:r>
            <w:r>
              <w:rPr>
                <w:color w:val="000000"/>
                <w:sz w:val="24"/>
              </w:rPr>
              <w:t>年</w:t>
            </w:r>
          </w:p>
        </w:tc>
        <w:tc>
          <w:tcPr>
            <w:tcW w:w="2673" w:type="dxa"/>
            <w:vAlign w:val="center"/>
          </w:tcPr>
          <w:p w:rsidR="00C22F38" w:rsidRDefault="00741EE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C22F38" w:rsidRDefault="00741EE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22F38" w:rsidRDefault="00741EE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22F38" w:rsidRDefault="00741EE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C22F38" w:rsidRDefault="00741EE6">
      <w:pPr>
        <w:spacing w:before="29" w:line="288" w:lineRule="auto"/>
        <w:ind w:firstLineChars="200" w:firstLine="480"/>
        <w:rPr>
          <w:color w:val="000000"/>
          <w:sz w:val="24"/>
        </w:rPr>
      </w:pPr>
      <w:r>
        <w:rPr>
          <w:color w:val="000000"/>
          <w:sz w:val="24"/>
        </w:rPr>
        <w:t>2018</w:t>
      </w:r>
      <w:r>
        <w:rPr>
          <w:color w:val="000000"/>
          <w:sz w:val="24"/>
        </w:rPr>
        <w:t>年三季度国内经济回落趋势显现，与此对应的托底政策也不断出台，但受到中美贸易摩擦反复加剧、美元加息、汇率波动等各因素频发的负面影响，三季度</w:t>
      </w:r>
      <w:r>
        <w:rPr>
          <w:color w:val="000000"/>
          <w:sz w:val="24"/>
        </w:rPr>
        <w:t>A</w:t>
      </w:r>
      <w:r>
        <w:rPr>
          <w:color w:val="000000"/>
          <w:sz w:val="24"/>
        </w:rPr>
        <w:t>股市场波动加大，表现出阶段性下行。作为跟踪基准指数的指数基金，三季度基金总体呈现出震荡的走势。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中美贸易摩擦的影响在短期内或仍将延续，政策的短期重点或偏向于稳增长的方向。市场经历了二季度到三季度的调整，许多行业指数已接近合理估值区间，目前股价也包含了投资者较为悲观的预期，总体而言，从中长期来看我们对</w:t>
      </w:r>
      <w:r w:rsidRPr="0036023B">
        <w:rPr>
          <w:color w:val="000000"/>
          <w:sz w:val="24"/>
        </w:rPr>
        <w:t>A</w:t>
      </w:r>
      <w:r w:rsidRPr="0036023B">
        <w:rPr>
          <w:color w:val="000000"/>
          <w:sz w:val="24"/>
        </w:rPr>
        <w:t>股市场仍维持谨慎中性的看法。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394,704,127.01</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98.58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394,704,127.01</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98.58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5,692,659.21</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1.42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2,638.97</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400,399,425.19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926,250.54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24,109,512.95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6.03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87,755,142.13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21.95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18,714,218.72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26,858,073.08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6.72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7,490,190.19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13,243,930.43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9,679,483.19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192,941,674.27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48.25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12,308,651.51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677,000.00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394,704,127.01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98.71</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C22F38">
        <w:trPr>
          <w:jc w:val="center"/>
        </w:trPr>
        <w:tc>
          <w:tcPr>
            <w:tcW w:w="850" w:type="dxa"/>
            <w:vAlign w:val="center"/>
          </w:tcPr>
          <w:p w:rsidR="00C22F38" w:rsidRDefault="00741EE6">
            <w:pPr>
              <w:jc w:val="center"/>
            </w:pPr>
            <w:r>
              <w:rPr>
                <w:color w:val="000000"/>
                <w:sz w:val="24"/>
              </w:rPr>
              <w:t>1</w:t>
            </w:r>
          </w:p>
        </w:tc>
        <w:tc>
          <w:tcPr>
            <w:tcW w:w="1327" w:type="dxa"/>
            <w:vAlign w:val="center"/>
          </w:tcPr>
          <w:p w:rsidR="00C22F38" w:rsidRDefault="00741EE6">
            <w:pPr>
              <w:jc w:val="center"/>
            </w:pPr>
            <w:r>
              <w:rPr>
                <w:color w:val="000000"/>
                <w:sz w:val="24"/>
              </w:rPr>
              <w:t>601318</w:t>
            </w:r>
          </w:p>
        </w:tc>
        <w:tc>
          <w:tcPr>
            <w:tcW w:w="1769" w:type="dxa"/>
            <w:vAlign w:val="center"/>
          </w:tcPr>
          <w:p w:rsidR="00C22F38" w:rsidRDefault="00741EE6">
            <w:pPr>
              <w:jc w:val="center"/>
            </w:pPr>
            <w:r>
              <w:rPr>
                <w:color w:val="000000"/>
                <w:sz w:val="24"/>
              </w:rPr>
              <w:t>中国平安</w:t>
            </w:r>
          </w:p>
        </w:tc>
        <w:tc>
          <w:tcPr>
            <w:tcW w:w="1327" w:type="dxa"/>
            <w:vAlign w:val="center"/>
          </w:tcPr>
          <w:p w:rsidR="00C22F38" w:rsidRDefault="00741EE6">
            <w:pPr>
              <w:jc w:val="right"/>
            </w:pPr>
            <w:r>
              <w:rPr>
                <w:color w:val="000000"/>
                <w:sz w:val="24"/>
              </w:rPr>
              <w:t>947,935</w:t>
            </w:r>
          </w:p>
        </w:tc>
        <w:tc>
          <w:tcPr>
            <w:tcW w:w="1915" w:type="dxa"/>
            <w:vAlign w:val="center"/>
          </w:tcPr>
          <w:p w:rsidR="00C22F38" w:rsidRDefault="00741EE6">
            <w:pPr>
              <w:jc w:val="right"/>
            </w:pPr>
            <w:r>
              <w:rPr>
                <w:color w:val="000000"/>
                <w:sz w:val="24"/>
              </w:rPr>
              <w:t>64,933,547.50</w:t>
            </w:r>
          </w:p>
        </w:tc>
        <w:tc>
          <w:tcPr>
            <w:tcW w:w="1680" w:type="dxa"/>
            <w:vAlign w:val="center"/>
          </w:tcPr>
          <w:p w:rsidR="00C22F38" w:rsidRDefault="00741EE6">
            <w:pPr>
              <w:jc w:val="right"/>
            </w:pPr>
            <w:r>
              <w:rPr>
                <w:color w:val="000000"/>
                <w:sz w:val="24"/>
              </w:rPr>
              <w:t>16.24</w:t>
            </w:r>
          </w:p>
        </w:tc>
      </w:tr>
      <w:tr w:rsidR="00C22F38">
        <w:trPr>
          <w:jc w:val="center"/>
        </w:trPr>
        <w:tc>
          <w:tcPr>
            <w:tcW w:w="850" w:type="dxa"/>
            <w:vAlign w:val="center"/>
          </w:tcPr>
          <w:p w:rsidR="00C22F38" w:rsidRDefault="00741EE6">
            <w:pPr>
              <w:jc w:val="center"/>
            </w:pPr>
            <w:r>
              <w:rPr>
                <w:color w:val="000000"/>
                <w:sz w:val="24"/>
              </w:rPr>
              <w:t>2</w:t>
            </w:r>
          </w:p>
        </w:tc>
        <w:tc>
          <w:tcPr>
            <w:tcW w:w="1327" w:type="dxa"/>
            <w:vAlign w:val="center"/>
          </w:tcPr>
          <w:p w:rsidR="00C22F38" w:rsidRDefault="00741EE6">
            <w:pPr>
              <w:jc w:val="center"/>
            </w:pPr>
            <w:r>
              <w:rPr>
                <w:color w:val="000000"/>
                <w:sz w:val="24"/>
              </w:rPr>
              <w:t>600036</w:t>
            </w:r>
          </w:p>
        </w:tc>
        <w:tc>
          <w:tcPr>
            <w:tcW w:w="1769" w:type="dxa"/>
            <w:vAlign w:val="center"/>
          </w:tcPr>
          <w:p w:rsidR="00C22F38" w:rsidRDefault="00741EE6">
            <w:pPr>
              <w:jc w:val="center"/>
            </w:pPr>
            <w:r>
              <w:rPr>
                <w:color w:val="000000"/>
                <w:sz w:val="24"/>
              </w:rPr>
              <w:t>招商银行</w:t>
            </w:r>
          </w:p>
        </w:tc>
        <w:tc>
          <w:tcPr>
            <w:tcW w:w="1327" w:type="dxa"/>
            <w:vAlign w:val="center"/>
          </w:tcPr>
          <w:p w:rsidR="00C22F38" w:rsidRDefault="00741EE6">
            <w:pPr>
              <w:jc w:val="right"/>
            </w:pPr>
            <w:r>
              <w:rPr>
                <w:color w:val="000000"/>
                <w:sz w:val="24"/>
              </w:rPr>
              <w:t>902,582</w:t>
            </w:r>
          </w:p>
        </w:tc>
        <w:tc>
          <w:tcPr>
            <w:tcW w:w="1915" w:type="dxa"/>
            <w:vAlign w:val="center"/>
          </w:tcPr>
          <w:p w:rsidR="00C22F38" w:rsidRDefault="00741EE6">
            <w:pPr>
              <w:jc w:val="right"/>
            </w:pPr>
            <w:r>
              <w:rPr>
                <w:color w:val="000000"/>
                <w:sz w:val="24"/>
              </w:rPr>
              <w:t>27,700,241.58</w:t>
            </w:r>
          </w:p>
        </w:tc>
        <w:tc>
          <w:tcPr>
            <w:tcW w:w="1680" w:type="dxa"/>
            <w:vAlign w:val="center"/>
          </w:tcPr>
          <w:p w:rsidR="00C22F38" w:rsidRDefault="00741EE6">
            <w:pPr>
              <w:jc w:val="right"/>
            </w:pPr>
            <w:r>
              <w:rPr>
                <w:color w:val="000000"/>
                <w:sz w:val="24"/>
              </w:rPr>
              <w:t>6.93</w:t>
            </w:r>
          </w:p>
        </w:tc>
      </w:tr>
      <w:tr w:rsidR="00C22F38">
        <w:trPr>
          <w:jc w:val="center"/>
        </w:trPr>
        <w:tc>
          <w:tcPr>
            <w:tcW w:w="850" w:type="dxa"/>
            <w:vAlign w:val="center"/>
          </w:tcPr>
          <w:p w:rsidR="00C22F38" w:rsidRDefault="00741EE6">
            <w:pPr>
              <w:jc w:val="center"/>
            </w:pPr>
            <w:r>
              <w:rPr>
                <w:color w:val="000000"/>
                <w:sz w:val="24"/>
              </w:rPr>
              <w:t>3</w:t>
            </w:r>
          </w:p>
        </w:tc>
        <w:tc>
          <w:tcPr>
            <w:tcW w:w="1327" w:type="dxa"/>
            <w:vAlign w:val="center"/>
          </w:tcPr>
          <w:p w:rsidR="00C22F38" w:rsidRDefault="00741EE6">
            <w:pPr>
              <w:jc w:val="center"/>
            </w:pPr>
            <w:r>
              <w:rPr>
                <w:color w:val="000000"/>
                <w:sz w:val="24"/>
              </w:rPr>
              <w:t>601166</w:t>
            </w:r>
          </w:p>
        </w:tc>
        <w:tc>
          <w:tcPr>
            <w:tcW w:w="1769" w:type="dxa"/>
            <w:vAlign w:val="center"/>
          </w:tcPr>
          <w:p w:rsidR="00C22F38" w:rsidRDefault="00741EE6">
            <w:pPr>
              <w:jc w:val="center"/>
            </w:pPr>
            <w:r>
              <w:rPr>
                <w:color w:val="000000"/>
                <w:sz w:val="24"/>
              </w:rPr>
              <w:t>兴业银行</w:t>
            </w:r>
          </w:p>
        </w:tc>
        <w:tc>
          <w:tcPr>
            <w:tcW w:w="1327" w:type="dxa"/>
            <w:vAlign w:val="center"/>
          </w:tcPr>
          <w:p w:rsidR="00C22F38" w:rsidRDefault="00741EE6">
            <w:pPr>
              <w:jc w:val="right"/>
            </w:pPr>
            <w:r>
              <w:rPr>
                <w:color w:val="000000"/>
                <w:sz w:val="24"/>
              </w:rPr>
              <w:t>1,090,762</w:t>
            </w:r>
          </w:p>
        </w:tc>
        <w:tc>
          <w:tcPr>
            <w:tcW w:w="1915" w:type="dxa"/>
            <w:vAlign w:val="center"/>
          </w:tcPr>
          <w:p w:rsidR="00C22F38" w:rsidRDefault="00741EE6">
            <w:pPr>
              <w:jc w:val="right"/>
            </w:pPr>
            <w:r>
              <w:rPr>
                <w:color w:val="000000"/>
                <w:sz w:val="24"/>
              </w:rPr>
              <w:t>17,397,653.90</w:t>
            </w:r>
          </w:p>
        </w:tc>
        <w:tc>
          <w:tcPr>
            <w:tcW w:w="1680" w:type="dxa"/>
            <w:vAlign w:val="center"/>
          </w:tcPr>
          <w:p w:rsidR="00C22F38" w:rsidRDefault="00741EE6">
            <w:pPr>
              <w:jc w:val="right"/>
            </w:pPr>
            <w:r>
              <w:rPr>
                <w:color w:val="000000"/>
                <w:sz w:val="24"/>
              </w:rPr>
              <w:t>4.35</w:t>
            </w:r>
          </w:p>
        </w:tc>
      </w:tr>
      <w:tr w:rsidR="00C22F38">
        <w:trPr>
          <w:jc w:val="center"/>
        </w:trPr>
        <w:tc>
          <w:tcPr>
            <w:tcW w:w="850" w:type="dxa"/>
            <w:vAlign w:val="center"/>
          </w:tcPr>
          <w:p w:rsidR="00C22F38" w:rsidRDefault="00741EE6">
            <w:pPr>
              <w:jc w:val="center"/>
            </w:pPr>
            <w:r>
              <w:rPr>
                <w:color w:val="000000"/>
                <w:sz w:val="24"/>
              </w:rPr>
              <w:t>4</w:t>
            </w:r>
          </w:p>
        </w:tc>
        <w:tc>
          <w:tcPr>
            <w:tcW w:w="1327" w:type="dxa"/>
            <w:vAlign w:val="center"/>
          </w:tcPr>
          <w:p w:rsidR="00C22F38" w:rsidRDefault="00741EE6">
            <w:pPr>
              <w:jc w:val="center"/>
            </w:pPr>
            <w:r>
              <w:rPr>
                <w:color w:val="000000"/>
                <w:sz w:val="24"/>
              </w:rPr>
              <w:t>600000</w:t>
            </w:r>
          </w:p>
        </w:tc>
        <w:tc>
          <w:tcPr>
            <w:tcW w:w="1769" w:type="dxa"/>
            <w:vAlign w:val="center"/>
          </w:tcPr>
          <w:p w:rsidR="00C22F38" w:rsidRDefault="00741EE6">
            <w:pPr>
              <w:jc w:val="center"/>
            </w:pPr>
            <w:r>
              <w:rPr>
                <w:color w:val="000000"/>
                <w:sz w:val="24"/>
              </w:rPr>
              <w:t>浦发银行</w:t>
            </w:r>
          </w:p>
        </w:tc>
        <w:tc>
          <w:tcPr>
            <w:tcW w:w="1327" w:type="dxa"/>
            <w:vAlign w:val="center"/>
          </w:tcPr>
          <w:p w:rsidR="00C22F38" w:rsidRDefault="00741EE6">
            <w:pPr>
              <w:jc w:val="right"/>
            </w:pPr>
            <w:r>
              <w:rPr>
                <w:color w:val="000000"/>
                <w:sz w:val="24"/>
              </w:rPr>
              <w:t>1,027,345</w:t>
            </w:r>
          </w:p>
        </w:tc>
        <w:tc>
          <w:tcPr>
            <w:tcW w:w="1915" w:type="dxa"/>
            <w:vAlign w:val="center"/>
          </w:tcPr>
          <w:p w:rsidR="00C22F38" w:rsidRDefault="00741EE6">
            <w:pPr>
              <w:jc w:val="right"/>
            </w:pPr>
            <w:r>
              <w:rPr>
                <w:color w:val="000000"/>
                <w:sz w:val="24"/>
              </w:rPr>
              <w:t>10,910,403.90</w:t>
            </w:r>
          </w:p>
        </w:tc>
        <w:tc>
          <w:tcPr>
            <w:tcW w:w="1680" w:type="dxa"/>
            <w:vAlign w:val="center"/>
          </w:tcPr>
          <w:p w:rsidR="00C22F38" w:rsidRDefault="00741EE6">
            <w:pPr>
              <w:jc w:val="right"/>
            </w:pPr>
            <w:r>
              <w:rPr>
                <w:color w:val="000000"/>
                <w:sz w:val="24"/>
              </w:rPr>
              <w:t>2.73</w:t>
            </w:r>
          </w:p>
        </w:tc>
      </w:tr>
      <w:tr w:rsidR="00C22F38">
        <w:trPr>
          <w:jc w:val="center"/>
        </w:trPr>
        <w:tc>
          <w:tcPr>
            <w:tcW w:w="850" w:type="dxa"/>
            <w:vAlign w:val="center"/>
          </w:tcPr>
          <w:p w:rsidR="00C22F38" w:rsidRDefault="00741EE6">
            <w:pPr>
              <w:jc w:val="center"/>
            </w:pPr>
            <w:r>
              <w:rPr>
                <w:color w:val="000000"/>
                <w:sz w:val="24"/>
              </w:rPr>
              <w:t>5</w:t>
            </w:r>
          </w:p>
        </w:tc>
        <w:tc>
          <w:tcPr>
            <w:tcW w:w="1327" w:type="dxa"/>
            <w:vAlign w:val="center"/>
          </w:tcPr>
          <w:p w:rsidR="00C22F38" w:rsidRDefault="00741EE6">
            <w:pPr>
              <w:jc w:val="center"/>
            </w:pPr>
            <w:r>
              <w:rPr>
                <w:color w:val="000000"/>
                <w:sz w:val="24"/>
              </w:rPr>
              <w:t>601398</w:t>
            </w:r>
          </w:p>
        </w:tc>
        <w:tc>
          <w:tcPr>
            <w:tcW w:w="1769" w:type="dxa"/>
            <w:vAlign w:val="center"/>
          </w:tcPr>
          <w:p w:rsidR="00C22F38" w:rsidRDefault="00741EE6">
            <w:pPr>
              <w:jc w:val="center"/>
            </w:pPr>
            <w:r>
              <w:rPr>
                <w:color w:val="000000"/>
                <w:sz w:val="24"/>
              </w:rPr>
              <w:t>工商银行</w:t>
            </w:r>
          </w:p>
        </w:tc>
        <w:tc>
          <w:tcPr>
            <w:tcW w:w="1327" w:type="dxa"/>
            <w:vAlign w:val="center"/>
          </w:tcPr>
          <w:p w:rsidR="00C22F38" w:rsidRDefault="00741EE6">
            <w:pPr>
              <w:jc w:val="right"/>
            </w:pPr>
            <w:r>
              <w:rPr>
                <w:color w:val="000000"/>
                <w:sz w:val="24"/>
              </w:rPr>
              <w:t>1,887,551</w:t>
            </w:r>
          </w:p>
        </w:tc>
        <w:tc>
          <w:tcPr>
            <w:tcW w:w="1915" w:type="dxa"/>
            <w:vAlign w:val="center"/>
          </w:tcPr>
          <w:p w:rsidR="00C22F38" w:rsidRDefault="00741EE6">
            <w:pPr>
              <w:jc w:val="right"/>
            </w:pPr>
            <w:r>
              <w:rPr>
                <w:color w:val="000000"/>
                <w:sz w:val="24"/>
              </w:rPr>
              <w:t>10,891,169.27</w:t>
            </w:r>
          </w:p>
        </w:tc>
        <w:tc>
          <w:tcPr>
            <w:tcW w:w="1680" w:type="dxa"/>
            <w:vAlign w:val="center"/>
          </w:tcPr>
          <w:p w:rsidR="00C22F38" w:rsidRDefault="00741EE6">
            <w:pPr>
              <w:jc w:val="right"/>
            </w:pPr>
            <w:r>
              <w:rPr>
                <w:color w:val="000000"/>
                <w:sz w:val="24"/>
              </w:rPr>
              <w:t>2.72</w:t>
            </w:r>
          </w:p>
        </w:tc>
      </w:tr>
      <w:tr w:rsidR="00C22F38">
        <w:trPr>
          <w:jc w:val="center"/>
        </w:trPr>
        <w:tc>
          <w:tcPr>
            <w:tcW w:w="850" w:type="dxa"/>
            <w:vAlign w:val="center"/>
          </w:tcPr>
          <w:p w:rsidR="00C22F38" w:rsidRDefault="00741EE6">
            <w:pPr>
              <w:jc w:val="center"/>
            </w:pPr>
            <w:r>
              <w:rPr>
                <w:color w:val="000000"/>
                <w:sz w:val="24"/>
              </w:rPr>
              <w:t>6</w:t>
            </w:r>
          </w:p>
        </w:tc>
        <w:tc>
          <w:tcPr>
            <w:tcW w:w="1327" w:type="dxa"/>
            <w:vAlign w:val="center"/>
          </w:tcPr>
          <w:p w:rsidR="00C22F38" w:rsidRDefault="00741EE6">
            <w:pPr>
              <w:jc w:val="center"/>
            </w:pPr>
            <w:r>
              <w:rPr>
                <w:color w:val="000000"/>
                <w:sz w:val="24"/>
              </w:rPr>
              <w:t>600104</w:t>
            </w:r>
          </w:p>
        </w:tc>
        <w:tc>
          <w:tcPr>
            <w:tcW w:w="1769" w:type="dxa"/>
            <w:vAlign w:val="center"/>
          </w:tcPr>
          <w:p w:rsidR="00C22F38" w:rsidRDefault="00741EE6">
            <w:pPr>
              <w:jc w:val="center"/>
            </w:pPr>
            <w:r>
              <w:rPr>
                <w:color w:val="000000"/>
                <w:sz w:val="24"/>
              </w:rPr>
              <w:t>上汽集团</w:t>
            </w:r>
          </w:p>
        </w:tc>
        <w:tc>
          <w:tcPr>
            <w:tcW w:w="1327" w:type="dxa"/>
            <w:vAlign w:val="center"/>
          </w:tcPr>
          <w:p w:rsidR="00C22F38" w:rsidRDefault="00741EE6">
            <w:pPr>
              <w:jc w:val="right"/>
            </w:pPr>
            <w:r>
              <w:rPr>
                <w:color w:val="000000"/>
                <w:sz w:val="24"/>
              </w:rPr>
              <w:t>306,616</w:t>
            </w:r>
          </w:p>
        </w:tc>
        <w:tc>
          <w:tcPr>
            <w:tcW w:w="1915" w:type="dxa"/>
            <w:vAlign w:val="center"/>
          </w:tcPr>
          <w:p w:rsidR="00C22F38" w:rsidRDefault="00741EE6">
            <w:pPr>
              <w:jc w:val="right"/>
            </w:pPr>
            <w:r>
              <w:rPr>
                <w:color w:val="000000"/>
                <w:sz w:val="24"/>
              </w:rPr>
              <w:t>10,204,180.48</w:t>
            </w:r>
          </w:p>
        </w:tc>
        <w:tc>
          <w:tcPr>
            <w:tcW w:w="1680" w:type="dxa"/>
            <w:vAlign w:val="center"/>
          </w:tcPr>
          <w:p w:rsidR="00C22F38" w:rsidRDefault="00741EE6">
            <w:pPr>
              <w:jc w:val="right"/>
            </w:pPr>
            <w:r>
              <w:rPr>
                <w:color w:val="000000"/>
                <w:sz w:val="24"/>
              </w:rPr>
              <w:t>2.55</w:t>
            </w:r>
          </w:p>
        </w:tc>
      </w:tr>
      <w:tr w:rsidR="00C22F38">
        <w:trPr>
          <w:jc w:val="center"/>
        </w:trPr>
        <w:tc>
          <w:tcPr>
            <w:tcW w:w="850" w:type="dxa"/>
            <w:vAlign w:val="center"/>
          </w:tcPr>
          <w:p w:rsidR="00C22F38" w:rsidRDefault="00741EE6">
            <w:pPr>
              <w:jc w:val="center"/>
            </w:pPr>
            <w:r>
              <w:rPr>
                <w:color w:val="000000"/>
                <w:sz w:val="24"/>
              </w:rPr>
              <w:t>7</w:t>
            </w:r>
          </w:p>
        </w:tc>
        <w:tc>
          <w:tcPr>
            <w:tcW w:w="1327" w:type="dxa"/>
            <w:vAlign w:val="center"/>
          </w:tcPr>
          <w:p w:rsidR="00C22F38" w:rsidRDefault="00741EE6">
            <w:pPr>
              <w:jc w:val="center"/>
            </w:pPr>
            <w:r>
              <w:rPr>
                <w:color w:val="000000"/>
                <w:sz w:val="24"/>
              </w:rPr>
              <w:t>601668</w:t>
            </w:r>
          </w:p>
        </w:tc>
        <w:tc>
          <w:tcPr>
            <w:tcW w:w="1769" w:type="dxa"/>
            <w:vAlign w:val="center"/>
          </w:tcPr>
          <w:p w:rsidR="00C22F38" w:rsidRDefault="00741EE6">
            <w:pPr>
              <w:jc w:val="center"/>
            </w:pPr>
            <w:r>
              <w:rPr>
                <w:color w:val="000000"/>
                <w:sz w:val="24"/>
              </w:rPr>
              <w:t>中国建筑</w:t>
            </w:r>
          </w:p>
        </w:tc>
        <w:tc>
          <w:tcPr>
            <w:tcW w:w="1327" w:type="dxa"/>
            <w:vAlign w:val="center"/>
          </w:tcPr>
          <w:p w:rsidR="00C22F38" w:rsidRDefault="00741EE6">
            <w:pPr>
              <w:jc w:val="right"/>
            </w:pPr>
            <w:r>
              <w:rPr>
                <w:color w:val="000000"/>
                <w:sz w:val="24"/>
              </w:rPr>
              <w:t>1,837,725</w:t>
            </w:r>
          </w:p>
        </w:tc>
        <w:tc>
          <w:tcPr>
            <w:tcW w:w="1915" w:type="dxa"/>
            <w:vAlign w:val="center"/>
          </w:tcPr>
          <w:p w:rsidR="00C22F38" w:rsidRDefault="00741EE6">
            <w:pPr>
              <w:jc w:val="right"/>
            </w:pPr>
            <w:r>
              <w:rPr>
                <w:color w:val="000000"/>
                <w:sz w:val="24"/>
              </w:rPr>
              <w:t>10,089,110.25</w:t>
            </w:r>
          </w:p>
        </w:tc>
        <w:tc>
          <w:tcPr>
            <w:tcW w:w="1680" w:type="dxa"/>
            <w:vAlign w:val="center"/>
          </w:tcPr>
          <w:p w:rsidR="00C22F38" w:rsidRDefault="00741EE6">
            <w:pPr>
              <w:jc w:val="right"/>
            </w:pPr>
            <w:r>
              <w:rPr>
                <w:color w:val="000000"/>
                <w:sz w:val="24"/>
              </w:rPr>
              <w:t>2.52</w:t>
            </w:r>
          </w:p>
        </w:tc>
      </w:tr>
      <w:tr w:rsidR="00C22F38">
        <w:trPr>
          <w:jc w:val="center"/>
        </w:trPr>
        <w:tc>
          <w:tcPr>
            <w:tcW w:w="850" w:type="dxa"/>
            <w:vAlign w:val="center"/>
          </w:tcPr>
          <w:p w:rsidR="00C22F38" w:rsidRDefault="00741EE6">
            <w:pPr>
              <w:jc w:val="center"/>
            </w:pPr>
            <w:r>
              <w:rPr>
                <w:color w:val="000000"/>
                <w:sz w:val="24"/>
              </w:rPr>
              <w:t>8</w:t>
            </w:r>
          </w:p>
        </w:tc>
        <w:tc>
          <w:tcPr>
            <w:tcW w:w="1327" w:type="dxa"/>
            <w:vAlign w:val="center"/>
          </w:tcPr>
          <w:p w:rsidR="00C22F38" w:rsidRDefault="00741EE6">
            <w:pPr>
              <w:jc w:val="center"/>
            </w:pPr>
            <w:r>
              <w:rPr>
                <w:color w:val="000000"/>
                <w:sz w:val="24"/>
              </w:rPr>
              <w:t>601601</w:t>
            </w:r>
          </w:p>
        </w:tc>
        <w:tc>
          <w:tcPr>
            <w:tcW w:w="1769" w:type="dxa"/>
            <w:vAlign w:val="center"/>
          </w:tcPr>
          <w:p w:rsidR="00C22F38" w:rsidRDefault="00741EE6">
            <w:pPr>
              <w:jc w:val="center"/>
            </w:pPr>
            <w:r>
              <w:rPr>
                <w:color w:val="000000"/>
                <w:sz w:val="24"/>
              </w:rPr>
              <w:t>中国太保</w:t>
            </w:r>
          </w:p>
        </w:tc>
        <w:tc>
          <w:tcPr>
            <w:tcW w:w="1327" w:type="dxa"/>
            <w:vAlign w:val="center"/>
          </w:tcPr>
          <w:p w:rsidR="00C22F38" w:rsidRDefault="00741EE6">
            <w:pPr>
              <w:jc w:val="right"/>
            </w:pPr>
            <w:r>
              <w:rPr>
                <w:color w:val="000000"/>
                <w:sz w:val="24"/>
              </w:rPr>
              <w:t>274,999</w:t>
            </w:r>
          </w:p>
        </w:tc>
        <w:tc>
          <w:tcPr>
            <w:tcW w:w="1915" w:type="dxa"/>
            <w:vAlign w:val="center"/>
          </w:tcPr>
          <w:p w:rsidR="00C22F38" w:rsidRDefault="00741EE6">
            <w:pPr>
              <w:jc w:val="right"/>
            </w:pPr>
            <w:r>
              <w:rPr>
                <w:color w:val="000000"/>
                <w:sz w:val="24"/>
              </w:rPr>
              <w:t>9,765,214.49</w:t>
            </w:r>
          </w:p>
        </w:tc>
        <w:tc>
          <w:tcPr>
            <w:tcW w:w="1680" w:type="dxa"/>
            <w:vAlign w:val="center"/>
          </w:tcPr>
          <w:p w:rsidR="00C22F38" w:rsidRDefault="00741EE6">
            <w:pPr>
              <w:jc w:val="right"/>
            </w:pPr>
            <w:r>
              <w:rPr>
                <w:color w:val="000000"/>
                <w:sz w:val="24"/>
              </w:rPr>
              <w:t>2.44</w:t>
            </w:r>
          </w:p>
        </w:tc>
      </w:tr>
      <w:tr w:rsidR="00C22F38">
        <w:trPr>
          <w:jc w:val="center"/>
        </w:trPr>
        <w:tc>
          <w:tcPr>
            <w:tcW w:w="850" w:type="dxa"/>
            <w:vAlign w:val="center"/>
          </w:tcPr>
          <w:p w:rsidR="00C22F38" w:rsidRDefault="00741EE6">
            <w:pPr>
              <w:jc w:val="center"/>
            </w:pPr>
            <w:r>
              <w:rPr>
                <w:color w:val="000000"/>
                <w:sz w:val="24"/>
              </w:rPr>
              <w:t>9</w:t>
            </w:r>
          </w:p>
        </w:tc>
        <w:tc>
          <w:tcPr>
            <w:tcW w:w="1327" w:type="dxa"/>
            <w:vAlign w:val="center"/>
          </w:tcPr>
          <w:p w:rsidR="00C22F38" w:rsidRDefault="00741EE6">
            <w:pPr>
              <w:jc w:val="center"/>
            </w:pPr>
            <w:r>
              <w:rPr>
                <w:color w:val="000000"/>
                <w:sz w:val="24"/>
              </w:rPr>
              <w:t>600900</w:t>
            </w:r>
          </w:p>
        </w:tc>
        <w:tc>
          <w:tcPr>
            <w:tcW w:w="1769" w:type="dxa"/>
            <w:vAlign w:val="center"/>
          </w:tcPr>
          <w:p w:rsidR="00C22F38" w:rsidRDefault="00741EE6">
            <w:pPr>
              <w:jc w:val="center"/>
            </w:pPr>
            <w:r>
              <w:rPr>
                <w:color w:val="000000"/>
                <w:sz w:val="24"/>
              </w:rPr>
              <w:t>长江电力</w:t>
            </w:r>
          </w:p>
        </w:tc>
        <w:tc>
          <w:tcPr>
            <w:tcW w:w="1327" w:type="dxa"/>
            <w:vAlign w:val="center"/>
          </w:tcPr>
          <w:p w:rsidR="00C22F38" w:rsidRDefault="00741EE6">
            <w:pPr>
              <w:jc w:val="right"/>
            </w:pPr>
            <w:r>
              <w:rPr>
                <w:color w:val="000000"/>
                <w:sz w:val="24"/>
              </w:rPr>
              <w:t>577,540</w:t>
            </w:r>
          </w:p>
        </w:tc>
        <w:tc>
          <w:tcPr>
            <w:tcW w:w="1915" w:type="dxa"/>
            <w:vAlign w:val="center"/>
          </w:tcPr>
          <w:p w:rsidR="00C22F38" w:rsidRDefault="00741EE6">
            <w:pPr>
              <w:jc w:val="right"/>
            </w:pPr>
            <w:r>
              <w:rPr>
                <w:color w:val="000000"/>
                <w:sz w:val="24"/>
              </w:rPr>
              <w:t>9,460,105.20</w:t>
            </w:r>
          </w:p>
        </w:tc>
        <w:tc>
          <w:tcPr>
            <w:tcW w:w="1680" w:type="dxa"/>
            <w:vAlign w:val="center"/>
          </w:tcPr>
          <w:p w:rsidR="00C22F38" w:rsidRDefault="00741EE6">
            <w:pPr>
              <w:jc w:val="right"/>
            </w:pPr>
            <w:r>
              <w:rPr>
                <w:color w:val="000000"/>
                <w:sz w:val="24"/>
              </w:rPr>
              <w:t>2.37</w:t>
            </w:r>
          </w:p>
        </w:tc>
      </w:tr>
      <w:tr w:rsidR="00C22F38">
        <w:trPr>
          <w:jc w:val="center"/>
        </w:trPr>
        <w:tc>
          <w:tcPr>
            <w:tcW w:w="850" w:type="dxa"/>
            <w:vAlign w:val="center"/>
          </w:tcPr>
          <w:p w:rsidR="00C22F38" w:rsidRDefault="00741EE6">
            <w:pPr>
              <w:jc w:val="center"/>
            </w:pPr>
            <w:r>
              <w:rPr>
                <w:color w:val="000000"/>
                <w:sz w:val="24"/>
              </w:rPr>
              <w:t>10</w:t>
            </w:r>
          </w:p>
        </w:tc>
        <w:tc>
          <w:tcPr>
            <w:tcW w:w="1327" w:type="dxa"/>
            <w:vAlign w:val="center"/>
          </w:tcPr>
          <w:p w:rsidR="00C22F38" w:rsidRDefault="00741EE6">
            <w:pPr>
              <w:jc w:val="center"/>
            </w:pPr>
            <w:r>
              <w:rPr>
                <w:color w:val="000000"/>
                <w:sz w:val="24"/>
              </w:rPr>
              <w:t>600048</w:t>
            </w:r>
          </w:p>
        </w:tc>
        <w:tc>
          <w:tcPr>
            <w:tcW w:w="1769" w:type="dxa"/>
            <w:vAlign w:val="center"/>
          </w:tcPr>
          <w:p w:rsidR="00C22F38" w:rsidRDefault="00741EE6">
            <w:pPr>
              <w:jc w:val="center"/>
            </w:pPr>
            <w:r>
              <w:rPr>
                <w:color w:val="000000"/>
                <w:sz w:val="24"/>
              </w:rPr>
              <w:t>保利地产</w:t>
            </w:r>
          </w:p>
        </w:tc>
        <w:tc>
          <w:tcPr>
            <w:tcW w:w="1327" w:type="dxa"/>
            <w:vAlign w:val="center"/>
          </w:tcPr>
          <w:p w:rsidR="00C22F38" w:rsidRDefault="00741EE6">
            <w:pPr>
              <w:jc w:val="right"/>
            </w:pPr>
            <w:r>
              <w:rPr>
                <w:color w:val="000000"/>
                <w:sz w:val="24"/>
              </w:rPr>
              <w:t>622,659</w:t>
            </w:r>
          </w:p>
        </w:tc>
        <w:tc>
          <w:tcPr>
            <w:tcW w:w="1915" w:type="dxa"/>
            <w:vAlign w:val="center"/>
          </w:tcPr>
          <w:p w:rsidR="00C22F38" w:rsidRDefault="00741EE6">
            <w:pPr>
              <w:jc w:val="right"/>
            </w:pPr>
            <w:r>
              <w:rPr>
                <w:color w:val="000000"/>
                <w:sz w:val="24"/>
              </w:rPr>
              <w:t>7,577,760.03</w:t>
            </w:r>
          </w:p>
        </w:tc>
        <w:tc>
          <w:tcPr>
            <w:tcW w:w="1680" w:type="dxa"/>
            <w:vAlign w:val="center"/>
          </w:tcPr>
          <w:p w:rsidR="00C22F38" w:rsidRDefault="00741EE6">
            <w:pPr>
              <w:jc w:val="right"/>
            </w:pPr>
            <w:r>
              <w:rPr>
                <w:color w:val="000000"/>
                <w:sz w:val="24"/>
              </w:rPr>
              <w:t>1.90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0625A6" w:rsidRDefault="00741EE6" w:rsidP="0099526C">
      <w:pPr>
        <w:autoSpaceDE w:val="0"/>
        <w:autoSpaceDN w:val="0"/>
        <w:adjustRightInd w:val="0"/>
        <w:spacing w:before="29" w:line="288" w:lineRule="auto"/>
        <w:jc w:val="left"/>
        <w:rPr>
          <w:color w:val="000000"/>
          <w:sz w:val="24"/>
        </w:rPr>
      </w:pPr>
      <w:r w:rsidRPr="00741EE6">
        <w:rPr>
          <w:rFonts w:hint="eastAsia"/>
          <w:color w:val="000000"/>
          <w:sz w:val="24"/>
        </w:rPr>
        <w:t>本基金本报告期末未持有积极投资的股票。</w:t>
      </w:r>
    </w:p>
    <w:p w:rsidR="00741EE6" w:rsidRPr="0036023B" w:rsidRDefault="00741EE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报告期内本基金投资的前十名证券的发行主体除浦发银行（证券代码：</w:t>
      </w:r>
      <w:r w:rsidRPr="008119CB">
        <w:rPr>
          <w:color w:val="000000"/>
          <w:kern w:val="0"/>
          <w:sz w:val="24"/>
        </w:rPr>
        <w:t>600000</w:t>
      </w:r>
      <w:r w:rsidRPr="008119CB">
        <w:rPr>
          <w:color w:val="000000"/>
          <w:kern w:val="0"/>
          <w:sz w:val="24"/>
        </w:rPr>
        <w:t>）外，未出现被监管部门立案调查，或在报告编制日前一年内受到公开谴责、处罚的情形。</w:t>
      </w:r>
    </w:p>
    <w:p w:rsidR="00C22F38" w:rsidRDefault="00741EE6">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报告期内本基金投资的前十名证券之一浦发银行（证券代码：</w:t>
      </w:r>
      <w:r>
        <w:rPr>
          <w:color w:val="000000"/>
          <w:kern w:val="0"/>
          <w:sz w:val="24"/>
        </w:rPr>
        <w:t>600000</w:t>
      </w:r>
      <w:r>
        <w:rPr>
          <w:color w:val="000000"/>
          <w:kern w:val="0"/>
          <w:sz w:val="24"/>
        </w:rPr>
        <w:t>）于</w:t>
      </w:r>
      <w:r>
        <w:rPr>
          <w:color w:val="000000"/>
          <w:kern w:val="0"/>
          <w:sz w:val="24"/>
        </w:rPr>
        <w:t>2018</w:t>
      </w:r>
      <w:r>
        <w:rPr>
          <w:color w:val="000000"/>
          <w:kern w:val="0"/>
          <w:sz w:val="24"/>
        </w:rPr>
        <w:t>年</w:t>
      </w:r>
      <w:r>
        <w:rPr>
          <w:color w:val="000000"/>
          <w:kern w:val="0"/>
          <w:sz w:val="24"/>
        </w:rPr>
        <w:t>1</w:t>
      </w:r>
      <w:r>
        <w:rPr>
          <w:color w:val="000000"/>
          <w:kern w:val="0"/>
          <w:sz w:val="24"/>
        </w:rPr>
        <w:t>月</w:t>
      </w:r>
      <w:r>
        <w:rPr>
          <w:color w:val="000000"/>
          <w:kern w:val="0"/>
          <w:sz w:val="24"/>
        </w:rPr>
        <w:t>20</w:t>
      </w:r>
      <w:r>
        <w:rPr>
          <w:color w:val="000000"/>
          <w:kern w:val="0"/>
          <w:sz w:val="24"/>
        </w:rPr>
        <w:t>日收到中国银行业监督管理委员会四川监管局（以下简称</w:t>
      </w:r>
      <w:r>
        <w:rPr>
          <w:color w:val="000000"/>
          <w:kern w:val="0"/>
          <w:sz w:val="24"/>
        </w:rPr>
        <w:t>“</w:t>
      </w:r>
      <w:r>
        <w:rPr>
          <w:color w:val="000000"/>
          <w:kern w:val="0"/>
          <w:sz w:val="24"/>
        </w:rPr>
        <w:t>银监会四川监管局</w:t>
      </w:r>
      <w:r>
        <w:rPr>
          <w:color w:val="000000"/>
          <w:kern w:val="0"/>
          <w:sz w:val="24"/>
        </w:rPr>
        <w:t>”</w:t>
      </w:r>
      <w:r>
        <w:rPr>
          <w:color w:val="000000"/>
          <w:kern w:val="0"/>
          <w:sz w:val="24"/>
        </w:rPr>
        <w:t>）行政处罚决定书（川银监罚字【</w:t>
      </w:r>
      <w:r>
        <w:rPr>
          <w:color w:val="000000"/>
          <w:kern w:val="0"/>
          <w:sz w:val="24"/>
        </w:rPr>
        <w:t>2018</w:t>
      </w:r>
      <w:r>
        <w:rPr>
          <w:color w:val="000000"/>
          <w:kern w:val="0"/>
          <w:sz w:val="24"/>
        </w:rPr>
        <w:t>】</w:t>
      </w:r>
      <w:r>
        <w:rPr>
          <w:color w:val="000000"/>
          <w:kern w:val="0"/>
          <w:sz w:val="24"/>
        </w:rPr>
        <w:t>2</w:t>
      </w:r>
      <w:r>
        <w:rPr>
          <w:color w:val="000000"/>
          <w:kern w:val="0"/>
          <w:sz w:val="24"/>
        </w:rPr>
        <w:t>号）</w:t>
      </w:r>
      <w:r>
        <w:rPr>
          <w:color w:val="000000"/>
          <w:kern w:val="0"/>
          <w:sz w:val="24"/>
        </w:rPr>
        <w:t>,</w:t>
      </w:r>
      <w:r>
        <w:rPr>
          <w:color w:val="000000"/>
          <w:kern w:val="0"/>
          <w:sz w:val="24"/>
        </w:rPr>
        <w:t>对成都分行内</w:t>
      </w:r>
      <w:bookmarkStart w:id="0" w:name="_GoBack"/>
      <w:bookmarkEnd w:id="0"/>
      <w:r>
        <w:rPr>
          <w:color w:val="000000"/>
          <w:kern w:val="0"/>
          <w:sz w:val="24"/>
        </w:rPr>
        <w:t>控管理严重失效</w:t>
      </w:r>
      <w:r>
        <w:rPr>
          <w:color w:val="000000"/>
          <w:kern w:val="0"/>
          <w:sz w:val="24"/>
        </w:rPr>
        <w:t>,</w:t>
      </w:r>
      <w:r>
        <w:rPr>
          <w:color w:val="000000"/>
          <w:kern w:val="0"/>
          <w:sz w:val="24"/>
        </w:rPr>
        <w:t>授信管理违规，违规办理信贷业务等严重违反审慎经营规则的违规行为依法查处，执行罚款</w:t>
      </w:r>
      <w:r>
        <w:rPr>
          <w:color w:val="000000"/>
          <w:kern w:val="0"/>
          <w:sz w:val="24"/>
        </w:rPr>
        <w:t>46,175</w:t>
      </w:r>
      <w:r>
        <w:rPr>
          <w:color w:val="000000"/>
          <w:kern w:val="0"/>
          <w:sz w:val="24"/>
        </w:rPr>
        <w:t>万元人民币。</w:t>
      </w:r>
    </w:p>
    <w:p w:rsidR="00C22F38" w:rsidRDefault="00741EE6">
      <w:pPr>
        <w:autoSpaceDE w:val="0"/>
        <w:autoSpaceDN w:val="0"/>
        <w:adjustRightInd w:val="0"/>
        <w:spacing w:before="29" w:line="288" w:lineRule="auto"/>
        <w:jc w:val="left"/>
        <w:rPr>
          <w:rFonts w:hint="eastAsia"/>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r w:rsidR="00B4287B">
        <w:rPr>
          <w:rFonts w:hint="eastAsia"/>
          <w:color w:val="000000"/>
          <w:kern w:val="0"/>
          <w:sz w:val="24"/>
        </w:rPr>
        <w:t>。</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1,499.60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1,139.37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lastRenderedPageBreak/>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2,638.97</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本基金本报告期末积极投资前五名股票中不存在流通受限情况。</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C51B4E" w:rsidRDefault="00742ADC" w:rsidP="00722EDF">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742ADC" w:rsidRPr="00C51B4E" w:rsidRDefault="00742ADC" w:rsidP="00742ADC">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C51B4E" w:rsidTr="003E4B22">
        <w:tc>
          <w:tcPr>
            <w:tcW w:w="9036" w:type="dxa"/>
          </w:tcPr>
          <w:p w:rsidR="00742ADC" w:rsidRPr="00C51B4E" w:rsidRDefault="00742ADC" w:rsidP="0055680B">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367,524,362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366,524,362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22F38">
        <w:tc>
          <w:tcPr>
            <w:tcW w:w="992" w:type="dxa"/>
          </w:tcPr>
          <w:p w:rsidR="00C22F38" w:rsidRDefault="00741EE6">
            <w:r>
              <w:rPr>
                <w:rFonts w:ascii="宋体" w:hAnsi="宋体" w:hint="eastAsia"/>
                <w:kern w:val="0"/>
                <w:szCs w:val="21"/>
              </w:rPr>
              <w:t>交银施罗德上证180公司治理交易型开放式指数证券投资基金联接基金</w:t>
            </w:r>
          </w:p>
        </w:tc>
        <w:tc>
          <w:tcPr>
            <w:tcW w:w="991" w:type="dxa"/>
            <w:vAlign w:val="center"/>
          </w:tcPr>
          <w:p w:rsidR="00C22F38" w:rsidRDefault="00741EE6">
            <w:pPr>
              <w:jc w:val="center"/>
            </w:pPr>
            <w:r>
              <w:rPr>
                <w:rFonts w:ascii="宋体" w:hAnsi="宋体" w:hint="eastAsia"/>
                <w:bCs/>
                <w:color w:val="000000"/>
                <w:kern w:val="0"/>
                <w:szCs w:val="21"/>
              </w:rPr>
              <w:t>1</w:t>
            </w:r>
          </w:p>
        </w:tc>
        <w:tc>
          <w:tcPr>
            <w:tcW w:w="1843" w:type="dxa"/>
            <w:vAlign w:val="center"/>
          </w:tcPr>
          <w:p w:rsidR="00C22F38" w:rsidRDefault="00741EE6">
            <w:pPr>
              <w:jc w:val="center"/>
            </w:pPr>
            <w:r>
              <w:rPr>
                <w:rFonts w:ascii="宋体" w:hAnsi="宋体" w:hint="eastAsia"/>
                <w:bCs/>
                <w:color w:val="000000"/>
                <w:kern w:val="0"/>
                <w:szCs w:val="21"/>
              </w:rPr>
              <w:t>2018/7/1-2018/9/30</w:t>
            </w:r>
          </w:p>
        </w:tc>
        <w:tc>
          <w:tcPr>
            <w:tcW w:w="851" w:type="dxa"/>
            <w:vAlign w:val="center"/>
          </w:tcPr>
          <w:p w:rsidR="00C22F38" w:rsidRDefault="00741EE6">
            <w:pPr>
              <w:jc w:val="center"/>
            </w:pPr>
            <w:r>
              <w:rPr>
                <w:rFonts w:ascii="宋体" w:hAnsi="宋体" w:hint="eastAsia"/>
                <w:bCs/>
                <w:color w:val="000000"/>
                <w:kern w:val="0"/>
                <w:szCs w:val="21"/>
              </w:rPr>
              <w:t>342,424,699.00</w:t>
            </w:r>
          </w:p>
        </w:tc>
        <w:tc>
          <w:tcPr>
            <w:tcW w:w="850" w:type="dxa"/>
            <w:vAlign w:val="center"/>
          </w:tcPr>
          <w:p w:rsidR="00C22F38" w:rsidRDefault="00741EE6">
            <w:pPr>
              <w:jc w:val="center"/>
            </w:pPr>
            <w:r>
              <w:rPr>
                <w:rFonts w:ascii="宋体" w:hAnsi="宋体" w:hint="eastAsia"/>
                <w:bCs/>
                <w:color w:val="000000"/>
                <w:kern w:val="0"/>
                <w:szCs w:val="21"/>
              </w:rPr>
              <w:t>-</w:t>
            </w:r>
          </w:p>
        </w:tc>
        <w:tc>
          <w:tcPr>
            <w:tcW w:w="1134" w:type="dxa"/>
            <w:vAlign w:val="center"/>
          </w:tcPr>
          <w:p w:rsidR="00C22F38" w:rsidRDefault="00741EE6">
            <w:pPr>
              <w:jc w:val="center"/>
            </w:pPr>
            <w:r>
              <w:rPr>
                <w:rFonts w:ascii="宋体" w:hAnsi="宋体" w:hint="eastAsia"/>
                <w:bCs/>
                <w:color w:val="000000"/>
                <w:kern w:val="0"/>
                <w:szCs w:val="21"/>
              </w:rPr>
              <w:t>-</w:t>
            </w:r>
          </w:p>
        </w:tc>
        <w:tc>
          <w:tcPr>
            <w:tcW w:w="1419" w:type="dxa"/>
            <w:vAlign w:val="center"/>
          </w:tcPr>
          <w:p w:rsidR="00C22F38" w:rsidRDefault="00741EE6">
            <w:pPr>
              <w:jc w:val="center"/>
            </w:pPr>
            <w:r>
              <w:rPr>
                <w:rFonts w:ascii="宋体" w:hAnsi="宋体" w:hint="eastAsia"/>
                <w:bCs/>
                <w:color w:val="000000"/>
                <w:kern w:val="0"/>
                <w:szCs w:val="21"/>
              </w:rPr>
              <w:t>342,424,699.00</w:t>
            </w:r>
          </w:p>
        </w:tc>
        <w:tc>
          <w:tcPr>
            <w:tcW w:w="1130" w:type="dxa"/>
            <w:vAlign w:val="center"/>
          </w:tcPr>
          <w:p w:rsidR="00C22F38" w:rsidRDefault="00741EE6">
            <w:pPr>
              <w:jc w:val="center"/>
            </w:pPr>
            <w:r>
              <w:rPr>
                <w:rFonts w:ascii="宋体" w:hAnsi="宋体" w:hint="eastAsia"/>
                <w:bCs/>
                <w:color w:val="000000"/>
                <w:kern w:val="0"/>
                <w:szCs w:val="21"/>
              </w:rPr>
              <w:t>93.42%</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lastRenderedPageBreak/>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C22F38" w:rsidRDefault="00741EE6">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C22F38" w:rsidRDefault="00741EE6">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C22F38" w:rsidRDefault="00741EE6">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C22F38" w:rsidRDefault="00741EE6">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C22F38" w:rsidRDefault="00741EE6">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C22F38" w:rsidRDefault="00741EE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C22F38" w:rsidRDefault="00741EE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C22F38" w:rsidRDefault="00741EE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35" w:rsidRDefault="00BB2A35">
      <w:r>
        <w:separator/>
      </w:r>
    </w:p>
  </w:endnote>
  <w:endnote w:type="continuationSeparator" w:id="0">
    <w:p w:rsidR="00BB2A35" w:rsidRDefault="00BB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B4287B">
      <w:rPr>
        <w:noProof/>
        <w:kern w:val="0"/>
        <w:szCs w:val="21"/>
      </w:rPr>
      <w:t>10</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B4287B">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35" w:rsidRDefault="00BB2A35">
      <w:r>
        <w:separator/>
      </w:r>
    </w:p>
  </w:footnote>
  <w:footnote w:type="continuationSeparator" w:id="0">
    <w:p w:rsidR="00BB2A35" w:rsidRDefault="00BB2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5633"/>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343"/>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1EE6"/>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287B"/>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2A35"/>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2F38"/>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FCECF40-89DE-4191-A550-07248011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13</Pages>
  <Words>1121</Words>
  <Characters>6396</Characters>
  <Application>Microsoft Office Word</Application>
  <DocSecurity>0</DocSecurity>
  <Lines>53</Lines>
  <Paragraphs>15</Paragraphs>
  <ScaleCrop>false</ScaleCrop>
  <Company>TRT. Ltd. Co.</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397</cp:revision>
  <cp:lastPrinted>2007-07-19T00:46:00Z</cp:lastPrinted>
  <dcterms:created xsi:type="dcterms:W3CDTF">2012-11-21T04:46:00Z</dcterms:created>
  <dcterms:modified xsi:type="dcterms:W3CDTF">2018-10-22T05:29:00Z</dcterms:modified>
</cp:coreProperties>
</file>