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777522">
        <w:rPr>
          <w:rFonts w:hint="eastAsia"/>
          <w:b/>
          <w:sz w:val="30"/>
          <w:szCs w:val="30"/>
        </w:rPr>
        <w:t>交银施罗德中证互联网金融</w:t>
      </w:r>
      <w:r w:rsidR="00777522" w:rsidRPr="00573A07">
        <w:rPr>
          <w:rFonts w:hint="eastAsia"/>
          <w:b/>
          <w:sz w:val="30"/>
          <w:szCs w:val="30"/>
        </w:rPr>
        <w:t>指数分级证券投资基金之</w:t>
      </w:r>
      <w:r w:rsidR="00777522">
        <w:rPr>
          <w:rFonts w:hint="eastAsia"/>
          <w:b/>
          <w:sz w:val="30"/>
          <w:szCs w:val="30"/>
        </w:rPr>
        <w:t>E</w:t>
      </w:r>
      <w:r w:rsidR="00777522">
        <w:rPr>
          <w:rFonts w:hint="eastAsia"/>
          <w:b/>
          <w:sz w:val="30"/>
          <w:szCs w:val="30"/>
        </w:rPr>
        <w:t>金融</w:t>
      </w:r>
      <w:r w:rsidR="00777522"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CE4F3D" w:rsidRPr="00573A07">
        <w:rPr>
          <w:rFonts w:hint="eastAsia"/>
          <w:sz w:val="24"/>
          <w:szCs w:val="24"/>
        </w:rPr>
        <w:t>交银施罗德</w:t>
      </w:r>
      <w:r w:rsidR="00CE4F3D" w:rsidRPr="00587910">
        <w:rPr>
          <w:rFonts w:hint="eastAsia"/>
          <w:sz w:val="24"/>
          <w:szCs w:val="24"/>
        </w:rPr>
        <w:t>中证互联网金融</w:t>
      </w:r>
      <w:r w:rsidR="00CE4F3D" w:rsidRPr="00573A07">
        <w:rPr>
          <w:rFonts w:hint="eastAsia"/>
          <w:sz w:val="24"/>
          <w:szCs w:val="24"/>
        </w:rPr>
        <w:t>指数分级证券投资基金之</w:t>
      </w:r>
      <w:r w:rsidR="00CE4F3D">
        <w:rPr>
          <w:rFonts w:hint="eastAsia"/>
          <w:sz w:val="24"/>
          <w:szCs w:val="24"/>
        </w:rPr>
        <w:t>交银互联网金融</w:t>
      </w:r>
      <w:r w:rsidR="00CE4F3D" w:rsidRPr="00573A07">
        <w:rPr>
          <w:rFonts w:hint="eastAsia"/>
          <w:sz w:val="24"/>
          <w:szCs w:val="24"/>
        </w:rPr>
        <w:t>B</w:t>
      </w:r>
      <w:r w:rsidR="00CE4F3D" w:rsidRPr="00573A07">
        <w:rPr>
          <w:rFonts w:hint="eastAsia"/>
          <w:sz w:val="24"/>
          <w:szCs w:val="24"/>
        </w:rPr>
        <w:t>份额</w:t>
      </w:r>
      <w:r w:rsidR="00CE4F3D" w:rsidRPr="00071917">
        <w:rPr>
          <w:rFonts w:hint="eastAsia"/>
          <w:sz w:val="24"/>
          <w:szCs w:val="24"/>
        </w:rPr>
        <w:t>（场内简称：</w:t>
      </w:r>
      <w:r w:rsidR="00CE4F3D">
        <w:rPr>
          <w:rFonts w:hint="eastAsia"/>
          <w:sz w:val="24"/>
          <w:szCs w:val="24"/>
        </w:rPr>
        <w:t>E</w:t>
      </w:r>
      <w:r w:rsidR="00CE4F3D">
        <w:rPr>
          <w:rFonts w:hint="eastAsia"/>
          <w:sz w:val="24"/>
          <w:szCs w:val="24"/>
        </w:rPr>
        <w:t>金融</w:t>
      </w:r>
      <w:r w:rsidR="00CE4F3D" w:rsidRPr="00573A07">
        <w:rPr>
          <w:rFonts w:hint="eastAsia"/>
          <w:sz w:val="24"/>
          <w:szCs w:val="24"/>
        </w:rPr>
        <w:t>B</w:t>
      </w:r>
      <w:r w:rsidR="00CE4F3D">
        <w:rPr>
          <w:rFonts w:hint="eastAsia"/>
          <w:sz w:val="24"/>
          <w:szCs w:val="24"/>
        </w:rPr>
        <w:t>，基金</w:t>
      </w:r>
      <w:r w:rsidR="00CE4F3D" w:rsidRPr="00071917">
        <w:rPr>
          <w:rFonts w:hint="eastAsia"/>
          <w:sz w:val="24"/>
          <w:szCs w:val="24"/>
        </w:rPr>
        <w:t>代码：</w:t>
      </w:r>
      <w:r w:rsidR="00CE4F3D">
        <w:rPr>
          <w:rFonts w:hint="eastAsia"/>
          <w:sz w:val="24"/>
          <w:szCs w:val="24"/>
        </w:rPr>
        <w:t>150318</w:t>
      </w:r>
      <w:r w:rsidR="00CE4F3D" w:rsidRPr="00071917">
        <w:rPr>
          <w:rFonts w:hint="eastAsia"/>
          <w:sz w:val="24"/>
          <w:szCs w:val="24"/>
        </w:rPr>
        <w:t>）</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772977">
        <w:rPr>
          <w:sz w:val="24"/>
          <w:szCs w:val="24"/>
        </w:rPr>
        <w:t>1</w:t>
      </w:r>
      <w:r w:rsidR="00573B8A">
        <w:rPr>
          <w:sz w:val="24"/>
          <w:szCs w:val="24"/>
        </w:rPr>
        <w:t>2</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573B8A">
        <w:rPr>
          <w:sz w:val="24"/>
          <w:szCs w:val="24"/>
        </w:rPr>
        <w:t>548</w:t>
      </w:r>
      <w:r w:rsidR="00071917" w:rsidRPr="00071917">
        <w:rPr>
          <w:rFonts w:hint="eastAsia"/>
          <w:sz w:val="24"/>
          <w:szCs w:val="24"/>
        </w:rPr>
        <w:t>元，相对于当日</w:t>
      </w:r>
      <w:r w:rsidR="004679FE">
        <w:rPr>
          <w:sz w:val="24"/>
          <w:szCs w:val="24"/>
        </w:rPr>
        <w:t>0.</w:t>
      </w:r>
      <w:r w:rsidR="00DE18FB">
        <w:rPr>
          <w:sz w:val="24"/>
          <w:szCs w:val="24"/>
        </w:rPr>
        <w:t>29</w:t>
      </w:r>
      <w:r w:rsidR="00573B8A">
        <w:rPr>
          <w:sz w:val="24"/>
          <w:szCs w:val="24"/>
        </w:rPr>
        <w:t>0</w:t>
      </w:r>
      <w:r w:rsidR="00071917" w:rsidRPr="00071917">
        <w:rPr>
          <w:rFonts w:hint="eastAsia"/>
          <w:sz w:val="24"/>
          <w:szCs w:val="24"/>
        </w:rPr>
        <w:t>元的基金份额参考净值，溢价幅度达到</w:t>
      </w:r>
      <w:r w:rsidR="00573B8A">
        <w:rPr>
          <w:sz w:val="24"/>
          <w:szCs w:val="24"/>
        </w:rPr>
        <w:t>88.97</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CE4F3D">
        <w:rPr>
          <w:sz w:val="24"/>
          <w:szCs w:val="24"/>
        </w:rPr>
        <w:t>1</w:t>
      </w:r>
      <w:r w:rsidR="00573B8A">
        <w:rPr>
          <w:sz w:val="24"/>
          <w:szCs w:val="24"/>
        </w:rPr>
        <w:t>5</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E940B5">
        <w:rPr>
          <w:rFonts w:hint="eastAsia"/>
          <w:sz w:val="24"/>
          <w:szCs w:val="24"/>
        </w:rPr>
        <w:t>0.548</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份额为交银施罗德</w:t>
      </w:r>
      <w:r w:rsidR="00CE4F3D">
        <w:rPr>
          <w:rFonts w:hint="eastAsia"/>
          <w:sz w:val="24"/>
          <w:szCs w:val="24"/>
        </w:rPr>
        <w:t>中证互联网金融</w:t>
      </w:r>
      <w:r w:rsidR="00CE4F3D" w:rsidRPr="00573A07">
        <w:rPr>
          <w:rFonts w:hint="eastAsia"/>
          <w:sz w:val="24"/>
          <w:szCs w:val="24"/>
        </w:rPr>
        <w:t>指数分级证券投资基金中较高风险类份额</w:t>
      </w:r>
      <w:r w:rsidR="00A825B0" w:rsidRPr="00A825B0">
        <w:rPr>
          <w:rFonts w:hint="eastAsia"/>
          <w:sz w:val="24"/>
          <w:szCs w:val="24"/>
        </w:rPr>
        <w:t>，由于交银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份额内含杠杆机制的设计，交银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份额参考净值的变动幅度将大于交银</w:t>
      </w:r>
      <w:r w:rsidR="00CE4F3D">
        <w:rPr>
          <w:rFonts w:hint="eastAsia"/>
          <w:sz w:val="24"/>
          <w:szCs w:val="24"/>
        </w:rPr>
        <w:t>互联网金融</w:t>
      </w:r>
      <w:r w:rsidR="00CE4F3D" w:rsidRPr="00573A07">
        <w:rPr>
          <w:rFonts w:hint="eastAsia"/>
          <w:sz w:val="24"/>
          <w:szCs w:val="24"/>
        </w:rPr>
        <w:t>份额</w:t>
      </w:r>
      <w:r w:rsidR="00777522">
        <w:rPr>
          <w:rFonts w:hint="eastAsia"/>
          <w:sz w:val="24"/>
          <w:szCs w:val="24"/>
        </w:rPr>
        <w:t>（场内简称：交银互联网</w:t>
      </w:r>
      <w:r w:rsidR="00777522">
        <w:rPr>
          <w:sz w:val="24"/>
          <w:szCs w:val="24"/>
        </w:rPr>
        <w:t>金融</w:t>
      </w:r>
      <w:r w:rsidR="00A825B0" w:rsidRPr="00A825B0">
        <w:rPr>
          <w:rFonts w:hint="eastAsia"/>
          <w:sz w:val="24"/>
          <w:szCs w:val="24"/>
        </w:rPr>
        <w:t>，基金代码：</w:t>
      </w:r>
      <w:r w:rsidR="00777522">
        <w:rPr>
          <w:rFonts w:hint="eastAsia"/>
          <w:sz w:val="24"/>
          <w:szCs w:val="24"/>
        </w:rPr>
        <w:t>164907</w:t>
      </w:r>
      <w:r w:rsidR="00A825B0" w:rsidRPr="00A825B0">
        <w:rPr>
          <w:rFonts w:hint="eastAsia"/>
          <w:sz w:val="24"/>
          <w:szCs w:val="24"/>
        </w:rPr>
        <w:t>）净值和交银</w:t>
      </w:r>
      <w:r w:rsidR="00CE4F3D">
        <w:rPr>
          <w:rFonts w:hint="eastAsia"/>
          <w:sz w:val="24"/>
          <w:szCs w:val="24"/>
        </w:rPr>
        <w:t>互联网金融</w:t>
      </w:r>
      <w:r w:rsidR="00CE4F3D" w:rsidRPr="00573A07">
        <w:rPr>
          <w:rFonts w:hint="eastAsia"/>
          <w:sz w:val="24"/>
          <w:szCs w:val="24"/>
        </w:rPr>
        <w:t>A</w:t>
      </w:r>
      <w:r w:rsidR="00777522">
        <w:rPr>
          <w:rFonts w:hint="eastAsia"/>
          <w:sz w:val="24"/>
          <w:szCs w:val="24"/>
        </w:rPr>
        <w:t>份额（场内简称：</w:t>
      </w:r>
      <w:r w:rsidR="00777522">
        <w:rPr>
          <w:rFonts w:hint="eastAsia"/>
          <w:sz w:val="24"/>
          <w:szCs w:val="24"/>
        </w:rPr>
        <w:t>E</w:t>
      </w:r>
      <w:r w:rsidR="00777522">
        <w:rPr>
          <w:rFonts w:hint="eastAsia"/>
          <w:sz w:val="24"/>
          <w:szCs w:val="24"/>
        </w:rPr>
        <w:t>金融</w:t>
      </w:r>
      <w:r w:rsidR="00A825B0" w:rsidRPr="00A825B0">
        <w:rPr>
          <w:rFonts w:hint="eastAsia"/>
          <w:sz w:val="24"/>
          <w:szCs w:val="24"/>
        </w:rPr>
        <w:t>A</w:t>
      </w:r>
      <w:r w:rsidR="00A825B0" w:rsidRPr="00A825B0">
        <w:rPr>
          <w:rFonts w:hint="eastAsia"/>
          <w:sz w:val="24"/>
          <w:szCs w:val="24"/>
        </w:rPr>
        <w:t>，基金代码：</w:t>
      </w:r>
      <w:r w:rsidR="00777522">
        <w:rPr>
          <w:sz w:val="24"/>
          <w:szCs w:val="24"/>
        </w:rPr>
        <w:t>150317</w:t>
      </w:r>
      <w:r w:rsidR="00A825B0" w:rsidRPr="00A825B0">
        <w:rPr>
          <w:rFonts w:hint="eastAsia"/>
          <w:sz w:val="24"/>
          <w:szCs w:val="24"/>
        </w:rPr>
        <w:t>）参考净值的变动幅度，即</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份额的波动性要高于其他两类份额，其承担的风险也较高。</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777522">
        <w:rPr>
          <w:rFonts w:hint="eastAsia"/>
          <w:sz w:val="24"/>
          <w:szCs w:val="24"/>
        </w:rPr>
        <w:t>交银互联网金融</w:t>
      </w:r>
      <w:r w:rsidR="00777522"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85C8C">
        <w:rPr>
          <w:rFonts w:hint="eastAsia"/>
          <w:sz w:val="24"/>
          <w:szCs w:val="24"/>
        </w:rPr>
        <w:t>10</w:t>
      </w:r>
      <w:r>
        <w:rPr>
          <w:rFonts w:hint="eastAsia"/>
          <w:sz w:val="24"/>
          <w:szCs w:val="24"/>
        </w:rPr>
        <w:t>月</w:t>
      </w:r>
      <w:r w:rsidR="00B85C8C">
        <w:rPr>
          <w:sz w:val="24"/>
          <w:szCs w:val="24"/>
        </w:rPr>
        <w:t>1</w:t>
      </w:r>
      <w:r w:rsidR="00573B8A">
        <w:rPr>
          <w:sz w:val="24"/>
          <w:szCs w:val="24"/>
        </w:rPr>
        <w:t>5</w:t>
      </w:r>
      <w:r>
        <w:rPr>
          <w:rFonts w:hint="eastAsia"/>
          <w:sz w:val="24"/>
          <w:szCs w:val="24"/>
        </w:rPr>
        <w:t>日收盘，</w:t>
      </w:r>
      <w:r w:rsidR="00777522">
        <w:rPr>
          <w:rFonts w:hint="eastAsia"/>
          <w:sz w:val="24"/>
          <w:szCs w:val="24"/>
        </w:rPr>
        <w:t>交银互联网金融</w:t>
      </w:r>
      <w:r w:rsidR="00777522" w:rsidRPr="00573A07">
        <w:rPr>
          <w:rFonts w:hint="eastAsia"/>
          <w:sz w:val="24"/>
          <w:szCs w:val="24"/>
        </w:rPr>
        <w:t>B</w:t>
      </w:r>
      <w:r>
        <w:rPr>
          <w:rFonts w:hint="eastAsia"/>
          <w:sz w:val="24"/>
          <w:szCs w:val="24"/>
        </w:rPr>
        <w:t>份额的基金份额参考净值接近基金合同约定的不定期份额折算阀值。不定期份额折算后，交银</w:t>
      </w:r>
      <w:r w:rsidR="00826049">
        <w:rPr>
          <w:rFonts w:hint="eastAsia"/>
          <w:sz w:val="24"/>
          <w:szCs w:val="24"/>
        </w:rPr>
        <w:t>互联网金融</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指数分级证券投资基金运作正常</w:t>
      </w:r>
      <w:r w:rsidR="00573A07" w:rsidRPr="00573A07">
        <w:rPr>
          <w:rFonts w:hint="eastAsia"/>
          <w:sz w:val="24"/>
          <w:szCs w:val="24"/>
        </w:rPr>
        <w:t>。本基金管理人仍将严格按照法律法规及基金合同进行投资运作。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w:t>
      </w:r>
      <w:bookmarkStart w:id="0" w:name="_GoBack"/>
      <w:bookmarkEnd w:id="0"/>
      <w:r w:rsidR="00573A07" w:rsidRPr="00573A07">
        <w:rPr>
          <w:rFonts w:hint="eastAsia"/>
          <w:sz w:val="24"/>
          <w:szCs w:val="24"/>
        </w:rPr>
        <w:lastRenderedPageBreak/>
        <w:t>无其他应披露而未披露的重大信息。基金管理人仍将严格按照有关规定和要求，及时做好信息披露工作。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777522">
        <w:rPr>
          <w:rFonts w:hint="eastAsia"/>
          <w:sz w:val="24"/>
          <w:szCs w:val="24"/>
        </w:rPr>
        <w:t>交银施罗德中证互联网金融</w:t>
      </w:r>
      <w:r w:rsidR="00777522" w:rsidRPr="00573A07">
        <w:rPr>
          <w:rFonts w:hint="eastAsia"/>
          <w:sz w:val="24"/>
          <w:szCs w:val="24"/>
        </w:rPr>
        <w:t>指数分级证券投资基金基金合同》和《</w:t>
      </w:r>
      <w:r w:rsidR="00777522">
        <w:rPr>
          <w:rFonts w:hint="eastAsia"/>
          <w:sz w:val="24"/>
          <w:szCs w:val="24"/>
        </w:rPr>
        <w:t>交银施罗德中证互联网金融</w:t>
      </w:r>
      <w:r w:rsidR="00777522"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985C05" w:rsidRDefault="003163EF" w:rsidP="00573A07">
      <w:pPr>
        <w:spacing w:line="360" w:lineRule="auto"/>
        <w:ind w:firstLineChars="200" w:firstLine="480"/>
        <w:rPr>
          <w:rFonts w:asci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Pr>
          <w:rFonts w:ascii="Times New Roman" w:hint="eastAsia"/>
          <w:sz w:val="24"/>
          <w:szCs w:val="24"/>
        </w:rPr>
        <w:t>其中交银</w:t>
      </w:r>
      <w:r w:rsidR="00777522">
        <w:rPr>
          <w:rFonts w:hint="eastAsia"/>
          <w:sz w:val="24"/>
          <w:szCs w:val="24"/>
        </w:rPr>
        <w:t>互联网金融</w:t>
      </w:r>
      <w:r w:rsidR="00777522">
        <w:rPr>
          <w:rFonts w:ascii="Times New Roman" w:hint="eastAsia"/>
          <w:sz w:val="24"/>
          <w:szCs w:val="24"/>
        </w:rPr>
        <w:t>份额具有与标的指数、以及标的指数所代表的股票市场相似的风险收益特征；交银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份额具有低预期风险、预期收益相对稳定的特征；交银</w:t>
      </w:r>
      <w:r w:rsidR="00777522">
        <w:rPr>
          <w:rFonts w:hint="eastAsia"/>
          <w:sz w:val="24"/>
          <w:szCs w:val="24"/>
        </w:rPr>
        <w:t>互联网金融</w:t>
      </w:r>
      <w:r w:rsidR="00777522">
        <w:rPr>
          <w:rFonts w:ascii="Times New Roman"/>
          <w:sz w:val="24"/>
          <w:szCs w:val="24"/>
        </w:rPr>
        <w:t>B</w:t>
      </w:r>
      <w:r w:rsidR="00777522">
        <w:rPr>
          <w:rFonts w:ascii="Times New Roman" w:hint="eastAsia"/>
          <w:sz w:val="24"/>
          <w:szCs w:val="24"/>
        </w:rPr>
        <w:t>份额具有高预期风险、高预期收益的特征。基金管理人并不承诺或保证交银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份额的基金份额持有人的约定应得收益，在本基金资产出现极端损失情况下，交银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Default="00777522"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777522">
        <w:rPr>
          <w:rFonts w:hint="eastAsia"/>
          <w:sz w:val="24"/>
          <w:szCs w:val="24"/>
        </w:rPr>
        <w:t>十</w:t>
      </w:r>
      <w:r w:rsidR="00D72259" w:rsidRPr="00D72259">
        <w:rPr>
          <w:rFonts w:hint="eastAsia"/>
          <w:sz w:val="24"/>
          <w:szCs w:val="24"/>
        </w:rPr>
        <w:t>月</w:t>
      </w:r>
      <w:r w:rsidR="00F52453">
        <w:rPr>
          <w:rFonts w:hint="eastAsia"/>
          <w:sz w:val="24"/>
          <w:szCs w:val="24"/>
        </w:rPr>
        <w:t>十</w:t>
      </w:r>
      <w:r w:rsidR="00573B8A">
        <w:rPr>
          <w:rFonts w:hint="eastAsia"/>
          <w:sz w:val="24"/>
          <w:szCs w:val="24"/>
        </w:rPr>
        <w:t>六</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FF" w:rsidRDefault="00271FFF" w:rsidP="00B833BE">
      <w:r>
        <w:separator/>
      </w:r>
    </w:p>
  </w:endnote>
  <w:endnote w:type="continuationSeparator" w:id="0">
    <w:p w:rsidR="00271FFF" w:rsidRDefault="00271FF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FF" w:rsidRDefault="00271FFF" w:rsidP="00B833BE">
      <w:r>
        <w:separator/>
      </w:r>
    </w:p>
  </w:footnote>
  <w:footnote w:type="continuationSeparator" w:id="0">
    <w:p w:rsidR="00271FFF" w:rsidRDefault="00271FF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6370B"/>
    <w:rsid w:val="00263F8E"/>
    <w:rsid w:val="00271FFF"/>
    <w:rsid w:val="002A3722"/>
    <w:rsid w:val="002B6A0B"/>
    <w:rsid w:val="002C1983"/>
    <w:rsid w:val="002C2F70"/>
    <w:rsid w:val="002C3C6F"/>
    <w:rsid w:val="002D7791"/>
    <w:rsid w:val="003163EF"/>
    <w:rsid w:val="003219C1"/>
    <w:rsid w:val="00321BDF"/>
    <w:rsid w:val="003367B0"/>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D64B4"/>
    <w:rsid w:val="0071017C"/>
    <w:rsid w:val="007140EA"/>
    <w:rsid w:val="00740B42"/>
    <w:rsid w:val="00745B38"/>
    <w:rsid w:val="00772977"/>
    <w:rsid w:val="00777522"/>
    <w:rsid w:val="00793D08"/>
    <w:rsid w:val="00797694"/>
    <w:rsid w:val="007A5F72"/>
    <w:rsid w:val="007A7333"/>
    <w:rsid w:val="007C74FD"/>
    <w:rsid w:val="007D7CAC"/>
    <w:rsid w:val="00806748"/>
    <w:rsid w:val="00826049"/>
    <w:rsid w:val="00834D92"/>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E2698"/>
    <w:rsid w:val="00C114CE"/>
    <w:rsid w:val="00C16674"/>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0480"/>
    <w:rsid w:val="00DF13A4"/>
    <w:rsid w:val="00DF3E68"/>
    <w:rsid w:val="00E12A99"/>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05B19"/>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a5"/>
    <w:uiPriority w:val="99"/>
    <w:semiHidden/>
    <w:unhideWhenUsed/>
    <w:rsid w:val="00573A07"/>
    <w:pPr>
      <w:jc w:val="left"/>
    </w:pPr>
  </w:style>
  <w:style w:type="character" w:customStyle="1" w:styleId="a5">
    <w:name w:val="批注文字 字符"/>
    <w:basedOn w:val="a0"/>
    <w:link w:val="a4"/>
    <w:uiPriority w:val="99"/>
    <w:semiHidden/>
    <w:rsid w:val="00573A07"/>
  </w:style>
  <w:style w:type="paragraph" w:styleId="a6">
    <w:name w:val="annotation subject"/>
    <w:basedOn w:val="a4"/>
    <w:next w:val="a4"/>
    <w:link w:val="a7"/>
    <w:uiPriority w:val="99"/>
    <w:semiHidden/>
    <w:unhideWhenUsed/>
    <w:rsid w:val="00573A07"/>
    <w:rPr>
      <w:b/>
      <w:bCs/>
    </w:rPr>
  </w:style>
  <w:style w:type="character" w:customStyle="1" w:styleId="a7">
    <w:name w:val="批注主题 字符"/>
    <w:basedOn w:val="a5"/>
    <w:link w:val="a6"/>
    <w:uiPriority w:val="99"/>
    <w:semiHidden/>
    <w:rsid w:val="00573A07"/>
    <w:rPr>
      <w:b/>
      <w:bCs/>
    </w:rPr>
  </w:style>
  <w:style w:type="paragraph" w:styleId="a8">
    <w:name w:val="Balloon Text"/>
    <w:basedOn w:val="a"/>
    <w:link w:val="a9"/>
    <w:uiPriority w:val="99"/>
    <w:semiHidden/>
    <w:unhideWhenUsed/>
    <w:rsid w:val="00573A07"/>
    <w:rPr>
      <w:sz w:val="18"/>
      <w:szCs w:val="18"/>
    </w:rPr>
  </w:style>
  <w:style w:type="character" w:customStyle="1" w:styleId="a9">
    <w:name w:val="批注框文本 字符"/>
    <w:basedOn w:val="a0"/>
    <w:link w:val="a8"/>
    <w:uiPriority w:val="99"/>
    <w:semiHidden/>
    <w:rsid w:val="00573A07"/>
    <w:rPr>
      <w:sz w:val="18"/>
      <w:szCs w:val="18"/>
    </w:rPr>
  </w:style>
  <w:style w:type="paragraph" w:styleId="aa">
    <w:name w:val="header"/>
    <w:basedOn w:val="a"/>
    <w:link w:val="ab"/>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833BE"/>
    <w:rPr>
      <w:sz w:val="18"/>
      <w:szCs w:val="18"/>
    </w:rPr>
  </w:style>
  <w:style w:type="paragraph" w:styleId="ac">
    <w:name w:val="footer"/>
    <w:basedOn w:val="a"/>
    <w:link w:val="ad"/>
    <w:uiPriority w:val="99"/>
    <w:unhideWhenUsed/>
    <w:rsid w:val="00B833BE"/>
    <w:pPr>
      <w:tabs>
        <w:tab w:val="center" w:pos="4153"/>
        <w:tab w:val="right" w:pos="8306"/>
      </w:tabs>
      <w:snapToGrid w:val="0"/>
      <w:jc w:val="left"/>
    </w:pPr>
    <w:rPr>
      <w:sz w:val="18"/>
      <w:szCs w:val="18"/>
    </w:rPr>
  </w:style>
  <w:style w:type="character" w:customStyle="1" w:styleId="ad">
    <w:name w:val="页脚 字符"/>
    <w:basedOn w:val="a0"/>
    <w:link w:val="ac"/>
    <w:uiPriority w:val="99"/>
    <w:rsid w:val="00B833BE"/>
    <w:rPr>
      <w:sz w:val="18"/>
      <w:szCs w:val="18"/>
    </w:rPr>
  </w:style>
  <w:style w:type="paragraph" w:styleId="ae">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14D19-5C92-497C-AE83-E18656F1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2018-10-15T07:17:00Z</dcterms:created>
  <dcterms:modified xsi:type="dcterms:W3CDTF">2018-10-15T07:39:00Z</dcterms:modified>
</cp:coreProperties>
</file>