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</w:t>
      </w:r>
      <w:r w:rsidR="004F2A8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卓越回报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灵活配置混合型证券投资基金暂停申购</w:t>
      </w:r>
      <w:r w:rsidR="004F2A8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</w:t>
      </w:r>
      <w:r w:rsidR="004F2A89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定期定额投资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业务的公告</w:t>
      </w:r>
    </w:p>
    <w:p w:rsidR="00D327FA" w:rsidRPr="00D82740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D82740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D82740">
        <w:rPr>
          <w:rFonts w:asciiTheme="minorEastAsia" w:eastAsiaTheme="minorEastAsia" w:hAnsiTheme="minorEastAsia" w:cs="宋体"/>
          <w:bCs/>
          <w:sz w:val="24"/>
          <w:szCs w:val="24"/>
        </w:rPr>
        <w:t>2018年</w:t>
      </w:r>
      <w:r w:rsidR="004F2A89">
        <w:rPr>
          <w:rFonts w:asciiTheme="minorEastAsia" w:eastAsiaTheme="minorEastAsia" w:hAnsiTheme="minorEastAsia" w:cs="宋体"/>
          <w:bCs/>
          <w:sz w:val="24"/>
          <w:szCs w:val="24"/>
        </w:rPr>
        <w:t>9</w:t>
      </w:r>
      <w:r w:rsidR="004F2A89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="004F2A89">
        <w:rPr>
          <w:rFonts w:asciiTheme="minorEastAsia" w:eastAsiaTheme="minorEastAsia" w:hAnsiTheme="minorEastAsia" w:cs="宋体"/>
          <w:bCs/>
          <w:sz w:val="24"/>
          <w:szCs w:val="24"/>
        </w:rPr>
        <w:t>10日</w:t>
      </w:r>
    </w:p>
    <w:p w:rsidR="001A3CA1" w:rsidRPr="00D82740" w:rsidRDefault="001A3CA1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D82740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8274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3252"/>
        <w:gridCol w:w="3241"/>
        <w:gridCol w:w="41"/>
      </w:tblGrid>
      <w:tr w:rsidR="00D327FA" w:rsidRPr="00D82740" w:rsidTr="00B62166">
        <w:trPr>
          <w:gridAfter w:val="1"/>
          <w:wAfter w:w="41" w:type="dxa"/>
          <w:jc w:val="center"/>
        </w:trPr>
        <w:tc>
          <w:tcPr>
            <w:tcW w:w="3064" w:type="dxa"/>
          </w:tcPr>
          <w:p w:rsidR="00D327FA" w:rsidRPr="00D82740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493" w:type="dxa"/>
            <w:gridSpan w:val="2"/>
            <w:vAlign w:val="center"/>
          </w:tcPr>
          <w:p w:rsidR="00D327FA" w:rsidRPr="00D82740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交银施罗德</w:t>
            </w:r>
            <w:r w:rsidR="004F2A89">
              <w:rPr>
                <w:rFonts w:asciiTheme="minorEastAsia" w:eastAsiaTheme="minorEastAsia" w:hAnsiTheme="minorEastAsia"/>
                <w:sz w:val="24"/>
                <w:szCs w:val="24"/>
              </w:rPr>
              <w:t>卓越回报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D82740" w:rsidTr="00B62166">
        <w:trPr>
          <w:gridAfter w:val="1"/>
          <w:wAfter w:w="41" w:type="dxa"/>
          <w:jc w:val="center"/>
        </w:trPr>
        <w:tc>
          <w:tcPr>
            <w:tcW w:w="3064" w:type="dxa"/>
          </w:tcPr>
          <w:p w:rsidR="00D327FA" w:rsidRPr="00D82740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493" w:type="dxa"/>
            <w:gridSpan w:val="2"/>
            <w:vAlign w:val="center"/>
          </w:tcPr>
          <w:p w:rsidR="00D327FA" w:rsidRPr="00D82740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</w:t>
            </w:r>
            <w:r w:rsidR="004F2A89">
              <w:rPr>
                <w:rFonts w:asciiTheme="minorEastAsia" w:eastAsiaTheme="minorEastAsia" w:hAnsiTheme="minorEastAsia"/>
                <w:sz w:val="24"/>
                <w:szCs w:val="24"/>
              </w:rPr>
              <w:t>卓越回报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</w:t>
            </w:r>
          </w:p>
        </w:tc>
      </w:tr>
      <w:tr w:rsidR="00F95610" w:rsidRPr="00D82740" w:rsidTr="00B62166">
        <w:trPr>
          <w:gridAfter w:val="1"/>
          <w:wAfter w:w="41" w:type="dxa"/>
          <w:jc w:val="center"/>
        </w:trPr>
        <w:tc>
          <w:tcPr>
            <w:tcW w:w="3064" w:type="dxa"/>
            <w:vAlign w:val="center"/>
          </w:tcPr>
          <w:p w:rsidR="00F95610" w:rsidRPr="00D82740" w:rsidRDefault="00F95610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493" w:type="dxa"/>
            <w:gridSpan w:val="2"/>
            <w:vAlign w:val="center"/>
          </w:tcPr>
          <w:p w:rsidR="00F95610" w:rsidRPr="00D82740" w:rsidRDefault="004F2A89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519764</w:t>
            </w:r>
          </w:p>
        </w:tc>
      </w:tr>
      <w:tr w:rsidR="009B403A" w:rsidRPr="00D82740" w:rsidTr="00B62166">
        <w:trPr>
          <w:gridAfter w:val="1"/>
          <w:wAfter w:w="41" w:type="dxa"/>
          <w:jc w:val="center"/>
        </w:trPr>
        <w:tc>
          <w:tcPr>
            <w:tcW w:w="3064" w:type="dxa"/>
          </w:tcPr>
          <w:p w:rsidR="009B403A" w:rsidRPr="00D82740" w:rsidRDefault="009B403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493" w:type="dxa"/>
            <w:gridSpan w:val="2"/>
            <w:vAlign w:val="center"/>
          </w:tcPr>
          <w:p w:rsidR="009B403A" w:rsidRPr="00D82740" w:rsidRDefault="009B403A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D82740" w:rsidTr="00B62166">
        <w:trPr>
          <w:gridAfter w:val="1"/>
          <w:wAfter w:w="41" w:type="dxa"/>
          <w:jc w:val="center"/>
        </w:trPr>
        <w:tc>
          <w:tcPr>
            <w:tcW w:w="3064" w:type="dxa"/>
          </w:tcPr>
          <w:p w:rsidR="009B403A" w:rsidRPr="00D82740" w:rsidRDefault="009B403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493" w:type="dxa"/>
            <w:gridSpan w:val="2"/>
            <w:vAlign w:val="center"/>
          </w:tcPr>
          <w:p w:rsidR="009B403A" w:rsidRPr="00D82740" w:rsidRDefault="009B403A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《交银施罗德</w:t>
            </w:r>
            <w:r w:rsidR="004F2A89">
              <w:rPr>
                <w:rFonts w:asciiTheme="minorEastAsia" w:eastAsiaTheme="minorEastAsia" w:hAnsiTheme="minorEastAsia"/>
                <w:sz w:val="24"/>
                <w:szCs w:val="24"/>
              </w:rPr>
              <w:t>卓越回报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F2A89">
              <w:rPr>
                <w:rFonts w:asciiTheme="minorEastAsia" w:eastAsiaTheme="minorEastAsia" w:hAnsiTheme="minorEastAsia"/>
                <w:sz w:val="24"/>
                <w:szCs w:val="24"/>
              </w:rPr>
              <w:t>卓越回报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B62166" w:rsidRPr="00D82740" w:rsidTr="00832B02">
        <w:trPr>
          <w:gridAfter w:val="1"/>
          <w:wAfter w:w="41" w:type="dxa"/>
          <w:jc w:val="center"/>
        </w:trPr>
        <w:tc>
          <w:tcPr>
            <w:tcW w:w="3064" w:type="dxa"/>
            <w:vMerge w:val="restart"/>
            <w:vAlign w:val="center"/>
          </w:tcPr>
          <w:p w:rsidR="00B62166" w:rsidRPr="00006B14" w:rsidRDefault="00006B14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3252" w:type="dxa"/>
          </w:tcPr>
          <w:p w:rsidR="00B62166" w:rsidRPr="00D82740" w:rsidRDefault="00B62166" w:rsidP="0036784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3241" w:type="dxa"/>
            <w:vAlign w:val="center"/>
          </w:tcPr>
          <w:p w:rsidR="00B62166" w:rsidRPr="00D82740" w:rsidRDefault="004F2A89" w:rsidP="004F2A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="00B62166"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B62166"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bookmarkStart w:id="1" w:name="_GoBack"/>
        <w:bookmarkEnd w:id="1"/>
      </w:tr>
      <w:tr w:rsidR="004F2A89" w:rsidRPr="00D82740" w:rsidTr="00832B02">
        <w:trPr>
          <w:gridAfter w:val="1"/>
          <w:wAfter w:w="41" w:type="dxa"/>
          <w:jc w:val="center"/>
        </w:trPr>
        <w:tc>
          <w:tcPr>
            <w:tcW w:w="3064" w:type="dxa"/>
            <w:vMerge/>
          </w:tcPr>
          <w:p w:rsidR="004F2A89" w:rsidRDefault="004F2A89"/>
        </w:tc>
        <w:tc>
          <w:tcPr>
            <w:tcW w:w="3252" w:type="dxa"/>
          </w:tcPr>
          <w:p w:rsidR="004F2A89" w:rsidRPr="00D82740" w:rsidRDefault="004F2A89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暂停定期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定额投资起始日</w:t>
            </w:r>
          </w:p>
        </w:tc>
        <w:tc>
          <w:tcPr>
            <w:tcW w:w="3241" w:type="dxa"/>
          </w:tcPr>
          <w:p w:rsidR="004F2A89" w:rsidRPr="00D82740" w:rsidRDefault="004F2A89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62166" w:rsidRPr="00D82740" w:rsidTr="00832B02">
        <w:trPr>
          <w:gridAfter w:val="1"/>
          <w:wAfter w:w="41" w:type="dxa"/>
          <w:jc w:val="center"/>
        </w:trPr>
        <w:tc>
          <w:tcPr>
            <w:tcW w:w="3064" w:type="dxa"/>
            <w:vMerge/>
          </w:tcPr>
          <w:p w:rsidR="00B62166" w:rsidRDefault="00B62166"/>
        </w:tc>
        <w:tc>
          <w:tcPr>
            <w:tcW w:w="3252" w:type="dxa"/>
          </w:tcPr>
          <w:p w:rsidR="00B62166" w:rsidRPr="00D82740" w:rsidRDefault="00B62166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相关业务</w:t>
            </w: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的原因</w:t>
            </w:r>
            <w:r w:rsid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3241" w:type="dxa"/>
          </w:tcPr>
          <w:p w:rsidR="00B62166" w:rsidRPr="00D82740" w:rsidRDefault="00B62166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为保护基金份额持有人利益</w:t>
            </w:r>
          </w:p>
        </w:tc>
      </w:tr>
      <w:tr w:rsidR="00D33E60" w:rsidRPr="00D82740" w:rsidTr="00832B02">
        <w:trPr>
          <w:jc w:val="center"/>
        </w:trPr>
        <w:tc>
          <w:tcPr>
            <w:tcW w:w="3064" w:type="dxa"/>
            <w:vAlign w:val="center"/>
          </w:tcPr>
          <w:p w:rsidR="00D33E60" w:rsidRPr="00D82740" w:rsidRDefault="00D33E60" w:rsidP="00E7225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3252" w:type="dxa"/>
            <w:vAlign w:val="center"/>
          </w:tcPr>
          <w:p w:rsidR="00D33E60" w:rsidRPr="00D82740" w:rsidRDefault="00D33E60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</w:t>
            </w:r>
            <w:r w:rsidR="004F2A89">
              <w:rPr>
                <w:rFonts w:asciiTheme="minorEastAsia" w:eastAsiaTheme="minorEastAsia" w:hAnsiTheme="minorEastAsia"/>
                <w:sz w:val="24"/>
                <w:szCs w:val="24"/>
              </w:rPr>
              <w:t>卓越回报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灵活配置混合A</w:t>
            </w:r>
          </w:p>
        </w:tc>
        <w:tc>
          <w:tcPr>
            <w:tcW w:w="3282" w:type="dxa"/>
            <w:gridSpan w:val="2"/>
            <w:vAlign w:val="center"/>
          </w:tcPr>
          <w:p w:rsidR="00D33E60" w:rsidRPr="00D82740" w:rsidRDefault="00D33E60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交银</w:t>
            </w:r>
            <w:r w:rsidR="004F2A89">
              <w:rPr>
                <w:rFonts w:asciiTheme="minorEastAsia" w:eastAsiaTheme="minorEastAsia" w:hAnsiTheme="minorEastAsia"/>
                <w:sz w:val="24"/>
                <w:szCs w:val="24"/>
              </w:rPr>
              <w:t>卓越回报</w:t>
            </w: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灵活配置混合C</w:t>
            </w:r>
          </w:p>
        </w:tc>
      </w:tr>
      <w:tr w:rsidR="00D33E60" w:rsidRPr="00D82740" w:rsidTr="00832B02">
        <w:trPr>
          <w:jc w:val="center"/>
        </w:trPr>
        <w:tc>
          <w:tcPr>
            <w:tcW w:w="3064" w:type="dxa"/>
            <w:vAlign w:val="center"/>
          </w:tcPr>
          <w:p w:rsidR="00D33E60" w:rsidRPr="00D82740" w:rsidRDefault="00D33E6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3252" w:type="dxa"/>
            <w:vAlign w:val="center"/>
          </w:tcPr>
          <w:p w:rsidR="00D33E60" w:rsidRPr="00D82740" w:rsidRDefault="004F2A89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519764</w:t>
            </w:r>
          </w:p>
        </w:tc>
        <w:tc>
          <w:tcPr>
            <w:tcW w:w="3282" w:type="dxa"/>
            <w:gridSpan w:val="2"/>
            <w:vAlign w:val="center"/>
          </w:tcPr>
          <w:p w:rsidR="00D33E60" w:rsidRPr="00D82740" w:rsidRDefault="004F2A89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519765</w:t>
            </w:r>
          </w:p>
        </w:tc>
      </w:tr>
      <w:tr w:rsidR="00BA6967" w:rsidRPr="00D82740" w:rsidTr="00832B02">
        <w:trPr>
          <w:jc w:val="center"/>
        </w:trPr>
        <w:tc>
          <w:tcPr>
            <w:tcW w:w="3064" w:type="dxa"/>
          </w:tcPr>
          <w:p w:rsidR="00BA6967" w:rsidRPr="00D82740" w:rsidRDefault="00BA6967" w:rsidP="00006B14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该分级基金是否暂停申购</w:t>
            </w:r>
            <w:r w:rsidR="004F2A8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</w:t>
            </w:r>
            <w:r w:rsidR="004F2A89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定额投资</w:t>
            </w:r>
            <w:r w:rsidR="00006B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3252" w:type="dxa"/>
            <w:vAlign w:val="center"/>
          </w:tcPr>
          <w:p w:rsidR="00BA6967" w:rsidRPr="00D82740" w:rsidRDefault="00BA6967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282" w:type="dxa"/>
            <w:gridSpan w:val="2"/>
            <w:vAlign w:val="center"/>
          </w:tcPr>
          <w:p w:rsidR="00BA6967" w:rsidRPr="00D82740" w:rsidRDefault="00BA6967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D82740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6"/>
      <w:r w:rsidRPr="00D8274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2"/>
    </w:p>
    <w:p w:rsidR="0049014B" w:rsidRDefault="00E71E15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1）在本基金上述暂停申购</w:t>
      </w:r>
      <w:r w:rsidR="004F2A8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F2A89">
        <w:rPr>
          <w:rFonts w:asciiTheme="minorEastAsia" w:eastAsiaTheme="minorEastAsia" w:hAnsiTheme="minorEastAsia"/>
          <w:sz w:val="24"/>
          <w:szCs w:val="24"/>
        </w:rPr>
        <w:t>定期定额投资</w:t>
      </w:r>
      <w:r>
        <w:rPr>
          <w:rFonts w:asciiTheme="minorEastAsia" w:eastAsiaTheme="minorEastAsia" w:hAnsiTheme="minorEastAsia"/>
          <w:sz w:val="24"/>
          <w:szCs w:val="24"/>
        </w:rPr>
        <w:t>业务期间，本基金的赎回业务正常进行。</w:t>
      </w:r>
    </w:p>
    <w:p w:rsidR="0049014B" w:rsidRDefault="00E71E15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2）投资者可以通过本基金管理人网站（www.fund001.com）或客户服务电话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400-700-5000（免长途话费），021-61055000咨询有关详情。</w:t>
      </w:r>
    </w:p>
    <w:p w:rsidR="0049014B" w:rsidRDefault="0049014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49014B" w:rsidRDefault="00E71E15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49014B" w:rsidRDefault="0049014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364C2A" w:rsidRPr="00D82740" w:rsidRDefault="00770DB7" w:rsidP="00265B63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D82740">
        <w:rPr>
          <w:rFonts w:asciiTheme="minorEastAsia" w:eastAsiaTheme="minorEastAsia" w:hAnsiTheme="minorEastAsia"/>
          <w:sz w:val="24"/>
          <w:szCs w:val="24"/>
        </w:rPr>
        <w:t>特此公告。</w:t>
      </w:r>
    </w:p>
    <w:sectPr w:rsidR="00364C2A" w:rsidRPr="00D82740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C2" w:rsidRDefault="00F022C2" w:rsidP="00D327FA">
      <w:r>
        <w:separator/>
      </w:r>
    </w:p>
  </w:endnote>
  <w:endnote w:type="continuationSeparator" w:id="0">
    <w:p w:rsidR="00F022C2" w:rsidRDefault="00F022C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C2" w:rsidRDefault="00F022C2" w:rsidP="00D327FA">
      <w:r>
        <w:separator/>
      </w:r>
    </w:p>
  </w:footnote>
  <w:footnote w:type="continuationSeparator" w:id="0">
    <w:p w:rsidR="00F022C2" w:rsidRDefault="00F022C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B14"/>
    <w:rsid w:val="000138D7"/>
    <w:rsid w:val="00014582"/>
    <w:rsid w:val="00020378"/>
    <w:rsid w:val="00041353"/>
    <w:rsid w:val="000746EF"/>
    <w:rsid w:val="000E2B3D"/>
    <w:rsid w:val="000E4CBF"/>
    <w:rsid w:val="001161A4"/>
    <w:rsid w:val="001169BB"/>
    <w:rsid w:val="00180DA3"/>
    <w:rsid w:val="001A08AC"/>
    <w:rsid w:val="001A3CA1"/>
    <w:rsid w:val="001B4F9F"/>
    <w:rsid w:val="001E4CD3"/>
    <w:rsid w:val="002061D4"/>
    <w:rsid w:val="00207484"/>
    <w:rsid w:val="00245724"/>
    <w:rsid w:val="00265B63"/>
    <w:rsid w:val="0028798D"/>
    <w:rsid w:val="002935EF"/>
    <w:rsid w:val="00297148"/>
    <w:rsid w:val="002C360B"/>
    <w:rsid w:val="002E26DF"/>
    <w:rsid w:val="002F7241"/>
    <w:rsid w:val="00327DA7"/>
    <w:rsid w:val="0033513C"/>
    <w:rsid w:val="003612CB"/>
    <w:rsid w:val="0036784E"/>
    <w:rsid w:val="00370663"/>
    <w:rsid w:val="00386A1F"/>
    <w:rsid w:val="00392083"/>
    <w:rsid w:val="003D2DA1"/>
    <w:rsid w:val="0048692B"/>
    <w:rsid w:val="0049014B"/>
    <w:rsid w:val="004966BA"/>
    <w:rsid w:val="004B6589"/>
    <w:rsid w:val="004D6346"/>
    <w:rsid w:val="004E2421"/>
    <w:rsid w:val="004F0521"/>
    <w:rsid w:val="004F2A89"/>
    <w:rsid w:val="004F51E8"/>
    <w:rsid w:val="00540343"/>
    <w:rsid w:val="00564298"/>
    <w:rsid w:val="005F1AF0"/>
    <w:rsid w:val="00614995"/>
    <w:rsid w:val="00646522"/>
    <w:rsid w:val="00727899"/>
    <w:rsid w:val="00753DDE"/>
    <w:rsid w:val="00770DB7"/>
    <w:rsid w:val="007B1D31"/>
    <w:rsid w:val="0082571C"/>
    <w:rsid w:val="00827D4A"/>
    <w:rsid w:val="00832B02"/>
    <w:rsid w:val="0083445C"/>
    <w:rsid w:val="00841AFE"/>
    <w:rsid w:val="008472DB"/>
    <w:rsid w:val="00853A75"/>
    <w:rsid w:val="00875F57"/>
    <w:rsid w:val="008D3261"/>
    <w:rsid w:val="008F225D"/>
    <w:rsid w:val="00932FF1"/>
    <w:rsid w:val="00936257"/>
    <w:rsid w:val="00956B0F"/>
    <w:rsid w:val="009A0B67"/>
    <w:rsid w:val="009B403A"/>
    <w:rsid w:val="009C5858"/>
    <w:rsid w:val="00A516C4"/>
    <w:rsid w:val="00AF68A9"/>
    <w:rsid w:val="00B101F7"/>
    <w:rsid w:val="00B13229"/>
    <w:rsid w:val="00B243AE"/>
    <w:rsid w:val="00B40A5A"/>
    <w:rsid w:val="00B5053A"/>
    <w:rsid w:val="00B62166"/>
    <w:rsid w:val="00BA6967"/>
    <w:rsid w:val="00BD601B"/>
    <w:rsid w:val="00BD6D93"/>
    <w:rsid w:val="00C50193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1E15"/>
    <w:rsid w:val="00E72255"/>
    <w:rsid w:val="00E77D74"/>
    <w:rsid w:val="00ED0C20"/>
    <w:rsid w:val="00EE1823"/>
    <w:rsid w:val="00F022C2"/>
    <w:rsid w:val="00F14414"/>
    <w:rsid w:val="00F5252D"/>
    <w:rsid w:val="00F64447"/>
    <w:rsid w:val="00F706B3"/>
    <w:rsid w:val="00F875F9"/>
    <w:rsid w:val="00F95610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6E4F2-6BC9-4C10-878C-5EAA52E7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50</cp:revision>
  <dcterms:created xsi:type="dcterms:W3CDTF">2013-07-25T08:13:00Z</dcterms:created>
  <dcterms:modified xsi:type="dcterms:W3CDTF">2018-09-07T01:40:00Z</dcterms:modified>
</cp:coreProperties>
</file>