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交银施罗德基金管理有限公司关于交银施罗德消费新驱动股票型证券投资基金基金经理变更的公告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2018年9月6日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交银施罗德消费新驱动股票型证券投资基金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交银消费新驱动股票</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519714</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519714</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519715</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解聘基金经理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韩威俊</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离任基金经理姓名</w:t>
            </w:r>
          </w:p>
        </w:tc>
        <w:tc>
          <w:tcPr>
            <w:vAlign w:val="center"/>
          </w:tcPr>
          <w:p>
            <w:pPr>
              <w:jc w:val="left"/>
            </w:pPr>
            <w:r>
              <w:rPr>
                <w:rFonts w:asciiTheme="minorEastAsia" w:eastAsiaTheme="minorEastAsia" w:hAnsiTheme="minorEastAsia"/>
                <w:sz w:val="24"/>
                <w:szCs w:val="24"/>
              </w:rPr>
              <w:t>盖婷婷</w:t>
            </w:r>
          </w:p>
        </w:tc>
      </w:tr>
    </w:tbl>
    <w:p w:rsidP="00070317" w:rsidR="00070317" w:rsidRDefault="00070317" w:rsidRPr="0000418A">
      <w:pPr>
        <w:spacing w:line="560" w:lineRule="exact"/>
        <w:rPr>
          <w:rFonts w:asciiTheme="minorEastAsia" w:eastAsiaTheme="minorEastAsia" w:hAnsiTheme="minorEastAsia"/>
          <w:color w:val="000000"/>
          <w:sz w:val="24"/>
          <w:szCs w:val="24"/>
        </w:rPr>
      </w:pPr>
    </w:p>
    <w:p w:rsidP="00070317" w:rsidR="00070317" w:rsidRDefault="00DE5519" w:rsidRPr="0000418A">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0071CE">
        <w:trPr>
          <w:jc w:val="center"/>
        </w:trPr>
        <w:tc>
          <w:tcPr>
            <w:tcW w:type="dxa" w:w="4353"/>
          </w:tcPr>
          <w:p w:rsidP="00DE551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r w:rsidR="00DE5519" w:rsidRPr="0000418A">
              <w:rPr>
                <w:rFonts w:asciiTheme="minorEastAsia" w:eastAsiaTheme="minorEastAsia" w:hAnsiTheme="minorEastAsia" w:hint="eastAsia"/>
                <w:color w:val="000000"/>
                <w:sz w:val="24"/>
                <w:szCs w:val="24"/>
              </w:rPr>
              <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盖婷婷</w:t>
            </w:r>
          </w:p>
        </w:tc>
      </w:tr>
      <w:tr w:rsidR="00070317" w:rsidRPr="0000418A" w:rsidTr="000071CE">
        <w:trPr>
          <w:jc w:val="center"/>
        </w:trPr>
        <w:tc>
          <w:tcPr>
            <w:tcW w:type="dxa" w:w="4353"/>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53712A"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t>2018年9月6日</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lastRenderedPageBreak/>
              <w:t>继续担任基金经理</w:t>
            </w:r>
          </w:p>
        </w:tc>
      </w:tr>
      <w:tr w:rsidR="00070317" w:rsidRPr="0000418A" w:rsidTr="000071CE">
        <w:trPr>
          <w:jc w:val="center"/>
        </w:trPr>
        <w:tc>
          <w:tcPr>
            <w:tcW w:type="dxa" w:w="4353"/>
          </w:tcPr>
          <w:p w:rsidP="0070712F" w:rsidR="00070317" w:rsidRDefault="00BE7AA2"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type="dxa" w:w="5286"/>
            <w:vAlign w:val="center"/>
          </w:tcPr>
          <w:p w:rsidP="0053712A" w:rsidR="00070317" w:rsidRDefault="00412A3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
            </w:r>
            <w:r w:rsidR="00BE7AA2"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盖婷婷女士不再担任交银施罗德消费新驱动股票型证券投资基金基金经理，交银施罗德消费新驱动股票型证券投资基金由韩威俊先生单独管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