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交银施罗德基金管理有限公司关于增聘交银施罗德丰晟收益债券型证券投资基金基金经理的公告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2018年8月29日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交银施罗德丰晟收益债券型证券投资基金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交银丰晟收益债券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005577</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新任基金经理姓名</w:t>
            </w:r>
          </w:p>
        </w:tc>
        <w:tc>
          <w:tcPr>
            <w:vAlign w:val="center"/>
          </w:tcPr>
          <w:p>
            <w:pPr>
              <w:jc w:val="left"/>
            </w:pPr>
            <w:r>
              <w:rPr>
                <w:rFonts w:asciiTheme="minorEastAsia" w:eastAsiaTheme="minorEastAsia" w:hAnsiTheme="minorEastAsia"/>
                <w:sz w:val="24"/>
                <w:szCs w:val="24"/>
              </w:rPr>
              <w:t>魏玉敏</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于海颖</w:t>
            </w:r>
          </w:p>
        </w:tc>
      </w:tr>
    </w:tbl>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魏玉敏</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2018年8月29日</w:t>
            </w:r>
          </w:p>
        </w:tc>
      </w:tr>
      <w:tr w:rsidR="00070317" w:rsidRPr="0000418A" w:rsidTr="007179FB">
        <w:trPr>
          <w:jc w:val="center"/>
        </w:trPr>
        <w:tc>
          <w:tcPr>
            <w:tcW w:type="dxa" w:w="4357"/>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6</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6</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2012年至2013年任招商证券固定收益研究员，2013年至2016年任国信证券固定收益高级分析师。2016年加入交银施罗德基金管理有限公司，任固定收益部基金经理助理。</w:t>
            </w:r>
          </w:p>
        </w:tc>
      </w:tr>
      <w:tr w:rsidR="00042A21" w:rsidRPr="0000418A" w:rsidTr="00EB10D5">
        <w:trPr>
          <w:jc w:val="center"/>
        </w:trPr>
        <w:tc>
          <w:tcPr>
            <w:tcW w:type="dxa" w:w="4357"/>
            <w:vMerge w:val="restart"/>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type="dxa" w:w="1559"/>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type="dxa" w:w="1212"/>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否</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中国</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研究生、硕士</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增聘魏玉敏女士担任交银施罗德丰晟收益债券型证券投资基金基金经理。自本公告日起，交银施罗德丰晟收益债券型证券投资基金由于海颖女士和魏玉敏女士共同管理。上述事项已在中国证券投资基金业协会完成注册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