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交银施罗德天利宝货币市场基金</w:t>
      </w:r>
    </w:p>
    <w:p w:rsidR="00223DFB" w:rsidRPr="0061644B" w:rsidRDefault="00223DFB" w:rsidP="00792A69">
      <w:pPr>
        <w:spacing w:before="29" w:line="288" w:lineRule="auto"/>
        <w:jc w:val="center"/>
        <w:rPr>
          <w:b/>
          <w:sz w:val="36"/>
          <w:szCs w:val="36"/>
        </w:rPr>
      </w:pPr>
      <w:r w:rsidRPr="0061644B">
        <w:rPr>
          <w:b/>
          <w:sz w:val="36"/>
          <w:szCs w:val="36"/>
        </w:rPr>
        <w:t>2018</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2018</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基金托管人：中信银行股份有限公司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二〇一八年八月二十五日</w:t>
      </w:r>
    </w:p>
    <w:p w:rsidR="00223DFB" w:rsidRPr="0061644B" w:rsidRDefault="00223DFB" w:rsidP="00792A69">
      <w:pPr>
        <w:widowControl/>
        <w:spacing w:before="29" w:line="288" w:lineRule="auto"/>
        <w:jc w:val="left"/>
        <w:rPr>
          <w:sz w:val="24"/>
        </w:rPr>
        <w:sectPr w:rsidR="00223DFB" w:rsidRPr="0061644B" w:rsidSect="000B2F8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基金托管人中信银行股份有限公司根据本基金合同规定，于</w:t>
      </w:r>
      <w:r w:rsidRPr="0061644B">
        <w:rPr>
          <w:color w:val="000000"/>
          <w:sz w:val="24"/>
        </w:rPr>
        <w:t>2018</w:t>
      </w:r>
      <w:r w:rsidRPr="0061644B">
        <w:rPr>
          <w:color w:val="000000"/>
          <w:sz w:val="24"/>
        </w:rPr>
        <w:t>年</w:t>
      </w:r>
      <w:r w:rsidRPr="0061644B">
        <w:rPr>
          <w:color w:val="000000"/>
          <w:sz w:val="24"/>
        </w:rPr>
        <w:t>8</w:t>
      </w:r>
      <w:r w:rsidRPr="0061644B">
        <w:rPr>
          <w:color w:val="000000"/>
          <w:sz w:val="24"/>
        </w:rPr>
        <w:t>月</w:t>
      </w:r>
      <w:r w:rsidRPr="0061644B">
        <w:rPr>
          <w:color w:val="000000"/>
          <w:sz w:val="24"/>
        </w:rPr>
        <w:t>24</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61644B" w:rsidRDefault="00223DFB" w:rsidP="00B54CA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交银天利宝货币</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002889</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2016</w:t>
            </w:r>
            <w:r w:rsidRPr="0061644B">
              <w:rPr>
                <w:sz w:val="24"/>
              </w:rPr>
              <w:t>年</w:t>
            </w:r>
            <w:r w:rsidRPr="0061644B">
              <w:rPr>
                <w:sz w:val="24"/>
              </w:rPr>
              <w:t>10</w:t>
            </w:r>
            <w:r w:rsidRPr="0061644B">
              <w:rPr>
                <w:sz w:val="24"/>
              </w:rPr>
              <w:t>月</w:t>
            </w:r>
            <w:r w:rsidRPr="0061644B">
              <w:rPr>
                <w:sz w:val="24"/>
              </w:rPr>
              <w:t>19</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中信银行股份有限公司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1,938,561,321.94</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交银天利宝货币</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交银天利宝货币</w:t>
            </w:r>
            <w:r w:rsidRPr="0061644B">
              <w:rPr>
                <w:sz w:val="24"/>
              </w:rPr>
              <w:t>E</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002889</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002890</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532,769,288.42</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1,405,792,033.52</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在力求本金安全性和资产充分流动性的前提下，追求超过业绩比较基准的投资收益。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活期存款利率（税后）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本基金属于货币市场基金，是证券投资基金中的低风险品种，长期风险收益水平低于股票型基金、混合型基金和债券型基金。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中信银行股份有限公司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李修滨</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4006800000</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lixiubin@citicbank.com</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95558</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010-85230024</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2018</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2018</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交银天利宝货币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交银天利宝货币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6,295,138.72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43,175,736.91</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6,295,138.72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43,175,736.91</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2.15%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2.27%</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(2018</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交银天利宝货币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交银天利宝货币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532,769,288.42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1,405,792,033.52</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r>
    </w:tbl>
    <w:p w:rsidR="00DA6A53" w:rsidRDefault="0077542B">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DA6A53" w:rsidRDefault="0077542B">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DA6A53" w:rsidRDefault="0077542B">
      <w:pPr>
        <w:tabs>
          <w:tab w:val="left" w:pos="426"/>
        </w:tabs>
        <w:spacing w:before="29" w:line="288" w:lineRule="auto"/>
        <w:jc w:val="left"/>
        <w:rPr>
          <w:kern w:val="0"/>
          <w:sz w:val="24"/>
        </w:rPr>
      </w:pPr>
      <w:r>
        <w:rPr>
          <w:kern w:val="0"/>
          <w:sz w:val="24"/>
        </w:rPr>
        <w:t xml:space="preserve">    3</w:t>
      </w:r>
      <w:r>
        <w:rPr>
          <w:kern w:val="0"/>
          <w:sz w:val="24"/>
        </w:rPr>
        <w:t>、本基金实行销售服务费分类收费方式，分设两类基金份额：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的年费率计提销售服务费。在计算主要财务指标时，</w:t>
      </w:r>
      <w:r>
        <w:rPr>
          <w:kern w:val="0"/>
          <w:sz w:val="24"/>
        </w:rPr>
        <w:t>A</w:t>
      </w:r>
      <w:r>
        <w:rPr>
          <w:kern w:val="0"/>
          <w:sz w:val="24"/>
        </w:rPr>
        <w:t>类基金份额与分类前基金连续计算，</w:t>
      </w:r>
      <w:r>
        <w:rPr>
          <w:kern w:val="0"/>
          <w:sz w:val="24"/>
        </w:rPr>
        <w:t>E</w:t>
      </w:r>
      <w:r>
        <w:rPr>
          <w:kern w:val="0"/>
          <w:sz w:val="24"/>
        </w:rPr>
        <w:t>类基金份额按新设基金计算；</w:t>
      </w:r>
    </w:p>
    <w:p w:rsidR="00DA6A53" w:rsidRDefault="0077542B">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726087" w:rsidRPr="0061644B" w:rsidRDefault="0072608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．交银天利宝货币</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DA6A53">
        <w:tc>
          <w:tcPr>
            <w:tcW w:w="1600" w:type="dxa"/>
            <w:vAlign w:val="center"/>
          </w:tcPr>
          <w:p w:rsidR="00DA6A53" w:rsidRDefault="0077542B">
            <w:pPr>
              <w:jc w:val="left"/>
            </w:pPr>
            <w:r>
              <w:rPr>
                <w:sz w:val="24"/>
              </w:rPr>
              <w:t>过去一个月</w:t>
            </w:r>
          </w:p>
        </w:tc>
        <w:tc>
          <w:tcPr>
            <w:tcW w:w="1233" w:type="dxa"/>
            <w:vAlign w:val="center"/>
          </w:tcPr>
          <w:p w:rsidR="00DA6A53" w:rsidRDefault="0077542B">
            <w:pPr>
              <w:jc w:val="center"/>
            </w:pPr>
            <w:r>
              <w:rPr>
                <w:sz w:val="24"/>
              </w:rPr>
              <w:t>0.3416%</w:t>
            </w:r>
          </w:p>
        </w:tc>
        <w:tc>
          <w:tcPr>
            <w:tcW w:w="1233" w:type="dxa"/>
            <w:vAlign w:val="center"/>
          </w:tcPr>
          <w:p w:rsidR="00DA6A53" w:rsidRDefault="0077542B">
            <w:pPr>
              <w:jc w:val="center"/>
            </w:pPr>
            <w:r>
              <w:rPr>
                <w:sz w:val="24"/>
              </w:rPr>
              <w:t>0.0016%</w:t>
            </w:r>
          </w:p>
        </w:tc>
        <w:tc>
          <w:tcPr>
            <w:tcW w:w="1233" w:type="dxa"/>
            <w:vAlign w:val="center"/>
          </w:tcPr>
          <w:p w:rsidR="00DA6A53" w:rsidRDefault="0077542B">
            <w:pPr>
              <w:jc w:val="center"/>
            </w:pPr>
            <w:r>
              <w:rPr>
                <w:sz w:val="24"/>
              </w:rPr>
              <w:t>0.0288%</w:t>
            </w:r>
          </w:p>
        </w:tc>
        <w:tc>
          <w:tcPr>
            <w:tcW w:w="1233" w:type="dxa"/>
            <w:vAlign w:val="center"/>
          </w:tcPr>
          <w:p w:rsidR="00DA6A53" w:rsidRDefault="0077542B">
            <w:pPr>
              <w:jc w:val="center"/>
            </w:pPr>
            <w:r>
              <w:rPr>
                <w:sz w:val="24"/>
              </w:rPr>
              <w:t>0.0000%</w:t>
            </w:r>
          </w:p>
        </w:tc>
        <w:tc>
          <w:tcPr>
            <w:tcW w:w="1233" w:type="dxa"/>
            <w:vAlign w:val="center"/>
          </w:tcPr>
          <w:p w:rsidR="00DA6A53" w:rsidRDefault="0077542B">
            <w:pPr>
              <w:jc w:val="center"/>
            </w:pPr>
            <w:r>
              <w:rPr>
                <w:sz w:val="24"/>
              </w:rPr>
              <w:t>0.3128%</w:t>
            </w:r>
          </w:p>
        </w:tc>
        <w:tc>
          <w:tcPr>
            <w:tcW w:w="1233" w:type="dxa"/>
            <w:vAlign w:val="center"/>
          </w:tcPr>
          <w:p w:rsidR="00DA6A53" w:rsidRDefault="0077542B">
            <w:pPr>
              <w:jc w:val="center"/>
            </w:pPr>
            <w:r>
              <w:rPr>
                <w:sz w:val="24"/>
              </w:rPr>
              <w:t>0.0016%</w:t>
            </w:r>
          </w:p>
        </w:tc>
      </w:tr>
      <w:tr w:rsidR="00DA6A53">
        <w:tc>
          <w:tcPr>
            <w:tcW w:w="1600" w:type="dxa"/>
            <w:vAlign w:val="center"/>
          </w:tcPr>
          <w:p w:rsidR="00DA6A53" w:rsidRDefault="0077542B">
            <w:pPr>
              <w:jc w:val="left"/>
            </w:pPr>
            <w:r>
              <w:rPr>
                <w:sz w:val="24"/>
              </w:rPr>
              <w:t>过去三个月</w:t>
            </w:r>
          </w:p>
        </w:tc>
        <w:tc>
          <w:tcPr>
            <w:tcW w:w="1233" w:type="dxa"/>
            <w:vAlign w:val="center"/>
          </w:tcPr>
          <w:p w:rsidR="00DA6A53" w:rsidRDefault="0077542B">
            <w:pPr>
              <w:jc w:val="center"/>
            </w:pPr>
            <w:r>
              <w:rPr>
                <w:sz w:val="24"/>
              </w:rPr>
              <w:t>1.0564%</w:t>
            </w:r>
          </w:p>
        </w:tc>
        <w:tc>
          <w:tcPr>
            <w:tcW w:w="1233" w:type="dxa"/>
            <w:vAlign w:val="center"/>
          </w:tcPr>
          <w:p w:rsidR="00DA6A53" w:rsidRDefault="0077542B">
            <w:pPr>
              <w:jc w:val="center"/>
            </w:pPr>
            <w:r>
              <w:rPr>
                <w:sz w:val="24"/>
              </w:rPr>
              <w:t>0.0025%</w:t>
            </w:r>
          </w:p>
        </w:tc>
        <w:tc>
          <w:tcPr>
            <w:tcW w:w="1233" w:type="dxa"/>
            <w:vAlign w:val="center"/>
          </w:tcPr>
          <w:p w:rsidR="00DA6A53" w:rsidRDefault="0077542B">
            <w:pPr>
              <w:jc w:val="center"/>
            </w:pPr>
            <w:r>
              <w:rPr>
                <w:sz w:val="24"/>
              </w:rPr>
              <w:t>0.0873%</w:t>
            </w:r>
          </w:p>
        </w:tc>
        <w:tc>
          <w:tcPr>
            <w:tcW w:w="1233" w:type="dxa"/>
            <w:vAlign w:val="center"/>
          </w:tcPr>
          <w:p w:rsidR="00DA6A53" w:rsidRDefault="0077542B">
            <w:pPr>
              <w:jc w:val="center"/>
            </w:pPr>
            <w:r>
              <w:rPr>
                <w:sz w:val="24"/>
              </w:rPr>
              <w:t>0.0000%</w:t>
            </w:r>
          </w:p>
        </w:tc>
        <w:tc>
          <w:tcPr>
            <w:tcW w:w="1233" w:type="dxa"/>
            <w:vAlign w:val="center"/>
          </w:tcPr>
          <w:p w:rsidR="00DA6A53" w:rsidRDefault="0077542B">
            <w:pPr>
              <w:jc w:val="center"/>
            </w:pPr>
            <w:r>
              <w:rPr>
                <w:sz w:val="24"/>
              </w:rPr>
              <w:t>0.9691%</w:t>
            </w:r>
          </w:p>
        </w:tc>
        <w:tc>
          <w:tcPr>
            <w:tcW w:w="1233" w:type="dxa"/>
            <w:vAlign w:val="center"/>
          </w:tcPr>
          <w:p w:rsidR="00DA6A53" w:rsidRDefault="0077542B">
            <w:pPr>
              <w:jc w:val="center"/>
            </w:pPr>
            <w:r>
              <w:rPr>
                <w:sz w:val="24"/>
              </w:rPr>
              <w:t>0.0025%</w:t>
            </w:r>
          </w:p>
        </w:tc>
      </w:tr>
      <w:tr w:rsidR="00DA6A53">
        <w:tc>
          <w:tcPr>
            <w:tcW w:w="1600" w:type="dxa"/>
            <w:vAlign w:val="center"/>
          </w:tcPr>
          <w:p w:rsidR="00DA6A53" w:rsidRDefault="0077542B">
            <w:pPr>
              <w:jc w:val="left"/>
            </w:pPr>
            <w:r>
              <w:rPr>
                <w:sz w:val="24"/>
              </w:rPr>
              <w:t>过去六个月</w:t>
            </w:r>
          </w:p>
        </w:tc>
        <w:tc>
          <w:tcPr>
            <w:tcW w:w="1233" w:type="dxa"/>
            <w:vAlign w:val="center"/>
          </w:tcPr>
          <w:p w:rsidR="00DA6A53" w:rsidRDefault="0077542B">
            <w:pPr>
              <w:jc w:val="center"/>
            </w:pPr>
            <w:r>
              <w:rPr>
                <w:sz w:val="24"/>
              </w:rPr>
              <w:t>2.1522%</w:t>
            </w:r>
          </w:p>
        </w:tc>
        <w:tc>
          <w:tcPr>
            <w:tcW w:w="1233" w:type="dxa"/>
            <w:vAlign w:val="center"/>
          </w:tcPr>
          <w:p w:rsidR="00DA6A53" w:rsidRDefault="0077542B">
            <w:pPr>
              <w:jc w:val="center"/>
            </w:pPr>
            <w:r>
              <w:rPr>
                <w:sz w:val="24"/>
              </w:rPr>
              <w:t>0.0021%</w:t>
            </w:r>
          </w:p>
        </w:tc>
        <w:tc>
          <w:tcPr>
            <w:tcW w:w="1233" w:type="dxa"/>
            <w:vAlign w:val="center"/>
          </w:tcPr>
          <w:p w:rsidR="00DA6A53" w:rsidRDefault="0077542B">
            <w:pPr>
              <w:jc w:val="center"/>
            </w:pPr>
            <w:r>
              <w:rPr>
                <w:sz w:val="24"/>
              </w:rPr>
              <w:t>0.1736%</w:t>
            </w:r>
          </w:p>
        </w:tc>
        <w:tc>
          <w:tcPr>
            <w:tcW w:w="1233" w:type="dxa"/>
            <w:vAlign w:val="center"/>
          </w:tcPr>
          <w:p w:rsidR="00DA6A53" w:rsidRDefault="0077542B">
            <w:pPr>
              <w:jc w:val="center"/>
            </w:pPr>
            <w:r>
              <w:rPr>
                <w:sz w:val="24"/>
              </w:rPr>
              <w:t>0.0000%</w:t>
            </w:r>
          </w:p>
        </w:tc>
        <w:tc>
          <w:tcPr>
            <w:tcW w:w="1233" w:type="dxa"/>
            <w:vAlign w:val="center"/>
          </w:tcPr>
          <w:p w:rsidR="00DA6A53" w:rsidRDefault="0077542B">
            <w:pPr>
              <w:jc w:val="center"/>
            </w:pPr>
            <w:r>
              <w:rPr>
                <w:sz w:val="24"/>
              </w:rPr>
              <w:t>1.9786%</w:t>
            </w:r>
          </w:p>
        </w:tc>
        <w:tc>
          <w:tcPr>
            <w:tcW w:w="1233" w:type="dxa"/>
            <w:vAlign w:val="center"/>
          </w:tcPr>
          <w:p w:rsidR="00DA6A53" w:rsidRDefault="0077542B">
            <w:pPr>
              <w:jc w:val="center"/>
            </w:pPr>
            <w:r>
              <w:rPr>
                <w:sz w:val="24"/>
              </w:rPr>
              <w:t>0.0021%</w:t>
            </w:r>
          </w:p>
        </w:tc>
      </w:tr>
      <w:tr w:rsidR="00DA6A53">
        <w:tc>
          <w:tcPr>
            <w:tcW w:w="1600" w:type="dxa"/>
            <w:vAlign w:val="center"/>
          </w:tcPr>
          <w:p w:rsidR="00DA6A53" w:rsidRDefault="0077542B">
            <w:pPr>
              <w:jc w:val="left"/>
            </w:pPr>
            <w:r>
              <w:rPr>
                <w:sz w:val="24"/>
              </w:rPr>
              <w:t>过去一年</w:t>
            </w:r>
          </w:p>
        </w:tc>
        <w:tc>
          <w:tcPr>
            <w:tcW w:w="1233" w:type="dxa"/>
            <w:vAlign w:val="center"/>
          </w:tcPr>
          <w:p w:rsidR="00DA6A53" w:rsidRDefault="0077542B">
            <w:pPr>
              <w:jc w:val="center"/>
            </w:pPr>
            <w:r>
              <w:rPr>
                <w:sz w:val="24"/>
              </w:rPr>
              <w:t>4.3105%</w:t>
            </w:r>
          </w:p>
        </w:tc>
        <w:tc>
          <w:tcPr>
            <w:tcW w:w="1233" w:type="dxa"/>
            <w:vAlign w:val="center"/>
          </w:tcPr>
          <w:p w:rsidR="00DA6A53" w:rsidRDefault="0077542B">
            <w:pPr>
              <w:jc w:val="center"/>
            </w:pPr>
            <w:r>
              <w:rPr>
                <w:sz w:val="24"/>
              </w:rPr>
              <w:t>0.0015%</w:t>
            </w:r>
          </w:p>
        </w:tc>
        <w:tc>
          <w:tcPr>
            <w:tcW w:w="1233" w:type="dxa"/>
            <w:vAlign w:val="center"/>
          </w:tcPr>
          <w:p w:rsidR="00DA6A53" w:rsidRDefault="0077542B">
            <w:pPr>
              <w:jc w:val="center"/>
            </w:pPr>
            <w:r>
              <w:rPr>
                <w:sz w:val="24"/>
              </w:rPr>
              <w:t>0.3500%</w:t>
            </w:r>
          </w:p>
        </w:tc>
        <w:tc>
          <w:tcPr>
            <w:tcW w:w="1233" w:type="dxa"/>
            <w:vAlign w:val="center"/>
          </w:tcPr>
          <w:p w:rsidR="00DA6A53" w:rsidRDefault="0077542B">
            <w:pPr>
              <w:jc w:val="center"/>
            </w:pPr>
            <w:r>
              <w:rPr>
                <w:sz w:val="24"/>
              </w:rPr>
              <w:t>0.0000%</w:t>
            </w:r>
          </w:p>
        </w:tc>
        <w:tc>
          <w:tcPr>
            <w:tcW w:w="1233" w:type="dxa"/>
            <w:vAlign w:val="center"/>
          </w:tcPr>
          <w:p w:rsidR="00DA6A53" w:rsidRDefault="0077542B">
            <w:pPr>
              <w:jc w:val="center"/>
            </w:pPr>
            <w:r>
              <w:rPr>
                <w:sz w:val="24"/>
              </w:rPr>
              <w:t>3.9605%</w:t>
            </w:r>
          </w:p>
        </w:tc>
        <w:tc>
          <w:tcPr>
            <w:tcW w:w="1233" w:type="dxa"/>
            <w:vAlign w:val="center"/>
          </w:tcPr>
          <w:p w:rsidR="00DA6A53" w:rsidRDefault="0077542B">
            <w:pPr>
              <w:jc w:val="center"/>
            </w:pPr>
            <w:r>
              <w:rPr>
                <w:sz w:val="24"/>
              </w:rPr>
              <w:t>0.0015%</w:t>
            </w:r>
          </w:p>
        </w:tc>
      </w:tr>
      <w:tr w:rsidR="00DA6A53">
        <w:tc>
          <w:tcPr>
            <w:tcW w:w="1600" w:type="dxa"/>
            <w:vAlign w:val="center"/>
          </w:tcPr>
          <w:p w:rsidR="00DA6A53" w:rsidRDefault="0077542B">
            <w:pPr>
              <w:jc w:val="left"/>
            </w:pPr>
            <w:r>
              <w:rPr>
                <w:sz w:val="24"/>
              </w:rPr>
              <w:t>自基金合同生效起至今</w:t>
            </w:r>
          </w:p>
        </w:tc>
        <w:tc>
          <w:tcPr>
            <w:tcW w:w="1233" w:type="dxa"/>
            <w:vAlign w:val="center"/>
          </w:tcPr>
          <w:p w:rsidR="00DA6A53" w:rsidRDefault="0077542B">
            <w:pPr>
              <w:jc w:val="center"/>
            </w:pPr>
            <w:r>
              <w:rPr>
                <w:sz w:val="24"/>
              </w:rPr>
              <w:t>6.8332%</w:t>
            </w:r>
          </w:p>
        </w:tc>
        <w:tc>
          <w:tcPr>
            <w:tcW w:w="1233" w:type="dxa"/>
            <w:vAlign w:val="center"/>
          </w:tcPr>
          <w:p w:rsidR="00DA6A53" w:rsidRDefault="0077542B">
            <w:pPr>
              <w:jc w:val="center"/>
            </w:pPr>
            <w:r>
              <w:rPr>
                <w:sz w:val="24"/>
              </w:rPr>
              <w:t>0.0019%</w:t>
            </w:r>
          </w:p>
        </w:tc>
        <w:tc>
          <w:tcPr>
            <w:tcW w:w="1233" w:type="dxa"/>
            <w:vAlign w:val="center"/>
          </w:tcPr>
          <w:p w:rsidR="00DA6A53" w:rsidRDefault="0077542B">
            <w:pPr>
              <w:jc w:val="center"/>
            </w:pPr>
            <w:r>
              <w:rPr>
                <w:sz w:val="24"/>
              </w:rPr>
              <w:t>0.5945%</w:t>
            </w:r>
          </w:p>
        </w:tc>
        <w:tc>
          <w:tcPr>
            <w:tcW w:w="1233" w:type="dxa"/>
            <w:vAlign w:val="center"/>
          </w:tcPr>
          <w:p w:rsidR="00DA6A53" w:rsidRDefault="0077542B">
            <w:pPr>
              <w:jc w:val="center"/>
            </w:pPr>
            <w:r>
              <w:rPr>
                <w:sz w:val="24"/>
              </w:rPr>
              <w:t>0.0000%</w:t>
            </w:r>
          </w:p>
        </w:tc>
        <w:tc>
          <w:tcPr>
            <w:tcW w:w="1233" w:type="dxa"/>
            <w:vAlign w:val="center"/>
          </w:tcPr>
          <w:p w:rsidR="00DA6A53" w:rsidRDefault="0077542B">
            <w:pPr>
              <w:jc w:val="center"/>
            </w:pPr>
            <w:r>
              <w:rPr>
                <w:sz w:val="24"/>
              </w:rPr>
              <w:t>6.2387%</w:t>
            </w:r>
          </w:p>
        </w:tc>
        <w:tc>
          <w:tcPr>
            <w:tcW w:w="1233" w:type="dxa"/>
            <w:vAlign w:val="center"/>
          </w:tcPr>
          <w:p w:rsidR="00DA6A53" w:rsidRDefault="0077542B">
            <w:pPr>
              <w:jc w:val="center"/>
            </w:pPr>
            <w:r>
              <w:rPr>
                <w:sz w:val="24"/>
              </w:rPr>
              <w:t>0.0019%</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．交银天利宝货币</w:t>
      </w:r>
      <w:r w:rsidRPr="0061644B">
        <w:rPr>
          <w:rFonts w:ascii="Times New Roman" w:hAnsi="Times New Roman"/>
          <w:b/>
          <w:color w:val="auto"/>
        </w:rPr>
        <w:t>E</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DA6A53">
        <w:tc>
          <w:tcPr>
            <w:tcW w:w="1600" w:type="dxa"/>
            <w:vAlign w:val="center"/>
          </w:tcPr>
          <w:p w:rsidR="00DA6A53" w:rsidRDefault="0077542B">
            <w:pPr>
              <w:jc w:val="left"/>
            </w:pPr>
            <w:r>
              <w:rPr>
                <w:sz w:val="24"/>
              </w:rPr>
              <w:t>过去一个月</w:t>
            </w:r>
          </w:p>
        </w:tc>
        <w:tc>
          <w:tcPr>
            <w:tcW w:w="1233" w:type="dxa"/>
            <w:vAlign w:val="center"/>
          </w:tcPr>
          <w:p w:rsidR="00DA6A53" w:rsidRDefault="0077542B">
            <w:pPr>
              <w:jc w:val="center"/>
            </w:pPr>
            <w:r>
              <w:rPr>
                <w:sz w:val="24"/>
              </w:rPr>
              <w:t>0.3614%</w:t>
            </w:r>
          </w:p>
        </w:tc>
        <w:tc>
          <w:tcPr>
            <w:tcW w:w="1233" w:type="dxa"/>
            <w:vAlign w:val="center"/>
          </w:tcPr>
          <w:p w:rsidR="00DA6A53" w:rsidRDefault="0077542B">
            <w:pPr>
              <w:jc w:val="center"/>
            </w:pPr>
            <w:r>
              <w:rPr>
                <w:sz w:val="24"/>
              </w:rPr>
              <w:t>0.0016%</w:t>
            </w:r>
          </w:p>
        </w:tc>
        <w:tc>
          <w:tcPr>
            <w:tcW w:w="1233" w:type="dxa"/>
            <w:vAlign w:val="center"/>
          </w:tcPr>
          <w:p w:rsidR="00DA6A53" w:rsidRDefault="0077542B">
            <w:pPr>
              <w:jc w:val="center"/>
            </w:pPr>
            <w:r>
              <w:rPr>
                <w:sz w:val="24"/>
              </w:rPr>
              <w:t>0.0288%</w:t>
            </w:r>
          </w:p>
        </w:tc>
        <w:tc>
          <w:tcPr>
            <w:tcW w:w="1233" w:type="dxa"/>
            <w:vAlign w:val="center"/>
          </w:tcPr>
          <w:p w:rsidR="00DA6A53" w:rsidRDefault="0077542B">
            <w:pPr>
              <w:jc w:val="center"/>
            </w:pPr>
            <w:r>
              <w:rPr>
                <w:sz w:val="24"/>
              </w:rPr>
              <w:t>0.0000%</w:t>
            </w:r>
          </w:p>
        </w:tc>
        <w:tc>
          <w:tcPr>
            <w:tcW w:w="1233" w:type="dxa"/>
            <w:vAlign w:val="center"/>
          </w:tcPr>
          <w:p w:rsidR="00DA6A53" w:rsidRDefault="0077542B">
            <w:pPr>
              <w:jc w:val="center"/>
            </w:pPr>
            <w:r>
              <w:rPr>
                <w:sz w:val="24"/>
              </w:rPr>
              <w:t>0.3326%</w:t>
            </w:r>
          </w:p>
        </w:tc>
        <w:tc>
          <w:tcPr>
            <w:tcW w:w="1233" w:type="dxa"/>
            <w:vAlign w:val="center"/>
          </w:tcPr>
          <w:p w:rsidR="00DA6A53" w:rsidRDefault="0077542B">
            <w:pPr>
              <w:jc w:val="center"/>
            </w:pPr>
            <w:r>
              <w:rPr>
                <w:sz w:val="24"/>
              </w:rPr>
              <w:t>0.0016%</w:t>
            </w:r>
          </w:p>
        </w:tc>
      </w:tr>
      <w:tr w:rsidR="00DA6A53">
        <w:tc>
          <w:tcPr>
            <w:tcW w:w="1600" w:type="dxa"/>
            <w:vAlign w:val="center"/>
          </w:tcPr>
          <w:p w:rsidR="00DA6A53" w:rsidRDefault="0077542B">
            <w:pPr>
              <w:jc w:val="left"/>
            </w:pPr>
            <w:r>
              <w:rPr>
                <w:sz w:val="24"/>
              </w:rPr>
              <w:t>过去三个月</w:t>
            </w:r>
          </w:p>
        </w:tc>
        <w:tc>
          <w:tcPr>
            <w:tcW w:w="1233" w:type="dxa"/>
            <w:vAlign w:val="center"/>
          </w:tcPr>
          <w:p w:rsidR="00DA6A53" w:rsidRDefault="0077542B">
            <w:pPr>
              <w:jc w:val="center"/>
            </w:pPr>
            <w:r>
              <w:rPr>
                <w:sz w:val="24"/>
              </w:rPr>
              <w:t>1.1163%</w:t>
            </w:r>
          </w:p>
        </w:tc>
        <w:tc>
          <w:tcPr>
            <w:tcW w:w="1233" w:type="dxa"/>
            <w:vAlign w:val="center"/>
          </w:tcPr>
          <w:p w:rsidR="00DA6A53" w:rsidRDefault="0077542B">
            <w:pPr>
              <w:jc w:val="center"/>
            </w:pPr>
            <w:r>
              <w:rPr>
                <w:sz w:val="24"/>
              </w:rPr>
              <w:t>0.0025%</w:t>
            </w:r>
          </w:p>
        </w:tc>
        <w:tc>
          <w:tcPr>
            <w:tcW w:w="1233" w:type="dxa"/>
            <w:vAlign w:val="center"/>
          </w:tcPr>
          <w:p w:rsidR="00DA6A53" w:rsidRDefault="0077542B">
            <w:pPr>
              <w:jc w:val="center"/>
            </w:pPr>
            <w:r>
              <w:rPr>
                <w:sz w:val="24"/>
              </w:rPr>
              <w:t>0.0873%</w:t>
            </w:r>
          </w:p>
        </w:tc>
        <w:tc>
          <w:tcPr>
            <w:tcW w:w="1233" w:type="dxa"/>
            <w:vAlign w:val="center"/>
          </w:tcPr>
          <w:p w:rsidR="00DA6A53" w:rsidRDefault="0077542B">
            <w:pPr>
              <w:jc w:val="center"/>
            </w:pPr>
            <w:r>
              <w:rPr>
                <w:sz w:val="24"/>
              </w:rPr>
              <w:t>0.0000%</w:t>
            </w:r>
          </w:p>
        </w:tc>
        <w:tc>
          <w:tcPr>
            <w:tcW w:w="1233" w:type="dxa"/>
            <w:vAlign w:val="center"/>
          </w:tcPr>
          <w:p w:rsidR="00DA6A53" w:rsidRDefault="0077542B">
            <w:pPr>
              <w:jc w:val="center"/>
            </w:pPr>
            <w:r>
              <w:rPr>
                <w:sz w:val="24"/>
              </w:rPr>
              <w:t>1.0290%</w:t>
            </w:r>
          </w:p>
        </w:tc>
        <w:tc>
          <w:tcPr>
            <w:tcW w:w="1233" w:type="dxa"/>
            <w:vAlign w:val="center"/>
          </w:tcPr>
          <w:p w:rsidR="00DA6A53" w:rsidRDefault="0077542B">
            <w:pPr>
              <w:jc w:val="center"/>
            </w:pPr>
            <w:r>
              <w:rPr>
                <w:sz w:val="24"/>
              </w:rPr>
              <w:t>0.0025%</w:t>
            </w:r>
          </w:p>
        </w:tc>
      </w:tr>
      <w:tr w:rsidR="00DA6A53">
        <w:tc>
          <w:tcPr>
            <w:tcW w:w="1600" w:type="dxa"/>
            <w:vAlign w:val="center"/>
          </w:tcPr>
          <w:p w:rsidR="00DA6A53" w:rsidRDefault="0077542B">
            <w:pPr>
              <w:jc w:val="left"/>
            </w:pPr>
            <w:r>
              <w:rPr>
                <w:sz w:val="24"/>
              </w:rPr>
              <w:t>过去六个月</w:t>
            </w:r>
          </w:p>
        </w:tc>
        <w:tc>
          <w:tcPr>
            <w:tcW w:w="1233" w:type="dxa"/>
            <w:vAlign w:val="center"/>
          </w:tcPr>
          <w:p w:rsidR="00DA6A53" w:rsidRDefault="0077542B">
            <w:pPr>
              <w:jc w:val="center"/>
            </w:pPr>
            <w:r>
              <w:rPr>
                <w:sz w:val="24"/>
              </w:rPr>
              <w:t>2.2729%</w:t>
            </w:r>
          </w:p>
        </w:tc>
        <w:tc>
          <w:tcPr>
            <w:tcW w:w="1233" w:type="dxa"/>
            <w:vAlign w:val="center"/>
          </w:tcPr>
          <w:p w:rsidR="00DA6A53" w:rsidRDefault="0077542B">
            <w:pPr>
              <w:jc w:val="center"/>
            </w:pPr>
            <w:r>
              <w:rPr>
                <w:sz w:val="24"/>
              </w:rPr>
              <w:t>0.0021%</w:t>
            </w:r>
          </w:p>
        </w:tc>
        <w:tc>
          <w:tcPr>
            <w:tcW w:w="1233" w:type="dxa"/>
            <w:vAlign w:val="center"/>
          </w:tcPr>
          <w:p w:rsidR="00DA6A53" w:rsidRDefault="0077542B">
            <w:pPr>
              <w:jc w:val="center"/>
            </w:pPr>
            <w:r>
              <w:rPr>
                <w:sz w:val="24"/>
              </w:rPr>
              <w:t>0.1736%</w:t>
            </w:r>
          </w:p>
        </w:tc>
        <w:tc>
          <w:tcPr>
            <w:tcW w:w="1233" w:type="dxa"/>
            <w:vAlign w:val="center"/>
          </w:tcPr>
          <w:p w:rsidR="00DA6A53" w:rsidRDefault="0077542B">
            <w:pPr>
              <w:jc w:val="center"/>
            </w:pPr>
            <w:r>
              <w:rPr>
                <w:sz w:val="24"/>
              </w:rPr>
              <w:t>0.0000%</w:t>
            </w:r>
          </w:p>
        </w:tc>
        <w:tc>
          <w:tcPr>
            <w:tcW w:w="1233" w:type="dxa"/>
            <w:vAlign w:val="center"/>
          </w:tcPr>
          <w:p w:rsidR="00DA6A53" w:rsidRDefault="0077542B">
            <w:pPr>
              <w:jc w:val="center"/>
            </w:pPr>
            <w:r>
              <w:rPr>
                <w:sz w:val="24"/>
              </w:rPr>
              <w:t>2.0993%</w:t>
            </w:r>
          </w:p>
        </w:tc>
        <w:tc>
          <w:tcPr>
            <w:tcW w:w="1233" w:type="dxa"/>
            <w:vAlign w:val="center"/>
          </w:tcPr>
          <w:p w:rsidR="00DA6A53" w:rsidRDefault="0077542B">
            <w:pPr>
              <w:jc w:val="center"/>
            </w:pPr>
            <w:r>
              <w:rPr>
                <w:sz w:val="24"/>
              </w:rPr>
              <w:t>0.0021%</w:t>
            </w:r>
          </w:p>
        </w:tc>
      </w:tr>
      <w:tr w:rsidR="00DA6A53">
        <w:tc>
          <w:tcPr>
            <w:tcW w:w="1600" w:type="dxa"/>
            <w:vAlign w:val="center"/>
          </w:tcPr>
          <w:p w:rsidR="00DA6A53" w:rsidRDefault="0077542B">
            <w:pPr>
              <w:jc w:val="left"/>
            </w:pPr>
            <w:r>
              <w:rPr>
                <w:sz w:val="24"/>
              </w:rPr>
              <w:t>过去一年</w:t>
            </w:r>
          </w:p>
        </w:tc>
        <w:tc>
          <w:tcPr>
            <w:tcW w:w="1233" w:type="dxa"/>
            <w:vAlign w:val="center"/>
          </w:tcPr>
          <w:p w:rsidR="00DA6A53" w:rsidRDefault="0077542B">
            <w:pPr>
              <w:jc w:val="center"/>
            </w:pPr>
            <w:r>
              <w:rPr>
                <w:sz w:val="24"/>
              </w:rPr>
              <w:t>4.5587%</w:t>
            </w:r>
          </w:p>
        </w:tc>
        <w:tc>
          <w:tcPr>
            <w:tcW w:w="1233" w:type="dxa"/>
            <w:vAlign w:val="center"/>
          </w:tcPr>
          <w:p w:rsidR="00DA6A53" w:rsidRDefault="0077542B">
            <w:pPr>
              <w:jc w:val="center"/>
            </w:pPr>
            <w:r>
              <w:rPr>
                <w:sz w:val="24"/>
              </w:rPr>
              <w:t>0.0015%</w:t>
            </w:r>
          </w:p>
        </w:tc>
        <w:tc>
          <w:tcPr>
            <w:tcW w:w="1233" w:type="dxa"/>
            <w:vAlign w:val="center"/>
          </w:tcPr>
          <w:p w:rsidR="00DA6A53" w:rsidRDefault="0077542B">
            <w:pPr>
              <w:jc w:val="center"/>
            </w:pPr>
            <w:r>
              <w:rPr>
                <w:sz w:val="24"/>
              </w:rPr>
              <w:t>0.3500%</w:t>
            </w:r>
          </w:p>
        </w:tc>
        <w:tc>
          <w:tcPr>
            <w:tcW w:w="1233" w:type="dxa"/>
            <w:vAlign w:val="center"/>
          </w:tcPr>
          <w:p w:rsidR="00DA6A53" w:rsidRDefault="0077542B">
            <w:pPr>
              <w:jc w:val="center"/>
            </w:pPr>
            <w:r>
              <w:rPr>
                <w:sz w:val="24"/>
              </w:rPr>
              <w:t>0.0000%</w:t>
            </w:r>
          </w:p>
        </w:tc>
        <w:tc>
          <w:tcPr>
            <w:tcW w:w="1233" w:type="dxa"/>
            <w:vAlign w:val="center"/>
          </w:tcPr>
          <w:p w:rsidR="00DA6A53" w:rsidRDefault="0077542B">
            <w:pPr>
              <w:jc w:val="center"/>
            </w:pPr>
            <w:r>
              <w:rPr>
                <w:sz w:val="24"/>
              </w:rPr>
              <w:t>4.2087%</w:t>
            </w:r>
          </w:p>
        </w:tc>
        <w:tc>
          <w:tcPr>
            <w:tcW w:w="1233" w:type="dxa"/>
            <w:vAlign w:val="center"/>
          </w:tcPr>
          <w:p w:rsidR="00DA6A53" w:rsidRDefault="0077542B">
            <w:pPr>
              <w:jc w:val="center"/>
            </w:pPr>
            <w:r>
              <w:rPr>
                <w:sz w:val="24"/>
              </w:rPr>
              <w:t>0.0015%</w:t>
            </w:r>
          </w:p>
        </w:tc>
      </w:tr>
      <w:tr w:rsidR="00DA6A53">
        <w:tc>
          <w:tcPr>
            <w:tcW w:w="1600" w:type="dxa"/>
            <w:vAlign w:val="center"/>
          </w:tcPr>
          <w:p w:rsidR="00DA6A53" w:rsidRDefault="0077542B">
            <w:pPr>
              <w:jc w:val="left"/>
            </w:pPr>
            <w:r>
              <w:rPr>
                <w:sz w:val="24"/>
              </w:rPr>
              <w:t>自基金合同生效起至今</w:t>
            </w:r>
          </w:p>
        </w:tc>
        <w:tc>
          <w:tcPr>
            <w:tcW w:w="1233" w:type="dxa"/>
            <w:vAlign w:val="center"/>
          </w:tcPr>
          <w:p w:rsidR="00DA6A53" w:rsidRDefault="0077542B">
            <w:pPr>
              <w:jc w:val="center"/>
            </w:pPr>
            <w:r>
              <w:rPr>
                <w:sz w:val="24"/>
              </w:rPr>
              <w:t>7.2625%</w:t>
            </w:r>
          </w:p>
        </w:tc>
        <w:tc>
          <w:tcPr>
            <w:tcW w:w="1233" w:type="dxa"/>
            <w:vAlign w:val="center"/>
          </w:tcPr>
          <w:p w:rsidR="00DA6A53" w:rsidRDefault="0077542B">
            <w:pPr>
              <w:jc w:val="center"/>
            </w:pPr>
            <w:r>
              <w:rPr>
                <w:sz w:val="24"/>
              </w:rPr>
              <w:t>0.0019%</w:t>
            </w:r>
          </w:p>
        </w:tc>
        <w:tc>
          <w:tcPr>
            <w:tcW w:w="1233" w:type="dxa"/>
            <w:vAlign w:val="center"/>
          </w:tcPr>
          <w:p w:rsidR="00DA6A53" w:rsidRDefault="0077542B">
            <w:pPr>
              <w:jc w:val="center"/>
            </w:pPr>
            <w:r>
              <w:rPr>
                <w:sz w:val="24"/>
              </w:rPr>
              <w:t>0.5945%</w:t>
            </w:r>
          </w:p>
        </w:tc>
        <w:tc>
          <w:tcPr>
            <w:tcW w:w="1233" w:type="dxa"/>
            <w:vAlign w:val="center"/>
          </w:tcPr>
          <w:p w:rsidR="00DA6A53" w:rsidRDefault="0077542B">
            <w:pPr>
              <w:jc w:val="center"/>
            </w:pPr>
            <w:r>
              <w:rPr>
                <w:sz w:val="24"/>
              </w:rPr>
              <w:t>0.0000%</w:t>
            </w:r>
          </w:p>
        </w:tc>
        <w:tc>
          <w:tcPr>
            <w:tcW w:w="1233" w:type="dxa"/>
            <w:vAlign w:val="center"/>
          </w:tcPr>
          <w:p w:rsidR="00DA6A53" w:rsidRDefault="0077542B">
            <w:pPr>
              <w:jc w:val="center"/>
            </w:pPr>
            <w:r>
              <w:rPr>
                <w:sz w:val="24"/>
              </w:rPr>
              <w:t>6.6680%</w:t>
            </w:r>
          </w:p>
        </w:tc>
        <w:tc>
          <w:tcPr>
            <w:tcW w:w="1233" w:type="dxa"/>
            <w:vAlign w:val="center"/>
          </w:tcPr>
          <w:p w:rsidR="00DA6A53" w:rsidRDefault="0077542B">
            <w:pPr>
              <w:jc w:val="center"/>
            </w:pPr>
            <w:r>
              <w:rPr>
                <w:sz w:val="24"/>
              </w:rPr>
              <w:t>0.0019%</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交银施罗德天利宝货币市场基金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2016</w:t>
      </w:r>
      <w:r w:rsidR="00223DFB" w:rsidRPr="0061644B">
        <w:rPr>
          <w:sz w:val="24"/>
        </w:rPr>
        <w:t>年</w:t>
      </w:r>
      <w:r w:rsidR="00223DFB" w:rsidRPr="0061644B">
        <w:rPr>
          <w:sz w:val="24"/>
        </w:rPr>
        <w:t>10</w:t>
      </w:r>
      <w:r w:rsidR="00223DFB" w:rsidRPr="0061644B">
        <w:rPr>
          <w:sz w:val="24"/>
        </w:rPr>
        <w:t>月</w:t>
      </w:r>
      <w:r w:rsidR="00223DFB" w:rsidRPr="0061644B">
        <w:rPr>
          <w:sz w:val="24"/>
        </w:rPr>
        <w:t>19</w:t>
      </w:r>
      <w:r w:rsidR="00223DFB" w:rsidRPr="0061644B">
        <w:rPr>
          <w:sz w:val="24"/>
        </w:rPr>
        <w:t>日至</w:t>
      </w:r>
      <w:r w:rsidR="00223DFB" w:rsidRPr="0061644B">
        <w:rPr>
          <w:sz w:val="24"/>
        </w:rPr>
        <w:t>2018</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交银天利宝货币</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A6A53" w:rsidRDefault="0077542B">
      <w:pPr>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223DFB" w:rsidRPr="0061644B" w:rsidRDefault="00223DFB" w:rsidP="00792A69">
      <w:pPr>
        <w:spacing w:before="29" w:line="288" w:lineRule="auto"/>
        <w:jc w:val="left"/>
        <w:rPr>
          <w:kern w:val="0"/>
          <w:sz w:val="24"/>
        </w:rPr>
      </w:pP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交银天利宝货币</w:t>
      </w:r>
      <w:r w:rsidR="00223DFB" w:rsidRPr="0061644B">
        <w:rPr>
          <w:sz w:val="24"/>
        </w:rPr>
        <w:t>E</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A6A53" w:rsidRDefault="0077542B">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223DFB" w:rsidRPr="0061644B" w:rsidRDefault="00223DFB" w:rsidP="00792A69">
      <w:pPr>
        <w:tabs>
          <w:tab w:val="left" w:pos="426"/>
        </w:tabs>
        <w:spacing w:before="29" w:line="288" w:lineRule="auto"/>
        <w:jc w:val="left"/>
        <w:rPr>
          <w:kern w:val="0"/>
          <w:sz w:val="24"/>
        </w:rPr>
      </w:pP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DA6A53" w:rsidRDefault="0077542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DA6A53" w:rsidRDefault="0077542B">
      <w:pPr>
        <w:spacing w:before="29" w:line="288" w:lineRule="auto"/>
        <w:ind w:firstLineChars="200" w:firstLine="480"/>
        <w:rPr>
          <w:color w:val="000000"/>
          <w:sz w:val="24"/>
        </w:rPr>
      </w:pPr>
      <w:r>
        <w:rPr>
          <w:color w:val="000000"/>
          <w:sz w:val="24"/>
        </w:rPr>
        <w:t>截至报告期末，公司管理了包括货币型、债券型、保本混合型、普通混合型和股票型在内的</w:t>
      </w:r>
      <w:r>
        <w:rPr>
          <w:color w:val="000000"/>
          <w:sz w:val="24"/>
        </w:rPr>
        <w:t>81</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223DFB" w:rsidRPr="0061644B" w:rsidRDefault="00223DFB" w:rsidP="00792A69">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DA6A53">
        <w:tc>
          <w:tcPr>
            <w:tcW w:w="1032" w:type="dxa"/>
            <w:vAlign w:val="center"/>
          </w:tcPr>
          <w:p w:rsidR="00DA6A53" w:rsidRDefault="0077542B">
            <w:pPr>
              <w:jc w:val="center"/>
            </w:pPr>
            <w:r>
              <w:rPr>
                <w:sz w:val="24"/>
              </w:rPr>
              <w:t>黄莹洁</w:t>
            </w:r>
          </w:p>
        </w:tc>
        <w:tc>
          <w:tcPr>
            <w:tcW w:w="1019" w:type="dxa"/>
            <w:vAlign w:val="center"/>
          </w:tcPr>
          <w:p w:rsidR="00DA6A53" w:rsidRDefault="0077542B">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天债券、交银现金宝货币、交银丰享收益债券、交银裕通纯债债券、交银活期通货币、交银天利宝货币、交银裕隆纯债债券、交银天鑫宝货币、交银天益宝货币、交银境尚收益债券的基金经理</w:t>
            </w:r>
          </w:p>
          <w:p w:rsidR="00DA6A53" w:rsidRDefault="00DA6A53">
            <w:pPr>
              <w:jc w:val="center"/>
            </w:pPr>
          </w:p>
        </w:tc>
        <w:tc>
          <w:tcPr>
            <w:tcW w:w="1523" w:type="dxa"/>
            <w:vAlign w:val="center"/>
          </w:tcPr>
          <w:p w:rsidR="00DA6A53" w:rsidRDefault="0077542B">
            <w:pPr>
              <w:jc w:val="center"/>
            </w:pPr>
            <w:r>
              <w:rPr>
                <w:sz w:val="24"/>
              </w:rPr>
              <w:t>2016-10-19</w:t>
            </w:r>
          </w:p>
        </w:tc>
        <w:tc>
          <w:tcPr>
            <w:tcW w:w="1192" w:type="dxa"/>
            <w:vAlign w:val="center"/>
          </w:tcPr>
          <w:p w:rsidR="00DA6A53" w:rsidRDefault="0077542B">
            <w:pPr>
              <w:jc w:val="center"/>
            </w:pPr>
            <w:r>
              <w:rPr>
                <w:sz w:val="24"/>
              </w:rPr>
              <w:t>-</w:t>
            </w:r>
          </w:p>
        </w:tc>
        <w:tc>
          <w:tcPr>
            <w:tcW w:w="1192" w:type="dxa"/>
            <w:vAlign w:val="center"/>
          </w:tcPr>
          <w:p w:rsidR="00DA6A53" w:rsidRDefault="0077542B">
            <w:pPr>
              <w:jc w:val="center"/>
            </w:pPr>
            <w:r>
              <w:rPr>
                <w:sz w:val="24"/>
              </w:rPr>
              <w:t>10</w:t>
            </w:r>
            <w:r>
              <w:rPr>
                <w:sz w:val="24"/>
              </w:rPr>
              <w:t>年</w:t>
            </w:r>
          </w:p>
        </w:tc>
        <w:tc>
          <w:tcPr>
            <w:tcW w:w="3040" w:type="dxa"/>
            <w:vAlign w:val="center"/>
          </w:tcPr>
          <w:p w:rsidR="00DA6A53" w:rsidRDefault="0077542B">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p w:rsidR="00DA6A53" w:rsidRDefault="00DA6A53"/>
          <w:p w:rsidR="00DA6A53" w:rsidRDefault="00DA6A53"/>
        </w:tc>
      </w:tr>
      <w:tr w:rsidR="00DA6A53">
        <w:tc>
          <w:tcPr>
            <w:tcW w:w="1032" w:type="dxa"/>
            <w:vAlign w:val="center"/>
          </w:tcPr>
          <w:p w:rsidR="00DA6A53" w:rsidRDefault="0077542B">
            <w:pPr>
              <w:jc w:val="center"/>
            </w:pPr>
            <w:r>
              <w:rPr>
                <w:sz w:val="24"/>
              </w:rPr>
              <w:t>连端清</w:t>
            </w:r>
          </w:p>
        </w:tc>
        <w:tc>
          <w:tcPr>
            <w:tcW w:w="1019" w:type="dxa"/>
            <w:vAlign w:val="center"/>
          </w:tcPr>
          <w:p w:rsidR="00DA6A53" w:rsidRDefault="0077542B">
            <w:pPr>
              <w:jc w:val="center"/>
            </w:pPr>
            <w:r>
              <w:rPr>
                <w:sz w:val="24"/>
              </w:rPr>
              <w:t>交银货币、交银理财</w:t>
            </w:r>
            <w:r>
              <w:rPr>
                <w:sz w:val="24"/>
              </w:rPr>
              <w:t>60</w:t>
            </w:r>
            <w:r>
              <w:rPr>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p w:rsidR="00DA6A53" w:rsidRDefault="00DA6A53">
            <w:pPr>
              <w:jc w:val="center"/>
            </w:pPr>
          </w:p>
          <w:p w:rsidR="00DA6A53" w:rsidRDefault="00DA6A53">
            <w:pPr>
              <w:jc w:val="center"/>
            </w:pPr>
          </w:p>
        </w:tc>
        <w:tc>
          <w:tcPr>
            <w:tcW w:w="1523" w:type="dxa"/>
            <w:vAlign w:val="center"/>
          </w:tcPr>
          <w:p w:rsidR="00DA6A53" w:rsidRDefault="0077542B">
            <w:pPr>
              <w:jc w:val="center"/>
            </w:pPr>
            <w:r>
              <w:rPr>
                <w:sz w:val="24"/>
              </w:rPr>
              <w:t>2016-10-19</w:t>
            </w:r>
          </w:p>
        </w:tc>
        <w:tc>
          <w:tcPr>
            <w:tcW w:w="1192" w:type="dxa"/>
            <w:vAlign w:val="center"/>
          </w:tcPr>
          <w:p w:rsidR="00DA6A53" w:rsidRDefault="0077542B">
            <w:pPr>
              <w:jc w:val="center"/>
            </w:pPr>
            <w:r>
              <w:rPr>
                <w:sz w:val="24"/>
              </w:rPr>
              <w:t>-</w:t>
            </w:r>
          </w:p>
        </w:tc>
        <w:tc>
          <w:tcPr>
            <w:tcW w:w="1192" w:type="dxa"/>
            <w:vAlign w:val="center"/>
          </w:tcPr>
          <w:p w:rsidR="00DA6A53" w:rsidRDefault="0077542B">
            <w:pPr>
              <w:jc w:val="center"/>
            </w:pPr>
            <w:r>
              <w:rPr>
                <w:sz w:val="24"/>
              </w:rPr>
              <w:t>5</w:t>
            </w:r>
            <w:r>
              <w:rPr>
                <w:sz w:val="24"/>
              </w:rPr>
              <w:t>年</w:t>
            </w:r>
          </w:p>
        </w:tc>
        <w:tc>
          <w:tcPr>
            <w:tcW w:w="3040" w:type="dxa"/>
            <w:vAlign w:val="center"/>
          </w:tcPr>
          <w:p w:rsidR="00DA6A53" w:rsidRDefault="0077542B">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p w:rsidR="00DA6A53" w:rsidRDefault="00DA6A53"/>
        </w:tc>
      </w:tr>
      <w:tr w:rsidR="00DA6A53">
        <w:tc>
          <w:tcPr>
            <w:tcW w:w="1032" w:type="dxa"/>
            <w:vAlign w:val="center"/>
          </w:tcPr>
          <w:p w:rsidR="00DA6A53" w:rsidRDefault="0077542B">
            <w:pPr>
              <w:jc w:val="center"/>
            </w:pPr>
            <w:r>
              <w:rPr>
                <w:sz w:val="24"/>
              </w:rPr>
              <w:t>季参平</w:t>
            </w:r>
          </w:p>
        </w:tc>
        <w:tc>
          <w:tcPr>
            <w:tcW w:w="1019" w:type="dxa"/>
            <w:vAlign w:val="center"/>
          </w:tcPr>
          <w:p w:rsidR="00DA6A53" w:rsidRDefault="0077542B">
            <w:pPr>
              <w:jc w:val="center"/>
            </w:pPr>
            <w:r>
              <w:rPr>
                <w:sz w:val="24"/>
              </w:rPr>
              <w:t>交银货币、交银理财</w:t>
            </w:r>
            <w:r>
              <w:rPr>
                <w:sz w:val="24"/>
              </w:rPr>
              <w:t>21</w:t>
            </w:r>
            <w:r>
              <w:rPr>
                <w:sz w:val="24"/>
              </w:rPr>
              <w:t>天债券、交银理财</w:t>
            </w:r>
            <w:r>
              <w:rPr>
                <w:sz w:val="24"/>
              </w:rPr>
              <w:t>60</w:t>
            </w:r>
            <w:r>
              <w:rPr>
                <w:sz w:val="24"/>
              </w:rPr>
              <w:t>天债券、交银现金宝货币、交银卓越回报灵活配置混合、交银活期通货币、交银天利宝货币、交银裕隆纯债债券、交银天鑫宝货币、交银瑞鑫定期开放灵活配置混合、交银天益宝货币、交银瑞景定期开放灵活配置混合、交银瑞利定期开放灵活配置、交银天运宝货币的基金经理助理</w:t>
            </w:r>
          </w:p>
          <w:p w:rsidR="00DA6A53" w:rsidRDefault="00DA6A53">
            <w:pPr>
              <w:jc w:val="center"/>
            </w:pPr>
          </w:p>
        </w:tc>
        <w:tc>
          <w:tcPr>
            <w:tcW w:w="1523" w:type="dxa"/>
            <w:vAlign w:val="center"/>
          </w:tcPr>
          <w:p w:rsidR="00DA6A53" w:rsidRDefault="0077542B">
            <w:pPr>
              <w:jc w:val="center"/>
            </w:pPr>
            <w:r>
              <w:rPr>
                <w:sz w:val="24"/>
              </w:rPr>
              <w:t>2018-01-10</w:t>
            </w:r>
          </w:p>
        </w:tc>
        <w:tc>
          <w:tcPr>
            <w:tcW w:w="1192" w:type="dxa"/>
            <w:vAlign w:val="center"/>
          </w:tcPr>
          <w:p w:rsidR="00DA6A53" w:rsidRDefault="0077542B">
            <w:pPr>
              <w:jc w:val="center"/>
            </w:pPr>
            <w:r>
              <w:rPr>
                <w:sz w:val="24"/>
              </w:rPr>
              <w:t>-</w:t>
            </w:r>
          </w:p>
        </w:tc>
        <w:tc>
          <w:tcPr>
            <w:tcW w:w="1192" w:type="dxa"/>
            <w:vAlign w:val="center"/>
          </w:tcPr>
          <w:p w:rsidR="00DA6A53" w:rsidRDefault="0077542B">
            <w:pPr>
              <w:jc w:val="center"/>
            </w:pPr>
            <w:r>
              <w:rPr>
                <w:sz w:val="24"/>
              </w:rPr>
              <w:t>6</w:t>
            </w:r>
            <w:r>
              <w:rPr>
                <w:sz w:val="24"/>
              </w:rPr>
              <w:t>年</w:t>
            </w:r>
          </w:p>
        </w:tc>
        <w:tc>
          <w:tcPr>
            <w:tcW w:w="3040" w:type="dxa"/>
            <w:vAlign w:val="center"/>
          </w:tcPr>
          <w:p w:rsidR="00DA6A53" w:rsidRDefault="0077542B">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p>
          <w:p w:rsidR="00DA6A53" w:rsidRDefault="00DA6A53"/>
        </w:tc>
      </w:tr>
    </w:tbl>
    <w:p w:rsidR="00DA6A53" w:rsidRDefault="0077542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A6A53" w:rsidRDefault="0077542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DA6A53" w:rsidRDefault="0077542B">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223DFB" w:rsidRPr="0061644B" w:rsidRDefault="00223DFB" w:rsidP="00792A69">
      <w:pPr>
        <w:tabs>
          <w:tab w:val="left" w:pos="426"/>
        </w:tabs>
        <w:spacing w:before="29" w:line="288" w:lineRule="auto"/>
        <w:jc w:val="left"/>
        <w:rPr>
          <w:kern w:val="0"/>
          <w:sz w:val="24"/>
        </w:rPr>
      </w:pP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DA6A53" w:rsidRDefault="0077542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DA6A53" w:rsidRDefault="0077542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A6A53" w:rsidRDefault="0077542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A6A53" w:rsidRDefault="0077542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1644B">
        <w:rPr>
          <w:color w:val="000000"/>
          <w:sz w:val="24"/>
        </w:rPr>
        <w:t>5%</w:t>
      </w:r>
      <w:r w:rsidRPr="0061644B">
        <w:rPr>
          <w:color w:val="000000"/>
          <w:sz w:val="24"/>
        </w:rPr>
        <w:t>的情形，本基金与本公司管理的其他投资组合在不同时间窗下（如日内、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日内）同向交易的交易价差未出现异常。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DA6A53" w:rsidRDefault="0077542B">
      <w:pPr>
        <w:spacing w:before="29" w:line="288" w:lineRule="auto"/>
        <w:ind w:firstLineChars="200" w:firstLine="480"/>
        <w:rPr>
          <w:color w:val="000000"/>
          <w:sz w:val="24"/>
        </w:rPr>
      </w:pPr>
      <w:r>
        <w:rPr>
          <w:color w:val="000000"/>
          <w:sz w:val="24"/>
        </w:rPr>
        <w:t>本报告期内，经济增长及预期在内部监管政策从严执行和外部中美贸易战深化的双重影响下显著趋缓。</w:t>
      </w:r>
      <w:r>
        <w:rPr>
          <w:color w:val="000000"/>
          <w:sz w:val="24"/>
        </w:rPr>
        <w:t>PPP</w:t>
      </w:r>
      <w:r>
        <w:rPr>
          <w:color w:val="000000"/>
          <w:sz w:val="24"/>
        </w:rPr>
        <w:t>模式和房地产为主导的固定资产投资活动放缓，增速从二月份的</w:t>
      </w:r>
      <w:r>
        <w:rPr>
          <w:color w:val="000000"/>
          <w:sz w:val="24"/>
        </w:rPr>
        <w:t>7.9%</w:t>
      </w:r>
      <w:r>
        <w:rPr>
          <w:color w:val="000000"/>
          <w:sz w:val="24"/>
        </w:rPr>
        <w:t>回落至六月的</w:t>
      </w:r>
      <w:r>
        <w:rPr>
          <w:color w:val="000000"/>
          <w:sz w:val="24"/>
        </w:rPr>
        <w:t>6.0%</w:t>
      </w:r>
      <w:r>
        <w:rPr>
          <w:color w:val="000000"/>
          <w:sz w:val="24"/>
        </w:rPr>
        <w:t>。社会融资总量同比增速更是在六月份创出新低，表外融资在资管新规出台后基本停滞，金融信贷数据的走弱包含了市场对未来经济增长乏力的预期。然而中国经济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同期债券和货币市场收益率再次下行，其中经济增速放缓、央行超预期降准、狭义流动性边际宽松等因素成为收益率变动的主要原因。报告期内，三个月上海银行间拆借利率下行到</w:t>
      </w:r>
      <w:r>
        <w:rPr>
          <w:color w:val="000000"/>
          <w:sz w:val="24"/>
        </w:rPr>
        <w:t>4.16%</w:t>
      </w:r>
      <w:r>
        <w:rPr>
          <w:color w:val="000000"/>
          <w:sz w:val="24"/>
        </w:rPr>
        <w:t>。</w:t>
      </w:r>
    </w:p>
    <w:p w:rsidR="00DA6A53" w:rsidRDefault="0077542B">
      <w:pPr>
        <w:spacing w:before="29" w:line="288" w:lineRule="auto"/>
        <w:ind w:firstLineChars="200" w:firstLine="480"/>
        <w:rPr>
          <w:color w:val="000000"/>
          <w:sz w:val="24"/>
        </w:rPr>
      </w:pPr>
      <w:r>
        <w:rPr>
          <w:color w:val="000000"/>
          <w:sz w:val="24"/>
        </w:rPr>
        <w:t>基金操作方面，我们仍旧维持低杠杆、短久期的操作思路，多投资于估值波动较小的银行存款、同业存单与回购等，组合整体流动性良好。六月末我们视组合流动性情况适当拉长久期和杠杆，增配了部分高评级的同业存单、短期融资券等资产，提高了组合收益。</w:t>
      </w:r>
    </w:p>
    <w:p w:rsidR="00223DFB" w:rsidRPr="0061644B" w:rsidRDefault="00223DFB" w:rsidP="00792A69">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本基金（各类）份额净值及业绩表现请见</w:t>
      </w:r>
      <w:r w:rsidRPr="0061644B">
        <w:rPr>
          <w:color w:val="000000"/>
          <w:sz w:val="24"/>
        </w:rPr>
        <w:t xml:space="preserve">“3.1 </w:t>
      </w:r>
      <w:r w:rsidRPr="0061644B">
        <w:rPr>
          <w:color w:val="000000"/>
          <w:sz w:val="24"/>
        </w:rPr>
        <w:t>主要财务指标</w:t>
      </w:r>
      <w:r w:rsidRPr="0061644B">
        <w:rPr>
          <w:color w:val="000000"/>
          <w:sz w:val="24"/>
        </w:rPr>
        <w:t xml:space="preserve">” </w:t>
      </w:r>
      <w:r w:rsidRPr="0061644B">
        <w:rPr>
          <w:color w:val="000000"/>
          <w:sz w:val="24"/>
        </w:rPr>
        <w:t>及</w:t>
      </w:r>
      <w:r w:rsidRPr="0061644B">
        <w:rPr>
          <w:color w:val="000000"/>
          <w:sz w:val="24"/>
        </w:rPr>
        <w:t>“3.2.1</w:t>
      </w:r>
      <w:r w:rsidRPr="0061644B">
        <w:rPr>
          <w:color w:val="000000"/>
          <w:sz w:val="24"/>
        </w:rPr>
        <w:t>本报告期基金份额净值增长率及其与同期业绩比较基准收益率的比较</w:t>
      </w:r>
      <w:r w:rsidRPr="0061644B">
        <w:rPr>
          <w:color w:val="000000"/>
          <w:sz w:val="24"/>
        </w:rPr>
        <w:t>”</w:t>
      </w:r>
      <w:r w:rsidRPr="0061644B">
        <w:rPr>
          <w:color w:val="000000"/>
          <w:sz w:val="24"/>
        </w:rPr>
        <w:t>部分披露。</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w:t>
      </w:r>
      <w:r w:rsidRPr="0061644B">
        <w:rPr>
          <w:color w:val="000000"/>
          <w:sz w:val="24"/>
        </w:rPr>
        <w:t>2018</w:t>
      </w:r>
      <w:r w:rsidRPr="0061644B">
        <w:rPr>
          <w:color w:val="000000"/>
          <w:sz w:val="24"/>
        </w:rPr>
        <w:t>年下半年，我们将继续观察资管新规对货币市场供需格局的影响，密切关注银行理财监管政策的演变，以及下半年同业存单的发行情况。我们预计去杠杆的政策思路仍将延续，货币政策可能会延续结构性宽松的状态。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DA6A53" w:rsidRDefault="0077542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A6A53" w:rsidRDefault="0077542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A6A53" w:rsidRDefault="0077542B">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spacing w:before="29" w:line="288" w:lineRule="auto"/>
        <w:ind w:firstLineChars="200" w:firstLine="480"/>
        <w:rPr>
          <w:color w:val="000000"/>
          <w:sz w:val="24"/>
        </w:rPr>
      </w:pP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遵照法律法规及基金合同的约定，本基金每日分配收益，按日结转份额。本基金本报告期内利润分配情况参见</w:t>
      </w:r>
      <w:r w:rsidRPr="0061644B">
        <w:rPr>
          <w:color w:val="000000"/>
          <w:sz w:val="24"/>
        </w:rPr>
        <w:t>6.4.</w:t>
      </w:r>
      <w:r w:rsidR="00707B07">
        <w:rPr>
          <w:color w:val="000000"/>
          <w:sz w:val="24"/>
        </w:rPr>
        <w:t>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w:t>
      </w:r>
      <w:bookmarkStart w:id="7" w:name="_GoBack"/>
      <w:bookmarkEnd w:id="7"/>
      <w:r w:rsidRPr="004D7B20">
        <w:rPr>
          <w:rFonts w:ascii="Times New Roman" w:hAnsi="Times New Roman" w:hint="eastAsia"/>
          <w:kern w:val="0"/>
          <w:szCs w:val="24"/>
        </w:rPr>
        <w:t>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作为本基金的托管人，中信银行严格遵守了《证券投资基金法》及其他有关法律法规、基金合同和托管协议的规定，对交银施罗德天利宝货币市场基金</w:t>
      </w:r>
      <w:r w:rsidRPr="0061644B">
        <w:rPr>
          <w:color w:val="000000"/>
          <w:sz w:val="24"/>
        </w:rPr>
        <w:t>2018</w:t>
      </w:r>
      <w:r w:rsidRPr="0061644B">
        <w:rPr>
          <w:color w:val="000000"/>
          <w:sz w:val="24"/>
        </w:rPr>
        <w:t>年上半年的投资运作，进行了认真、独立的会计核算和必要的投资监督，履行了托管人的义务，不存在任何损害基金份额持有人利益的行为。</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托管人认为，交银施罗德基金管理有限公司在交银施罗德天利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DA6A53" w:rsidRDefault="0077542B">
      <w:pPr>
        <w:spacing w:before="29" w:line="288" w:lineRule="auto"/>
        <w:ind w:firstLineChars="200" w:firstLine="480"/>
        <w:rPr>
          <w:color w:val="000000"/>
          <w:sz w:val="24"/>
        </w:rPr>
      </w:pPr>
      <w:r>
        <w:rPr>
          <w:color w:val="000000"/>
          <w:sz w:val="24"/>
        </w:rPr>
        <w:t>本托管人认为，交银施罗德基金管理有限公司的信息披露事务符合《证券投资基金信息披露管理办法》及其他相关法律法规的规定，基金管理人所编制和披露的交银施罗德天利宝货币市场基金半年度报告中的财务指标、净值表现、收益分配情况、财务会计报告、投资组合报告等信息真实、准确、完整，未发现有损害基金持有人利益的行为。</w:t>
      </w:r>
    </w:p>
    <w:p w:rsidR="00DA6A53" w:rsidRDefault="00DA6A53">
      <w:pPr>
        <w:spacing w:before="29" w:line="288" w:lineRule="auto"/>
        <w:ind w:firstLineChars="200" w:firstLine="480"/>
        <w:rPr>
          <w:color w:val="000000"/>
          <w:sz w:val="24"/>
        </w:rPr>
      </w:pPr>
    </w:p>
    <w:p w:rsidR="00223DFB" w:rsidRDefault="00223DFB" w:rsidP="00792A69">
      <w:pPr>
        <w:spacing w:before="29" w:line="288" w:lineRule="auto"/>
        <w:ind w:firstLineChars="200" w:firstLine="480"/>
        <w:rPr>
          <w:color w:val="000000"/>
          <w:sz w:val="24"/>
        </w:rPr>
      </w:pPr>
    </w:p>
    <w:p w:rsidR="009064D7" w:rsidRPr="0061644B" w:rsidRDefault="009064D7" w:rsidP="00792A69">
      <w:pPr>
        <w:spacing w:before="29" w:line="288" w:lineRule="auto"/>
        <w:ind w:firstLineChars="200" w:firstLine="480"/>
        <w:rPr>
          <w:color w:val="000000"/>
          <w:sz w:val="24"/>
        </w:rPr>
      </w:pPr>
    </w:p>
    <w:p w:rsidR="00223DFB" w:rsidRPr="0061644B" w:rsidRDefault="005A4B4C"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8" w:name="_Toc225498268"/>
      <w:bookmarkStart w:id="9"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8"/>
      <w:bookmarkEnd w:id="9"/>
    </w:p>
    <w:p w:rsidR="00633CCE" w:rsidRPr="0061644B" w:rsidRDefault="00633CCE" w:rsidP="00792A69">
      <w:pPr>
        <w:spacing w:before="29" w:line="288" w:lineRule="auto"/>
        <w:rPr>
          <w:color w:val="000000"/>
          <w:sz w:val="24"/>
        </w:rPr>
      </w:pPr>
      <w:r w:rsidRPr="0061644B">
        <w:rPr>
          <w:color w:val="000000"/>
          <w:sz w:val="24"/>
        </w:rPr>
        <w:t>会计主体：交银施罗德天利宝货币市场基金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2018</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587,587,115.92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753,570,511.01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18,181.82</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8,394.29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2,459.61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1,254,005,924.92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1,117,393,596.74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1,254,005,924.92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1,117,393,596.74</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469,346,344.02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637,927,200.00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7,779,410.84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11,065,790.07</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97,051.70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2,318,824,241.69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2,519,977,739.25</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2018</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379,118,089.32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125,929,758.63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258,072.64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491,447.64</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86,024.21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91,129.05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130,185.80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40,436.19</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57,502.00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44,959.39</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60,885.61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106,274.50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41,778.06</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232,939.95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317,693.36</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212,945.72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249,300.00</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380,262,919.75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127,206,502.32</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c>
          <w:tcPr>
            <w:tcW w:w="2479"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1,938,561,321.94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2,392,771,236.93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1,938,561,321.94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2,392,771,236.93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2,318,824,241.69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2,519,977,739.25</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1,938,561,321.94</w:t>
      </w:r>
      <w:r w:rsidRPr="0061644B">
        <w:rPr>
          <w:kern w:val="0"/>
          <w:sz w:val="24"/>
        </w:rPr>
        <w:t>份，其中</w:t>
      </w:r>
      <w:r w:rsidRPr="0061644B">
        <w:rPr>
          <w:kern w:val="0"/>
          <w:sz w:val="24"/>
        </w:rPr>
        <w:t>A</w:t>
      </w:r>
      <w:r w:rsidRPr="0061644B">
        <w:rPr>
          <w:kern w:val="0"/>
          <w:sz w:val="24"/>
        </w:rPr>
        <w:t>类基金份额总额</w:t>
      </w:r>
      <w:r w:rsidRPr="0061644B">
        <w:rPr>
          <w:kern w:val="0"/>
          <w:sz w:val="24"/>
        </w:rPr>
        <w:t>532,769,288.42</w:t>
      </w:r>
      <w:r w:rsidRPr="0061644B">
        <w:rPr>
          <w:kern w:val="0"/>
          <w:sz w:val="24"/>
        </w:rPr>
        <w:t>份，</w:t>
      </w:r>
      <w:r w:rsidRPr="0061644B">
        <w:rPr>
          <w:kern w:val="0"/>
          <w:sz w:val="24"/>
        </w:rPr>
        <w:t>E</w:t>
      </w:r>
      <w:r w:rsidRPr="0061644B">
        <w:rPr>
          <w:kern w:val="0"/>
          <w:sz w:val="24"/>
        </w:rPr>
        <w:t>类基金份额总额</w:t>
      </w:r>
      <w:r w:rsidRPr="0061644B">
        <w:rPr>
          <w:kern w:val="0"/>
          <w:sz w:val="24"/>
        </w:rPr>
        <w:t xml:space="preserve"> 1,405,792,033.52 </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10" w:name="_Toc225498269"/>
      <w:bookmarkStart w:id="11"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10"/>
      <w:bookmarkEnd w:id="11"/>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交银施罗德天利宝货币市场基金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B54CAD">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2018</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2018</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56,756,371.33</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27,040,087.10</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56,504,382.99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27,027,946.08</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21,787,760.79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17,614,648.92</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25,536,092.30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7,383,107.75</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9,180,529.90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2,030,189.41</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251,988.34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12,141.02</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251,988.34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12,141.02</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B54CAD">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7,285,495.70</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3,337,190.78</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1,648,759.65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1,773,143.68</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549,586.53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295,523.93</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462,341.09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76,733.04</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4,375,516.07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1,035,898.93</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4,375,516.07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1,035,898.93</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6.</w:t>
            </w:r>
            <w:r w:rsidRPr="00690ED2">
              <w:rPr>
                <w:rFonts w:eastAsiaTheme="minorEastAsia" w:hint="eastAsia"/>
                <w:color w:val="000000"/>
                <w:szCs w:val="21"/>
              </w:rPr>
              <w:t>税金及附加</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36,053.09</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7</w:t>
            </w:r>
            <w:r w:rsidRPr="00690ED2">
              <w:rPr>
                <w:rFonts w:eastAsiaTheme="minorEastAsia"/>
                <w:color w:val="000000"/>
                <w:szCs w:val="21"/>
              </w:rPr>
              <w:t>．其他费用</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r w:rsidRPr="00690ED2">
              <w:rPr>
                <w:rFonts w:ascii="Times New Roman" w:eastAsiaTheme="minorEastAsia" w:hAnsi="Times New Roman"/>
                <w:color w:val="000000"/>
                <w:sz w:val="21"/>
                <w:szCs w:val="21"/>
              </w:rPr>
              <w:t>6.4.7.15</w:t>
            </w: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213,239.27</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155,891.20</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49,470,875.63</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23,702,896.32</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sz w:val="24"/>
              </w:rPr>
              <w:t>减：所得税费用</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c>
          <w:tcPr>
            <w:tcW w:w="219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49,470,875.63</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23,702,896.32</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交银施罗德天利宝货币市场基金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2018</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2018</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2,392,771,236.93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2,392,771,236.93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49,470,875.63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49,470,875.63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-454,209,914.99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-454,209,914.99</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1,745,081,928.37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1,745,081,928.37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-2,199,291,843.36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-2,199,291,843.36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-49,470,875.63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-49,470,875.63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1,938,561,321.94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1,938,561,321.94</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2017</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2017</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505,555,805.03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505,555,805.03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23,702,896.32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23,702,896.32</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1,535,414,804.55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1,535,414,804.55</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1,584,223,996.69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1,584,223,996.69</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-48,809,192.14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-48,809,192.14</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-23,702,896.32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-23,702,896.32</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2,040,970,609.58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2,040,970,609.58</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2" w:name="_Toc331410100"/>
      <w:bookmarkStart w:id="13"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2"/>
      <w:bookmarkEnd w:id="13"/>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DA6A53" w:rsidRDefault="0077542B">
      <w:pPr>
        <w:spacing w:before="29" w:line="288" w:lineRule="auto"/>
        <w:ind w:firstLineChars="200" w:firstLine="480"/>
        <w:rPr>
          <w:color w:val="000000"/>
          <w:sz w:val="24"/>
        </w:rPr>
      </w:pPr>
      <w:r>
        <w:rPr>
          <w:color w:val="000000"/>
          <w:sz w:val="24"/>
        </w:rPr>
        <w:t>交银施罗德天利宝货币市场基金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[2016]1106</w:t>
      </w:r>
      <w:r>
        <w:rPr>
          <w:color w:val="000000"/>
          <w:sz w:val="24"/>
        </w:rPr>
        <w:t>号《关于准予交银施罗德天利宝货币市场基金注册的批复》核准，由交银施罗德基金管理有限公司依照《中华人民共和国证券投资基金法》和《交银施罗德天利宝货币市场基金基金合同》负责公开募集。本基金为契约型开放式，存续期限不定。首次设立募集不包括认购资金利息共募集人民币</w:t>
      </w:r>
      <w:r>
        <w:rPr>
          <w:color w:val="000000"/>
          <w:sz w:val="24"/>
        </w:rPr>
        <w:t>500,013,273.00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1270</w:t>
      </w:r>
      <w:r>
        <w:rPr>
          <w:color w:val="000000"/>
          <w:sz w:val="24"/>
        </w:rPr>
        <w:t>号验资报告予以验证。经向中国证监会备案，《交银施罗德天利宝货币市场基金基金合同》于</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日正式生效，基金合同生效日的基金份额总额为</w:t>
      </w:r>
      <w:r>
        <w:rPr>
          <w:color w:val="000000"/>
          <w:sz w:val="24"/>
        </w:rPr>
        <w:t>500,103,275.90</w:t>
      </w:r>
      <w:r>
        <w:rPr>
          <w:color w:val="000000"/>
          <w:sz w:val="24"/>
        </w:rPr>
        <w:t>份基金份额，其中认购资金利息折合</w:t>
      </w:r>
      <w:r>
        <w:rPr>
          <w:color w:val="000000"/>
          <w:sz w:val="24"/>
        </w:rPr>
        <w:t>90,002.90</w:t>
      </w:r>
      <w:r>
        <w:rPr>
          <w:color w:val="000000"/>
          <w:sz w:val="24"/>
        </w:rPr>
        <w:t>份基金份额。本基金的基金管理人为交银施罗德基金管理有限公司，基金托管人为中信银行股份有限公司。</w:t>
      </w:r>
    </w:p>
    <w:p w:rsidR="00DA6A53" w:rsidRDefault="0077542B">
      <w:pPr>
        <w:spacing w:before="29" w:line="288" w:lineRule="auto"/>
        <w:ind w:firstLineChars="200" w:firstLine="480"/>
        <w:rPr>
          <w:color w:val="000000"/>
          <w:sz w:val="24"/>
        </w:rPr>
      </w:pPr>
      <w:r>
        <w:rPr>
          <w:color w:val="000000"/>
          <w:sz w:val="24"/>
        </w:rPr>
        <w:t>根据《交银施罗德天利宝货币市场基金基金合同》和《交银施罗德天利宝货币市场基金招募说明书》的相关规定，本基金根据销售服务费收取方式的不同，将基金份额分为</w:t>
      </w:r>
      <w:r>
        <w:rPr>
          <w:color w:val="000000"/>
          <w:sz w:val="24"/>
        </w:rPr>
        <w:t>A</w:t>
      </w:r>
      <w:r>
        <w:rPr>
          <w:color w:val="000000"/>
          <w:sz w:val="24"/>
        </w:rPr>
        <w:t>类基金份额和</w:t>
      </w:r>
      <w:r>
        <w:rPr>
          <w:color w:val="000000"/>
          <w:sz w:val="24"/>
        </w:rPr>
        <w:t>E</w:t>
      </w:r>
      <w:r>
        <w:rPr>
          <w:color w:val="000000"/>
          <w:sz w:val="24"/>
        </w:rPr>
        <w:t>类基金份额。销售服务费率为</w:t>
      </w:r>
      <w:r>
        <w:rPr>
          <w:color w:val="000000"/>
          <w:sz w:val="24"/>
        </w:rPr>
        <w:t>0.25%</w:t>
      </w:r>
      <w:r>
        <w:rPr>
          <w:color w:val="000000"/>
          <w:sz w:val="24"/>
        </w:rPr>
        <w:t>的基金份额，称为</w:t>
      </w:r>
      <w:r>
        <w:rPr>
          <w:color w:val="000000"/>
          <w:sz w:val="24"/>
        </w:rPr>
        <w:t>A</w:t>
      </w:r>
      <w:r>
        <w:rPr>
          <w:color w:val="000000"/>
          <w:sz w:val="24"/>
        </w:rPr>
        <w:t>类基金份额；销售服务费率为</w:t>
      </w:r>
      <w:r>
        <w:rPr>
          <w:color w:val="000000"/>
          <w:sz w:val="24"/>
        </w:rPr>
        <w:t>0.01%</w:t>
      </w:r>
      <w:r>
        <w:rPr>
          <w:color w:val="000000"/>
          <w:sz w:val="24"/>
        </w:rPr>
        <w:t>基金份额，称为</w:t>
      </w:r>
      <w:r>
        <w:rPr>
          <w:color w:val="000000"/>
          <w:sz w:val="24"/>
        </w:rPr>
        <w:t>E</w:t>
      </w:r>
      <w:r>
        <w:rPr>
          <w:color w:val="00000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DA6A53" w:rsidRDefault="0077542B">
      <w:pPr>
        <w:spacing w:before="29" w:line="288" w:lineRule="auto"/>
        <w:ind w:firstLineChars="200" w:firstLine="480"/>
        <w:rPr>
          <w:color w:val="000000"/>
          <w:sz w:val="24"/>
        </w:rPr>
      </w:pPr>
      <w:r>
        <w:rPr>
          <w:color w:val="000000"/>
          <w:sz w:val="24"/>
        </w:rPr>
        <w:t>根据《中华人民共和国证券投资基金法》和《交银施罗德天利宝货币市场基金基金合同》的有关规定，本基金的投资范围为具有良好流动性的金融工具，包括现金，期限在</w:t>
      </w:r>
      <w:r>
        <w:rPr>
          <w:color w:val="000000"/>
          <w:sz w:val="24"/>
        </w:rPr>
        <w:t>1</w:t>
      </w:r>
      <w:r>
        <w:rPr>
          <w:color w:val="000000"/>
          <w:sz w:val="24"/>
        </w:rPr>
        <w:t>年以内</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的银行存款、债券回购、中央银行票据、同业存单，剩余期限在</w:t>
      </w:r>
      <w:r>
        <w:rPr>
          <w:color w:val="000000"/>
          <w:sz w:val="24"/>
        </w:rPr>
        <w:t>397</w:t>
      </w:r>
      <w:r>
        <w:rPr>
          <w:color w:val="000000"/>
          <w:sz w:val="24"/>
        </w:rPr>
        <w:t>天以内</w:t>
      </w:r>
      <w:r>
        <w:rPr>
          <w:color w:val="000000"/>
          <w:sz w:val="24"/>
        </w:rPr>
        <w:t>(</w:t>
      </w:r>
      <w:r>
        <w:rPr>
          <w:color w:val="000000"/>
          <w:sz w:val="24"/>
        </w:rPr>
        <w:t>含</w:t>
      </w:r>
      <w:r>
        <w:rPr>
          <w:color w:val="000000"/>
          <w:sz w:val="24"/>
        </w:rPr>
        <w:t>397</w:t>
      </w:r>
      <w:r>
        <w:rPr>
          <w:color w:val="000000"/>
          <w:sz w:val="24"/>
        </w:rPr>
        <w:t>天</w:t>
      </w:r>
      <w:r>
        <w:rPr>
          <w:color w:val="000000"/>
          <w:sz w:val="24"/>
        </w:rPr>
        <w:t>)</w:t>
      </w:r>
      <w:r>
        <w:rPr>
          <w:color w:val="00000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color w:val="000000"/>
          <w:sz w:val="24"/>
        </w:rPr>
        <w:t>(</w:t>
      </w:r>
      <w:r>
        <w:rPr>
          <w:color w:val="000000"/>
          <w:sz w:val="24"/>
        </w:rPr>
        <w:t>税后</w:t>
      </w:r>
      <w:r>
        <w:rPr>
          <w:color w:val="000000"/>
          <w:sz w:val="24"/>
        </w:rPr>
        <w:t>)</w:t>
      </w:r>
      <w:r>
        <w:rPr>
          <w:color w:val="000000"/>
          <w:sz w:val="24"/>
        </w:rPr>
        <w:t>。</w:t>
      </w:r>
    </w:p>
    <w:p w:rsidR="00223DFB" w:rsidRPr="0061644B" w:rsidRDefault="00223DFB" w:rsidP="00792A69">
      <w:pPr>
        <w:spacing w:before="29" w:line="288" w:lineRule="auto"/>
        <w:ind w:firstLineChars="200" w:firstLine="480"/>
        <w:rPr>
          <w:color w:val="000000"/>
          <w:sz w:val="24"/>
        </w:rPr>
      </w:pP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本基金的财务报表按照财政部于</w:t>
      </w:r>
      <w:r w:rsidRPr="0061644B">
        <w:rPr>
          <w:color w:val="000000"/>
          <w:sz w:val="24"/>
        </w:rPr>
        <w:t>2006</w:t>
      </w:r>
      <w:r w:rsidRPr="0061644B">
        <w:rPr>
          <w:color w:val="000000"/>
          <w:sz w:val="24"/>
        </w:rPr>
        <w:t>年</w:t>
      </w:r>
      <w:r w:rsidRPr="0061644B">
        <w:rPr>
          <w:color w:val="000000"/>
          <w:sz w:val="24"/>
        </w:rPr>
        <w:t>2</w:t>
      </w:r>
      <w:r w:rsidRPr="0061644B">
        <w:rPr>
          <w:color w:val="000000"/>
          <w:sz w:val="24"/>
        </w:rPr>
        <w:t>月</w:t>
      </w:r>
      <w:r w:rsidRPr="0061644B">
        <w:rPr>
          <w:color w:val="000000"/>
          <w:sz w:val="24"/>
        </w:rPr>
        <w:t>15</w:t>
      </w:r>
      <w:r w:rsidRPr="0061644B">
        <w:rPr>
          <w:color w:val="000000"/>
          <w:sz w:val="24"/>
        </w:rPr>
        <w:t>日及以后期间颁布的《企业会计准则－基本准则》、各项具体会计准则及相关规定</w:t>
      </w:r>
      <w:r w:rsidRPr="0061644B">
        <w:rPr>
          <w:color w:val="000000"/>
          <w:sz w:val="24"/>
        </w:rPr>
        <w:t>(</w:t>
      </w:r>
      <w:r w:rsidRPr="0061644B">
        <w:rPr>
          <w:color w:val="000000"/>
          <w:sz w:val="24"/>
        </w:rPr>
        <w:t>以下合称</w:t>
      </w:r>
      <w:r w:rsidRPr="0061644B">
        <w:rPr>
          <w:color w:val="000000"/>
          <w:sz w:val="24"/>
        </w:rPr>
        <w:t>“</w:t>
      </w:r>
      <w:r w:rsidRPr="0061644B">
        <w:rPr>
          <w:color w:val="000000"/>
          <w:sz w:val="24"/>
        </w:rPr>
        <w:t>企业会计准则</w:t>
      </w:r>
      <w:r w:rsidRPr="0061644B">
        <w:rPr>
          <w:color w:val="000000"/>
          <w:sz w:val="24"/>
        </w:rPr>
        <w:t>”)</w:t>
      </w:r>
      <w:r w:rsidRPr="0061644B">
        <w:rPr>
          <w:color w:val="000000"/>
          <w:sz w:val="24"/>
        </w:rPr>
        <w:t>、中国证监会颁布的《证券投资基金信息披露</w:t>
      </w:r>
      <w:r w:rsidRPr="0061644B">
        <w:rPr>
          <w:color w:val="000000"/>
          <w:sz w:val="24"/>
        </w:rPr>
        <w:t>XBRL</w:t>
      </w:r>
      <w:r w:rsidRPr="0061644B">
        <w:rPr>
          <w:color w:val="000000"/>
          <w:sz w:val="24"/>
        </w:rPr>
        <w:t>模板第</w:t>
      </w:r>
      <w:r w:rsidRPr="0061644B">
        <w:rPr>
          <w:color w:val="000000"/>
          <w:sz w:val="24"/>
        </w:rPr>
        <w:t>3</w:t>
      </w:r>
      <w:r w:rsidRPr="0061644B">
        <w:rPr>
          <w:color w:val="000000"/>
          <w:sz w:val="24"/>
        </w:rPr>
        <w:t>号</w:t>
      </w:r>
      <w:r w:rsidRPr="0061644B">
        <w:rPr>
          <w:color w:val="000000"/>
          <w:sz w:val="24"/>
        </w:rPr>
        <w:t>&lt;</w:t>
      </w:r>
      <w:r w:rsidRPr="0061644B">
        <w:rPr>
          <w:color w:val="000000"/>
          <w:sz w:val="24"/>
        </w:rPr>
        <w:t>年度报告和半年度报告</w:t>
      </w:r>
      <w:r w:rsidRPr="0061644B">
        <w:rPr>
          <w:color w:val="000000"/>
          <w:sz w:val="24"/>
        </w:rPr>
        <w:t>&gt;</w:t>
      </w:r>
      <w:r w:rsidRPr="0061644B">
        <w:rPr>
          <w:color w:val="000000"/>
          <w:sz w:val="24"/>
        </w:rPr>
        <w:t>》、中国证券投资基金业协会</w:t>
      </w:r>
      <w:r w:rsidRPr="0061644B">
        <w:rPr>
          <w:color w:val="000000"/>
          <w:sz w:val="24"/>
        </w:rPr>
        <w:t>(</w:t>
      </w:r>
      <w:r w:rsidRPr="0061644B">
        <w:rPr>
          <w:color w:val="000000"/>
          <w:sz w:val="24"/>
        </w:rPr>
        <w:t>以下简称</w:t>
      </w:r>
      <w:r w:rsidRPr="0061644B">
        <w:rPr>
          <w:color w:val="000000"/>
          <w:sz w:val="24"/>
        </w:rPr>
        <w:t>“</w:t>
      </w:r>
      <w:r w:rsidRPr="0061644B">
        <w:rPr>
          <w:color w:val="000000"/>
          <w:sz w:val="24"/>
        </w:rPr>
        <w:t>中国基金业协会</w:t>
      </w:r>
      <w:r w:rsidRPr="0061644B">
        <w:rPr>
          <w:color w:val="000000"/>
          <w:sz w:val="24"/>
        </w:rPr>
        <w:t>”)</w:t>
      </w:r>
      <w:r w:rsidRPr="0061644B">
        <w:rPr>
          <w:color w:val="000000"/>
          <w:sz w:val="24"/>
        </w:rPr>
        <w:t>颁布的《证券投资基金会计核算业务指引》、《</w:t>
      </w:r>
      <w:r w:rsidRPr="0061644B">
        <w:rPr>
          <w:color w:val="000000"/>
          <w:sz w:val="24"/>
        </w:rPr>
        <w:t xml:space="preserve"> </w:t>
      </w:r>
      <w:r w:rsidRPr="0061644B">
        <w:rPr>
          <w:color w:val="000000"/>
          <w:sz w:val="24"/>
        </w:rPr>
        <w:t>交银施罗德天利宝货币市场基金基金合同》和在财务报表附注</w:t>
      </w:r>
      <w:r w:rsidRPr="0061644B">
        <w:rPr>
          <w:color w:val="000000"/>
          <w:sz w:val="24"/>
        </w:rPr>
        <w:t>6.4.4</w:t>
      </w:r>
      <w:r w:rsidRPr="0061644B">
        <w:rPr>
          <w:color w:val="000000"/>
          <w:sz w:val="24"/>
        </w:rPr>
        <w:t>所列示的中国证监会、中国基金业协会发布的有关规定及允许的基金行业实务操作编制。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2018</w:t>
      </w:r>
      <w:r w:rsidRPr="0061644B">
        <w:rPr>
          <w:color w:val="000000"/>
          <w:sz w:val="24"/>
        </w:rPr>
        <w:t>年上半年度财务报表符合企业会计准则的要求，真实、完整地反映了本基金</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2018</w:t>
      </w:r>
      <w:r w:rsidRPr="0061644B">
        <w:rPr>
          <w:color w:val="000000"/>
          <w:sz w:val="24"/>
        </w:rPr>
        <w:t>年上半年度的经营成果和基金净值变动情况等有关信息。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DA6A53" w:rsidRDefault="0077542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A6A53" w:rsidRDefault="00DA6A53">
      <w:pPr>
        <w:spacing w:before="29" w:line="288" w:lineRule="auto"/>
        <w:ind w:firstLineChars="200" w:firstLine="480"/>
        <w:rPr>
          <w:color w:val="000000"/>
          <w:sz w:val="24"/>
        </w:rPr>
      </w:pPr>
    </w:p>
    <w:p w:rsidR="00DA6A53" w:rsidRDefault="0077542B">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DA6A53" w:rsidRDefault="0077542B">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DA6A53" w:rsidRDefault="0077542B">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DA6A53" w:rsidRDefault="0077542B">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DA6A53" w:rsidRDefault="0077542B">
      <w:pPr>
        <w:spacing w:before="29" w:line="288" w:lineRule="auto"/>
        <w:ind w:firstLineChars="200" w:firstLine="480"/>
        <w:rPr>
          <w:color w:val="000000"/>
          <w:sz w:val="24"/>
        </w:rPr>
      </w:pPr>
      <w:r>
        <w:rPr>
          <w:color w:val="000000"/>
          <w:sz w:val="24"/>
        </w:rPr>
        <w:t>(4)</w:t>
      </w:r>
      <w:r>
        <w:rPr>
          <w:color w:val="000000"/>
          <w:sz w:val="24"/>
        </w:rPr>
        <w:t>本基金的城市维护建设税、教育费附加和地方教育费附加等税费按照实际缴纳增值税额的适用比例计算缴纳。</w:t>
      </w:r>
    </w:p>
    <w:p w:rsidR="00DA6A53" w:rsidRDefault="00DA6A53">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color w:val="000000"/>
          <w:sz w:val="24"/>
        </w:rPr>
      </w:pP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DA6A53">
        <w:tc>
          <w:tcPr>
            <w:tcW w:w="5219" w:type="dxa"/>
            <w:vAlign w:val="center"/>
          </w:tcPr>
          <w:p w:rsidR="00DA6A53" w:rsidRDefault="0077542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A6A53" w:rsidRDefault="0077542B">
            <w:pPr>
              <w:jc w:val="left"/>
            </w:pPr>
            <w:r>
              <w:rPr>
                <w:color w:val="000000"/>
                <w:sz w:val="24"/>
              </w:rPr>
              <w:t>基金管理人、注册登记机构、基金销售机构</w:t>
            </w:r>
          </w:p>
        </w:tc>
      </w:tr>
      <w:tr w:rsidR="00DA6A53">
        <w:tc>
          <w:tcPr>
            <w:tcW w:w="5219" w:type="dxa"/>
            <w:vAlign w:val="center"/>
          </w:tcPr>
          <w:p w:rsidR="00DA6A53" w:rsidRDefault="0077542B">
            <w:pPr>
              <w:jc w:val="left"/>
            </w:pPr>
            <w:r>
              <w:rPr>
                <w:color w:val="000000"/>
                <w:sz w:val="24"/>
              </w:rPr>
              <w:t>中信银行股份有限公司（</w:t>
            </w:r>
            <w:r>
              <w:rPr>
                <w:color w:val="000000"/>
                <w:sz w:val="24"/>
              </w:rPr>
              <w:t>“</w:t>
            </w:r>
            <w:r>
              <w:rPr>
                <w:color w:val="000000"/>
                <w:sz w:val="24"/>
              </w:rPr>
              <w:t>中信银行</w:t>
            </w:r>
            <w:r>
              <w:rPr>
                <w:color w:val="000000"/>
                <w:sz w:val="24"/>
              </w:rPr>
              <w:t>”</w:t>
            </w:r>
            <w:r>
              <w:rPr>
                <w:color w:val="000000"/>
                <w:sz w:val="24"/>
              </w:rPr>
              <w:t>）</w:t>
            </w:r>
          </w:p>
        </w:tc>
        <w:tc>
          <w:tcPr>
            <w:tcW w:w="3779" w:type="dxa"/>
            <w:vAlign w:val="center"/>
          </w:tcPr>
          <w:p w:rsidR="00DA6A53" w:rsidRDefault="0077542B">
            <w:pPr>
              <w:jc w:val="left"/>
            </w:pPr>
            <w:r>
              <w:rPr>
                <w:color w:val="000000"/>
                <w:sz w:val="24"/>
              </w:rPr>
              <w:t>基金托管人</w:t>
            </w:r>
          </w:p>
        </w:tc>
      </w:tr>
      <w:tr w:rsidR="00DA6A53">
        <w:tc>
          <w:tcPr>
            <w:tcW w:w="5219" w:type="dxa"/>
            <w:vAlign w:val="center"/>
          </w:tcPr>
          <w:p w:rsidR="00DA6A53" w:rsidRDefault="0077542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A6A53" w:rsidRDefault="0077542B">
            <w:pPr>
              <w:jc w:val="left"/>
            </w:pPr>
            <w:r>
              <w:rPr>
                <w:color w:val="000000"/>
                <w:sz w:val="24"/>
              </w:rPr>
              <w:t>基金管理人的股东</w:t>
            </w:r>
          </w:p>
        </w:tc>
      </w:tr>
      <w:tr w:rsidR="00DA6A53">
        <w:tc>
          <w:tcPr>
            <w:tcW w:w="5219" w:type="dxa"/>
            <w:vAlign w:val="center"/>
          </w:tcPr>
          <w:p w:rsidR="00DA6A53" w:rsidRDefault="0077542B">
            <w:pPr>
              <w:jc w:val="left"/>
            </w:pPr>
            <w:r>
              <w:rPr>
                <w:color w:val="000000"/>
                <w:sz w:val="24"/>
              </w:rPr>
              <w:t>交银施罗德资产管理有限公司</w:t>
            </w:r>
          </w:p>
        </w:tc>
        <w:tc>
          <w:tcPr>
            <w:tcW w:w="3779" w:type="dxa"/>
            <w:vAlign w:val="center"/>
          </w:tcPr>
          <w:p w:rsidR="00DA6A53" w:rsidRDefault="0077542B">
            <w:pPr>
              <w:jc w:val="left"/>
            </w:pPr>
            <w:r>
              <w:rPr>
                <w:color w:val="000000"/>
                <w:sz w:val="24"/>
              </w:rPr>
              <w:t>基金管理人的子公司</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1,648,759.65</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1,773,143.68</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20,749.96</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3.62</w:t>
            </w:r>
          </w:p>
        </w:tc>
      </w:tr>
    </w:tbl>
    <w:p w:rsidR="00DA6A53" w:rsidRDefault="0077542B">
      <w:pPr>
        <w:tabs>
          <w:tab w:val="left" w:pos="426"/>
        </w:tabs>
        <w:spacing w:before="29" w:line="288" w:lineRule="auto"/>
        <w:jc w:val="left"/>
        <w:rPr>
          <w:kern w:val="0"/>
          <w:sz w:val="24"/>
        </w:rPr>
      </w:pPr>
      <w:r>
        <w:rPr>
          <w:kern w:val="0"/>
          <w:sz w:val="24"/>
        </w:rPr>
        <w:t>注：自</w:t>
      </w:r>
      <w:r>
        <w:rPr>
          <w:kern w:val="0"/>
          <w:sz w:val="24"/>
        </w:rPr>
        <w:t>2016</w:t>
      </w:r>
      <w:r>
        <w:rPr>
          <w:kern w:val="0"/>
          <w:sz w:val="24"/>
        </w:rPr>
        <w:t>年</w:t>
      </w:r>
      <w:r>
        <w:rPr>
          <w:kern w:val="0"/>
          <w:sz w:val="24"/>
        </w:rPr>
        <w:t>10</w:t>
      </w:r>
      <w:r>
        <w:rPr>
          <w:kern w:val="0"/>
          <w:sz w:val="24"/>
        </w:rPr>
        <w:t>月</w:t>
      </w:r>
      <w:r>
        <w:rPr>
          <w:kern w:val="0"/>
          <w:sz w:val="24"/>
        </w:rPr>
        <w:t>19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日，支付基金管理人的管理人报酬按前一日基金资产净值</w:t>
      </w:r>
      <w:r>
        <w:rPr>
          <w:kern w:val="0"/>
          <w:sz w:val="24"/>
        </w:rPr>
        <w:t>0.30%</w:t>
      </w:r>
      <w:r>
        <w:rPr>
          <w:kern w:val="0"/>
          <w:sz w:val="24"/>
        </w:rPr>
        <w:t>的年费率计提，逐日累计至每月月底，按月支付。其计算公式为：</w:t>
      </w:r>
    </w:p>
    <w:p w:rsidR="00DA6A53" w:rsidRDefault="0077542B">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0.30%/ </w:t>
      </w:r>
      <w:r>
        <w:rPr>
          <w:kern w:val="0"/>
          <w:sz w:val="24"/>
        </w:rPr>
        <w:t>当年天数。</w:t>
      </w:r>
    </w:p>
    <w:p w:rsidR="00DA6A53" w:rsidRDefault="0077542B">
      <w:pPr>
        <w:tabs>
          <w:tab w:val="left" w:pos="426"/>
        </w:tabs>
        <w:spacing w:before="29" w:line="288" w:lineRule="auto"/>
        <w:jc w:val="left"/>
        <w:rPr>
          <w:kern w:val="0"/>
          <w:sz w:val="24"/>
        </w:rPr>
      </w:pPr>
      <w:r>
        <w:rPr>
          <w:kern w:val="0"/>
          <w:sz w:val="24"/>
        </w:rPr>
        <w:t>根据基金份额持有人大会表决通过的《交银施罗德基金管理有限公司关于交银施罗德天利宝货币市场基金基金份额持有人大会表决结果暨决议生效的公告》，自</w:t>
      </w:r>
      <w:r>
        <w:rPr>
          <w:kern w:val="0"/>
          <w:sz w:val="24"/>
        </w:rPr>
        <w:t>2017</w:t>
      </w:r>
      <w:r>
        <w:rPr>
          <w:kern w:val="0"/>
          <w:sz w:val="24"/>
        </w:rPr>
        <w:t>年</w:t>
      </w:r>
      <w:r>
        <w:rPr>
          <w:kern w:val="0"/>
          <w:sz w:val="24"/>
        </w:rPr>
        <w:t>12</w:t>
      </w:r>
      <w:r>
        <w:rPr>
          <w:kern w:val="0"/>
          <w:sz w:val="24"/>
        </w:rPr>
        <w:t>月</w:t>
      </w:r>
      <w:r>
        <w:rPr>
          <w:kern w:val="0"/>
          <w:sz w:val="24"/>
        </w:rPr>
        <w:t>26</w:t>
      </w:r>
      <w:r>
        <w:rPr>
          <w:kern w:val="0"/>
          <w:sz w:val="24"/>
        </w:rPr>
        <w:t>日起，支付基金管理人的管理人报酬按前一日基金资产净值</w:t>
      </w:r>
      <w:r>
        <w:rPr>
          <w:kern w:val="0"/>
          <w:sz w:val="24"/>
        </w:rPr>
        <w:t>0.15%</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日管理人报酬＝前一日基金资产净值</w:t>
      </w:r>
      <w:r w:rsidRPr="0061644B">
        <w:rPr>
          <w:kern w:val="0"/>
          <w:sz w:val="24"/>
        </w:rPr>
        <w:t xml:space="preserve"> ×0.15%/ </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549,586.53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295,523.93</w:t>
            </w:r>
          </w:p>
        </w:tc>
      </w:tr>
    </w:tbl>
    <w:p w:rsidR="00DA6A53" w:rsidRDefault="0077542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DA6A53" w:rsidRDefault="0077542B">
      <w:pPr>
        <w:tabs>
          <w:tab w:val="left" w:pos="426"/>
        </w:tabs>
        <w:spacing w:before="29" w:line="288" w:lineRule="auto"/>
        <w:jc w:val="left"/>
        <w:rPr>
          <w:kern w:val="0"/>
          <w:sz w:val="24"/>
        </w:rPr>
      </w:pPr>
      <w:r>
        <w:rPr>
          <w:kern w:val="0"/>
          <w:sz w:val="24"/>
        </w:rPr>
        <w:t>日托管费＝前一日基金资产净值</w:t>
      </w:r>
      <w:r>
        <w:rPr>
          <w:kern w:val="0"/>
          <w:sz w:val="24"/>
        </w:rPr>
        <w:t xml:space="preserve">×0.05% / </w:t>
      </w:r>
      <w:r>
        <w:rPr>
          <w:kern w:val="0"/>
          <w:sz w:val="24"/>
        </w:rPr>
        <w:t>当年天数。</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F323AC" w:rsidP="00F323AC">
      <w:pPr>
        <w:pStyle w:val="21"/>
        <w:tabs>
          <w:tab w:val="left" w:pos="4920"/>
        </w:tabs>
        <w:spacing w:before="29" w:line="288" w:lineRule="auto"/>
        <w:jc w:val="right"/>
        <w:rPr>
          <w:rFonts w:ascii="Times New Roman" w:hAnsi="Times New Roman"/>
          <w:color w:val="auto"/>
        </w:rPr>
      </w:pPr>
      <w:r w:rsidRPr="00F323AC">
        <w:rPr>
          <w:rFonts w:ascii="Times New Roman" w:hAnsi="Times New Roman"/>
          <w:color w:val="auto"/>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2018</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2018</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交银天利宝货币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交银天利宝货币</w:t>
            </w:r>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DA6A53">
        <w:tc>
          <w:tcPr>
            <w:tcW w:w="1944" w:type="dxa"/>
            <w:vAlign w:val="center"/>
          </w:tcPr>
          <w:p w:rsidR="00DA6A53" w:rsidRDefault="0077542B">
            <w:pPr>
              <w:jc w:val="center"/>
            </w:pPr>
            <w:r>
              <w:rPr>
                <w:sz w:val="24"/>
              </w:rPr>
              <w:t>交银施罗德基金公司</w:t>
            </w:r>
          </w:p>
        </w:tc>
        <w:tc>
          <w:tcPr>
            <w:tcW w:w="2351" w:type="dxa"/>
            <w:vAlign w:val="center"/>
          </w:tcPr>
          <w:p w:rsidR="00DA6A53" w:rsidRDefault="0077542B">
            <w:pPr>
              <w:jc w:val="center"/>
            </w:pPr>
            <w:r>
              <w:rPr>
                <w:sz w:val="24"/>
              </w:rPr>
              <w:t>336,024.43</w:t>
            </w:r>
          </w:p>
        </w:tc>
        <w:tc>
          <w:tcPr>
            <w:tcW w:w="2351" w:type="dxa"/>
            <w:vAlign w:val="center"/>
          </w:tcPr>
          <w:p w:rsidR="00DA6A53" w:rsidRDefault="0077542B">
            <w:pPr>
              <w:jc w:val="center"/>
            </w:pPr>
            <w:r>
              <w:rPr>
                <w:sz w:val="24"/>
              </w:rPr>
              <w:t>94,054.31</w:t>
            </w:r>
          </w:p>
        </w:tc>
        <w:tc>
          <w:tcPr>
            <w:tcW w:w="2352" w:type="dxa"/>
            <w:vAlign w:val="center"/>
          </w:tcPr>
          <w:p w:rsidR="00DA6A53" w:rsidRDefault="0077542B">
            <w:pPr>
              <w:jc w:val="center"/>
            </w:pPr>
            <w:r>
              <w:rPr>
                <w:sz w:val="24"/>
              </w:rPr>
              <w:t>430,078.74</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336,024.43</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94,054.31</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430,078.74</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交银天利宝货币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交银天利宝货币</w:t>
            </w:r>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DA6A53">
        <w:tc>
          <w:tcPr>
            <w:tcW w:w="1944" w:type="dxa"/>
            <w:vAlign w:val="center"/>
          </w:tcPr>
          <w:p w:rsidR="00DA6A53" w:rsidRDefault="0077542B">
            <w:pPr>
              <w:jc w:val="center"/>
            </w:pPr>
            <w:r>
              <w:rPr>
                <w:sz w:val="24"/>
              </w:rPr>
              <w:t>交银施罗德基金公司</w:t>
            </w:r>
          </w:p>
        </w:tc>
        <w:tc>
          <w:tcPr>
            <w:tcW w:w="2351" w:type="dxa"/>
            <w:vAlign w:val="center"/>
          </w:tcPr>
          <w:p w:rsidR="00DA6A53" w:rsidRDefault="0077542B">
            <w:pPr>
              <w:jc w:val="center"/>
            </w:pPr>
            <w:r>
              <w:rPr>
                <w:sz w:val="24"/>
              </w:rPr>
              <w:t>18,345.31</w:t>
            </w:r>
          </w:p>
        </w:tc>
        <w:tc>
          <w:tcPr>
            <w:tcW w:w="2351" w:type="dxa"/>
            <w:vAlign w:val="center"/>
          </w:tcPr>
          <w:p w:rsidR="00DA6A53" w:rsidRDefault="0077542B">
            <w:pPr>
              <w:jc w:val="center"/>
            </w:pPr>
            <w:r>
              <w:rPr>
                <w:sz w:val="24"/>
              </w:rPr>
              <w:t>58,365.24</w:t>
            </w:r>
          </w:p>
        </w:tc>
        <w:tc>
          <w:tcPr>
            <w:tcW w:w="2352" w:type="dxa"/>
            <w:vAlign w:val="center"/>
          </w:tcPr>
          <w:p w:rsidR="00DA6A53" w:rsidRDefault="0077542B">
            <w:pPr>
              <w:jc w:val="center"/>
            </w:pPr>
            <w:r>
              <w:rPr>
                <w:sz w:val="24"/>
              </w:rPr>
              <w:t>76,710.55</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18,345.31</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58,365.24</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76,710.55</w:t>
            </w:r>
          </w:p>
        </w:tc>
      </w:tr>
    </w:tbl>
    <w:p w:rsidR="00DA6A53" w:rsidRDefault="0077542B">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DA6A53" w:rsidRDefault="0077542B">
      <w:pPr>
        <w:tabs>
          <w:tab w:val="left" w:pos="426"/>
        </w:tabs>
        <w:spacing w:before="29" w:line="288" w:lineRule="auto"/>
        <w:jc w:val="left"/>
        <w:rPr>
          <w:kern w:val="0"/>
          <w:sz w:val="24"/>
        </w:rPr>
      </w:pPr>
      <w:r>
        <w:rPr>
          <w:kern w:val="0"/>
          <w:sz w:val="24"/>
        </w:rPr>
        <w:t>日销售服务费＝前一日基金资产净值</w:t>
      </w:r>
      <w:r>
        <w:rPr>
          <w:kern w:val="0"/>
          <w:sz w:val="24"/>
        </w:rPr>
        <w:t>×</w:t>
      </w:r>
      <w:r>
        <w:rPr>
          <w:kern w:val="0"/>
          <w:sz w:val="24"/>
        </w:rPr>
        <w:t>约定年费率</w:t>
      </w:r>
      <w:r>
        <w:rPr>
          <w:kern w:val="0"/>
          <w:sz w:val="24"/>
        </w:rPr>
        <w:t xml:space="preserve"> / </w:t>
      </w:r>
      <w:r>
        <w:rPr>
          <w:kern w:val="0"/>
          <w:sz w:val="24"/>
        </w:rPr>
        <w:t>当年天数。</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本报告期内及上年度可比期间未发生基金管理人运用固有资金投资本基金的情况</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FD2AE8" w:rsidRPr="0061644B" w:rsidRDefault="00AF77DD" w:rsidP="00792A69">
      <w:pPr>
        <w:spacing w:before="29" w:line="288" w:lineRule="auto"/>
        <w:rPr>
          <w:sz w:val="24"/>
        </w:rPr>
      </w:pPr>
      <w:r w:rsidRPr="0061644B">
        <w:rPr>
          <w:sz w:val="24"/>
        </w:rPr>
        <w:t>交银天利宝货币</w:t>
      </w:r>
      <w:r w:rsidRPr="0061644B">
        <w:rPr>
          <w:sz w:val="24"/>
        </w:rPr>
        <w:t>A</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本报告期末除基金管理人之外的其他关联方未持有本基金。</w:t>
      </w:r>
    </w:p>
    <w:p w:rsidR="00AF77DD" w:rsidRPr="0061644B" w:rsidRDefault="00AF77DD" w:rsidP="00792A69">
      <w:pPr>
        <w:widowControl/>
        <w:spacing w:before="29" w:line="288" w:lineRule="auto"/>
        <w:rPr>
          <w:sz w:val="24"/>
        </w:rPr>
      </w:pPr>
      <w:r w:rsidRPr="0061644B">
        <w:rPr>
          <w:sz w:val="24"/>
        </w:rPr>
        <w:t>交银天利宝货币</w:t>
      </w:r>
      <w:r w:rsidRPr="0061644B">
        <w:rPr>
          <w:sz w:val="24"/>
        </w:rPr>
        <w:t>E</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61644B" w:rsidTr="000C0F4C">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交银天利宝货币</w:t>
            </w:r>
            <w:r w:rsidRPr="0061644B">
              <w:rPr>
                <w:sz w:val="24"/>
              </w:rPr>
              <w:t>E</w:t>
            </w:r>
            <w:r w:rsidRPr="0061644B">
              <w:rPr>
                <w:sz w:val="24"/>
              </w:rPr>
              <w:t>本期末</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交银天利宝货币</w:t>
            </w:r>
            <w:r w:rsidRPr="0061644B">
              <w:rPr>
                <w:sz w:val="24"/>
              </w:rPr>
              <w:t>E</w:t>
            </w:r>
            <w:r w:rsidRPr="0061644B">
              <w:rPr>
                <w:sz w:val="24"/>
              </w:rPr>
              <w:t>上年度末</w:t>
            </w:r>
          </w:p>
          <w:p w:rsidR="006D141C" w:rsidRPr="0061644B" w:rsidRDefault="00D76982" w:rsidP="00792A69">
            <w:pPr>
              <w:widowControl/>
              <w:autoSpaceDE w:val="0"/>
              <w:autoSpaceDN w:val="0"/>
              <w:spacing w:before="29" w:line="288" w:lineRule="auto"/>
              <w:ind w:leftChars="-51" w:left="-107" w:rightChars="-51" w:right="-107"/>
              <w:jc w:val="center"/>
              <w:textAlignment w:val="bottom"/>
              <w:rPr>
                <w:sz w:val="24"/>
              </w:rPr>
            </w:pPr>
            <w:r w:rsidRPr="0061644B">
              <w:rPr>
                <w:sz w:val="24"/>
              </w:rPr>
              <w:t>2017</w:t>
            </w:r>
            <w:r w:rsidRPr="0061644B">
              <w:rPr>
                <w:sz w:val="24"/>
              </w:rPr>
              <w:t>年</w:t>
            </w:r>
            <w:r w:rsidRPr="0061644B">
              <w:rPr>
                <w:sz w:val="24"/>
              </w:rPr>
              <w:t>12</w:t>
            </w:r>
            <w:r w:rsidRPr="0061644B">
              <w:rPr>
                <w:sz w:val="24"/>
              </w:rPr>
              <w:t>月</w:t>
            </w:r>
            <w:r w:rsidRPr="0061644B">
              <w:rPr>
                <w:sz w:val="24"/>
              </w:rPr>
              <w:t>31</w:t>
            </w:r>
            <w:r w:rsidRPr="0061644B">
              <w:rPr>
                <w:sz w:val="24"/>
              </w:rPr>
              <w:t>日</w:t>
            </w:r>
          </w:p>
        </w:tc>
      </w:tr>
      <w:tr w:rsidR="006B4A69" w:rsidRPr="0061644B" w:rsidTr="000C0F4C">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w:t>
            </w:r>
          </w:p>
          <w:p w:rsidR="006D141C" w:rsidRPr="0061644B" w:rsidRDefault="006D141C" w:rsidP="00792A69">
            <w:pPr>
              <w:spacing w:before="29" w:line="288" w:lineRule="auto"/>
              <w:jc w:val="center"/>
              <w:rPr>
                <w:sz w:val="24"/>
              </w:rPr>
            </w:pPr>
            <w:r w:rsidRPr="0061644B">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持有的基金份额占基金总份额的比例</w:t>
            </w:r>
          </w:p>
        </w:tc>
      </w:tr>
      <w:tr w:rsidR="00DA6A53">
        <w:tc>
          <w:tcPr>
            <w:tcW w:w="1946" w:type="dxa"/>
            <w:vAlign w:val="center"/>
          </w:tcPr>
          <w:p w:rsidR="00DA6A53" w:rsidRDefault="0077542B">
            <w:pPr>
              <w:jc w:val="center"/>
            </w:pPr>
            <w:r>
              <w:rPr>
                <w:sz w:val="24"/>
              </w:rPr>
              <w:t>交银施罗德资产管理有限公司</w:t>
            </w:r>
          </w:p>
        </w:tc>
        <w:tc>
          <w:tcPr>
            <w:tcW w:w="2013" w:type="dxa"/>
            <w:vAlign w:val="center"/>
          </w:tcPr>
          <w:p w:rsidR="00DA6A53" w:rsidRDefault="0077542B">
            <w:pPr>
              <w:jc w:val="center"/>
            </w:pPr>
            <w:r>
              <w:rPr>
                <w:sz w:val="24"/>
              </w:rPr>
              <w:t>51,940,068.13</w:t>
            </w:r>
          </w:p>
        </w:tc>
        <w:tc>
          <w:tcPr>
            <w:tcW w:w="1565" w:type="dxa"/>
            <w:vAlign w:val="center"/>
          </w:tcPr>
          <w:p w:rsidR="00DA6A53" w:rsidRDefault="0077542B">
            <w:pPr>
              <w:jc w:val="center"/>
            </w:pPr>
            <w:r>
              <w:rPr>
                <w:sz w:val="24"/>
              </w:rPr>
              <w:t>3.69%</w:t>
            </w:r>
          </w:p>
        </w:tc>
        <w:tc>
          <w:tcPr>
            <w:tcW w:w="1846" w:type="dxa"/>
            <w:vAlign w:val="center"/>
          </w:tcPr>
          <w:p w:rsidR="00DA6A53" w:rsidRDefault="0077542B">
            <w:pPr>
              <w:jc w:val="center"/>
            </w:pPr>
            <w:r>
              <w:rPr>
                <w:sz w:val="24"/>
              </w:rPr>
              <w:t>-</w:t>
            </w:r>
          </w:p>
        </w:tc>
        <w:tc>
          <w:tcPr>
            <w:tcW w:w="1628" w:type="dxa"/>
            <w:vAlign w:val="center"/>
          </w:tcPr>
          <w:p w:rsidR="00DA6A53" w:rsidRDefault="0077542B">
            <w:pPr>
              <w:jc w:val="center"/>
            </w:pPr>
            <w:r>
              <w:rPr>
                <w:sz w:val="24"/>
              </w:rPr>
              <w:t>-</w:t>
            </w:r>
          </w:p>
        </w:tc>
      </w:tr>
    </w:tbl>
    <w:p w:rsidR="00DA6A53" w:rsidRDefault="0077542B">
      <w:pPr>
        <w:tabs>
          <w:tab w:val="left" w:pos="426"/>
        </w:tabs>
        <w:spacing w:before="29" w:line="288" w:lineRule="auto"/>
        <w:jc w:val="left"/>
        <w:rPr>
          <w:kern w:val="0"/>
          <w:sz w:val="24"/>
        </w:rPr>
      </w:pPr>
      <w:r>
        <w:rPr>
          <w:kern w:val="0"/>
          <w:sz w:val="24"/>
        </w:rPr>
        <w:t>注：关联方投资本基金的费率按照基金合同和招募说明书规定的确定，符合公允性要求。</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DA6A53">
        <w:tc>
          <w:tcPr>
            <w:tcW w:w="1799" w:type="dxa"/>
            <w:vAlign w:val="center"/>
          </w:tcPr>
          <w:p w:rsidR="00DA6A53" w:rsidRDefault="0077542B">
            <w:pPr>
              <w:jc w:val="center"/>
            </w:pPr>
            <w:r>
              <w:rPr>
                <w:sz w:val="24"/>
              </w:rPr>
              <w:t>中信银行股份有限公司</w:t>
            </w:r>
          </w:p>
        </w:tc>
        <w:tc>
          <w:tcPr>
            <w:tcW w:w="1799" w:type="dxa"/>
            <w:vAlign w:val="center"/>
          </w:tcPr>
          <w:p w:rsidR="00DA6A53" w:rsidRDefault="0077542B">
            <w:pPr>
              <w:jc w:val="center"/>
            </w:pPr>
            <w:r>
              <w:rPr>
                <w:sz w:val="24"/>
              </w:rPr>
              <w:t>587,115.92</w:t>
            </w:r>
          </w:p>
        </w:tc>
        <w:tc>
          <w:tcPr>
            <w:tcW w:w="1800" w:type="dxa"/>
            <w:vAlign w:val="center"/>
          </w:tcPr>
          <w:p w:rsidR="00DA6A53" w:rsidRDefault="0077542B">
            <w:pPr>
              <w:jc w:val="center"/>
            </w:pPr>
            <w:r>
              <w:rPr>
                <w:sz w:val="24"/>
              </w:rPr>
              <w:t>12,332.63</w:t>
            </w:r>
          </w:p>
        </w:tc>
        <w:tc>
          <w:tcPr>
            <w:tcW w:w="1800" w:type="dxa"/>
            <w:vAlign w:val="center"/>
          </w:tcPr>
          <w:p w:rsidR="00DA6A53" w:rsidRDefault="0077542B">
            <w:pPr>
              <w:jc w:val="center"/>
            </w:pPr>
            <w:r>
              <w:rPr>
                <w:sz w:val="24"/>
              </w:rPr>
              <w:t>2,155,217.23</w:t>
            </w:r>
          </w:p>
        </w:tc>
        <w:tc>
          <w:tcPr>
            <w:tcW w:w="1800" w:type="dxa"/>
            <w:vAlign w:val="center"/>
          </w:tcPr>
          <w:p w:rsidR="00DA6A53" w:rsidRDefault="0077542B">
            <w:pPr>
              <w:jc w:val="center"/>
            </w:pPr>
            <w:r>
              <w:rPr>
                <w:sz w:val="24"/>
              </w:rPr>
              <w:t>23,177.04</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本基金本报告期内及上年度可比期间未在承销期内参与关联方承销的证券。</w:t>
      </w:r>
    </w:p>
    <w:p w:rsidR="006D141C" w:rsidRPr="0061644B" w:rsidRDefault="006D141C" w:rsidP="00792A69">
      <w:pPr>
        <w:adjustRightInd w:val="0"/>
        <w:snapToGrid w:val="0"/>
        <w:spacing w:before="29" w:line="288" w:lineRule="auto"/>
        <w:jc w:val="left"/>
        <w:rPr>
          <w:bCs/>
          <w:sz w:val="24"/>
        </w:rPr>
      </w:pPr>
    </w:p>
    <w:p w:rsidR="00B54CAD" w:rsidRPr="00690ED2" w:rsidRDefault="00B54CAD" w:rsidP="00B54CAD">
      <w:pPr>
        <w:adjustRightInd w:val="0"/>
        <w:snapToGrid w:val="0"/>
        <w:spacing w:beforeLines="100" w:before="312" w:line="360" w:lineRule="auto"/>
        <w:rPr>
          <w:rFonts w:eastAsiaTheme="minorEastAsia"/>
          <w:b/>
          <w:color w:val="000000" w:themeColor="text1"/>
          <w:szCs w:val="21"/>
        </w:rPr>
      </w:pPr>
      <w:r w:rsidRPr="00690ED2">
        <w:rPr>
          <w:rFonts w:eastAsiaTheme="minorEastAsia"/>
          <w:b/>
          <w:bCs/>
          <w:color w:val="000000" w:themeColor="text1"/>
          <w:kern w:val="0"/>
          <w:szCs w:val="21"/>
        </w:rPr>
        <w:t xml:space="preserve">6.4.8.7 </w:t>
      </w:r>
      <w:bookmarkStart w:id="14" w:name="OLE_LINK189"/>
      <w:bookmarkStart w:id="15" w:name="OLE_LINK7"/>
      <w:bookmarkStart w:id="16" w:name="OLE_LINK6"/>
      <w:r w:rsidRPr="00690ED2">
        <w:rPr>
          <w:rFonts w:eastAsiaTheme="minorEastAsia" w:hint="eastAsia"/>
          <w:b/>
          <w:color w:val="000000" w:themeColor="text1"/>
          <w:szCs w:val="21"/>
        </w:rPr>
        <w:t>其他关联交易事项的说明</w:t>
      </w:r>
      <w:bookmarkEnd w:id="14"/>
      <w:bookmarkEnd w:id="15"/>
      <w:bookmarkEnd w:id="16"/>
    </w:p>
    <w:p w:rsidR="00B54CAD" w:rsidRPr="00690ED2" w:rsidRDefault="00B54CAD" w:rsidP="00B54CAD">
      <w:pPr>
        <w:adjustRightInd w:val="0"/>
        <w:snapToGrid w:val="0"/>
        <w:spacing w:line="360" w:lineRule="auto"/>
        <w:rPr>
          <w:rFonts w:eastAsiaTheme="minorEastAsia"/>
          <w:b/>
          <w:color w:val="000000" w:themeColor="text1"/>
          <w:szCs w:val="21"/>
        </w:rPr>
      </w:pPr>
      <w:r w:rsidRPr="00690ED2">
        <w:rPr>
          <w:rFonts w:eastAsiaTheme="minorEastAsia"/>
          <w:b/>
          <w:bCs/>
          <w:color w:val="000000" w:themeColor="text1"/>
          <w:kern w:val="0"/>
          <w:szCs w:val="21"/>
        </w:rPr>
        <w:t xml:space="preserve">6.4.8.7.1 </w:t>
      </w:r>
      <w:r w:rsidRPr="00690ED2">
        <w:rPr>
          <w:rFonts w:eastAsiaTheme="minorEastAsia" w:hint="eastAsia"/>
          <w:b/>
          <w:color w:val="000000" w:themeColor="text1"/>
          <w:szCs w:val="21"/>
        </w:rPr>
        <w:t>其他关联交易事项的说明</w:t>
      </w:r>
    </w:p>
    <w:p w:rsidR="00B54CAD" w:rsidRDefault="00B54CAD" w:rsidP="00B54CAD">
      <w:pPr>
        <w:widowControl/>
        <w:spacing w:line="360" w:lineRule="auto"/>
        <w:ind w:firstLineChars="200" w:firstLine="420"/>
        <w:rPr>
          <w:rFonts w:eastAsiaTheme="minorEastAsia"/>
          <w:color w:val="000000" w:themeColor="text1"/>
          <w:kern w:val="0"/>
          <w:szCs w:val="21"/>
        </w:rPr>
      </w:pPr>
      <w:r w:rsidRPr="00690ED2">
        <w:rPr>
          <w:rFonts w:eastAsiaTheme="minorEastAsia"/>
          <w:color w:val="000000" w:themeColor="text1"/>
          <w:kern w:val="0"/>
          <w:szCs w:val="21"/>
        </w:rPr>
        <w:t>本基金本报告期内无其他关联交易事项。</w:t>
      </w:r>
    </w:p>
    <w:p w:rsidR="00B54CAD" w:rsidRPr="00690ED2" w:rsidRDefault="00B54CAD" w:rsidP="00B54CAD">
      <w:pPr>
        <w:widowControl/>
        <w:spacing w:line="360" w:lineRule="auto"/>
        <w:ind w:firstLineChars="200" w:firstLine="420"/>
        <w:rPr>
          <w:rFonts w:eastAsiaTheme="minorEastAsia"/>
          <w:color w:val="000000" w:themeColor="text1"/>
          <w:kern w:val="0"/>
          <w:szCs w:val="21"/>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2018</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日止，本基金从事银行间市场债券正回购交易形成的卖出回购证券款余额</w:t>
      </w:r>
      <w:r w:rsidRPr="0061644B">
        <w:rPr>
          <w:color w:val="000000"/>
          <w:sz w:val="24"/>
        </w:rPr>
        <w:t>379,118,089.32</w:t>
      </w:r>
      <w:r w:rsidRPr="0061644B">
        <w:rPr>
          <w:color w:val="000000"/>
          <w:sz w:val="24"/>
        </w:rPr>
        <w:t>元，是以如下债券作为质押：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DA6A53">
        <w:tc>
          <w:tcPr>
            <w:tcW w:w="1493" w:type="dxa"/>
            <w:vAlign w:val="center"/>
          </w:tcPr>
          <w:p w:rsidR="00DA6A53" w:rsidRDefault="0077542B">
            <w:pPr>
              <w:jc w:val="center"/>
            </w:pPr>
            <w:r>
              <w:rPr>
                <w:kern w:val="0"/>
                <w:sz w:val="24"/>
              </w:rPr>
              <w:t>111783622</w:t>
            </w:r>
          </w:p>
        </w:tc>
        <w:tc>
          <w:tcPr>
            <w:tcW w:w="1494" w:type="dxa"/>
            <w:vAlign w:val="center"/>
          </w:tcPr>
          <w:p w:rsidR="00DA6A53" w:rsidRDefault="0077542B">
            <w:pPr>
              <w:jc w:val="center"/>
            </w:pPr>
            <w:r>
              <w:rPr>
                <w:kern w:val="0"/>
                <w:sz w:val="24"/>
              </w:rPr>
              <w:t>17</w:t>
            </w:r>
            <w:r>
              <w:rPr>
                <w:kern w:val="0"/>
                <w:sz w:val="24"/>
              </w:rPr>
              <w:t>中原银行</w:t>
            </w:r>
            <w:r>
              <w:rPr>
                <w:kern w:val="0"/>
                <w:sz w:val="24"/>
              </w:rPr>
              <w:t>CD244</w:t>
            </w:r>
          </w:p>
        </w:tc>
        <w:tc>
          <w:tcPr>
            <w:tcW w:w="1494" w:type="dxa"/>
            <w:vAlign w:val="center"/>
          </w:tcPr>
          <w:p w:rsidR="00DA6A53" w:rsidRDefault="0077542B">
            <w:pPr>
              <w:jc w:val="center"/>
            </w:pPr>
            <w:r>
              <w:rPr>
                <w:kern w:val="0"/>
                <w:sz w:val="24"/>
              </w:rPr>
              <w:t>2018-07-02</w:t>
            </w:r>
          </w:p>
        </w:tc>
        <w:tc>
          <w:tcPr>
            <w:tcW w:w="1255" w:type="dxa"/>
            <w:vAlign w:val="center"/>
          </w:tcPr>
          <w:p w:rsidR="00DA6A53" w:rsidRDefault="0077542B">
            <w:pPr>
              <w:jc w:val="right"/>
            </w:pPr>
            <w:r>
              <w:rPr>
                <w:kern w:val="0"/>
                <w:sz w:val="24"/>
              </w:rPr>
              <w:t>99.45</w:t>
            </w:r>
          </w:p>
        </w:tc>
        <w:tc>
          <w:tcPr>
            <w:tcW w:w="1434" w:type="dxa"/>
            <w:vAlign w:val="center"/>
          </w:tcPr>
          <w:p w:rsidR="00DA6A53" w:rsidRDefault="0077542B">
            <w:pPr>
              <w:jc w:val="right"/>
            </w:pPr>
            <w:r>
              <w:rPr>
                <w:kern w:val="0"/>
                <w:sz w:val="24"/>
              </w:rPr>
              <w:t>52,000</w:t>
            </w:r>
          </w:p>
        </w:tc>
        <w:tc>
          <w:tcPr>
            <w:tcW w:w="1828" w:type="dxa"/>
            <w:vAlign w:val="center"/>
          </w:tcPr>
          <w:p w:rsidR="00DA6A53" w:rsidRDefault="0077542B">
            <w:pPr>
              <w:jc w:val="right"/>
            </w:pPr>
            <w:r>
              <w:rPr>
                <w:kern w:val="0"/>
                <w:sz w:val="24"/>
              </w:rPr>
              <w:t>5,171,400.00</w:t>
            </w:r>
          </w:p>
        </w:tc>
      </w:tr>
      <w:tr w:rsidR="00DA6A53">
        <w:tc>
          <w:tcPr>
            <w:tcW w:w="1493" w:type="dxa"/>
            <w:vAlign w:val="center"/>
          </w:tcPr>
          <w:p w:rsidR="00DA6A53" w:rsidRDefault="0077542B">
            <w:pPr>
              <w:jc w:val="center"/>
            </w:pPr>
            <w:r>
              <w:rPr>
                <w:kern w:val="0"/>
                <w:sz w:val="24"/>
              </w:rPr>
              <w:t>111785116</w:t>
            </w:r>
          </w:p>
        </w:tc>
        <w:tc>
          <w:tcPr>
            <w:tcW w:w="1494" w:type="dxa"/>
            <w:vAlign w:val="center"/>
          </w:tcPr>
          <w:p w:rsidR="00DA6A53" w:rsidRDefault="0077542B">
            <w:pPr>
              <w:jc w:val="center"/>
            </w:pPr>
            <w:r>
              <w:rPr>
                <w:kern w:val="0"/>
                <w:sz w:val="24"/>
              </w:rPr>
              <w:t>17</w:t>
            </w:r>
            <w:r>
              <w:rPr>
                <w:kern w:val="0"/>
                <w:sz w:val="24"/>
              </w:rPr>
              <w:t>桂林银行</w:t>
            </w:r>
            <w:r>
              <w:rPr>
                <w:kern w:val="0"/>
                <w:sz w:val="24"/>
              </w:rPr>
              <w:t>CD125</w:t>
            </w:r>
          </w:p>
        </w:tc>
        <w:tc>
          <w:tcPr>
            <w:tcW w:w="1494" w:type="dxa"/>
            <w:vAlign w:val="center"/>
          </w:tcPr>
          <w:p w:rsidR="00DA6A53" w:rsidRDefault="0077542B">
            <w:pPr>
              <w:jc w:val="center"/>
            </w:pPr>
            <w:r>
              <w:rPr>
                <w:kern w:val="0"/>
                <w:sz w:val="24"/>
              </w:rPr>
              <w:t>2018-07-02</w:t>
            </w:r>
          </w:p>
        </w:tc>
        <w:tc>
          <w:tcPr>
            <w:tcW w:w="1255" w:type="dxa"/>
            <w:vAlign w:val="center"/>
          </w:tcPr>
          <w:p w:rsidR="00DA6A53" w:rsidRDefault="0077542B">
            <w:pPr>
              <w:jc w:val="right"/>
            </w:pPr>
            <w:r>
              <w:rPr>
                <w:kern w:val="0"/>
                <w:sz w:val="24"/>
              </w:rPr>
              <w:t>99.14</w:t>
            </w:r>
          </w:p>
        </w:tc>
        <w:tc>
          <w:tcPr>
            <w:tcW w:w="1434" w:type="dxa"/>
            <w:vAlign w:val="center"/>
          </w:tcPr>
          <w:p w:rsidR="00DA6A53" w:rsidRDefault="0077542B">
            <w:pPr>
              <w:jc w:val="right"/>
            </w:pPr>
            <w:r>
              <w:rPr>
                <w:kern w:val="0"/>
                <w:sz w:val="24"/>
              </w:rPr>
              <w:t>100,000</w:t>
            </w:r>
          </w:p>
        </w:tc>
        <w:tc>
          <w:tcPr>
            <w:tcW w:w="1828" w:type="dxa"/>
            <w:vAlign w:val="center"/>
          </w:tcPr>
          <w:p w:rsidR="00DA6A53" w:rsidRDefault="0077542B">
            <w:pPr>
              <w:jc w:val="right"/>
            </w:pPr>
            <w:r>
              <w:rPr>
                <w:kern w:val="0"/>
                <w:sz w:val="24"/>
              </w:rPr>
              <w:t>9,914,000.00</w:t>
            </w:r>
          </w:p>
        </w:tc>
      </w:tr>
      <w:tr w:rsidR="00DA6A53">
        <w:tc>
          <w:tcPr>
            <w:tcW w:w="1493" w:type="dxa"/>
            <w:vAlign w:val="center"/>
          </w:tcPr>
          <w:p w:rsidR="00DA6A53" w:rsidRDefault="0077542B">
            <w:pPr>
              <w:jc w:val="center"/>
            </w:pPr>
            <w:r>
              <w:rPr>
                <w:kern w:val="0"/>
                <w:sz w:val="24"/>
              </w:rPr>
              <w:t>111782935</w:t>
            </w:r>
          </w:p>
        </w:tc>
        <w:tc>
          <w:tcPr>
            <w:tcW w:w="1494" w:type="dxa"/>
            <w:vAlign w:val="center"/>
          </w:tcPr>
          <w:p w:rsidR="00DA6A53" w:rsidRDefault="0077542B">
            <w:pPr>
              <w:jc w:val="center"/>
            </w:pPr>
            <w:r>
              <w:rPr>
                <w:kern w:val="0"/>
                <w:sz w:val="24"/>
              </w:rPr>
              <w:t>17</w:t>
            </w:r>
            <w:r>
              <w:rPr>
                <w:kern w:val="0"/>
                <w:sz w:val="24"/>
              </w:rPr>
              <w:t>廊坊银行</w:t>
            </w:r>
            <w:r>
              <w:rPr>
                <w:kern w:val="0"/>
                <w:sz w:val="24"/>
              </w:rPr>
              <w:t>CD078</w:t>
            </w:r>
          </w:p>
        </w:tc>
        <w:tc>
          <w:tcPr>
            <w:tcW w:w="1494" w:type="dxa"/>
            <w:vAlign w:val="center"/>
          </w:tcPr>
          <w:p w:rsidR="00DA6A53" w:rsidRDefault="0077542B">
            <w:pPr>
              <w:jc w:val="center"/>
            </w:pPr>
            <w:r>
              <w:rPr>
                <w:kern w:val="0"/>
                <w:sz w:val="24"/>
              </w:rPr>
              <w:t>2018-07-02</w:t>
            </w:r>
          </w:p>
        </w:tc>
        <w:tc>
          <w:tcPr>
            <w:tcW w:w="1255" w:type="dxa"/>
            <w:vAlign w:val="center"/>
          </w:tcPr>
          <w:p w:rsidR="00DA6A53" w:rsidRDefault="0077542B">
            <w:pPr>
              <w:jc w:val="right"/>
            </w:pPr>
            <w:r>
              <w:rPr>
                <w:kern w:val="0"/>
                <w:sz w:val="24"/>
              </w:rPr>
              <w:t>99.53</w:t>
            </w:r>
          </w:p>
        </w:tc>
        <w:tc>
          <w:tcPr>
            <w:tcW w:w="1434" w:type="dxa"/>
            <w:vAlign w:val="center"/>
          </w:tcPr>
          <w:p w:rsidR="00DA6A53" w:rsidRDefault="0077542B">
            <w:pPr>
              <w:jc w:val="right"/>
            </w:pPr>
            <w:r>
              <w:rPr>
                <w:kern w:val="0"/>
                <w:sz w:val="24"/>
              </w:rPr>
              <w:t>300,000</w:t>
            </w:r>
          </w:p>
        </w:tc>
        <w:tc>
          <w:tcPr>
            <w:tcW w:w="1828" w:type="dxa"/>
            <w:vAlign w:val="center"/>
          </w:tcPr>
          <w:p w:rsidR="00DA6A53" w:rsidRDefault="0077542B">
            <w:pPr>
              <w:jc w:val="right"/>
            </w:pPr>
            <w:r>
              <w:rPr>
                <w:kern w:val="0"/>
                <w:sz w:val="24"/>
              </w:rPr>
              <w:t>29,859,000.00</w:t>
            </w:r>
          </w:p>
        </w:tc>
      </w:tr>
      <w:tr w:rsidR="00DA6A53">
        <w:tc>
          <w:tcPr>
            <w:tcW w:w="1493" w:type="dxa"/>
            <w:vAlign w:val="center"/>
          </w:tcPr>
          <w:p w:rsidR="00DA6A53" w:rsidRDefault="0077542B">
            <w:pPr>
              <w:jc w:val="center"/>
            </w:pPr>
            <w:r>
              <w:rPr>
                <w:kern w:val="0"/>
                <w:sz w:val="24"/>
              </w:rPr>
              <w:t>111892765</w:t>
            </w:r>
          </w:p>
        </w:tc>
        <w:tc>
          <w:tcPr>
            <w:tcW w:w="1494" w:type="dxa"/>
            <w:vAlign w:val="center"/>
          </w:tcPr>
          <w:p w:rsidR="00DA6A53" w:rsidRDefault="0077542B">
            <w:pPr>
              <w:jc w:val="center"/>
            </w:pPr>
            <w:r>
              <w:rPr>
                <w:kern w:val="0"/>
                <w:sz w:val="24"/>
              </w:rPr>
              <w:t>18</w:t>
            </w:r>
            <w:r>
              <w:rPr>
                <w:kern w:val="0"/>
                <w:sz w:val="24"/>
              </w:rPr>
              <w:t>青岛农商行</w:t>
            </w:r>
            <w:r>
              <w:rPr>
                <w:kern w:val="0"/>
                <w:sz w:val="24"/>
              </w:rPr>
              <w:t>CD008</w:t>
            </w:r>
          </w:p>
        </w:tc>
        <w:tc>
          <w:tcPr>
            <w:tcW w:w="1494" w:type="dxa"/>
            <w:vAlign w:val="center"/>
          </w:tcPr>
          <w:p w:rsidR="00DA6A53" w:rsidRDefault="0077542B">
            <w:pPr>
              <w:jc w:val="center"/>
            </w:pPr>
            <w:r>
              <w:rPr>
                <w:kern w:val="0"/>
                <w:sz w:val="24"/>
              </w:rPr>
              <w:t>2018-07-02</w:t>
            </w:r>
          </w:p>
        </w:tc>
        <w:tc>
          <w:tcPr>
            <w:tcW w:w="1255" w:type="dxa"/>
            <w:vAlign w:val="center"/>
          </w:tcPr>
          <w:p w:rsidR="00DA6A53" w:rsidRDefault="0077542B">
            <w:pPr>
              <w:jc w:val="right"/>
            </w:pPr>
            <w:r>
              <w:rPr>
                <w:kern w:val="0"/>
                <w:sz w:val="24"/>
              </w:rPr>
              <w:t>99.29</w:t>
            </w:r>
          </w:p>
        </w:tc>
        <w:tc>
          <w:tcPr>
            <w:tcW w:w="1434" w:type="dxa"/>
            <w:vAlign w:val="center"/>
          </w:tcPr>
          <w:p w:rsidR="00DA6A53" w:rsidRDefault="0077542B">
            <w:pPr>
              <w:jc w:val="right"/>
            </w:pPr>
            <w:r>
              <w:rPr>
                <w:kern w:val="0"/>
                <w:sz w:val="24"/>
              </w:rPr>
              <w:t>200,000</w:t>
            </w:r>
          </w:p>
        </w:tc>
        <w:tc>
          <w:tcPr>
            <w:tcW w:w="1828" w:type="dxa"/>
            <w:vAlign w:val="center"/>
          </w:tcPr>
          <w:p w:rsidR="00DA6A53" w:rsidRDefault="0077542B">
            <w:pPr>
              <w:jc w:val="right"/>
            </w:pPr>
            <w:r>
              <w:rPr>
                <w:kern w:val="0"/>
                <w:sz w:val="24"/>
              </w:rPr>
              <w:t>19,858,000.00</w:t>
            </w:r>
          </w:p>
        </w:tc>
      </w:tr>
      <w:tr w:rsidR="00DA6A53">
        <w:tc>
          <w:tcPr>
            <w:tcW w:w="1493" w:type="dxa"/>
            <w:vAlign w:val="center"/>
          </w:tcPr>
          <w:p w:rsidR="00DA6A53" w:rsidRDefault="0077542B">
            <w:pPr>
              <w:jc w:val="center"/>
            </w:pPr>
            <w:r>
              <w:rPr>
                <w:kern w:val="0"/>
                <w:sz w:val="24"/>
              </w:rPr>
              <w:t>111894144</w:t>
            </w:r>
          </w:p>
        </w:tc>
        <w:tc>
          <w:tcPr>
            <w:tcW w:w="1494" w:type="dxa"/>
            <w:vAlign w:val="center"/>
          </w:tcPr>
          <w:p w:rsidR="00DA6A53" w:rsidRDefault="0077542B">
            <w:pPr>
              <w:jc w:val="center"/>
            </w:pPr>
            <w:r>
              <w:rPr>
                <w:kern w:val="0"/>
                <w:sz w:val="24"/>
              </w:rPr>
              <w:t>18</w:t>
            </w:r>
            <w:r>
              <w:rPr>
                <w:kern w:val="0"/>
                <w:sz w:val="24"/>
              </w:rPr>
              <w:t>天津银行</w:t>
            </w:r>
            <w:r>
              <w:rPr>
                <w:kern w:val="0"/>
                <w:sz w:val="24"/>
              </w:rPr>
              <w:t>CD094</w:t>
            </w:r>
          </w:p>
        </w:tc>
        <w:tc>
          <w:tcPr>
            <w:tcW w:w="1494" w:type="dxa"/>
            <w:vAlign w:val="center"/>
          </w:tcPr>
          <w:p w:rsidR="00DA6A53" w:rsidRDefault="0077542B">
            <w:pPr>
              <w:jc w:val="center"/>
            </w:pPr>
            <w:r>
              <w:rPr>
                <w:kern w:val="0"/>
                <w:sz w:val="24"/>
              </w:rPr>
              <w:t>2018-07-02</w:t>
            </w:r>
          </w:p>
        </w:tc>
        <w:tc>
          <w:tcPr>
            <w:tcW w:w="1255" w:type="dxa"/>
            <w:vAlign w:val="center"/>
          </w:tcPr>
          <w:p w:rsidR="00DA6A53" w:rsidRDefault="0077542B">
            <w:pPr>
              <w:jc w:val="right"/>
            </w:pPr>
            <w:r>
              <w:rPr>
                <w:kern w:val="0"/>
                <w:sz w:val="24"/>
              </w:rPr>
              <w:t>99.16</w:t>
            </w:r>
          </w:p>
        </w:tc>
        <w:tc>
          <w:tcPr>
            <w:tcW w:w="1434" w:type="dxa"/>
            <w:vAlign w:val="center"/>
          </w:tcPr>
          <w:p w:rsidR="00DA6A53" w:rsidRDefault="0077542B">
            <w:pPr>
              <w:jc w:val="right"/>
            </w:pPr>
            <w:r>
              <w:rPr>
                <w:kern w:val="0"/>
                <w:sz w:val="24"/>
              </w:rPr>
              <w:t>300,000</w:t>
            </w:r>
          </w:p>
        </w:tc>
        <w:tc>
          <w:tcPr>
            <w:tcW w:w="1828" w:type="dxa"/>
            <w:vAlign w:val="center"/>
          </w:tcPr>
          <w:p w:rsidR="00DA6A53" w:rsidRDefault="0077542B">
            <w:pPr>
              <w:jc w:val="right"/>
            </w:pPr>
            <w:r>
              <w:rPr>
                <w:kern w:val="0"/>
                <w:sz w:val="24"/>
              </w:rPr>
              <w:t>29,748,000.00</w:t>
            </w:r>
          </w:p>
        </w:tc>
      </w:tr>
      <w:tr w:rsidR="00DA6A53">
        <w:tc>
          <w:tcPr>
            <w:tcW w:w="1493" w:type="dxa"/>
            <w:vAlign w:val="center"/>
          </w:tcPr>
          <w:p w:rsidR="00DA6A53" w:rsidRDefault="0077542B">
            <w:pPr>
              <w:jc w:val="center"/>
            </w:pPr>
            <w:r>
              <w:rPr>
                <w:kern w:val="0"/>
                <w:sz w:val="24"/>
              </w:rPr>
              <w:t>111771341</w:t>
            </w:r>
          </w:p>
        </w:tc>
        <w:tc>
          <w:tcPr>
            <w:tcW w:w="1494" w:type="dxa"/>
            <w:vAlign w:val="center"/>
          </w:tcPr>
          <w:p w:rsidR="00DA6A53" w:rsidRDefault="0077542B">
            <w:pPr>
              <w:jc w:val="center"/>
            </w:pPr>
            <w:r>
              <w:rPr>
                <w:kern w:val="0"/>
                <w:sz w:val="24"/>
              </w:rPr>
              <w:t>17</w:t>
            </w:r>
            <w:r>
              <w:rPr>
                <w:kern w:val="0"/>
                <w:sz w:val="24"/>
              </w:rPr>
              <w:t>江西银行</w:t>
            </w:r>
            <w:r>
              <w:rPr>
                <w:kern w:val="0"/>
                <w:sz w:val="24"/>
              </w:rPr>
              <w:t>CD123</w:t>
            </w:r>
          </w:p>
        </w:tc>
        <w:tc>
          <w:tcPr>
            <w:tcW w:w="1494" w:type="dxa"/>
            <w:vAlign w:val="center"/>
          </w:tcPr>
          <w:p w:rsidR="00DA6A53" w:rsidRDefault="0077542B">
            <w:pPr>
              <w:jc w:val="center"/>
            </w:pPr>
            <w:r>
              <w:rPr>
                <w:kern w:val="0"/>
                <w:sz w:val="24"/>
              </w:rPr>
              <w:t>2018-07-02</w:t>
            </w:r>
          </w:p>
        </w:tc>
        <w:tc>
          <w:tcPr>
            <w:tcW w:w="1255" w:type="dxa"/>
            <w:vAlign w:val="center"/>
          </w:tcPr>
          <w:p w:rsidR="00DA6A53" w:rsidRDefault="0077542B">
            <w:pPr>
              <w:jc w:val="right"/>
            </w:pPr>
            <w:r>
              <w:rPr>
                <w:kern w:val="0"/>
                <w:sz w:val="24"/>
              </w:rPr>
              <w:t>99.17</w:t>
            </w:r>
          </w:p>
        </w:tc>
        <w:tc>
          <w:tcPr>
            <w:tcW w:w="1434" w:type="dxa"/>
            <w:vAlign w:val="center"/>
          </w:tcPr>
          <w:p w:rsidR="00DA6A53" w:rsidRDefault="0077542B">
            <w:pPr>
              <w:jc w:val="right"/>
            </w:pPr>
            <w:r>
              <w:rPr>
                <w:kern w:val="0"/>
                <w:sz w:val="24"/>
              </w:rPr>
              <w:t>200,000</w:t>
            </w:r>
          </w:p>
        </w:tc>
        <w:tc>
          <w:tcPr>
            <w:tcW w:w="1828" w:type="dxa"/>
            <w:vAlign w:val="center"/>
          </w:tcPr>
          <w:p w:rsidR="00DA6A53" w:rsidRDefault="0077542B">
            <w:pPr>
              <w:jc w:val="right"/>
            </w:pPr>
            <w:r>
              <w:rPr>
                <w:kern w:val="0"/>
                <w:sz w:val="24"/>
              </w:rPr>
              <w:t>19,834,000.00</w:t>
            </w:r>
          </w:p>
        </w:tc>
      </w:tr>
      <w:tr w:rsidR="00DA6A53">
        <w:tc>
          <w:tcPr>
            <w:tcW w:w="1493" w:type="dxa"/>
            <w:vAlign w:val="center"/>
          </w:tcPr>
          <w:p w:rsidR="00DA6A53" w:rsidRDefault="0077542B">
            <w:pPr>
              <w:jc w:val="center"/>
            </w:pPr>
            <w:r>
              <w:rPr>
                <w:kern w:val="0"/>
                <w:sz w:val="24"/>
              </w:rPr>
              <w:t>111784760</w:t>
            </w:r>
          </w:p>
        </w:tc>
        <w:tc>
          <w:tcPr>
            <w:tcW w:w="1494" w:type="dxa"/>
            <w:vAlign w:val="center"/>
          </w:tcPr>
          <w:p w:rsidR="00DA6A53" w:rsidRDefault="0077542B">
            <w:pPr>
              <w:jc w:val="center"/>
            </w:pPr>
            <w:r>
              <w:rPr>
                <w:kern w:val="0"/>
                <w:sz w:val="24"/>
              </w:rPr>
              <w:t>17</w:t>
            </w:r>
            <w:r>
              <w:rPr>
                <w:kern w:val="0"/>
                <w:sz w:val="24"/>
              </w:rPr>
              <w:t>重庆银行</w:t>
            </w:r>
            <w:r>
              <w:rPr>
                <w:kern w:val="0"/>
                <w:sz w:val="24"/>
              </w:rPr>
              <w:t>CD144</w:t>
            </w:r>
          </w:p>
        </w:tc>
        <w:tc>
          <w:tcPr>
            <w:tcW w:w="1494" w:type="dxa"/>
            <w:vAlign w:val="center"/>
          </w:tcPr>
          <w:p w:rsidR="00DA6A53" w:rsidRDefault="0077542B">
            <w:pPr>
              <w:jc w:val="center"/>
            </w:pPr>
            <w:r>
              <w:rPr>
                <w:kern w:val="0"/>
                <w:sz w:val="24"/>
              </w:rPr>
              <w:t>2018-07-02</w:t>
            </w:r>
          </w:p>
        </w:tc>
        <w:tc>
          <w:tcPr>
            <w:tcW w:w="1255" w:type="dxa"/>
            <w:vAlign w:val="center"/>
          </w:tcPr>
          <w:p w:rsidR="00DA6A53" w:rsidRDefault="0077542B">
            <w:pPr>
              <w:jc w:val="right"/>
            </w:pPr>
            <w:r>
              <w:rPr>
                <w:kern w:val="0"/>
                <w:sz w:val="24"/>
              </w:rPr>
              <w:t>99.24</w:t>
            </w:r>
          </w:p>
        </w:tc>
        <w:tc>
          <w:tcPr>
            <w:tcW w:w="1434" w:type="dxa"/>
            <w:vAlign w:val="center"/>
          </w:tcPr>
          <w:p w:rsidR="00DA6A53" w:rsidRDefault="0077542B">
            <w:pPr>
              <w:jc w:val="right"/>
            </w:pPr>
            <w:r>
              <w:rPr>
                <w:kern w:val="0"/>
                <w:sz w:val="24"/>
              </w:rPr>
              <w:t>700,000</w:t>
            </w:r>
          </w:p>
        </w:tc>
        <w:tc>
          <w:tcPr>
            <w:tcW w:w="1828" w:type="dxa"/>
            <w:vAlign w:val="center"/>
          </w:tcPr>
          <w:p w:rsidR="00DA6A53" w:rsidRDefault="0077542B">
            <w:pPr>
              <w:jc w:val="right"/>
            </w:pPr>
            <w:r>
              <w:rPr>
                <w:kern w:val="0"/>
                <w:sz w:val="24"/>
              </w:rPr>
              <w:t>69,468,000.00</w:t>
            </w:r>
          </w:p>
        </w:tc>
      </w:tr>
      <w:tr w:rsidR="00DA6A53">
        <w:tc>
          <w:tcPr>
            <w:tcW w:w="1493" w:type="dxa"/>
            <w:vAlign w:val="center"/>
          </w:tcPr>
          <w:p w:rsidR="00DA6A53" w:rsidRDefault="0077542B">
            <w:pPr>
              <w:jc w:val="center"/>
            </w:pPr>
            <w:r>
              <w:rPr>
                <w:kern w:val="0"/>
                <w:sz w:val="24"/>
              </w:rPr>
              <w:t>111898010</w:t>
            </w:r>
          </w:p>
        </w:tc>
        <w:tc>
          <w:tcPr>
            <w:tcW w:w="1494" w:type="dxa"/>
            <w:vAlign w:val="center"/>
          </w:tcPr>
          <w:p w:rsidR="00DA6A53" w:rsidRDefault="0077542B">
            <w:pPr>
              <w:jc w:val="center"/>
            </w:pPr>
            <w:r>
              <w:rPr>
                <w:kern w:val="0"/>
                <w:sz w:val="24"/>
              </w:rPr>
              <w:t>18</w:t>
            </w:r>
            <w:r>
              <w:rPr>
                <w:kern w:val="0"/>
                <w:sz w:val="24"/>
              </w:rPr>
              <w:t>广西北部湾银行</w:t>
            </w:r>
            <w:r>
              <w:rPr>
                <w:kern w:val="0"/>
                <w:sz w:val="24"/>
              </w:rPr>
              <w:t>CD097</w:t>
            </w:r>
          </w:p>
        </w:tc>
        <w:tc>
          <w:tcPr>
            <w:tcW w:w="1494" w:type="dxa"/>
            <w:vAlign w:val="center"/>
          </w:tcPr>
          <w:p w:rsidR="00DA6A53" w:rsidRDefault="0077542B">
            <w:pPr>
              <w:jc w:val="center"/>
            </w:pPr>
            <w:r>
              <w:rPr>
                <w:kern w:val="0"/>
                <w:sz w:val="24"/>
              </w:rPr>
              <w:t>2018-07-02</w:t>
            </w:r>
          </w:p>
        </w:tc>
        <w:tc>
          <w:tcPr>
            <w:tcW w:w="1255" w:type="dxa"/>
            <w:vAlign w:val="center"/>
          </w:tcPr>
          <w:p w:rsidR="00DA6A53" w:rsidRDefault="0077542B">
            <w:pPr>
              <w:jc w:val="right"/>
            </w:pPr>
            <w:r>
              <w:rPr>
                <w:kern w:val="0"/>
                <w:sz w:val="24"/>
              </w:rPr>
              <w:t>99.37</w:t>
            </w:r>
          </w:p>
        </w:tc>
        <w:tc>
          <w:tcPr>
            <w:tcW w:w="1434" w:type="dxa"/>
            <w:vAlign w:val="center"/>
          </w:tcPr>
          <w:p w:rsidR="00DA6A53" w:rsidRDefault="0077542B">
            <w:pPr>
              <w:jc w:val="right"/>
            </w:pPr>
            <w:r>
              <w:rPr>
                <w:kern w:val="0"/>
                <w:sz w:val="24"/>
              </w:rPr>
              <w:t>300,000</w:t>
            </w:r>
          </w:p>
        </w:tc>
        <w:tc>
          <w:tcPr>
            <w:tcW w:w="1828" w:type="dxa"/>
            <w:vAlign w:val="center"/>
          </w:tcPr>
          <w:p w:rsidR="00DA6A53" w:rsidRDefault="0077542B">
            <w:pPr>
              <w:jc w:val="right"/>
            </w:pPr>
            <w:r>
              <w:rPr>
                <w:kern w:val="0"/>
                <w:sz w:val="24"/>
              </w:rPr>
              <w:t>29,811,000.00</w:t>
            </w:r>
          </w:p>
        </w:tc>
      </w:tr>
      <w:tr w:rsidR="00DA6A53">
        <w:tc>
          <w:tcPr>
            <w:tcW w:w="1493" w:type="dxa"/>
            <w:vAlign w:val="center"/>
          </w:tcPr>
          <w:p w:rsidR="00DA6A53" w:rsidRDefault="0077542B">
            <w:pPr>
              <w:jc w:val="center"/>
            </w:pPr>
            <w:r>
              <w:rPr>
                <w:kern w:val="0"/>
                <w:sz w:val="24"/>
              </w:rPr>
              <w:t>011800573</w:t>
            </w:r>
          </w:p>
        </w:tc>
        <w:tc>
          <w:tcPr>
            <w:tcW w:w="1494" w:type="dxa"/>
            <w:vAlign w:val="center"/>
          </w:tcPr>
          <w:p w:rsidR="00DA6A53" w:rsidRDefault="0077542B">
            <w:pPr>
              <w:jc w:val="center"/>
            </w:pPr>
            <w:r>
              <w:rPr>
                <w:kern w:val="0"/>
                <w:sz w:val="24"/>
              </w:rPr>
              <w:t>18</w:t>
            </w:r>
            <w:r>
              <w:rPr>
                <w:kern w:val="0"/>
                <w:sz w:val="24"/>
              </w:rPr>
              <w:t>招商局</w:t>
            </w:r>
            <w:r>
              <w:rPr>
                <w:kern w:val="0"/>
                <w:sz w:val="24"/>
              </w:rPr>
              <w:t>SCP003</w:t>
            </w:r>
          </w:p>
        </w:tc>
        <w:tc>
          <w:tcPr>
            <w:tcW w:w="1494" w:type="dxa"/>
            <w:vAlign w:val="center"/>
          </w:tcPr>
          <w:p w:rsidR="00DA6A53" w:rsidRDefault="0077542B">
            <w:pPr>
              <w:jc w:val="center"/>
            </w:pPr>
            <w:r>
              <w:rPr>
                <w:kern w:val="0"/>
                <w:sz w:val="24"/>
              </w:rPr>
              <w:t>2018-07-02</w:t>
            </w:r>
          </w:p>
        </w:tc>
        <w:tc>
          <w:tcPr>
            <w:tcW w:w="1255" w:type="dxa"/>
            <w:vAlign w:val="center"/>
          </w:tcPr>
          <w:p w:rsidR="00DA6A53" w:rsidRDefault="0077542B">
            <w:pPr>
              <w:jc w:val="right"/>
            </w:pPr>
            <w:r>
              <w:rPr>
                <w:kern w:val="0"/>
                <w:sz w:val="24"/>
              </w:rPr>
              <w:t>100.37</w:t>
            </w:r>
          </w:p>
        </w:tc>
        <w:tc>
          <w:tcPr>
            <w:tcW w:w="1434" w:type="dxa"/>
            <w:vAlign w:val="center"/>
          </w:tcPr>
          <w:p w:rsidR="00DA6A53" w:rsidRDefault="0077542B">
            <w:pPr>
              <w:jc w:val="right"/>
            </w:pPr>
            <w:r>
              <w:rPr>
                <w:kern w:val="0"/>
                <w:sz w:val="24"/>
              </w:rPr>
              <w:t>853,000</w:t>
            </w:r>
          </w:p>
        </w:tc>
        <w:tc>
          <w:tcPr>
            <w:tcW w:w="1828" w:type="dxa"/>
            <w:vAlign w:val="center"/>
          </w:tcPr>
          <w:p w:rsidR="00DA6A53" w:rsidRDefault="0077542B">
            <w:pPr>
              <w:jc w:val="right"/>
            </w:pPr>
            <w:r>
              <w:rPr>
                <w:kern w:val="0"/>
                <w:sz w:val="24"/>
              </w:rPr>
              <w:t>85,615,610.00</w:t>
            </w:r>
          </w:p>
        </w:tc>
      </w:tr>
      <w:tr w:rsidR="00DA6A53">
        <w:tc>
          <w:tcPr>
            <w:tcW w:w="1493" w:type="dxa"/>
            <w:vAlign w:val="center"/>
          </w:tcPr>
          <w:p w:rsidR="00DA6A53" w:rsidRDefault="0077542B">
            <w:pPr>
              <w:jc w:val="center"/>
            </w:pPr>
            <w:r>
              <w:rPr>
                <w:kern w:val="0"/>
                <w:sz w:val="24"/>
              </w:rPr>
              <w:t>111898916</w:t>
            </w:r>
          </w:p>
        </w:tc>
        <w:tc>
          <w:tcPr>
            <w:tcW w:w="1494" w:type="dxa"/>
            <w:vAlign w:val="center"/>
          </w:tcPr>
          <w:p w:rsidR="00DA6A53" w:rsidRDefault="0077542B">
            <w:pPr>
              <w:jc w:val="center"/>
            </w:pPr>
            <w:r>
              <w:rPr>
                <w:kern w:val="0"/>
                <w:sz w:val="24"/>
              </w:rPr>
              <w:t>18</w:t>
            </w:r>
            <w:r>
              <w:rPr>
                <w:kern w:val="0"/>
                <w:sz w:val="24"/>
              </w:rPr>
              <w:t>徽商银行</w:t>
            </w:r>
            <w:r>
              <w:rPr>
                <w:kern w:val="0"/>
                <w:sz w:val="24"/>
              </w:rPr>
              <w:t>CD087</w:t>
            </w:r>
          </w:p>
        </w:tc>
        <w:tc>
          <w:tcPr>
            <w:tcW w:w="1494" w:type="dxa"/>
            <w:vAlign w:val="center"/>
          </w:tcPr>
          <w:p w:rsidR="00DA6A53" w:rsidRDefault="0077542B">
            <w:pPr>
              <w:jc w:val="center"/>
            </w:pPr>
            <w:r>
              <w:rPr>
                <w:kern w:val="0"/>
                <w:sz w:val="24"/>
              </w:rPr>
              <w:t>2018-07-02</w:t>
            </w:r>
          </w:p>
        </w:tc>
        <w:tc>
          <w:tcPr>
            <w:tcW w:w="1255" w:type="dxa"/>
            <w:vAlign w:val="center"/>
          </w:tcPr>
          <w:p w:rsidR="00DA6A53" w:rsidRDefault="0077542B">
            <w:pPr>
              <w:jc w:val="right"/>
            </w:pPr>
            <w:r>
              <w:rPr>
                <w:kern w:val="0"/>
                <w:sz w:val="24"/>
              </w:rPr>
              <w:t>99.25</w:t>
            </w:r>
          </w:p>
        </w:tc>
        <w:tc>
          <w:tcPr>
            <w:tcW w:w="1434" w:type="dxa"/>
            <w:vAlign w:val="center"/>
          </w:tcPr>
          <w:p w:rsidR="00DA6A53" w:rsidRDefault="0077542B">
            <w:pPr>
              <w:jc w:val="right"/>
            </w:pPr>
            <w:r>
              <w:rPr>
                <w:kern w:val="0"/>
                <w:sz w:val="24"/>
              </w:rPr>
              <w:t>1,000,000</w:t>
            </w:r>
          </w:p>
        </w:tc>
        <w:tc>
          <w:tcPr>
            <w:tcW w:w="1828" w:type="dxa"/>
            <w:vAlign w:val="center"/>
          </w:tcPr>
          <w:p w:rsidR="00DA6A53" w:rsidRDefault="0077542B">
            <w:pPr>
              <w:jc w:val="right"/>
            </w:pPr>
            <w:r>
              <w:rPr>
                <w:kern w:val="0"/>
                <w:sz w:val="24"/>
              </w:rPr>
              <w:t>99,250,000.00</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4,005,000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398,529,010.00</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B54CAD">
      <w:pPr>
        <w:pStyle w:val="1"/>
        <w:keepNext/>
        <w:keepLines/>
        <w:widowControl w:val="0"/>
        <w:spacing w:beforeLines="100" w:before="312" w:afterLines="100" w:after="312" w:line="288" w:lineRule="auto"/>
        <w:jc w:val="center"/>
        <w:rPr>
          <w:b/>
          <w:bCs/>
          <w:szCs w:val="24"/>
          <w:lang w:val="en-US"/>
        </w:rPr>
      </w:pPr>
      <w:bookmarkStart w:id="17" w:name="_Toc331410101"/>
      <w:bookmarkStart w:id="18" w:name="_Toc225498272"/>
      <w:r w:rsidRPr="0061644B">
        <w:rPr>
          <w:b/>
          <w:bCs/>
          <w:szCs w:val="24"/>
          <w:lang w:val="en-US"/>
        </w:rPr>
        <w:t>7</w:t>
      </w:r>
      <w:r w:rsidR="006D141C" w:rsidRPr="0061644B">
        <w:rPr>
          <w:b/>
          <w:bCs/>
          <w:szCs w:val="24"/>
          <w:lang w:val="en-US"/>
        </w:rPr>
        <w:t>投资组合报告</w:t>
      </w:r>
      <w:bookmarkEnd w:id="17"/>
      <w:bookmarkEnd w:id="18"/>
    </w:p>
    <w:p w:rsidR="006D141C" w:rsidRPr="0061644B" w:rsidRDefault="006D141C" w:rsidP="00792A69">
      <w:pPr>
        <w:pStyle w:val="20"/>
        <w:spacing w:before="29" w:after="0" w:line="288" w:lineRule="auto"/>
        <w:rPr>
          <w:rFonts w:ascii="Times New Roman" w:hAnsi="Times New Roman" w:cs="Times New Roman"/>
          <w:kern w:val="0"/>
          <w:szCs w:val="24"/>
        </w:rPr>
      </w:pPr>
      <w:bookmarkStart w:id="19" w:name="_Toc331410102"/>
      <w:bookmarkStart w:id="20"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9"/>
      <w:bookmarkEnd w:id="20"/>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1,254,005,924.92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54.08</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1,254,005,924.92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54.08</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469,346,344.02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20.24</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587,587,115.92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25.34</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7,884,856.83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0.34</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2,318,824,241.69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21" w:name="_Toc331410103"/>
      <w:bookmarkStart w:id="22" w:name="_Toc225498274"/>
      <w:r w:rsidRPr="0061644B">
        <w:rPr>
          <w:rFonts w:ascii="Times New Roman" w:hAnsi="Times New Roman" w:cs="Times New Roman"/>
          <w:szCs w:val="24"/>
        </w:rPr>
        <w:t>7.2</w:t>
      </w:r>
      <w:bookmarkEnd w:id="21"/>
      <w:bookmarkEnd w:id="22"/>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13.42</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379,118,089.32</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19.56</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3" w:name="_Toc247957040"/>
      <w:bookmarkStart w:id="24"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3"/>
      <w:bookmarkEnd w:id="24"/>
    </w:p>
    <w:p w:rsidR="002313DE" w:rsidRPr="0061644B" w:rsidRDefault="00985B68" w:rsidP="00792A69">
      <w:pPr>
        <w:tabs>
          <w:tab w:val="left" w:pos="426"/>
        </w:tabs>
        <w:spacing w:before="29" w:line="288" w:lineRule="auto"/>
        <w:jc w:val="left"/>
        <w:rPr>
          <w:kern w:val="0"/>
          <w:sz w:val="24"/>
        </w:rPr>
      </w:pPr>
      <w:r w:rsidRPr="0061644B">
        <w:rPr>
          <w:kern w:val="0"/>
          <w:sz w:val="24"/>
        </w:rPr>
        <w:t>本基金本报告期内债券正回购的资金余额未超过资产净值的</w:t>
      </w:r>
      <w:r w:rsidRPr="0061644B">
        <w:rPr>
          <w:kern w:val="0"/>
          <w:sz w:val="24"/>
        </w:rPr>
        <w:t>20%</w:t>
      </w:r>
      <w:r w:rsidRPr="0061644B">
        <w:rPr>
          <w:kern w:val="0"/>
          <w:sz w:val="24"/>
        </w:rPr>
        <w:t>。</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5" w:name="_Toc275523745"/>
      <w:r w:rsidRPr="0061644B">
        <w:rPr>
          <w:b/>
          <w:bCs/>
          <w:sz w:val="24"/>
        </w:rPr>
        <w:t>7.3</w:t>
      </w:r>
      <w:bookmarkEnd w:id="25"/>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56</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59</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29</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DA6A53" w:rsidRDefault="0077542B">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本基金合同约定：</w:t>
      </w:r>
      <w:r>
        <w:rPr>
          <w:rFonts w:eastAsiaTheme="minorEastAsia"/>
          <w:color w:val="000000" w:themeColor="text1"/>
          <w:sz w:val="24"/>
        </w:rPr>
        <w:t>“</w:t>
      </w:r>
      <w:r>
        <w:rPr>
          <w:rFonts w:eastAsiaTheme="minorEastAsia"/>
          <w:color w:val="000000" w:themeColor="text1"/>
          <w:sz w:val="24"/>
        </w:rPr>
        <w:t>本基金投资组合的平均剩余期限在每个交易日均不得超过</w:t>
      </w:r>
      <w:r>
        <w:rPr>
          <w:rFonts w:eastAsiaTheme="minorEastAsia"/>
          <w:color w:val="000000" w:themeColor="text1"/>
          <w:sz w:val="24"/>
        </w:rPr>
        <w:t>120</w:t>
      </w:r>
      <w:r>
        <w:rPr>
          <w:rFonts w:eastAsiaTheme="minorEastAsia"/>
          <w:color w:val="000000" w:themeColor="text1"/>
          <w:sz w:val="24"/>
        </w:rPr>
        <w:t>天</w:t>
      </w:r>
      <w:r>
        <w:rPr>
          <w:rFonts w:eastAsiaTheme="minorEastAsia"/>
          <w:color w:val="000000" w:themeColor="text1"/>
          <w:sz w:val="24"/>
        </w:rPr>
        <w:t>”</w:t>
      </w:r>
      <w:r>
        <w:rPr>
          <w:rFonts w:eastAsiaTheme="minorEastAsia"/>
          <w:color w:val="000000" w:themeColor="text1"/>
          <w:sz w:val="24"/>
        </w:rPr>
        <w:t>。</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本报告期内，本基金未发生超标情况。</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26.82</w:t>
            </w:r>
          </w:p>
        </w:tc>
        <w:tc>
          <w:tcPr>
            <w:tcW w:w="2550" w:type="dxa"/>
            <w:vAlign w:val="center"/>
          </w:tcPr>
          <w:p w:rsidR="004339AD" w:rsidRPr="0061644B" w:rsidRDefault="004339AD" w:rsidP="00792A69">
            <w:pPr>
              <w:spacing w:before="29" w:line="288" w:lineRule="auto"/>
              <w:jc w:val="right"/>
              <w:rPr>
                <w:sz w:val="24"/>
              </w:rPr>
            </w:pPr>
            <w:r w:rsidRPr="0061644B">
              <w:rPr>
                <w:sz w:val="24"/>
              </w:rPr>
              <w:t>19.56</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15.93</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76.46</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119.21</w:t>
            </w:r>
          </w:p>
        </w:tc>
        <w:tc>
          <w:tcPr>
            <w:tcW w:w="2550" w:type="dxa"/>
            <w:vAlign w:val="center"/>
          </w:tcPr>
          <w:p w:rsidR="001E0231" w:rsidRPr="0061644B" w:rsidRDefault="001E0231" w:rsidP="00792A69">
            <w:pPr>
              <w:spacing w:before="29" w:line="288" w:lineRule="auto"/>
              <w:jc w:val="right"/>
              <w:rPr>
                <w:sz w:val="24"/>
              </w:rPr>
            </w:pPr>
            <w:r w:rsidRPr="0061644B">
              <w:rPr>
                <w:sz w:val="24"/>
              </w:rPr>
              <w:t>19.56</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本基金本报告期内投资组合平均剩余存续期限未超过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6"/>
      <w:bookmarkStart w:id="27"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6"/>
      <w:bookmarkEnd w:id="27"/>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19,929,756.74</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1.03</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89,691,953.81</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4.63</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89,691,953.81</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4.63</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440,494,519.27</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22.72</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703,889,695.10</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36.31</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1,254,005,924.92</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64.69</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8" w:name="_Toc331410107"/>
      <w:r w:rsidRPr="0061644B">
        <w:rPr>
          <w:rFonts w:ascii="Times New Roman" w:hAnsi="Times New Roman" w:cs="Times New Roman"/>
          <w:kern w:val="0"/>
          <w:szCs w:val="24"/>
        </w:rPr>
        <w:t>7.6</w:t>
      </w:r>
      <w:bookmarkEnd w:id="28"/>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DA6A53">
        <w:tc>
          <w:tcPr>
            <w:tcW w:w="778" w:type="dxa"/>
            <w:vAlign w:val="center"/>
          </w:tcPr>
          <w:p w:rsidR="00DA6A53" w:rsidRDefault="0077542B">
            <w:pPr>
              <w:jc w:val="center"/>
            </w:pPr>
            <w:r>
              <w:rPr>
                <w:sz w:val="24"/>
              </w:rPr>
              <w:t>1</w:t>
            </w:r>
          </w:p>
        </w:tc>
        <w:tc>
          <w:tcPr>
            <w:tcW w:w="1348" w:type="dxa"/>
            <w:vAlign w:val="center"/>
          </w:tcPr>
          <w:p w:rsidR="00DA6A53" w:rsidRDefault="0077542B">
            <w:pPr>
              <w:jc w:val="center"/>
            </w:pPr>
            <w:r>
              <w:rPr>
                <w:sz w:val="24"/>
              </w:rPr>
              <w:t>011800573</w:t>
            </w:r>
          </w:p>
        </w:tc>
        <w:tc>
          <w:tcPr>
            <w:tcW w:w="1787" w:type="dxa"/>
            <w:vAlign w:val="center"/>
          </w:tcPr>
          <w:p w:rsidR="00DA6A53" w:rsidRDefault="0077542B">
            <w:pPr>
              <w:jc w:val="center"/>
            </w:pPr>
            <w:r>
              <w:rPr>
                <w:sz w:val="24"/>
              </w:rPr>
              <w:t>18</w:t>
            </w:r>
            <w:r>
              <w:rPr>
                <w:sz w:val="24"/>
              </w:rPr>
              <w:t>招商局</w:t>
            </w:r>
            <w:r>
              <w:rPr>
                <w:sz w:val="24"/>
              </w:rPr>
              <w:t>SCP003</w:t>
            </w:r>
          </w:p>
        </w:tc>
        <w:tc>
          <w:tcPr>
            <w:tcW w:w="1756" w:type="dxa"/>
            <w:vAlign w:val="center"/>
          </w:tcPr>
          <w:p w:rsidR="00DA6A53" w:rsidRDefault="0077542B">
            <w:pPr>
              <w:jc w:val="center"/>
            </w:pPr>
            <w:r>
              <w:rPr>
                <w:sz w:val="24"/>
              </w:rPr>
              <w:t>1,000,000</w:t>
            </w:r>
          </w:p>
        </w:tc>
        <w:tc>
          <w:tcPr>
            <w:tcW w:w="2008" w:type="dxa"/>
            <w:vAlign w:val="center"/>
          </w:tcPr>
          <w:p w:rsidR="00DA6A53" w:rsidRDefault="0077542B">
            <w:pPr>
              <w:jc w:val="center"/>
            </w:pPr>
            <w:r>
              <w:rPr>
                <w:sz w:val="24"/>
              </w:rPr>
              <w:t>100,246,021.92</w:t>
            </w:r>
          </w:p>
        </w:tc>
        <w:tc>
          <w:tcPr>
            <w:tcW w:w="1542" w:type="dxa"/>
            <w:vAlign w:val="center"/>
          </w:tcPr>
          <w:p w:rsidR="00DA6A53" w:rsidRDefault="0077542B">
            <w:pPr>
              <w:jc w:val="center"/>
            </w:pPr>
            <w:r>
              <w:rPr>
                <w:sz w:val="24"/>
              </w:rPr>
              <w:t>5.17</w:t>
            </w:r>
          </w:p>
        </w:tc>
      </w:tr>
      <w:tr w:rsidR="00DA6A53">
        <w:tc>
          <w:tcPr>
            <w:tcW w:w="778" w:type="dxa"/>
            <w:vAlign w:val="center"/>
          </w:tcPr>
          <w:p w:rsidR="00DA6A53" w:rsidRDefault="0077542B">
            <w:pPr>
              <w:jc w:val="center"/>
            </w:pPr>
            <w:r>
              <w:rPr>
                <w:sz w:val="24"/>
              </w:rPr>
              <w:t>2</w:t>
            </w:r>
          </w:p>
        </w:tc>
        <w:tc>
          <w:tcPr>
            <w:tcW w:w="1348" w:type="dxa"/>
            <w:vAlign w:val="center"/>
          </w:tcPr>
          <w:p w:rsidR="00DA6A53" w:rsidRDefault="0077542B">
            <w:pPr>
              <w:jc w:val="center"/>
            </w:pPr>
            <w:r>
              <w:rPr>
                <w:sz w:val="24"/>
              </w:rPr>
              <w:t>071800019</w:t>
            </w:r>
          </w:p>
        </w:tc>
        <w:tc>
          <w:tcPr>
            <w:tcW w:w="1787" w:type="dxa"/>
            <w:vAlign w:val="center"/>
          </w:tcPr>
          <w:p w:rsidR="00DA6A53" w:rsidRDefault="0077542B">
            <w:pPr>
              <w:jc w:val="center"/>
            </w:pPr>
            <w:r>
              <w:rPr>
                <w:sz w:val="24"/>
              </w:rPr>
              <w:t>18</w:t>
            </w:r>
            <w:r>
              <w:rPr>
                <w:sz w:val="24"/>
              </w:rPr>
              <w:t>国泰君安</w:t>
            </w:r>
            <w:r>
              <w:rPr>
                <w:sz w:val="24"/>
              </w:rPr>
              <w:t>CP004</w:t>
            </w:r>
          </w:p>
        </w:tc>
        <w:tc>
          <w:tcPr>
            <w:tcW w:w="1756" w:type="dxa"/>
            <w:vAlign w:val="center"/>
          </w:tcPr>
          <w:p w:rsidR="00DA6A53" w:rsidRDefault="0077542B">
            <w:pPr>
              <w:jc w:val="center"/>
            </w:pPr>
            <w:r>
              <w:rPr>
                <w:sz w:val="24"/>
              </w:rPr>
              <w:t>1,000,000</w:t>
            </w:r>
          </w:p>
        </w:tc>
        <w:tc>
          <w:tcPr>
            <w:tcW w:w="2008" w:type="dxa"/>
            <w:vAlign w:val="center"/>
          </w:tcPr>
          <w:p w:rsidR="00DA6A53" w:rsidRDefault="0077542B">
            <w:pPr>
              <w:jc w:val="center"/>
            </w:pPr>
            <w:r>
              <w:rPr>
                <w:sz w:val="24"/>
              </w:rPr>
              <w:t>100,030,008.03</w:t>
            </w:r>
          </w:p>
        </w:tc>
        <w:tc>
          <w:tcPr>
            <w:tcW w:w="1542" w:type="dxa"/>
            <w:vAlign w:val="center"/>
          </w:tcPr>
          <w:p w:rsidR="00DA6A53" w:rsidRDefault="0077542B">
            <w:pPr>
              <w:jc w:val="center"/>
            </w:pPr>
            <w:r>
              <w:rPr>
                <w:sz w:val="24"/>
              </w:rPr>
              <w:t>5.16</w:t>
            </w:r>
          </w:p>
        </w:tc>
      </w:tr>
      <w:tr w:rsidR="00DA6A53">
        <w:tc>
          <w:tcPr>
            <w:tcW w:w="778" w:type="dxa"/>
            <w:vAlign w:val="center"/>
          </w:tcPr>
          <w:p w:rsidR="00DA6A53" w:rsidRDefault="0077542B">
            <w:pPr>
              <w:jc w:val="center"/>
            </w:pPr>
            <w:r>
              <w:rPr>
                <w:sz w:val="24"/>
              </w:rPr>
              <w:t>3</w:t>
            </w:r>
          </w:p>
        </w:tc>
        <w:tc>
          <w:tcPr>
            <w:tcW w:w="1348" w:type="dxa"/>
            <w:vAlign w:val="center"/>
          </w:tcPr>
          <w:p w:rsidR="00DA6A53" w:rsidRDefault="0077542B">
            <w:pPr>
              <w:jc w:val="center"/>
            </w:pPr>
            <w:r>
              <w:rPr>
                <w:sz w:val="24"/>
              </w:rPr>
              <w:t>111814089</w:t>
            </w:r>
          </w:p>
        </w:tc>
        <w:tc>
          <w:tcPr>
            <w:tcW w:w="1787" w:type="dxa"/>
            <w:vAlign w:val="center"/>
          </w:tcPr>
          <w:p w:rsidR="00DA6A53" w:rsidRDefault="0077542B">
            <w:pPr>
              <w:jc w:val="center"/>
            </w:pPr>
            <w:r>
              <w:rPr>
                <w:sz w:val="24"/>
              </w:rPr>
              <w:t>18</w:t>
            </w:r>
            <w:r>
              <w:rPr>
                <w:sz w:val="24"/>
              </w:rPr>
              <w:t>江苏银行</w:t>
            </w:r>
            <w:r>
              <w:rPr>
                <w:sz w:val="24"/>
              </w:rPr>
              <w:t>CD089</w:t>
            </w:r>
          </w:p>
        </w:tc>
        <w:tc>
          <w:tcPr>
            <w:tcW w:w="1756" w:type="dxa"/>
            <w:vAlign w:val="center"/>
          </w:tcPr>
          <w:p w:rsidR="00DA6A53" w:rsidRDefault="0077542B">
            <w:pPr>
              <w:jc w:val="center"/>
            </w:pPr>
            <w:r>
              <w:rPr>
                <w:sz w:val="24"/>
              </w:rPr>
              <w:t>1,000,000</w:t>
            </w:r>
          </w:p>
        </w:tc>
        <w:tc>
          <w:tcPr>
            <w:tcW w:w="2008" w:type="dxa"/>
            <w:vAlign w:val="center"/>
          </w:tcPr>
          <w:p w:rsidR="00DA6A53" w:rsidRDefault="0077542B">
            <w:pPr>
              <w:jc w:val="center"/>
            </w:pPr>
            <w:r>
              <w:rPr>
                <w:sz w:val="24"/>
              </w:rPr>
              <w:t>99,291,494.66</w:t>
            </w:r>
          </w:p>
        </w:tc>
        <w:tc>
          <w:tcPr>
            <w:tcW w:w="1542" w:type="dxa"/>
            <w:vAlign w:val="center"/>
          </w:tcPr>
          <w:p w:rsidR="00DA6A53" w:rsidRDefault="0077542B">
            <w:pPr>
              <w:jc w:val="center"/>
            </w:pPr>
            <w:r>
              <w:rPr>
                <w:sz w:val="24"/>
              </w:rPr>
              <w:t>5.12</w:t>
            </w:r>
          </w:p>
        </w:tc>
      </w:tr>
      <w:tr w:rsidR="00DA6A53">
        <w:tc>
          <w:tcPr>
            <w:tcW w:w="778" w:type="dxa"/>
            <w:vAlign w:val="center"/>
          </w:tcPr>
          <w:p w:rsidR="00DA6A53" w:rsidRDefault="0077542B">
            <w:pPr>
              <w:jc w:val="center"/>
            </w:pPr>
            <w:r>
              <w:rPr>
                <w:sz w:val="24"/>
              </w:rPr>
              <w:t>4</w:t>
            </w:r>
          </w:p>
        </w:tc>
        <w:tc>
          <w:tcPr>
            <w:tcW w:w="1348" w:type="dxa"/>
            <w:vAlign w:val="center"/>
          </w:tcPr>
          <w:p w:rsidR="00DA6A53" w:rsidRDefault="0077542B">
            <w:pPr>
              <w:jc w:val="center"/>
            </w:pPr>
            <w:r>
              <w:rPr>
                <w:sz w:val="24"/>
              </w:rPr>
              <w:t>111819245</w:t>
            </w:r>
          </w:p>
        </w:tc>
        <w:tc>
          <w:tcPr>
            <w:tcW w:w="1787" w:type="dxa"/>
            <w:vAlign w:val="center"/>
          </w:tcPr>
          <w:p w:rsidR="00DA6A53" w:rsidRDefault="0077542B">
            <w:pPr>
              <w:jc w:val="center"/>
            </w:pPr>
            <w:r>
              <w:rPr>
                <w:sz w:val="24"/>
              </w:rPr>
              <w:t>18</w:t>
            </w:r>
            <w:r>
              <w:rPr>
                <w:sz w:val="24"/>
              </w:rPr>
              <w:t>恒丰银行</w:t>
            </w:r>
            <w:r>
              <w:rPr>
                <w:sz w:val="24"/>
              </w:rPr>
              <w:t>CD245</w:t>
            </w:r>
          </w:p>
        </w:tc>
        <w:tc>
          <w:tcPr>
            <w:tcW w:w="1756" w:type="dxa"/>
            <w:vAlign w:val="center"/>
          </w:tcPr>
          <w:p w:rsidR="00DA6A53" w:rsidRDefault="0077542B">
            <w:pPr>
              <w:jc w:val="center"/>
            </w:pPr>
            <w:r>
              <w:rPr>
                <w:sz w:val="24"/>
              </w:rPr>
              <w:t>1,000,000</w:t>
            </w:r>
          </w:p>
        </w:tc>
        <w:tc>
          <w:tcPr>
            <w:tcW w:w="2008" w:type="dxa"/>
            <w:vAlign w:val="center"/>
          </w:tcPr>
          <w:p w:rsidR="00DA6A53" w:rsidRDefault="0077542B">
            <w:pPr>
              <w:jc w:val="center"/>
            </w:pPr>
            <w:r>
              <w:rPr>
                <w:sz w:val="24"/>
              </w:rPr>
              <w:t>99,105,773.94</w:t>
            </w:r>
          </w:p>
        </w:tc>
        <w:tc>
          <w:tcPr>
            <w:tcW w:w="1542" w:type="dxa"/>
            <w:vAlign w:val="center"/>
          </w:tcPr>
          <w:p w:rsidR="00DA6A53" w:rsidRDefault="0077542B">
            <w:pPr>
              <w:jc w:val="center"/>
            </w:pPr>
            <w:r>
              <w:rPr>
                <w:sz w:val="24"/>
              </w:rPr>
              <w:t>5.11</w:t>
            </w:r>
          </w:p>
        </w:tc>
      </w:tr>
      <w:tr w:rsidR="00DA6A53">
        <w:tc>
          <w:tcPr>
            <w:tcW w:w="778" w:type="dxa"/>
            <w:vAlign w:val="center"/>
          </w:tcPr>
          <w:p w:rsidR="00DA6A53" w:rsidRDefault="0077542B">
            <w:pPr>
              <w:jc w:val="center"/>
            </w:pPr>
            <w:r>
              <w:rPr>
                <w:sz w:val="24"/>
              </w:rPr>
              <w:t>5</w:t>
            </w:r>
          </w:p>
        </w:tc>
        <w:tc>
          <w:tcPr>
            <w:tcW w:w="1348" w:type="dxa"/>
            <w:vAlign w:val="center"/>
          </w:tcPr>
          <w:p w:rsidR="00DA6A53" w:rsidRDefault="0077542B">
            <w:pPr>
              <w:jc w:val="center"/>
            </w:pPr>
            <w:r>
              <w:rPr>
                <w:sz w:val="24"/>
              </w:rPr>
              <w:t>111898916</w:t>
            </w:r>
          </w:p>
        </w:tc>
        <w:tc>
          <w:tcPr>
            <w:tcW w:w="1787" w:type="dxa"/>
            <w:vAlign w:val="center"/>
          </w:tcPr>
          <w:p w:rsidR="00DA6A53" w:rsidRDefault="0077542B">
            <w:pPr>
              <w:jc w:val="center"/>
            </w:pPr>
            <w:r>
              <w:rPr>
                <w:sz w:val="24"/>
              </w:rPr>
              <w:t>18</w:t>
            </w:r>
            <w:r>
              <w:rPr>
                <w:sz w:val="24"/>
              </w:rPr>
              <w:t>徽商银行</w:t>
            </w:r>
            <w:r>
              <w:rPr>
                <w:sz w:val="24"/>
              </w:rPr>
              <w:t>CD087</w:t>
            </w:r>
          </w:p>
        </w:tc>
        <w:tc>
          <w:tcPr>
            <w:tcW w:w="1756" w:type="dxa"/>
            <w:vAlign w:val="center"/>
          </w:tcPr>
          <w:p w:rsidR="00DA6A53" w:rsidRDefault="0077542B">
            <w:pPr>
              <w:jc w:val="center"/>
            </w:pPr>
            <w:r>
              <w:rPr>
                <w:sz w:val="24"/>
              </w:rPr>
              <w:t>1,000,000</w:t>
            </w:r>
          </w:p>
        </w:tc>
        <w:tc>
          <w:tcPr>
            <w:tcW w:w="2008" w:type="dxa"/>
            <w:vAlign w:val="center"/>
          </w:tcPr>
          <w:p w:rsidR="00DA6A53" w:rsidRDefault="0077542B">
            <w:pPr>
              <w:jc w:val="center"/>
            </w:pPr>
            <w:r>
              <w:rPr>
                <w:sz w:val="24"/>
              </w:rPr>
              <w:t>99,105,773.94</w:t>
            </w:r>
          </w:p>
        </w:tc>
        <w:tc>
          <w:tcPr>
            <w:tcW w:w="1542" w:type="dxa"/>
            <w:vAlign w:val="center"/>
          </w:tcPr>
          <w:p w:rsidR="00DA6A53" w:rsidRDefault="0077542B">
            <w:pPr>
              <w:jc w:val="center"/>
            </w:pPr>
            <w:r>
              <w:rPr>
                <w:sz w:val="24"/>
              </w:rPr>
              <w:t>5.11</w:t>
            </w:r>
          </w:p>
        </w:tc>
      </w:tr>
      <w:tr w:rsidR="00DA6A53">
        <w:tc>
          <w:tcPr>
            <w:tcW w:w="778" w:type="dxa"/>
            <w:vAlign w:val="center"/>
          </w:tcPr>
          <w:p w:rsidR="00DA6A53" w:rsidRDefault="0077542B">
            <w:pPr>
              <w:jc w:val="center"/>
            </w:pPr>
            <w:r>
              <w:rPr>
                <w:sz w:val="24"/>
              </w:rPr>
              <w:t>6</w:t>
            </w:r>
          </w:p>
        </w:tc>
        <w:tc>
          <w:tcPr>
            <w:tcW w:w="1348" w:type="dxa"/>
            <w:vAlign w:val="center"/>
          </w:tcPr>
          <w:p w:rsidR="00DA6A53" w:rsidRDefault="0077542B">
            <w:pPr>
              <w:jc w:val="center"/>
            </w:pPr>
            <w:r>
              <w:rPr>
                <w:sz w:val="24"/>
              </w:rPr>
              <w:t>111784760</w:t>
            </w:r>
          </w:p>
        </w:tc>
        <w:tc>
          <w:tcPr>
            <w:tcW w:w="1787" w:type="dxa"/>
            <w:vAlign w:val="center"/>
          </w:tcPr>
          <w:p w:rsidR="00DA6A53" w:rsidRDefault="0077542B">
            <w:pPr>
              <w:jc w:val="center"/>
            </w:pPr>
            <w:r>
              <w:rPr>
                <w:sz w:val="24"/>
              </w:rPr>
              <w:t>17</w:t>
            </w:r>
            <w:r>
              <w:rPr>
                <w:sz w:val="24"/>
              </w:rPr>
              <w:t>重庆银行</w:t>
            </w:r>
            <w:r>
              <w:rPr>
                <w:sz w:val="24"/>
              </w:rPr>
              <w:t>CD144</w:t>
            </w:r>
          </w:p>
        </w:tc>
        <w:tc>
          <w:tcPr>
            <w:tcW w:w="1756" w:type="dxa"/>
            <w:vAlign w:val="center"/>
          </w:tcPr>
          <w:p w:rsidR="00DA6A53" w:rsidRDefault="0077542B">
            <w:pPr>
              <w:jc w:val="center"/>
            </w:pPr>
            <w:r>
              <w:rPr>
                <w:sz w:val="24"/>
              </w:rPr>
              <w:t>700,000</w:t>
            </w:r>
          </w:p>
        </w:tc>
        <w:tc>
          <w:tcPr>
            <w:tcW w:w="2008" w:type="dxa"/>
            <w:vAlign w:val="center"/>
          </w:tcPr>
          <w:p w:rsidR="00DA6A53" w:rsidRDefault="0077542B">
            <w:pPr>
              <w:jc w:val="center"/>
            </w:pPr>
            <w:r>
              <w:rPr>
                <w:sz w:val="24"/>
              </w:rPr>
              <w:t>69,377,292.38</w:t>
            </w:r>
          </w:p>
        </w:tc>
        <w:tc>
          <w:tcPr>
            <w:tcW w:w="1542" w:type="dxa"/>
            <w:vAlign w:val="center"/>
          </w:tcPr>
          <w:p w:rsidR="00DA6A53" w:rsidRDefault="0077542B">
            <w:pPr>
              <w:jc w:val="center"/>
            </w:pPr>
            <w:r>
              <w:rPr>
                <w:sz w:val="24"/>
              </w:rPr>
              <w:t>3.58</w:t>
            </w:r>
          </w:p>
        </w:tc>
      </w:tr>
      <w:tr w:rsidR="00DA6A53">
        <w:tc>
          <w:tcPr>
            <w:tcW w:w="778" w:type="dxa"/>
            <w:vAlign w:val="center"/>
          </w:tcPr>
          <w:p w:rsidR="00DA6A53" w:rsidRDefault="0077542B">
            <w:pPr>
              <w:jc w:val="center"/>
            </w:pPr>
            <w:r>
              <w:rPr>
                <w:sz w:val="24"/>
              </w:rPr>
              <w:t>7</w:t>
            </w:r>
          </w:p>
        </w:tc>
        <w:tc>
          <w:tcPr>
            <w:tcW w:w="1348" w:type="dxa"/>
            <w:vAlign w:val="center"/>
          </w:tcPr>
          <w:p w:rsidR="00DA6A53" w:rsidRDefault="0077542B">
            <w:pPr>
              <w:jc w:val="center"/>
            </w:pPr>
            <w:r>
              <w:rPr>
                <w:sz w:val="24"/>
              </w:rPr>
              <w:t>011800535</w:t>
            </w:r>
          </w:p>
        </w:tc>
        <w:tc>
          <w:tcPr>
            <w:tcW w:w="1787" w:type="dxa"/>
            <w:vAlign w:val="center"/>
          </w:tcPr>
          <w:p w:rsidR="00DA6A53" w:rsidRDefault="0077542B">
            <w:pPr>
              <w:jc w:val="center"/>
            </w:pPr>
            <w:r>
              <w:rPr>
                <w:sz w:val="24"/>
              </w:rPr>
              <w:t>18</w:t>
            </w:r>
            <w:r>
              <w:rPr>
                <w:sz w:val="24"/>
              </w:rPr>
              <w:t>苏交通</w:t>
            </w:r>
            <w:r>
              <w:rPr>
                <w:sz w:val="24"/>
              </w:rPr>
              <w:t>SCP008</w:t>
            </w:r>
          </w:p>
        </w:tc>
        <w:tc>
          <w:tcPr>
            <w:tcW w:w="1756" w:type="dxa"/>
            <w:vAlign w:val="center"/>
          </w:tcPr>
          <w:p w:rsidR="00DA6A53" w:rsidRDefault="0077542B">
            <w:pPr>
              <w:jc w:val="center"/>
            </w:pPr>
            <w:r>
              <w:rPr>
                <w:sz w:val="24"/>
              </w:rPr>
              <w:t>500,000</w:t>
            </w:r>
          </w:p>
        </w:tc>
        <w:tc>
          <w:tcPr>
            <w:tcW w:w="2008" w:type="dxa"/>
            <w:vAlign w:val="center"/>
          </w:tcPr>
          <w:p w:rsidR="00DA6A53" w:rsidRDefault="0077542B">
            <w:pPr>
              <w:jc w:val="center"/>
            </w:pPr>
            <w:r>
              <w:rPr>
                <w:sz w:val="24"/>
              </w:rPr>
              <w:t>50,102,873.53</w:t>
            </w:r>
          </w:p>
        </w:tc>
        <w:tc>
          <w:tcPr>
            <w:tcW w:w="1542" w:type="dxa"/>
            <w:vAlign w:val="center"/>
          </w:tcPr>
          <w:p w:rsidR="00DA6A53" w:rsidRDefault="0077542B">
            <w:pPr>
              <w:jc w:val="center"/>
            </w:pPr>
            <w:r>
              <w:rPr>
                <w:sz w:val="24"/>
              </w:rPr>
              <w:t>2.58</w:t>
            </w:r>
          </w:p>
        </w:tc>
      </w:tr>
      <w:tr w:rsidR="00DA6A53">
        <w:tc>
          <w:tcPr>
            <w:tcW w:w="778" w:type="dxa"/>
            <w:vAlign w:val="center"/>
          </w:tcPr>
          <w:p w:rsidR="00DA6A53" w:rsidRDefault="0077542B">
            <w:pPr>
              <w:jc w:val="center"/>
            </w:pPr>
            <w:r>
              <w:rPr>
                <w:sz w:val="24"/>
              </w:rPr>
              <w:t>8</w:t>
            </w:r>
          </w:p>
        </w:tc>
        <w:tc>
          <w:tcPr>
            <w:tcW w:w="1348" w:type="dxa"/>
            <w:vAlign w:val="center"/>
          </w:tcPr>
          <w:p w:rsidR="00DA6A53" w:rsidRDefault="0077542B">
            <w:pPr>
              <w:jc w:val="center"/>
            </w:pPr>
            <w:r>
              <w:rPr>
                <w:sz w:val="24"/>
              </w:rPr>
              <w:t>011800975</w:t>
            </w:r>
          </w:p>
        </w:tc>
        <w:tc>
          <w:tcPr>
            <w:tcW w:w="1787" w:type="dxa"/>
            <w:vAlign w:val="center"/>
          </w:tcPr>
          <w:p w:rsidR="00DA6A53" w:rsidRDefault="0077542B">
            <w:pPr>
              <w:jc w:val="center"/>
            </w:pPr>
            <w:r>
              <w:rPr>
                <w:sz w:val="24"/>
              </w:rPr>
              <w:t>18</w:t>
            </w:r>
            <w:r>
              <w:rPr>
                <w:sz w:val="24"/>
              </w:rPr>
              <w:t>中航租赁</w:t>
            </w:r>
            <w:r>
              <w:rPr>
                <w:sz w:val="24"/>
              </w:rPr>
              <w:t>SCP005</w:t>
            </w:r>
          </w:p>
        </w:tc>
        <w:tc>
          <w:tcPr>
            <w:tcW w:w="1756" w:type="dxa"/>
            <w:vAlign w:val="center"/>
          </w:tcPr>
          <w:p w:rsidR="00DA6A53" w:rsidRDefault="0077542B">
            <w:pPr>
              <w:jc w:val="center"/>
            </w:pPr>
            <w:r>
              <w:rPr>
                <w:sz w:val="24"/>
              </w:rPr>
              <w:t>500,000</w:t>
            </w:r>
          </w:p>
        </w:tc>
        <w:tc>
          <w:tcPr>
            <w:tcW w:w="2008" w:type="dxa"/>
            <w:vAlign w:val="center"/>
          </w:tcPr>
          <w:p w:rsidR="00DA6A53" w:rsidRDefault="0077542B">
            <w:pPr>
              <w:jc w:val="center"/>
            </w:pPr>
            <w:r>
              <w:rPr>
                <w:sz w:val="24"/>
              </w:rPr>
              <w:t>50,000,101.53</w:t>
            </w:r>
          </w:p>
        </w:tc>
        <w:tc>
          <w:tcPr>
            <w:tcW w:w="1542" w:type="dxa"/>
            <w:vAlign w:val="center"/>
          </w:tcPr>
          <w:p w:rsidR="00DA6A53" w:rsidRDefault="0077542B">
            <w:pPr>
              <w:jc w:val="center"/>
            </w:pPr>
            <w:r>
              <w:rPr>
                <w:sz w:val="24"/>
              </w:rPr>
              <w:t>2.58</w:t>
            </w:r>
          </w:p>
        </w:tc>
      </w:tr>
      <w:tr w:rsidR="00DA6A53">
        <w:tc>
          <w:tcPr>
            <w:tcW w:w="778" w:type="dxa"/>
            <w:vAlign w:val="center"/>
          </w:tcPr>
          <w:p w:rsidR="00DA6A53" w:rsidRDefault="0077542B">
            <w:pPr>
              <w:jc w:val="center"/>
            </w:pPr>
            <w:r>
              <w:rPr>
                <w:sz w:val="24"/>
              </w:rPr>
              <w:t>9</w:t>
            </w:r>
          </w:p>
        </w:tc>
        <w:tc>
          <w:tcPr>
            <w:tcW w:w="1348" w:type="dxa"/>
            <w:vAlign w:val="center"/>
          </w:tcPr>
          <w:p w:rsidR="00DA6A53" w:rsidRDefault="0077542B">
            <w:pPr>
              <w:jc w:val="center"/>
            </w:pPr>
            <w:r>
              <w:rPr>
                <w:sz w:val="24"/>
              </w:rPr>
              <w:t>041751019</w:t>
            </w:r>
          </w:p>
        </w:tc>
        <w:tc>
          <w:tcPr>
            <w:tcW w:w="1787" w:type="dxa"/>
            <w:vAlign w:val="center"/>
          </w:tcPr>
          <w:p w:rsidR="00DA6A53" w:rsidRDefault="0077542B">
            <w:pPr>
              <w:jc w:val="center"/>
            </w:pPr>
            <w:r>
              <w:rPr>
                <w:sz w:val="24"/>
              </w:rPr>
              <w:t>17</w:t>
            </w:r>
            <w:r>
              <w:rPr>
                <w:sz w:val="24"/>
              </w:rPr>
              <w:t>扬子国资</w:t>
            </w:r>
            <w:r>
              <w:rPr>
                <w:sz w:val="24"/>
              </w:rPr>
              <w:t>CP001</w:t>
            </w:r>
          </w:p>
        </w:tc>
        <w:tc>
          <w:tcPr>
            <w:tcW w:w="1756" w:type="dxa"/>
            <w:vAlign w:val="center"/>
          </w:tcPr>
          <w:p w:rsidR="00DA6A53" w:rsidRDefault="0077542B">
            <w:pPr>
              <w:jc w:val="center"/>
            </w:pPr>
            <w:r>
              <w:rPr>
                <w:sz w:val="24"/>
              </w:rPr>
              <w:t>500,000</w:t>
            </w:r>
          </w:p>
        </w:tc>
        <w:tc>
          <w:tcPr>
            <w:tcW w:w="2008" w:type="dxa"/>
            <w:vAlign w:val="center"/>
          </w:tcPr>
          <w:p w:rsidR="00DA6A53" w:rsidRDefault="0077542B">
            <w:pPr>
              <w:jc w:val="center"/>
            </w:pPr>
            <w:r>
              <w:rPr>
                <w:sz w:val="24"/>
              </w:rPr>
              <w:t>49,997,525.52</w:t>
            </w:r>
          </w:p>
        </w:tc>
        <w:tc>
          <w:tcPr>
            <w:tcW w:w="1542" w:type="dxa"/>
            <w:vAlign w:val="center"/>
          </w:tcPr>
          <w:p w:rsidR="00DA6A53" w:rsidRDefault="0077542B">
            <w:pPr>
              <w:jc w:val="center"/>
            </w:pPr>
            <w:r>
              <w:rPr>
                <w:sz w:val="24"/>
              </w:rPr>
              <w:t>2.58</w:t>
            </w:r>
          </w:p>
        </w:tc>
      </w:tr>
      <w:tr w:rsidR="00DA6A53">
        <w:tc>
          <w:tcPr>
            <w:tcW w:w="778" w:type="dxa"/>
            <w:vAlign w:val="center"/>
          </w:tcPr>
          <w:p w:rsidR="00DA6A53" w:rsidRDefault="0077542B">
            <w:pPr>
              <w:jc w:val="center"/>
            </w:pPr>
            <w:r>
              <w:rPr>
                <w:sz w:val="24"/>
              </w:rPr>
              <w:t>10</w:t>
            </w:r>
          </w:p>
        </w:tc>
        <w:tc>
          <w:tcPr>
            <w:tcW w:w="1348" w:type="dxa"/>
            <w:vAlign w:val="center"/>
          </w:tcPr>
          <w:p w:rsidR="00DA6A53" w:rsidRDefault="0077542B">
            <w:pPr>
              <w:jc w:val="center"/>
            </w:pPr>
            <w:r>
              <w:rPr>
                <w:sz w:val="24"/>
              </w:rPr>
              <w:t>180308</w:t>
            </w:r>
          </w:p>
        </w:tc>
        <w:tc>
          <w:tcPr>
            <w:tcW w:w="1787" w:type="dxa"/>
            <w:vAlign w:val="center"/>
          </w:tcPr>
          <w:p w:rsidR="00DA6A53" w:rsidRDefault="0077542B">
            <w:pPr>
              <w:jc w:val="center"/>
            </w:pPr>
            <w:r>
              <w:rPr>
                <w:sz w:val="24"/>
              </w:rPr>
              <w:t>18</w:t>
            </w:r>
            <w:r>
              <w:rPr>
                <w:sz w:val="24"/>
              </w:rPr>
              <w:t>进出</w:t>
            </w:r>
            <w:r>
              <w:rPr>
                <w:sz w:val="24"/>
              </w:rPr>
              <w:t>08</w:t>
            </w:r>
          </w:p>
        </w:tc>
        <w:tc>
          <w:tcPr>
            <w:tcW w:w="1756" w:type="dxa"/>
            <w:vAlign w:val="center"/>
          </w:tcPr>
          <w:p w:rsidR="00DA6A53" w:rsidRDefault="0077542B">
            <w:pPr>
              <w:jc w:val="center"/>
            </w:pPr>
            <w:r>
              <w:rPr>
                <w:sz w:val="24"/>
              </w:rPr>
              <w:t>500,000</w:t>
            </w:r>
          </w:p>
        </w:tc>
        <w:tc>
          <w:tcPr>
            <w:tcW w:w="2008" w:type="dxa"/>
            <w:vAlign w:val="center"/>
          </w:tcPr>
          <w:p w:rsidR="00DA6A53" w:rsidRDefault="0077542B">
            <w:pPr>
              <w:jc w:val="center"/>
            </w:pPr>
            <w:r>
              <w:rPr>
                <w:sz w:val="24"/>
              </w:rPr>
              <w:t>49,721,866.83</w:t>
            </w:r>
          </w:p>
        </w:tc>
        <w:tc>
          <w:tcPr>
            <w:tcW w:w="1542" w:type="dxa"/>
            <w:vAlign w:val="center"/>
          </w:tcPr>
          <w:p w:rsidR="00DA6A53" w:rsidRDefault="0077542B">
            <w:pPr>
              <w:jc w:val="center"/>
            </w:pPr>
            <w:r>
              <w:rPr>
                <w:sz w:val="24"/>
              </w:rPr>
              <w:t>2.56</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9" w:name="_Toc331410108"/>
      <w:r w:rsidRPr="0061644B">
        <w:rPr>
          <w:rFonts w:ascii="Times New Roman" w:hAnsi="Times New Roman" w:cs="Times New Roman"/>
          <w:kern w:val="0"/>
          <w:szCs w:val="24"/>
        </w:rPr>
        <w:t>7.7</w:t>
      </w:r>
      <w:bookmarkEnd w:id="29"/>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0.1176%</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0.0124%</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0.0492%</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30" w:name="_Toc331410109"/>
      <w:r w:rsidRPr="0061644B">
        <w:rPr>
          <w:rFonts w:ascii="Times New Roman" w:hAnsi="Times New Roman" w:cs="Times New Roman"/>
          <w:kern w:val="0"/>
          <w:szCs w:val="24"/>
        </w:rPr>
        <w:t>7.8</w:t>
      </w:r>
      <w:bookmarkEnd w:id="30"/>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Default="006D141C" w:rsidP="00792A69">
      <w:pPr>
        <w:tabs>
          <w:tab w:val="left" w:pos="426"/>
        </w:tabs>
        <w:spacing w:before="29" w:line="288" w:lineRule="auto"/>
        <w:jc w:val="left"/>
        <w:rPr>
          <w:kern w:val="0"/>
          <w:sz w:val="24"/>
        </w:rPr>
      </w:pPr>
      <w:r w:rsidRPr="0061644B">
        <w:rPr>
          <w:kern w:val="0"/>
          <w:sz w:val="24"/>
        </w:rPr>
        <w:t>本基金本报告期末未持有资产支持证券。</w:t>
      </w:r>
    </w:p>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8,394.29</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7,779,410.84</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97,051.70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7,884,856.83</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EC034B" w:rsidRPr="0061644B">
        <w:rPr>
          <w:b/>
          <w:sz w:val="24"/>
        </w:rPr>
        <w:t>其他需说明的重要事项</w:t>
      </w:r>
    </w:p>
    <w:p w:rsidR="006D141C" w:rsidRDefault="006D141C" w:rsidP="00792A69">
      <w:pPr>
        <w:spacing w:before="29" w:line="288" w:lineRule="auto"/>
        <w:ind w:firstLineChars="200" w:firstLine="480"/>
        <w:rPr>
          <w:color w:val="000000"/>
          <w:sz w:val="24"/>
        </w:rPr>
      </w:pPr>
      <w:r w:rsidRPr="0061644B">
        <w:rPr>
          <w:color w:val="000000"/>
          <w:sz w:val="24"/>
        </w:rPr>
        <w:t>由于四舍五入原因，分项之和与合计项之间可能存在尾差。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B54CAD">
      <w:pPr>
        <w:pStyle w:val="1"/>
        <w:keepNext/>
        <w:keepLines/>
        <w:widowControl w:val="0"/>
        <w:spacing w:beforeLines="100" w:before="312" w:afterLines="100" w:after="312" w:line="288" w:lineRule="auto"/>
        <w:jc w:val="center"/>
        <w:rPr>
          <w:b/>
          <w:bCs/>
          <w:szCs w:val="24"/>
          <w:lang w:val="en-US"/>
        </w:rPr>
      </w:pPr>
      <w:bookmarkStart w:id="31" w:name="_Toc331410111"/>
      <w:bookmarkStart w:id="32" w:name="_Toc225500050"/>
      <w:r w:rsidRPr="0061644B">
        <w:rPr>
          <w:b/>
          <w:bCs/>
          <w:szCs w:val="24"/>
          <w:lang w:val="en-US"/>
        </w:rPr>
        <w:t>8</w:t>
      </w:r>
      <w:r w:rsidR="006D141C" w:rsidRPr="0061644B">
        <w:rPr>
          <w:b/>
          <w:bCs/>
          <w:szCs w:val="24"/>
          <w:lang w:val="en-US"/>
        </w:rPr>
        <w:t>基金份额持有人信息</w:t>
      </w:r>
      <w:bookmarkEnd w:id="31"/>
      <w:bookmarkEnd w:id="32"/>
    </w:p>
    <w:p w:rsidR="008531F2" w:rsidRPr="0061644B" w:rsidRDefault="008531F2" w:rsidP="00792A69">
      <w:pPr>
        <w:pStyle w:val="20"/>
        <w:spacing w:before="29" w:after="0" w:line="288" w:lineRule="auto"/>
        <w:rPr>
          <w:rFonts w:ascii="Times New Roman" w:hAnsi="Times New Roman" w:cs="Times New Roman"/>
          <w:kern w:val="0"/>
          <w:szCs w:val="24"/>
        </w:rPr>
      </w:pPr>
      <w:bookmarkStart w:id="33" w:name="_Toc331410112"/>
      <w:bookmarkStart w:id="34"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3"/>
      <w:bookmarkEnd w:id="34"/>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058"/>
        <w:gridCol w:w="876"/>
        <w:gridCol w:w="1708"/>
        <w:gridCol w:w="1896"/>
        <w:gridCol w:w="1076"/>
        <w:gridCol w:w="1716"/>
        <w:gridCol w:w="95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交银天利宝货币</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23,198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22,966.17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2,068,746.96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0.39%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530,700,541.46</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99.61%</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交银天利宝货币</w:t>
            </w:r>
            <w:r w:rsidRPr="00495552">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156,199,114.84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1,405,792,033.52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23,207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83,533.47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1,407,860,780.48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72.62%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530,700,541.46</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27.38%</w:t>
            </w:r>
          </w:p>
        </w:tc>
      </w:tr>
    </w:tbl>
    <w:p w:rsidR="008531F2" w:rsidRPr="002E74C6" w:rsidRDefault="008531F2"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5" w:name="_Toc331410113"/>
      <w:r w:rsidRPr="0061644B">
        <w:rPr>
          <w:rFonts w:ascii="Times New Roman" w:hAnsi="Times New Roman" w:cs="Times New Roman"/>
          <w:kern w:val="0"/>
          <w:szCs w:val="24"/>
        </w:rPr>
        <w:t>8.2</w:t>
      </w:r>
      <w:r w:rsidRPr="0061644B">
        <w:rPr>
          <w:rFonts w:ascii="Times New Roman" w:hAnsi="Times New Roman" w:cs="Times New Roman"/>
          <w:kern w:val="0"/>
          <w:szCs w:val="24"/>
        </w:rPr>
        <w:t>期末基金管理人的从业人员持有本基金的情况</w:t>
      </w:r>
      <w:bookmarkEnd w:id="35"/>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交银天利宝货币</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79,746.60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0.01%</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交银天利宝货币</w:t>
            </w:r>
            <w:r w:rsidRPr="0061644B">
              <w:rPr>
                <w:sz w:val="24"/>
              </w:rPr>
              <w:t>E</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79,746.60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bl>
    <w:p w:rsidR="004A72D3" w:rsidRDefault="004A72D3" w:rsidP="00792A69">
      <w:pPr>
        <w:tabs>
          <w:tab w:val="left" w:pos="426"/>
        </w:tabs>
        <w:spacing w:before="29" w:line="288" w:lineRule="auto"/>
        <w:jc w:val="left"/>
        <w:rPr>
          <w:kern w:val="0"/>
          <w:sz w:val="24"/>
        </w:rPr>
      </w:pPr>
    </w:p>
    <w:p w:rsidR="0027759A" w:rsidRPr="005C0F38" w:rsidRDefault="0027759A" w:rsidP="0027759A">
      <w:pPr>
        <w:pStyle w:val="20"/>
        <w:spacing w:beforeLines="100" w:before="312" w:after="0"/>
        <w:rPr>
          <w:rFonts w:ascii="Times New Roman" w:eastAsiaTheme="minorEastAsia" w:hAnsi="Times New Roman"/>
          <w:color w:val="000000" w:themeColor="text1"/>
          <w:kern w:val="0"/>
          <w:sz w:val="21"/>
          <w:szCs w:val="21"/>
        </w:rPr>
      </w:pPr>
      <w:bookmarkStart w:id="36" w:name="OLE_LINK147"/>
      <w:bookmarkStart w:id="37" w:name="OLE_LINK148"/>
      <w:bookmarkStart w:id="38" w:name="OLE_LINK149"/>
      <w:bookmarkStart w:id="39" w:name="OLE_LINK160"/>
      <w:r w:rsidRPr="005C0F38">
        <w:rPr>
          <w:rFonts w:ascii="Times New Roman" w:eastAsiaTheme="minorEastAsia" w:hAnsi="Times New Roman"/>
          <w:color w:val="000000" w:themeColor="text1"/>
          <w:kern w:val="0"/>
          <w:sz w:val="21"/>
          <w:szCs w:val="21"/>
        </w:rPr>
        <w:t xml:space="preserve">8.3 </w:t>
      </w:r>
      <w:r w:rsidRPr="005C0F38">
        <w:rPr>
          <w:rFonts w:ascii="Times New Roman" w:eastAsiaTheme="minorEastAsia" w:hAnsi="Times New Roman" w:hint="eastAsia"/>
          <w:color w:val="000000" w:themeColor="text1"/>
          <w:kern w:val="0"/>
          <w:sz w:val="21"/>
          <w:szCs w:val="21"/>
        </w:rPr>
        <w:t>期末货币市场基金前十名份额持有人情况</w:t>
      </w:r>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27759A" w:rsidRPr="005C0F38" w:rsidTr="00B251C4">
        <w:tc>
          <w:tcPr>
            <w:tcW w:w="1560" w:type="dxa"/>
            <w:vAlign w:val="center"/>
          </w:tcPr>
          <w:p w:rsidR="0027759A" w:rsidRPr="005C0F38" w:rsidRDefault="0027759A" w:rsidP="00B251C4">
            <w:pPr>
              <w:spacing w:line="276" w:lineRule="auto"/>
              <w:jc w:val="center"/>
              <w:rPr>
                <w:rFonts w:eastAsiaTheme="minorEastAsia"/>
                <w:szCs w:val="21"/>
              </w:rPr>
            </w:pPr>
            <w:r w:rsidRPr="005C0F38">
              <w:rPr>
                <w:rFonts w:eastAsiaTheme="minorEastAsia"/>
                <w:szCs w:val="21"/>
              </w:rPr>
              <w:t>序号</w:t>
            </w:r>
          </w:p>
        </w:tc>
        <w:tc>
          <w:tcPr>
            <w:tcW w:w="2835" w:type="dxa"/>
            <w:vAlign w:val="center"/>
          </w:tcPr>
          <w:p w:rsidR="0027759A" w:rsidRPr="005C0F38" w:rsidRDefault="0027759A" w:rsidP="00B251C4">
            <w:pPr>
              <w:spacing w:line="276" w:lineRule="auto"/>
              <w:jc w:val="center"/>
              <w:rPr>
                <w:rFonts w:eastAsiaTheme="minorEastAsia"/>
                <w:szCs w:val="21"/>
              </w:rPr>
            </w:pPr>
            <w:r w:rsidRPr="005C0F38">
              <w:rPr>
                <w:rFonts w:eastAsiaTheme="minorEastAsia"/>
                <w:szCs w:val="21"/>
              </w:rPr>
              <w:t>持有人类别</w:t>
            </w:r>
          </w:p>
        </w:tc>
        <w:tc>
          <w:tcPr>
            <w:tcW w:w="2551" w:type="dxa"/>
            <w:vAlign w:val="center"/>
          </w:tcPr>
          <w:p w:rsidR="0027759A" w:rsidRPr="005C0F38" w:rsidRDefault="0027759A" w:rsidP="00B251C4">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持有份额（份）</w:t>
            </w:r>
          </w:p>
        </w:tc>
        <w:tc>
          <w:tcPr>
            <w:tcW w:w="2693" w:type="dxa"/>
            <w:vAlign w:val="center"/>
          </w:tcPr>
          <w:p w:rsidR="0027759A" w:rsidRPr="005C0F38" w:rsidRDefault="0027759A" w:rsidP="00B251C4">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占总份额比例</w:t>
            </w:r>
          </w:p>
        </w:tc>
      </w:tr>
      <w:tr w:rsidR="00DA6A53">
        <w:tc>
          <w:tcPr>
            <w:tcW w:w="1560" w:type="dxa"/>
            <w:vAlign w:val="center"/>
          </w:tcPr>
          <w:p w:rsidR="00DA6A53" w:rsidRDefault="0077542B">
            <w:pPr>
              <w:jc w:val="center"/>
            </w:pPr>
            <w:r>
              <w:rPr>
                <w:rFonts w:eastAsiaTheme="minorEastAsia"/>
                <w:color w:val="000000" w:themeColor="text1"/>
                <w:szCs w:val="21"/>
              </w:rPr>
              <w:t>1</w:t>
            </w:r>
          </w:p>
        </w:tc>
        <w:tc>
          <w:tcPr>
            <w:tcW w:w="2835" w:type="dxa"/>
            <w:vAlign w:val="center"/>
          </w:tcPr>
          <w:p w:rsidR="00DA6A53" w:rsidRDefault="0077542B">
            <w:pPr>
              <w:jc w:val="right"/>
            </w:pPr>
            <w:r>
              <w:rPr>
                <w:rFonts w:eastAsiaTheme="minorEastAsia"/>
                <w:color w:val="000000" w:themeColor="text1"/>
                <w:szCs w:val="21"/>
              </w:rPr>
              <w:t>银行类机构</w:t>
            </w:r>
          </w:p>
        </w:tc>
        <w:tc>
          <w:tcPr>
            <w:tcW w:w="2551" w:type="dxa"/>
            <w:vAlign w:val="center"/>
          </w:tcPr>
          <w:p w:rsidR="00DA6A53" w:rsidRDefault="0077542B">
            <w:pPr>
              <w:jc w:val="right"/>
            </w:pPr>
            <w:r>
              <w:rPr>
                <w:rFonts w:eastAsiaTheme="minorEastAsia"/>
                <w:color w:val="000000" w:themeColor="text1"/>
                <w:szCs w:val="21"/>
              </w:rPr>
              <w:t>809,425,482.06</w:t>
            </w:r>
          </w:p>
        </w:tc>
        <w:tc>
          <w:tcPr>
            <w:tcW w:w="2693" w:type="dxa"/>
            <w:vAlign w:val="center"/>
          </w:tcPr>
          <w:p w:rsidR="00DA6A53" w:rsidRDefault="0077542B">
            <w:pPr>
              <w:jc w:val="right"/>
            </w:pPr>
            <w:r>
              <w:rPr>
                <w:rFonts w:eastAsiaTheme="minorEastAsia"/>
                <w:color w:val="000000" w:themeColor="text1"/>
                <w:szCs w:val="21"/>
              </w:rPr>
              <w:t>41.75%</w:t>
            </w:r>
          </w:p>
        </w:tc>
      </w:tr>
      <w:tr w:rsidR="00DA6A53">
        <w:tc>
          <w:tcPr>
            <w:tcW w:w="1560" w:type="dxa"/>
            <w:vAlign w:val="center"/>
          </w:tcPr>
          <w:p w:rsidR="00DA6A53" w:rsidRDefault="0077542B">
            <w:pPr>
              <w:jc w:val="center"/>
            </w:pPr>
            <w:r>
              <w:rPr>
                <w:rFonts w:eastAsiaTheme="minorEastAsia"/>
                <w:color w:val="000000" w:themeColor="text1"/>
                <w:szCs w:val="21"/>
              </w:rPr>
              <w:t>2</w:t>
            </w:r>
          </w:p>
        </w:tc>
        <w:tc>
          <w:tcPr>
            <w:tcW w:w="2835" w:type="dxa"/>
            <w:vAlign w:val="center"/>
          </w:tcPr>
          <w:p w:rsidR="00DA6A53" w:rsidRDefault="0077542B">
            <w:pPr>
              <w:jc w:val="right"/>
            </w:pPr>
            <w:r>
              <w:rPr>
                <w:rFonts w:eastAsiaTheme="minorEastAsia"/>
                <w:color w:val="000000" w:themeColor="text1"/>
                <w:szCs w:val="21"/>
              </w:rPr>
              <w:t>其他机构</w:t>
            </w:r>
          </w:p>
        </w:tc>
        <w:tc>
          <w:tcPr>
            <w:tcW w:w="2551" w:type="dxa"/>
            <w:vAlign w:val="center"/>
          </w:tcPr>
          <w:p w:rsidR="00DA6A53" w:rsidRDefault="0077542B">
            <w:pPr>
              <w:jc w:val="right"/>
            </w:pPr>
            <w:r>
              <w:rPr>
                <w:rFonts w:eastAsiaTheme="minorEastAsia"/>
                <w:color w:val="000000" w:themeColor="text1"/>
                <w:szCs w:val="21"/>
              </w:rPr>
              <w:t>209,165,249.80</w:t>
            </w:r>
          </w:p>
        </w:tc>
        <w:tc>
          <w:tcPr>
            <w:tcW w:w="2693" w:type="dxa"/>
            <w:vAlign w:val="center"/>
          </w:tcPr>
          <w:p w:rsidR="00DA6A53" w:rsidRDefault="0077542B">
            <w:pPr>
              <w:jc w:val="right"/>
            </w:pPr>
            <w:r>
              <w:rPr>
                <w:rFonts w:eastAsiaTheme="minorEastAsia"/>
                <w:color w:val="000000" w:themeColor="text1"/>
                <w:szCs w:val="21"/>
              </w:rPr>
              <w:t>10.79%</w:t>
            </w:r>
          </w:p>
        </w:tc>
      </w:tr>
      <w:tr w:rsidR="00DA6A53">
        <w:tc>
          <w:tcPr>
            <w:tcW w:w="1560" w:type="dxa"/>
            <w:vAlign w:val="center"/>
          </w:tcPr>
          <w:p w:rsidR="00DA6A53" w:rsidRDefault="0077542B">
            <w:pPr>
              <w:jc w:val="center"/>
            </w:pPr>
            <w:r>
              <w:rPr>
                <w:rFonts w:eastAsiaTheme="minorEastAsia"/>
                <w:color w:val="000000" w:themeColor="text1"/>
                <w:szCs w:val="21"/>
              </w:rPr>
              <w:t>3</w:t>
            </w:r>
          </w:p>
        </w:tc>
        <w:tc>
          <w:tcPr>
            <w:tcW w:w="2835" w:type="dxa"/>
            <w:vAlign w:val="center"/>
          </w:tcPr>
          <w:p w:rsidR="00DA6A53" w:rsidRDefault="0077542B">
            <w:pPr>
              <w:jc w:val="right"/>
            </w:pPr>
            <w:r>
              <w:rPr>
                <w:rFonts w:eastAsiaTheme="minorEastAsia"/>
                <w:color w:val="000000" w:themeColor="text1"/>
                <w:szCs w:val="21"/>
              </w:rPr>
              <w:t>银行类机构</w:t>
            </w:r>
          </w:p>
        </w:tc>
        <w:tc>
          <w:tcPr>
            <w:tcW w:w="2551" w:type="dxa"/>
            <w:vAlign w:val="center"/>
          </w:tcPr>
          <w:p w:rsidR="00DA6A53" w:rsidRDefault="0077542B">
            <w:pPr>
              <w:jc w:val="right"/>
            </w:pPr>
            <w:r>
              <w:rPr>
                <w:rFonts w:eastAsiaTheme="minorEastAsia"/>
                <w:color w:val="000000" w:themeColor="text1"/>
                <w:szCs w:val="21"/>
              </w:rPr>
              <w:t>150,169,223.60</w:t>
            </w:r>
          </w:p>
        </w:tc>
        <w:tc>
          <w:tcPr>
            <w:tcW w:w="2693" w:type="dxa"/>
            <w:vAlign w:val="center"/>
          </w:tcPr>
          <w:p w:rsidR="00DA6A53" w:rsidRDefault="0077542B">
            <w:pPr>
              <w:jc w:val="right"/>
            </w:pPr>
            <w:r>
              <w:rPr>
                <w:rFonts w:eastAsiaTheme="minorEastAsia"/>
                <w:color w:val="000000" w:themeColor="text1"/>
                <w:szCs w:val="21"/>
              </w:rPr>
              <w:t>7.75%</w:t>
            </w:r>
          </w:p>
        </w:tc>
      </w:tr>
      <w:tr w:rsidR="00DA6A53">
        <w:tc>
          <w:tcPr>
            <w:tcW w:w="1560" w:type="dxa"/>
            <w:vAlign w:val="center"/>
          </w:tcPr>
          <w:p w:rsidR="00DA6A53" w:rsidRDefault="0077542B">
            <w:pPr>
              <w:jc w:val="center"/>
            </w:pPr>
            <w:r>
              <w:rPr>
                <w:rFonts w:eastAsiaTheme="minorEastAsia"/>
                <w:color w:val="000000" w:themeColor="text1"/>
                <w:szCs w:val="21"/>
              </w:rPr>
              <w:t>4</w:t>
            </w:r>
          </w:p>
        </w:tc>
        <w:tc>
          <w:tcPr>
            <w:tcW w:w="2835" w:type="dxa"/>
            <w:vAlign w:val="center"/>
          </w:tcPr>
          <w:p w:rsidR="00DA6A53" w:rsidRDefault="0077542B">
            <w:pPr>
              <w:jc w:val="right"/>
            </w:pPr>
            <w:r>
              <w:rPr>
                <w:rFonts w:eastAsiaTheme="minorEastAsia"/>
                <w:color w:val="000000" w:themeColor="text1"/>
                <w:szCs w:val="21"/>
              </w:rPr>
              <w:t>银行类机构</w:t>
            </w:r>
          </w:p>
        </w:tc>
        <w:tc>
          <w:tcPr>
            <w:tcW w:w="2551" w:type="dxa"/>
            <w:vAlign w:val="center"/>
          </w:tcPr>
          <w:p w:rsidR="00DA6A53" w:rsidRDefault="0077542B">
            <w:pPr>
              <w:jc w:val="right"/>
            </w:pPr>
            <w:r>
              <w:rPr>
                <w:rFonts w:eastAsiaTheme="minorEastAsia"/>
                <w:color w:val="000000" w:themeColor="text1"/>
                <w:szCs w:val="21"/>
              </w:rPr>
              <w:t>102,830,270.80</w:t>
            </w:r>
          </w:p>
        </w:tc>
        <w:tc>
          <w:tcPr>
            <w:tcW w:w="2693" w:type="dxa"/>
            <w:vAlign w:val="center"/>
          </w:tcPr>
          <w:p w:rsidR="00DA6A53" w:rsidRDefault="0077542B">
            <w:pPr>
              <w:jc w:val="right"/>
            </w:pPr>
            <w:r>
              <w:rPr>
                <w:rFonts w:eastAsiaTheme="minorEastAsia"/>
                <w:color w:val="000000" w:themeColor="text1"/>
                <w:szCs w:val="21"/>
              </w:rPr>
              <w:t>5.31%</w:t>
            </w:r>
          </w:p>
        </w:tc>
      </w:tr>
      <w:tr w:rsidR="00DA6A53">
        <w:tc>
          <w:tcPr>
            <w:tcW w:w="1560" w:type="dxa"/>
            <w:vAlign w:val="center"/>
          </w:tcPr>
          <w:p w:rsidR="00DA6A53" w:rsidRDefault="0077542B">
            <w:pPr>
              <w:jc w:val="center"/>
            </w:pPr>
            <w:r>
              <w:rPr>
                <w:rFonts w:eastAsiaTheme="minorEastAsia"/>
                <w:color w:val="000000" w:themeColor="text1"/>
                <w:szCs w:val="21"/>
              </w:rPr>
              <w:t>5</w:t>
            </w:r>
          </w:p>
        </w:tc>
        <w:tc>
          <w:tcPr>
            <w:tcW w:w="2835" w:type="dxa"/>
            <w:vAlign w:val="center"/>
          </w:tcPr>
          <w:p w:rsidR="00DA6A53" w:rsidRDefault="0077542B">
            <w:pPr>
              <w:jc w:val="right"/>
            </w:pPr>
            <w:r>
              <w:rPr>
                <w:rFonts w:eastAsiaTheme="minorEastAsia"/>
                <w:color w:val="000000" w:themeColor="text1"/>
                <w:szCs w:val="21"/>
              </w:rPr>
              <w:t>基金类机构</w:t>
            </w:r>
          </w:p>
        </w:tc>
        <w:tc>
          <w:tcPr>
            <w:tcW w:w="2551" w:type="dxa"/>
            <w:vAlign w:val="center"/>
          </w:tcPr>
          <w:p w:rsidR="00DA6A53" w:rsidRDefault="0077542B">
            <w:pPr>
              <w:jc w:val="right"/>
            </w:pPr>
            <w:r>
              <w:rPr>
                <w:rFonts w:eastAsiaTheme="minorEastAsia"/>
                <w:color w:val="000000" w:themeColor="text1"/>
                <w:szCs w:val="21"/>
              </w:rPr>
              <w:t>51,940,068.13</w:t>
            </w:r>
          </w:p>
        </w:tc>
        <w:tc>
          <w:tcPr>
            <w:tcW w:w="2693" w:type="dxa"/>
            <w:vAlign w:val="center"/>
          </w:tcPr>
          <w:p w:rsidR="00DA6A53" w:rsidRDefault="0077542B">
            <w:pPr>
              <w:jc w:val="right"/>
            </w:pPr>
            <w:r>
              <w:rPr>
                <w:rFonts w:eastAsiaTheme="minorEastAsia"/>
                <w:color w:val="000000" w:themeColor="text1"/>
                <w:szCs w:val="21"/>
              </w:rPr>
              <w:t>2.68%</w:t>
            </w:r>
          </w:p>
        </w:tc>
      </w:tr>
      <w:tr w:rsidR="00DA6A53">
        <w:tc>
          <w:tcPr>
            <w:tcW w:w="1560" w:type="dxa"/>
            <w:vAlign w:val="center"/>
          </w:tcPr>
          <w:p w:rsidR="00DA6A53" w:rsidRDefault="0077542B">
            <w:pPr>
              <w:jc w:val="center"/>
            </w:pPr>
            <w:r>
              <w:rPr>
                <w:rFonts w:eastAsiaTheme="minorEastAsia"/>
                <w:color w:val="000000" w:themeColor="text1"/>
                <w:szCs w:val="21"/>
              </w:rPr>
              <w:t>6</w:t>
            </w:r>
          </w:p>
        </w:tc>
        <w:tc>
          <w:tcPr>
            <w:tcW w:w="2835" w:type="dxa"/>
            <w:vAlign w:val="center"/>
          </w:tcPr>
          <w:p w:rsidR="00DA6A53" w:rsidRDefault="0077542B">
            <w:pPr>
              <w:jc w:val="right"/>
            </w:pPr>
            <w:r>
              <w:rPr>
                <w:rFonts w:eastAsiaTheme="minorEastAsia"/>
                <w:color w:val="000000" w:themeColor="text1"/>
                <w:szCs w:val="21"/>
              </w:rPr>
              <w:t>保险类机构</w:t>
            </w:r>
          </w:p>
        </w:tc>
        <w:tc>
          <w:tcPr>
            <w:tcW w:w="2551" w:type="dxa"/>
            <w:vAlign w:val="center"/>
          </w:tcPr>
          <w:p w:rsidR="00DA6A53" w:rsidRDefault="0077542B">
            <w:pPr>
              <w:jc w:val="right"/>
            </w:pPr>
            <w:r>
              <w:rPr>
                <w:rFonts w:eastAsiaTheme="minorEastAsia"/>
                <w:color w:val="000000" w:themeColor="text1"/>
                <w:szCs w:val="21"/>
              </w:rPr>
              <w:t>51,144,426.90</w:t>
            </w:r>
          </w:p>
        </w:tc>
        <w:tc>
          <w:tcPr>
            <w:tcW w:w="2693" w:type="dxa"/>
            <w:vAlign w:val="center"/>
          </w:tcPr>
          <w:p w:rsidR="00DA6A53" w:rsidRDefault="0077542B">
            <w:pPr>
              <w:jc w:val="right"/>
            </w:pPr>
            <w:r>
              <w:rPr>
                <w:rFonts w:eastAsiaTheme="minorEastAsia"/>
                <w:color w:val="000000" w:themeColor="text1"/>
                <w:szCs w:val="21"/>
              </w:rPr>
              <w:t>2.64%</w:t>
            </w:r>
          </w:p>
        </w:tc>
      </w:tr>
      <w:tr w:rsidR="00DA6A53">
        <w:tc>
          <w:tcPr>
            <w:tcW w:w="1560" w:type="dxa"/>
            <w:vAlign w:val="center"/>
          </w:tcPr>
          <w:p w:rsidR="00DA6A53" w:rsidRDefault="0077542B">
            <w:pPr>
              <w:jc w:val="center"/>
            </w:pPr>
            <w:r>
              <w:rPr>
                <w:rFonts w:eastAsiaTheme="minorEastAsia"/>
                <w:color w:val="000000" w:themeColor="text1"/>
                <w:szCs w:val="21"/>
              </w:rPr>
              <w:t>7</w:t>
            </w:r>
          </w:p>
        </w:tc>
        <w:tc>
          <w:tcPr>
            <w:tcW w:w="2835" w:type="dxa"/>
            <w:vAlign w:val="center"/>
          </w:tcPr>
          <w:p w:rsidR="00DA6A53" w:rsidRDefault="0077542B">
            <w:pPr>
              <w:jc w:val="right"/>
            </w:pPr>
            <w:r>
              <w:rPr>
                <w:rFonts w:eastAsiaTheme="minorEastAsia"/>
                <w:color w:val="000000" w:themeColor="text1"/>
                <w:szCs w:val="21"/>
              </w:rPr>
              <w:t>其他机构</w:t>
            </w:r>
          </w:p>
        </w:tc>
        <w:tc>
          <w:tcPr>
            <w:tcW w:w="2551" w:type="dxa"/>
            <w:vAlign w:val="center"/>
          </w:tcPr>
          <w:p w:rsidR="00DA6A53" w:rsidRDefault="0077542B">
            <w:pPr>
              <w:jc w:val="right"/>
            </w:pPr>
            <w:r>
              <w:rPr>
                <w:rFonts w:eastAsiaTheme="minorEastAsia"/>
                <w:color w:val="000000" w:themeColor="text1"/>
                <w:szCs w:val="21"/>
              </w:rPr>
              <w:t>20,538,047.32</w:t>
            </w:r>
          </w:p>
        </w:tc>
        <w:tc>
          <w:tcPr>
            <w:tcW w:w="2693" w:type="dxa"/>
            <w:vAlign w:val="center"/>
          </w:tcPr>
          <w:p w:rsidR="00DA6A53" w:rsidRDefault="0077542B">
            <w:pPr>
              <w:jc w:val="right"/>
            </w:pPr>
            <w:r>
              <w:rPr>
                <w:rFonts w:eastAsiaTheme="minorEastAsia"/>
                <w:color w:val="000000" w:themeColor="text1"/>
                <w:szCs w:val="21"/>
              </w:rPr>
              <w:t>1.06%</w:t>
            </w:r>
          </w:p>
        </w:tc>
      </w:tr>
      <w:tr w:rsidR="00DA6A53">
        <w:tc>
          <w:tcPr>
            <w:tcW w:w="1560" w:type="dxa"/>
            <w:vAlign w:val="center"/>
          </w:tcPr>
          <w:p w:rsidR="00DA6A53" w:rsidRDefault="0077542B">
            <w:pPr>
              <w:jc w:val="center"/>
            </w:pPr>
            <w:r>
              <w:rPr>
                <w:rFonts w:eastAsiaTheme="minorEastAsia"/>
                <w:color w:val="000000" w:themeColor="text1"/>
                <w:szCs w:val="21"/>
              </w:rPr>
              <w:t>8</w:t>
            </w:r>
          </w:p>
        </w:tc>
        <w:tc>
          <w:tcPr>
            <w:tcW w:w="2835" w:type="dxa"/>
            <w:vAlign w:val="center"/>
          </w:tcPr>
          <w:p w:rsidR="00DA6A53" w:rsidRDefault="0077542B">
            <w:pPr>
              <w:jc w:val="right"/>
            </w:pPr>
            <w:r>
              <w:rPr>
                <w:rFonts w:eastAsiaTheme="minorEastAsia"/>
                <w:color w:val="000000" w:themeColor="text1"/>
                <w:szCs w:val="21"/>
              </w:rPr>
              <w:t>其他机构</w:t>
            </w:r>
          </w:p>
        </w:tc>
        <w:tc>
          <w:tcPr>
            <w:tcW w:w="2551" w:type="dxa"/>
            <w:vAlign w:val="center"/>
          </w:tcPr>
          <w:p w:rsidR="00DA6A53" w:rsidRDefault="0077542B">
            <w:pPr>
              <w:jc w:val="right"/>
            </w:pPr>
            <w:r>
              <w:rPr>
                <w:rFonts w:eastAsiaTheme="minorEastAsia"/>
                <w:color w:val="000000" w:themeColor="text1"/>
                <w:szCs w:val="21"/>
              </w:rPr>
              <w:t>10,299,378.31</w:t>
            </w:r>
          </w:p>
        </w:tc>
        <w:tc>
          <w:tcPr>
            <w:tcW w:w="2693" w:type="dxa"/>
            <w:vAlign w:val="center"/>
          </w:tcPr>
          <w:p w:rsidR="00DA6A53" w:rsidRDefault="0077542B">
            <w:pPr>
              <w:jc w:val="right"/>
            </w:pPr>
            <w:r>
              <w:rPr>
                <w:rFonts w:eastAsiaTheme="minorEastAsia"/>
                <w:color w:val="000000" w:themeColor="text1"/>
                <w:szCs w:val="21"/>
              </w:rPr>
              <w:t>0.53%</w:t>
            </w:r>
          </w:p>
        </w:tc>
      </w:tr>
      <w:tr w:rsidR="00DA6A53">
        <w:tc>
          <w:tcPr>
            <w:tcW w:w="1560" w:type="dxa"/>
            <w:vAlign w:val="center"/>
          </w:tcPr>
          <w:p w:rsidR="00DA6A53" w:rsidRDefault="0077542B">
            <w:pPr>
              <w:jc w:val="center"/>
            </w:pPr>
            <w:r>
              <w:rPr>
                <w:rFonts w:eastAsiaTheme="minorEastAsia"/>
                <w:color w:val="000000" w:themeColor="text1"/>
                <w:szCs w:val="21"/>
              </w:rPr>
              <w:t>9</w:t>
            </w:r>
          </w:p>
        </w:tc>
        <w:tc>
          <w:tcPr>
            <w:tcW w:w="2835" w:type="dxa"/>
            <w:vAlign w:val="center"/>
          </w:tcPr>
          <w:p w:rsidR="00DA6A53" w:rsidRDefault="0077542B">
            <w:pPr>
              <w:jc w:val="right"/>
            </w:pPr>
            <w:r>
              <w:rPr>
                <w:rFonts w:eastAsiaTheme="minorEastAsia"/>
                <w:color w:val="000000" w:themeColor="text1"/>
                <w:szCs w:val="21"/>
              </w:rPr>
              <w:t>个人</w:t>
            </w:r>
          </w:p>
        </w:tc>
        <w:tc>
          <w:tcPr>
            <w:tcW w:w="2551" w:type="dxa"/>
            <w:vAlign w:val="center"/>
          </w:tcPr>
          <w:p w:rsidR="00DA6A53" w:rsidRDefault="0077542B">
            <w:pPr>
              <w:jc w:val="right"/>
            </w:pPr>
            <w:r>
              <w:rPr>
                <w:rFonts w:eastAsiaTheme="minorEastAsia"/>
                <w:color w:val="000000" w:themeColor="text1"/>
                <w:szCs w:val="21"/>
              </w:rPr>
              <w:t>2,920,930.36</w:t>
            </w:r>
          </w:p>
        </w:tc>
        <w:tc>
          <w:tcPr>
            <w:tcW w:w="2693" w:type="dxa"/>
            <w:vAlign w:val="center"/>
          </w:tcPr>
          <w:p w:rsidR="00DA6A53" w:rsidRDefault="0077542B">
            <w:pPr>
              <w:jc w:val="right"/>
            </w:pPr>
            <w:r>
              <w:rPr>
                <w:rFonts w:eastAsiaTheme="minorEastAsia"/>
                <w:color w:val="000000" w:themeColor="text1"/>
                <w:szCs w:val="21"/>
              </w:rPr>
              <w:t>0.15%</w:t>
            </w:r>
          </w:p>
        </w:tc>
      </w:tr>
      <w:tr w:rsidR="00DA6A53">
        <w:tc>
          <w:tcPr>
            <w:tcW w:w="1560" w:type="dxa"/>
            <w:vAlign w:val="center"/>
          </w:tcPr>
          <w:p w:rsidR="00DA6A53" w:rsidRDefault="0077542B">
            <w:pPr>
              <w:jc w:val="center"/>
            </w:pPr>
            <w:r>
              <w:rPr>
                <w:rFonts w:eastAsiaTheme="minorEastAsia"/>
                <w:color w:val="000000" w:themeColor="text1"/>
                <w:szCs w:val="21"/>
              </w:rPr>
              <w:t>10</w:t>
            </w:r>
          </w:p>
        </w:tc>
        <w:tc>
          <w:tcPr>
            <w:tcW w:w="2835" w:type="dxa"/>
            <w:vAlign w:val="center"/>
          </w:tcPr>
          <w:p w:rsidR="00DA6A53" w:rsidRDefault="0077542B">
            <w:pPr>
              <w:jc w:val="right"/>
            </w:pPr>
            <w:r>
              <w:rPr>
                <w:rFonts w:eastAsiaTheme="minorEastAsia"/>
                <w:color w:val="000000" w:themeColor="text1"/>
                <w:szCs w:val="21"/>
              </w:rPr>
              <w:t>个人</w:t>
            </w:r>
          </w:p>
        </w:tc>
        <w:tc>
          <w:tcPr>
            <w:tcW w:w="2551" w:type="dxa"/>
            <w:vAlign w:val="center"/>
          </w:tcPr>
          <w:p w:rsidR="00DA6A53" w:rsidRDefault="0077542B">
            <w:pPr>
              <w:jc w:val="right"/>
            </w:pPr>
            <w:r>
              <w:rPr>
                <w:rFonts w:eastAsiaTheme="minorEastAsia"/>
                <w:color w:val="000000" w:themeColor="text1"/>
                <w:szCs w:val="21"/>
              </w:rPr>
              <w:t>2,014,211.92</w:t>
            </w:r>
          </w:p>
        </w:tc>
        <w:tc>
          <w:tcPr>
            <w:tcW w:w="2693" w:type="dxa"/>
            <w:vAlign w:val="center"/>
          </w:tcPr>
          <w:p w:rsidR="00DA6A53" w:rsidRDefault="0077542B">
            <w:pPr>
              <w:jc w:val="right"/>
            </w:pPr>
            <w:r>
              <w:rPr>
                <w:rFonts w:eastAsiaTheme="minorEastAsia"/>
                <w:color w:val="000000" w:themeColor="text1"/>
                <w:szCs w:val="21"/>
              </w:rPr>
              <w:t>0.10%</w:t>
            </w:r>
          </w:p>
        </w:tc>
      </w:tr>
      <w:bookmarkEnd w:id="36"/>
      <w:bookmarkEnd w:id="37"/>
      <w:bookmarkEnd w:id="38"/>
      <w:bookmarkEnd w:id="39"/>
    </w:tbl>
    <w:p w:rsidR="0027759A" w:rsidRPr="0027759A" w:rsidRDefault="0027759A"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8.4</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交银天利宝货币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交银天利宝货币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交银天利宝货币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交银天利宝货币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B54CAD">
      <w:pPr>
        <w:pStyle w:val="1"/>
        <w:keepNext/>
        <w:keepLines/>
        <w:widowControl w:val="0"/>
        <w:spacing w:beforeLines="100" w:before="312" w:afterLines="100" w:after="312" w:line="288" w:lineRule="auto"/>
        <w:jc w:val="center"/>
        <w:rPr>
          <w:b/>
          <w:bCs/>
          <w:szCs w:val="24"/>
          <w:lang w:val="en-US"/>
        </w:rPr>
      </w:pPr>
      <w:bookmarkStart w:id="40" w:name="_Toc331410115"/>
      <w:bookmarkStart w:id="41" w:name="_Toc225500053"/>
      <w:r w:rsidRPr="0061644B">
        <w:rPr>
          <w:b/>
          <w:bCs/>
          <w:szCs w:val="24"/>
          <w:lang w:val="en-US"/>
        </w:rPr>
        <w:t>9</w:t>
      </w:r>
      <w:r w:rsidR="006D141C" w:rsidRPr="0061644B">
        <w:rPr>
          <w:b/>
          <w:bCs/>
          <w:szCs w:val="24"/>
          <w:lang w:val="en-US"/>
        </w:rPr>
        <w:t>开放式基金份额变动</w:t>
      </w:r>
      <w:bookmarkEnd w:id="40"/>
      <w:bookmarkEnd w:id="41"/>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交银天利宝货币</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交银天利宝货币</w:t>
            </w:r>
            <w:r w:rsidRPr="0061644B">
              <w:rPr>
                <w:sz w:val="24"/>
              </w:rPr>
              <w:t>E</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2016</w:t>
            </w:r>
            <w:r w:rsidRPr="0061644B">
              <w:rPr>
                <w:sz w:val="24"/>
              </w:rPr>
              <w:t>年</w:t>
            </w:r>
            <w:r w:rsidRPr="0061644B">
              <w:rPr>
                <w:sz w:val="24"/>
              </w:rPr>
              <w:t>10</w:t>
            </w:r>
            <w:r w:rsidRPr="0061644B">
              <w:rPr>
                <w:sz w:val="24"/>
              </w:rPr>
              <w:t>月</w:t>
            </w:r>
            <w:r w:rsidRPr="0061644B">
              <w:rPr>
                <w:sz w:val="24"/>
              </w:rPr>
              <w:t>19</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13,275.90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500,090,000.00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129,287,148.69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2,263,484,088.24</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1,343,646,321.57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401,435,606.80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940,164,181.84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1,259,127,661.52</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532,769,288.42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1,405,792,033.52</w:t>
            </w:r>
          </w:p>
        </w:tc>
      </w:tr>
    </w:tbl>
    <w:p w:rsidR="00DA6A53" w:rsidRDefault="0077542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DA6A53" w:rsidRDefault="0077542B">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3F6F2B" w:rsidRPr="0061644B" w:rsidRDefault="003F6F2B" w:rsidP="00792A69">
      <w:pPr>
        <w:tabs>
          <w:tab w:val="left" w:pos="426"/>
        </w:tabs>
        <w:spacing w:before="29" w:line="288" w:lineRule="auto"/>
        <w:jc w:val="left"/>
        <w:rPr>
          <w:kern w:val="0"/>
          <w:sz w:val="24"/>
        </w:rPr>
      </w:pPr>
    </w:p>
    <w:p w:rsidR="00F41287" w:rsidRPr="0061644B" w:rsidRDefault="00F41287" w:rsidP="00792A69">
      <w:pPr>
        <w:tabs>
          <w:tab w:val="left" w:pos="426"/>
        </w:tabs>
        <w:spacing w:before="29" w:line="288" w:lineRule="auto"/>
        <w:jc w:val="left"/>
        <w:rPr>
          <w:kern w:val="0"/>
          <w:sz w:val="24"/>
        </w:rPr>
      </w:pPr>
    </w:p>
    <w:p w:rsidR="006D141C" w:rsidRPr="00B54CAD" w:rsidRDefault="006D141C" w:rsidP="00B54CAD">
      <w:pPr>
        <w:pStyle w:val="1"/>
        <w:keepNext/>
        <w:keepLines/>
        <w:widowControl w:val="0"/>
        <w:spacing w:beforeLines="100" w:before="312" w:afterLines="100" w:after="312" w:line="288" w:lineRule="auto"/>
        <w:jc w:val="center"/>
        <w:rPr>
          <w:b/>
          <w:bCs/>
          <w:szCs w:val="24"/>
          <w:lang w:val="en-US"/>
        </w:rPr>
      </w:pPr>
      <w:bookmarkStart w:id="42" w:name="_Toc331410116"/>
      <w:bookmarkStart w:id="43" w:name="_Toc225500054"/>
      <w:r w:rsidRPr="00B54CAD">
        <w:rPr>
          <w:b/>
          <w:bCs/>
          <w:szCs w:val="24"/>
          <w:lang w:val="en-US"/>
        </w:rPr>
        <w:t>10</w:t>
      </w:r>
      <w:r w:rsidRPr="00B54CAD">
        <w:rPr>
          <w:b/>
          <w:bCs/>
          <w:szCs w:val="24"/>
          <w:lang w:val="en-US"/>
        </w:rPr>
        <w:t>重大事件揭示</w:t>
      </w:r>
      <w:bookmarkEnd w:id="42"/>
      <w:bookmarkEnd w:id="43"/>
    </w:p>
    <w:p w:rsidR="00B54CAD" w:rsidRPr="00B54CAD" w:rsidRDefault="00B54CAD" w:rsidP="00B54CAD">
      <w:pPr>
        <w:pStyle w:val="20"/>
        <w:spacing w:before="29" w:after="0" w:line="288" w:lineRule="auto"/>
        <w:rPr>
          <w:rFonts w:ascii="Times New Roman" w:hAnsi="Times New Roman"/>
          <w:kern w:val="0"/>
          <w:szCs w:val="24"/>
        </w:rPr>
      </w:pPr>
      <w:bookmarkStart w:id="44" w:name="_Toc374438161"/>
      <w:bookmarkStart w:id="45" w:name="_Toc361324894"/>
      <w:bookmarkStart w:id="46" w:name="OLE_LINK179"/>
      <w:bookmarkStart w:id="47" w:name="OLE_LINK178"/>
      <w:bookmarkStart w:id="48" w:name="OLE_LINK174"/>
      <w:bookmarkStart w:id="49" w:name="OLE_LINK165"/>
      <w:bookmarkStart w:id="50" w:name="OLE_LINK145"/>
      <w:bookmarkStart w:id="51" w:name="OLE_LINK135"/>
      <w:bookmarkStart w:id="52" w:name="OLE_LINK84"/>
      <w:bookmarkStart w:id="53" w:name="OLE_LINK75"/>
      <w:bookmarkStart w:id="54" w:name="OLE_LINK59"/>
      <w:bookmarkStart w:id="55" w:name="OLE_LINK34"/>
      <w:bookmarkStart w:id="56" w:name="OLE_LINK33"/>
      <w:bookmarkStart w:id="57" w:name="OLE_LINK28"/>
      <w:bookmarkStart w:id="58" w:name="OLE_LINK170"/>
      <w:bookmarkStart w:id="59" w:name="OLE_LINK159"/>
      <w:bookmarkStart w:id="60" w:name="OLE_LINK143"/>
      <w:bookmarkStart w:id="61" w:name="OLE_LINK130"/>
      <w:bookmarkStart w:id="62" w:name="OLE_LINK102"/>
      <w:bookmarkStart w:id="63" w:name="OLE_LINK101"/>
      <w:bookmarkStart w:id="64" w:name="OLE_LINK72"/>
      <w:bookmarkStart w:id="65" w:name="OLE_LINK50"/>
      <w:bookmarkStart w:id="66" w:name="OLE_LINK49"/>
      <w:r w:rsidRPr="00B54CAD">
        <w:rPr>
          <w:rFonts w:ascii="Times New Roman" w:hAnsi="Times New Roman"/>
          <w:kern w:val="0"/>
          <w:szCs w:val="24"/>
        </w:rPr>
        <w:t>10.1</w:t>
      </w:r>
      <w:r w:rsidRPr="00B54CAD">
        <w:rPr>
          <w:rFonts w:ascii="Times New Roman" w:hAnsi="Times New Roman"/>
          <w:kern w:val="0"/>
          <w:szCs w:val="24"/>
        </w:rPr>
        <w:tab/>
      </w:r>
      <w:r w:rsidRPr="00B54CAD">
        <w:rPr>
          <w:rFonts w:ascii="Times New Roman" w:hAnsi="Times New Roman" w:hint="eastAsia"/>
          <w:kern w:val="0"/>
          <w:szCs w:val="24"/>
        </w:rPr>
        <w:t>基金份额持有人大会决议</w:t>
      </w:r>
      <w:bookmarkEnd w:id="44"/>
      <w:bookmarkEnd w:id="45"/>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本基金本报告期内未召开基金份额持有人大会。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7" w:name="_Toc374438162"/>
      <w:bookmarkStart w:id="68" w:name="_Toc361324895"/>
      <w:r w:rsidRPr="00B54CAD">
        <w:rPr>
          <w:rFonts w:ascii="Times New Roman" w:hAnsi="Times New Roman"/>
          <w:kern w:val="0"/>
          <w:szCs w:val="24"/>
        </w:rPr>
        <w:t>10.2</w:t>
      </w:r>
      <w:r w:rsidRPr="00B54CAD">
        <w:rPr>
          <w:rFonts w:ascii="Times New Roman" w:hAnsi="Times New Roman"/>
          <w:kern w:val="0"/>
          <w:szCs w:val="24"/>
        </w:rPr>
        <w:tab/>
      </w:r>
      <w:r w:rsidRPr="00B54CAD">
        <w:rPr>
          <w:rFonts w:ascii="Times New Roman" w:hAnsi="Times New Roman" w:hint="eastAsia"/>
          <w:kern w:val="0"/>
          <w:szCs w:val="24"/>
        </w:rPr>
        <w:t>基金管理人、基金托管人的专门基金托管部门的重大人事变动</w:t>
      </w:r>
      <w:bookmarkEnd w:id="67"/>
      <w:bookmarkEnd w:id="68"/>
    </w:p>
    <w:p w:rsidR="00DA6A53" w:rsidRDefault="0077542B">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B54CAD" w:rsidRPr="00B54CAD" w:rsidRDefault="00B54CAD" w:rsidP="00B54CAD">
      <w:pPr>
        <w:tabs>
          <w:tab w:val="left" w:pos="426"/>
        </w:tabs>
        <w:spacing w:before="29" w:line="288" w:lineRule="auto"/>
        <w:jc w:val="left"/>
        <w:rPr>
          <w:kern w:val="0"/>
          <w:sz w:val="24"/>
        </w:rPr>
      </w:pPr>
      <w:r w:rsidRPr="00B54CAD">
        <w:rPr>
          <w:kern w:val="0"/>
          <w:sz w:val="24"/>
        </w:rPr>
        <w:t>2</w:t>
      </w:r>
      <w:r w:rsidRPr="00B54CAD">
        <w:rPr>
          <w:kern w:val="0"/>
          <w:sz w:val="24"/>
        </w:rPr>
        <w:t>、基金托管人的基金托管部门的重大人事变动：本基金托管人的专门基金托管部门本报告期内未发生重大人事变动。</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9" w:name="_Toc374438163"/>
      <w:bookmarkStart w:id="70" w:name="_Toc361324896"/>
      <w:r w:rsidRPr="00B54CAD">
        <w:rPr>
          <w:rFonts w:ascii="Times New Roman" w:hAnsi="Times New Roman"/>
          <w:kern w:val="0"/>
          <w:szCs w:val="24"/>
        </w:rPr>
        <w:t>10.3</w:t>
      </w:r>
      <w:r w:rsidRPr="00B54CAD">
        <w:rPr>
          <w:rFonts w:ascii="Times New Roman" w:hAnsi="Times New Roman"/>
          <w:kern w:val="0"/>
          <w:szCs w:val="24"/>
        </w:rPr>
        <w:tab/>
      </w:r>
      <w:r w:rsidRPr="00B54CAD">
        <w:rPr>
          <w:rFonts w:ascii="Times New Roman" w:hAnsi="Times New Roman" w:hint="eastAsia"/>
          <w:kern w:val="0"/>
          <w:szCs w:val="24"/>
        </w:rPr>
        <w:t>涉及基金管理人、基金财产、基金托管业务的诉讼</w:t>
      </w:r>
      <w:bookmarkEnd w:id="69"/>
      <w:bookmarkEnd w:id="70"/>
    </w:p>
    <w:p w:rsidR="00B54CAD" w:rsidRPr="00B54CAD" w:rsidRDefault="00B54CAD" w:rsidP="00B54CAD">
      <w:pPr>
        <w:tabs>
          <w:tab w:val="left" w:pos="426"/>
        </w:tabs>
        <w:spacing w:before="29" w:line="288" w:lineRule="auto"/>
        <w:jc w:val="left"/>
        <w:rPr>
          <w:kern w:val="0"/>
          <w:sz w:val="24"/>
        </w:rPr>
      </w:pPr>
      <w:r w:rsidRPr="00B54CAD">
        <w:rPr>
          <w:kern w:val="0"/>
          <w:sz w:val="24"/>
        </w:rPr>
        <w:t>本报告期内未发生涉及本基金管理人、基金财产、基金托管业务的诉讼事项。</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1" w:name="_Toc374438164"/>
      <w:bookmarkStart w:id="72" w:name="_Toc361324897"/>
      <w:r w:rsidRPr="00B54CAD">
        <w:rPr>
          <w:rFonts w:ascii="Times New Roman" w:hAnsi="Times New Roman"/>
          <w:kern w:val="0"/>
          <w:szCs w:val="24"/>
        </w:rPr>
        <w:t>10.4</w:t>
      </w:r>
      <w:r w:rsidRPr="00B54CAD">
        <w:rPr>
          <w:rFonts w:ascii="Times New Roman" w:hAnsi="Times New Roman"/>
          <w:kern w:val="0"/>
          <w:szCs w:val="24"/>
        </w:rPr>
        <w:tab/>
      </w:r>
      <w:r w:rsidRPr="00B54CAD">
        <w:rPr>
          <w:rFonts w:ascii="Times New Roman" w:hAnsi="Times New Roman" w:hint="eastAsia"/>
          <w:kern w:val="0"/>
          <w:szCs w:val="24"/>
        </w:rPr>
        <w:t>基金投资策略的改变</w:t>
      </w:r>
      <w:bookmarkEnd w:id="71"/>
      <w:bookmarkEnd w:id="72"/>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本基金本报告期内投资策略未发生改变。</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r w:rsidRPr="00B54CAD">
        <w:rPr>
          <w:rFonts w:ascii="Times New Roman" w:hAnsi="Times New Roman"/>
          <w:kern w:val="0"/>
          <w:szCs w:val="24"/>
        </w:rPr>
        <w:t>10.5</w:t>
      </w:r>
      <w:r w:rsidRPr="00B54CAD">
        <w:rPr>
          <w:rFonts w:ascii="Times New Roman" w:hAnsi="Times New Roman" w:hint="eastAsia"/>
          <w:kern w:val="0"/>
          <w:szCs w:val="24"/>
        </w:rPr>
        <w:t>本报告期持有的基金发生的重大影响事件</w:t>
      </w:r>
    </w:p>
    <w:p w:rsidR="00B54CAD" w:rsidRPr="00B54CAD" w:rsidRDefault="00B54CAD" w:rsidP="00B54CAD">
      <w:pPr>
        <w:tabs>
          <w:tab w:val="left" w:pos="426"/>
        </w:tabs>
        <w:spacing w:before="29" w:line="288" w:lineRule="auto"/>
        <w:jc w:val="left"/>
        <w:rPr>
          <w:kern w:val="0"/>
          <w:sz w:val="24"/>
        </w:rPr>
      </w:pPr>
      <w:r w:rsidRPr="00B54CAD">
        <w:rPr>
          <w:kern w:val="0"/>
          <w:sz w:val="24"/>
        </w:rPr>
        <w:t>无。</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3" w:name="_Toc409100103"/>
      <w:bookmarkStart w:id="74" w:name="_Toc409100466"/>
      <w:r w:rsidRPr="00B54CAD">
        <w:rPr>
          <w:rFonts w:ascii="Times New Roman" w:hAnsi="Times New Roman"/>
          <w:kern w:val="0"/>
          <w:szCs w:val="24"/>
        </w:rPr>
        <w:t>10.6</w:t>
      </w:r>
      <w:r w:rsidRPr="00B54CAD">
        <w:rPr>
          <w:rFonts w:ascii="Times New Roman" w:hAnsi="Times New Roman" w:hint="eastAsia"/>
          <w:kern w:val="0"/>
          <w:szCs w:val="24"/>
        </w:rPr>
        <w:t>为基金进行审计的会计师事务所情况</w:t>
      </w:r>
      <w:bookmarkEnd w:id="73"/>
      <w:bookmarkEnd w:id="74"/>
    </w:p>
    <w:p w:rsidR="00B54CAD" w:rsidRPr="00B54CAD" w:rsidRDefault="00B54CAD" w:rsidP="00B54CAD">
      <w:pPr>
        <w:tabs>
          <w:tab w:val="left" w:pos="426"/>
        </w:tabs>
        <w:spacing w:before="29" w:line="288" w:lineRule="auto"/>
        <w:jc w:val="left"/>
        <w:rPr>
          <w:kern w:val="0"/>
          <w:sz w:val="24"/>
        </w:rPr>
      </w:pPr>
      <w:bookmarkStart w:id="75" w:name="OLE_LINK3"/>
      <w:r w:rsidRPr="00B54CAD">
        <w:rPr>
          <w:kern w:val="0"/>
          <w:sz w:val="24"/>
        </w:rPr>
        <w:t>本基金自基金合同生效日起聘请普华永道中天会计师事务所</w:t>
      </w:r>
      <w:r w:rsidRPr="00B54CAD">
        <w:rPr>
          <w:kern w:val="0"/>
          <w:sz w:val="24"/>
        </w:rPr>
        <w:t xml:space="preserve"> (</w:t>
      </w:r>
      <w:r w:rsidRPr="00B54CAD">
        <w:rPr>
          <w:kern w:val="0"/>
          <w:sz w:val="24"/>
        </w:rPr>
        <w:t>特殊普通合伙</w:t>
      </w:r>
      <w:r w:rsidRPr="00B54CAD">
        <w:rPr>
          <w:kern w:val="0"/>
          <w:sz w:val="24"/>
        </w:rPr>
        <w:t>)</w:t>
      </w:r>
      <w:r w:rsidRPr="00B54CAD">
        <w:rPr>
          <w:kern w:val="0"/>
          <w:sz w:val="24"/>
        </w:rPr>
        <w:t>为本基金提供审计服务。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6" w:name="_Toc361324899"/>
      <w:bookmarkStart w:id="77" w:name="_Toc409100467"/>
      <w:bookmarkStart w:id="78" w:name="_Toc409100104"/>
      <w:bookmarkEnd w:id="75"/>
      <w:r w:rsidRPr="00B54CAD">
        <w:rPr>
          <w:rFonts w:ascii="Times New Roman" w:hAnsi="Times New Roman"/>
          <w:kern w:val="0"/>
          <w:szCs w:val="24"/>
        </w:rPr>
        <w:t>10.7</w:t>
      </w:r>
      <w:r w:rsidRPr="00B54CAD">
        <w:rPr>
          <w:rFonts w:ascii="Times New Roman" w:hAnsi="Times New Roman" w:hint="eastAsia"/>
          <w:kern w:val="0"/>
          <w:szCs w:val="24"/>
        </w:rPr>
        <w:t>管理人、托管人及其高级管理人员受稽查或处罚等情况</w:t>
      </w:r>
      <w:bookmarkEnd w:id="76"/>
      <w:bookmarkEnd w:id="77"/>
      <w:bookmarkEnd w:id="78"/>
    </w:p>
    <w:p w:rsidR="00DA6A53" w:rsidRDefault="0077542B">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DA6A53" w:rsidRDefault="0077542B">
      <w:pPr>
        <w:tabs>
          <w:tab w:val="left" w:pos="426"/>
        </w:tabs>
        <w:spacing w:before="29" w:line="288" w:lineRule="auto"/>
        <w:jc w:val="left"/>
        <w:rPr>
          <w:kern w:val="0"/>
          <w:sz w:val="24"/>
        </w:rPr>
      </w:pPr>
      <w:r>
        <w:rPr>
          <w:kern w:val="0"/>
          <w:sz w:val="24"/>
        </w:rPr>
        <w:t>基金管理人及其高级管理人员本报告期内未受监管部门稽查或处罚。</w:t>
      </w:r>
    </w:p>
    <w:p w:rsidR="00DA6A53" w:rsidRDefault="0077542B">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B54CAD" w:rsidRPr="00B54CAD" w:rsidRDefault="00B54CAD" w:rsidP="00B54CAD">
      <w:pPr>
        <w:tabs>
          <w:tab w:val="left" w:pos="426"/>
        </w:tabs>
        <w:spacing w:before="29" w:line="288" w:lineRule="auto"/>
        <w:jc w:val="left"/>
        <w:rPr>
          <w:kern w:val="0"/>
          <w:sz w:val="24"/>
        </w:rPr>
      </w:pPr>
      <w:r w:rsidRPr="00B54CAD">
        <w:rPr>
          <w:kern w:val="0"/>
          <w:sz w:val="24"/>
        </w:rPr>
        <w:t>基金托管人及其高级管理人员本报告期内未受监管部门稽查或处罚。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9" w:name="_Toc409100105"/>
      <w:bookmarkStart w:id="80" w:name="_Toc409100468"/>
      <w:bookmarkStart w:id="81" w:name="_Toc361324900"/>
      <w:r w:rsidRPr="00B54CAD">
        <w:rPr>
          <w:rFonts w:ascii="Times New Roman" w:hAnsi="Times New Roman"/>
          <w:kern w:val="0"/>
          <w:szCs w:val="24"/>
        </w:rPr>
        <w:t>10.8</w:t>
      </w:r>
      <w:r w:rsidRPr="00B54CAD">
        <w:rPr>
          <w:rFonts w:ascii="Times New Roman" w:hAnsi="Times New Roman" w:hint="eastAsia"/>
          <w:kern w:val="0"/>
          <w:szCs w:val="24"/>
        </w:rPr>
        <w:t>基金租用证券公司交易单元的有关情况</w:t>
      </w:r>
      <w:bookmarkEnd w:id="79"/>
      <w:bookmarkEnd w:id="80"/>
      <w:bookmarkEnd w:id="81"/>
    </w:p>
    <w:p w:rsidR="00B54CAD" w:rsidRPr="00B54CAD" w:rsidRDefault="00B54CAD" w:rsidP="00B54CAD">
      <w:pPr>
        <w:tabs>
          <w:tab w:val="left" w:pos="426"/>
        </w:tabs>
        <w:spacing w:before="29" w:line="288" w:lineRule="auto"/>
        <w:jc w:val="left"/>
        <w:rPr>
          <w:b/>
          <w:kern w:val="0"/>
          <w:sz w:val="24"/>
        </w:rPr>
      </w:pPr>
      <w:bookmarkStart w:id="82" w:name="_Toc249760070"/>
      <w:r w:rsidRPr="00B54CAD">
        <w:rPr>
          <w:b/>
          <w:kern w:val="0"/>
          <w:sz w:val="24"/>
        </w:rPr>
        <w:t>10.8.1</w:t>
      </w:r>
      <w:r w:rsidRPr="00B54CAD">
        <w:rPr>
          <w:rFonts w:hint="eastAsia"/>
          <w:b/>
          <w:kern w:val="0"/>
          <w:sz w:val="24"/>
        </w:rPr>
        <w:t>基金租用证券公司交易单元进行股票投资及佣金支付情况</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82"/>
    </w:p>
    <w:p w:rsidR="006D141C" w:rsidRPr="00B54CAD" w:rsidRDefault="006D141C" w:rsidP="00792A69">
      <w:pPr>
        <w:pStyle w:val="a0"/>
        <w:spacing w:before="29" w:line="288" w:lineRule="auto"/>
        <w:ind w:firstLineChars="2600" w:firstLine="6240"/>
        <w:jc w:val="right"/>
        <w:rPr>
          <w:sz w:val="24"/>
        </w:rPr>
      </w:pPr>
      <w:r w:rsidRPr="00B54CA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B54CAD"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bookmarkStart w:id="83" w:name="_Toc249760071"/>
            <w:r w:rsidRPr="00B54CAD">
              <w:rPr>
                <w:sz w:val="24"/>
              </w:rPr>
              <w:t>券商名称</w:t>
            </w:r>
          </w:p>
          <w:p w:rsidR="00C70D3A" w:rsidRPr="00B54CAD"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备注</w:t>
            </w:r>
          </w:p>
        </w:tc>
      </w:tr>
      <w:tr w:rsidR="006B4A69" w:rsidRPr="00B54CAD"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kern w:val="0"/>
                <w:sz w:val="24"/>
              </w:rPr>
            </w:pPr>
          </w:p>
        </w:tc>
      </w:tr>
      <w:tr w:rsidR="00DA6A53">
        <w:tc>
          <w:tcPr>
            <w:tcW w:w="1559" w:type="dxa"/>
            <w:vAlign w:val="center"/>
          </w:tcPr>
          <w:p w:rsidR="00DA6A53" w:rsidRDefault="0077542B">
            <w:pPr>
              <w:jc w:val="center"/>
            </w:pPr>
            <w:r>
              <w:rPr>
                <w:sz w:val="24"/>
              </w:rPr>
              <w:t>安信证券股份有限公司</w:t>
            </w:r>
          </w:p>
        </w:tc>
        <w:tc>
          <w:tcPr>
            <w:tcW w:w="779" w:type="dxa"/>
            <w:vAlign w:val="center"/>
          </w:tcPr>
          <w:p w:rsidR="00DA6A53" w:rsidRDefault="0077542B">
            <w:pPr>
              <w:jc w:val="right"/>
            </w:pPr>
            <w:r>
              <w:rPr>
                <w:sz w:val="24"/>
              </w:rPr>
              <w:t>2</w:t>
            </w:r>
          </w:p>
        </w:tc>
        <w:tc>
          <w:tcPr>
            <w:tcW w:w="1800" w:type="dxa"/>
            <w:vAlign w:val="center"/>
          </w:tcPr>
          <w:p w:rsidR="00DA6A53" w:rsidRDefault="0077542B">
            <w:pPr>
              <w:jc w:val="right"/>
            </w:pPr>
            <w:r>
              <w:rPr>
                <w:sz w:val="24"/>
              </w:rPr>
              <w:t>-</w:t>
            </w:r>
          </w:p>
        </w:tc>
        <w:tc>
          <w:tcPr>
            <w:tcW w:w="1080" w:type="dxa"/>
            <w:vAlign w:val="center"/>
          </w:tcPr>
          <w:p w:rsidR="00DA6A53" w:rsidRDefault="0077542B">
            <w:pPr>
              <w:jc w:val="right"/>
            </w:pPr>
            <w:r>
              <w:rPr>
                <w:sz w:val="24"/>
              </w:rPr>
              <w:t>-</w:t>
            </w:r>
          </w:p>
        </w:tc>
        <w:tc>
          <w:tcPr>
            <w:tcW w:w="1620" w:type="dxa"/>
            <w:vAlign w:val="center"/>
          </w:tcPr>
          <w:p w:rsidR="00DA6A53" w:rsidRDefault="0077542B">
            <w:pPr>
              <w:jc w:val="right"/>
            </w:pPr>
            <w:r>
              <w:rPr>
                <w:sz w:val="24"/>
              </w:rPr>
              <w:t>-</w:t>
            </w:r>
          </w:p>
        </w:tc>
        <w:tc>
          <w:tcPr>
            <w:tcW w:w="1080" w:type="dxa"/>
            <w:vAlign w:val="center"/>
          </w:tcPr>
          <w:p w:rsidR="00DA6A53" w:rsidRDefault="0077542B">
            <w:pPr>
              <w:jc w:val="right"/>
            </w:pPr>
            <w:r>
              <w:rPr>
                <w:sz w:val="24"/>
              </w:rPr>
              <w:t>-</w:t>
            </w:r>
          </w:p>
        </w:tc>
        <w:tc>
          <w:tcPr>
            <w:tcW w:w="1080" w:type="dxa"/>
            <w:vAlign w:val="center"/>
          </w:tcPr>
          <w:p w:rsidR="00DA6A53" w:rsidRDefault="0077542B">
            <w:pPr>
              <w:jc w:val="left"/>
            </w:pPr>
            <w:r>
              <w:rPr>
                <w:sz w:val="24"/>
              </w:rPr>
              <w:t>-</w:t>
            </w:r>
          </w:p>
        </w:tc>
      </w:tr>
      <w:tr w:rsidR="00DA6A53">
        <w:tc>
          <w:tcPr>
            <w:tcW w:w="1559" w:type="dxa"/>
            <w:vAlign w:val="center"/>
          </w:tcPr>
          <w:p w:rsidR="00DA6A53" w:rsidRDefault="0077542B">
            <w:pPr>
              <w:jc w:val="center"/>
            </w:pPr>
            <w:r>
              <w:rPr>
                <w:sz w:val="24"/>
              </w:rPr>
              <w:t>国金证券股份有限公司</w:t>
            </w:r>
          </w:p>
        </w:tc>
        <w:tc>
          <w:tcPr>
            <w:tcW w:w="779" w:type="dxa"/>
            <w:vAlign w:val="center"/>
          </w:tcPr>
          <w:p w:rsidR="00DA6A53" w:rsidRDefault="0077542B">
            <w:pPr>
              <w:jc w:val="right"/>
            </w:pPr>
            <w:r>
              <w:rPr>
                <w:sz w:val="24"/>
              </w:rPr>
              <w:t>2</w:t>
            </w:r>
          </w:p>
        </w:tc>
        <w:tc>
          <w:tcPr>
            <w:tcW w:w="1800" w:type="dxa"/>
            <w:vAlign w:val="center"/>
          </w:tcPr>
          <w:p w:rsidR="00DA6A53" w:rsidRDefault="0077542B">
            <w:pPr>
              <w:jc w:val="right"/>
            </w:pPr>
            <w:r>
              <w:rPr>
                <w:sz w:val="24"/>
              </w:rPr>
              <w:t>-</w:t>
            </w:r>
          </w:p>
        </w:tc>
        <w:tc>
          <w:tcPr>
            <w:tcW w:w="1080" w:type="dxa"/>
            <w:vAlign w:val="center"/>
          </w:tcPr>
          <w:p w:rsidR="00DA6A53" w:rsidRDefault="0077542B">
            <w:pPr>
              <w:jc w:val="right"/>
            </w:pPr>
            <w:r>
              <w:rPr>
                <w:sz w:val="24"/>
              </w:rPr>
              <w:t>-</w:t>
            </w:r>
          </w:p>
        </w:tc>
        <w:tc>
          <w:tcPr>
            <w:tcW w:w="1620" w:type="dxa"/>
            <w:vAlign w:val="center"/>
          </w:tcPr>
          <w:p w:rsidR="00DA6A53" w:rsidRDefault="0077542B">
            <w:pPr>
              <w:jc w:val="right"/>
            </w:pPr>
            <w:r>
              <w:rPr>
                <w:sz w:val="24"/>
              </w:rPr>
              <w:t>-</w:t>
            </w:r>
          </w:p>
        </w:tc>
        <w:tc>
          <w:tcPr>
            <w:tcW w:w="1080" w:type="dxa"/>
            <w:vAlign w:val="center"/>
          </w:tcPr>
          <w:p w:rsidR="00DA6A53" w:rsidRDefault="0077542B">
            <w:pPr>
              <w:jc w:val="right"/>
            </w:pPr>
            <w:r>
              <w:rPr>
                <w:sz w:val="24"/>
              </w:rPr>
              <w:t>-</w:t>
            </w:r>
          </w:p>
        </w:tc>
        <w:tc>
          <w:tcPr>
            <w:tcW w:w="1080" w:type="dxa"/>
            <w:vAlign w:val="center"/>
          </w:tcPr>
          <w:p w:rsidR="00DA6A53" w:rsidRDefault="0077542B">
            <w:pPr>
              <w:jc w:val="left"/>
            </w:pPr>
            <w:r>
              <w:rPr>
                <w:sz w:val="24"/>
              </w:rPr>
              <w:t>-</w:t>
            </w:r>
          </w:p>
        </w:tc>
      </w:tr>
      <w:tr w:rsidR="00DA6A53">
        <w:tc>
          <w:tcPr>
            <w:tcW w:w="1559" w:type="dxa"/>
            <w:vAlign w:val="center"/>
          </w:tcPr>
          <w:p w:rsidR="00DA6A53" w:rsidRDefault="0077542B">
            <w:pPr>
              <w:jc w:val="center"/>
            </w:pPr>
            <w:r>
              <w:rPr>
                <w:sz w:val="24"/>
              </w:rPr>
              <w:t>中泰证券股份有限公司</w:t>
            </w:r>
          </w:p>
        </w:tc>
        <w:tc>
          <w:tcPr>
            <w:tcW w:w="779" w:type="dxa"/>
            <w:vAlign w:val="center"/>
          </w:tcPr>
          <w:p w:rsidR="00DA6A53" w:rsidRDefault="0077542B">
            <w:pPr>
              <w:jc w:val="right"/>
            </w:pPr>
            <w:r>
              <w:rPr>
                <w:sz w:val="24"/>
              </w:rPr>
              <w:t>2</w:t>
            </w:r>
          </w:p>
        </w:tc>
        <w:tc>
          <w:tcPr>
            <w:tcW w:w="1800" w:type="dxa"/>
            <w:vAlign w:val="center"/>
          </w:tcPr>
          <w:p w:rsidR="00DA6A53" w:rsidRDefault="0077542B">
            <w:pPr>
              <w:jc w:val="right"/>
            </w:pPr>
            <w:r>
              <w:rPr>
                <w:sz w:val="24"/>
              </w:rPr>
              <w:t>-</w:t>
            </w:r>
          </w:p>
        </w:tc>
        <w:tc>
          <w:tcPr>
            <w:tcW w:w="1080" w:type="dxa"/>
            <w:vAlign w:val="center"/>
          </w:tcPr>
          <w:p w:rsidR="00DA6A53" w:rsidRDefault="0077542B">
            <w:pPr>
              <w:jc w:val="right"/>
            </w:pPr>
            <w:r>
              <w:rPr>
                <w:sz w:val="24"/>
              </w:rPr>
              <w:t>-</w:t>
            </w:r>
          </w:p>
        </w:tc>
        <w:tc>
          <w:tcPr>
            <w:tcW w:w="1620" w:type="dxa"/>
            <w:vAlign w:val="center"/>
          </w:tcPr>
          <w:p w:rsidR="00DA6A53" w:rsidRDefault="0077542B">
            <w:pPr>
              <w:jc w:val="right"/>
            </w:pPr>
            <w:r>
              <w:rPr>
                <w:sz w:val="24"/>
              </w:rPr>
              <w:t>-</w:t>
            </w:r>
          </w:p>
        </w:tc>
        <w:tc>
          <w:tcPr>
            <w:tcW w:w="1080" w:type="dxa"/>
            <w:vAlign w:val="center"/>
          </w:tcPr>
          <w:p w:rsidR="00DA6A53" w:rsidRDefault="0077542B">
            <w:pPr>
              <w:jc w:val="right"/>
            </w:pPr>
            <w:r>
              <w:rPr>
                <w:sz w:val="24"/>
              </w:rPr>
              <w:t>-</w:t>
            </w:r>
          </w:p>
        </w:tc>
        <w:tc>
          <w:tcPr>
            <w:tcW w:w="1080" w:type="dxa"/>
            <w:vAlign w:val="center"/>
          </w:tcPr>
          <w:p w:rsidR="00DA6A53" w:rsidRDefault="0077542B">
            <w:pPr>
              <w:jc w:val="left"/>
            </w:pPr>
            <w:r>
              <w:rPr>
                <w:sz w:val="24"/>
              </w:rPr>
              <w:t>-</w:t>
            </w:r>
          </w:p>
        </w:tc>
      </w:tr>
    </w:tbl>
    <w:p w:rsidR="006D141C" w:rsidRPr="00B54CAD" w:rsidRDefault="006D141C" w:rsidP="00792A69">
      <w:pPr>
        <w:spacing w:before="29" w:line="288" w:lineRule="auto"/>
        <w:rPr>
          <w:sz w:val="24"/>
        </w:rPr>
      </w:pPr>
    </w:p>
    <w:p w:rsidR="00B54CAD" w:rsidRPr="00B54CAD" w:rsidRDefault="00B54CAD" w:rsidP="00B54CAD">
      <w:pPr>
        <w:pStyle w:val="20"/>
        <w:spacing w:before="29" w:after="0" w:line="288" w:lineRule="auto"/>
        <w:rPr>
          <w:rFonts w:ascii="Times New Roman" w:hAnsi="Times New Roman"/>
          <w:kern w:val="0"/>
          <w:szCs w:val="24"/>
        </w:rPr>
      </w:pPr>
      <w:bookmarkStart w:id="84" w:name="OLE_LINK177"/>
      <w:bookmarkStart w:id="85" w:name="OLE_LINK176"/>
      <w:bookmarkStart w:id="86" w:name="OLE_LINK175"/>
      <w:bookmarkStart w:id="87" w:name="OLE_LINK156"/>
      <w:bookmarkStart w:id="88" w:name="OLE_LINK146"/>
      <w:bookmarkStart w:id="89" w:name="OLE_LINK108"/>
      <w:bookmarkStart w:id="90" w:name="OLE_LINK37"/>
      <w:bookmarkStart w:id="91" w:name="OLE_LINK36"/>
      <w:bookmarkStart w:id="92" w:name="OLE_LINK35"/>
      <w:bookmarkStart w:id="93" w:name="OLE_LINK32"/>
      <w:bookmarkStart w:id="94" w:name="OLE_LINK31"/>
      <w:bookmarkStart w:id="95" w:name="OLE_LINK30"/>
      <w:bookmarkStart w:id="96" w:name="OLE_LINK29"/>
      <w:bookmarkStart w:id="97" w:name="_Toc249707408"/>
      <w:bookmarkEnd w:id="83"/>
      <w:r w:rsidRPr="00B54CAD">
        <w:rPr>
          <w:rFonts w:ascii="Times New Roman" w:hAnsi="Times New Roman"/>
          <w:kern w:val="0"/>
          <w:szCs w:val="24"/>
        </w:rPr>
        <w:t xml:space="preserve">10.8.2 </w:t>
      </w:r>
      <w:r w:rsidRPr="00B54CAD">
        <w:rPr>
          <w:rFonts w:ascii="Times New Roman" w:hAnsi="Times New Roman" w:hint="eastAsia"/>
          <w:kern w:val="0"/>
          <w:szCs w:val="24"/>
        </w:rPr>
        <w:t>基金租用证券公司交易单元进行其他证券投资的情况</w:t>
      </w:r>
      <w:bookmarkEnd w:id="84"/>
      <w:bookmarkEnd w:id="85"/>
      <w:bookmarkEnd w:id="86"/>
      <w:bookmarkEnd w:id="87"/>
      <w:bookmarkEnd w:id="88"/>
      <w:bookmarkEnd w:id="89"/>
      <w:bookmarkEnd w:id="90"/>
      <w:bookmarkEnd w:id="91"/>
      <w:bookmarkEnd w:id="92"/>
      <w:bookmarkEnd w:id="93"/>
      <w:bookmarkEnd w:id="94"/>
      <w:bookmarkEnd w:id="95"/>
      <w:bookmarkEnd w:id="96"/>
    </w:p>
    <w:p w:rsidR="006D141C" w:rsidRPr="0061644B" w:rsidRDefault="00644AB5" w:rsidP="00792A69">
      <w:pPr>
        <w:spacing w:before="29" w:line="288" w:lineRule="auto"/>
        <w:ind w:firstLine="420"/>
        <w:jc w:val="right"/>
        <w:rPr>
          <w:sz w:val="24"/>
        </w:rPr>
      </w:pPr>
      <w:r w:rsidRPr="0061644B">
        <w:rPr>
          <w:sz w:val="24"/>
        </w:rPr>
        <w:t>金额单位</w:t>
      </w:r>
      <w:r w:rsidR="006D141C" w:rsidRPr="0061644B">
        <w:rPr>
          <w:kern w:val="0"/>
          <w:sz w:val="24"/>
        </w:rPr>
        <w:t>：</w:t>
      </w:r>
      <w:r w:rsidR="006D141C" w:rsidRPr="0061644B">
        <w:rPr>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6B4A69" w:rsidRPr="0061644B" w:rsidTr="0077542B">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61644B" w:rsidRDefault="006D141C" w:rsidP="00792A69">
            <w:pPr>
              <w:spacing w:before="29" w:line="288" w:lineRule="auto"/>
              <w:jc w:val="center"/>
              <w:rPr>
                <w:sz w:val="24"/>
              </w:rPr>
            </w:pPr>
            <w:r w:rsidRPr="0061644B">
              <w:rPr>
                <w:sz w:val="24"/>
              </w:rPr>
              <w:t>券商名称</w:t>
            </w:r>
          </w:p>
          <w:p w:rsidR="00C70D3A" w:rsidRPr="0061644B" w:rsidRDefault="00C70D3A" w:rsidP="00792A69">
            <w:pPr>
              <w:spacing w:before="29" w:line="288" w:lineRule="auto"/>
              <w:jc w:val="center"/>
              <w:rPr>
                <w:sz w:val="24"/>
              </w:rPr>
            </w:pPr>
          </w:p>
        </w:tc>
        <w:tc>
          <w:tcPr>
            <w:tcW w:w="239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权证交易</w:t>
            </w:r>
          </w:p>
        </w:tc>
      </w:tr>
      <w:tr w:rsidR="006B4A69" w:rsidRPr="0061644B" w:rsidTr="0077542B">
        <w:trPr>
          <w:trHeight w:val="1389"/>
        </w:trPr>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占当期权证成交总额的比例</w:t>
            </w:r>
          </w:p>
        </w:tc>
      </w:tr>
      <w:tr w:rsidR="00DA6A53">
        <w:tc>
          <w:tcPr>
            <w:tcW w:w="1559" w:type="dxa"/>
            <w:vAlign w:val="center"/>
          </w:tcPr>
          <w:p w:rsidR="00DA6A53" w:rsidRDefault="0077542B">
            <w:pPr>
              <w:jc w:val="left"/>
            </w:pPr>
            <w:r>
              <w:rPr>
                <w:sz w:val="24"/>
              </w:rPr>
              <w:t>安信证券股份有限公司</w:t>
            </w:r>
          </w:p>
        </w:tc>
        <w:tc>
          <w:tcPr>
            <w:tcW w:w="1319" w:type="dxa"/>
            <w:vAlign w:val="center"/>
          </w:tcPr>
          <w:p w:rsidR="00DA6A53" w:rsidRDefault="0077542B">
            <w:pPr>
              <w:jc w:val="right"/>
            </w:pPr>
            <w:r>
              <w:rPr>
                <w:sz w:val="24"/>
              </w:rPr>
              <w:t>-</w:t>
            </w:r>
          </w:p>
        </w:tc>
        <w:tc>
          <w:tcPr>
            <w:tcW w:w="1080" w:type="dxa"/>
            <w:vAlign w:val="center"/>
          </w:tcPr>
          <w:p w:rsidR="00DA6A53" w:rsidRDefault="0077542B">
            <w:pPr>
              <w:jc w:val="right"/>
            </w:pPr>
            <w:r>
              <w:rPr>
                <w:sz w:val="24"/>
              </w:rPr>
              <w:t>-</w:t>
            </w:r>
          </w:p>
        </w:tc>
        <w:tc>
          <w:tcPr>
            <w:tcW w:w="1080" w:type="dxa"/>
            <w:vAlign w:val="center"/>
          </w:tcPr>
          <w:p w:rsidR="00DA6A53" w:rsidRDefault="0077542B">
            <w:pPr>
              <w:jc w:val="right"/>
            </w:pPr>
            <w:r>
              <w:rPr>
                <w:sz w:val="24"/>
              </w:rPr>
              <w:t>224,000,000.00</w:t>
            </w:r>
          </w:p>
        </w:tc>
        <w:tc>
          <w:tcPr>
            <w:tcW w:w="1260" w:type="dxa"/>
            <w:vAlign w:val="center"/>
          </w:tcPr>
          <w:p w:rsidR="00DA6A53" w:rsidRDefault="0077542B">
            <w:pPr>
              <w:jc w:val="right"/>
            </w:pPr>
            <w:r>
              <w:rPr>
                <w:sz w:val="24"/>
              </w:rPr>
              <w:t>100.00%</w:t>
            </w:r>
          </w:p>
        </w:tc>
        <w:tc>
          <w:tcPr>
            <w:tcW w:w="1260" w:type="dxa"/>
            <w:vAlign w:val="center"/>
          </w:tcPr>
          <w:p w:rsidR="00DA6A53" w:rsidRDefault="0077542B">
            <w:pPr>
              <w:jc w:val="right"/>
            </w:pPr>
            <w:r>
              <w:rPr>
                <w:sz w:val="24"/>
              </w:rPr>
              <w:t>-</w:t>
            </w:r>
          </w:p>
        </w:tc>
        <w:tc>
          <w:tcPr>
            <w:tcW w:w="1440" w:type="dxa"/>
            <w:vAlign w:val="center"/>
          </w:tcPr>
          <w:p w:rsidR="00DA6A53" w:rsidRDefault="0077542B">
            <w:pPr>
              <w:jc w:val="right"/>
            </w:pPr>
            <w:r>
              <w:rPr>
                <w:sz w:val="24"/>
              </w:rPr>
              <w:t>-</w:t>
            </w:r>
          </w:p>
        </w:tc>
      </w:tr>
      <w:tr w:rsidR="0077542B">
        <w:tc>
          <w:tcPr>
            <w:tcW w:w="1559" w:type="dxa"/>
            <w:vAlign w:val="center"/>
          </w:tcPr>
          <w:p w:rsidR="0077542B" w:rsidRDefault="0077542B" w:rsidP="0077542B">
            <w:pPr>
              <w:jc w:val="left"/>
            </w:pPr>
            <w:r>
              <w:rPr>
                <w:rFonts w:eastAsiaTheme="minorEastAsia"/>
                <w:sz w:val="24"/>
              </w:rPr>
              <w:t>国金证券股份有限公司</w:t>
            </w:r>
          </w:p>
        </w:tc>
        <w:tc>
          <w:tcPr>
            <w:tcW w:w="1319" w:type="dxa"/>
            <w:vAlign w:val="center"/>
          </w:tcPr>
          <w:p w:rsidR="0077542B" w:rsidRDefault="0077542B" w:rsidP="0077542B">
            <w:pPr>
              <w:jc w:val="right"/>
            </w:pPr>
            <w:r>
              <w:rPr>
                <w:rFonts w:eastAsiaTheme="minorEastAsia"/>
                <w:sz w:val="24"/>
              </w:rPr>
              <w:t>-</w:t>
            </w:r>
          </w:p>
        </w:tc>
        <w:tc>
          <w:tcPr>
            <w:tcW w:w="1080" w:type="dxa"/>
            <w:vAlign w:val="center"/>
          </w:tcPr>
          <w:p w:rsidR="0077542B" w:rsidRDefault="0077542B" w:rsidP="0077542B">
            <w:pPr>
              <w:jc w:val="right"/>
            </w:pPr>
            <w:r>
              <w:rPr>
                <w:rFonts w:eastAsiaTheme="minorEastAsia"/>
                <w:sz w:val="24"/>
              </w:rPr>
              <w:t>-</w:t>
            </w:r>
          </w:p>
        </w:tc>
        <w:tc>
          <w:tcPr>
            <w:tcW w:w="1080" w:type="dxa"/>
            <w:vAlign w:val="center"/>
          </w:tcPr>
          <w:p w:rsidR="0077542B" w:rsidRDefault="0077542B" w:rsidP="0077542B">
            <w:pPr>
              <w:jc w:val="right"/>
            </w:pPr>
            <w:r>
              <w:rPr>
                <w:rFonts w:eastAsiaTheme="minorEastAsia"/>
                <w:sz w:val="24"/>
              </w:rPr>
              <w:t>-</w:t>
            </w:r>
          </w:p>
        </w:tc>
        <w:tc>
          <w:tcPr>
            <w:tcW w:w="1260" w:type="dxa"/>
            <w:vAlign w:val="center"/>
          </w:tcPr>
          <w:p w:rsidR="0077542B" w:rsidRDefault="0077542B" w:rsidP="0077542B">
            <w:pPr>
              <w:jc w:val="right"/>
            </w:pPr>
            <w:r>
              <w:rPr>
                <w:rFonts w:eastAsiaTheme="minorEastAsia"/>
                <w:sz w:val="24"/>
              </w:rPr>
              <w:t>-</w:t>
            </w:r>
          </w:p>
        </w:tc>
        <w:tc>
          <w:tcPr>
            <w:tcW w:w="1260" w:type="dxa"/>
            <w:vAlign w:val="center"/>
          </w:tcPr>
          <w:p w:rsidR="0077542B" w:rsidRDefault="0077542B" w:rsidP="0077542B">
            <w:pPr>
              <w:jc w:val="right"/>
            </w:pPr>
            <w:r>
              <w:rPr>
                <w:rFonts w:eastAsiaTheme="minorEastAsia"/>
                <w:sz w:val="24"/>
              </w:rPr>
              <w:t>-</w:t>
            </w:r>
          </w:p>
        </w:tc>
        <w:tc>
          <w:tcPr>
            <w:tcW w:w="1440" w:type="dxa"/>
            <w:vAlign w:val="center"/>
          </w:tcPr>
          <w:p w:rsidR="0077542B" w:rsidRDefault="0077542B" w:rsidP="0077542B">
            <w:pPr>
              <w:jc w:val="right"/>
            </w:pPr>
            <w:r>
              <w:rPr>
                <w:rFonts w:eastAsiaTheme="minorEastAsia"/>
                <w:sz w:val="24"/>
              </w:rPr>
              <w:t>-</w:t>
            </w:r>
          </w:p>
        </w:tc>
      </w:tr>
      <w:tr w:rsidR="0077542B">
        <w:tc>
          <w:tcPr>
            <w:tcW w:w="1559" w:type="dxa"/>
            <w:vAlign w:val="center"/>
          </w:tcPr>
          <w:p w:rsidR="0077542B" w:rsidRDefault="0077542B" w:rsidP="0077542B">
            <w:pPr>
              <w:jc w:val="left"/>
            </w:pPr>
            <w:r>
              <w:rPr>
                <w:rFonts w:eastAsiaTheme="minorEastAsia"/>
                <w:sz w:val="24"/>
              </w:rPr>
              <w:t>中泰证券股份有限公司</w:t>
            </w:r>
          </w:p>
        </w:tc>
        <w:tc>
          <w:tcPr>
            <w:tcW w:w="1319" w:type="dxa"/>
            <w:vAlign w:val="center"/>
          </w:tcPr>
          <w:p w:rsidR="0077542B" w:rsidRDefault="0077542B" w:rsidP="0077542B">
            <w:pPr>
              <w:jc w:val="right"/>
            </w:pPr>
            <w:r>
              <w:rPr>
                <w:rFonts w:eastAsiaTheme="minorEastAsia"/>
                <w:sz w:val="24"/>
              </w:rPr>
              <w:t>-</w:t>
            </w:r>
          </w:p>
        </w:tc>
        <w:tc>
          <w:tcPr>
            <w:tcW w:w="1080" w:type="dxa"/>
            <w:vAlign w:val="center"/>
          </w:tcPr>
          <w:p w:rsidR="0077542B" w:rsidRDefault="0077542B" w:rsidP="0077542B">
            <w:pPr>
              <w:jc w:val="right"/>
            </w:pPr>
            <w:r>
              <w:rPr>
                <w:rFonts w:eastAsiaTheme="minorEastAsia"/>
                <w:sz w:val="24"/>
              </w:rPr>
              <w:t>-</w:t>
            </w:r>
          </w:p>
        </w:tc>
        <w:tc>
          <w:tcPr>
            <w:tcW w:w="1080" w:type="dxa"/>
            <w:vAlign w:val="center"/>
          </w:tcPr>
          <w:p w:rsidR="0077542B" w:rsidRDefault="0077542B" w:rsidP="0077542B">
            <w:pPr>
              <w:jc w:val="right"/>
            </w:pPr>
            <w:r>
              <w:rPr>
                <w:rFonts w:eastAsiaTheme="minorEastAsia"/>
                <w:sz w:val="24"/>
              </w:rPr>
              <w:t>-</w:t>
            </w:r>
          </w:p>
        </w:tc>
        <w:tc>
          <w:tcPr>
            <w:tcW w:w="1260" w:type="dxa"/>
            <w:vAlign w:val="center"/>
          </w:tcPr>
          <w:p w:rsidR="0077542B" w:rsidRDefault="0077542B" w:rsidP="0077542B">
            <w:pPr>
              <w:jc w:val="right"/>
            </w:pPr>
            <w:r>
              <w:rPr>
                <w:rFonts w:eastAsiaTheme="minorEastAsia"/>
                <w:sz w:val="24"/>
              </w:rPr>
              <w:t>-</w:t>
            </w:r>
          </w:p>
        </w:tc>
        <w:tc>
          <w:tcPr>
            <w:tcW w:w="1260" w:type="dxa"/>
            <w:vAlign w:val="center"/>
          </w:tcPr>
          <w:p w:rsidR="0077542B" w:rsidRDefault="0077542B" w:rsidP="0077542B">
            <w:pPr>
              <w:jc w:val="right"/>
            </w:pPr>
            <w:r>
              <w:rPr>
                <w:rFonts w:eastAsiaTheme="minorEastAsia"/>
                <w:sz w:val="24"/>
              </w:rPr>
              <w:t>-</w:t>
            </w:r>
          </w:p>
        </w:tc>
        <w:tc>
          <w:tcPr>
            <w:tcW w:w="1440" w:type="dxa"/>
            <w:vAlign w:val="center"/>
          </w:tcPr>
          <w:p w:rsidR="0077542B" w:rsidRDefault="0077542B" w:rsidP="0077542B">
            <w:pPr>
              <w:jc w:val="right"/>
            </w:pPr>
            <w:r>
              <w:rPr>
                <w:rFonts w:eastAsiaTheme="minorEastAsia"/>
                <w:sz w:val="24"/>
              </w:rPr>
              <w:t>-</w:t>
            </w:r>
          </w:p>
        </w:tc>
      </w:tr>
    </w:tbl>
    <w:p w:rsidR="00DA6A53" w:rsidRDefault="0077542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A6A53" w:rsidRDefault="0077542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DA6A53" w:rsidRDefault="0077542B">
      <w:pPr>
        <w:tabs>
          <w:tab w:val="left" w:pos="426"/>
        </w:tabs>
        <w:spacing w:before="29" w:line="288" w:lineRule="auto"/>
        <w:jc w:val="left"/>
        <w:rPr>
          <w:kern w:val="0"/>
          <w:sz w:val="24"/>
        </w:rPr>
      </w:pPr>
      <w:r>
        <w:rPr>
          <w:kern w:val="0"/>
          <w:sz w:val="24"/>
        </w:rPr>
        <w:t xml:space="preserve">    3</w:t>
      </w:r>
      <w:r>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10.9</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本基金本报告期内不存在偏离度绝对值超过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B206A1" w:rsidRDefault="005D3C9D" w:rsidP="00B54CA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31410125"/>
      <w:r w:rsidRPr="00B206A1">
        <w:rPr>
          <w:rFonts w:eastAsiaTheme="minorEastAsia"/>
          <w:b/>
          <w:bCs/>
          <w:sz w:val="21"/>
          <w:szCs w:val="21"/>
          <w:lang w:val="en-US"/>
        </w:rPr>
        <w:t xml:space="preserve">11  </w:t>
      </w:r>
      <w:r w:rsidRPr="00B206A1">
        <w:rPr>
          <w:rFonts w:eastAsiaTheme="minorEastAsia"/>
          <w:b/>
          <w:bCs/>
          <w:sz w:val="21"/>
          <w:szCs w:val="21"/>
          <w:lang w:val="en-US"/>
        </w:rPr>
        <w:t>影响投资者决策的其他重要信息</w:t>
      </w:r>
      <w:bookmarkEnd w:id="98"/>
    </w:p>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4F0662" w:rsidTr="00583BFE">
        <w:tc>
          <w:tcPr>
            <w:tcW w:w="993" w:type="dxa"/>
            <w:vMerge w:val="restart"/>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D3C9D" w:rsidRPr="004F0662" w:rsidTr="00583BFE">
        <w:tc>
          <w:tcPr>
            <w:tcW w:w="993" w:type="dxa"/>
            <w:vMerge/>
            <w:vAlign w:val="center"/>
          </w:tcPr>
          <w:p w:rsidR="005D3C9D" w:rsidRPr="004F0662" w:rsidRDefault="005D3C9D" w:rsidP="00583BFE">
            <w:pPr>
              <w:autoSpaceDE w:val="0"/>
              <w:autoSpaceDN w:val="0"/>
              <w:adjustRightInd w:val="0"/>
              <w:jc w:val="center"/>
              <w:rPr>
                <w:rFonts w:ascii="宋体" w:hAnsi="宋体"/>
                <w:b/>
                <w:bCs/>
                <w:color w:val="000000"/>
                <w:kern w:val="0"/>
                <w:szCs w:val="21"/>
              </w:rPr>
            </w:pPr>
          </w:p>
        </w:tc>
        <w:tc>
          <w:tcPr>
            <w:tcW w:w="992"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A6A53">
        <w:tc>
          <w:tcPr>
            <w:tcW w:w="993" w:type="dxa"/>
            <w:vMerge w:val="restart"/>
          </w:tcPr>
          <w:p w:rsidR="00DA6A53" w:rsidRDefault="00DA6A53"/>
          <w:p w:rsidR="00DA6A53" w:rsidRDefault="0077542B">
            <w:r>
              <w:rPr>
                <w:rFonts w:ascii="宋体" w:hAnsi="宋体" w:hint="eastAsia"/>
                <w:bCs/>
                <w:color w:val="000000"/>
                <w:kern w:val="0"/>
                <w:szCs w:val="21"/>
              </w:rPr>
              <w:t>机构</w:t>
            </w:r>
          </w:p>
        </w:tc>
        <w:tc>
          <w:tcPr>
            <w:tcW w:w="992" w:type="dxa"/>
            <w:vAlign w:val="center"/>
          </w:tcPr>
          <w:p w:rsidR="00DA6A53" w:rsidRDefault="0077542B">
            <w:pPr>
              <w:jc w:val="center"/>
            </w:pPr>
            <w:r>
              <w:rPr>
                <w:rFonts w:ascii="宋体" w:hAnsi="宋体"/>
                <w:color w:val="000000"/>
                <w:kern w:val="0"/>
                <w:szCs w:val="21"/>
              </w:rPr>
              <w:t>1</w:t>
            </w:r>
          </w:p>
        </w:tc>
        <w:tc>
          <w:tcPr>
            <w:tcW w:w="1843" w:type="dxa"/>
            <w:vAlign w:val="center"/>
          </w:tcPr>
          <w:p w:rsidR="00DA6A53" w:rsidRDefault="0077542B">
            <w:pPr>
              <w:jc w:val="center"/>
            </w:pPr>
            <w:r>
              <w:rPr>
                <w:rFonts w:ascii="宋体" w:hAnsi="宋体"/>
                <w:color w:val="000000"/>
                <w:kern w:val="0"/>
                <w:szCs w:val="21"/>
              </w:rPr>
              <w:t>2018/1/1-2018/6/30</w:t>
            </w:r>
          </w:p>
        </w:tc>
        <w:tc>
          <w:tcPr>
            <w:tcW w:w="851" w:type="dxa"/>
            <w:vAlign w:val="center"/>
          </w:tcPr>
          <w:p w:rsidR="00DA6A53" w:rsidRDefault="0077542B">
            <w:pPr>
              <w:jc w:val="center"/>
            </w:pPr>
            <w:r>
              <w:rPr>
                <w:rFonts w:ascii="宋体" w:hAnsi="宋体"/>
                <w:color w:val="000000"/>
                <w:kern w:val="0"/>
                <w:szCs w:val="21"/>
              </w:rPr>
              <w:t>1,358,226,079.50</w:t>
            </w:r>
          </w:p>
        </w:tc>
        <w:tc>
          <w:tcPr>
            <w:tcW w:w="850" w:type="dxa"/>
            <w:vAlign w:val="center"/>
          </w:tcPr>
          <w:p w:rsidR="00DA6A53" w:rsidRDefault="0077542B">
            <w:pPr>
              <w:jc w:val="center"/>
            </w:pPr>
            <w:r>
              <w:rPr>
                <w:rFonts w:ascii="宋体" w:hAnsi="宋体"/>
                <w:color w:val="000000"/>
                <w:kern w:val="0"/>
                <w:szCs w:val="21"/>
              </w:rPr>
              <w:t>25,199,402.56</w:t>
            </w:r>
          </w:p>
        </w:tc>
        <w:tc>
          <w:tcPr>
            <w:tcW w:w="1134" w:type="dxa"/>
            <w:vAlign w:val="center"/>
          </w:tcPr>
          <w:p w:rsidR="00DA6A53" w:rsidRDefault="0077542B">
            <w:pPr>
              <w:jc w:val="center"/>
            </w:pPr>
            <w:r>
              <w:rPr>
                <w:rFonts w:ascii="宋体" w:hAnsi="宋体"/>
                <w:color w:val="000000"/>
                <w:kern w:val="0"/>
                <w:szCs w:val="21"/>
              </w:rPr>
              <w:t>574,000,000.00</w:t>
            </w:r>
          </w:p>
        </w:tc>
        <w:tc>
          <w:tcPr>
            <w:tcW w:w="1419" w:type="dxa"/>
            <w:vAlign w:val="center"/>
          </w:tcPr>
          <w:p w:rsidR="00DA6A53" w:rsidRDefault="0077542B">
            <w:pPr>
              <w:jc w:val="center"/>
            </w:pPr>
            <w:r>
              <w:rPr>
                <w:rFonts w:ascii="宋体" w:hAnsi="宋体"/>
                <w:color w:val="000000"/>
                <w:kern w:val="0"/>
                <w:szCs w:val="21"/>
              </w:rPr>
              <w:t>809,425,482.06</w:t>
            </w:r>
          </w:p>
        </w:tc>
        <w:tc>
          <w:tcPr>
            <w:tcW w:w="1130" w:type="dxa"/>
            <w:vAlign w:val="center"/>
          </w:tcPr>
          <w:p w:rsidR="00DA6A53" w:rsidRDefault="0077542B">
            <w:pPr>
              <w:jc w:val="center"/>
            </w:pPr>
            <w:r>
              <w:rPr>
                <w:rFonts w:ascii="宋体" w:hAnsi="宋体"/>
                <w:color w:val="000000"/>
                <w:kern w:val="0"/>
                <w:szCs w:val="21"/>
              </w:rPr>
              <w:t>41.75%</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DA6A53" w:rsidRDefault="0077542B">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DA6A53" w:rsidRDefault="0077542B">
      <w:pPr>
        <w:spacing w:line="360" w:lineRule="auto"/>
        <w:ind w:firstLineChars="200" w:firstLine="420"/>
        <w:rPr>
          <w:rFonts w:ascii="宋体" w:hAnsi="宋体"/>
          <w:color w:val="000000"/>
          <w:szCs w:val="21"/>
        </w:rPr>
      </w:pPr>
      <w:r>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5D3C9D" w:rsidRPr="004F0662" w:rsidRDefault="005D3C9D" w:rsidP="005D3C9D">
      <w:pPr>
        <w:spacing w:line="360" w:lineRule="auto"/>
        <w:ind w:firstLineChars="200" w:firstLine="420"/>
        <w:rPr>
          <w:rFonts w:ascii="宋体" w:hAnsi="宋体"/>
          <w:color w:val="000000"/>
          <w:szCs w:val="21"/>
        </w:rPr>
      </w:pPr>
    </w:p>
    <w:p w:rsidR="009A5564" w:rsidRPr="0061644B" w:rsidRDefault="009A5564" w:rsidP="00792A69">
      <w:pPr>
        <w:spacing w:before="29" w:line="288" w:lineRule="auto"/>
        <w:rPr>
          <w:sz w:val="24"/>
        </w:rPr>
      </w:pPr>
    </w:p>
    <w:sectPr w:rsidR="009A5564" w:rsidRPr="0061644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336" w:rsidRDefault="00EC4336">
      <w:r>
        <w:separator/>
      </w:r>
    </w:p>
  </w:endnote>
  <w:endnote w:type="continuationSeparator" w:id="0">
    <w:p w:rsidR="00EC4336" w:rsidRDefault="00EC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D02DC3" w:rsidP="00C03B3A">
    <w:pPr>
      <w:pStyle w:val="a6"/>
      <w:framePr w:wrap="around" w:vAnchor="text" w:hAnchor="margin" w:xAlign="right" w:y="1"/>
      <w:rPr>
        <w:rStyle w:val="a7"/>
      </w:rPr>
    </w:pPr>
    <w:r>
      <w:rPr>
        <w:rStyle w:val="a7"/>
      </w:rPr>
      <w:fldChar w:fldCharType="begin"/>
    </w:r>
    <w:r w:rsidR="00B258B8">
      <w:rPr>
        <w:rStyle w:val="a7"/>
      </w:rPr>
      <w:instrText xml:space="preserve">PAGE  </w:instrText>
    </w:r>
    <w:r>
      <w:rPr>
        <w:rStyle w:val="a7"/>
      </w:rPr>
      <w:fldChar w:fldCharType="end"/>
    </w:r>
  </w:p>
  <w:p w:rsidR="00B258B8" w:rsidRDefault="00B258B8"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B258B8" w:rsidP="00C03B3A">
    <w:pPr>
      <w:pStyle w:val="a6"/>
      <w:ind w:right="360"/>
      <w:jc w:val="center"/>
    </w:pPr>
    <w:r>
      <w:rPr>
        <w:rFonts w:hint="eastAsia"/>
        <w:kern w:val="0"/>
        <w:szCs w:val="21"/>
      </w:rPr>
      <w:t>第</w:t>
    </w:r>
    <w:r w:rsidR="00D02DC3">
      <w:rPr>
        <w:kern w:val="0"/>
        <w:szCs w:val="21"/>
      </w:rPr>
      <w:fldChar w:fldCharType="begin"/>
    </w:r>
    <w:r>
      <w:rPr>
        <w:kern w:val="0"/>
        <w:szCs w:val="21"/>
      </w:rPr>
      <w:instrText xml:space="preserve"> PAGE </w:instrText>
    </w:r>
    <w:r w:rsidR="00D02DC3">
      <w:rPr>
        <w:kern w:val="0"/>
        <w:szCs w:val="21"/>
      </w:rPr>
      <w:fldChar w:fldCharType="separate"/>
    </w:r>
    <w:r w:rsidR="00707B07">
      <w:rPr>
        <w:noProof/>
        <w:kern w:val="0"/>
        <w:szCs w:val="21"/>
      </w:rPr>
      <w:t>12</w:t>
    </w:r>
    <w:r w:rsidR="00D02DC3">
      <w:rPr>
        <w:kern w:val="0"/>
        <w:szCs w:val="21"/>
      </w:rPr>
      <w:fldChar w:fldCharType="end"/>
    </w:r>
    <w:r>
      <w:rPr>
        <w:rFonts w:hint="eastAsia"/>
        <w:kern w:val="0"/>
        <w:szCs w:val="21"/>
      </w:rPr>
      <w:t>页共</w:t>
    </w:r>
    <w:r w:rsidR="00D02DC3">
      <w:rPr>
        <w:kern w:val="0"/>
        <w:szCs w:val="21"/>
      </w:rPr>
      <w:fldChar w:fldCharType="begin"/>
    </w:r>
    <w:r>
      <w:rPr>
        <w:kern w:val="0"/>
        <w:szCs w:val="21"/>
      </w:rPr>
      <w:instrText xml:space="preserve"> NUMPAGES </w:instrText>
    </w:r>
    <w:r w:rsidR="00D02DC3">
      <w:rPr>
        <w:kern w:val="0"/>
        <w:szCs w:val="21"/>
      </w:rPr>
      <w:fldChar w:fldCharType="separate"/>
    </w:r>
    <w:r w:rsidR="00707B07">
      <w:rPr>
        <w:noProof/>
        <w:kern w:val="0"/>
        <w:szCs w:val="21"/>
      </w:rPr>
      <w:t>33</w:t>
    </w:r>
    <w:r w:rsidR="00D02DC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336" w:rsidRDefault="00EC4336">
      <w:r>
        <w:separator/>
      </w:r>
    </w:p>
  </w:footnote>
  <w:footnote w:type="continuationSeparator" w:id="0">
    <w:p w:rsidR="00EC4336" w:rsidRDefault="00EC4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Pr="0023771C" w:rsidRDefault="00B258B8" w:rsidP="00C35130">
    <w:pPr>
      <w:pStyle w:val="a9"/>
      <w:pBdr>
        <w:bottom w:val="single" w:sz="6" w:space="0" w:color="auto"/>
      </w:pBdr>
      <w:jc w:val="right"/>
    </w:pPr>
    <w:r w:rsidRPr="0023771C">
      <w:rPr>
        <w:rFonts w:hint="eastAsia"/>
      </w:rPr>
      <w:t>交银施罗德天利宝货币市场基金</w:t>
    </w:r>
    <w:r w:rsidRPr="0023771C">
      <w:rPr>
        <w:rFonts w:hint="eastAsia"/>
      </w:rPr>
      <w:t>2018</w:t>
    </w:r>
    <w:r w:rsidRPr="0023771C">
      <w:rPr>
        <w:rFonts w:hint="eastAsia"/>
      </w:rPr>
      <w:t>年半年度报告摘要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2E3B"/>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2F8F"/>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4A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59A"/>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1700"/>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B07"/>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42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E79"/>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CAD"/>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2DC3"/>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A5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0BCC"/>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093E"/>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163"/>
    <w:rsid w:val="00EC42D0"/>
    <w:rsid w:val="00EC4336"/>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A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287"/>
    <w:rsid w:val="00F41B59"/>
    <w:rsid w:val="00F42099"/>
    <w:rsid w:val="00F423BD"/>
    <w:rsid w:val="00F431C5"/>
    <w:rsid w:val="00F432FF"/>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31EC86D-007A-45CB-9551-0666F32B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0557-57DE-439B-830F-D59E417B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3350</Words>
  <Characters>19096</Characters>
  <Application>Microsoft Office Word</Application>
  <DocSecurity>0</DocSecurity>
  <Lines>159</Lines>
  <Paragraphs>44</Paragraphs>
  <ScaleCrop>false</ScaleCrop>
  <Company/>
  <LinksUpToDate>false</LinksUpToDate>
  <CharactersWithSpaces>22402</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金新强</cp:lastModifiedBy>
  <cp:revision>14</cp:revision>
  <cp:lastPrinted>2007-07-19T00:46:00Z</cp:lastPrinted>
  <dcterms:created xsi:type="dcterms:W3CDTF">2017-08-23T01:30:00Z</dcterms:created>
  <dcterms:modified xsi:type="dcterms:W3CDTF">2018-08-24T06:31:00Z</dcterms:modified>
</cp:coreProperties>
</file>